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3429" w:rsidRDefault="00E143F0" w:rsidP="00E143F0">
      <w:pPr>
        <w:pStyle w:val="Pagedecouverture"/>
        <w:rPr>
          <w:noProof/>
        </w:rPr>
      </w:pPr>
      <w:bookmarkStart w:id="0" w:name="LW_BM_COVERPAGE"/>
      <w:bookmarkStart w:id="1" w:name="_GoBack"/>
      <w:bookmarkEnd w:id="1"/>
      <w:r>
        <w:rPr>
          <w:noProof/>
        </w:rPr>
        <w:pict>
          <v:shape id="_x0000_i1034" type="#_x0000_t75" alt="EA0A71EAEA7443BEAB74592B1B58D9CB" style="width:455.1pt;height:480.25pt">
            <v:imagedata r:id="rId9" o:title=""/>
          </v:shape>
        </w:pict>
      </w:r>
    </w:p>
    <w:bookmarkEnd w:id="0"/>
    <w:p w:rsidR="00913429" w:rsidRDefault="00E143F0">
      <w:pPr>
        <w:rPr>
          <w:rFonts w:eastAsia="SimHei"/>
          <w:noProof/>
          <w:spacing w:val="15"/>
          <w:sz w:val="80"/>
          <w:szCs w:val="24"/>
        </w:rPr>
      </w:pPr>
      <w:r>
        <w:rPr>
          <w:noProof/>
        </w:rPr>
        <w:br w:type="page"/>
      </w:r>
    </w:p>
    <w:p w:rsidR="00913429" w:rsidRDefault="00913429">
      <w:pPr>
        <w:framePr w:w="3943" w:wrap="auto" w:hAnchor="text"/>
        <w:widowControl w:val="0"/>
        <w:tabs>
          <w:tab w:val="left" w:pos="1276"/>
          <w:tab w:val="left" w:pos="8908"/>
        </w:tabs>
        <w:spacing w:after="120"/>
        <w:ind w:right="-23"/>
        <w:jc w:val="both"/>
        <w:rPr>
          <w:noProof/>
        </w:rPr>
        <w:sectPr w:rsidR="00913429" w:rsidSect="00E143F0">
          <w:headerReference w:type="even" r:id="rId10"/>
          <w:headerReference w:type="default" r:id="rId11"/>
          <w:footerReference w:type="even" r:id="rId12"/>
          <w:footerReference w:type="default" r:id="rId13"/>
          <w:headerReference w:type="first" r:id="rId14"/>
          <w:footerReference w:type="first" r:id="rId15"/>
          <w:type w:val="continuous"/>
          <w:pgSz w:w="11906" w:h="16838" w:code="9"/>
          <w:pgMar w:top="1702" w:right="852" w:bottom="1474" w:left="1418" w:header="567" w:footer="567" w:gutter="0"/>
          <w:pgNumType w:start="1"/>
          <w:cols w:space="720"/>
          <w:titlePg/>
          <w:docGrid w:linePitch="360"/>
        </w:sectPr>
      </w:pPr>
    </w:p>
    <w:p w:rsidR="00913429" w:rsidRDefault="00E143F0">
      <w:pPr>
        <w:pStyle w:val="TOC1"/>
        <w:rPr>
          <w:rStyle w:val="Hyperlink"/>
          <w:b/>
          <w:noProof/>
        </w:rPr>
      </w:pPr>
      <w:r>
        <w:rPr>
          <w:b/>
          <w:noProof/>
        </w:rPr>
        <w:lastRenderedPageBreak/>
        <w:fldChar w:fldCharType="begin"/>
      </w:r>
      <w:r>
        <w:rPr>
          <w:b/>
          <w:noProof/>
        </w:rPr>
        <w:instrText xml:space="preserve"> TOC \o "1-3" \h \z \u </w:instrText>
      </w:r>
      <w:r>
        <w:rPr>
          <w:b/>
          <w:noProof/>
        </w:rPr>
        <w:fldChar w:fldCharType="separate"/>
      </w:r>
    </w:p>
    <w:p w:rsidR="00913429" w:rsidRDefault="00913429">
      <w:pPr>
        <w:spacing w:after="0" w:line="240" w:lineRule="auto"/>
        <w:rPr>
          <w:rStyle w:val="Hyperlink"/>
          <w:b/>
          <w:noProof/>
        </w:rPr>
      </w:pPr>
    </w:p>
    <w:p w:rsidR="00913429" w:rsidRDefault="00E143F0">
      <w:pPr>
        <w:tabs>
          <w:tab w:val="left" w:pos="1276"/>
          <w:tab w:val="left" w:pos="8647"/>
          <w:tab w:val="right" w:leader="dot" w:pos="9923"/>
        </w:tabs>
        <w:spacing w:after="120"/>
        <w:ind w:right="-23"/>
        <w:jc w:val="both"/>
        <w:rPr>
          <w:b/>
          <w:iCs/>
          <w:noProof/>
          <w:sz w:val="32"/>
          <w:szCs w:val="32"/>
        </w:rPr>
        <w:sectPr w:rsidR="00913429">
          <w:headerReference w:type="even" r:id="rId16"/>
          <w:headerReference w:type="default" r:id="rId17"/>
          <w:footerReference w:type="even" r:id="rId18"/>
          <w:footerReference w:type="default" r:id="rId19"/>
          <w:headerReference w:type="first" r:id="rId20"/>
          <w:footerReference w:type="first" r:id="rId21"/>
          <w:pgSz w:w="11909" w:h="16834" w:code="9"/>
          <w:pgMar w:top="1440" w:right="852" w:bottom="1440" w:left="1440" w:header="576" w:footer="562" w:gutter="0"/>
          <w:pgNumType w:start="57"/>
          <w:cols w:space="720"/>
          <w:docGrid w:linePitch="360"/>
        </w:sectPr>
      </w:pPr>
      <w:r>
        <w:rPr>
          <w:b/>
          <w:noProof/>
        </w:rPr>
        <w:fldChar w:fldCharType="end"/>
      </w:r>
    </w:p>
    <w:p w:rsidR="00913429" w:rsidRDefault="00913429">
      <w:pPr>
        <w:pStyle w:val="BodyText"/>
        <w:rPr>
          <w:noProof/>
        </w:rPr>
      </w:pPr>
      <w:bookmarkStart w:id="2" w:name="_Toc362950921"/>
    </w:p>
    <w:p w:rsidR="00913429" w:rsidRDefault="00E143F0">
      <w:pPr>
        <w:tabs>
          <w:tab w:val="left" w:pos="8908"/>
        </w:tabs>
        <w:ind w:right="-23"/>
        <w:rPr>
          <w:b/>
          <w:iCs/>
          <w:noProof/>
          <w:sz w:val="32"/>
          <w:szCs w:val="32"/>
        </w:rPr>
      </w:pPr>
      <w:bookmarkStart w:id="3" w:name="_Toc482375228"/>
      <w:bookmarkEnd w:id="2"/>
      <w:r>
        <w:rPr>
          <w:b/>
          <w:iCs/>
          <w:noProof/>
          <w:sz w:val="32"/>
          <w:szCs w:val="32"/>
        </w:rPr>
        <w:t>Table of contents:</w:t>
      </w:r>
    </w:p>
    <w:p w:rsidR="00913429" w:rsidRDefault="00E143F0">
      <w:pPr>
        <w:pStyle w:val="TOC1"/>
        <w:rPr>
          <w:rFonts w:asciiTheme="minorHAnsi" w:eastAsiaTheme="minorEastAsia" w:hAnsiTheme="minorHAnsi" w:cstheme="minorBidi"/>
          <w:noProof/>
          <w:sz w:val="22"/>
          <w:szCs w:val="22"/>
          <w:lang w:eastAsia="en-GB"/>
        </w:rPr>
      </w:pPr>
      <w:r>
        <w:rPr>
          <w:b/>
          <w:noProof/>
        </w:rPr>
        <w:fldChar w:fldCharType="begin"/>
      </w:r>
      <w:r>
        <w:rPr>
          <w:b/>
          <w:noProof/>
        </w:rPr>
        <w:instrText xml:space="preserve"> TOC \o "1-3" \h \z \u </w:instrText>
      </w:r>
      <w:r>
        <w:rPr>
          <w:b/>
          <w:noProof/>
        </w:rPr>
        <w:fldChar w:fldCharType="separate"/>
      </w:r>
      <w:hyperlink w:anchor="_Toc492396544" w:history="1">
        <w:r>
          <w:rPr>
            <w:rStyle w:val="Hyperlink"/>
            <w:rFonts w:eastAsia="SimHei"/>
            <w:b/>
            <w:bCs/>
            <w:i/>
            <w:noProof/>
          </w:rPr>
          <w:t>5. Stakeholders’ support</w:t>
        </w:r>
        <w:r>
          <w:rPr>
            <w:noProof/>
            <w:webHidden/>
          </w:rPr>
          <w:tab/>
        </w:r>
        <w:r>
          <w:rPr>
            <w:noProof/>
            <w:webHidden/>
          </w:rPr>
          <w:fldChar w:fldCharType="begin"/>
        </w:r>
        <w:r>
          <w:rPr>
            <w:noProof/>
            <w:webHidden/>
          </w:rPr>
          <w:instrText xml:space="preserve"> PAGEREF _Toc492396544 \h </w:instrText>
        </w:r>
        <w:r>
          <w:rPr>
            <w:noProof/>
            <w:webHidden/>
          </w:rPr>
        </w:r>
        <w:r>
          <w:rPr>
            <w:noProof/>
            <w:webHidden/>
          </w:rPr>
          <w:fldChar w:fldCharType="separate"/>
        </w:r>
        <w:r>
          <w:rPr>
            <w:noProof/>
            <w:webHidden/>
          </w:rPr>
          <w:t>59</w:t>
        </w:r>
        <w:r>
          <w:rPr>
            <w:noProof/>
            <w:webHidden/>
          </w:rPr>
          <w:fldChar w:fldCharType="end"/>
        </w:r>
      </w:hyperlink>
    </w:p>
    <w:p w:rsidR="00913429" w:rsidRDefault="00E143F0">
      <w:pPr>
        <w:pStyle w:val="TOC1"/>
        <w:rPr>
          <w:rFonts w:asciiTheme="minorHAnsi" w:eastAsiaTheme="minorEastAsia" w:hAnsiTheme="minorHAnsi" w:cstheme="minorBidi"/>
          <w:noProof/>
          <w:sz w:val="22"/>
          <w:szCs w:val="22"/>
          <w:lang w:eastAsia="en-GB"/>
        </w:rPr>
      </w:pPr>
      <w:hyperlink w:anchor="_Toc492396545" w:history="1">
        <w:r>
          <w:rPr>
            <w:rStyle w:val="Hyperlink"/>
            <w:rFonts w:eastAsia="SimHei"/>
            <w:b/>
            <w:bCs/>
            <w:i/>
            <w:noProof/>
          </w:rPr>
          <w:t>6.Work Plan</w:t>
        </w:r>
        <w:r>
          <w:rPr>
            <w:noProof/>
            <w:webHidden/>
          </w:rPr>
          <w:tab/>
        </w:r>
        <w:r>
          <w:rPr>
            <w:noProof/>
            <w:webHidden/>
          </w:rPr>
          <w:fldChar w:fldCharType="begin"/>
        </w:r>
        <w:r>
          <w:rPr>
            <w:noProof/>
            <w:webHidden/>
          </w:rPr>
          <w:instrText xml:space="preserve"> PAGEREF _Toc492396545 \h </w:instrText>
        </w:r>
        <w:r>
          <w:rPr>
            <w:noProof/>
            <w:webHidden/>
          </w:rPr>
        </w:r>
        <w:r>
          <w:rPr>
            <w:noProof/>
            <w:webHidden/>
          </w:rPr>
          <w:fldChar w:fldCharType="separate"/>
        </w:r>
        <w:r>
          <w:rPr>
            <w:noProof/>
            <w:webHidden/>
          </w:rPr>
          <w:t>75</w:t>
        </w:r>
        <w:r>
          <w:rPr>
            <w:noProof/>
            <w:webHidden/>
          </w:rPr>
          <w:fldChar w:fldCharType="end"/>
        </w:r>
      </w:hyperlink>
    </w:p>
    <w:p w:rsidR="00913429" w:rsidRDefault="00E143F0">
      <w:pPr>
        <w:pStyle w:val="TOC2"/>
        <w:rPr>
          <w:rFonts w:asciiTheme="minorHAnsi" w:eastAsiaTheme="minorEastAsia" w:hAnsiTheme="minorHAnsi" w:cstheme="minorBidi"/>
          <w:noProof/>
          <w:sz w:val="22"/>
          <w:szCs w:val="22"/>
          <w:lang w:eastAsia="en-GB"/>
        </w:rPr>
      </w:pPr>
      <w:hyperlink w:anchor="_Toc492396552" w:history="1">
        <w:r>
          <w:rPr>
            <w:rStyle w:val="Hyperlink"/>
            <w:rFonts w:eastAsia="SimHei"/>
            <w:b/>
            <w:bCs/>
            <w:i/>
            <w:noProof/>
          </w:rPr>
          <w:t>6.1.</w:t>
        </w:r>
        <w:r>
          <w:rPr>
            <w:rFonts w:asciiTheme="minorHAnsi" w:eastAsiaTheme="minorEastAsia" w:hAnsiTheme="minorHAnsi" w:cstheme="minorBidi"/>
            <w:noProof/>
            <w:sz w:val="22"/>
            <w:szCs w:val="22"/>
            <w:lang w:eastAsia="en-GB"/>
          </w:rPr>
          <w:tab/>
        </w:r>
        <w:r>
          <w:rPr>
            <w:rStyle w:val="Hyperlink"/>
            <w:rFonts w:eastAsia="SimHei"/>
            <w:b/>
            <w:bCs/>
            <w:i/>
            <w:noProof/>
          </w:rPr>
          <w:t>Update on Project Tasks</w:t>
        </w:r>
        <w:r>
          <w:rPr>
            <w:noProof/>
            <w:webHidden/>
          </w:rPr>
          <w:tab/>
        </w:r>
        <w:r>
          <w:rPr>
            <w:noProof/>
            <w:webHidden/>
          </w:rPr>
          <w:fldChar w:fldCharType="begin"/>
        </w:r>
        <w:r>
          <w:rPr>
            <w:noProof/>
            <w:webHidden/>
          </w:rPr>
          <w:instrText xml:space="preserve"> PAGEREF _Toc492396552 \h </w:instrText>
        </w:r>
        <w:r>
          <w:rPr>
            <w:noProof/>
            <w:webHidden/>
          </w:rPr>
        </w:r>
        <w:r>
          <w:rPr>
            <w:noProof/>
            <w:webHidden/>
          </w:rPr>
          <w:fldChar w:fldCharType="separate"/>
        </w:r>
        <w:r>
          <w:rPr>
            <w:noProof/>
            <w:webHidden/>
          </w:rPr>
          <w:t>77</w:t>
        </w:r>
        <w:r>
          <w:rPr>
            <w:noProof/>
            <w:webHidden/>
          </w:rPr>
          <w:fldChar w:fldCharType="end"/>
        </w:r>
      </w:hyperlink>
    </w:p>
    <w:p w:rsidR="00913429" w:rsidRDefault="00E143F0">
      <w:pPr>
        <w:pStyle w:val="TOC2"/>
        <w:rPr>
          <w:rFonts w:asciiTheme="minorHAnsi" w:eastAsiaTheme="minorEastAsia" w:hAnsiTheme="minorHAnsi" w:cstheme="minorBidi"/>
          <w:noProof/>
          <w:sz w:val="22"/>
          <w:szCs w:val="22"/>
          <w:lang w:eastAsia="en-GB"/>
        </w:rPr>
      </w:pPr>
      <w:hyperlink w:anchor="_Toc492396553" w:history="1">
        <w:r>
          <w:rPr>
            <w:rStyle w:val="Hyperlink"/>
            <w:rFonts w:eastAsia="SimHei"/>
            <w:iCs/>
            <w:noProof/>
          </w:rPr>
          <w:t>6.1.1.</w:t>
        </w:r>
        <w:r>
          <w:rPr>
            <w:rFonts w:asciiTheme="minorHAnsi" w:eastAsiaTheme="minorEastAsia" w:hAnsiTheme="minorHAnsi" w:cstheme="minorBidi"/>
            <w:noProof/>
            <w:sz w:val="22"/>
            <w:szCs w:val="22"/>
            <w:lang w:eastAsia="en-GB"/>
          </w:rPr>
          <w:tab/>
        </w:r>
        <w:r>
          <w:rPr>
            <w:rStyle w:val="Hyperlink"/>
            <w:rFonts w:eastAsia="SimHei"/>
            <w:bCs/>
            <w:i/>
            <w:iCs/>
            <w:noProof/>
          </w:rPr>
          <w:t>Task 1: Evidence Gathering and Analysis</w:t>
        </w:r>
        <w:r>
          <w:rPr>
            <w:noProof/>
            <w:webHidden/>
          </w:rPr>
          <w:tab/>
        </w:r>
        <w:r>
          <w:rPr>
            <w:noProof/>
            <w:webHidden/>
          </w:rPr>
          <w:fldChar w:fldCharType="begin"/>
        </w:r>
        <w:r>
          <w:rPr>
            <w:noProof/>
            <w:webHidden/>
          </w:rPr>
          <w:instrText xml:space="preserve"> PAGEREF _Toc492396553 \h </w:instrText>
        </w:r>
        <w:r>
          <w:rPr>
            <w:noProof/>
            <w:webHidden/>
          </w:rPr>
        </w:r>
        <w:r>
          <w:rPr>
            <w:noProof/>
            <w:webHidden/>
          </w:rPr>
          <w:fldChar w:fldCharType="separate"/>
        </w:r>
        <w:r>
          <w:rPr>
            <w:noProof/>
            <w:webHidden/>
          </w:rPr>
          <w:t>77</w:t>
        </w:r>
        <w:r>
          <w:rPr>
            <w:noProof/>
            <w:webHidden/>
          </w:rPr>
          <w:fldChar w:fldCharType="end"/>
        </w:r>
      </w:hyperlink>
    </w:p>
    <w:p w:rsidR="00913429" w:rsidRDefault="00E143F0">
      <w:pPr>
        <w:pStyle w:val="TOC2"/>
        <w:rPr>
          <w:rFonts w:asciiTheme="minorHAnsi" w:eastAsiaTheme="minorEastAsia" w:hAnsiTheme="minorHAnsi" w:cstheme="minorBidi"/>
          <w:noProof/>
          <w:sz w:val="22"/>
          <w:szCs w:val="22"/>
          <w:lang w:eastAsia="en-GB"/>
        </w:rPr>
      </w:pPr>
      <w:hyperlink w:anchor="_Toc492396554" w:history="1">
        <w:r>
          <w:rPr>
            <w:rStyle w:val="Hyperlink"/>
            <w:rFonts w:eastAsia="SimHei"/>
            <w:bCs/>
            <w:i/>
            <w:iCs/>
            <w:noProof/>
          </w:rPr>
          <w:t>6.1.2.</w:t>
        </w:r>
        <w:r>
          <w:rPr>
            <w:rFonts w:asciiTheme="minorHAnsi" w:eastAsiaTheme="minorEastAsia" w:hAnsiTheme="minorHAnsi" w:cstheme="minorBidi"/>
            <w:noProof/>
            <w:sz w:val="22"/>
            <w:szCs w:val="22"/>
            <w:lang w:eastAsia="en-GB"/>
          </w:rPr>
          <w:tab/>
        </w:r>
        <w:r>
          <w:rPr>
            <w:rStyle w:val="Hyperlink"/>
            <w:rFonts w:eastAsia="SimHei"/>
            <w:bCs/>
            <w:i/>
            <w:iCs/>
            <w:noProof/>
          </w:rPr>
          <w:t>Task 2: Assess the impact</w:t>
        </w:r>
        <w:r>
          <w:rPr>
            <w:noProof/>
            <w:webHidden/>
          </w:rPr>
          <w:tab/>
        </w:r>
        <w:r>
          <w:rPr>
            <w:noProof/>
            <w:webHidden/>
          </w:rPr>
          <w:fldChar w:fldCharType="begin"/>
        </w:r>
        <w:r>
          <w:rPr>
            <w:noProof/>
            <w:webHidden/>
          </w:rPr>
          <w:instrText xml:space="preserve"> PAGEREF _Toc492396554 \h </w:instrText>
        </w:r>
        <w:r>
          <w:rPr>
            <w:noProof/>
            <w:webHidden/>
          </w:rPr>
        </w:r>
        <w:r>
          <w:rPr>
            <w:noProof/>
            <w:webHidden/>
          </w:rPr>
          <w:fldChar w:fldCharType="separate"/>
        </w:r>
        <w:r>
          <w:rPr>
            <w:noProof/>
            <w:webHidden/>
          </w:rPr>
          <w:t>81</w:t>
        </w:r>
        <w:r>
          <w:rPr>
            <w:noProof/>
            <w:webHidden/>
          </w:rPr>
          <w:fldChar w:fldCharType="end"/>
        </w:r>
      </w:hyperlink>
    </w:p>
    <w:p w:rsidR="00913429" w:rsidRDefault="00E143F0">
      <w:pPr>
        <w:pStyle w:val="TOC2"/>
        <w:rPr>
          <w:rFonts w:asciiTheme="minorHAnsi" w:eastAsiaTheme="minorEastAsia" w:hAnsiTheme="minorHAnsi" w:cstheme="minorBidi"/>
          <w:noProof/>
          <w:sz w:val="22"/>
          <w:szCs w:val="22"/>
          <w:lang w:eastAsia="en-GB"/>
        </w:rPr>
      </w:pPr>
      <w:hyperlink w:anchor="_Toc492396555" w:history="1">
        <w:r>
          <w:rPr>
            <w:rStyle w:val="Hyperlink"/>
            <w:rFonts w:eastAsia="SimHei"/>
            <w:iCs/>
            <w:noProof/>
          </w:rPr>
          <w:t>6.1.3.</w:t>
        </w:r>
        <w:r>
          <w:rPr>
            <w:rFonts w:asciiTheme="minorHAnsi" w:eastAsiaTheme="minorEastAsia" w:hAnsiTheme="minorHAnsi" w:cstheme="minorBidi"/>
            <w:noProof/>
            <w:sz w:val="22"/>
            <w:szCs w:val="22"/>
            <w:lang w:eastAsia="en-GB"/>
          </w:rPr>
          <w:tab/>
        </w:r>
        <w:r>
          <w:rPr>
            <w:rStyle w:val="Hyperlink"/>
            <w:rFonts w:eastAsia="SimHei"/>
            <w:bCs/>
            <w:i/>
            <w:iCs/>
            <w:noProof/>
          </w:rPr>
          <w:t>Task 3: Other specific tasks</w:t>
        </w:r>
        <w:r>
          <w:rPr>
            <w:noProof/>
            <w:webHidden/>
          </w:rPr>
          <w:tab/>
        </w:r>
        <w:r>
          <w:rPr>
            <w:noProof/>
            <w:webHidden/>
          </w:rPr>
          <w:fldChar w:fldCharType="begin"/>
        </w:r>
        <w:r>
          <w:rPr>
            <w:noProof/>
            <w:webHidden/>
          </w:rPr>
          <w:instrText xml:space="preserve"> PAGEREF _Toc492396555 \h </w:instrText>
        </w:r>
        <w:r>
          <w:rPr>
            <w:noProof/>
            <w:webHidden/>
          </w:rPr>
        </w:r>
        <w:r>
          <w:rPr>
            <w:noProof/>
            <w:webHidden/>
          </w:rPr>
          <w:fldChar w:fldCharType="separate"/>
        </w:r>
        <w:r>
          <w:rPr>
            <w:noProof/>
            <w:webHidden/>
          </w:rPr>
          <w:t>82</w:t>
        </w:r>
        <w:r>
          <w:rPr>
            <w:noProof/>
            <w:webHidden/>
          </w:rPr>
          <w:fldChar w:fldCharType="end"/>
        </w:r>
      </w:hyperlink>
    </w:p>
    <w:p w:rsidR="00913429" w:rsidRDefault="00E143F0">
      <w:pPr>
        <w:pStyle w:val="TOC2"/>
        <w:rPr>
          <w:rFonts w:asciiTheme="minorHAnsi" w:eastAsiaTheme="minorEastAsia" w:hAnsiTheme="minorHAnsi" w:cstheme="minorBidi"/>
          <w:noProof/>
          <w:sz w:val="22"/>
          <w:szCs w:val="22"/>
          <w:lang w:eastAsia="en-GB"/>
        </w:rPr>
      </w:pPr>
      <w:hyperlink w:anchor="_Toc492396556" w:history="1">
        <w:r>
          <w:rPr>
            <w:rStyle w:val="Hyperlink"/>
            <w:rFonts w:eastAsia="SimHei"/>
            <w:iCs/>
            <w:noProof/>
          </w:rPr>
          <w:t>6.1.4.</w:t>
        </w:r>
        <w:r>
          <w:rPr>
            <w:rFonts w:asciiTheme="minorHAnsi" w:eastAsiaTheme="minorEastAsia" w:hAnsiTheme="minorHAnsi" w:cstheme="minorBidi"/>
            <w:noProof/>
            <w:sz w:val="22"/>
            <w:szCs w:val="22"/>
            <w:lang w:eastAsia="en-GB"/>
          </w:rPr>
          <w:tab/>
        </w:r>
        <w:r>
          <w:rPr>
            <w:rStyle w:val="Hyperlink"/>
            <w:rFonts w:eastAsia="SimHei"/>
            <w:bCs/>
            <w:i/>
            <w:iCs/>
            <w:noProof/>
          </w:rPr>
          <w:t>T</w:t>
        </w:r>
        <w:r>
          <w:rPr>
            <w:rStyle w:val="Hyperlink"/>
            <w:rFonts w:eastAsia="SimHei"/>
            <w:bCs/>
            <w:i/>
            <w:iCs/>
            <w:noProof/>
          </w:rPr>
          <w:t>ask 0: Project Management</w:t>
        </w:r>
        <w:r>
          <w:rPr>
            <w:noProof/>
            <w:webHidden/>
          </w:rPr>
          <w:tab/>
        </w:r>
        <w:r>
          <w:rPr>
            <w:noProof/>
            <w:webHidden/>
          </w:rPr>
          <w:fldChar w:fldCharType="begin"/>
        </w:r>
        <w:r>
          <w:rPr>
            <w:noProof/>
            <w:webHidden/>
          </w:rPr>
          <w:instrText xml:space="preserve"> PAGEREF _Toc492396556 \h </w:instrText>
        </w:r>
        <w:r>
          <w:rPr>
            <w:noProof/>
            <w:webHidden/>
          </w:rPr>
        </w:r>
        <w:r>
          <w:rPr>
            <w:noProof/>
            <w:webHidden/>
          </w:rPr>
          <w:fldChar w:fldCharType="separate"/>
        </w:r>
        <w:r>
          <w:rPr>
            <w:noProof/>
            <w:webHidden/>
          </w:rPr>
          <w:t>84</w:t>
        </w:r>
        <w:r>
          <w:rPr>
            <w:noProof/>
            <w:webHidden/>
          </w:rPr>
          <w:fldChar w:fldCharType="end"/>
        </w:r>
      </w:hyperlink>
    </w:p>
    <w:p w:rsidR="00913429" w:rsidRDefault="00E143F0">
      <w:pPr>
        <w:pStyle w:val="TOC1"/>
        <w:rPr>
          <w:rFonts w:asciiTheme="minorHAnsi" w:eastAsiaTheme="minorEastAsia" w:hAnsiTheme="minorHAnsi" w:cstheme="minorBidi"/>
          <w:noProof/>
          <w:sz w:val="22"/>
          <w:szCs w:val="22"/>
          <w:lang w:eastAsia="en-GB"/>
        </w:rPr>
      </w:pPr>
      <w:hyperlink w:anchor="_Toc492396557" w:history="1">
        <w:r>
          <w:rPr>
            <w:rStyle w:val="Hyperlink"/>
            <w:noProof/>
          </w:rPr>
          <w:t>7.</w:t>
        </w:r>
        <w:r>
          <w:rPr>
            <w:rFonts w:asciiTheme="minorHAnsi" w:eastAsiaTheme="minorEastAsia" w:hAnsiTheme="minorHAnsi" w:cstheme="minorBidi"/>
            <w:noProof/>
            <w:sz w:val="22"/>
            <w:szCs w:val="22"/>
            <w:lang w:eastAsia="en-GB"/>
          </w:rPr>
          <w:tab/>
        </w:r>
        <w:r>
          <w:rPr>
            <w:rStyle w:val="Hyperlink"/>
            <w:noProof/>
          </w:rPr>
          <w:t>Annex</w:t>
        </w:r>
        <w:r>
          <w:rPr>
            <w:noProof/>
            <w:webHidden/>
          </w:rPr>
          <w:tab/>
        </w:r>
        <w:r>
          <w:rPr>
            <w:noProof/>
            <w:webHidden/>
          </w:rPr>
          <w:fldChar w:fldCharType="begin"/>
        </w:r>
        <w:r>
          <w:rPr>
            <w:noProof/>
            <w:webHidden/>
          </w:rPr>
          <w:instrText xml:space="preserve"> PAGEREF _Toc492396557 \h </w:instrText>
        </w:r>
        <w:r>
          <w:rPr>
            <w:noProof/>
            <w:webHidden/>
          </w:rPr>
        </w:r>
        <w:r>
          <w:rPr>
            <w:noProof/>
            <w:webHidden/>
          </w:rPr>
          <w:fldChar w:fldCharType="separate"/>
        </w:r>
        <w:r>
          <w:rPr>
            <w:noProof/>
            <w:webHidden/>
          </w:rPr>
          <w:t>87</w:t>
        </w:r>
        <w:r>
          <w:rPr>
            <w:noProof/>
            <w:webHidden/>
          </w:rPr>
          <w:fldChar w:fldCharType="end"/>
        </w:r>
      </w:hyperlink>
    </w:p>
    <w:p w:rsidR="00913429" w:rsidRDefault="00E143F0">
      <w:pPr>
        <w:pStyle w:val="TOC2"/>
        <w:rPr>
          <w:rFonts w:asciiTheme="minorHAnsi" w:eastAsiaTheme="minorEastAsia" w:hAnsiTheme="minorHAnsi" w:cstheme="minorBidi"/>
          <w:noProof/>
          <w:sz w:val="22"/>
          <w:szCs w:val="22"/>
          <w:lang w:eastAsia="en-GB"/>
        </w:rPr>
      </w:pPr>
      <w:hyperlink w:anchor="_Toc492396558" w:history="1">
        <w:r>
          <w:rPr>
            <w:rStyle w:val="Hyperlink"/>
            <w:rFonts w:eastAsia="SimHei"/>
            <w:b/>
            <w:bCs/>
            <w:i/>
            <w:noProof/>
          </w:rPr>
          <w:t>7.1 Minutes of the interviews</w:t>
        </w:r>
        <w:r>
          <w:rPr>
            <w:noProof/>
            <w:webHidden/>
          </w:rPr>
          <w:tab/>
        </w:r>
        <w:r>
          <w:rPr>
            <w:noProof/>
            <w:webHidden/>
          </w:rPr>
          <w:fldChar w:fldCharType="begin"/>
        </w:r>
        <w:r>
          <w:rPr>
            <w:noProof/>
            <w:webHidden/>
          </w:rPr>
          <w:instrText xml:space="preserve"> PAGEREF _Toc492396558 \h </w:instrText>
        </w:r>
        <w:r>
          <w:rPr>
            <w:noProof/>
            <w:webHidden/>
          </w:rPr>
        </w:r>
        <w:r>
          <w:rPr>
            <w:noProof/>
            <w:webHidden/>
          </w:rPr>
          <w:fldChar w:fldCharType="separate"/>
        </w:r>
        <w:r>
          <w:rPr>
            <w:noProof/>
            <w:webHidden/>
          </w:rPr>
          <w:t>87</w:t>
        </w:r>
        <w:r>
          <w:rPr>
            <w:noProof/>
            <w:webHidden/>
          </w:rPr>
          <w:fldChar w:fldCharType="end"/>
        </w:r>
      </w:hyperlink>
    </w:p>
    <w:p w:rsidR="00913429" w:rsidRDefault="00E143F0">
      <w:pPr>
        <w:pStyle w:val="TOC2"/>
        <w:rPr>
          <w:rFonts w:asciiTheme="minorHAnsi" w:eastAsiaTheme="minorEastAsia" w:hAnsiTheme="minorHAnsi" w:cstheme="minorBidi"/>
          <w:noProof/>
          <w:sz w:val="22"/>
          <w:szCs w:val="22"/>
          <w:lang w:eastAsia="en-GB"/>
        </w:rPr>
      </w:pPr>
      <w:hyperlink w:anchor="_Toc492396559" w:history="1">
        <w:r>
          <w:rPr>
            <w:rStyle w:val="Hyperlink"/>
            <w:rFonts w:eastAsia="SimHei"/>
            <w:b/>
            <w:bCs/>
            <w:i/>
            <w:noProof/>
          </w:rPr>
          <w:t>7.2 Questionnaire</w:t>
        </w:r>
        <w:r>
          <w:rPr>
            <w:noProof/>
            <w:webHidden/>
          </w:rPr>
          <w:tab/>
        </w:r>
        <w:r>
          <w:rPr>
            <w:noProof/>
            <w:webHidden/>
          </w:rPr>
          <w:fldChar w:fldCharType="begin"/>
        </w:r>
        <w:r>
          <w:rPr>
            <w:noProof/>
            <w:webHidden/>
          </w:rPr>
          <w:instrText xml:space="preserve"> PAGEREF _Toc492396559 \h </w:instrText>
        </w:r>
        <w:r>
          <w:rPr>
            <w:noProof/>
            <w:webHidden/>
          </w:rPr>
        </w:r>
        <w:r>
          <w:rPr>
            <w:noProof/>
            <w:webHidden/>
          </w:rPr>
          <w:fldChar w:fldCharType="separate"/>
        </w:r>
        <w:r>
          <w:rPr>
            <w:noProof/>
            <w:webHidden/>
          </w:rPr>
          <w:t>118</w:t>
        </w:r>
        <w:r>
          <w:rPr>
            <w:noProof/>
            <w:webHidden/>
          </w:rPr>
          <w:fldChar w:fldCharType="end"/>
        </w:r>
      </w:hyperlink>
    </w:p>
    <w:p w:rsidR="00913429" w:rsidRDefault="00E143F0">
      <w:pPr>
        <w:pStyle w:val="TOC2"/>
        <w:rPr>
          <w:rFonts w:asciiTheme="minorHAnsi" w:eastAsiaTheme="minorEastAsia" w:hAnsiTheme="minorHAnsi" w:cstheme="minorBidi"/>
          <w:noProof/>
          <w:sz w:val="22"/>
          <w:szCs w:val="22"/>
          <w:lang w:eastAsia="en-GB"/>
        </w:rPr>
      </w:pPr>
      <w:hyperlink w:anchor="_Toc492396560" w:history="1">
        <w:r>
          <w:rPr>
            <w:rStyle w:val="Hyperlink"/>
            <w:rFonts w:eastAsia="SimHei"/>
            <w:b/>
            <w:bCs/>
            <w:i/>
            <w:noProof/>
          </w:rPr>
          <w:t>7.3 Stakeholder Mapping</w:t>
        </w:r>
        <w:r>
          <w:rPr>
            <w:noProof/>
            <w:webHidden/>
          </w:rPr>
          <w:tab/>
        </w:r>
        <w:r>
          <w:rPr>
            <w:noProof/>
            <w:webHidden/>
          </w:rPr>
          <w:fldChar w:fldCharType="begin"/>
        </w:r>
        <w:r>
          <w:rPr>
            <w:noProof/>
            <w:webHidden/>
          </w:rPr>
          <w:instrText xml:space="preserve"> PAGEREF _Toc492396560 \h </w:instrText>
        </w:r>
        <w:r>
          <w:rPr>
            <w:noProof/>
            <w:webHidden/>
          </w:rPr>
        </w:r>
        <w:r>
          <w:rPr>
            <w:noProof/>
            <w:webHidden/>
          </w:rPr>
          <w:fldChar w:fldCharType="separate"/>
        </w:r>
        <w:r>
          <w:rPr>
            <w:noProof/>
            <w:webHidden/>
          </w:rPr>
          <w:t>134</w:t>
        </w:r>
        <w:r>
          <w:rPr>
            <w:noProof/>
            <w:webHidden/>
          </w:rPr>
          <w:fldChar w:fldCharType="end"/>
        </w:r>
      </w:hyperlink>
    </w:p>
    <w:p w:rsidR="00913429" w:rsidRDefault="00E143F0">
      <w:pPr>
        <w:pStyle w:val="TOC2"/>
        <w:rPr>
          <w:rFonts w:asciiTheme="minorHAnsi" w:eastAsiaTheme="minorEastAsia" w:hAnsiTheme="minorHAnsi" w:cstheme="minorBidi"/>
          <w:noProof/>
          <w:sz w:val="22"/>
          <w:szCs w:val="22"/>
          <w:lang w:eastAsia="en-GB"/>
        </w:rPr>
      </w:pPr>
      <w:hyperlink w:anchor="_Toc492396562" w:history="1">
        <w:r>
          <w:rPr>
            <w:rStyle w:val="Hyperlink"/>
            <w:rFonts w:eastAsia="SimHei"/>
            <w:b/>
            <w:bCs/>
            <w:i/>
            <w:noProof/>
          </w:rPr>
          <w:t>7.4 An overview of criticism related to Common Criteria</w:t>
        </w:r>
        <w:r>
          <w:rPr>
            <w:noProof/>
            <w:webHidden/>
          </w:rPr>
          <w:tab/>
        </w:r>
        <w:r>
          <w:rPr>
            <w:noProof/>
            <w:webHidden/>
          </w:rPr>
          <w:fldChar w:fldCharType="begin"/>
        </w:r>
        <w:r>
          <w:rPr>
            <w:noProof/>
            <w:webHidden/>
          </w:rPr>
          <w:instrText xml:space="preserve"> PAGEREF _Toc492396562 \h </w:instrText>
        </w:r>
        <w:r>
          <w:rPr>
            <w:noProof/>
            <w:webHidden/>
          </w:rPr>
        </w:r>
        <w:r>
          <w:rPr>
            <w:noProof/>
            <w:webHidden/>
          </w:rPr>
          <w:fldChar w:fldCharType="separate"/>
        </w:r>
        <w:r>
          <w:rPr>
            <w:noProof/>
            <w:webHidden/>
          </w:rPr>
          <w:t>145</w:t>
        </w:r>
        <w:r>
          <w:rPr>
            <w:noProof/>
            <w:webHidden/>
          </w:rPr>
          <w:fldChar w:fldCharType="end"/>
        </w:r>
      </w:hyperlink>
    </w:p>
    <w:p w:rsidR="00913429" w:rsidRDefault="00E143F0">
      <w:pPr>
        <w:pStyle w:val="TOC2"/>
        <w:rPr>
          <w:rFonts w:asciiTheme="minorHAnsi" w:eastAsiaTheme="minorEastAsia" w:hAnsiTheme="minorHAnsi" w:cstheme="minorBidi"/>
          <w:noProof/>
          <w:sz w:val="22"/>
          <w:szCs w:val="22"/>
          <w:lang w:eastAsia="en-GB"/>
        </w:rPr>
      </w:pPr>
      <w:hyperlink w:anchor="_Toc492396563" w:history="1">
        <w:r>
          <w:rPr>
            <w:rStyle w:val="Hyperlink"/>
            <w:rFonts w:eastAsia="SimHei"/>
            <w:b/>
            <w:bCs/>
            <w:i/>
            <w:noProof/>
          </w:rPr>
          <w:t xml:space="preserve">7.5 Cyber Security </w:t>
        </w:r>
        <w:r>
          <w:rPr>
            <w:rStyle w:val="Hyperlink"/>
            <w:rFonts w:eastAsia="SimHei"/>
            <w:b/>
            <w:bCs/>
            <w:i/>
            <w:noProof/>
          </w:rPr>
          <w:t>market Insights</w:t>
        </w:r>
        <w:r>
          <w:rPr>
            <w:noProof/>
            <w:webHidden/>
          </w:rPr>
          <w:tab/>
        </w:r>
        <w:r>
          <w:rPr>
            <w:noProof/>
            <w:webHidden/>
          </w:rPr>
          <w:fldChar w:fldCharType="begin"/>
        </w:r>
        <w:r>
          <w:rPr>
            <w:noProof/>
            <w:webHidden/>
          </w:rPr>
          <w:instrText xml:space="preserve"> PAGEREF _Toc492396563 \h </w:instrText>
        </w:r>
        <w:r>
          <w:rPr>
            <w:noProof/>
            <w:webHidden/>
          </w:rPr>
        </w:r>
        <w:r>
          <w:rPr>
            <w:noProof/>
            <w:webHidden/>
          </w:rPr>
          <w:fldChar w:fldCharType="separate"/>
        </w:r>
        <w:r>
          <w:rPr>
            <w:noProof/>
            <w:webHidden/>
          </w:rPr>
          <w:t>148</w:t>
        </w:r>
        <w:r>
          <w:rPr>
            <w:noProof/>
            <w:webHidden/>
          </w:rPr>
          <w:fldChar w:fldCharType="end"/>
        </w:r>
      </w:hyperlink>
    </w:p>
    <w:p w:rsidR="00913429" w:rsidRDefault="00E143F0">
      <w:pPr>
        <w:pStyle w:val="TOC2"/>
        <w:rPr>
          <w:rFonts w:asciiTheme="minorHAnsi" w:eastAsiaTheme="minorEastAsia" w:hAnsiTheme="minorHAnsi" w:cstheme="minorBidi"/>
          <w:noProof/>
          <w:sz w:val="22"/>
          <w:szCs w:val="22"/>
          <w:lang w:eastAsia="en-GB"/>
        </w:rPr>
      </w:pPr>
      <w:hyperlink w:anchor="_Toc492396564" w:history="1">
        <w:r>
          <w:rPr>
            <w:rStyle w:val="Hyperlink"/>
            <w:rFonts w:eastAsia="SimHei"/>
            <w:b/>
            <w:bCs/>
            <w:i/>
            <w:noProof/>
          </w:rPr>
          <w:t>7.6</w:t>
        </w:r>
        <w:r>
          <w:rPr>
            <w:rFonts w:asciiTheme="minorHAnsi" w:eastAsiaTheme="minorEastAsia" w:hAnsiTheme="minorHAnsi" w:cstheme="minorBidi"/>
            <w:noProof/>
            <w:sz w:val="22"/>
            <w:szCs w:val="22"/>
            <w:lang w:eastAsia="en-GB"/>
          </w:rPr>
          <w:tab/>
        </w:r>
        <w:r>
          <w:rPr>
            <w:rStyle w:val="Hyperlink"/>
            <w:rFonts w:eastAsia="SimHei"/>
            <w:b/>
            <w:bCs/>
            <w:i/>
            <w:noProof/>
          </w:rPr>
          <w:t>Case Study – “The impact of an EU wide Certification Scheme on Smart-Meter Industry”</w:t>
        </w:r>
        <w:r>
          <w:rPr>
            <w:noProof/>
            <w:webHidden/>
          </w:rPr>
          <w:tab/>
        </w:r>
        <w:r>
          <w:rPr>
            <w:noProof/>
            <w:webHidden/>
          </w:rPr>
          <w:fldChar w:fldCharType="begin"/>
        </w:r>
        <w:r>
          <w:rPr>
            <w:noProof/>
            <w:webHidden/>
          </w:rPr>
          <w:instrText xml:space="preserve"> PAGEREF _Toc49239656</w:instrText>
        </w:r>
        <w:r>
          <w:rPr>
            <w:noProof/>
            <w:webHidden/>
          </w:rPr>
          <w:instrText xml:space="preserve">4 \h </w:instrText>
        </w:r>
        <w:r>
          <w:rPr>
            <w:noProof/>
            <w:webHidden/>
          </w:rPr>
        </w:r>
        <w:r>
          <w:rPr>
            <w:noProof/>
            <w:webHidden/>
          </w:rPr>
          <w:fldChar w:fldCharType="separate"/>
        </w:r>
        <w:r>
          <w:rPr>
            <w:noProof/>
            <w:webHidden/>
          </w:rPr>
          <w:t>152</w:t>
        </w:r>
        <w:r>
          <w:rPr>
            <w:noProof/>
            <w:webHidden/>
          </w:rPr>
          <w:fldChar w:fldCharType="end"/>
        </w:r>
      </w:hyperlink>
    </w:p>
    <w:p w:rsidR="00913429" w:rsidRDefault="00E143F0">
      <w:pPr>
        <w:pStyle w:val="TOC2"/>
        <w:rPr>
          <w:rFonts w:asciiTheme="minorHAnsi" w:eastAsiaTheme="minorEastAsia" w:hAnsiTheme="minorHAnsi" w:cstheme="minorBidi"/>
          <w:noProof/>
          <w:sz w:val="22"/>
          <w:szCs w:val="22"/>
          <w:lang w:eastAsia="en-GB"/>
        </w:rPr>
      </w:pPr>
      <w:hyperlink w:anchor="_Toc492396565" w:history="1">
        <w:r>
          <w:rPr>
            <w:rStyle w:val="Hyperlink"/>
            <w:rFonts w:eastAsia="SimHei"/>
            <w:b/>
            <w:bCs/>
            <w:i/>
            <w:noProof/>
          </w:rPr>
          <w:t>7.7</w:t>
        </w:r>
        <w:r>
          <w:rPr>
            <w:rFonts w:asciiTheme="minorHAnsi" w:eastAsiaTheme="minorEastAsia" w:hAnsiTheme="minorHAnsi" w:cstheme="minorBidi"/>
            <w:noProof/>
            <w:sz w:val="22"/>
            <w:szCs w:val="22"/>
            <w:lang w:eastAsia="en-GB"/>
          </w:rPr>
          <w:tab/>
        </w:r>
        <w:r>
          <w:rPr>
            <w:rStyle w:val="Hyperlink"/>
            <w:rFonts w:eastAsia="SimHei"/>
            <w:b/>
            <w:bCs/>
            <w:i/>
            <w:noProof/>
          </w:rPr>
          <w:t>Case Study – “The impact of an EU wide Certification Scheme on Alarm Systems Industry”</w:t>
        </w:r>
        <w:r>
          <w:rPr>
            <w:noProof/>
            <w:webHidden/>
          </w:rPr>
          <w:tab/>
        </w:r>
        <w:r>
          <w:rPr>
            <w:noProof/>
            <w:webHidden/>
          </w:rPr>
          <w:fldChar w:fldCharType="begin"/>
        </w:r>
        <w:r>
          <w:rPr>
            <w:noProof/>
            <w:webHidden/>
          </w:rPr>
          <w:instrText xml:space="preserve"> PAGEREF _Toc492396565 \h </w:instrText>
        </w:r>
        <w:r>
          <w:rPr>
            <w:noProof/>
            <w:webHidden/>
          </w:rPr>
        </w:r>
        <w:r>
          <w:rPr>
            <w:noProof/>
            <w:webHidden/>
          </w:rPr>
          <w:fldChar w:fldCharType="separate"/>
        </w:r>
        <w:r>
          <w:rPr>
            <w:noProof/>
            <w:webHidden/>
          </w:rPr>
          <w:t>155</w:t>
        </w:r>
        <w:r>
          <w:rPr>
            <w:noProof/>
            <w:webHidden/>
          </w:rPr>
          <w:fldChar w:fldCharType="end"/>
        </w:r>
      </w:hyperlink>
    </w:p>
    <w:p w:rsidR="00913429" w:rsidRDefault="00E143F0">
      <w:pPr>
        <w:pStyle w:val="TOC2"/>
        <w:rPr>
          <w:rFonts w:asciiTheme="minorHAnsi" w:eastAsiaTheme="minorEastAsia" w:hAnsiTheme="minorHAnsi" w:cstheme="minorBidi"/>
          <w:noProof/>
          <w:sz w:val="22"/>
          <w:szCs w:val="22"/>
          <w:lang w:eastAsia="en-GB"/>
        </w:rPr>
      </w:pPr>
      <w:hyperlink w:anchor="_Toc492396566" w:history="1">
        <w:r>
          <w:rPr>
            <w:rStyle w:val="Hyperlink"/>
            <w:rFonts w:eastAsia="SimHei"/>
            <w:b/>
            <w:bCs/>
            <w:i/>
            <w:noProof/>
          </w:rPr>
          <w:t>7.8</w:t>
        </w:r>
        <w:r>
          <w:rPr>
            <w:rFonts w:asciiTheme="minorHAnsi" w:eastAsiaTheme="minorEastAsia" w:hAnsiTheme="minorHAnsi" w:cstheme="minorBidi"/>
            <w:noProof/>
            <w:sz w:val="22"/>
            <w:szCs w:val="22"/>
            <w:lang w:eastAsia="en-GB"/>
          </w:rPr>
          <w:tab/>
        </w:r>
        <w:r>
          <w:rPr>
            <w:rStyle w:val="Hyperlink"/>
            <w:rFonts w:eastAsia="SimHei"/>
            <w:b/>
            <w:bCs/>
            <w:i/>
            <w:noProof/>
          </w:rPr>
          <w:t>Case Study – “The impact of an EU wide Certification Scheme on Cloud Computing Industry”</w:t>
        </w:r>
        <w:r>
          <w:rPr>
            <w:noProof/>
            <w:webHidden/>
          </w:rPr>
          <w:tab/>
        </w:r>
        <w:r>
          <w:rPr>
            <w:noProof/>
            <w:webHidden/>
          </w:rPr>
          <w:fldChar w:fldCharType="begin"/>
        </w:r>
        <w:r>
          <w:rPr>
            <w:noProof/>
            <w:webHidden/>
          </w:rPr>
          <w:instrText xml:space="preserve"> PAGEREF _Toc492396566 \h </w:instrText>
        </w:r>
        <w:r>
          <w:rPr>
            <w:noProof/>
            <w:webHidden/>
          </w:rPr>
        </w:r>
        <w:r>
          <w:rPr>
            <w:noProof/>
            <w:webHidden/>
          </w:rPr>
          <w:fldChar w:fldCharType="separate"/>
        </w:r>
        <w:r>
          <w:rPr>
            <w:noProof/>
            <w:webHidden/>
          </w:rPr>
          <w:t>159</w:t>
        </w:r>
        <w:r>
          <w:rPr>
            <w:noProof/>
            <w:webHidden/>
          </w:rPr>
          <w:fldChar w:fldCharType="end"/>
        </w:r>
      </w:hyperlink>
    </w:p>
    <w:p w:rsidR="00913429" w:rsidRDefault="00E143F0">
      <w:pPr>
        <w:pStyle w:val="TOC2"/>
        <w:rPr>
          <w:rFonts w:asciiTheme="minorHAnsi" w:eastAsiaTheme="minorEastAsia" w:hAnsiTheme="minorHAnsi" w:cstheme="minorBidi"/>
          <w:noProof/>
          <w:sz w:val="22"/>
          <w:szCs w:val="22"/>
          <w:lang w:eastAsia="en-GB"/>
        </w:rPr>
      </w:pPr>
      <w:hyperlink w:anchor="_Toc492396567" w:history="1">
        <w:r>
          <w:rPr>
            <w:rStyle w:val="Hyperlink"/>
            <w:noProof/>
          </w:rPr>
          <w:t>7.9</w:t>
        </w:r>
        <w:r>
          <w:rPr>
            <w:rFonts w:asciiTheme="minorHAnsi" w:eastAsiaTheme="minorEastAsia" w:hAnsiTheme="minorHAnsi" w:cstheme="minorBidi"/>
            <w:noProof/>
            <w:sz w:val="22"/>
            <w:szCs w:val="22"/>
            <w:lang w:eastAsia="en-GB"/>
          </w:rPr>
          <w:tab/>
        </w:r>
        <w:r>
          <w:rPr>
            <w:rStyle w:val="Hyperlink"/>
            <w:noProof/>
          </w:rPr>
          <w:t>IoT Trust Label - Proposed Requirements as a Basis for Endpoint Trust Labels (from Stakeholder Support)</w:t>
        </w:r>
        <w:r>
          <w:rPr>
            <w:noProof/>
            <w:webHidden/>
          </w:rPr>
          <w:tab/>
        </w:r>
        <w:r>
          <w:rPr>
            <w:noProof/>
            <w:webHidden/>
          </w:rPr>
          <w:fldChar w:fldCharType="begin"/>
        </w:r>
        <w:r>
          <w:rPr>
            <w:noProof/>
            <w:webHidden/>
          </w:rPr>
          <w:instrText xml:space="preserve"> PAGEREF _Toc492396567 \h </w:instrText>
        </w:r>
        <w:r>
          <w:rPr>
            <w:noProof/>
            <w:webHidden/>
          </w:rPr>
        </w:r>
        <w:r>
          <w:rPr>
            <w:noProof/>
            <w:webHidden/>
          </w:rPr>
          <w:fldChar w:fldCharType="separate"/>
        </w:r>
        <w:r>
          <w:rPr>
            <w:noProof/>
            <w:webHidden/>
          </w:rPr>
          <w:t>164</w:t>
        </w:r>
        <w:r>
          <w:rPr>
            <w:noProof/>
            <w:webHidden/>
          </w:rPr>
          <w:fldChar w:fldCharType="end"/>
        </w:r>
      </w:hyperlink>
    </w:p>
    <w:p w:rsidR="00913429" w:rsidRDefault="00E143F0">
      <w:pPr>
        <w:pStyle w:val="TOC2"/>
        <w:rPr>
          <w:rFonts w:asciiTheme="minorHAnsi" w:eastAsiaTheme="minorEastAsia" w:hAnsiTheme="minorHAnsi" w:cstheme="minorBidi"/>
          <w:noProof/>
          <w:sz w:val="22"/>
          <w:szCs w:val="22"/>
          <w:lang w:eastAsia="en-GB"/>
        </w:rPr>
      </w:pPr>
      <w:hyperlink w:anchor="_Toc492396568" w:history="1">
        <w:r>
          <w:rPr>
            <w:rStyle w:val="Hyperlink"/>
            <w:noProof/>
          </w:rPr>
          <w:t>7.10</w:t>
        </w:r>
        <w:r>
          <w:rPr>
            <w:rFonts w:asciiTheme="minorHAnsi" w:eastAsiaTheme="minorEastAsia" w:hAnsiTheme="minorHAnsi" w:cstheme="minorBidi"/>
            <w:noProof/>
            <w:sz w:val="22"/>
            <w:szCs w:val="22"/>
            <w:lang w:eastAsia="en-GB"/>
          </w:rPr>
          <w:tab/>
        </w:r>
        <w:r>
          <w:rPr>
            <w:rStyle w:val="Hyperlink"/>
            <w:noProof/>
          </w:rPr>
          <w:t>German Ministry of Interior – Study on “Introduction of a label of quality for IT security features of Internet-enabled products”</w:t>
        </w:r>
        <w:r>
          <w:rPr>
            <w:noProof/>
            <w:webHidden/>
          </w:rPr>
          <w:tab/>
        </w:r>
        <w:r>
          <w:rPr>
            <w:noProof/>
            <w:webHidden/>
          </w:rPr>
          <w:fldChar w:fldCharType="begin"/>
        </w:r>
        <w:r>
          <w:rPr>
            <w:noProof/>
            <w:webHidden/>
          </w:rPr>
          <w:instrText xml:space="preserve"> PAGEREF _Toc492396568 </w:instrText>
        </w:r>
        <w:r>
          <w:rPr>
            <w:noProof/>
            <w:webHidden/>
          </w:rPr>
          <w:instrText xml:space="preserve">\h </w:instrText>
        </w:r>
        <w:r>
          <w:rPr>
            <w:noProof/>
            <w:webHidden/>
          </w:rPr>
        </w:r>
        <w:r>
          <w:rPr>
            <w:noProof/>
            <w:webHidden/>
          </w:rPr>
          <w:fldChar w:fldCharType="separate"/>
        </w:r>
        <w:r>
          <w:rPr>
            <w:noProof/>
            <w:webHidden/>
          </w:rPr>
          <w:t>171</w:t>
        </w:r>
        <w:r>
          <w:rPr>
            <w:noProof/>
            <w:webHidden/>
          </w:rPr>
          <w:fldChar w:fldCharType="end"/>
        </w:r>
      </w:hyperlink>
    </w:p>
    <w:p w:rsidR="00913429" w:rsidRDefault="00E143F0">
      <w:pPr>
        <w:pStyle w:val="TOC2"/>
        <w:rPr>
          <w:rFonts w:asciiTheme="minorHAnsi" w:eastAsiaTheme="minorEastAsia" w:hAnsiTheme="minorHAnsi" w:cstheme="minorBidi"/>
          <w:noProof/>
          <w:sz w:val="22"/>
          <w:szCs w:val="22"/>
          <w:lang w:eastAsia="en-GB"/>
        </w:rPr>
      </w:pPr>
      <w:hyperlink w:anchor="_Toc492396569" w:history="1">
        <w:r>
          <w:rPr>
            <w:rStyle w:val="Hyperlink"/>
            <w:noProof/>
          </w:rPr>
          <w:t>7.11</w:t>
        </w:r>
        <w:r>
          <w:rPr>
            <w:rFonts w:asciiTheme="minorHAnsi" w:eastAsiaTheme="minorEastAsia" w:hAnsiTheme="minorHAnsi" w:cstheme="minorBidi"/>
            <w:noProof/>
            <w:sz w:val="22"/>
            <w:szCs w:val="22"/>
            <w:lang w:eastAsia="en-GB"/>
          </w:rPr>
          <w:tab/>
        </w:r>
        <w:r>
          <w:rPr>
            <w:rStyle w:val="Hyperlink"/>
            <w:noProof/>
          </w:rPr>
          <w:t>Cyber Risks and Cyber Resilience of Critical Infrastructures</w:t>
        </w:r>
        <w:r>
          <w:rPr>
            <w:noProof/>
            <w:webHidden/>
          </w:rPr>
          <w:tab/>
        </w:r>
        <w:r>
          <w:rPr>
            <w:noProof/>
            <w:webHidden/>
          </w:rPr>
          <w:fldChar w:fldCharType="begin"/>
        </w:r>
        <w:r>
          <w:rPr>
            <w:noProof/>
            <w:webHidden/>
          </w:rPr>
          <w:instrText xml:space="preserve"> PAGEREF _Toc492396569 \h </w:instrText>
        </w:r>
        <w:r>
          <w:rPr>
            <w:noProof/>
            <w:webHidden/>
          </w:rPr>
        </w:r>
        <w:r>
          <w:rPr>
            <w:noProof/>
            <w:webHidden/>
          </w:rPr>
          <w:fldChar w:fldCharType="separate"/>
        </w:r>
        <w:r>
          <w:rPr>
            <w:noProof/>
            <w:webHidden/>
          </w:rPr>
          <w:t>174</w:t>
        </w:r>
        <w:r>
          <w:rPr>
            <w:noProof/>
            <w:webHidden/>
          </w:rPr>
          <w:fldChar w:fldCharType="end"/>
        </w:r>
      </w:hyperlink>
    </w:p>
    <w:p w:rsidR="00913429" w:rsidRDefault="00E143F0">
      <w:pPr>
        <w:pStyle w:val="TOC2"/>
        <w:rPr>
          <w:rFonts w:asciiTheme="minorHAnsi" w:eastAsiaTheme="minorEastAsia" w:hAnsiTheme="minorHAnsi" w:cstheme="minorBidi"/>
          <w:noProof/>
          <w:sz w:val="22"/>
          <w:szCs w:val="22"/>
          <w:lang w:eastAsia="en-GB"/>
        </w:rPr>
      </w:pPr>
      <w:hyperlink w:anchor="_Toc492396570" w:history="1">
        <w:r>
          <w:rPr>
            <w:rStyle w:val="Hyperlink"/>
            <w:noProof/>
          </w:rPr>
          <w:t>7.12</w:t>
        </w:r>
        <w:r>
          <w:rPr>
            <w:rFonts w:asciiTheme="minorHAnsi" w:eastAsiaTheme="minorEastAsia" w:hAnsiTheme="minorHAnsi" w:cstheme="minorBidi"/>
            <w:noProof/>
            <w:sz w:val="22"/>
            <w:szCs w:val="22"/>
            <w:lang w:eastAsia="en-GB"/>
          </w:rPr>
          <w:tab/>
        </w:r>
        <w:r>
          <w:rPr>
            <w:rStyle w:val="Hyperlink"/>
            <w:noProof/>
          </w:rPr>
          <w:t>The Lack of Appropriate Standards and the Need for a Common International Approach</w:t>
        </w:r>
        <w:r>
          <w:rPr>
            <w:noProof/>
            <w:webHidden/>
          </w:rPr>
          <w:tab/>
        </w:r>
        <w:r>
          <w:rPr>
            <w:noProof/>
            <w:webHidden/>
          </w:rPr>
          <w:fldChar w:fldCharType="begin"/>
        </w:r>
        <w:r>
          <w:rPr>
            <w:noProof/>
            <w:webHidden/>
          </w:rPr>
          <w:instrText xml:space="preserve"> PAGEREF _Toc492396570 \h </w:instrText>
        </w:r>
        <w:r>
          <w:rPr>
            <w:noProof/>
            <w:webHidden/>
          </w:rPr>
        </w:r>
        <w:r>
          <w:rPr>
            <w:noProof/>
            <w:webHidden/>
          </w:rPr>
          <w:fldChar w:fldCharType="separate"/>
        </w:r>
        <w:r>
          <w:rPr>
            <w:noProof/>
            <w:webHidden/>
          </w:rPr>
          <w:t>179</w:t>
        </w:r>
        <w:r>
          <w:rPr>
            <w:noProof/>
            <w:webHidden/>
          </w:rPr>
          <w:fldChar w:fldCharType="end"/>
        </w:r>
      </w:hyperlink>
    </w:p>
    <w:p w:rsidR="00913429" w:rsidRDefault="00E143F0">
      <w:pPr>
        <w:pStyle w:val="TOC2"/>
        <w:rPr>
          <w:rFonts w:asciiTheme="minorHAnsi" w:eastAsiaTheme="minorEastAsia" w:hAnsiTheme="minorHAnsi" w:cstheme="minorBidi"/>
          <w:noProof/>
          <w:sz w:val="22"/>
          <w:szCs w:val="22"/>
          <w:lang w:eastAsia="en-GB"/>
        </w:rPr>
      </w:pPr>
      <w:hyperlink w:anchor="_Toc492396571" w:history="1">
        <w:r>
          <w:rPr>
            <w:rStyle w:val="Hyperlink"/>
            <w:noProof/>
          </w:rPr>
          <w:t>7.13</w:t>
        </w:r>
        <w:r>
          <w:rPr>
            <w:rFonts w:asciiTheme="minorHAnsi" w:eastAsiaTheme="minorEastAsia" w:hAnsiTheme="minorHAnsi" w:cstheme="minorBidi"/>
            <w:noProof/>
            <w:sz w:val="22"/>
            <w:szCs w:val="22"/>
            <w:lang w:eastAsia="en-GB"/>
          </w:rPr>
          <w:tab/>
        </w:r>
        <w:r>
          <w:rPr>
            <w:rStyle w:val="Hyperlink"/>
            <w:noProof/>
          </w:rPr>
          <w:t>Economics of Standards</w:t>
        </w:r>
        <w:r>
          <w:rPr>
            <w:noProof/>
            <w:webHidden/>
          </w:rPr>
          <w:tab/>
        </w:r>
        <w:r>
          <w:rPr>
            <w:noProof/>
            <w:webHidden/>
          </w:rPr>
          <w:fldChar w:fldCharType="begin"/>
        </w:r>
        <w:r>
          <w:rPr>
            <w:noProof/>
            <w:webHidden/>
          </w:rPr>
          <w:instrText xml:space="preserve"> PAGEREF _Toc492396571 \h </w:instrText>
        </w:r>
        <w:r>
          <w:rPr>
            <w:noProof/>
            <w:webHidden/>
          </w:rPr>
        </w:r>
        <w:r>
          <w:rPr>
            <w:noProof/>
            <w:webHidden/>
          </w:rPr>
          <w:fldChar w:fldCharType="separate"/>
        </w:r>
        <w:r>
          <w:rPr>
            <w:noProof/>
            <w:webHidden/>
          </w:rPr>
          <w:t>185</w:t>
        </w:r>
        <w:r>
          <w:rPr>
            <w:noProof/>
            <w:webHidden/>
          </w:rPr>
          <w:fldChar w:fldCharType="end"/>
        </w:r>
      </w:hyperlink>
    </w:p>
    <w:p w:rsidR="00913429" w:rsidRDefault="00E143F0">
      <w:pPr>
        <w:pStyle w:val="TOC2"/>
        <w:rPr>
          <w:rFonts w:asciiTheme="minorHAnsi" w:eastAsiaTheme="minorEastAsia" w:hAnsiTheme="minorHAnsi" w:cstheme="minorBidi"/>
          <w:noProof/>
          <w:sz w:val="22"/>
          <w:szCs w:val="22"/>
          <w:lang w:eastAsia="en-GB"/>
        </w:rPr>
      </w:pPr>
      <w:hyperlink w:anchor="_Toc492396572" w:history="1">
        <w:r>
          <w:rPr>
            <w:rStyle w:val="Hyperlink"/>
            <w:rFonts w:eastAsia="SimHei"/>
            <w:b/>
            <w:bCs/>
            <w:i/>
            <w:noProof/>
            <w:lang w:val="fr-FR"/>
          </w:rPr>
          <w:t>7.14</w:t>
        </w:r>
        <w:r>
          <w:rPr>
            <w:rFonts w:asciiTheme="minorHAnsi" w:eastAsiaTheme="minorEastAsia" w:hAnsiTheme="minorHAnsi" w:cstheme="minorBidi"/>
            <w:noProof/>
            <w:sz w:val="22"/>
            <w:szCs w:val="22"/>
            <w:lang w:eastAsia="en-GB"/>
          </w:rPr>
          <w:tab/>
        </w:r>
        <w:r>
          <w:rPr>
            <w:rStyle w:val="Hyperlink"/>
            <w:rFonts w:eastAsia="SimHei"/>
            <w:b/>
            <w:bCs/>
            <w:i/>
            <w:noProof/>
            <w:lang w:val="fr-FR"/>
          </w:rPr>
          <w:t>References</w:t>
        </w:r>
        <w:r>
          <w:rPr>
            <w:noProof/>
            <w:webHidden/>
          </w:rPr>
          <w:tab/>
        </w:r>
        <w:r>
          <w:rPr>
            <w:noProof/>
            <w:webHidden/>
          </w:rPr>
          <w:fldChar w:fldCharType="begin"/>
        </w:r>
        <w:r>
          <w:rPr>
            <w:noProof/>
            <w:webHidden/>
          </w:rPr>
          <w:instrText xml:space="preserve"> PAGEREF _Toc492396572 \h </w:instrText>
        </w:r>
        <w:r>
          <w:rPr>
            <w:noProof/>
            <w:webHidden/>
          </w:rPr>
        </w:r>
        <w:r>
          <w:rPr>
            <w:noProof/>
            <w:webHidden/>
          </w:rPr>
          <w:fldChar w:fldCharType="separate"/>
        </w:r>
        <w:r>
          <w:rPr>
            <w:noProof/>
            <w:webHidden/>
          </w:rPr>
          <w:t>186</w:t>
        </w:r>
        <w:r>
          <w:rPr>
            <w:noProof/>
            <w:webHidden/>
          </w:rPr>
          <w:fldChar w:fldCharType="end"/>
        </w:r>
      </w:hyperlink>
    </w:p>
    <w:p w:rsidR="00913429" w:rsidRDefault="00E143F0">
      <w:pPr>
        <w:keepNext/>
        <w:widowControl w:val="0"/>
        <w:spacing w:after="300"/>
        <w:outlineLvl w:val="0"/>
        <w:rPr>
          <w:rFonts w:eastAsia="SimHei"/>
          <w:b/>
          <w:bCs/>
          <w:i/>
          <w:noProof/>
          <w:sz w:val="36"/>
          <w:szCs w:val="28"/>
        </w:rPr>
      </w:pPr>
      <w:r>
        <w:rPr>
          <w:b/>
          <w:noProof/>
        </w:rPr>
        <w:lastRenderedPageBreak/>
        <w:fldChar w:fldCharType="end"/>
      </w:r>
    </w:p>
    <w:p w:rsidR="00913429" w:rsidRDefault="00913429">
      <w:pPr>
        <w:keepNext/>
        <w:widowControl w:val="0"/>
        <w:spacing w:after="300"/>
        <w:outlineLvl w:val="0"/>
        <w:rPr>
          <w:rFonts w:eastAsia="SimHei"/>
          <w:b/>
          <w:bCs/>
          <w:i/>
          <w:noProof/>
          <w:sz w:val="36"/>
          <w:szCs w:val="28"/>
        </w:rPr>
      </w:pPr>
    </w:p>
    <w:p w:rsidR="00913429" w:rsidRDefault="00913429">
      <w:pPr>
        <w:keepNext/>
        <w:widowControl w:val="0"/>
        <w:spacing w:after="300"/>
        <w:outlineLvl w:val="0"/>
        <w:rPr>
          <w:rFonts w:eastAsia="SimHei"/>
          <w:b/>
          <w:bCs/>
          <w:i/>
          <w:noProof/>
          <w:sz w:val="36"/>
          <w:szCs w:val="28"/>
        </w:rPr>
      </w:pPr>
    </w:p>
    <w:p w:rsidR="00913429" w:rsidRDefault="00913429">
      <w:pPr>
        <w:keepNext/>
        <w:widowControl w:val="0"/>
        <w:spacing w:after="300"/>
        <w:outlineLvl w:val="0"/>
        <w:rPr>
          <w:rFonts w:eastAsia="SimHei"/>
          <w:b/>
          <w:bCs/>
          <w:i/>
          <w:noProof/>
          <w:sz w:val="36"/>
          <w:szCs w:val="28"/>
        </w:rPr>
      </w:pPr>
    </w:p>
    <w:p w:rsidR="00913429" w:rsidRDefault="00913429">
      <w:pPr>
        <w:keepNext/>
        <w:widowControl w:val="0"/>
        <w:spacing w:after="300"/>
        <w:outlineLvl w:val="0"/>
        <w:rPr>
          <w:rFonts w:eastAsia="SimHei"/>
          <w:b/>
          <w:bCs/>
          <w:i/>
          <w:noProof/>
          <w:sz w:val="36"/>
          <w:szCs w:val="28"/>
        </w:rPr>
      </w:pPr>
    </w:p>
    <w:p w:rsidR="00913429" w:rsidRDefault="00913429">
      <w:pPr>
        <w:keepNext/>
        <w:widowControl w:val="0"/>
        <w:spacing w:after="300"/>
        <w:outlineLvl w:val="0"/>
        <w:rPr>
          <w:rFonts w:eastAsia="SimHei"/>
          <w:b/>
          <w:bCs/>
          <w:i/>
          <w:noProof/>
          <w:sz w:val="36"/>
          <w:szCs w:val="28"/>
        </w:rPr>
      </w:pPr>
    </w:p>
    <w:p w:rsidR="00913429" w:rsidRDefault="00913429">
      <w:pPr>
        <w:keepNext/>
        <w:widowControl w:val="0"/>
        <w:spacing w:after="300"/>
        <w:outlineLvl w:val="0"/>
        <w:rPr>
          <w:rFonts w:eastAsia="SimHei"/>
          <w:b/>
          <w:bCs/>
          <w:i/>
          <w:noProof/>
          <w:sz w:val="36"/>
          <w:szCs w:val="28"/>
        </w:rPr>
      </w:pPr>
    </w:p>
    <w:p w:rsidR="00913429" w:rsidRDefault="00913429">
      <w:pPr>
        <w:keepNext/>
        <w:widowControl w:val="0"/>
        <w:spacing w:after="300"/>
        <w:outlineLvl w:val="0"/>
        <w:rPr>
          <w:rFonts w:eastAsia="SimHei"/>
          <w:b/>
          <w:bCs/>
          <w:i/>
          <w:noProof/>
          <w:sz w:val="36"/>
          <w:szCs w:val="28"/>
        </w:rPr>
      </w:pPr>
    </w:p>
    <w:p w:rsidR="00913429" w:rsidRDefault="00913429">
      <w:pPr>
        <w:keepNext/>
        <w:widowControl w:val="0"/>
        <w:spacing w:after="300"/>
        <w:outlineLvl w:val="0"/>
        <w:rPr>
          <w:rFonts w:eastAsia="SimHei"/>
          <w:b/>
          <w:bCs/>
          <w:i/>
          <w:noProof/>
          <w:sz w:val="36"/>
          <w:szCs w:val="28"/>
        </w:rPr>
      </w:pPr>
    </w:p>
    <w:p w:rsidR="00913429" w:rsidRDefault="00913429">
      <w:pPr>
        <w:keepNext/>
        <w:widowControl w:val="0"/>
        <w:spacing w:after="300"/>
        <w:outlineLvl w:val="0"/>
        <w:rPr>
          <w:rFonts w:eastAsia="SimHei"/>
          <w:b/>
          <w:bCs/>
          <w:i/>
          <w:noProof/>
          <w:sz w:val="36"/>
          <w:szCs w:val="28"/>
        </w:rPr>
      </w:pPr>
    </w:p>
    <w:p w:rsidR="00913429" w:rsidRDefault="00913429">
      <w:pPr>
        <w:keepNext/>
        <w:widowControl w:val="0"/>
        <w:spacing w:after="300"/>
        <w:outlineLvl w:val="0"/>
        <w:rPr>
          <w:rFonts w:eastAsia="SimHei"/>
          <w:b/>
          <w:bCs/>
          <w:i/>
          <w:noProof/>
          <w:sz w:val="36"/>
          <w:szCs w:val="28"/>
        </w:rPr>
      </w:pPr>
    </w:p>
    <w:p w:rsidR="00913429" w:rsidRDefault="00913429">
      <w:pPr>
        <w:keepNext/>
        <w:widowControl w:val="0"/>
        <w:spacing w:after="300"/>
        <w:outlineLvl w:val="0"/>
        <w:rPr>
          <w:rFonts w:eastAsia="SimHei"/>
          <w:b/>
          <w:bCs/>
          <w:i/>
          <w:noProof/>
          <w:sz w:val="36"/>
          <w:szCs w:val="28"/>
        </w:rPr>
      </w:pPr>
    </w:p>
    <w:p w:rsidR="00913429" w:rsidRDefault="00913429">
      <w:pPr>
        <w:keepNext/>
        <w:widowControl w:val="0"/>
        <w:spacing w:after="300"/>
        <w:outlineLvl w:val="0"/>
        <w:rPr>
          <w:rFonts w:eastAsia="SimHei"/>
          <w:b/>
          <w:bCs/>
          <w:i/>
          <w:noProof/>
          <w:sz w:val="36"/>
          <w:szCs w:val="28"/>
        </w:rPr>
      </w:pPr>
    </w:p>
    <w:p w:rsidR="00913429" w:rsidRDefault="00913429">
      <w:pPr>
        <w:keepNext/>
        <w:widowControl w:val="0"/>
        <w:spacing w:after="300"/>
        <w:outlineLvl w:val="0"/>
        <w:rPr>
          <w:rFonts w:eastAsia="SimHei"/>
          <w:b/>
          <w:bCs/>
          <w:i/>
          <w:noProof/>
          <w:sz w:val="36"/>
          <w:szCs w:val="28"/>
        </w:rPr>
      </w:pPr>
    </w:p>
    <w:p w:rsidR="00913429" w:rsidRDefault="00913429">
      <w:pPr>
        <w:keepNext/>
        <w:widowControl w:val="0"/>
        <w:spacing w:after="300"/>
        <w:outlineLvl w:val="0"/>
        <w:rPr>
          <w:rFonts w:eastAsia="SimHei"/>
          <w:b/>
          <w:bCs/>
          <w:i/>
          <w:noProof/>
          <w:sz w:val="36"/>
          <w:szCs w:val="28"/>
        </w:rPr>
      </w:pPr>
    </w:p>
    <w:p w:rsidR="00913429" w:rsidRDefault="00913429">
      <w:pPr>
        <w:keepNext/>
        <w:widowControl w:val="0"/>
        <w:spacing w:after="300"/>
        <w:outlineLvl w:val="0"/>
        <w:rPr>
          <w:rFonts w:eastAsia="SimHei"/>
          <w:b/>
          <w:bCs/>
          <w:i/>
          <w:noProof/>
          <w:sz w:val="36"/>
          <w:szCs w:val="28"/>
        </w:rPr>
      </w:pPr>
    </w:p>
    <w:p w:rsidR="00913429" w:rsidRDefault="00913429">
      <w:pPr>
        <w:keepNext/>
        <w:widowControl w:val="0"/>
        <w:spacing w:after="300"/>
        <w:outlineLvl w:val="0"/>
        <w:rPr>
          <w:rFonts w:eastAsia="SimHei"/>
          <w:b/>
          <w:bCs/>
          <w:i/>
          <w:noProof/>
          <w:sz w:val="36"/>
          <w:szCs w:val="28"/>
        </w:rPr>
      </w:pPr>
    </w:p>
    <w:p w:rsidR="00913429" w:rsidRDefault="00913429">
      <w:pPr>
        <w:keepNext/>
        <w:widowControl w:val="0"/>
        <w:spacing w:after="300"/>
        <w:outlineLvl w:val="0"/>
        <w:rPr>
          <w:rFonts w:eastAsia="SimHei"/>
          <w:b/>
          <w:bCs/>
          <w:i/>
          <w:noProof/>
          <w:sz w:val="36"/>
          <w:szCs w:val="28"/>
        </w:rPr>
      </w:pPr>
    </w:p>
    <w:p w:rsidR="00913429" w:rsidRDefault="00913429">
      <w:pPr>
        <w:keepNext/>
        <w:widowControl w:val="0"/>
        <w:spacing w:after="300"/>
        <w:outlineLvl w:val="0"/>
        <w:rPr>
          <w:rFonts w:eastAsia="SimHei"/>
          <w:b/>
          <w:bCs/>
          <w:i/>
          <w:noProof/>
          <w:sz w:val="36"/>
          <w:szCs w:val="28"/>
        </w:rPr>
      </w:pPr>
    </w:p>
    <w:p w:rsidR="00913429" w:rsidRDefault="00913429">
      <w:pPr>
        <w:keepNext/>
        <w:widowControl w:val="0"/>
        <w:spacing w:after="300"/>
        <w:outlineLvl w:val="0"/>
        <w:rPr>
          <w:rFonts w:eastAsia="SimHei"/>
          <w:b/>
          <w:bCs/>
          <w:i/>
          <w:noProof/>
          <w:sz w:val="36"/>
          <w:szCs w:val="28"/>
        </w:rPr>
      </w:pPr>
    </w:p>
    <w:p w:rsidR="00913429" w:rsidRDefault="00E143F0">
      <w:pPr>
        <w:keepNext/>
        <w:widowControl w:val="0"/>
        <w:spacing w:after="300"/>
        <w:outlineLvl w:val="0"/>
        <w:rPr>
          <w:rFonts w:eastAsia="SimHei"/>
          <w:b/>
          <w:bCs/>
          <w:i/>
          <w:noProof/>
          <w:sz w:val="36"/>
          <w:szCs w:val="28"/>
        </w:rPr>
      </w:pPr>
      <w:bookmarkStart w:id="4" w:name="_Toc492396544"/>
      <w:r>
        <w:rPr>
          <w:rFonts w:eastAsia="SimHei"/>
          <w:b/>
          <w:bCs/>
          <w:i/>
          <w:noProof/>
          <w:sz w:val="36"/>
          <w:szCs w:val="28"/>
        </w:rPr>
        <w:t>5. Stakeholders’ support</w:t>
      </w:r>
      <w:bookmarkEnd w:id="4"/>
    </w:p>
    <w:p w:rsidR="00913429" w:rsidRDefault="00E143F0">
      <w:pPr>
        <w:spacing w:after="60" w:line="240" w:lineRule="auto"/>
        <w:rPr>
          <w:noProof/>
        </w:rPr>
      </w:pPr>
      <w:r>
        <w:rPr>
          <w:noProof/>
        </w:rPr>
        <w:t>The following section described the information gathered through interview activities to selected participants from these categories:</w:t>
      </w:r>
    </w:p>
    <w:p w:rsidR="00913429" w:rsidRDefault="00E143F0">
      <w:pPr>
        <w:numPr>
          <w:ilvl w:val="0"/>
          <w:numId w:val="96"/>
        </w:numPr>
        <w:spacing w:after="60" w:line="240" w:lineRule="auto"/>
        <w:rPr>
          <w:noProof/>
        </w:rPr>
      </w:pPr>
      <w:r>
        <w:rPr>
          <w:noProof/>
        </w:rPr>
        <w:t xml:space="preserve">Smart </w:t>
      </w:r>
      <w:r>
        <w:rPr>
          <w:noProof/>
        </w:rPr>
        <w:t>meters Industry</w:t>
      </w:r>
    </w:p>
    <w:p w:rsidR="00913429" w:rsidRDefault="00E143F0">
      <w:pPr>
        <w:numPr>
          <w:ilvl w:val="0"/>
          <w:numId w:val="96"/>
        </w:numPr>
        <w:spacing w:after="60" w:line="240" w:lineRule="auto"/>
        <w:rPr>
          <w:noProof/>
        </w:rPr>
      </w:pPr>
      <w:r>
        <w:rPr>
          <w:noProof/>
        </w:rPr>
        <w:t>Semiconductors industry</w:t>
      </w:r>
    </w:p>
    <w:p w:rsidR="00913429" w:rsidRDefault="00E143F0">
      <w:pPr>
        <w:numPr>
          <w:ilvl w:val="0"/>
          <w:numId w:val="96"/>
        </w:numPr>
        <w:spacing w:after="60" w:line="240" w:lineRule="auto"/>
        <w:rPr>
          <w:noProof/>
        </w:rPr>
      </w:pPr>
      <w:r>
        <w:rPr>
          <w:noProof/>
        </w:rPr>
        <w:t>Other private sector representatives</w:t>
      </w:r>
    </w:p>
    <w:p w:rsidR="00913429" w:rsidRDefault="00E143F0">
      <w:pPr>
        <w:numPr>
          <w:ilvl w:val="0"/>
          <w:numId w:val="96"/>
        </w:numPr>
        <w:spacing w:after="60" w:line="240" w:lineRule="auto"/>
        <w:rPr>
          <w:noProof/>
        </w:rPr>
      </w:pPr>
      <w:r>
        <w:rPr>
          <w:noProof/>
        </w:rPr>
        <w:t>Members of ICT Certification Authorities</w:t>
      </w:r>
    </w:p>
    <w:p w:rsidR="00913429" w:rsidRDefault="00913429">
      <w:pPr>
        <w:spacing w:after="60" w:line="240" w:lineRule="auto"/>
        <w:rPr>
          <w:noProof/>
        </w:rPr>
      </w:pPr>
    </w:p>
    <w:p w:rsidR="00913429" w:rsidRDefault="00E143F0">
      <w:pPr>
        <w:spacing w:after="60" w:line="240" w:lineRule="auto"/>
        <w:rPr>
          <w:noProof/>
        </w:rPr>
      </w:pPr>
      <w:r>
        <w:rPr>
          <w:noProof/>
        </w:rPr>
        <w:t xml:space="preserve">Questions were asked in order to cover the following areas of interest: </w:t>
      </w:r>
    </w:p>
    <w:p w:rsidR="00913429" w:rsidRDefault="00E143F0">
      <w:pPr>
        <w:numPr>
          <w:ilvl w:val="0"/>
          <w:numId w:val="96"/>
        </w:numPr>
        <w:spacing w:after="60" w:line="240" w:lineRule="auto"/>
        <w:rPr>
          <w:noProof/>
        </w:rPr>
      </w:pPr>
      <w:r>
        <w:rPr>
          <w:noProof/>
        </w:rPr>
        <w:t>Evidence of fragmentation</w:t>
      </w:r>
    </w:p>
    <w:p w:rsidR="00913429" w:rsidRDefault="00E143F0">
      <w:pPr>
        <w:numPr>
          <w:ilvl w:val="0"/>
          <w:numId w:val="96"/>
        </w:numPr>
        <w:spacing w:after="60" w:line="240" w:lineRule="auto"/>
        <w:rPr>
          <w:noProof/>
        </w:rPr>
      </w:pPr>
      <w:r>
        <w:rPr>
          <w:noProof/>
        </w:rPr>
        <w:t>Labelling and information asymmetry</w:t>
      </w:r>
    </w:p>
    <w:p w:rsidR="00913429" w:rsidRDefault="00E143F0">
      <w:pPr>
        <w:numPr>
          <w:ilvl w:val="0"/>
          <w:numId w:val="96"/>
        </w:numPr>
        <w:spacing w:after="60" w:line="240" w:lineRule="auto"/>
        <w:rPr>
          <w:noProof/>
        </w:rPr>
      </w:pPr>
      <w:r>
        <w:rPr>
          <w:noProof/>
        </w:rPr>
        <w:t>Po</w:t>
      </w:r>
      <w:r>
        <w:rPr>
          <w:noProof/>
        </w:rPr>
        <w:t>licy Option 1: Non-legislative “Soft-law” measures</w:t>
      </w:r>
    </w:p>
    <w:p w:rsidR="00913429" w:rsidRDefault="00E143F0">
      <w:pPr>
        <w:numPr>
          <w:ilvl w:val="0"/>
          <w:numId w:val="96"/>
        </w:numPr>
        <w:spacing w:after="60" w:line="240" w:lineRule="auto"/>
        <w:rPr>
          <w:noProof/>
        </w:rPr>
      </w:pPr>
      <w:r>
        <w:rPr>
          <w:noProof/>
        </w:rPr>
        <w:t>Policy Option 2: EU legislative act to extend SOG-IS agreement to all MS</w:t>
      </w:r>
    </w:p>
    <w:p w:rsidR="00913429" w:rsidRDefault="00E143F0">
      <w:pPr>
        <w:numPr>
          <w:ilvl w:val="0"/>
          <w:numId w:val="96"/>
        </w:numPr>
        <w:spacing w:after="60" w:line="240" w:lineRule="auto"/>
        <w:rPr>
          <w:noProof/>
        </w:rPr>
      </w:pPr>
      <w:r>
        <w:rPr>
          <w:noProof/>
        </w:rPr>
        <w:t>Policy Option 3: EU general ICT security certification and labelling framework</w:t>
      </w:r>
    </w:p>
    <w:p w:rsidR="00913429" w:rsidRDefault="00E143F0">
      <w:pPr>
        <w:numPr>
          <w:ilvl w:val="0"/>
          <w:numId w:val="96"/>
        </w:numPr>
        <w:spacing w:after="60" w:line="240" w:lineRule="auto"/>
        <w:rPr>
          <w:noProof/>
        </w:rPr>
      </w:pPr>
      <w:r>
        <w:rPr>
          <w:noProof/>
        </w:rPr>
        <w:t>Institutional costs</w:t>
      </w:r>
    </w:p>
    <w:p w:rsidR="00913429" w:rsidRDefault="00913429">
      <w:pPr>
        <w:spacing w:after="120"/>
        <w:rPr>
          <w:noProof/>
        </w:rPr>
      </w:pPr>
    </w:p>
    <w:p w:rsidR="00913429" w:rsidRDefault="00E143F0">
      <w:pPr>
        <w:keepNext/>
        <w:keepLines/>
        <w:spacing w:after="120" w:line="240" w:lineRule="auto"/>
        <w:outlineLvl w:val="3"/>
        <w:rPr>
          <w:rFonts w:eastAsia="SimHei"/>
          <w:bCs/>
          <w:i/>
          <w:iCs/>
          <w:noProof/>
          <w:color w:val="DC6900"/>
          <w:sz w:val="22"/>
          <w:szCs w:val="22"/>
        </w:rPr>
      </w:pPr>
      <w:r>
        <w:rPr>
          <w:rFonts w:eastAsia="SimHei"/>
          <w:bCs/>
          <w:i/>
          <w:iCs/>
          <w:noProof/>
          <w:color w:val="DC6900"/>
          <w:sz w:val="22"/>
          <w:szCs w:val="22"/>
        </w:rPr>
        <w:t>5.1 Evidence of fragmentation</w:t>
      </w:r>
    </w:p>
    <w:p w:rsidR="00913429" w:rsidRDefault="00E143F0">
      <w:pPr>
        <w:spacing w:after="160" w:line="259" w:lineRule="auto"/>
        <w:jc w:val="both"/>
        <w:rPr>
          <w:rFonts w:eastAsia="Calibri"/>
          <w:noProof/>
          <w:color w:val="000000"/>
          <w:sz w:val="22"/>
          <w:szCs w:val="22"/>
        </w:rPr>
      </w:pPr>
      <w:r>
        <w:rPr>
          <w:rFonts w:eastAsia="Calibri"/>
          <w:noProof/>
          <w:color w:val="000000"/>
          <w:sz w:val="22"/>
          <w:szCs w:val="22"/>
        </w:rPr>
        <w:t xml:space="preserve">Interview data gathering activities provided key examples of fragmentation of ICT Security Certification across Europe pinpointing what are the cross-border trade challenges the industry must face when entering the market of several EU countries. </w:t>
      </w:r>
    </w:p>
    <w:p w:rsidR="00913429" w:rsidRDefault="00E143F0">
      <w:pPr>
        <w:spacing w:after="160" w:line="259" w:lineRule="auto"/>
        <w:jc w:val="both"/>
        <w:rPr>
          <w:rFonts w:eastAsia="Times New Roman" w:cs="Tahoma"/>
          <w:noProof/>
          <w:color w:val="000000" w:themeColor="text1"/>
          <w:sz w:val="22"/>
          <w:szCs w:val="22"/>
          <w:lang w:eastAsia="it-IT"/>
        </w:rPr>
      </w:pPr>
      <w:r>
        <w:rPr>
          <w:rFonts w:eastAsia="Times New Roman" w:cs="Tahoma"/>
          <w:noProof/>
          <w:color w:val="000000"/>
          <w:sz w:val="22"/>
          <w:szCs w:val="22"/>
          <w:lang w:eastAsia="it-IT"/>
        </w:rPr>
        <w:t>Represen</w:t>
      </w:r>
      <w:r>
        <w:rPr>
          <w:rFonts w:eastAsia="Times New Roman" w:cs="Tahoma"/>
          <w:noProof/>
          <w:color w:val="000000"/>
          <w:sz w:val="22"/>
          <w:szCs w:val="22"/>
          <w:lang w:eastAsia="it-IT"/>
        </w:rPr>
        <w:t>tatives from smart meters industry provided a position on fragmentation in the field of smart metering products, which is worth reporting: “</w:t>
      </w:r>
      <w:r>
        <w:rPr>
          <w:rFonts w:eastAsia="Times New Roman" w:cs="Tahoma"/>
          <w:i/>
          <w:noProof/>
          <w:color w:val="000000"/>
          <w:sz w:val="22"/>
          <w:szCs w:val="22"/>
          <w:lang w:eastAsia="it-IT"/>
        </w:rPr>
        <w:t>If the question is: Are there countries that accept each other certificates? The answer is no</w:t>
      </w:r>
      <w:r>
        <w:rPr>
          <w:rFonts w:eastAsia="Times New Roman" w:cs="Tahoma"/>
          <w:noProof/>
          <w:color w:val="000000"/>
          <w:sz w:val="22"/>
          <w:szCs w:val="22"/>
          <w:lang w:eastAsia="it-IT"/>
        </w:rPr>
        <w:t>”. As example, it has b</w:t>
      </w:r>
      <w:r>
        <w:rPr>
          <w:rFonts w:eastAsia="Times New Roman" w:cs="Tahoma"/>
          <w:noProof/>
          <w:color w:val="000000"/>
          <w:sz w:val="22"/>
          <w:szCs w:val="22"/>
          <w:lang w:eastAsia="it-IT"/>
        </w:rPr>
        <w:t>een explained that there are currently three certification for smart-meters in three countries. In the UK, the certification scheme is called the CPA (Commercial Product Assurance), which is a scheme applied for smart-meters but also for other products. In</w:t>
      </w:r>
      <w:r>
        <w:rPr>
          <w:rFonts w:eastAsia="Times New Roman" w:cs="Tahoma"/>
          <w:noProof/>
          <w:color w:val="000000"/>
          <w:sz w:val="22"/>
          <w:szCs w:val="22"/>
          <w:lang w:eastAsia="it-IT"/>
        </w:rPr>
        <w:t xml:space="preserve"> France they have the CSPN (Certification de Sécurité de Premier Niveau) certification scheme and in Germany they have their own protection profile based on Common Criteria. </w:t>
      </w:r>
      <w:r>
        <w:rPr>
          <w:rFonts w:cs="Arial"/>
          <w:noProof/>
          <w:color w:val="000000"/>
          <w:sz w:val="22"/>
          <w:szCs w:val="22"/>
          <w:shd w:val="clear" w:color="auto" w:fill="FFFFFF"/>
        </w:rPr>
        <w:t xml:space="preserve">There are also national communications infrastructure for </w:t>
      </w:r>
      <w:r>
        <w:rPr>
          <w:rFonts w:eastAsia="Times New Roman" w:cs="Tahoma"/>
          <w:noProof/>
          <w:color w:val="000000"/>
          <w:sz w:val="22"/>
          <w:szCs w:val="22"/>
          <w:lang w:eastAsia="it-IT"/>
        </w:rPr>
        <w:t>devices connected to sma</w:t>
      </w:r>
      <w:r>
        <w:rPr>
          <w:rFonts w:eastAsia="Times New Roman" w:cs="Tahoma"/>
          <w:noProof/>
          <w:color w:val="000000"/>
          <w:sz w:val="22"/>
          <w:szCs w:val="22"/>
          <w:lang w:eastAsia="it-IT"/>
        </w:rPr>
        <w:t xml:space="preserve">rt-meters including </w:t>
      </w:r>
      <w:r>
        <w:rPr>
          <w:rFonts w:cs="Arial"/>
          <w:noProof/>
          <w:color w:val="000000"/>
          <w:sz w:val="22"/>
          <w:szCs w:val="22"/>
          <w:shd w:val="clear" w:color="auto" w:fill="FFFFFF"/>
        </w:rPr>
        <w:t xml:space="preserve">interfaces with the different stakeholders involved such as the German Smart Meter Gateway </w:t>
      </w:r>
      <w:r>
        <w:rPr>
          <w:rFonts w:eastAsia="Times New Roman" w:cs="Tahoma"/>
          <w:noProof/>
          <w:color w:val="000000"/>
          <w:sz w:val="22"/>
          <w:szCs w:val="22"/>
          <w:lang w:eastAsia="it-IT"/>
        </w:rPr>
        <w:t xml:space="preserve">and in the UK the so-called “Communication Hub”. </w:t>
      </w:r>
      <w:r>
        <w:rPr>
          <w:rFonts w:eastAsia="Times New Roman" w:cs="Tahoma"/>
          <w:noProof/>
          <w:color w:val="000000" w:themeColor="text1"/>
          <w:sz w:val="22"/>
          <w:szCs w:val="22"/>
          <w:lang w:eastAsia="it-IT"/>
        </w:rPr>
        <w:t>These are all examples where additional certification requirements are needed for a vendor to ac</w:t>
      </w:r>
      <w:r>
        <w:rPr>
          <w:rFonts w:eastAsia="Times New Roman" w:cs="Tahoma"/>
          <w:noProof/>
          <w:color w:val="000000" w:themeColor="text1"/>
          <w:sz w:val="22"/>
          <w:szCs w:val="22"/>
          <w:lang w:eastAsia="it-IT"/>
        </w:rPr>
        <w:t>cess the market of these countries.</w:t>
      </w:r>
    </w:p>
    <w:p w:rsidR="00913429" w:rsidRDefault="00E143F0">
      <w:pPr>
        <w:jc w:val="both"/>
        <w:rPr>
          <w:rFonts w:eastAsia="Times New Roman" w:cs="Tahoma"/>
          <w:noProof/>
          <w:color w:val="000000" w:themeColor="text1"/>
          <w:sz w:val="22"/>
          <w:szCs w:val="22"/>
          <w:lang w:eastAsia="it-IT"/>
        </w:rPr>
      </w:pPr>
      <w:r>
        <w:rPr>
          <w:rFonts w:eastAsia="Times New Roman" w:cs="Tahoma"/>
          <w:noProof/>
          <w:color w:val="000000" w:themeColor="text1"/>
          <w:sz w:val="22"/>
          <w:szCs w:val="22"/>
          <w:lang w:eastAsia="it-IT"/>
        </w:rPr>
        <w:t xml:space="preserve">Specific examples of fragmentation are widespread. For instance in the field of VPNs related network products, although VPNs are certified against a “collaborative” protection profile (cPP), meaning that the PP has been </w:t>
      </w:r>
      <w:r>
        <w:rPr>
          <w:rFonts w:eastAsia="Times New Roman" w:cs="Tahoma"/>
          <w:noProof/>
          <w:color w:val="000000" w:themeColor="text1"/>
          <w:sz w:val="22"/>
          <w:szCs w:val="22"/>
          <w:lang w:eastAsia="it-IT"/>
        </w:rPr>
        <w:t>harmonized with International Mutual Recognition Arrangement, vendors wanting to access the French market have to undergo the additional CSPN certification process (and in some cases a completely new common criteria evaluation). This means that the VPNs re</w:t>
      </w:r>
      <w:r>
        <w:rPr>
          <w:rFonts w:eastAsia="Times New Roman" w:cs="Tahoma"/>
          <w:noProof/>
          <w:color w:val="000000" w:themeColor="text1"/>
          <w:sz w:val="22"/>
          <w:szCs w:val="22"/>
          <w:lang w:eastAsia="it-IT"/>
        </w:rPr>
        <w:t>quirements must be certified through national approval which in the French case will last from 6 to 9 month and the costs are estimated to around 80k euros as well as the EU approval process which is free of charge but takes 2 months to be completed.</w:t>
      </w:r>
    </w:p>
    <w:p w:rsidR="00913429" w:rsidRDefault="00E143F0">
      <w:pPr>
        <w:jc w:val="both"/>
        <w:rPr>
          <w:rFonts w:eastAsia="Times New Roman" w:cs="Tahoma"/>
          <w:noProof/>
          <w:color w:val="000000" w:themeColor="text1"/>
          <w:sz w:val="22"/>
          <w:szCs w:val="22"/>
          <w:lang w:eastAsia="it-IT"/>
        </w:rPr>
      </w:pPr>
      <w:r>
        <w:rPr>
          <w:rFonts w:eastAsia="Times New Roman" w:cs="Tahoma"/>
          <w:noProof/>
          <w:color w:val="000000" w:themeColor="text1"/>
          <w:sz w:val="22"/>
          <w:szCs w:val="22"/>
          <w:lang w:eastAsia="it-IT"/>
        </w:rPr>
        <w:t>Marke</w:t>
      </w:r>
      <w:r>
        <w:rPr>
          <w:rFonts w:eastAsia="Times New Roman" w:cs="Tahoma"/>
          <w:noProof/>
          <w:color w:val="000000" w:themeColor="text1"/>
          <w:sz w:val="22"/>
          <w:szCs w:val="22"/>
          <w:lang w:eastAsia="it-IT"/>
        </w:rPr>
        <w:t>t fragmentation within the EU exists even for trust service products, which have been certified against US FIPS certification schemes. For Hard Security Modules initial certification of the crypto module acquired through the American FIPS), and the SOGIS m</w:t>
      </w:r>
      <w:r>
        <w:rPr>
          <w:rFonts w:eastAsia="Times New Roman" w:cs="Tahoma"/>
          <w:noProof/>
          <w:color w:val="000000" w:themeColor="text1"/>
          <w:sz w:val="22"/>
          <w:szCs w:val="22"/>
          <w:lang w:eastAsia="it-IT"/>
        </w:rPr>
        <w:t xml:space="preserve">embers, via CEN, request for additional Common Criteria certificates with related vulnerability analysis. Some </w:t>
      </w:r>
      <w:r>
        <w:rPr>
          <w:rFonts w:eastAsia="Times New Roman" w:cs="Tahoma"/>
          <w:noProof/>
          <w:color w:val="000000" w:themeColor="text1"/>
          <w:sz w:val="22"/>
          <w:szCs w:val="22"/>
          <w:lang w:eastAsia="it-IT"/>
        </w:rPr>
        <w:lastRenderedPageBreak/>
        <w:t>European countries accept FIPS certifications for electronic signature products as equivalent to Common Criteria certified, yet other certify the</w:t>
      </w:r>
      <w:r>
        <w:rPr>
          <w:rFonts w:eastAsia="Times New Roman" w:cs="Tahoma"/>
          <w:noProof/>
          <w:color w:val="000000" w:themeColor="text1"/>
          <w:sz w:val="22"/>
          <w:szCs w:val="22"/>
          <w:lang w:eastAsia="it-IT"/>
        </w:rPr>
        <w:t>ir products exclusively through the CC. The share of products certified with both systems, therefore allowing the vendor to sell its product in both US and European markets is even narrower.</w:t>
      </w:r>
    </w:p>
    <w:p w:rsidR="00913429" w:rsidRDefault="00E143F0">
      <w:pPr>
        <w:spacing w:after="160" w:line="259" w:lineRule="auto"/>
        <w:jc w:val="both"/>
        <w:rPr>
          <w:rFonts w:eastAsia="Calibri"/>
          <w:noProof/>
          <w:color w:val="000000"/>
          <w:sz w:val="22"/>
          <w:szCs w:val="22"/>
        </w:rPr>
      </w:pPr>
      <w:r>
        <w:rPr>
          <w:rFonts w:eastAsia="Calibri"/>
          <w:noProof/>
          <w:color w:val="000000"/>
          <w:sz w:val="22"/>
          <w:szCs w:val="22"/>
        </w:rPr>
        <w:t>Additionally for SSCD products, there are examples in SOGIS Membe</w:t>
      </w:r>
      <w:r>
        <w:rPr>
          <w:rFonts w:eastAsia="Calibri"/>
          <w:noProof/>
          <w:color w:val="000000"/>
          <w:sz w:val="22"/>
          <w:szCs w:val="22"/>
        </w:rPr>
        <w:t>r States where the original common criteria certification is not sufficient for national needs and the product has to undergo again the certification process of that country.</w:t>
      </w:r>
    </w:p>
    <w:p w:rsidR="00913429" w:rsidRDefault="00E143F0">
      <w:pPr>
        <w:jc w:val="both"/>
        <w:rPr>
          <w:rFonts w:eastAsia="Calibri"/>
          <w:noProof/>
          <w:color w:val="000000"/>
          <w:sz w:val="22"/>
          <w:szCs w:val="22"/>
        </w:rPr>
      </w:pPr>
      <w:r>
        <w:rPr>
          <w:rFonts w:eastAsia="Calibri"/>
          <w:noProof/>
          <w:color w:val="000000"/>
          <w:sz w:val="22"/>
          <w:szCs w:val="22"/>
        </w:rPr>
        <w:t>Respondents from National ICT Certification Authority pointed out the fact that f</w:t>
      </w:r>
      <w:r>
        <w:rPr>
          <w:rFonts w:eastAsia="Calibri"/>
          <w:noProof/>
          <w:color w:val="000000"/>
          <w:sz w:val="22"/>
          <w:szCs w:val="22"/>
        </w:rPr>
        <w:t>ragmentation may exist even within the same country. This may happen as in the case of Italy, where procurement requirements may be established by administrative subject with a fair degree of autonomy. There is also a second example. In Italy, a public loc</w:t>
      </w:r>
      <w:r>
        <w:rPr>
          <w:rFonts w:eastAsia="Calibri"/>
          <w:noProof/>
          <w:color w:val="000000"/>
          <w:sz w:val="22"/>
          <w:szCs w:val="22"/>
        </w:rPr>
        <w:t>al authority (Provincia di Trento), in a public procurement procedure</w:t>
      </w:r>
      <w:r>
        <w:rPr>
          <w:rFonts w:eastAsia="Calibri"/>
          <w:noProof/>
          <w:color w:val="000000"/>
          <w:sz w:val="22"/>
          <w:szCs w:val="22"/>
          <w:vertAlign w:val="superscript"/>
        </w:rPr>
        <w:footnoteReference w:id="1"/>
      </w:r>
      <w:r>
        <w:rPr>
          <w:rFonts w:eastAsia="Calibri"/>
          <w:noProof/>
          <w:color w:val="000000"/>
          <w:sz w:val="22"/>
          <w:szCs w:val="22"/>
        </w:rPr>
        <w:t xml:space="preserve"> has recommended the security certification of a video surveillance system according to Common Criteria (low assurance, i.e., EAL 1). Duration and costs of this security certification can be estimated in about 6 months and 20K euros. </w:t>
      </w:r>
    </w:p>
    <w:p w:rsidR="00913429" w:rsidRDefault="00E143F0">
      <w:pPr>
        <w:jc w:val="both"/>
        <w:rPr>
          <w:rFonts w:eastAsia="Times New Roman" w:cs="Tahoma"/>
          <w:noProof/>
          <w:color w:val="000000"/>
          <w:sz w:val="22"/>
          <w:szCs w:val="22"/>
          <w:lang w:eastAsia="it-IT"/>
        </w:rPr>
      </w:pPr>
      <w:r>
        <w:rPr>
          <w:noProof/>
          <w:sz w:val="22"/>
        </w:rPr>
        <w:t>The interviewees</w:t>
      </w:r>
      <w:r>
        <w:rPr>
          <w:rFonts w:eastAsia="Calibri"/>
          <w:noProof/>
          <w:color w:val="000000"/>
          <w:sz w:val="24"/>
          <w:szCs w:val="22"/>
        </w:rPr>
        <w:t xml:space="preserve"> </w:t>
      </w:r>
      <w:r>
        <w:rPr>
          <w:rFonts w:eastAsia="Calibri"/>
          <w:noProof/>
          <w:color w:val="000000"/>
          <w:sz w:val="22"/>
          <w:szCs w:val="22"/>
        </w:rPr>
        <w:t>from</w:t>
      </w:r>
      <w:r>
        <w:rPr>
          <w:rFonts w:eastAsia="Calibri"/>
          <w:noProof/>
          <w:color w:val="000000"/>
          <w:sz w:val="22"/>
          <w:szCs w:val="22"/>
        </w:rPr>
        <w:t xml:space="preserve"> smart meters industry provided some concerns on the future scenario of multiplication of national certification schemes for what concerns the industry of smart-metering if no action is taken. </w:t>
      </w:r>
      <w:r>
        <w:rPr>
          <w:rFonts w:eastAsia="Times New Roman" w:cs="Tahoma"/>
          <w:noProof/>
          <w:color w:val="000000"/>
          <w:sz w:val="22"/>
          <w:szCs w:val="22"/>
          <w:lang w:eastAsia="it-IT"/>
        </w:rPr>
        <w:t xml:space="preserve">If MS continue not to accept each other Certification schemes, </w:t>
      </w:r>
      <w:r>
        <w:rPr>
          <w:rFonts w:eastAsia="Times New Roman" w:cs="Tahoma"/>
          <w:noProof/>
          <w:color w:val="000000"/>
          <w:sz w:val="22"/>
          <w:szCs w:val="22"/>
          <w:lang w:eastAsia="it-IT"/>
        </w:rPr>
        <w:t>each MS will continue to improve its own Certification scheme and this could create a strong legacy making harmonisation more difficult. Furthermore, such fragmentation is also happening on the evaluation side. There are only limited number of Conformity A</w:t>
      </w:r>
      <w:r>
        <w:rPr>
          <w:rFonts w:eastAsia="Times New Roman" w:cs="Tahoma"/>
          <w:noProof/>
          <w:color w:val="000000"/>
          <w:sz w:val="22"/>
          <w:szCs w:val="22"/>
          <w:lang w:eastAsia="it-IT"/>
        </w:rPr>
        <w:t xml:space="preserve">ssessment Body that are able to certify against the requirements of different schemes. In this way, additional market entry barrier are created. The interviewers explained that the single most important barrier to trade for the smart metering industry are </w:t>
      </w:r>
      <w:r>
        <w:rPr>
          <w:rFonts w:eastAsia="Times New Roman" w:cs="Tahoma"/>
          <w:noProof/>
          <w:color w:val="000000"/>
          <w:sz w:val="22"/>
          <w:szCs w:val="22"/>
          <w:lang w:eastAsia="it-IT"/>
        </w:rPr>
        <w:t>the costs for certification. Without specifying better the unit of analysis, the respondent stated that the cost of certification is about 1 million and the SMEs are out of this gain. In Germany, only one of the biggest smart-metering companies is starting</w:t>
      </w:r>
      <w:r>
        <w:rPr>
          <w:rFonts w:eastAsia="Times New Roman" w:cs="Tahoma"/>
          <w:noProof/>
          <w:color w:val="000000"/>
          <w:sz w:val="22"/>
          <w:szCs w:val="22"/>
          <w:lang w:eastAsia="it-IT"/>
        </w:rPr>
        <w:t xml:space="preserve"> a certification to enter other markets and all the other companies are present only in the German market”.</w:t>
      </w:r>
    </w:p>
    <w:p w:rsidR="00913429" w:rsidRDefault="00E143F0">
      <w:pPr>
        <w:keepNext/>
        <w:keepLines/>
        <w:spacing w:after="120" w:line="240" w:lineRule="auto"/>
        <w:outlineLvl w:val="3"/>
        <w:rPr>
          <w:rFonts w:eastAsia="SimHei"/>
          <w:bCs/>
          <w:i/>
          <w:iCs/>
          <w:noProof/>
          <w:color w:val="DC6900"/>
          <w:sz w:val="22"/>
          <w:szCs w:val="22"/>
        </w:rPr>
      </w:pPr>
      <w:r>
        <w:rPr>
          <w:rFonts w:eastAsia="SimHei"/>
          <w:bCs/>
          <w:i/>
          <w:iCs/>
          <w:noProof/>
          <w:color w:val="DC6900"/>
          <w:sz w:val="22"/>
          <w:szCs w:val="22"/>
        </w:rPr>
        <w:t>5.2 Labelling and information asymmetry</w:t>
      </w:r>
    </w:p>
    <w:p w:rsidR="00913429" w:rsidRDefault="00E143F0">
      <w:pPr>
        <w:jc w:val="both"/>
        <w:rPr>
          <w:noProof/>
          <w:color w:val="000000"/>
          <w:sz w:val="22"/>
          <w:szCs w:val="22"/>
        </w:rPr>
      </w:pPr>
      <w:r>
        <w:rPr>
          <w:noProof/>
          <w:color w:val="000000"/>
          <w:sz w:val="22"/>
          <w:szCs w:val="22"/>
        </w:rPr>
        <w:t>Interviewees from several interviews addressed the issue of information asymmetry.  For Semiconductors indus</w:t>
      </w:r>
      <w:r>
        <w:rPr>
          <w:noProof/>
          <w:color w:val="000000"/>
          <w:sz w:val="22"/>
          <w:szCs w:val="22"/>
        </w:rPr>
        <w:t>try representatives the situation is today polarised between products for public security and consumers’ product. For the former certification is long and costly and only the big company can manage such processes. At consumers’ product level the requiremen</w:t>
      </w:r>
      <w:r>
        <w:rPr>
          <w:noProof/>
          <w:color w:val="000000"/>
          <w:sz w:val="22"/>
          <w:szCs w:val="22"/>
        </w:rPr>
        <w:t xml:space="preserve">ts are lighter, but what is currently needed are solutions that are in between these two extremes. Currently, there is also the need to raise awareness about the importance of security using some forms of labelling schemes. On the other hand, according to </w:t>
      </w:r>
      <w:r>
        <w:rPr>
          <w:noProof/>
          <w:color w:val="000000"/>
          <w:sz w:val="22"/>
          <w:szCs w:val="22"/>
        </w:rPr>
        <w:t xml:space="preserve">some respondents the market problem is not one of fragmentation but rather of awareness and demand. </w:t>
      </w:r>
    </w:p>
    <w:p w:rsidR="00913429" w:rsidRDefault="00E143F0">
      <w:pPr>
        <w:jc w:val="both"/>
        <w:rPr>
          <w:noProof/>
          <w:color w:val="000000"/>
          <w:sz w:val="22"/>
          <w:szCs w:val="22"/>
        </w:rPr>
      </w:pPr>
      <w:r>
        <w:rPr>
          <w:noProof/>
          <w:color w:val="000000"/>
          <w:sz w:val="22"/>
          <w:szCs w:val="22"/>
        </w:rPr>
        <w:t>For Semiconductors industry representatives it is paramount to distinguish customers from users when trying to assess whether there is an information asymm</w:t>
      </w:r>
      <w:r>
        <w:rPr>
          <w:noProof/>
          <w:color w:val="000000"/>
          <w:sz w:val="22"/>
          <w:szCs w:val="22"/>
        </w:rPr>
        <w:t>etry with behavioural impacts. The final consumer is not well informed on the security properties of ICT products/services, this is due to a lack of awareness due to absent labelling. From the point of view of industry and government customers, the informa</w:t>
      </w:r>
      <w:r>
        <w:rPr>
          <w:noProof/>
          <w:color w:val="000000"/>
          <w:sz w:val="22"/>
          <w:szCs w:val="22"/>
        </w:rPr>
        <w:t>tion in labelling schemes is likely to have an impact on its behaviour and purchases. An example can be found in cable TV that need to be connected to a router for internet connections, these products do not respond to specific security requirements and ar</w:t>
      </w:r>
      <w:r>
        <w:rPr>
          <w:noProof/>
          <w:color w:val="000000"/>
          <w:sz w:val="22"/>
          <w:szCs w:val="22"/>
        </w:rPr>
        <w:t>e vulnerable to hacker attacks. On the other hand, consumers are not aware of this kind of deficiencies, so they continue buying products without considering security requirements.</w:t>
      </w:r>
    </w:p>
    <w:p w:rsidR="00913429" w:rsidRDefault="00E143F0">
      <w:pPr>
        <w:spacing w:after="0" w:line="259" w:lineRule="auto"/>
        <w:jc w:val="both"/>
        <w:rPr>
          <w:rFonts w:eastAsia="Times New Roman" w:cs="Tahoma"/>
          <w:noProof/>
          <w:color w:val="000000"/>
          <w:sz w:val="22"/>
          <w:szCs w:val="22"/>
          <w:lang w:eastAsia="it-IT"/>
        </w:rPr>
      </w:pPr>
      <w:r>
        <w:rPr>
          <w:rFonts w:eastAsia="Times New Roman" w:cs="Tahoma"/>
          <w:noProof/>
          <w:color w:val="000000"/>
          <w:sz w:val="22"/>
          <w:szCs w:val="22"/>
          <w:lang w:eastAsia="it-IT"/>
        </w:rPr>
        <w:lastRenderedPageBreak/>
        <w:t xml:space="preserve">According to </w:t>
      </w:r>
      <w:r>
        <w:rPr>
          <w:rFonts w:eastAsia="Calibri"/>
          <w:noProof/>
          <w:color w:val="000000"/>
          <w:sz w:val="22"/>
          <w:szCs w:val="22"/>
        </w:rPr>
        <w:t xml:space="preserve">Smart meters industry </w:t>
      </w:r>
      <w:r>
        <w:rPr>
          <w:rFonts w:eastAsia="Times New Roman" w:cs="Tahoma"/>
          <w:noProof/>
          <w:color w:val="000000"/>
          <w:sz w:val="22"/>
          <w:szCs w:val="22"/>
          <w:lang w:eastAsia="it-IT"/>
        </w:rPr>
        <w:t>representatives the situation on informa</w:t>
      </w:r>
      <w:r>
        <w:rPr>
          <w:rFonts w:eastAsia="Times New Roman" w:cs="Tahoma"/>
          <w:noProof/>
          <w:color w:val="000000"/>
          <w:sz w:val="22"/>
          <w:szCs w:val="22"/>
          <w:lang w:eastAsia="it-IT"/>
        </w:rPr>
        <w:t xml:space="preserve">tion asymmetry is different if we consider business-to-business products. The suppliers buy millions of meters and they of course have good understanding of security specifications of the products and in this domain labelling would not be of much use. </w:t>
      </w:r>
    </w:p>
    <w:p w:rsidR="00913429" w:rsidRDefault="00913429">
      <w:pPr>
        <w:spacing w:after="0" w:line="259" w:lineRule="auto"/>
        <w:jc w:val="both"/>
        <w:rPr>
          <w:rFonts w:eastAsia="Times New Roman" w:cs="Tahoma"/>
          <w:noProof/>
          <w:color w:val="000000"/>
          <w:sz w:val="22"/>
          <w:szCs w:val="22"/>
          <w:lang w:eastAsia="it-IT"/>
        </w:rPr>
      </w:pPr>
    </w:p>
    <w:p w:rsidR="00913429" w:rsidRDefault="00E143F0">
      <w:pPr>
        <w:spacing w:after="0" w:line="259" w:lineRule="auto"/>
        <w:jc w:val="both"/>
        <w:rPr>
          <w:rFonts w:eastAsia="Times New Roman" w:cs="Tahoma"/>
          <w:noProof/>
          <w:color w:val="000000"/>
          <w:sz w:val="22"/>
          <w:szCs w:val="22"/>
          <w:lang w:eastAsia="it-IT"/>
        </w:rPr>
      </w:pPr>
      <w:r>
        <w:rPr>
          <w:rFonts w:eastAsia="Times New Roman" w:cs="Tahoma"/>
          <w:noProof/>
          <w:color w:val="000000"/>
          <w:sz w:val="22"/>
          <w:szCs w:val="22"/>
          <w:lang w:eastAsia="it-IT"/>
        </w:rPr>
        <w:t>On</w:t>
      </w:r>
      <w:r>
        <w:rPr>
          <w:rFonts w:eastAsia="Times New Roman" w:cs="Tahoma"/>
          <w:noProof/>
          <w:color w:val="000000"/>
          <w:sz w:val="22"/>
          <w:szCs w:val="22"/>
          <w:lang w:eastAsia="it-IT"/>
        </w:rPr>
        <w:t xml:space="preserve"> the other hand, labelling and other means to reduce information asymmetry are important to increase trust in the public and the government should be very interested in this topic. The public opinion is more concentrate on privacy issues (e.g. personal dat</w:t>
      </w:r>
      <w:r>
        <w:rPr>
          <w:rFonts w:eastAsia="Times New Roman" w:cs="Tahoma"/>
          <w:noProof/>
          <w:color w:val="000000"/>
          <w:sz w:val="22"/>
          <w:szCs w:val="22"/>
          <w:lang w:eastAsia="it-IT"/>
        </w:rPr>
        <w:t>a). For smart-meters, in UK, there is a display connected to the meters and consumers can simply read data on this display. There are devices connected with meters and you could be connected to the meters and read data where you want. The consumer decision</w:t>
      </w:r>
      <w:r>
        <w:rPr>
          <w:rFonts w:eastAsia="Times New Roman" w:cs="Tahoma"/>
          <w:noProof/>
          <w:color w:val="000000"/>
          <w:sz w:val="22"/>
          <w:szCs w:val="22"/>
          <w:lang w:eastAsia="it-IT"/>
        </w:rPr>
        <w:t xml:space="preserve"> to buy a product is often on the utility of the product. You should differentiate what products/device needs to be certified and what devices needs to be labelled.</w:t>
      </w:r>
    </w:p>
    <w:p w:rsidR="00913429" w:rsidRDefault="00913429">
      <w:pPr>
        <w:spacing w:after="0" w:line="259" w:lineRule="auto"/>
        <w:jc w:val="both"/>
        <w:rPr>
          <w:rFonts w:eastAsia="Times New Roman" w:cs="Tahoma"/>
          <w:noProof/>
          <w:color w:val="ED7D31"/>
          <w:sz w:val="22"/>
          <w:szCs w:val="22"/>
          <w:lang w:eastAsia="it-IT"/>
        </w:rPr>
      </w:pPr>
    </w:p>
    <w:p w:rsidR="00913429" w:rsidRDefault="00E143F0">
      <w:pPr>
        <w:keepNext/>
        <w:keepLines/>
        <w:numPr>
          <w:ilvl w:val="1"/>
          <w:numId w:val="97"/>
        </w:numPr>
        <w:spacing w:line="240" w:lineRule="auto"/>
        <w:outlineLvl w:val="3"/>
        <w:rPr>
          <w:rFonts w:eastAsia="SimHei"/>
          <w:bCs/>
          <w:i/>
          <w:iCs/>
          <w:noProof/>
          <w:color w:val="DC6900"/>
          <w:sz w:val="24"/>
          <w:szCs w:val="24"/>
        </w:rPr>
      </w:pPr>
      <w:r>
        <w:rPr>
          <w:rFonts w:eastAsia="SimHei"/>
          <w:bCs/>
          <w:i/>
          <w:iCs/>
          <w:noProof/>
          <w:color w:val="DC6900"/>
          <w:sz w:val="24"/>
          <w:szCs w:val="24"/>
        </w:rPr>
        <w:t>Policy Option 1: Non-legislative “Soft-law” measures</w:t>
      </w:r>
    </w:p>
    <w:p w:rsidR="00913429" w:rsidRDefault="00E143F0">
      <w:pPr>
        <w:spacing w:after="160" w:line="259" w:lineRule="auto"/>
        <w:jc w:val="both"/>
        <w:rPr>
          <w:rFonts w:cs="Georgia"/>
          <w:noProof/>
          <w:color w:val="000000"/>
          <w:sz w:val="22"/>
          <w:szCs w:val="22"/>
          <w:lang w:eastAsia="it-IT"/>
        </w:rPr>
      </w:pPr>
      <w:r>
        <w:rPr>
          <w:rFonts w:cs="Georgia"/>
          <w:noProof/>
          <w:color w:val="000000"/>
          <w:sz w:val="22"/>
          <w:szCs w:val="22"/>
          <w:lang w:eastAsia="it-IT"/>
        </w:rPr>
        <w:t xml:space="preserve">Whilst some interviewees explained </w:t>
      </w:r>
      <w:r>
        <w:rPr>
          <w:rFonts w:cs="Georgia"/>
          <w:noProof/>
          <w:color w:val="000000"/>
          <w:sz w:val="22"/>
          <w:szCs w:val="22"/>
          <w:lang w:eastAsia="it-IT"/>
        </w:rPr>
        <w:t>that voluntary labelling schemes and other non-legislative measures may provide some benefits to the industry, this policy option does not stands on its own feet as a way to address the main concerns of market fragmentation and information asymmetry.</w:t>
      </w:r>
    </w:p>
    <w:p w:rsidR="00913429" w:rsidRDefault="00E143F0">
      <w:pPr>
        <w:spacing w:after="160" w:line="259" w:lineRule="auto"/>
        <w:jc w:val="both"/>
        <w:rPr>
          <w:rFonts w:cs="Georgia"/>
          <w:noProof/>
          <w:color w:val="000000"/>
          <w:sz w:val="22"/>
          <w:szCs w:val="22"/>
          <w:lang w:eastAsia="it-IT"/>
        </w:rPr>
      </w:pPr>
      <w:r>
        <w:rPr>
          <w:rFonts w:cs="Georgia"/>
          <w:noProof/>
          <w:color w:val="000000"/>
          <w:sz w:val="22"/>
          <w:szCs w:val="22"/>
          <w:lang w:eastAsia="it-IT"/>
        </w:rPr>
        <w:t>On th</w:t>
      </w:r>
      <w:r>
        <w:rPr>
          <w:rFonts w:cs="Georgia"/>
          <w:noProof/>
          <w:color w:val="000000"/>
          <w:sz w:val="22"/>
          <w:szCs w:val="22"/>
          <w:lang w:eastAsia="it-IT"/>
        </w:rPr>
        <w:t>e positive note by letting the industry voluntarily put forward their own labels in coordination with public authorities it allow it to provide information to the users in a cost-efficient way.</w:t>
      </w:r>
    </w:p>
    <w:p w:rsidR="00913429" w:rsidRDefault="00E143F0">
      <w:pPr>
        <w:spacing w:after="160" w:line="259" w:lineRule="auto"/>
        <w:jc w:val="both"/>
        <w:rPr>
          <w:rFonts w:cs="Georgia"/>
          <w:noProof/>
          <w:color w:val="000000"/>
          <w:sz w:val="22"/>
          <w:szCs w:val="22"/>
          <w:lang w:eastAsia="it-IT"/>
        </w:rPr>
      </w:pPr>
      <w:r>
        <w:rPr>
          <w:rFonts w:cs="Georgia"/>
          <w:noProof/>
          <w:color w:val="000000"/>
          <w:sz w:val="22"/>
          <w:szCs w:val="22"/>
          <w:lang w:eastAsia="it-IT"/>
        </w:rPr>
        <w:t>The value of voluntary schemes and industry labelling initiati</w:t>
      </w:r>
      <w:r>
        <w:rPr>
          <w:rFonts w:cs="Georgia"/>
          <w:noProof/>
          <w:color w:val="000000"/>
          <w:sz w:val="22"/>
          <w:szCs w:val="22"/>
          <w:lang w:eastAsia="it-IT"/>
        </w:rPr>
        <w:t>ves is positive when considering the national level. Yet when considering cross-border trade of ICT products voluntary labelling approaches seem to pose additional problems. In fact, consumers may have awareness for labels existing at the national level bu</w:t>
      </w:r>
      <w:r>
        <w:rPr>
          <w:rFonts w:cs="Georgia"/>
          <w:noProof/>
          <w:color w:val="000000"/>
          <w:sz w:val="22"/>
          <w:szCs w:val="22"/>
          <w:lang w:eastAsia="it-IT"/>
        </w:rPr>
        <w:t>t less so for labels from other countries, which do not abide to a certain degree of cross-country standardisation.</w:t>
      </w:r>
    </w:p>
    <w:p w:rsidR="00913429" w:rsidRDefault="00E143F0">
      <w:pPr>
        <w:autoSpaceDE w:val="0"/>
        <w:autoSpaceDN w:val="0"/>
        <w:adjustRightInd w:val="0"/>
        <w:spacing w:after="0" w:line="240" w:lineRule="auto"/>
        <w:jc w:val="both"/>
        <w:rPr>
          <w:rFonts w:cs="Georgia"/>
          <w:noProof/>
          <w:color w:val="000000"/>
          <w:sz w:val="22"/>
          <w:szCs w:val="22"/>
          <w:lang w:eastAsia="it-IT"/>
        </w:rPr>
      </w:pPr>
      <w:r>
        <w:rPr>
          <w:rFonts w:cs="Georgia"/>
          <w:noProof/>
          <w:color w:val="000000"/>
          <w:sz w:val="22"/>
          <w:szCs w:val="22"/>
          <w:lang w:eastAsia="it-IT"/>
        </w:rPr>
        <w:t xml:space="preserve">Furthermore, voluntary labelling initiatives may avoid some market inefficiencies that arise with regulated certification schemes, </w:t>
      </w:r>
      <w:r>
        <w:rPr>
          <w:rFonts w:cs="Georgia"/>
          <w:noProof/>
          <w:color w:val="000000"/>
          <w:sz w:val="22"/>
          <w:szCs w:val="22"/>
          <w:lang w:eastAsia="it-IT"/>
        </w:rPr>
        <w:t>particularly for national or regional schemes that define standards and evaluation methodology and only recognise certain certification bodies within their own territory. Therefore, mandatory certifications which may introduce economic/administrative burde</w:t>
      </w:r>
      <w:r>
        <w:rPr>
          <w:rFonts w:cs="Georgia"/>
          <w:noProof/>
          <w:color w:val="000000"/>
          <w:sz w:val="22"/>
          <w:szCs w:val="22"/>
          <w:lang w:eastAsia="it-IT"/>
        </w:rPr>
        <w:t>ns could be limited by relying on voluntary schemes, which provide greater industry flexibility and rely on a lightweight system to demonstrate to their customers the security level of the products they market.</w:t>
      </w:r>
    </w:p>
    <w:p w:rsidR="00913429" w:rsidRDefault="00913429">
      <w:pPr>
        <w:autoSpaceDE w:val="0"/>
        <w:autoSpaceDN w:val="0"/>
        <w:adjustRightInd w:val="0"/>
        <w:spacing w:after="0" w:line="240" w:lineRule="auto"/>
        <w:jc w:val="both"/>
        <w:rPr>
          <w:rFonts w:cs="Georgia"/>
          <w:noProof/>
          <w:color w:val="000000"/>
          <w:sz w:val="22"/>
          <w:szCs w:val="22"/>
          <w:lang w:eastAsia="it-IT"/>
        </w:rPr>
      </w:pPr>
    </w:p>
    <w:p w:rsidR="00913429" w:rsidRDefault="00E143F0">
      <w:pPr>
        <w:spacing w:after="0"/>
        <w:jc w:val="both"/>
        <w:rPr>
          <w:rFonts w:cs="Georgia"/>
          <w:noProof/>
          <w:color w:val="000000"/>
          <w:sz w:val="22"/>
          <w:szCs w:val="22"/>
          <w:lang w:eastAsia="it-IT"/>
        </w:rPr>
      </w:pPr>
      <w:r>
        <w:rPr>
          <w:rFonts w:cs="Georgia"/>
          <w:noProof/>
          <w:color w:val="000000"/>
          <w:sz w:val="22"/>
          <w:szCs w:val="22"/>
          <w:lang w:eastAsia="it-IT"/>
        </w:rPr>
        <w:t>Against this background, labelling schemes w</w:t>
      </w:r>
      <w:r>
        <w:rPr>
          <w:rFonts w:cs="Georgia"/>
          <w:noProof/>
          <w:color w:val="000000"/>
          <w:sz w:val="22"/>
          <w:szCs w:val="22"/>
          <w:lang w:eastAsia="it-IT"/>
        </w:rPr>
        <w:t>ithout a sound legal and mandatory framework may lose their purpose in terms of trust and reliability. In fact, the deficiency of such non-legislative policy measures depends on the good will of the industry that adopt such measures and on the likelihood o</w:t>
      </w:r>
      <w:r>
        <w:rPr>
          <w:rFonts w:cs="Georgia"/>
          <w:noProof/>
          <w:color w:val="000000"/>
          <w:sz w:val="22"/>
          <w:szCs w:val="22"/>
          <w:lang w:eastAsia="it-IT"/>
        </w:rPr>
        <w:t xml:space="preserve">f providing trusted and reliable information to the users. </w:t>
      </w:r>
    </w:p>
    <w:p w:rsidR="00913429" w:rsidRDefault="00913429">
      <w:pPr>
        <w:spacing w:after="0"/>
        <w:jc w:val="both"/>
        <w:rPr>
          <w:rFonts w:cs="Georgia"/>
          <w:noProof/>
          <w:color w:val="000000"/>
          <w:sz w:val="22"/>
          <w:szCs w:val="22"/>
          <w:lang w:eastAsia="it-IT"/>
        </w:rPr>
      </w:pPr>
    </w:p>
    <w:p w:rsidR="00913429" w:rsidRDefault="00E143F0">
      <w:pPr>
        <w:spacing w:after="0"/>
        <w:jc w:val="both"/>
        <w:rPr>
          <w:rFonts w:cs="Georgia"/>
          <w:noProof/>
          <w:color w:val="000000"/>
          <w:sz w:val="22"/>
          <w:szCs w:val="22"/>
          <w:lang w:eastAsia="it-IT"/>
        </w:rPr>
      </w:pPr>
      <w:r>
        <w:rPr>
          <w:rFonts w:cs="Georgia"/>
          <w:noProof/>
          <w:color w:val="000000"/>
          <w:sz w:val="22"/>
          <w:szCs w:val="22"/>
          <w:lang w:eastAsia="it-IT"/>
        </w:rPr>
        <w:t>Labelling also depends on the user perception and quality of information. In fact, for the end-user such labels may lead to more confusion. If the label is too simple, the user could misunderstan</w:t>
      </w:r>
      <w:r>
        <w:rPr>
          <w:rFonts w:cs="Georgia"/>
          <w:noProof/>
          <w:color w:val="000000"/>
          <w:sz w:val="22"/>
          <w:szCs w:val="22"/>
          <w:lang w:eastAsia="it-IT"/>
        </w:rPr>
        <w:t>d the corresponding information. If the label is too complex, the user could be unable to understand it. With respect to business-to-business, marketing the impact of voluntary labelling may not be the most conducive argument in reducing market fragmentati</w:t>
      </w:r>
      <w:r>
        <w:rPr>
          <w:rFonts w:cs="Georgia"/>
          <w:noProof/>
          <w:color w:val="000000"/>
          <w:sz w:val="22"/>
          <w:szCs w:val="22"/>
          <w:lang w:eastAsia="it-IT"/>
        </w:rPr>
        <w:t>on and information asymmetry. When having to purchase very high quantity of products the certification behind the label and the security specifications of the product may be considered more important.</w:t>
      </w:r>
    </w:p>
    <w:p w:rsidR="00913429" w:rsidRDefault="00913429">
      <w:pPr>
        <w:spacing w:after="120"/>
        <w:rPr>
          <w:noProof/>
        </w:rPr>
      </w:pPr>
    </w:p>
    <w:p w:rsidR="00913429" w:rsidRDefault="00E143F0">
      <w:pPr>
        <w:keepNext/>
        <w:keepLines/>
        <w:numPr>
          <w:ilvl w:val="1"/>
          <w:numId w:val="97"/>
        </w:numPr>
        <w:spacing w:after="120" w:line="240" w:lineRule="auto"/>
        <w:outlineLvl w:val="3"/>
        <w:rPr>
          <w:rFonts w:eastAsia="SimHei"/>
          <w:bCs/>
          <w:i/>
          <w:iCs/>
          <w:noProof/>
          <w:color w:val="DC6900"/>
          <w:sz w:val="24"/>
          <w:szCs w:val="24"/>
        </w:rPr>
      </w:pPr>
      <w:r>
        <w:rPr>
          <w:rFonts w:eastAsia="SimHei"/>
          <w:bCs/>
          <w:i/>
          <w:iCs/>
          <w:noProof/>
          <w:color w:val="DC6900"/>
          <w:sz w:val="24"/>
          <w:szCs w:val="24"/>
        </w:rPr>
        <w:t>Policy Option 2: EU legislative act to extend SOG-IS a</w:t>
      </w:r>
      <w:r>
        <w:rPr>
          <w:rFonts w:eastAsia="SimHei"/>
          <w:bCs/>
          <w:i/>
          <w:iCs/>
          <w:noProof/>
          <w:color w:val="DC6900"/>
          <w:sz w:val="24"/>
          <w:szCs w:val="24"/>
        </w:rPr>
        <w:t>greement to all MS</w:t>
      </w:r>
    </w:p>
    <w:p w:rsidR="00913429" w:rsidRDefault="00E143F0">
      <w:pPr>
        <w:autoSpaceDE w:val="0"/>
        <w:autoSpaceDN w:val="0"/>
        <w:adjustRightInd w:val="0"/>
        <w:spacing w:after="0" w:line="240" w:lineRule="auto"/>
        <w:jc w:val="both"/>
        <w:rPr>
          <w:rFonts w:cs="Georgia"/>
          <w:noProof/>
          <w:color w:val="000000"/>
          <w:sz w:val="22"/>
          <w:szCs w:val="22"/>
          <w:lang w:eastAsia="it-IT"/>
        </w:rPr>
      </w:pPr>
      <w:r>
        <w:rPr>
          <w:rFonts w:cs="Georgia"/>
          <w:noProof/>
          <w:color w:val="000000"/>
          <w:sz w:val="22"/>
          <w:szCs w:val="22"/>
          <w:lang w:eastAsia="it-IT"/>
        </w:rPr>
        <w:t xml:space="preserve">To face the challenges of market fragmentation and information asymmetry in the ICT security sector the option of extending the SOG-IS agreement to all EU member states did not receive support from any of the interviewees. </w:t>
      </w:r>
    </w:p>
    <w:p w:rsidR="00913429" w:rsidRDefault="00E143F0">
      <w:pPr>
        <w:autoSpaceDE w:val="0"/>
        <w:autoSpaceDN w:val="0"/>
        <w:adjustRightInd w:val="0"/>
        <w:spacing w:after="0" w:line="240" w:lineRule="auto"/>
        <w:jc w:val="both"/>
        <w:rPr>
          <w:rFonts w:cs="Georgia"/>
          <w:noProof/>
          <w:color w:val="000000"/>
          <w:sz w:val="22"/>
          <w:szCs w:val="22"/>
          <w:lang w:eastAsia="it-IT"/>
        </w:rPr>
      </w:pPr>
      <w:r>
        <w:rPr>
          <w:rFonts w:cs="Georgia"/>
          <w:noProof/>
          <w:color w:val="000000"/>
          <w:sz w:val="22"/>
          <w:szCs w:val="22"/>
          <w:lang w:eastAsia="it-IT"/>
        </w:rPr>
        <w:lastRenderedPageBreak/>
        <w:t>The reasons a</w:t>
      </w:r>
      <w:r>
        <w:rPr>
          <w:rFonts w:cs="Georgia"/>
          <w:noProof/>
          <w:color w:val="000000"/>
          <w:sz w:val="22"/>
          <w:szCs w:val="22"/>
          <w:lang w:eastAsia="it-IT"/>
        </w:rPr>
        <w:t xml:space="preserve">re varied. For </w:t>
      </w:r>
      <w:r>
        <w:rPr>
          <w:rFonts w:eastAsia="Calibri"/>
          <w:noProof/>
          <w:color w:val="000000"/>
          <w:sz w:val="22"/>
          <w:szCs w:val="22"/>
        </w:rPr>
        <w:t xml:space="preserve">Smart meters industry </w:t>
      </w:r>
      <w:r>
        <w:rPr>
          <w:rFonts w:cs="Georgia"/>
          <w:noProof/>
          <w:color w:val="000000"/>
          <w:sz w:val="22"/>
          <w:szCs w:val="22"/>
          <w:lang w:eastAsia="it-IT"/>
        </w:rPr>
        <w:t>representatives, decision-making between all EU countries may be too burdensome. At the moment SOG-IS goes up to EAL-4 and up to EAL-7 for specific domains. The challenge with SOG-IS is the unanimity of the Member State</w:t>
      </w:r>
      <w:r>
        <w:rPr>
          <w:rFonts w:cs="Georgia"/>
          <w:noProof/>
          <w:color w:val="000000"/>
          <w:sz w:val="22"/>
          <w:szCs w:val="22"/>
          <w:lang w:eastAsia="it-IT"/>
        </w:rPr>
        <w:t>.</w:t>
      </w:r>
    </w:p>
    <w:p w:rsidR="00913429" w:rsidRDefault="00E143F0">
      <w:pPr>
        <w:autoSpaceDE w:val="0"/>
        <w:autoSpaceDN w:val="0"/>
        <w:adjustRightInd w:val="0"/>
        <w:spacing w:after="0" w:line="240" w:lineRule="auto"/>
        <w:jc w:val="both"/>
        <w:rPr>
          <w:rFonts w:cs="Georgia"/>
          <w:noProof/>
          <w:color w:val="000000"/>
          <w:sz w:val="22"/>
          <w:szCs w:val="22"/>
          <w:lang w:eastAsia="it-IT"/>
        </w:rPr>
      </w:pPr>
      <w:r>
        <w:rPr>
          <w:rFonts w:cs="Georgia"/>
          <w:noProof/>
          <w:color w:val="000000"/>
          <w:sz w:val="22"/>
          <w:szCs w:val="22"/>
          <w:lang w:eastAsia="it-IT"/>
        </w:rPr>
        <w:t>One critique addressed to the extension of the SOG-IS is that the agreement is based on the Common Criteria, which is not the right solution for ICS at the moment (please refer to Annex 7.4 for a developed overview of the criticism of the Common Criteria</w:t>
      </w:r>
      <w:r>
        <w:rPr>
          <w:rFonts w:cs="Georgia"/>
          <w:noProof/>
          <w:color w:val="000000"/>
          <w:sz w:val="22"/>
          <w:szCs w:val="22"/>
          <w:lang w:eastAsia="it-IT"/>
        </w:rPr>
        <w:t>). Common Criteria costs 500k and lasts more than one year, which is a problem for a vendor. Common Criteria may be a good approach for some kinds of components and products. When the lifecycle of a product is longer than 20 years, we have to find approach</w:t>
      </w:r>
      <w:r>
        <w:rPr>
          <w:rFonts w:cs="Georgia"/>
          <w:noProof/>
          <w:color w:val="000000"/>
          <w:sz w:val="22"/>
          <w:szCs w:val="22"/>
          <w:lang w:eastAsia="it-IT"/>
        </w:rPr>
        <w:t xml:space="preserve">es at a system level based on procedures and self-declaration. </w:t>
      </w:r>
    </w:p>
    <w:p w:rsidR="00913429" w:rsidRDefault="00913429">
      <w:pPr>
        <w:autoSpaceDE w:val="0"/>
        <w:autoSpaceDN w:val="0"/>
        <w:adjustRightInd w:val="0"/>
        <w:spacing w:after="0" w:line="240" w:lineRule="auto"/>
        <w:jc w:val="both"/>
        <w:rPr>
          <w:rFonts w:cs="Georgia"/>
          <w:noProof/>
          <w:color w:val="000000"/>
          <w:sz w:val="22"/>
          <w:szCs w:val="22"/>
          <w:lang w:eastAsia="it-IT"/>
        </w:rPr>
      </w:pPr>
    </w:p>
    <w:p w:rsidR="00913429" w:rsidRDefault="00E143F0">
      <w:pPr>
        <w:autoSpaceDE w:val="0"/>
        <w:autoSpaceDN w:val="0"/>
        <w:adjustRightInd w:val="0"/>
        <w:spacing w:line="240" w:lineRule="auto"/>
        <w:jc w:val="both"/>
        <w:rPr>
          <w:rFonts w:cs="Georgia"/>
          <w:noProof/>
          <w:color w:val="000000"/>
          <w:sz w:val="22"/>
          <w:szCs w:val="22"/>
          <w:lang w:eastAsia="it-IT"/>
        </w:rPr>
      </w:pPr>
      <w:r>
        <w:rPr>
          <w:rFonts w:cs="Georgia"/>
          <w:noProof/>
          <w:color w:val="000000"/>
          <w:sz w:val="22"/>
          <w:szCs w:val="22"/>
          <w:lang w:eastAsia="it-IT"/>
        </w:rPr>
        <w:t>The extension of SOG-IS agreement to all MS is not a valid policy option to be considered since there are Member States which are too small and for which the start-up and maintenance of a Cer</w:t>
      </w:r>
      <w:r>
        <w:rPr>
          <w:rFonts w:cs="Georgia"/>
          <w:noProof/>
          <w:color w:val="000000"/>
          <w:sz w:val="22"/>
          <w:szCs w:val="22"/>
          <w:lang w:eastAsia="it-IT"/>
        </w:rPr>
        <w:t>tification Authority may be too costly. Not all countries have the ability to join the SOG-IS agreement. Therefore, there is a question of trust between governments. Procedures in France may receive more trust compared to certification procedure in other c</w:t>
      </w:r>
      <w:r>
        <w:rPr>
          <w:rFonts w:cs="Georgia"/>
          <w:noProof/>
          <w:color w:val="000000"/>
          <w:sz w:val="22"/>
          <w:szCs w:val="22"/>
          <w:lang w:eastAsia="it-IT"/>
        </w:rPr>
        <w:t xml:space="preserve">ountries, making their activities superfluous and too costly. </w:t>
      </w:r>
    </w:p>
    <w:p w:rsidR="00913429" w:rsidRDefault="00E143F0">
      <w:pPr>
        <w:keepNext/>
        <w:keepLines/>
        <w:numPr>
          <w:ilvl w:val="1"/>
          <w:numId w:val="97"/>
        </w:numPr>
        <w:spacing w:after="120" w:line="240" w:lineRule="auto"/>
        <w:outlineLvl w:val="3"/>
        <w:rPr>
          <w:rFonts w:eastAsia="SimHei"/>
          <w:bCs/>
          <w:i/>
          <w:iCs/>
          <w:noProof/>
          <w:color w:val="DC6900"/>
          <w:sz w:val="24"/>
          <w:szCs w:val="24"/>
        </w:rPr>
      </w:pPr>
      <w:r>
        <w:rPr>
          <w:rFonts w:eastAsia="SimHei"/>
          <w:bCs/>
          <w:i/>
          <w:iCs/>
          <w:noProof/>
          <w:color w:val="DC6900"/>
          <w:sz w:val="24"/>
          <w:szCs w:val="24"/>
        </w:rPr>
        <w:t>Policy Option 3: EU general ICT security certification and labelling framework</w:t>
      </w:r>
    </w:p>
    <w:p w:rsidR="00913429" w:rsidRDefault="00E143F0">
      <w:pPr>
        <w:autoSpaceDE w:val="0"/>
        <w:autoSpaceDN w:val="0"/>
        <w:adjustRightInd w:val="0"/>
        <w:spacing w:after="0" w:line="240" w:lineRule="auto"/>
        <w:rPr>
          <w:rFonts w:cs="Georgia"/>
          <w:noProof/>
          <w:color w:val="000000"/>
          <w:sz w:val="22"/>
          <w:szCs w:val="22"/>
          <w:lang w:eastAsia="it-IT"/>
        </w:rPr>
      </w:pPr>
      <w:r>
        <w:rPr>
          <w:rFonts w:cs="Georgia"/>
          <w:noProof/>
          <w:color w:val="000000"/>
          <w:sz w:val="22"/>
          <w:szCs w:val="22"/>
          <w:lang w:eastAsia="it-IT"/>
        </w:rPr>
        <w:t>According to the opinions provided by stakeholders interviewed, an EU ICT certification scheme could be a valuable</w:t>
      </w:r>
      <w:r>
        <w:rPr>
          <w:rFonts w:cs="Georgia"/>
          <w:noProof/>
          <w:color w:val="000000"/>
          <w:sz w:val="22"/>
          <w:szCs w:val="22"/>
          <w:lang w:eastAsia="it-IT"/>
        </w:rPr>
        <w:t xml:space="preserve"> policy options to face the challenges of market fragmentation and information asymmetry of ICT security products. </w:t>
      </w:r>
    </w:p>
    <w:p w:rsidR="00913429" w:rsidRDefault="00E143F0">
      <w:pPr>
        <w:autoSpaceDE w:val="0"/>
        <w:autoSpaceDN w:val="0"/>
        <w:adjustRightInd w:val="0"/>
        <w:spacing w:before="120" w:after="120" w:line="240" w:lineRule="auto"/>
        <w:jc w:val="both"/>
        <w:rPr>
          <w:rFonts w:cs="Georgia"/>
          <w:noProof/>
          <w:color w:val="000000"/>
          <w:sz w:val="22"/>
          <w:szCs w:val="22"/>
          <w:lang w:eastAsia="it-IT"/>
        </w:rPr>
      </w:pPr>
      <w:r>
        <w:rPr>
          <w:rFonts w:cs="Georgia"/>
          <w:noProof/>
          <w:color w:val="000000"/>
          <w:sz w:val="22"/>
          <w:szCs w:val="22"/>
          <w:lang w:eastAsia="it-IT"/>
        </w:rPr>
        <w:t>Representatives from ICT Certification Authority claims that there is an urgent need to establish a proper EU framework that will analyse, s</w:t>
      </w:r>
      <w:r>
        <w:rPr>
          <w:rFonts w:cs="Georgia"/>
          <w:noProof/>
          <w:color w:val="000000"/>
          <w:sz w:val="22"/>
          <w:szCs w:val="22"/>
          <w:lang w:eastAsia="it-IT"/>
        </w:rPr>
        <w:t>elect and improve, where necessary, the acceptable approaches for EU wide certification, and will rationalize the certification decisions for both MSs and industry. Harmonizing will only be possible through technical exchanges between the MSs Schemes, whic</w:t>
      </w:r>
      <w:r>
        <w:rPr>
          <w:rFonts w:cs="Georgia"/>
          <w:noProof/>
          <w:color w:val="000000"/>
          <w:sz w:val="22"/>
          <w:szCs w:val="22"/>
          <w:lang w:eastAsia="it-IT"/>
        </w:rPr>
        <w:t>h obviously relies on open certification approaches.</w:t>
      </w:r>
    </w:p>
    <w:p w:rsidR="00913429" w:rsidRDefault="00E143F0">
      <w:pPr>
        <w:spacing w:after="120" w:line="240" w:lineRule="auto"/>
        <w:jc w:val="both"/>
        <w:rPr>
          <w:rFonts w:cs="Georgia"/>
          <w:noProof/>
          <w:color w:val="000000"/>
          <w:sz w:val="22"/>
          <w:szCs w:val="22"/>
          <w:lang w:eastAsia="it-IT"/>
        </w:rPr>
      </w:pPr>
      <w:r>
        <w:rPr>
          <w:rFonts w:cs="Georgia"/>
          <w:noProof/>
          <w:color w:val="000000"/>
          <w:sz w:val="22"/>
          <w:szCs w:val="22"/>
          <w:lang w:eastAsia="it-IT"/>
        </w:rPr>
        <w:t>The interviewees from ICT Certification Authority think that a mutual recognition agreement of certification schemes existing in different countries have indeed a positive impact on industry costs. As re</w:t>
      </w:r>
      <w:r>
        <w:rPr>
          <w:rFonts w:cs="Georgia"/>
          <w:noProof/>
          <w:color w:val="000000"/>
          <w:sz w:val="22"/>
          <w:szCs w:val="22"/>
          <w:lang w:eastAsia="it-IT"/>
        </w:rPr>
        <w:t>marked by the Certification Authorities, obviously a recognition agreement would eliminate the need and cost of re-certification in the domain covered by the agreement.</w:t>
      </w:r>
    </w:p>
    <w:p w:rsidR="00913429" w:rsidRDefault="00E143F0">
      <w:pPr>
        <w:autoSpaceDE w:val="0"/>
        <w:autoSpaceDN w:val="0"/>
        <w:adjustRightInd w:val="0"/>
        <w:spacing w:before="120" w:after="120" w:line="240" w:lineRule="auto"/>
        <w:jc w:val="both"/>
        <w:rPr>
          <w:rFonts w:cs="Georgia"/>
          <w:noProof/>
          <w:color w:val="000000"/>
          <w:sz w:val="22"/>
          <w:szCs w:val="22"/>
          <w:lang w:eastAsia="it-IT"/>
        </w:rPr>
      </w:pPr>
      <w:r>
        <w:rPr>
          <w:rFonts w:cs="Georgia"/>
          <w:noProof/>
          <w:color w:val="000000"/>
          <w:sz w:val="22"/>
          <w:szCs w:val="22"/>
          <w:lang w:eastAsia="it-IT"/>
        </w:rPr>
        <w:t>For Smart meters industry representatives it would be welcome to have one methodology o</w:t>
      </w:r>
      <w:r>
        <w:rPr>
          <w:rFonts w:cs="Georgia"/>
          <w:noProof/>
          <w:color w:val="000000"/>
          <w:sz w:val="22"/>
          <w:szCs w:val="22"/>
          <w:lang w:eastAsia="it-IT"/>
        </w:rPr>
        <w:t xml:space="preserve">n how you asses the risk, how you define security requirements and how you go through certification and a recognition across Europe. It is very important to have flexibility in certification scheme, determine on the risk connected to the product evaluated </w:t>
      </w:r>
      <w:r>
        <w:rPr>
          <w:rFonts w:cs="Georgia"/>
          <w:noProof/>
          <w:color w:val="000000"/>
          <w:sz w:val="22"/>
          <w:szCs w:val="22"/>
          <w:lang w:eastAsia="it-IT"/>
        </w:rPr>
        <w:t>and the risk connected to the location of the product. Moreover, if MS continue not to accept each other Certification schemes, each MS will continue to improve its own Certification scheme and this will create a strong legacy to be later overcome in order</w:t>
      </w:r>
      <w:r>
        <w:rPr>
          <w:rFonts w:cs="Georgia"/>
          <w:noProof/>
          <w:color w:val="000000"/>
          <w:sz w:val="22"/>
          <w:szCs w:val="22"/>
          <w:lang w:eastAsia="it-IT"/>
        </w:rPr>
        <w:t xml:space="preserve"> to introduce a general EU framework. </w:t>
      </w:r>
    </w:p>
    <w:p w:rsidR="00913429" w:rsidRDefault="00E143F0">
      <w:pPr>
        <w:autoSpaceDE w:val="0"/>
        <w:autoSpaceDN w:val="0"/>
        <w:adjustRightInd w:val="0"/>
        <w:spacing w:line="240" w:lineRule="auto"/>
        <w:jc w:val="both"/>
        <w:rPr>
          <w:rFonts w:cs="Georgia"/>
          <w:noProof/>
          <w:color w:val="000000"/>
          <w:sz w:val="22"/>
          <w:szCs w:val="22"/>
          <w:lang w:eastAsia="it-IT"/>
        </w:rPr>
      </w:pPr>
      <w:r>
        <w:rPr>
          <w:rFonts w:cs="Georgia"/>
          <w:noProof/>
          <w:color w:val="000000"/>
          <w:sz w:val="22"/>
          <w:szCs w:val="22"/>
          <w:lang w:eastAsia="it-IT"/>
        </w:rPr>
        <w:t>Questions were also addressed on the institutional responsibilities that an EU management board of a possible EU wide certification framework would have. An interviewee explained that ENISA could play a role within in</w:t>
      </w:r>
      <w:r>
        <w:rPr>
          <w:rFonts w:cs="Georgia"/>
          <w:noProof/>
          <w:color w:val="000000"/>
          <w:sz w:val="22"/>
          <w:szCs w:val="22"/>
          <w:lang w:eastAsia="it-IT"/>
        </w:rPr>
        <w:t>dustries to help to understand the concerns of the different national agencies. For smart-metering industry representatives, ENISA can play a key a role to harmonize Members States’ Agencies on definition of national requirements and assurance, by making s</w:t>
      </w:r>
      <w:r>
        <w:rPr>
          <w:rFonts w:cs="Georgia"/>
          <w:noProof/>
          <w:color w:val="000000"/>
          <w:sz w:val="22"/>
          <w:szCs w:val="22"/>
          <w:lang w:eastAsia="it-IT"/>
        </w:rPr>
        <w:t>ure that the solutions meet the needs of the industry. ENISA should also cooperate with European and international standardisation institutions. Working with ENISA, it would be important to understand and harmonize the security language of the energy secto</w:t>
      </w:r>
      <w:r>
        <w:rPr>
          <w:rFonts w:cs="Georgia"/>
          <w:noProof/>
          <w:color w:val="000000"/>
          <w:sz w:val="22"/>
          <w:szCs w:val="22"/>
          <w:lang w:eastAsia="it-IT"/>
        </w:rPr>
        <w:t xml:space="preserve">r, in order to understand each other complementing both energy and smart-meters sectors. Therefore, representative from Smart meters industry explained it would be important to combine the approach of DG CNECT with the approach of DG ENERGY.  </w:t>
      </w:r>
    </w:p>
    <w:p w:rsidR="00913429" w:rsidRDefault="00E143F0">
      <w:pPr>
        <w:spacing w:after="0" w:line="240" w:lineRule="auto"/>
        <w:rPr>
          <w:rFonts w:cs="Georgia"/>
          <w:noProof/>
          <w:color w:val="000000"/>
          <w:sz w:val="22"/>
          <w:szCs w:val="22"/>
          <w:lang w:eastAsia="it-IT"/>
        </w:rPr>
      </w:pPr>
      <w:r>
        <w:rPr>
          <w:rFonts w:cs="Georgia"/>
          <w:noProof/>
          <w:color w:val="000000"/>
          <w:sz w:val="22"/>
          <w:szCs w:val="22"/>
          <w:lang w:eastAsia="it-IT"/>
        </w:rPr>
        <w:br w:type="page"/>
      </w:r>
    </w:p>
    <w:p w:rsidR="00913429" w:rsidRDefault="00E143F0">
      <w:pPr>
        <w:keepNext/>
        <w:keepLines/>
        <w:numPr>
          <w:ilvl w:val="1"/>
          <w:numId w:val="97"/>
        </w:numPr>
        <w:spacing w:after="120" w:line="240" w:lineRule="auto"/>
        <w:outlineLvl w:val="3"/>
        <w:rPr>
          <w:rFonts w:eastAsia="SimHei"/>
          <w:bCs/>
          <w:i/>
          <w:iCs/>
          <w:noProof/>
          <w:color w:val="DC6900"/>
          <w:sz w:val="24"/>
          <w:szCs w:val="24"/>
        </w:rPr>
      </w:pPr>
      <w:r>
        <w:rPr>
          <w:rFonts w:eastAsia="SimHei"/>
          <w:bCs/>
          <w:i/>
          <w:iCs/>
          <w:noProof/>
          <w:color w:val="DC6900"/>
          <w:sz w:val="22"/>
          <w:szCs w:val="22"/>
        </w:rPr>
        <w:lastRenderedPageBreak/>
        <w:t>Institutional costs</w:t>
      </w:r>
    </w:p>
    <w:p w:rsidR="00913429" w:rsidRDefault="00E143F0">
      <w:pPr>
        <w:jc w:val="both"/>
        <w:rPr>
          <w:noProof/>
          <w:sz w:val="22"/>
          <w:szCs w:val="22"/>
        </w:rPr>
      </w:pPr>
      <w:r>
        <w:rPr>
          <w:noProof/>
          <w:sz w:val="22"/>
          <w:szCs w:val="22"/>
        </w:rPr>
        <w:t xml:space="preserve">Insights from the interviews to representatives of national ICT Certification Authorities as well as desk research on start-up and maintenance costs of institutions similar to ENISA have been done to provide the following estimates: </w:t>
      </w:r>
    </w:p>
    <w:p w:rsidR="00913429" w:rsidRDefault="00E143F0">
      <w:pPr>
        <w:pStyle w:val="ListParagraph"/>
        <w:numPr>
          <w:ilvl w:val="0"/>
          <w:numId w:val="98"/>
        </w:numPr>
        <w:rPr>
          <w:noProof/>
          <w:sz w:val="22"/>
          <w:szCs w:val="22"/>
          <w:lang w:val="en-GB"/>
        </w:rPr>
      </w:pPr>
      <w:r>
        <w:rPr>
          <w:noProof/>
          <w:sz w:val="22"/>
          <w:szCs w:val="22"/>
          <w:lang w:val="en-GB"/>
        </w:rPr>
        <w:t xml:space="preserve">Costs incurred by an IT Certification Authority for the participation in the SOG-IS MRA </w:t>
      </w:r>
    </w:p>
    <w:p w:rsidR="00913429" w:rsidRDefault="00E143F0">
      <w:pPr>
        <w:pStyle w:val="ListParagraph"/>
        <w:numPr>
          <w:ilvl w:val="0"/>
          <w:numId w:val="98"/>
        </w:numPr>
        <w:jc w:val="both"/>
        <w:rPr>
          <w:noProof/>
          <w:sz w:val="22"/>
          <w:szCs w:val="22"/>
          <w:lang w:val="en-GB"/>
        </w:rPr>
      </w:pPr>
      <w:r>
        <w:rPr>
          <w:noProof/>
          <w:sz w:val="22"/>
          <w:szCs w:val="22"/>
          <w:lang w:val="en-GB"/>
        </w:rPr>
        <w:t>Costs incurred for the start-up of an IT Certification Authority</w:t>
      </w:r>
    </w:p>
    <w:p w:rsidR="00913429" w:rsidRDefault="00E143F0">
      <w:pPr>
        <w:pStyle w:val="ListParagraph"/>
        <w:numPr>
          <w:ilvl w:val="0"/>
          <w:numId w:val="98"/>
        </w:numPr>
        <w:rPr>
          <w:noProof/>
          <w:sz w:val="22"/>
          <w:szCs w:val="22"/>
          <w:lang w:val="en-GB"/>
        </w:rPr>
      </w:pPr>
      <w:r>
        <w:rPr>
          <w:noProof/>
          <w:sz w:val="22"/>
          <w:szCs w:val="22"/>
          <w:lang w:val="en-GB"/>
        </w:rPr>
        <w:t>Costs incurred for the operational management of an IT Certification Authority</w:t>
      </w:r>
    </w:p>
    <w:p w:rsidR="00913429" w:rsidRDefault="00E143F0">
      <w:pPr>
        <w:pStyle w:val="ListParagraph"/>
        <w:numPr>
          <w:ilvl w:val="0"/>
          <w:numId w:val="98"/>
        </w:numPr>
        <w:rPr>
          <w:noProof/>
          <w:sz w:val="22"/>
          <w:szCs w:val="22"/>
          <w:lang w:val="en-GB"/>
        </w:rPr>
      </w:pPr>
      <w:r>
        <w:rPr>
          <w:noProof/>
          <w:sz w:val="22"/>
          <w:szCs w:val="22"/>
          <w:lang w:val="en-GB"/>
        </w:rPr>
        <w:t>Costs estimated for the</w:t>
      </w:r>
      <w:r>
        <w:rPr>
          <w:noProof/>
          <w:sz w:val="22"/>
          <w:szCs w:val="22"/>
          <w:lang w:val="en-GB"/>
        </w:rPr>
        <w:t xml:space="preserve"> start-up of an EU wide ICT framework management board (6 months)</w:t>
      </w:r>
    </w:p>
    <w:p w:rsidR="00913429" w:rsidRDefault="00E143F0">
      <w:pPr>
        <w:pStyle w:val="ListParagraph"/>
        <w:numPr>
          <w:ilvl w:val="0"/>
          <w:numId w:val="98"/>
        </w:numPr>
        <w:rPr>
          <w:noProof/>
          <w:sz w:val="22"/>
          <w:szCs w:val="22"/>
          <w:lang w:val="en-GB"/>
        </w:rPr>
      </w:pPr>
      <w:r>
        <w:rPr>
          <w:noProof/>
          <w:sz w:val="22"/>
          <w:szCs w:val="22"/>
          <w:lang w:val="en-GB"/>
        </w:rPr>
        <w:t>Costs estimated for the running of an EU wide ICT framework management board</w:t>
      </w:r>
    </w:p>
    <w:p w:rsidR="00913429" w:rsidRDefault="00E143F0">
      <w:pPr>
        <w:jc w:val="both"/>
        <w:rPr>
          <w:noProof/>
          <w:sz w:val="22"/>
          <w:szCs w:val="22"/>
        </w:rPr>
      </w:pPr>
      <w:r>
        <w:rPr>
          <w:noProof/>
          <w:sz w:val="22"/>
          <w:szCs w:val="22"/>
        </w:rPr>
        <w:t>These estimates are supported by a separate excel file listing the data entries and underlying calculations prese</w:t>
      </w:r>
      <w:r>
        <w:rPr>
          <w:noProof/>
          <w:sz w:val="22"/>
          <w:szCs w:val="22"/>
        </w:rPr>
        <w:t xml:space="preserve">nted below in a more extended and narrative mode. </w:t>
      </w:r>
    </w:p>
    <w:p w:rsidR="00913429" w:rsidRDefault="00E143F0">
      <w:pPr>
        <w:pStyle w:val="Heading4"/>
        <w:numPr>
          <w:ilvl w:val="2"/>
          <w:numId w:val="51"/>
        </w:numPr>
        <w:spacing w:after="240"/>
        <w:rPr>
          <w:noProof/>
          <w:sz w:val="22"/>
        </w:rPr>
      </w:pPr>
      <w:r>
        <w:rPr>
          <w:noProof/>
          <w:szCs w:val="28"/>
        </w:rPr>
        <w:t xml:space="preserve">Costs incurred by an organization for the participation in the SOG-IS MRA </w:t>
      </w:r>
    </w:p>
    <w:p w:rsidR="00913429" w:rsidRDefault="00E143F0">
      <w:pPr>
        <w:spacing w:after="120" w:line="240" w:lineRule="auto"/>
        <w:jc w:val="both"/>
        <w:rPr>
          <w:rFonts w:cs="Arial"/>
          <w:noProof/>
          <w:color w:val="212121"/>
          <w:sz w:val="22"/>
          <w:szCs w:val="22"/>
          <w:shd w:val="clear" w:color="auto" w:fill="FFFFFF"/>
        </w:rPr>
      </w:pPr>
      <w:r>
        <w:rPr>
          <w:noProof/>
          <w:sz w:val="22"/>
          <w:szCs w:val="22"/>
        </w:rPr>
        <w:t>In relation to the costs incurred by an organization for the participation in the SOG-IS agreement the consortium asked its interv</w:t>
      </w:r>
      <w:r>
        <w:rPr>
          <w:noProof/>
          <w:sz w:val="22"/>
          <w:szCs w:val="22"/>
        </w:rPr>
        <w:t xml:space="preserve">iewees to provide the related break down of costs such as the ones to support </w:t>
      </w:r>
      <w:r>
        <w:rPr>
          <w:rFonts w:cs="Arial"/>
          <w:noProof/>
          <w:color w:val="212121"/>
          <w:sz w:val="22"/>
          <w:szCs w:val="22"/>
          <w:shd w:val="clear" w:color="auto" w:fill="FFFFFF"/>
        </w:rPr>
        <w:t>harmonization activities and to participate into SOG-IS technical meetings.</w:t>
      </w:r>
    </w:p>
    <w:p w:rsidR="00913429" w:rsidRDefault="00E143F0">
      <w:pPr>
        <w:spacing w:after="120" w:line="240" w:lineRule="auto"/>
        <w:jc w:val="both"/>
        <w:rPr>
          <w:noProof/>
          <w:sz w:val="22"/>
          <w:szCs w:val="22"/>
          <w:lang w:val="en-US"/>
        </w:rPr>
      </w:pPr>
      <w:r>
        <w:rPr>
          <w:noProof/>
          <w:sz w:val="22"/>
          <w:szCs w:val="22"/>
        </w:rPr>
        <w:t>Representative from National Certification Authority explained that MC meetings take place 1-2 times p</w:t>
      </w:r>
      <w:r>
        <w:rPr>
          <w:noProof/>
          <w:sz w:val="22"/>
          <w:szCs w:val="22"/>
        </w:rPr>
        <w:t xml:space="preserve">er year and the JIWG meetings 3-4 times per year respectively. The interviewee explained that on average the yearly travelling costs for </w:t>
      </w:r>
      <w:r>
        <w:rPr>
          <w:b/>
          <w:noProof/>
          <w:sz w:val="22"/>
          <w:szCs w:val="22"/>
        </w:rPr>
        <w:t>three members</w:t>
      </w:r>
      <w:r>
        <w:rPr>
          <w:noProof/>
          <w:sz w:val="22"/>
          <w:szCs w:val="22"/>
        </w:rPr>
        <w:t xml:space="preserve"> attending </w:t>
      </w:r>
      <w:r>
        <w:rPr>
          <w:b/>
          <w:noProof/>
          <w:sz w:val="22"/>
          <w:szCs w:val="22"/>
        </w:rPr>
        <w:t>six meetings</w:t>
      </w:r>
      <w:r>
        <w:rPr>
          <w:noProof/>
          <w:sz w:val="22"/>
          <w:szCs w:val="22"/>
        </w:rPr>
        <w:t xml:space="preserve"> are approximately </w:t>
      </w:r>
      <w:r>
        <w:rPr>
          <w:b/>
          <w:noProof/>
          <w:sz w:val="22"/>
          <w:szCs w:val="22"/>
        </w:rPr>
        <w:t>33 thousand euros</w:t>
      </w:r>
      <w:r>
        <w:rPr>
          <w:noProof/>
          <w:sz w:val="22"/>
          <w:szCs w:val="22"/>
        </w:rPr>
        <w:t xml:space="preserve">. </w:t>
      </w:r>
      <w:r>
        <w:rPr>
          <w:noProof/>
          <w:sz w:val="22"/>
          <w:szCs w:val="22"/>
          <w:lang w:val="en-US"/>
        </w:rPr>
        <w:t>In addition, for the preparation of meetings,</w:t>
      </w:r>
      <w:r>
        <w:rPr>
          <w:noProof/>
          <w:sz w:val="22"/>
          <w:szCs w:val="22"/>
          <w:lang w:val="en-US"/>
        </w:rPr>
        <w:t xml:space="preserve"> attendance and national reporting the personnel cost estimated for 0,5 FTE of an Assistant is approximately </w:t>
      </w:r>
      <w:r>
        <w:rPr>
          <w:b/>
          <w:noProof/>
          <w:sz w:val="22"/>
          <w:szCs w:val="22"/>
          <w:lang w:val="en-US"/>
        </w:rPr>
        <w:t>25 thousand euros</w:t>
      </w:r>
      <w:r>
        <w:rPr>
          <w:noProof/>
          <w:sz w:val="22"/>
          <w:szCs w:val="22"/>
          <w:lang w:val="en-US"/>
        </w:rPr>
        <w:t>.</w:t>
      </w:r>
    </w:p>
    <w:p w:rsidR="00913429" w:rsidRDefault="00E143F0">
      <w:pPr>
        <w:spacing w:after="120" w:line="240" w:lineRule="auto"/>
        <w:jc w:val="both"/>
        <w:rPr>
          <w:noProof/>
          <w:sz w:val="22"/>
          <w:szCs w:val="22"/>
        </w:rPr>
      </w:pPr>
      <w:r>
        <w:rPr>
          <w:noProof/>
          <w:sz w:val="22"/>
          <w:szCs w:val="22"/>
          <w:lang w:val="en-US"/>
        </w:rPr>
        <w:t>Therefore, for one of the Certification Authority that were interviewed the costs incurred for the participation in the SOG-IS M</w:t>
      </w:r>
      <w:r>
        <w:rPr>
          <w:noProof/>
          <w:sz w:val="22"/>
          <w:szCs w:val="22"/>
          <w:lang w:val="en-US"/>
        </w:rPr>
        <w:t xml:space="preserve">RA are approximately </w:t>
      </w:r>
      <w:r>
        <w:rPr>
          <w:b/>
          <w:noProof/>
          <w:sz w:val="22"/>
          <w:szCs w:val="22"/>
          <w:lang w:val="en-US"/>
        </w:rPr>
        <w:t>58 thousand euros</w:t>
      </w:r>
      <w:r>
        <w:rPr>
          <w:noProof/>
          <w:sz w:val="22"/>
          <w:szCs w:val="22"/>
          <w:lang w:val="en-US"/>
        </w:rPr>
        <w:t>.</w:t>
      </w:r>
    </w:p>
    <w:p w:rsidR="00913429" w:rsidRDefault="00913429">
      <w:pPr>
        <w:spacing w:after="120" w:line="240" w:lineRule="auto"/>
        <w:jc w:val="both"/>
        <w:rPr>
          <w:noProof/>
          <w:sz w:val="22"/>
          <w:szCs w:val="22"/>
        </w:rPr>
      </w:pPr>
    </w:p>
    <w:p w:rsidR="00913429" w:rsidRDefault="00E143F0">
      <w:pPr>
        <w:pStyle w:val="Heading4"/>
        <w:numPr>
          <w:ilvl w:val="2"/>
          <w:numId w:val="51"/>
        </w:numPr>
        <w:spacing w:after="240"/>
        <w:rPr>
          <w:noProof/>
          <w:szCs w:val="28"/>
        </w:rPr>
      </w:pPr>
      <w:r>
        <w:rPr>
          <w:noProof/>
          <w:szCs w:val="28"/>
        </w:rPr>
        <w:t>Costs incurred for the start-up of an IT Certification Authority</w:t>
      </w:r>
    </w:p>
    <w:p w:rsidR="00913429" w:rsidRDefault="00E143F0">
      <w:pPr>
        <w:spacing w:after="200"/>
        <w:jc w:val="both"/>
        <w:rPr>
          <w:noProof/>
          <w:sz w:val="22"/>
          <w:szCs w:val="22"/>
        </w:rPr>
      </w:pPr>
      <w:r>
        <w:rPr>
          <w:noProof/>
          <w:sz w:val="22"/>
          <w:szCs w:val="22"/>
        </w:rPr>
        <w:t xml:space="preserve">Secondly, the consortium aimed at gathering data on the costs incurred for the start-up of an IT Certification Authority such as the costs related to </w:t>
      </w:r>
      <w:r>
        <w:rPr>
          <w:noProof/>
          <w:sz w:val="22"/>
          <w:szCs w:val="22"/>
        </w:rPr>
        <w:t>staff competence building on ICT security certification, process setup, accreditation of Conformity Assessment Body and institutional communication etc.)</w:t>
      </w:r>
    </w:p>
    <w:p w:rsidR="00913429" w:rsidRDefault="00E143F0">
      <w:pPr>
        <w:jc w:val="both"/>
        <w:rPr>
          <w:noProof/>
          <w:sz w:val="22"/>
          <w:szCs w:val="22"/>
        </w:rPr>
      </w:pPr>
      <w:r>
        <w:rPr>
          <w:noProof/>
          <w:sz w:val="22"/>
          <w:szCs w:val="22"/>
        </w:rPr>
        <w:t>However for one of the interviewees it was impossible to provide any cost estimate for the start-up of</w:t>
      </w:r>
      <w:r>
        <w:rPr>
          <w:noProof/>
          <w:sz w:val="22"/>
          <w:szCs w:val="22"/>
        </w:rPr>
        <w:t xml:space="preserve"> the ICT Certification Authority as it was were created long time ago and most of the personnel initially involved is no longer operative. Moreover, in some cases, analytical cost records on IT Certification Authorities creation were not collected. However</w:t>
      </w:r>
      <w:r>
        <w:rPr>
          <w:noProof/>
          <w:sz w:val="22"/>
          <w:szCs w:val="22"/>
        </w:rPr>
        <w:t>, the interviewee stated that the most time-consuming activities were related to drafting of IT Certification Authorities procedures and overall organization compliant to mandate received from the Government law and international standards.</w:t>
      </w:r>
    </w:p>
    <w:p w:rsidR="00913429" w:rsidRDefault="00E143F0">
      <w:pPr>
        <w:jc w:val="both"/>
        <w:rPr>
          <w:noProof/>
          <w:sz w:val="22"/>
          <w:szCs w:val="22"/>
        </w:rPr>
      </w:pPr>
      <w:r>
        <w:rPr>
          <w:noProof/>
          <w:sz w:val="22"/>
          <w:szCs w:val="22"/>
        </w:rPr>
        <w:t xml:space="preserve">Another interviewee from ICT National Certification Authority stated that costs estimate for setting up a Certification Authority is approximately </w:t>
      </w:r>
      <w:r>
        <w:rPr>
          <w:b/>
          <w:noProof/>
          <w:sz w:val="22"/>
          <w:szCs w:val="22"/>
        </w:rPr>
        <w:t>1.2 million</w:t>
      </w:r>
      <w:r>
        <w:rPr>
          <w:noProof/>
          <w:sz w:val="22"/>
          <w:szCs w:val="22"/>
        </w:rPr>
        <w:t xml:space="preserve"> euros for 3 years. Total costs for the whole scheme, consisting of one Certification Authority an</w:t>
      </w:r>
      <w:r>
        <w:rPr>
          <w:noProof/>
          <w:sz w:val="22"/>
          <w:szCs w:val="22"/>
        </w:rPr>
        <w:t xml:space="preserve">d two ITSEFs (Conformity Assessment Body) is estimated to approximately </w:t>
      </w:r>
      <w:r>
        <w:rPr>
          <w:b/>
          <w:noProof/>
          <w:sz w:val="22"/>
          <w:szCs w:val="22"/>
        </w:rPr>
        <w:t>5 million Euros.</w:t>
      </w:r>
    </w:p>
    <w:p w:rsidR="00913429" w:rsidRDefault="00E143F0">
      <w:pPr>
        <w:pStyle w:val="Heading4"/>
        <w:numPr>
          <w:ilvl w:val="2"/>
          <w:numId w:val="51"/>
        </w:numPr>
        <w:spacing w:after="240"/>
        <w:rPr>
          <w:noProof/>
          <w:szCs w:val="28"/>
        </w:rPr>
      </w:pPr>
      <w:r>
        <w:rPr>
          <w:noProof/>
          <w:szCs w:val="28"/>
        </w:rPr>
        <w:t>Costs incurred for the maintenance of the operational management of a Certification Authority</w:t>
      </w:r>
    </w:p>
    <w:p w:rsidR="00913429" w:rsidRDefault="00E143F0">
      <w:pPr>
        <w:jc w:val="both"/>
        <w:rPr>
          <w:noProof/>
          <w:sz w:val="22"/>
          <w:szCs w:val="22"/>
        </w:rPr>
      </w:pPr>
      <w:r>
        <w:rPr>
          <w:noProof/>
          <w:sz w:val="22"/>
          <w:szCs w:val="22"/>
        </w:rPr>
        <w:t>Thirdly, we asked to ICT Certification Authorities representatives to pro</w:t>
      </w:r>
      <w:r>
        <w:rPr>
          <w:noProof/>
          <w:sz w:val="22"/>
          <w:szCs w:val="22"/>
        </w:rPr>
        <w:t xml:space="preserve">vide some estimates of the costs incurred for the management of their institution (i.e. costs related to infrastructure and personnel, maintenance of technical expertise, management of the schemes etc.). </w:t>
      </w:r>
    </w:p>
    <w:p w:rsidR="00913429" w:rsidRDefault="00E143F0">
      <w:pPr>
        <w:jc w:val="both"/>
        <w:rPr>
          <w:noProof/>
          <w:sz w:val="22"/>
          <w:szCs w:val="22"/>
          <w:lang w:val="en-US"/>
        </w:rPr>
      </w:pPr>
      <w:r>
        <w:rPr>
          <w:noProof/>
          <w:sz w:val="22"/>
          <w:szCs w:val="22"/>
        </w:rPr>
        <w:t>For one of the interviewees two main cost items mus</w:t>
      </w:r>
      <w:r>
        <w:rPr>
          <w:noProof/>
          <w:sz w:val="22"/>
          <w:szCs w:val="22"/>
        </w:rPr>
        <w:t>t be considered. For the maintenance of the operational management of a Certification Authority, an organization needs 5 person/year. Work force is needed, on the one hand, for product certification activity, on the other hand for the management of the sch</w:t>
      </w:r>
      <w:r>
        <w:rPr>
          <w:noProof/>
          <w:sz w:val="22"/>
          <w:szCs w:val="22"/>
        </w:rPr>
        <w:t xml:space="preserve">eme at national level (initial accreditation and periodic reassessment of private Conformity Assessment Body, exams for evaluators and other experts assisting the scheme). </w:t>
      </w:r>
      <w:r>
        <w:rPr>
          <w:noProof/>
          <w:sz w:val="22"/>
          <w:szCs w:val="22"/>
          <w:lang w:val="en-US"/>
        </w:rPr>
        <w:t>The total personnel cost, considering the estimate of approximately 140 thousand eur</w:t>
      </w:r>
      <w:r>
        <w:rPr>
          <w:noProof/>
          <w:sz w:val="22"/>
          <w:szCs w:val="22"/>
          <w:lang w:val="en-US"/>
        </w:rPr>
        <w:t xml:space="preserve">os for 2 Administrator (AD5) and 150 thousand euros gross (with taxes and contributions paid by the employer) for 3 Assistant (AST3), is </w:t>
      </w:r>
      <w:r>
        <w:rPr>
          <w:b/>
          <w:noProof/>
          <w:sz w:val="22"/>
          <w:szCs w:val="22"/>
          <w:lang w:val="en-US"/>
        </w:rPr>
        <w:t>approximately 290 thousand euros</w:t>
      </w:r>
      <w:r>
        <w:rPr>
          <w:noProof/>
          <w:sz w:val="22"/>
          <w:szCs w:val="22"/>
          <w:lang w:val="en-US"/>
        </w:rPr>
        <w:t>.</w:t>
      </w:r>
    </w:p>
    <w:p w:rsidR="00913429" w:rsidRDefault="00913429">
      <w:pPr>
        <w:jc w:val="both"/>
        <w:rPr>
          <w:noProof/>
          <w:sz w:val="22"/>
          <w:szCs w:val="22"/>
        </w:rPr>
      </w:pPr>
    </w:p>
    <w:p w:rsidR="00913429" w:rsidRDefault="00E143F0">
      <w:pPr>
        <w:pStyle w:val="Heading4"/>
        <w:numPr>
          <w:ilvl w:val="2"/>
          <w:numId w:val="51"/>
        </w:numPr>
        <w:spacing w:after="240"/>
        <w:rPr>
          <w:noProof/>
          <w:szCs w:val="28"/>
        </w:rPr>
      </w:pPr>
      <w:r>
        <w:rPr>
          <w:noProof/>
          <w:lang w:val="en-US"/>
        </w:rPr>
        <w:t xml:space="preserve">Costs estimated for the start-up of an EU wide ICT framework management board (6 </w:t>
      </w:r>
      <w:r>
        <w:rPr>
          <w:noProof/>
          <w:lang w:val="en-US"/>
        </w:rPr>
        <w:t>months)</w:t>
      </w:r>
    </w:p>
    <w:p w:rsidR="00913429" w:rsidRDefault="00E143F0">
      <w:pPr>
        <w:spacing w:before="120" w:after="180" w:line="240" w:lineRule="auto"/>
        <w:jc w:val="both"/>
        <w:rPr>
          <w:rFonts w:eastAsia="Times New Roman"/>
          <w:noProof/>
          <w:color w:val="000000"/>
          <w:sz w:val="22"/>
          <w:szCs w:val="22"/>
          <w:lang w:val="en-US"/>
        </w:rPr>
      </w:pPr>
      <w:r>
        <w:rPr>
          <w:rFonts w:eastAsia="Times New Roman"/>
          <w:noProof/>
          <w:color w:val="000000"/>
          <w:sz w:val="22"/>
          <w:szCs w:val="22"/>
          <w:lang w:val="en-US"/>
        </w:rPr>
        <w:t>In the context of an EU wide ICT Security Certification Framework, the costs estimated by the Consortium for the start-up phase of a Management Board are described below, taking into account all the assumptions and data considered. However, the Con</w:t>
      </w:r>
      <w:r>
        <w:rPr>
          <w:rFonts w:eastAsia="Times New Roman"/>
          <w:noProof/>
          <w:color w:val="000000"/>
          <w:sz w:val="22"/>
          <w:szCs w:val="22"/>
          <w:lang w:val="en-US"/>
        </w:rPr>
        <w:t>sortium provides a raw estimate considering that a more detailed analysis would be necessary in order to have a more accurate capacity plan. The following proposal is based on a preliminary analysis of the existing ENISA organizational structure and desk r</w:t>
      </w:r>
      <w:r>
        <w:rPr>
          <w:rFonts w:eastAsia="Times New Roman"/>
          <w:noProof/>
          <w:color w:val="000000"/>
          <w:sz w:val="22"/>
          <w:szCs w:val="22"/>
          <w:lang w:val="en-US"/>
        </w:rPr>
        <w:t>esearch on the functioning of other European Agencies (e.g. EASA</w:t>
      </w:r>
      <w:r>
        <w:rPr>
          <w:rStyle w:val="FootnoteReference"/>
          <w:rFonts w:eastAsia="Times New Roman"/>
          <w:noProof/>
          <w:color w:val="000000"/>
          <w:sz w:val="22"/>
          <w:szCs w:val="22"/>
          <w:lang w:val="en-US"/>
        </w:rPr>
        <w:footnoteReference w:id="2"/>
      </w:r>
      <w:r>
        <w:rPr>
          <w:rFonts w:eastAsia="Times New Roman"/>
          <w:noProof/>
          <w:color w:val="000000"/>
          <w:sz w:val="22"/>
          <w:szCs w:val="22"/>
          <w:lang w:val="en-US"/>
        </w:rPr>
        <w:t>).</w:t>
      </w:r>
    </w:p>
    <w:p w:rsidR="00913429" w:rsidRDefault="00E143F0">
      <w:pPr>
        <w:spacing w:after="180"/>
        <w:jc w:val="both"/>
        <w:rPr>
          <w:noProof/>
          <w:color w:val="000000"/>
          <w:sz w:val="22"/>
          <w:szCs w:val="22"/>
          <w:lang w:val="en-US"/>
        </w:rPr>
      </w:pPr>
      <w:r>
        <w:rPr>
          <w:noProof/>
          <w:color w:val="000000"/>
          <w:sz w:val="22"/>
          <w:szCs w:val="22"/>
          <w:lang w:val="en-US"/>
        </w:rPr>
        <w:t>As provided in the ENISA Regulation (EU) No 526/2013, the bodies of the Agency comprise</w:t>
      </w:r>
      <w:r>
        <w:rPr>
          <w:rStyle w:val="FootnoteReference"/>
          <w:noProof/>
          <w:color w:val="000000"/>
          <w:sz w:val="22"/>
          <w:szCs w:val="22"/>
          <w:lang w:val="en-US"/>
        </w:rPr>
        <w:footnoteReference w:id="3"/>
      </w:r>
      <w:r>
        <w:rPr>
          <w:noProof/>
          <w:color w:val="000000"/>
          <w:sz w:val="22"/>
          <w:szCs w:val="22"/>
          <w:lang w:val="en-US"/>
        </w:rPr>
        <w:t>:</w:t>
      </w:r>
    </w:p>
    <w:p w:rsidR="00913429" w:rsidRDefault="00E143F0">
      <w:pPr>
        <w:pStyle w:val="ListParagraph"/>
        <w:numPr>
          <w:ilvl w:val="0"/>
          <w:numId w:val="122"/>
        </w:numPr>
        <w:spacing w:after="180"/>
        <w:jc w:val="both"/>
        <w:rPr>
          <w:noProof/>
          <w:color w:val="000000"/>
          <w:sz w:val="22"/>
          <w:szCs w:val="22"/>
          <w:lang w:val="en-US"/>
        </w:rPr>
      </w:pPr>
      <w:r>
        <w:rPr>
          <w:noProof/>
          <w:color w:val="000000"/>
          <w:sz w:val="22"/>
          <w:szCs w:val="22"/>
          <w:lang w:val="en-US"/>
        </w:rPr>
        <w:t>A</w:t>
      </w:r>
      <w:r>
        <w:rPr>
          <w:b/>
          <w:bCs/>
          <w:noProof/>
          <w:color w:val="000000"/>
          <w:sz w:val="22"/>
          <w:szCs w:val="22"/>
          <w:lang w:val="en-US"/>
        </w:rPr>
        <w:t> Management Board:</w:t>
      </w:r>
      <w:r>
        <w:rPr>
          <w:noProof/>
          <w:color w:val="000000"/>
          <w:sz w:val="22"/>
          <w:szCs w:val="22"/>
          <w:lang w:val="en-US"/>
        </w:rPr>
        <w:t xml:space="preserve"> The Management Board is ensuring that the Agency carries out its tasks under </w:t>
      </w:r>
      <w:r>
        <w:rPr>
          <w:noProof/>
          <w:color w:val="000000"/>
          <w:sz w:val="22"/>
          <w:szCs w:val="22"/>
          <w:lang w:val="en-US"/>
        </w:rPr>
        <w:t>conditions which enables it to serve in accordance with the founding Regulation.</w:t>
      </w:r>
    </w:p>
    <w:p w:rsidR="00913429" w:rsidRDefault="00E143F0">
      <w:pPr>
        <w:pStyle w:val="ListParagraph"/>
        <w:numPr>
          <w:ilvl w:val="0"/>
          <w:numId w:val="121"/>
        </w:numPr>
        <w:spacing w:after="180"/>
        <w:jc w:val="both"/>
        <w:rPr>
          <w:noProof/>
          <w:color w:val="000000"/>
          <w:sz w:val="22"/>
          <w:szCs w:val="22"/>
          <w:lang w:val="en-US"/>
        </w:rPr>
      </w:pPr>
      <w:r>
        <w:rPr>
          <w:noProof/>
          <w:color w:val="000000"/>
          <w:sz w:val="22"/>
          <w:szCs w:val="22"/>
          <w:lang w:val="en-US"/>
        </w:rPr>
        <w:t>An</w:t>
      </w:r>
      <w:r>
        <w:rPr>
          <w:b/>
          <w:bCs/>
          <w:noProof/>
          <w:color w:val="000000"/>
          <w:sz w:val="22"/>
          <w:szCs w:val="22"/>
          <w:lang w:val="en-US"/>
        </w:rPr>
        <w:t> Executive Board:</w:t>
      </w:r>
      <w:r>
        <w:rPr>
          <w:noProof/>
          <w:color w:val="000000"/>
          <w:sz w:val="22"/>
          <w:szCs w:val="22"/>
          <w:lang w:val="en-US"/>
        </w:rPr>
        <w:t> The Executive Board is preparing decisions to be adopted by the Management Board on administrative and budgetary matters.</w:t>
      </w:r>
    </w:p>
    <w:p w:rsidR="00913429" w:rsidRDefault="00E143F0">
      <w:pPr>
        <w:pStyle w:val="ListParagraph"/>
        <w:numPr>
          <w:ilvl w:val="0"/>
          <w:numId w:val="121"/>
        </w:numPr>
        <w:spacing w:after="180"/>
        <w:jc w:val="both"/>
        <w:rPr>
          <w:noProof/>
          <w:color w:val="000000"/>
          <w:sz w:val="22"/>
          <w:szCs w:val="22"/>
          <w:lang w:val="en-US"/>
        </w:rPr>
      </w:pPr>
      <w:r>
        <w:rPr>
          <w:b/>
          <w:noProof/>
          <w:color w:val="000000"/>
          <w:sz w:val="22"/>
          <w:szCs w:val="22"/>
          <w:lang w:val="en-US"/>
        </w:rPr>
        <w:t>An Executive Director</w:t>
      </w:r>
      <w:r>
        <w:rPr>
          <w:noProof/>
          <w:color w:val="000000"/>
          <w:sz w:val="22"/>
          <w:szCs w:val="22"/>
          <w:lang w:val="en-US"/>
        </w:rPr>
        <w:t>: The Execut</w:t>
      </w:r>
      <w:r>
        <w:rPr>
          <w:noProof/>
          <w:color w:val="000000"/>
          <w:sz w:val="22"/>
          <w:szCs w:val="22"/>
          <w:lang w:val="en-US"/>
        </w:rPr>
        <w:t>ive Director is responsible for managing the Agency and performs his/her duties independently.</w:t>
      </w:r>
    </w:p>
    <w:p w:rsidR="00913429" w:rsidRDefault="00E143F0">
      <w:pPr>
        <w:pStyle w:val="ListParagraph"/>
        <w:numPr>
          <w:ilvl w:val="0"/>
          <w:numId w:val="121"/>
        </w:numPr>
        <w:spacing w:after="180"/>
        <w:jc w:val="both"/>
        <w:rPr>
          <w:rFonts w:eastAsia="Calibri"/>
          <w:noProof/>
          <w:color w:val="70AD47"/>
          <w:sz w:val="22"/>
          <w:szCs w:val="22"/>
          <w:u w:val="single"/>
          <w:lang w:val="en-GB"/>
        </w:rPr>
      </w:pPr>
      <w:r>
        <w:rPr>
          <w:b/>
          <w:noProof/>
          <w:color w:val="000000"/>
          <w:sz w:val="22"/>
          <w:szCs w:val="22"/>
          <w:lang w:val="en-US"/>
        </w:rPr>
        <w:t>A Permanent Stakeholders' Group</w:t>
      </w:r>
      <w:r>
        <w:rPr>
          <w:noProof/>
          <w:color w:val="000000"/>
          <w:sz w:val="22"/>
          <w:szCs w:val="22"/>
          <w:lang w:val="en-US"/>
        </w:rPr>
        <w:t>: The PSG advises the Executive Director in the performance of his/her duties under this Regulation.</w:t>
      </w:r>
    </w:p>
    <w:p w:rsidR="00913429" w:rsidRDefault="00E143F0">
      <w:pPr>
        <w:spacing w:after="180"/>
        <w:jc w:val="both"/>
        <w:rPr>
          <w:noProof/>
          <w:color w:val="000000"/>
          <w:sz w:val="22"/>
          <w:szCs w:val="22"/>
          <w:lang w:val="en-US"/>
        </w:rPr>
      </w:pPr>
      <w:r>
        <w:rPr>
          <w:noProof/>
          <w:color w:val="000000"/>
          <w:sz w:val="22"/>
          <w:szCs w:val="22"/>
          <w:lang w:val="en-US"/>
        </w:rPr>
        <w:t>A new Certification Unit or a</w:t>
      </w:r>
      <w:r>
        <w:rPr>
          <w:noProof/>
          <w:color w:val="000000"/>
          <w:sz w:val="22"/>
          <w:szCs w:val="22"/>
          <w:lang w:val="en-US"/>
        </w:rPr>
        <w:t xml:space="preserve"> specific team within one of the existing ENISA units (depending on the size of the team) would be necessary in order to ensure the functioning of an EU wide Certification scheme. Here after is presented a proposal of the new ENISA structure and organizati</w:t>
      </w:r>
      <w:r>
        <w:rPr>
          <w:noProof/>
          <w:color w:val="000000"/>
          <w:sz w:val="22"/>
          <w:szCs w:val="22"/>
          <w:lang w:val="en-US"/>
        </w:rPr>
        <w:t xml:space="preserve">on, based on the information gathered during the first part of the activities and on a preliminary analysis of the existing European agencies (e.g. EASA): </w:t>
      </w:r>
    </w:p>
    <w:p w:rsidR="00913429" w:rsidRDefault="00E143F0">
      <w:pPr>
        <w:keepNext/>
        <w:spacing w:before="120" w:after="180" w:line="240" w:lineRule="auto"/>
        <w:jc w:val="center"/>
        <w:rPr>
          <w:noProof/>
        </w:rPr>
      </w:pPr>
      <w:r>
        <w:rPr>
          <w:noProof/>
          <w:lang w:eastAsia="en-GB"/>
        </w:rPr>
        <w:drawing>
          <wp:inline distT="0" distB="0" distL="0" distR="0" wp14:anchorId="2C2D8DD8" wp14:editId="6AA77008">
            <wp:extent cx="5358957" cy="3116911"/>
            <wp:effectExtent l="0" t="0" r="0" b="762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7354" cy="3156692"/>
                    </a:xfrm>
                    <a:prstGeom prst="rect">
                      <a:avLst/>
                    </a:prstGeom>
                    <a:noFill/>
                  </pic:spPr>
                </pic:pic>
              </a:graphicData>
            </a:graphic>
          </wp:inline>
        </w:drawing>
      </w:r>
    </w:p>
    <w:p w:rsidR="00913429" w:rsidRDefault="00E143F0">
      <w:pPr>
        <w:pStyle w:val="Caption"/>
        <w:spacing w:after="240"/>
        <w:jc w:val="center"/>
        <w:rPr>
          <w:noProof/>
        </w:rPr>
      </w:pPr>
      <w:r>
        <w:rPr>
          <w:noProof/>
        </w:rPr>
        <w:t>Figure – Proposal for the New ENISA Structure and Organisation</w:t>
      </w:r>
    </w:p>
    <w:p w:rsidR="00913429" w:rsidRDefault="00E143F0">
      <w:pPr>
        <w:spacing w:before="120" w:after="180" w:line="240" w:lineRule="auto"/>
        <w:jc w:val="both"/>
        <w:rPr>
          <w:rFonts w:eastAsia="Times New Roman"/>
          <w:noProof/>
          <w:color w:val="000000"/>
          <w:sz w:val="22"/>
          <w:szCs w:val="22"/>
          <w:lang w:val="en-US"/>
        </w:rPr>
      </w:pPr>
      <w:r>
        <w:rPr>
          <w:rFonts w:eastAsia="Times New Roman"/>
          <w:noProof/>
          <w:color w:val="000000"/>
          <w:sz w:val="22"/>
          <w:szCs w:val="22"/>
          <w:lang w:val="en-US"/>
        </w:rPr>
        <w:t xml:space="preserve">The start-up activity is estimated </w:t>
      </w:r>
      <w:r>
        <w:rPr>
          <w:rFonts w:eastAsia="Times New Roman"/>
          <w:noProof/>
          <w:color w:val="000000"/>
          <w:sz w:val="22"/>
          <w:szCs w:val="22"/>
          <w:lang w:val="en-US"/>
        </w:rPr>
        <w:t>in 6 months. This phase would include all activities needed to set up the Framework, the definition of the organizational structure and responsibilities for each role. It would also include the definition of procedures rules and the terms of reference of t</w:t>
      </w:r>
      <w:r>
        <w:rPr>
          <w:rFonts w:eastAsia="Times New Roman"/>
          <w:noProof/>
          <w:color w:val="000000"/>
          <w:sz w:val="22"/>
          <w:szCs w:val="22"/>
          <w:lang w:val="en-US"/>
        </w:rPr>
        <w:t>he Board as well as the negotiation and validation with the Member States.</w:t>
      </w:r>
    </w:p>
    <w:p w:rsidR="00913429" w:rsidRDefault="00E143F0">
      <w:pPr>
        <w:spacing w:before="120" w:after="180" w:line="240" w:lineRule="auto"/>
        <w:jc w:val="both"/>
        <w:rPr>
          <w:rFonts w:eastAsia="Times New Roman"/>
          <w:noProof/>
          <w:color w:val="000000"/>
          <w:sz w:val="22"/>
          <w:szCs w:val="22"/>
          <w:lang w:val="en-US"/>
        </w:rPr>
      </w:pPr>
      <w:r>
        <w:rPr>
          <w:rFonts w:eastAsia="Times New Roman"/>
          <w:noProof/>
          <w:color w:val="000000"/>
          <w:sz w:val="22"/>
          <w:szCs w:val="22"/>
          <w:lang w:val="en-US"/>
        </w:rPr>
        <w:t xml:space="preserve">The corresponding main costs can be clustered as follows: </w:t>
      </w:r>
    </w:p>
    <w:p w:rsidR="00913429" w:rsidRDefault="00E143F0">
      <w:pPr>
        <w:pStyle w:val="ListParagraph"/>
        <w:numPr>
          <w:ilvl w:val="0"/>
          <w:numId w:val="133"/>
        </w:numPr>
        <w:spacing w:after="180"/>
        <w:jc w:val="both"/>
        <w:rPr>
          <w:noProof/>
          <w:color w:val="000000"/>
          <w:sz w:val="22"/>
          <w:szCs w:val="22"/>
          <w:lang w:val="en-US"/>
        </w:rPr>
      </w:pPr>
      <w:r>
        <w:rPr>
          <w:noProof/>
          <w:color w:val="000000"/>
          <w:sz w:val="22"/>
          <w:szCs w:val="22"/>
          <w:lang w:val="en-US"/>
        </w:rPr>
        <w:t>External Experts</w:t>
      </w:r>
    </w:p>
    <w:p w:rsidR="00913429" w:rsidRDefault="00E143F0">
      <w:pPr>
        <w:pStyle w:val="ListParagraph"/>
        <w:numPr>
          <w:ilvl w:val="0"/>
          <w:numId w:val="133"/>
        </w:numPr>
        <w:spacing w:after="180"/>
        <w:jc w:val="both"/>
        <w:rPr>
          <w:noProof/>
          <w:color w:val="000000"/>
          <w:sz w:val="22"/>
          <w:szCs w:val="22"/>
          <w:lang w:val="en-US"/>
        </w:rPr>
      </w:pPr>
      <w:r>
        <w:rPr>
          <w:noProof/>
          <w:color w:val="000000"/>
          <w:sz w:val="22"/>
          <w:szCs w:val="22"/>
          <w:lang w:val="en-US"/>
        </w:rPr>
        <w:t>Skills development and training</w:t>
      </w:r>
    </w:p>
    <w:p w:rsidR="00913429" w:rsidRDefault="00E143F0">
      <w:pPr>
        <w:pStyle w:val="ListParagraph"/>
        <w:numPr>
          <w:ilvl w:val="0"/>
          <w:numId w:val="133"/>
        </w:numPr>
        <w:spacing w:after="180"/>
        <w:jc w:val="both"/>
        <w:rPr>
          <w:noProof/>
          <w:color w:val="000000"/>
          <w:sz w:val="22"/>
          <w:szCs w:val="22"/>
          <w:lang w:val="en-US"/>
        </w:rPr>
      </w:pPr>
      <w:r>
        <w:rPr>
          <w:noProof/>
          <w:color w:val="000000"/>
          <w:sz w:val="22"/>
          <w:szCs w:val="22"/>
          <w:lang w:val="en-US"/>
        </w:rPr>
        <w:t>Website Creation</w:t>
      </w:r>
    </w:p>
    <w:p w:rsidR="00913429" w:rsidRDefault="00E143F0">
      <w:pPr>
        <w:spacing w:after="180"/>
        <w:jc w:val="both"/>
        <w:rPr>
          <w:b/>
          <w:noProof/>
          <w:color w:val="000000"/>
          <w:sz w:val="22"/>
          <w:szCs w:val="22"/>
          <w:lang w:val="en-US"/>
        </w:rPr>
      </w:pPr>
      <w:r>
        <w:rPr>
          <w:noProof/>
          <w:color w:val="000000"/>
          <w:sz w:val="22"/>
          <w:szCs w:val="22"/>
          <w:lang w:val="en-US"/>
        </w:rPr>
        <w:t>Taking into account all the data and assumptions shown a</w:t>
      </w:r>
      <w:r>
        <w:rPr>
          <w:noProof/>
          <w:color w:val="000000"/>
          <w:sz w:val="22"/>
          <w:szCs w:val="22"/>
          <w:lang w:val="en-US"/>
        </w:rPr>
        <w:t xml:space="preserve">bove, the total cost estimated for the start-up phase is </w:t>
      </w:r>
      <w:r>
        <w:rPr>
          <w:b/>
          <w:noProof/>
          <w:color w:val="000000"/>
          <w:sz w:val="22"/>
          <w:szCs w:val="22"/>
          <w:lang w:val="en-US"/>
        </w:rPr>
        <w:t>280 thousand euros.</w:t>
      </w:r>
    </w:p>
    <w:tbl>
      <w:tblPr>
        <w:tblW w:w="5000" w:type="pct"/>
        <w:tblLayout w:type="fixed"/>
        <w:tblCellMar>
          <w:left w:w="70" w:type="dxa"/>
          <w:right w:w="70" w:type="dxa"/>
        </w:tblCellMar>
        <w:tblLook w:val="04A0" w:firstRow="1" w:lastRow="0" w:firstColumn="1" w:lastColumn="0" w:noHBand="0" w:noVBand="1"/>
      </w:tblPr>
      <w:tblGrid>
        <w:gridCol w:w="1627"/>
        <w:gridCol w:w="853"/>
        <w:gridCol w:w="1419"/>
        <w:gridCol w:w="991"/>
        <w:gridCol w:w="1417"/>
        <w:gridCol w:w="1276"/>
        <w:gridCol w:w="1128"/>
        <w:gridCol w:w="1046"/>
      </w:tblGrid>
      <w:tr w:rsidR="00913429">
        <w:trPr>
          <w:trHeight w:val="659"/>
        </w:trPr>
        <w:tc>
          <w:tcPr>
            <w:tcW w:w="834" w:type="pct"/>
            <w:tcBorders>
              <w:top w:val="nil"/>
              <w:left w:val="single" w:sz="8" w:space="0" w:color="auto"/>
              <w:bottom w:val="nil"/>
              <w:right w:val="nil"/>
            </w:tcBorders>
            <w:shd w:val="clear" w:color="000000" w:fill="4472C4"/>
            <w:vAlign w:val="center"/>
            <w:hideMark/>
          </w:tcPr>
          <w:p w:rsidR="00913429" w:rsidRDefault="00E143F0">
            <w:pPr>
              <w:spacing w:after="0" w:line="240" w:lineRule="auto"/>
              <w:jc w:val="center"/>
              <w:rPr>
                <w:rFonts w:ascii="Calibri" w:eastAsia="Times New Roman" w:hAnsi="Calibri"/>
                <w:b/>
                <w:bCs/>
                <w:noProof/>
                <w:color w:val="FFFFFF"/>
                <w:sz w:val="18"/>
                <w:szCs w:val="24"/>
                <w:lang w:val="it-IT" w:eastAsia="it-IT"/>
              </w:rPr>
            </w:pPr>
            <w:r>
              <w:rPr>
                <w:rFonts w:ascii="Calibri" w:eastAsia="Times New Roman" w:hAnsi="Calibri"/>
                <w:b/>
                <w:bCs/>
                <w:noProof/>
                <w:color w:val="FFFFFF"/>
                <w:sz w:val="18"/>
                <w:szCs w:val="24"/>
                <w:lang w:val="it-IT" w:eastAsia="it-IT"/>
              </w:rPr>
              <w:t>Description</w:t>
            </w:r>
          </w:p>
        </w:tc>
        <w:tc>
          <w:tcPr>
            <w:tcW w:w="437" w:type="pct"/>
            <w:tcBorders>
              <w:top w:val="nil"/>
              <w:left w:val="single" w:sz="8" w:space="0" w:color="auto"/>
              <w:bottom w:val="nil"/>
              <w:right w:val="single" w:sz="4" w:space="0" w:color="auto"/>
            </w:tcBorders>
            <w:shd w:val="clear" w:color="000000" w:fill="4472C4"/>
            <w:vAlign w:val="center"/>
            <w:hideMark/>
          </w:tcPr>
          <w:p w:rsidR="00913429" w:rsidRDefault="00E143F0">
            <w:pPr>
              <w:spacing w:after="0" w:line="240" w:lineRule="auto"/>
              <w:jc w:val="center"/>
              <w:rPr>
                <w:rFonts w:ascii="Calibri" w:eastAsia="Times New Roman" w:hAnsi="Calibri"/>
                <w:b/>
                <w:bCs/>
                <w:noProof/>
                <w:color w:val="FFFFFF"/>
                <w:sz w:val="18"/>
                <w:szCs w:val="24"/>
                <w:lang w:val="it-IT" w:eastAsia="it-IT"/>
              </w:rPr>
            </w:pPr>
            <w:r>
              <w:rPr>
                <w:rFonts w:ascii="Calibri" w:eastAsia="Times New Roman" w:hAnsi="Calibri"/>
                <w:b/>
                <w:bCs/>
                <w:noProof/>
                <w:color w:val="FFFFFF"/>
                <w:sz w:val="18"/>
                <w:szCs w:val="24"/>
                <w:lang w:val="it-IT" w:eastAsia="it-IT"/>
              </w:rPr>
              <w:t>Unit #</w:t>
            </w:r>
          </w:p>
        </w:tc>
        <w:tc>
          <w:tcPr>
            <w:tcW w:w="727" w:type="pct"/>
            <w:tcBorders>
              <w:top w:val="nil"/>
              <w:left w:val="single" w:sz="8" w:space="0" w:color="auto"/>
              <w:bottom w:val="nil"/>
              <w:right w:val="single" w:sz="4" w:space="0" w:color="auto"/>
            </w:tcBorders>
            <w:shd w:val="clear" w:color="000000" w:fill="4472C4"/>
            <w:vAlign w:val="center"/>
            <w:hideMark/>
          </w:tcPr>
          <w:p w:rsidR="00913429" w:rsidRDefault="00E143F0">
            <w:pPr>
              <w:spacing w:after="0" w:line="240" w:lineRule="auto"/>
              <w:jc w:val="center"/>
              <w:rPr>
                <w:rFonts w:ascii="Calibri" w:eastAsia="Times New Roman" w:hAnsi="Calibri"/>
                <w:b/>
                <w:bCs/>
                <w:noProof/>
                <w:color w:val="FFFFFF"/>
                <w:sz w:val="18"/>
                <w:szCs w:val="24"/>
                <w:lang w:val="it-IT" w:eastAsia="it-IT"/>
              </w:rPr>
            </w:pPr>
            <w:r>
              <w:rPr>
                <w:rFonts w:ascii="Calibri" w:eastAsia="Times New Roman" w:hAnsi="Calibri"/>
                <w:b/>
                <w:bCs/>
                <w:noProof/>
                <w:color w:val="FFFFFF"/>
                <w:sz w:val="18"/>
                <w:szCs w:val="24"/>
                <w:lang w:val="it-IT" w:eastAsia="it-IT"/>
              </w:rPr>
              <w:t>Unit of measure</w:t>
            </w:r>
          </w:p>
        </w:tc>
        <w:tc>
          <w:tcPr>
            <w:tcW w:w="508" w:type="pct"/>
            <w:tcBorders>
              <w:top w:val="nil"/>
              <w:left w:val="single" w:sz="8" w:space="0" w:color="auto"/>
              <w:bottom w:val="nil"/>
              <w:right w:val="nil"/>
            </w:tcBorders>
            <w:shd w:val="clear" w:color="000000" w:fill="4472C4"/>
            <w:vAlign w:val="center"/>
            <w:hideMark/>
          </w:tcPr>
          <w:p w:rsidR="00913429" w:rsidRDefault="00E143F0">
            <w:pPr>
              <w:spacing w:after="0" w:line="240" w:lineRule="auto"/>
              <w:jc w:val="center"/>
              <w:rPr>
                <w:rFonts w:ascii="Calibri" w:eastAsia="Times New Roman" w:hAnsi="Calibri"/>
                <w:b/>
                <w:bCs/>
                <w:noProof/>
                <w:color w:val="FFFFFF"/>
                <w:sz w:val="18"/>
                <w:szCs w:val="24"/>
                <w:lang w:val="it-IT" w:eastAsia="it-IT"/>
              </w:rPr>
            </w:pPr>
            <w:r>
              <w:rPr>
                <w:rFonts w:ascii="Calibri" w:eastAsia="Times New Roman" w:hAnsi="Calibri"/>
                <w:b/>
                <w:bCs/>
                <w:noProof/>
                <w:color w:val="FFFFFF"/>
                <w:sz w:val="18"/>
                <w:szCs w:val="24"/>
                <w:lang w:val="it-IT" w:eastAsia="it-IT"/>
              </w:rPr>
              <w:t>Occurance</w:t>
            </w:r>
          </w:p>
        </w:tc>
        <w:tc>
          <w:tcPr>
            <w:tcW w:w="726" w:type="pct"/>
            <w:tcBorders>
              <w:top w:val="nil"/>
              <w:left w:val="single" w:sz="8" w:space="0" w:color="auto"/>
              <w:bottom w:val="nil"/>
              <w:right w:val="single" w:sz="4" w:space="0" w:color="auto"/>
            </w:tcBorders>
            <w:shd w:val="clear" w:color="000000" w:fill="4472C4"/>
            <w:vAlign w:val="center"/>
            <w:hideMark/>
          </w:tcPr>
          <w:p w:rsidR="00913429" w:rsidRDefault="00E143F0">
            <w:pPr>
              <w:spacing w:after="0" w:line="240" w:lineRule="auto"/>
              <w:jc w:val="center"/>
              <w:rPr>
                <w:rFonts w:ascii="Calibri" w:eastAsia="Times New Roman" w:hAnsi="Calibri"/>
                <w:b/>
                <w:bCs/>
                <w:noProof/>
                <w:color w:val="FFFFFF"/>
                <w:sz w:val="18"/>
                <w:szCs w:val="24"/>
                <w:lang w:val="it-IT" w:eastAsia="it-IT"/>
              </w:rPr>
            </w:pPr>
            <w:r>
              <w:rPr>
                <w:rFonts w:ascii="Calibri" w:eastAsia="Times New Roman" w:hAnsi="Calibri"/>
                <w:b/>
                <w:bCs/>
                <w:noProof/>
                <w:color w:val="FFFFFF"/>
                <w:sz w:val="18"/>
                <w:szCs w:val="24"/>
                <w:lang w:val="it-IT" w:eastAsia="it-IT"/>
              </w:rPr>
              <w:t>Unit price</w:t>
            </w:r>
          </w:p>
        </w:tc>
        <w:tc>
          <w:tcPr>
            <w:tcW w:w="654" w:type="pct"/>
            <w:tcBorders>
              <w:top w:val="nil"/>
              <w:left w:val="single" w:sz="8" w:space="0" w:color="auto"/>
              <w:bottom w:val="nil"/>
              <w:right w:val="single" w:sz="4" w:space="0" w:color="auto"/>
            </w:tcBorders>
            <w:shd w:val="clear" w:color="000000" w:fill="4472C4"/>
            <w:vAlign w:val="center"/>
            <w:hideMark/>
          </w:tcPr>
          <w:p w:rsidR="00913429" w:rsidRDefault="00E143F0">
            <w:pPr>
              <w:spacing w:after="0" w:line="240" w:lineRule="auto"/>
              <w:jc w:val="center"/>
              <w:rPr>
                <w:rFonts w:ascii="Calibri" w:eastAsia="Times New Roman" w:hAnsi="Calibri"/>
                <w:b/>
                <w:bCs/>
                <w:noProof/>
                <w:color w:val="FFFFFF"/>
                <w:sz w:val="18"/>
                <w:szCs w:val="24"/>
                <w:lang w:val="it-IT" w:eastAsia="it-IT"/>
              </w:rPr>
            </w:pPr>
            <w:r>
              <w:rPr>
                <w:rFonts w:ascii="Calibri" w:eastAsia="Times New Roman" w:hAnsi="Calibri"/>
                <w:b/>
                <w:bCs/>
                <w:noProof/>
                <w:color w:val="FFFFFF"/>
                <w:sz w:val="18"/>
                <w:szCs w:val="24"/>
                <w:lang w:val="it-IT" w:eastAsia="it-IT"/>
              </w:rPr>
              <w:t>Sub-Total</w:t>
            </w:r>
          </w:p>
        </w:tc>
        <w:tc>
          <w:tcPr>
            <w:tcW w:w="578" w:type="pct"/>
            <w:tcBorders>
              <w:top w:val="nil"/>
              <w:left w:val="single" w:sz="8" w:space="0" w:color="auto"/>
              <w:bottom w:val="nil"/>
              <w:right w:val="nil"/>
            </w:tcBorders>
            <w:shd w:val="clear" w:color="000000" w:fill="4472C4"/>
            <w:vAlign w:val="center"/>
            <w:hideMark/>
          </w:tcPr>
          <w:p w:rsidR="00913429" w:rsidRDefault="00E143F0">
            <w:pPr>
              <w:spacing w:after="0" w:line="240" w:lineRule="auto"/>
              <w:jc w:val="center"/>
              <w:rPr>
                <w:rFonts w:ascii="Calibri" w:eastAsia="Times New Roman" w:hAnsi="Calibri"/>
                <w:b/>
                <w:bCs/>
                <w:noProof/>
                <w:color w:val="FFFFFF"/>
                <w:sz w:val="18"/>
                <w:szCs w:val="24"/>
                <w:lang w:val="it-IT" w:eastAsia="it-IT"/>
              </w:rPr>
            </w:pPr>
            <w:r>
              <w:rPr>
                <w:rFonts w:ascii="Calibri" w:eastAsia="Times New Roman" w:hAnsi="Calibri"/>
                <w:b/>
                <w:bCs/>
                <w:noProof/>
                <w:color w:val="FFFFFF"/>
                <w:sz w:val="18"/>
                <w:szCs w:val="24"/>
                <w:lang w:val="it-IT" w:eastAsia="it-IT"/>
              </w:rPr>
              <w:t>Total</w:t>
            </w:r>
          </w:p>
        </w:tc>
        <w:tc>
          <w:tcPr>
            <w:tcW w:w="536" w:type="pct"/>
            <w:tcBorders>
              <w:top w:val="nil"/>
              <w:left w:val="single" w:sz="8" w:space="0" w:color="auto"/>
              <w:bottom w:val="nil"/>
              <w:right w:val="nil"/>
            </w:tcBorders>
            <w:shd w:val="clear" w:color="000000" w:fill="4472C4"/>
            <w:vAlign w:val="center"/>
            <w:hideMark/>
          </w:tcPr>
          <w:p w:rsidR="00913429" w:rsidRDefault="00E143F0">
            <w:pPr>
              <w:spacing w:after="0" w:line="240" w:lineRule="auto"/>
              <w:jc w:val="center"/>
              <w:rPr>
                <w:rFonts w:ascii="Calibri" w:eastAsia="Times New Roman" w:hAnsi="Calibri"/>
                <w:b/>
                <w:bCs/>
                <w:noProof/>
                <w:color w:val="FFFFFF"/>
                <w:sz w:val="18"/>
                <w:szCs w:val="24"/>
                <w:lang w:val="it-IT" w:eastAsia="it-IT"/>
              </w:rPr>
            </w:pPr>
            <w:r>
              <w:rPr>
                <w:rFonts w:ascii="Calibri" w:eastAsia="Times New Roman" w:hAnsi="Calibri"/>
                <w:b/>
                <w:bCs/>
                <w:noProof/>
                <w:color w:val="FFFFFF"/>
                <w:sz w:val="18"/>
                <w:szCs w:val="24"/>
                <w:lang w:val="it-IT" w:eastAsia="it-IT"/>
              </w:rPr>
              <w:t>Cost Tipology</w:t>
            </w:r>
          </w:p>
        </w:tc>
      </w:tr>
      <w:tr w:rsidR="00913429">
        <w:trPr>
          <w:trHeight w:val="659"/>
        </w:trPr>
        <w:tc>
          <w:tcPr>
            <w:tcW w:w="834" w:type="pct"/>
            <w:tcBorders>
              <w:top w:val="single" w:sz="4" w:space="0" w:color="auto"/>
              <w:left w:val="single" w:sz="4" w:space="0" w:color="auto"/>
              <w:bottom w:val="single" w:sz="4" w:space="0" w:color="auto"/>
              <w:right w:val="single" w:sz="4" w:space="0" w:color="auto"/>
            </w:tcBorders>
            <w:shd w:val="clear" w:color="000000" w:fill="FFE699"/>
            <w:noWrap/>
            <w:vAlign w:val="center"/>
            <w:hideMark/>
          </w:tcPr>
          <w:p w:rsidR="00913429" w:rsidRDefault="00E143F0">
            <w:pPr>
              <w:spacing w:after="0" w:line="240" w:lineRule="auto"/>
              <w:rPr>
                <w:rFonts w:ascii="Calibri" w:eastAsia="Times New Roman" w:hAnsi="Calibri"/>
                <w:b/>
                <w:bCs/>
                <w:noProof/>
                <w:color w:val="000000"/>
                <w:sz w:val="18"/>
                <w:szCs w:val="22"/>
                <w:lang w:val="it-IT" w:eastAsia="it-IT"/>
              </w:rPr>
            </w:pPr>
            <w:r>
              <w:rPr>
                <w:rFonts w:ascii="Calibri" w:eastAsia="Times New Roman" w:hAnsi="Calibri"/>
                <w:b/>
                <w:bCs/>
                <w:noProof/>
                <w:color w:val="000000"/>
                <w:sz w:val="18"/>
                <w:szCs w:val="22"/>
                <w:lang w:val="it-IT" w:eastAsia="it-IT"/>
              </w:rPr>
              <w:t>Expert</w:t>
            </w:r>
          </w:p>
        </w:tc>
        <w:tc>
          <w:tcPr>
            <w:tcW w:w="437" w:type="pct"/>
            <w:tcBorders>
              <w:top w:val="single" w:sz="4" w:space="0" w:color="auto"/>
              <w:left w:val="nil"/>
              <w:bottom w:val="single" w:sz="4" w:space="0" w:color="auto"/>
              <w:right w:val="single" w:sz="4" w:space="0" w:color="auto"/>
            </w:tcBorders>
            <w:shd w:val="clear" w:color="000000" w:fill="FFE699"/>
            <w:vAlign w:val="center"/>
            <w:hideMark/>
          </w:tcPr>
          <w:p w:rsidR="00913429" w:rsidRDefault="00E143F0">
            <w:pPr>
              <w:spacing w:after="0" w:line="240" w:lineRule="auto"/>
              <w:jc w:val="center"/>
              <w:rPr>
                <w:rFonts w:ascii="Calibri" w:eastAsia="Times New Roman" w:hAnsi="Calibri"/>
                <w:noProof/>
                <w:color w:val="000000"/>
                <w:sz w:val="18"/>
                <w:szCs w:val="22"/>
                <w:lang w:val="it-IT" w:eastAsia="it-IT"/>
              </w:rPr>
            </w:pPr>
            <w:r>
              <w:rPr>
                <w:rFonts w:ascii="Calibri" w:eastAsia="Times New Roman" w:hAnsi="Calibri"/>
                <w:noProof/>
                <w:color w:val="000000"/>
                <w:sz w:val="18"/>
                <w:szCs w:val="22"/>
                <w:lang w:val="it-IT" w:eastAsia="it-IT"/>
              </w:rPr>
              <w:t>3</w:t>
            </w:r>
          </w:p>
        </w:tc>
        <w:tc>
          <w:tcPr>
            <w:tcW w:w="727" w:type="pct"/>
            <w:tcBorders>
              <w:top w:val="single" w:sz="4" w:space="0" w:color="auto"/>
              <w:left w:val="nil"/>
              <w:bottom w:val="single" w:sz="4" w:space="0" w:color="auto"/>
              <w:right w:val="single" w:sz="4" w:space="0" w:color="auto"/>
            </w:tcBorders>
            <w:shd w:val="clear" w:color="000000" w:fill="FFE699"/>
            <w:vAlign w:val="center"/>
            <w:hideMark/>
          </w:tcPr>
          <w:p w:rsidR="00913429" w:rsidRDefault="00E143F0">
            <w:pPr>
              <w:spacing w:after="0" w:line="240" w:lineRule="auto"/>
              <w:jc w:val="center"/>
              <w:rPr>
                <w:rFonts w:ascii="Calibri" w:eastAsia="Times New Roman" w:hAnsi="Calibri"/>
                <w:noProof/>
                <w:color w:val="000000"/>
                <w:sz w:val="18"/>
                <w:szCs w:val="22"/>
                <w:lang w:val="it-IT" w:eastAsia="it-IT"/>
              </w:rPr>
            </w:pPr>
            <w:r>
              <w:rPr>
                <w:rFonts w:ascii="Calibri" w:eastAsia="Times New Roman" w:hAnsi="Calibri"/>
                <w:noProof/>
                <w:color w:val="000000"/>
                <w:sz w:val="18"/>
                <w:szCs w:val="22"/>
                <w:lang w:val="it-IT" w:eastAsia="it-IT"/>
              </w:rPr>
              <w:t>Person</w:t>
            </w:r>
          </w:p>
        </w:tc>
        <w:tc>
          <w:tcPr>
            <w:tcW w:w="508" w:type="pct"/>
            <w:tcBorders>
              <w:top w:val="single" w:sz="4" w:space="0" w:color="auto"/>
              <w:left w:val="nil"/>
              <w:bottom w:val="single" w:sz="4" w:space="0" w:color="auto"/>
              <w:right w:val="single" w:sz="4" w:space="0" w:color="auto"/>
            </w:tcBorders>
            <w:shd w:val="clear" w:color="000000" w:fill="FFE699"/>
            <w:noWrap/>
            <w:vAlign w:val="center"/>
            <w:hideMark/>
          </w:tcPr>
          <w:p w:rsidR="00913429" w:rsidRDefault="00E143F0">
            <w:pPr>
              <w:spacing w:after="0" w:line="240" w:lineRule="auto"/>
              <w:jc w:val="center"/>
              <w:rPr>
                <w:rFonts w:ascii="Calibri" w:eastAsia="Times New Roman" w:hAnsi="Calibri"/>
                <w:noProof/>
                <w:color w:val="000000"/>
                <w:sz w:val="18"/>
                <w:szCs w:val="22"/>
                <w:lang w:val="it-IT" w:eastAsia="it-IT"/>
              </w:rPr>
            </w:pPr>
            <w:r>
              <w:rPr>
                <w:rFonts w:ascii="Calibri" w:eastAsia="Times New Roman" w:hAnsi="Calibri"/>
                <w:noProof/>
                <w:color w:val="000000"/>
                <w:sz w:val="18"/>
                <w:szCs w:val="22"/>
                <w:lang w:val="it-IT" w:eastAsia="it-IT"/>
              </w:rPr>
              <w:t>1</w:t>
            </w:r>
          </w:p>
        </w:tc>
        <w:tc>
          <w:tcPr>
            <w:tcW w:w="726" w:type="pct"/>
            <w:tcBorders>
              <w:top w:val="single" w:sz="4" w:space="0" w:color="auto"/>
              <w:left w:val="nil"/>
              <w:bottom w:val="single" w:sz="4" w:space="0" w:color="auto"/>
              <w:right w:val="single" w:sz="4" w:space="0" w:color="auto"/>
            </w:tcBorders>
            <w:shd w:val="clear" w:color="000000" w:fill="FFE699"/>
            <w:vAlign w:val="center"/>
            <w:hideMark/>
          </w:tcPr>
          <w:p w:rsidR="00913429" w:rsidRDefault="00E143F0">
            <w:pPr>
              <w:spacing w:after="0" w:line="240" w:lineRule="auto"/>
              <w:jc w:val="center"/>
              <w:rPr>
                <w:rFonts w:ascii="Calibri" w:eastAsia="Times New Roman" w:hAnsi="Calibri"/>
                <w:noProof/>
                <w:color w:val="000000"/>
                <w:sz w:val="18"/>
                <w:szCs w:val="22"/>
                <w:lang w:val="it-IT" w:eastAsia="it-IT"/>
              </w:rPr>
            </w:pPr>
            <w:r>
              <w:rPr>
                <w:rFonts w:ascii="Calibri" w:eastAsia="Times New Roman" w:hAnsi="Calibri"/>
                <w:noProof/>
                <w:color w:val="000000"/>
                <w:sz w:val="18"/>
                <w:szCs w:val="22"/>
                <w:lang w:val="it-IT" w:eastAsia="it-IT"/>
              </w:rPr>
              <w:t>€ 75.000,00</w:t>
            </w:r>
          </w:p>
        </w:tc>
        <w:tc>
          <w:tcPr>
            <w:tcW w:w="654" w:type="pct"/>
            <w:tcBorders>
              <w:top w:val="single" w:sz="4" w:space="0" w:color="auto"/>
              <w:left w:val="nil"/>
              <w:bottom w:val="single" w:sz="4" w:space="0" w:color="auto"/>
              <w:right w:val="single" w:sz="4" w:space="0" w:color="auto"/>
            </w:tcBorders>
            <w:shd w:val="clear" w:color="000000" w:fill="FFE699"/>
            <w:vAlign w:val="center"/>
            <w:hideMark/>
          </w:tcPr>
          <w:p w:rsidR="00913429" w:rsidRDefault="00E143F0">
            <w:pPr>
              <w:spacing w:after="0" w:line="240" w:lineRule="auto"/>
              <w:jc w:val="center"/>
              <w:rPr>
                <w:rFonts w:ascii="Calibri" w:eastAsia="Times New Roman" w:hAnsi="Calibri"/>
                <w:noProof/>
                <w:color w:val="000000"/>
                <w:sz w:val="18"/>
                <w:szCs w:val="22"/>
                <w:lang w:val="it-IT" w:eastAsia="it-IT"/>
              </w:rPr>
            </w:pPr>
            <w:r>
              <w:rPr>
                <w:rFonts w:ascii="Calibri" w:eastAsia="Times New Roman" w:hAnsi="Calibri"/>
                <w:noProof/>
                <w:color w:val="000000"/>
                <w:sz w:val="18"/>
                <w:szCs w:val="22"/>
                <w:lang w:val="it-IT" w:eastAsia="it-IT"/>
              </w:rPr>
              <w:t>€ 225.000,00</w:t>
            </w:r>
          </w:p>
        </w:tc>
        <w:tc>
          <w:tcPr>
            <w:tcW w:w="578" w:type="pct"/>
            <w:tcBorders>
              <w:top w:val="single" w:sz="4" w:space="0" w:color="auto"/>
              <w:left w:val="nil"/>
              <w:bottom w:val="single" w:sz="4" w:space="0" w:color="auto"/>
              <w:right w:val="single" w:sz="4" w:space="0" w:color="auto"/>
            </w:tcBorders>
            <w:shd w:val="clear" w:color="000000" w:fill="FFE699"/>
            <w:vAlign w:val="center"/>
            <w:hideMark/>
          </w:tcPr>
          <w:p w:rsidR="00913429" w:rsidRDefault="00E143F0">
            <w:pPr>
              <w:spacing w:after="0" w:line="240" w:lineRule="auto"/>
              <w:jc w:val="center"/>
              <w:rPr>
                <w:rFonts w:ascii="Calibri" w:eastAsia="Times New Roman" w:hAnsi="Calibri"/>
                <w:noProof/>
                <w:color w:val="000000"/>
                <w:sz w:val="18"/>
                <w:szCs w:val="22"/>
                <w:lang w:val="it-IT" w:eastAsia="it-IT"/>
              </w:rPr>
            </w:pPr>
            <w:r>
              <w:rPr>
                <w:rFonts w:ascii="Calibri" w:eastAsia="Times New Roman" w:hAnsi="Calibri"/>
                <w:noProof/>
                <w:color w:val="000000"/>
                <w:sz w:val="18"/>
                <w:szCs w:val="22"/>
                <w:lang w:val="it-IT" w:eastAsia="it-IT"/>
              </w:rPr>
              <w:t>€ 225.000,00</w:t>
            </w:r>
          </w:p>
        </w:tc>
        <w:tc>
          <w:tcPr>
            <w:tcW w:w="536" w:type="pct"/>
            <w:tcBorders>
              <w:top w:val="single" w:sz="4" w:space="0" w:color="auto"/>
              <w:left w:val="nil"/>
              <w:bottom w:val="single" w:sz="4" w:space="0" w:color="auto"/>
              <w:right w:val="single" w:sz="4" w:space="0" w:color="auto"/>
            </w:tcBorders>
            <w:shd w:val="clear" w:color="000000" w:fill="FFE699"/>
            <w:noWrap/>
            <w:vAlign w:val="center"/>
            <w:hideMark/>
          </w:tcPr>
          <w:p w:rsidR="00913429" w:rsidRDefault="00E143F0">
            <w:pPr>
              <w:spacing w:after="0" w:line="240" w:lineRule="auto"/>
              <w:jc w:val="center"/>
              <w:rPr>
                <w:rFonts w:ascii="Calibri" w:eastAsia="Times New Roman" w:hAnsi="Calibri"/>
                <w:noProof/>
                <w:color w:val="000000"/>
                <w:sz w:val="18"/>
                <w:szCs w:val="22"/>
                <w:lang w:val="it-IT" w:eastAsia="it-IT"/>
              </w:rPr>
            </w:pPr>
            <w:r>
              <w:rPr>
                <w:rFonts w:ascii="Calibri" w:eastAsia="Times New Roman" w:hAnsi="Calibri"/>
                <w:noProof/>
                <w:color w:val="000000"/>
                <w:sz w:val="18"/>
                <w:szCs w:val="22"/>
                <w:lang w:val="it-IT" w:eastAsia="it-IT"/>
              </w:rPr>
              <w:t>Event-based</w:t>
            </w:r>
          </w:p>
        </w:tc>
      </w:tr>
      <w:tr w:rsidR="00913429">
        <w:trPr>
          <w:trHeight w:val="659"/>
        </w:trPr>
        <w:tc>
          <w:tcPr>
            <w:tcW w:w="834" w:type="pct"/>
            <w:tcBorders>
              <w:top w:val="nil"/>
              <w:left w:val="single" w:sz="4" w:space="0" w:color="auto"/>
              <w:bottom w:val="single" w:sz="4" w:space="0" w:color="auto"/>
              <w:right w:val="single" w:sz="4" w:space="0" w:color="auto"/>
            </w:tcBorders>
            <w:shd w:val="clear" w:color="000000" w:fill="EDEDED"/>
            <w:noWrap/>
            <w:vAlign w:val="center"/>
            <w:hideMark/>
          </w:tcPr>
          <w:p w:rsidR="00913429" w:rsidRDefault="00E143F0">
            <w:pPr>
              <w:spacing w:after="0" w:line="240" w:lineRule="auto"/>
              <w:rPr>
                <w:rFonts w:ascii="Calibri" w:eastAsia="Times New Roman" w:hAnsi="Calibri"/>
                <w:b/>
                <w:bCs/>
                <w:noProof/>
                <w:color w:val="000000"/>
                <w:sz w:val="18"/>
                <w:szCs w:val="22"/>
                <w:lang w:val="it-IT" w:eastAsia="it-IT"/>
              </w:rPr>
            </w:pPr>
            <w:r>
              <w:rPr>
                <w:rFonts w:ascii="Calibri" w:eastAsia="Times New Roman" w:hAnsi="Calibri"/>
                <w:b/>
                <w:bCs/>
                <w:noProof/>
                <w:color w:val="000000"/>
                <w:sz w:val="18"/>
                <w:szCs w:val="22"/>
                <w:lang w:val="it-IT" w:eastAsia="it-IT"/>
              </w:rPr>
              <w:t xml:space="preserve">Skills Development and </w:t>
            </w:r>
            <w:r>
              <w:rPr>
                <w:rFonts w:ascii="Calibri" w:eastAsia="Times New Roman" w:hAnsi="Calibri"/>
                <w:b/>
                <w:bCs/>
                <w:noProof/>
                <w:color w:val="000000"/>
                <w:sz w:val="18"/>
                <w:szCs w:val="22"/>
                <w:lang w:val="it-IT" w:eastAsia="it-IT"/>
              </w:rPr>
              <w:t>training</w:t>
            </w:r>
          </w:p>
        </w:tc>
        <w:tc>
          <w:tcPr>
            <w:tcW w:w="437" w:type="pct"/>
            <w:tcBorders>
              <w:top w:val="nil"/>
              <w:left w:val="nil"/>
              <w:bottom w:val="single" w:sz="4" w:space="0" w:color="auto"/>
              <w:right w:val="single" w:sz="4" w:space="0" w:color="auto"/>
            </w:tcBorders>
            <w:shd w:val="clear" w:color="000000" w:fill="EDEDED"/>
            <w:vAlign w:val="center"/>
            <w:hideMark/>
          </w:tcPr>
          <w:p w:rsidR="00913429" w:rsidRDefault="00E143F0">
            <w:pPr>
              <w:spacing w:after="0" w:line="240" w:lineRule="auto"/>
              <w:jc w:val="center"/>
              <w:rPr>
                <w:rFonts w:ascii="Calibri" w:eastAsia="Times New Roman" w:hAnsi="Calibri"/>
                <w:b/>
                <w:bCs/>
                <w:noProof/>
                <w:color w:val="000000"/>
                <w:sz w:val="18"/>
                <w:szCs w:val="22"/>
                <w:lang w:val="it-IT" w:eastAsia="it-IT"/>
              </w:rPr>
            </w:pPr>
            <w:r>
              <w:rPr>
                <w:rFonts w:ascii="Calibri" w:eastAsia="Times New Roman" w:hAnsi="Calibri"/>
                <w:b/>
                <w:bCs/>
                <w:noProof/>
                <w:color w:val="000000"/>
                <w:sz w:val="18"/>
                <w:szCs w:val="22"/>
                <w:lang w:val="it-IT" w:eastAsia="it-IT"/>
              </w:rPr>
              <w:t>0,4</w:t>
            </w:r>
          </w:p>
        </w:tc>
        <w:tc>
          <w:tcPr>
            <w:tcW w:w="727" w:type="pct"/>
            <w:tcBorders>
              <w:top w:val="nil"/>
              <w:left w:val="nil"/>
              <w:bottom w:val="single" w:sz="4" w:space="0" w:color="auto"/>
              <w:right w:val="single" w:sz="4" w:space="0" w:color="auto"/>
            </w:tcBorders>
            <w:shd w:val="clear" w:color="000000" w:fill="EDEDED"/>
            <w:vAlign w:val="center"/>
            <w:hideMark/>
          </w:tcPr>
          <w:p w:rsidR="00913429" w:rsidRDefault="00E143F0">
            <w:pPr>
              <w:spacing w:after="0" w:line="240" w:lineRule="auto"/>
              <w:jc w:val="center"/>
              <w:rPr>
                <w:rFonts w:ascii="Calibri" w:eastAsia="Times New Roman" w:hAnsi="Calibri"/>
                <w:b/>
                <w:bCs/>
                <w:noProof/>
                <w:color w:val="000000"/>
                <w:sz w:val="18"/>
                <w:szCs w:val="22"/>
                <w:lang w:val="it-IT" w:eastAsia="it-IT"/>
              </w:rPr>
            </w:pPr>
            <w:r>
              <w:rPr>
                <w:rFonts w:ascii="Calibri" w:eastAsia="Times New Roman" w:hAnsi="Calibri"/>
                <w:b/>
                <w:bCs/>
                <w:noProof/>
                <w:color w:val="000000"/>
                <w:sz w:val="18"/>
                <w:szCs w:val="22"/>
                <w:lang w:val="it-IT" w:eastAsia="it-IT"/>
              </w:rPr>
              <w:t>Person</w:t>
            </w:r>
          </w:p>
        </w:tc>
        <w:tc>
          <w:tcPr>
            <w:tcW w:w="508" w:type="pct"/>
            <w:tcBorders>
              <w:top w:val="nil"/>
              <w:left w:val="nil"/>
              <w:bottom w:val="single" w:sz="4" w:space="0" w:color="auto"/>
              <w:right w:val="single" w:sz="4" w:space="0" w:color="auto"/>
            </w:tcBorders>
            <w:shd w:val="clear" w:color="000000" w:fill="EDEDED"/>
            <w:noWrap/>
            <w:vAlign w:val="center"/>
            <w:hideMark/>
          </w:tcPr>
          <w:p w:rsidR="00913429" w:rsidRDefault="00E143F0">
            <w:pPr>
              <w:spacing w:after="0" w:line="240" w:lineRule="auto"/>
              <w:jc w:val="center"/>
              <w:rPr>
                <w:rFonts w:ascii="Calibri" w:eastAsia="Times New Roman" w:hAnsi="Calibri"/>
                <w:b/>
                <w:bCs/>
                <w:noProof/>
                <w:color w:val="000000"/>
                <w:sz w:val="18"/>
                <w:szCs w:val="22"/>
                <w:lang w:val="it-IT" w:eastAsia="it-IT"/>
              </w:rPr>
            </w:pPr>
            <w:r>
              <w:rPr>
                <w:rFonts w:ascii="Calibri" w:eastAsia="Times New Roman" w:hAnsi="Calibri"/>
                <w:b/>
                <w:bCs/>
                <w:noProof/>
                <w:color w:val="000000"/>
                <w:sz w:val="18"/>
                <w:szCs w:val="22"/>
                <w:lang w:val="it-IT" w:eastAsia="it-IT"/>
              </w:rPr>
              <w:t>1</w:t>
            </w:r>
          </w:p>
        </w:tc>
        <w:tc>
          <w:tcPr>
            <w:tcW w:w="726" w:type="pct"/>
            <w:tcBorders>
              <w:top w:val="nil"/>
              <w:left w:val="nil"/>
              <w:bottom w:val="single" w:sz="4" w:space="0" w:color="auto"/>
              <w:right w:val="single" w:sz="4" w:space="0" w:color="auto"/>
            </w:tcBorders>
            <w:shd w:val="clear" w:color="000000" w:fill="EDEDED"/>
            <w:vAlign w:val="center"/>
            <w:hideMark/>
          </w:tcPr>
          <w:p w:rsidR="00913429" w:rsidRDefault="00E143F0">
            <w:pPr>
              <w:spacing w:after="0" w:line="240" w:lineRule="auto"/>
              <w:jc w:val="center"/>
              <w:rPr>
                <w:rFonts w:ascii="Calibri" w:eastAsia="Times New Roman" w:hAnsi="Calibri"/>
                <w:b/>
                <w:bCs/>
                <w:noProof/>
                <w:color w:val="000000"/>
                <w:sz w:val="18"/>
                <w:szCs w:val="22"/>
                <w:lang w:val="it-IT" w:eastAsia="it-IT"/>
              </w:rPr>
            </w:pPr>
            <w:r>
              <w:rPr>
                <w:rFonts w:ascii="Calibri" w:eastAsia="Times New Roman" w:hAnsi="Calibri"/>
                <w:b/>
                <w:bCs/>
                <w:noProof/>
                <w:color w:val="000000"/>
                <w:sz w:val="18"/>
                <w:szCs w:val="22"/>
                <w:lang w:val="it-IT" w:eastAsia="it-IT"/>
              </w:rPr>
              <w:t>€ 75.000,00</w:t>
            </w:r>
          </w:p>
        </w:tc>
        <w:tc>
          <w:tcPr>
            <w:tcW w:w="654" w:type="pct"/>
            <w:tcBorders>
              <w:top w:val="nil"/>
              <w:left w:val="nil"/>
              <w:bottom w:val="single" w:sz="4" w:space="0" w:color="auto"/>
              <w:right w:val="single" w:sz="4" w:space="0" w:color="auto"/>
            </w:tcBorders>
            <w:shd w:val="clear" w:color="000000" w:fill="EDEDED"/>
            <w:vAlign w:val="center"/>
            <w:hideMark/>
          </w:tcPr>
          <w:p w:rsidR="00913429" w:rsidRDefault="00E143F0">
            <w:pPr>
              <w:spacing w:after="0" w:line="240" w:lineRule="auto"/>
              <w:jc w:val="center"/>
              <w:rPr>
                <w:rFonts w:ascii="Calibri" w:eastAsia="Times New Roman" w:hAnsi="Calibri"/>
                <w:b/>
                <w:bCs/>
                <w:noProof/>
                <w:color w:val="000000"/>
                <w:sz w:val="18"/>
                <w:szCs w:val="22"/>
                <w:lang w:val="it-IT" w:eastAsia="it-IT"/>
              </w:rPr>
            </w:pPr>
            <w:r>
              <w:rPr>
                <w:rFonts w:ascii="Calibri" w:eastAsia="Times New Roman" w:hAnsi="Calibri"/>
                <w:b/>
                <w:bCs/>
                <w:noProof/>
                <w:color w:val="000000"/>
                <w:sz w:val="18"/>
                <w:szCs w:val="22"/>
                <w:lang w:val="it-IT" w:eastAsia="it-IT"/>
              </w:rPr>
              <w:t>€ 30.000,00</w:t>
            </w:r>
          </w:p>
        </w:tc>
        <w:tc>
          <w:tcPr>
            <w:tcW w:w="578" w:type="pct"/>
            <w:tcBorders>
              <w:top w:val="nil"/>
              <w:left w:val="nil"/>
              <w:bottom w:val="single" w:sz="4" w:space="0" w:color="auto"/>
              <w:right w:val="single" w:sz="4" w:space="0" w:color="auto"/>
            </w:tcBorders>
            <w:shd w:val="clear" w:color="000000" w:fill="EDEDED"/>
            <w:vAlign w:val="center"/>
            <w:hideMark/>
          </w:tcPr>
          <w:p w:rsidR="00913429" w:rsidRDefault="00E143F0">
            <w:pPr>
              <w:spacing w:after="0" w:line="240" w:lineRule="auto"/>
              <w:jc w:val="center"/>
              <w:rPr>
                <w:rFonts w:ascii="Calibri" w:eastAsia="Times New Roman" w:hAnsi="Calibri"/>
                <w:b/>
                <w:bCs/>
                <w:noProof/>
                <w:color w:val="000000"/>
                <w:sz w:val="18"/>
                <w:szCs w:val="22"/>
                <w:lang w:val="it-IT" w:eastAsia="it-IT"/>
              </w:rPr>
            </w:pPr>
            <w:r>
              <w:rPr>
                <w:rFonts w:ascii="Calibri" w:eastAsia="Times New Roman" w:hAnsi="Calibri"/>
                <w:b/>
                <w:bCs/>
                <w:noProof/>
                <w:color w:val="000000"/>
                <w:sz w:val="18"/>
                <w:szCs w:val="22"/>
                <w:lang w:val="it-IT" w:eastAsia="it-IT"/>
              </w:rPr>
              <w:t>€ 30.000,00</w:t>
            </w:r>
          </w:p>
        </w:tc>
        <w:tc>
          <w:tcPr>
            <w:tcW w:w="536" w:type="pct"/>
            <w:tcBorders>
              <w:top w:val="nil"/>
              <w:left w:val="nil"/>
              <w:bottom w:val="single" w:sz="4" w:space="0" w:color="auto"/>
              <w:right w:val="single" w:sz="4" w:space="0" w:color="auto"/>
            </w:tcBorders>
            <w:shd w:val="clear" w:color="000000" w:fill="EDEDED"/>
            <w:noWrap/>
            <w:vAlign w:val="center"/>
            <w:hideMark/>
          </w:tcPr>
          <w:p w:rsidR="00913429" w:rsidRDefault="00E143F0">
            <w:pPr>
              <w:spacing w:after="0" w:line="240" w:lineRule="auto"/>
              <w:jc w:val="center"/>
              <w:rPr>
                <w:rFonts w:ascii="Calibri" w:eastAsia="Times New Roman" w:hAnsi="Calibri"/>
                <w:noProof/>
                <w:color w:val="000000"/>
                <w:sz w:val="18"/>
                <w:szCs w:val="22"/>
                <w:lang w:val="it-IT" w:eastAsia="it-IT"/>
              </w:rPr>
            </w:pPr>
            <w:r>
              <w:rPr>
                <w:rFonts w:ascii="Calibri" w:eastAsia="Times New Roman" w:hAnsi="Calibri"/>
                <w:noProof/>
                <w:color w:val="000000"/>
                <w:sz w:val="18"/>
                <w:szCs w:val="22"/>
                <w:lang w:val="it-IT" w:eastAsia="it-IT"/>
              </w:rPr>
              <w:t>One-time</w:t>
            </w:r>
          </w:p>
        </w:tc>
      </w:tr>
      <w:tr w:rsidR="00913429">
        <w:trPr>
          <w:trHeight w:val="659"/>
        </w:trPr>
        <w:tc>
          <w:tcPr>
            <w:tcW w:w="834" w:type="pct"/>
            <w:tcBorders>
              <w:top w:val="nil"/>
              <w:left w:val="single" w:sz="4" w:space="0" w:color="auto"/>
              <w:bottom w:val="single" w:sz="4" w:space="0" w:color="auto"/>
              <w:right w:val="single" w:sz="4" w:space="0" w:color="auto"/>
            </w:tcBorders>
            <w:shd w:val="clear" w:color="auto" w:fill="F4CACA" w:themeFill="accent5" w:themeFillTint="33"/>
            <w:noWrap/>
            <w:vAlign w:val="center"/>
            <w:hideMark/>
          </w:tcPr>
          <w:p w:rsidR="00913429" w:rsidRDefault="00E143F0">
            <w:pPr>
              <w:spacing w:after="0" w:line="240" w:lineRule="auto"/>
              <w:rPr>
                <w:rFonts w:ascii="Calibri" w:eastAsia="Times New Roman" w:hAnsi="Calibri"/>
                <w:b/>
                <w:bCs/>
                <w:noProof/>
                <w:color w:val="000000"/>
                <w:sz w:val="18"/>
                <w:szCs w:val="22"/>
                <w:lang w:val="it-IT" w:eastAsia="it-IT"/>
              </w:rPr>
            </w:pPr>
            <w:r>
              <w:rPr>
                <w:rFonts w:ascii="Calibri" w:eastAsia="Times New Roman" w:hAnsi="Calibri"/>
                <w:b/>
                <w:bCs/>
                <w:noProof/>
                <w:color w:val="000000"/>
                <w:sz w:val="18"/>
                <w:szCs w:val="22"/>
                <w:lang w:val="it-IT" w:eastAsia="it-IT"/>
              </w:rPr>
              <w:t>Website Creation</w:t>
            </w:r>
          </w:p>
        </w:tc>
        <w:tc>
          <w:tcPr>
            <w:tcW w:w="437" w:type="pct"/>
            <w:tcBorders>
              <w:top w:val="nil"/>
              <w:left w:val="nil"/>
              <w:bottom w:val="single" w:sz="4" w:space="0" w:color="auto"/>
              <w:right w:val="single" w:sz="4" w:space="0" w:color="auto"/>
            </w:tcBorders>
            <w:shd w:val="clear" w:color="auto" w:fill="F4CACA" w:themeFill="accent5" w:themeFillTint="33"/>
            <w:vAlign w:val="center"/>
            <w:hideMark/>
          </w:tcPr>
          <w:p w:rsidR="00913429" w:rsidRDefault="00E143F0">
            <w:pPr>
              <w:spacing w:after="0" w:line="240" w:lineRule="auto"/>
              <w:jc w:val="center"/>
              <w:rPr>
                <w:rFonts w:ascii="Calibri" w:eastAsia="Times New Roman" w:hAnsi="Calibri"/>
                <w:b/>
                <w:bCs/>
                <w:noProof/>
                <w:color w:val="000000"/>
                <w:sz w:val="18"/>
                <w:szCs w:val="22"/>
                <w:lang w:val="it-IT" w:eastAsia="it-IT"/>
              </w:rPr>
            </w:pPr>
            <w:r>
              <w:rPr>
                <w:rFonts w:ascii="Calibri" w:eastAsia="Times New Roman" w:hAnsi="Calibri"/>
                <w:b/>
                <w:bCs/>
                <w:noProof/>
                <w:color w:val="000000"/>
                <w:sz w:val="18"/>
                <w:szCs w:val="22"/>
                <w:lang w:val="it-IT" w:eastAsia="it-IT"/>
              </w:rPr>
              <w:t>1</w:t>
            </w:r>
          </w:p>
        </w:tc>
        <w:tc>
          <w:tcPr>
            <w:tcW w:w="727" w:type="pct"/>
            <w:tcBorders>
              <w:top w:val="nil"/>
              <w:left w:val="nil"/>
              <w:bottom w:val="single" w:sz="4" w:space="0" w:color="auto"/>
              <w:right w:val="single" w:sz="4" w:space="0" w:color="auto"/>
            </w:tcBorders>
            <w:shd w:val="clear" w:color="auto" w:fill="F4CACA" w:themeFill="accent5" w:themeFillTint="33"/>
            <w:vAlign w:val="center"/>
            <w:hideMark/>
          </w:tcPr>
          <w:p w:rsidR="00913429" w:rsidRDefault="00E143F0">
            <w:pPr>
              <w:spacing w:after="0" w:line="240" w:lineRule="auto"/>
              <w:jc w:val="center"/>
              <w:rPr>
                <w:rFonts w:ascii="Calibri" w:eastAsia="Times New Roman" w:hAnsi="Calibri"/>
                <w:b/>
                <w:bCs/>
                <w:noProof/>
                <w:color w:val="000000"/>
                <w:sz w:val="18"/>
                <w:szCs w:val="22"/>
                <w:lang w:val="it-IT" w:eastAsia="it-IT"/>
              </w:rPr>
            </w:pPr>
            <w:r>
              <w:rPr>
                <w:rFonts w:ascii="Calibri" w:eastAsia="Times New Roman" w:hAnsi="Calibri"/>
                <w:b/>
                <w:bCs/>
                <w:noProof/>
                <w:color w:val="000000"/>
                <w:sz w:val="18"/>
                <w:szCs w:val="22"/>
                <w:lang w:val="it-IT" w:eastAsia="it-IT"/>
              </w:rPr>
              <w:t>Price</w:t>
            </w:r>
          </w:p>
        </w:tc>
        <w:tc>
          <w:tcPr>
            <w:tcW w:w="508" w:type="pct"/>
            <w:tcBorders>
              <w:top w:val="nil"/>
              <w:left w:val="nil"/>
              <w:bottom w:val="single" w:sz="4" w:space="0" w:color="auto"/>
              <w:right w:val="single" w:sz="4" w:space="0" w:color="auto"/>
            </w:tcBorders>
            <w:shd w:val="clear" w:color="auto" w:fill="F4CACA" w:themeFill="accent5" w:themeFillTint="33"/>
            <w:noWrap/>
            <w:vAlign w:val="center"/>
            <w:hideMark/>
          </w:tcPr>
          <w:p w:rsidR="00913429" w:rsidRDefault="00E143F0">
            <w:pPr>
              <w:spacing w:after="0" w:line="240" w:lineRule="auto"/>
              <w:jc w:val="center"/>
              <w:rPr>
                <w:rFonts w:ascii="Calibri" w:eastAsia="Times New Roman" w:hAnsi="Calibri"/>
                <w:b/>
                <w:bCs/>
                <w:noProof/>
                <w:color w:val="000000"/>
                <w:sz w:val="18"/>
                <w:szCs w:val="22"/>
                <w:lang w:val="it-IT" w:eastAsia="it-IT"/>
              </w:rPr>
            </w:pPr>
            <w:r>
              <w:rPr>
                <w:rFonts w:ascii="Calibri" w:eastAsia="Times New Roman" w:hAnsi="Calibri"/>
                <w:b/>
                <w:bCs/>
                <w:noProof/>
                <w:color w:val="000000"/>
                <w:sz w:val="18"/>
                <w:szCs w:val="22"/>
                <w:lang w:val="it-IT" w:eastAsia="it-IT"/>
              </w:rPr>
              <w:t>1</w:t>
            </w:r>
          </w:p>
        </w:tc>
        <w:tc>
          <w:tcPr>
            <w:tcW w:w="726" w:type="pct"/>
            <w:tcBorders>
              <w:top w:val="nil"/>
              <w:left w:val="nil"/>
              <w:bottom w:val="single" w:sz="4" w:space="0" w:color="auto"/>
              <w:right w:val="single" w:sz="4" w:space="0" w:color="auto"/>
            </w:tcBorders>
            <w:shd w:val="clear" w:color="auto" w:fill="F4CACA" w:themeFill="accent5" w:themeFillTint="33"/>
            <w:vAlign w:val="center"/>
            <w:hideMark/>
          </w:tcPr>
          <w:p w:rsidR="00913429" w:rsidRDefault="00E143F0">
            <w:pPr>
              <w:spacing w:after="0" w:line="240" w:lineRule="auto"/>
              <w:jc w:val="center"/>
              <w:rPr>
                <w:rFonts w:ascii="Calibri" w:eastAsia="Times New Roman" w:hAnsi="Calibri"/>
                <w:b/>
                <w:bCs/>
                <w:noProof/>
                <w:color w:val="000000"/>
                <w:sz w:val="18"/>
                <w:szCs w:val="22"/>
                <w:lang w:val="it-IT" w:eastAsia="it-IT"/>
              </w:rPr>
            </w:pPr>
            <w:r>
              <w:rPr>
                <w:rFonts w:ascii="Calibri" w:eastAsia="Times New Roman" w:hAnsi="Calibri"/>
                <w:b/>
                <w:bCs/>
                <w:noProof/>
                <w:color w:val="000000"/>
                <w:sz w:val="18"/>
                <w:szCs w:val="22"/>
                <w:lang w:val="it-IT" w:eastAsia="it-IT"/>
              </w:rPr>
              <w:t>€ 25.000,00</w:t>
            </w:r>
          </w:p>
        </w:tc>
        <w:tc>
          <w:tcPr>
            <w:tcW w:w="654" w:type="pct"/>
            <w:tcBorders>
              <w:top w:val="nil"/>
              <w:left w:val="nil"/>
              <w:bottom w:val="single" w:sz="4" w:space="0" w:color="auto"/>
              <w:right w:val="single" w:sz="4" w:space="0" w:color="auto"/>
            </w:tcBorders>
            <w:shd w:val="clear" w:color="auto" w:fill="F4CACA" w:themeFill="accent5" w:themeFillTint="33"/>
            <w:vAlign w:val="center"/>
            <w:hideMark/>
          </w:tcPr>
          <w:p w:rsidR="00913429" w:rsidRDefault="00E143F0">
            <w:pPr>
              <w:spacing w:after="0" w:line="240" w:lineRule="auto"/>
              <w:jc w:val="center"/>
              <w:rPr>
                <w:rFonts w:ascii="Calibri" w:eastAsia="Times New Roman" w:hAnsi="Calibri"/>
                <w:b/>
                <w:bCs/>
                <w:noProof/>
                <w:color w:val="000000"/>
                <w:sz w:val="18"/>
                <w:szCs w:val="22"/>
                <w:lang w:val="it-IT" w:eastAsia="it-IT"/>
              </w:rPr>
            </w:pPr>
            <w:r>
              <w:rPr>
                <w:rFonts w:ascii="Calibri" w:eastAsia="Times New Roman" w:hAnsi="Calibri"/>
                <w:b/>
                <w:bCs/>
                <w:noProof/>
                <w:color w:val="000000"/>
                <w:sz w:val="18"/>
                <w:szCs w:val="22"/>
                <w:lang w:val="it-IT" w:eastAsia="it-IT"/>
              </w:rPr>
              <w:t>€ 25.000,00</w:t>
            </w:r>
          </w:p>
        </w:tc>
        <w:tc>
          <w:tcPr>
            <w:tcW w:w="578" w:type="pct"/>
            <w:tcBorders>
              <w:top w:val="nil"/>
              <w:left w:val="nil"/>
              <w:bottom w:val="single" w:sz="4" w:space="0" w:color="auto"/>
              <w:right w:val="single" w:sz="4" w:space="0" w:color="auto"/>
            </w:tcBorders>
            <w:shd w:val="clear" w:color="auto" w:fill="F4CACA" w:themeFill="accent5" w:themeFillTint="33"/>
            <w:vAlign w:val="center"/>
            <w:hideMark/>
          </w:tcPr>
          <w:p w:rsidR="00913429" w:rsidRDefault="00E143F0">
            <w:pPr>
              <w:spacing w:after="0" w:line="240" w:lineRule="auto"/>
              <w:jc w:val="center"/>
              <w:rPr>
                <w:rFonts w:ascii="Calibri" w:eastAsia="Times New Roman" w:hAnsi="Calibri"/>
                <w:b/>
                <w:bCs/>
                <w:noProof/>
                <w:color w:val="000000"/>
                <w:sz w:val="18"/>
                <w:szCs w:val="22"/>
                <w:lang w:val="it-IT" w:eastAsia="it-IT"/>
              </w:rPr>
            </w:pPr>
            <w:r>
              <w:rPr>
                <w:rFonts w:ascii="Calibri" w:eastAsia="Times New Roman" w:hAnsi="Calibri"/>
                <w:b/>
                <w:bCs/>
                <w:noProof/>
                <w:color w:val="000000"/>
                <w:sz w:val="18"/>
                <w:szCs w:val="22"/>
                <w:lang w:val="it-IT" w:eastAsia="it-IT"/>
              </w:rPr>
              <w:t>€ 25.000,00</w:t>
            </w:r>
          </w:p>
        </w:tc>
        <w:tc>
          <w:tcPr>
            <w:tcW w:w="536" w:type="pct"/>
            <w:tcBorders>
              <w:top w:val="nil"/>
              <w:left w:val="nil"/>
              <w:bottom w:val="single" w:sz="4" w:space="0" w:color="auto"/>
              <w:right w:val="single" w:sz="4" w:space="0" w:color="auto"/>
            </w:tcBorders>
            <w:shd w:val="clear" w:color="auto" w:fill="F4CACA" w:themeFill="accent5" w:themeFillTint="33"/>
            <w:noWrap/>
            <w:vAlign w:val="center"/>
            <w:hideMark/>
          </w:tcPr>
          <w:p w:rsidR="00913429" w:rsidRDefault="00E143F0">
            <w:pPr>
              <w:spacing w:after="0" w:line="240" w:lineRule="auto"/>
              <w:jc w:val="center"/>
              <w:rPr>
                <w:rFonts w:ascii="Calibri" w:eastAsia="Times New Roman" w:hAnsi="Calibri"/>
                <w:noProof/>
                <w:color w:val="000000"/>
                <w:sz w:val="18"/>
                <w:szCs w:val="22"/>
                <w:lang w:val="it-IT" w:eastAsia="it-IT"/>
              </w:rPr>
            </w:pPr>
            <w:r>
              <w:rPr>
                <w:rFonts w:ascii="Calibri" w:eastAsia="Times New Roman" w:hAnsi="Calibri"/>
                <w:noProof/>
                <w:color w:val="000000"/>
                <w:sz w:val="18"/>
                <w:szCs w:val="22"/>
                <w:lang w:val="it-IT" w:eastAsia="it-IT"/>
              </w:rPr>
              <w:t>One-time</w:t>
            </w:r>
          </w:p>
        </w:tc>
      </w:tr>
      <w:tr w:rsidR="00913429">
        <w:trPr>
          <w:trHeight w:val="659"/>
        </w:trPr>
        <w:tc>
          <w:tcPr>
            <w:tcW w:w="834" w:type="pct"/>
            <w:tcBorders>
              <w:top w:val="nil"/>
              <w:left w:val="nil"/>
              <w:bottom w:val="nil"/>
              <w:right w:val="nil"/>
            </w:tcBorders>
            <w:shd w:val="clear" w:color="auto" w:fill="auto"/>
            <w:noWrap/>
            <w:vAlign w:val="bottom"/>
            <w:hideMark/>
          </w:tcPr>
          <w:p w:rsidR="00913429" w:rsidRDefault="00913429">
            <w:pPr>
              <w:spacing w:after="0" w:line="240" w:lineRule="auto"/>
              <w:rPr>
                <w:rFonts w:ascii="Times New Roman" w:eastAsia="Times New Roman" w:hAnsi="Times New Roman"/>
                <w:noProof/>
                <w:sz w:val="18"/>
                <w:lang w:val="it-IT" w:eastAsia="it-IT"/>
              </w:rPr>
            </w:pPr>
          </w:p>
        </w:tc>
        <w:tc>
          <w:tcPr>
            <w:tcW w:w="437" w:type="pct"/>
            <w:tcBorders>
              <w:top w:val="nil"/>
              <w:left w:val="nil"/>
              <w:bottom w:val="nil"/>
              <w:right w:val="nil"/>
            </w:tcBorders>
            <w:shd w:val="clear" w:color="auto" w:fill="auto"/>
            <w:noWrap/>
            <w:vAlign w:val="bottom"/>
            <w:hideMark/>
          </w:tcPr>
          <w:p w:rsidR="00913429" w:rsidRDefault="00913429">
            <w:pPr>
              <w:spacing w:after="0" w:line="240" w:lineRule="auto"/>
              <w:rPr>
                <w:rFonts w:ascii="Times New Roman" w:eastAsia="Times New Roman" w:hAnsi="Times New Roman"/>
                <w:noProof/>
                <w:sz w:val="18"/>
                <w:lang w:val="it-IT" w:eastAsia="it-IT"/>
              </w:rPr>
            </w:pPr>
          </w:p>
        </w:tc>
        <w:tc>
          <w:tcPr>
            <w:tcW w:w="727" w:type="pct"/>
            <w:tcBorders>
              <w:top w:val="nil"/>
              <w:left w:val="nil"/>
              <w:bottom w:val="nil"/>
              <w:right w:val="nil"/>
            </w:tcBorders>
            <w:shd w:val="clear" w:color="auto" w:fill="auto"/>
            <w:noWrap/>
            <w:vAlign w:val="bottom"/>
            <w:hideMark/>
          </w:tcPr>
          <w:p w:rsidR="00913429" w:rsidRDefault="00913429">
            <w:pPr>
              <w:spacing w:after="0" w:line="240" w:lineRule="auto"/>
              <w:rPr>
                <w:rFonts w:ascii="Times New Roman" w:eastAsia="Times New Roman" w:hAnsi="Times New Roman"/>
                <w:noProof/>
                <w:sz w:val="18"/>
                <w:lang w:val="it-IT" w:eastAsia="it-IT"/>
              </w:rPr>
            </w:pPr>
          </w:p>
        </w:tc>
        <w:tc>
          <w:tcPr>
            <w:tcW w:w="508" w:type="pct"/>
            <w:tcBorders>
              <w:top w:val="nil"/>
              <w:left w:val="nil"/>
              <w:bottom w:val="nil"/>
              <w:right w:val="nil"/>
            </w:tcBorders>
            <w:shd w:val="clear" w:color="auto" w:fill="auto"/>
            <w:noWrap/>
            <w:vAlign w:val="bottom"/>
            <w:hideMark/>
          </w:tcPr>
          <w:p w:rsidR="00913429" w:rsidRDefault="00913429">
            <w:pPr>
              <w:spacing w:after="0" w:line="240" w:lineRule="auto"/>
              <w:rPr>
                <w:rFonts w:ascii="Times New Roman" w:eastAsia="Times New Roman" w:hAnsi="Times New Roman"/>
                <w:noProof/>
                <w:sz w:val="18"/>
                <w:lang w:val="it-IT" w:eastAsia="it-IT"/>
              </w:rPr>
            </w:pPr>
          </w:p>
        </w:tc>
        <w:tc>
          <w:tcPr>
            <w:tcW w:w="726" w:type="pct"/>
            <w:tcBorders>
              <w:top w:val="nil"/>
              <w:left w:val="nil"/>
              <w:bottom w:val="nil"/>
              <w:right w:val="nil"/>
            </w:tcBorders>
            <w:shd w:val="clear" w:color="auto" w:fill="auto"/>
            <w:noWrap/>
            <w:vAlign w:val="center"/>
            <w:hideMark/>
          </w:tcPr>
          <w:p w:rsidR="00913429" w:rsidRDefault="00E143F0">
            <w:pPr>
              <w:spacing w:after="0" w:line="240" w:lineRule="auto"/>
              <w:jc w:val="center"/>
              <w:rPr>
                <w:rFonts w:ascii="Calibri" w:eastAsia="Times New Roman" w:hAnsi="Calibri"/>
                <w:b/>
                <w:bCs/>
                <w:noProof/>
                <w:color w:val="000000"/>
                <w:sz w:val="18"/>
                <w:szCs w:val="22"/>
                <w:lang w:val="it-IT" w:eastAsia="it-IT"/>
              </w:rPr>
            </w:pPr>
            <w:r>
              <w:rPr>
                <w:rFonts w:ascii="Calibri" w:eastAsia="Times New Roman" w:hAnsi="Calibri"/>
                <w:b/>
                <w:bCs/>
                <w:noProof/>
                <w:color w:val="000000"/>
                <w:sz w:val="18"/>
                <w:szCs w:val="22"/>
                <w:lang w:val="it-IT" w:eastAsia="it-IT"/>
              </w:rPr>
              <w:t>GRAND TOTAL</w:t>
            </w:r>
          </w:p>
        </w:tc>
        <w:tc>
          <w:tcPr>
            <w:tcW w:w="654" w:type="pct"/>
            <w:tcBorders>
              <w:top w:val="nil"/>
              <w:left w:val="nil"/>
              <w:bottom w:val="nil"/>
              <w:right w:val="nil"/>
            </w:tcBorders>
            <w:shd w:val="clear" w:color="auto" w:fill="auto"/>
            <w:noWrap/>
            <w:vAlign w:val="center"/>
            <w:hideMark/>
          </w:tcPr>
          <w:p w:rsidR="00913429" w:rsidRDefault="00E143F0">
            <w:pPr>
              <w:spacing w:after="0" w:line="240" w:lineRule="auto"/>
              <w:jc w:val="center"/>
              <w:rPr>
                <w:rFonts w:ascii="Calibri" w:eastAsia="Times New Roman" w:hAnsi="Calibri"/>
                <w:b/>
                <w:bCs/>
                <w:noProof/>
                <w:color w:val="000000"/>
                <w:sz w:val="18"/>
                <w:szCs w:val="22"/>
                <w:lang w:val="it-IT" w:eastAsia="it-IT"/>
              </w:rPr>
            </w:pPr>
            <w:r>
              <w:rPr>
                <w:rFonts w:ascii="Calibri" w:eastAsia="Times New Roman" w:hAnsi="Calibri"/>
                <w:b/>
                <w:bCs/>
                <w:noProof/>
                <w:color w:val="000000"/>
                <w:sz w:val="18"/>
                <w:szCs w:val="22"/>
                <w:lang w:val="it-IT" w:eastAsia="it-IT"/>
              </w:rPr>
              <w:t>€ 280.000,00</w:t>
            </w:r>
          </w:p>
        </w:tc>
        <w:tc>
          <w:tcPr>
            <w:tcW w:w="578" w:type="pct"/>
            <w:tcBorders>
              <w:top w:val="nil"/>
              <w:left w:val="nil"/>
              <w:bottom w:val="nil"/>
              <w:right w:val="nil"/>
            </w:tcBorders>
            <w:shd w:val="clear" w:color="auto" w:fill="auto"/>
            <w:noWrap/>
            <w:vAlign w:val="bottom"/>
            <w:hideMark/>
          </w:tcPr>
          <w:p w:rsidR="00913429" w:rsidRDefault="00913429">
            <w:pPr>
              <w:spacing w:after="0" w:line="240" w:lineRule="auto"/>
              <w:jc w:val="center"/>
              <w:rPr>
                <w:rFonts w:ascii="Calibri" w:eastAsia="Times New Roman" w:hAnsi="Calibri"/>
                <w:b/>
                <w:bCs/>
                <w:noProof/>
                <w:color w:val="000000"/>
                <w:sz w:val="18"/>
                <w:szCs w:val="22"/>
                <w:lang w:val="it-IT" w:eastAsia="it-IT"/>
              </w:rPr>
            </w:pPr>
          </w:p>
        </w:tc>
        <w:tc>
          <w:tcPr>
            <w:tcW w:w="536" w:type="pct"/>
            <w:tcBorders>
              <w:top w:val="nil"/>
              <w:left w:val="nil"/>
              <w:bottom w:val="nil"/>
              <w:right w:val="nil"/>
            </w:tcBorders>
            <w:shd w:val="clear" w:color="auto" w:fill="auto"/>
            <w:noWrap/>
            <w:vAlign w:val="bottom"/>
            <w:hideMark/>
          </w:tcPr>
          <w:p w:rsidR="00913429" w:rsidRDefault="00913429">
            <w:pPr>
              <w:spacing w:after="0" w:line="240" w:lineRule="auto"/>
              <w:jc w:val="center"/>
              <w:rPr>
                <w:rFonts w:ascii="Times New Roman" w:eastAsia="Times New Roman" w:hAnsi="Times New Roman"/>
                <w:noProof/>
                <w:sz w:val="18"/>
                <w:lang w:val="it-IT" w:eastAsia="it-IT"/>
              </w:rPr>
            </w:pPr>
          </w:p>
        </w:tc>
      </w:tr>
    </w:tbl>
    <w:p w:rsidR="00913429" w:rsidRDefault="00E143F0">
      <w:pPr>
        <w:pStyle w:val="ListParagraph"/>
        <w:numPr>
          <w:ilvl w:val="0"/>
          <w:numId w:val="134"/>
        </w:numPr>
        <w:spacing w:after="180"/>
        <w:jc w:val="both"/>
        <w:rPr>
          <w:noProof/>
          <w:color w:val="000000"/>
          <w:sz w:val="22"/>
          <w:szCs w:val="22"/>
          <w:lang w:val="en-US"/>
        </w:rPr>
      </w:pPr>
      <w:r>
        <w:rPr>
          <w:noProof/>
          <w:color w:val="000000"/>
          <w:sz w:val="22"/>
          <w:szCs w:val="22"/>
          <w:lang w:val="en-US"/>
        </w:rPr>
        <w:t xml:space="preserve">The major costs are related to Personnel expenditures. Three Experts would carry </w:t>
      </w:r>
      <w:r>
        <w:rPr>
          <w:noProof/>
          <w:color w:val="000000"/>
          <w:sz w:val="22"/>
          <w:szCs w:val="22"/>
          <w:lang w:val="en-US"/>
        </w:rPr>
        <w:t>out the activities during the 6 months duration. The three external experts will have to be followed and coordinated by at least two ENISA employees that do not represent additional costs as they are already remunerated by ENISA. According to ENISA procure</w:t>
      </w:r>
      <w:r>
        <w:rPr>
          <w:noProof/>
          <w:color w:val="000000"/>
          <w:sz w:val="22"/>
          <w:szCs w:val="22"/>
          <w:lang w:val="en-US"/>
        </w:rPr>
        <w:t>ment rules</w:t>
      </w:r>
      <w:r>
        <w:rPr>
          <w:rStyle w:val="FootnoteReference"/>
          <w:noProof/>
          <w:color w:val="000000"/>
          <w:sz w:val="22"/>
          <w:szCs w:val="22"/>
          <w:lang w:val="en-US"/>
        </w:rPr>
        <w:footnoteReference w:id="4"/>
      </w:r>
      <w:r>
        <w:rPr>
          <w:noProof/>
          <w:color w:val="000000"/>
          <w:sz w:val="22"/>
          <w:szCs w:val="22"/>
          <w:lang w:val="en-US"/>
        </w:rPr>
        <w:t xml:space="preserve">, each selected Expert can be remunerated with a fixed fee of €450 per person-day plus any travel and subsistence related costs, which will be based on the European Commission’s standard ‘Daily allowance’ or per diem rates for each European </w:t>
      </w:r>
      <w:r>
        <w:rPr>
          <w:noProof/>
          <w:color w:val="000000"/>
          <w:sz w:val="22"/>
          <w:szCs w:val="22"/>
          <w:lang w:val="en-US"/>
        </w:rPr>
        <w:t xml:space="preserve">Country. To better estimate the travelling cost and allowances for each experts, the Consortium have taken into account a study specifically conducted for another EU Agency on the “Experts Meetings”. During the start-up phase, considering for each experts </w:t>
      </w:r>
      <w:r>
        <w:rPr>
          <w:noProof/>
          <w:color w:val="000000"/>
          <w:sz w:val="22"/>
          <w:szCs w:val="22"/>
          <w:lang w:val="en-US"/>
        </w:rPr>
        <w:t>130 working days in 6 months, a very rough estimate of the total fee is:</w:t>
      </w:r>
    </w:p>
    <w:p w:rsidR="00913429" w:rsidRDefault="00913429">
      <w:pPr>
        <w:pStyle w:val="ListParagraph"/>
        <w:spacing w:after="180"/>
        <w:jc w:val="both"/>
        <w:rPr>
          <w:noProof/>
          <w:color w:val="000000"/>
          <w:sz w:val="22"/>
          <w:szCs w:val="22"/>
          <w:lang w:val="en-US"/>
        </w:rPr>
      </w:pPr>
    </w:p>
    <w:p w:rsidR="00913429" w:rsidRDefault="00E143F0">
      <w:pPr>
        <w:pStyle w:val="ListParagraph"/>
        <w:spacing w:after="180"/>
        <w:jc w:val="both"/>
        <w:rPr>
          <w:rFonts w:cs="Georgia"/>
          <w:b/>
          <w:noProof/>
          <w:color w:val="000000"/>
          <w:sz w:val="22"/>
          <w:szCs w:val="22"/>
          <w:lang w:val="en-US"/>
        </w:rPr>
      </w:pPr>
      <w:r>
        <w:rPr>
          <w:b/>
          <w:noProof/>
          <w:color w:val="000000"/>
          <w:sz w:val="22"/>
          <w:szCs w:val="22"/>
          <w:lang w:val="en-US"/>
        </w:rPr>
        <w:t>Total Fee</w:t>
      </w:r>
      <w:r>
        <w:rPr>
          <w:noProof/>
          <w:color w:val="000000"/>
          <w:sz w:val="22"/>
          <w:szCs w:val="22"/>
          <w:lang w:val="en-US"/>
        </w:rPr>
        <w:t xml:space="preserve"> </w:t>
      </w:r>
      <w:r>
        <w:rPr>
          <w:b/>
          <w:noProof/>
          <w:color w:val="000000"/>
          <w:sz w:val="22"/>
          <w:szCs w:val="22"/>
          <w:lang w:val="en-US"/>
        </w:rPr>
        <w:t>for each Expert</w:t>
      </w:r>
      <w:r>
        <w:rPr>
          <w:noProof/>
          <w:color w:val="000000"/>
          <w:sz w:val="22"/>
          <w:szCs w:val="22"/>
          <w:lang w:val="en-US"/>
        </w:rPr>
        <w:t xml:space="preserve">: 130 working days * 450€ + 11’000€ (Travelling cost estimate) + 5’000€ Allowances </w:t>
      </w:r>
      <w:r>
        <w:rPr>
          <w:rFonts w:ascii="Cambria Math" w:hAnsi="Cambria Math" w:cs="Cambria Math"/>
          <w:noProof/>
          <w:color w:val="000000"/>
          <w:sz w:val="22"/>
          <w:szCs w:val="22"/>
          <w:lang w:val="en-US"/>
        </w:rPr>
        <w:t>≃</w:t>
      </w:r>
      <w:r>
        <w:rPr>
          <w:noProof/>
          <w:color w:val="000000"/>
          <w:sz w:val="22"/>
          <w:szCs w:val="22"/>
          <w:lang w:val="en-US"/>
        </w:rPr>
        <w:t xml:space="preserve"> </w:t>
      </w:r>
      <w:r>
        <w:rPr>
          <w:b/>
          <w:noProof/>
          <w:color w:val="000000"/>
          <w:sz w:val="22"/>
          <w:szCs w:val="22"/>
          <w:lang w:val="en-US"/>
        </w:rPr>
        <w:t>75</w:t>
      </w:r>
      <w:r>
        <w:rPr>
          <w:rFonts w:cs="Georgia"/>
          <w:b/>
          <w:noProof/>
          <w:color w:val="000000"/>
          <w:sz w:val="22"/>
          <w:szCs w:val="22"/>
          <w:lang w:val="en-US"/>
        </w:rPr>
        <w:t>’</w:t>
      </w:r>
      <w:r>
        <w:rPr>
          <w:b/>
          <w:noProof/>
          <w:color w:val="000000"/>
          <w:sz w:val="22"/>
          <w:szCs w:val="22"/>
          <w:lang w:val="en-US"/>
        </w:rPr>
        <w:t>000</w:t>
      </w:r>
      <w:r>
        <w:rPr>
          <w:rFonts w:cs="Georgia"/>
          <w:b/>
          <w:noProof/>
          <w:color w:val="000000"/>
          <w:sz w:val="22"/>
          <w:szCs w:val="22"/>
          <w:lang w:val="en-US"/>
        </w:rPr>
        <w:t>€</w:t>
      </w:r>
    </w:p>
    <w:p w:rsidR="00913429" w:rsidRDefault="00E143F0">
      <w:pPr>
        <w:spacing w:before="120" w:after="180" w:line="240" w:lineRule="auto"/>
        <w:ind w:left="720"/>
        <w:jc w:val="both"/>
        <w:rPr>
          <w:rFonts w:eastAsia="Times New Roman" w:cs="Georgia"/>
          <w:noProof/>
          <w:color w:val="000000"/>
          <w:sz w:val="22"/>
          <w:szCs w:val="22"/>
          <w:lang w:val="en-US"/>
        </w:rPr>
      </w:pPr>
      <w:r>
        <w:rPr>
          <w:rFonts w:eastAsia="Times New Roman" w:cs="Georgia"/>
          <w:noProof/>
          <w:color w:val="000000"/>
          <w:sz w:val="22"/>
          <w:szCs w:val="22"/>
          <w:lang w:val="en-US"/>
        </w:rPr>
        <w:t>Travelling cost includes:</w:t>
      </w:r>
    </w:p>
    <w:p w:rsidR="00913429" w:rsidRDefault="00E143F0">
      <w:pPr>
        <w:pStyle w:val="ListParagraph"/>
        <w:numPr>
          <w:ilvl w:val="0"/>
          <w:numId w:val="123"/>
        </w:numPr>
        <w:spacing w:after="180"/>
        <w:ind w:left="1440"/>
        <w:jc w:val="both"/>
        <w:rPr>
          <w:noProof/>
          <w:color w:val="000000"/>
          <w:sz w:val="22"/>
          <w:szCs w:val="22"/>
          <w:lang w:val="en-US"/>
        </w:rPr>
      </w:pPr>
      <w:r>
        <w:rPr>
          <w:noProof/>
          <w:color w:val="000000"/>
          <w:sz w:val="22"/>
          <w:szCs w:val="22"/>
          <w:lang w:val="en-US"/>
        </w:rPr>
        <w:t>Tickets</w:t>
      </w:r>
    </w:p>
    <w:p w:rsidR="00913429" w:rsidRDefault="00E143F0">
      <w:pPr>
        <w:pStyle w:val="ListParagraph"/>
        <w:numPr>
          <w:ilvl w:val="0"/>
          <w:numId w:val="123"/>
        </w:numPr>
        <w:spacing w:after="180"/>
        <w:ind w:left="1440"/>
        <w:jc w:val="both"/>
        <w:rPr>
          <w:noProof/>
          <w:color w:val="000000"/>
          <w:sz w:val="22"/>
          <w:szCs w:val="22"/>
          <w:lang w:val="en-US"/>
        </w:rPr>
      </w:pPr>
      <w:r>
        <w:rPr>
          <w:noProof/>
          <w:color w:val="000000"/>
          <w:sz w:val="22"/>
          <w:szCs w:val="22"/>
          <w:lang w:val="en-US"/>
        </w:rPr>
        <w:t>Travel Agency Fees</w:t>
      </w:r>
    </w:p>
    <w:p w:rsidR="00913429" w:rsidRDefault="00E143F0">
      <w:pPr>
        <w:pStyle w:val="ListParagraph"/>
        <w:numPr>
          <w:ilvl w:val="0"/>
          <w:numId w:val="123"/>
        </w:numPr>
        <w:spacing w:after="180"/>
        <w:ind w:left="1440"/>
        <w:jc w:val="both"/>
        <w:rPr>
          <w:noProof/>
          <w:color w:val="000000"/>
          <w:sz w:val="22"/>
          <w:szCs w:val="22"/>
          <w:lang w:val="en-US"/>
        </w:rPr>
      </w:pPr>
      <w:r>
        <w:rPr>
          <w:noProof/>
          <w:color w:val="000000"/>
          <w:sz w:val="22"/>
          <w:szCs w:val="22"/>
          <w:lang w:val="en-US"/>
        </w:rPr>
        <w:t>Catering</w:t>
      </w:r>
    </w:p>
    <w:p w:rsidR="00913429" w:rsidRDefault="00E143F0">
      <w:pPr>
        <w:pStyle w:val="ListParagraph"/>
        <w:numPr>
          <w:ilvl w:val="0"/>
          <w:numId w:val="123"/>
        </w:numPr>
        <w:spacing w:after="180"/>
        <w:ind w:left="1440"/>
        <w:jc w:val="both"/>
        <w:rPr>
          <w:noProof/>
          <w:color w:val="000000"/>
          <w:sz w:val="22"/>
          <w:szCs w:val="22"/>
          <w:lang w:val="en-US"/>
        </w:rPr>
      </w:pPr>
      <w:r>
        <w:rPr>
          <w:noProof/>
          <w:color w:val="000000"/>
          <w:sz w:val="22"/>
          <w:szCs w:val="22"/>
          <w:lang w:val="en-US"/>
        </w:rPr>
        <w:t>Shuttle</w:t>
      </w:r>
    </w:p>
    <w:p w:rsidR="00913429" w:rsidRDefault="00E143F0">
      <w:pPr>
        <w:pStyle w:val="ListParagraph"/>
        <w:numPr>
          <w:ilvl w:val="0"/>
          <w:numId w:val="123"/>
        </w:numPr>
        <w:spacing w:after="180"/>
        <w:ind w:left="1440"/>
        <w:jc w:val="both"/>
        <w:rPr>
          <w:noProof/>
          <w:color w:val="000000"/>
          <w:sz w:val="22"/>
          <w:szCs w:val="22"/>
          <w:lang w:val="en-US"/>
        </w:rPr>
      </w:pPr>
      <w:r>
        <w:rPr>
          <w:noProof/>
          <w:color w:val="000000"/>
          <w:sz w:val="22"/>
          <w:szCs w:val="22"/>
          <w:lang w:val="en-US"/>
        </w:rPr>
        <w:t>Allowances (attendance fee, accommodation allowance, other transportation cost to be reimbursed)</w:t>
      </w:r>
    </w:p>
    <w:p w:rsidR="00913429" w:rsidRDefault="00E143F0">
      <w:pPr>
        <w:spacing w:after="0"/>
        <w:ind w:left="720"/>
        <w:jc w:val="both"/>
        <w:rPr>
          <w:noProof/>
          <w:color w:val="000000"/>
          <w:sz w:val="22"/>
          <w:szCs w:val="22"/>
          <w:lang w:val="en-US"/>
        </w:rPr>
      </w:pPr>
      <w:r>
        <w:rPr>
          <w:noProof/>
          <w:color w:val="000000"/>
          <w:sz w:val="22"/>
          <w:szCs w:val="22"/>
          <w:lang w:val="en-US"/>
        </w:rPr>
        <w:t xml:space="preserve">In addition to the travelling cost, 5 thousand euros of other Allowances (e.g. health insurance) are to be considered. </w:t>
      </w:r>
    </w:p>
    <w:p w:rsidR="00913429" w:rsidRDefault="00E143F0">
      <w:pPr>
        <w:spacing w:after="0"/>
        <w:ind w:left="720"/>
        <w:jc w:val="both"/>
        <w:rPr>
          <w:noProof/>
          <w:color w:val="000000"/>
          <w:sz w:val="22"/>
          <w:szCs w:val="22"/>
          <w:lang w:val="en-US"/>
        </w:rPr>
      </w:pPr>
      <w:r>
        <w:rPr>
          <w:noProof/>
          <w:color w:val="000000"/>
          <w:sz w:val="22"/>
          <w:szCs w:val="22"/>
          <w:lang w:val="en-US"/>
        </w:rPr>
        <w:t>Considering three Experts for t</w:t>
      </w:r>
      <w:r>
        <w:rPr>
          <w:noProof/>
          <w:color w:val="000000"/>
          <w:sz w:val="22"/>
          <w:szCs w:val="22"/>
          <w:lang w:val="en-US"/>
        </w:rPr>
        <w:t xml:space="preserve">he Start-up phase, the total estimated cost for personnel is </w:t>
      </w:r>
      <w:r>
        <w:rPr>
          <w:b/>
          <w:noProof/>
          <w:color w:val="000000"/>
          <w:sz w:val="22"/>
          <w:szCs w:val="22"/>
          <w:lang w:val="en-US"/>
        </w:rPr>
        <w:t>225 thousand euros</w:t>
      </w:r>
      <w:r>
        <w:rPr>
          <w:noProof/>
          <w:color w:val="000000"/>
          <w:sz w:val="22"/>
          <w:szCs w:val="22"/>
          <w:lang w:val="en-US"/>
        </w:rPr>
        <w:t>.</w:t>
      </w:r>
    </w:p>
    <w:p w:rsidR="00913429" w:rsidRDefault="00E143F0">
      <w:pPr>
        <w:pStyle w:val="ListParagraph"/>
        <w:numPr>
          <w:ilvl w:val="0"/>
          <w:numId w:val="134"/>
        </w:numPr>
        <w:spacing w:after="120"/>
        <w:ind w:left="714" w:hanging="357"/>
        <w:contextualSpacing w:val="0"/>
        <w:jc w:val="both"/>
        <w:rPr>
          <w:noProof/>
          <w:color w:val="000000"/>
          <w:sz w:val="22"/>
          <w:szCs w:val="22"/>
          <w:lang w:val="en-US"/>
        </w:rPr>
      </w:pPr>
      <w:r>
        <w:rPr>
          <w:noProof/>
          <w:color w:val="000000"/>
          <w:sz w:val="22"/>
          <w:szCs w:val="22"/>
          <w:lang w:val="en-US"/>
        </w:rPr>
        <w:t>Moreover, during the start-up phase, cost for skills development and training of the new Administrators and Assistants of the Certification Unit must be considered. For this a</w:t>
      </w:r>
      <w:r>
        <w:rPr>
          <w:noProof/>
          <w:color w:val="000000"/>
          <w:sz w:val="22"/>
          <w:szCs w:val="22"/>
          <w:lang w:val="en-US"/>
        </w:rPr>
        <w:t xml:space="preserve">ctivities the estimate cost is approximately 0,4 FTE of an Expert for a total of </w:t>
      </w:r>
      <w:r>
        <w:rPr>
          <w:b/>
          <w:noProof/>
          <w:color w:val="000000"/>
          <w:sz w:val="22"/>
          <w:szCs w:val="22"/>
          <w:lang w:val="en-US"/>
        </w:rPr>
        <w:t>30 thousand euros</w:t>
      </w:r>
      <w:r>
        <w:rPr>
          <w:noProof/>
          <w:color w:val="000000"/>
          <w:sz w:val="22"/>
          <w:szCs w:val="22"/>
          <w:lang w:val="en-US"/>
        </w:rPr>
        <w:t>.</w:t>
      </w:r>
    </w:p>
    <w:p w:rsidR="00913429" w:rsidRDefault="00E143F0">
      <w:pPr>
        <w:pStyle w:val="ListParagraph"/>
        <w:numPr>
          <w:ilvl w:val="0"/>
          <w:numId w:val="134"/>
        </w:numPr>
        <w:spacing w:after="180"/>
        <w:jc w:val="both"/>
        <w:rPr>
          <w:noProof/>
          <w:color w:val="000000"/>
          <w:sz w:val="22"/>
          <w:szCs w:val="22"/>
          <w:lang w:val="en-US"/>
        </w:rPr>
      </w:pPr>
      <w:r>
        <w:rPr>
          <w:noProof/>
          <w:color w:val="000000"/>
          <w:sz w:val="22"/>
          <w:szCs w:val="22"/>
          <w:lang w:val="en-US"/>
        </w:rPr>
        <w:t>The estimate cost for the website creation is calculated considering two information: an interview with representative from National Certification Authority and desk research. During an interview with representative from National Certification Authority, t</w:t>
      </w:r>
      <w:r>
        <w:rPr>
          <w:noProof/>
          <w:color w:val="000000"/>
          <w:sz w:val="22"/>
          <w:szCs w:val="22"/>
          <w:lang w:val="en-US"/>
        </w:rPr>
        <w:t>he estimated cost for the creation of the website which includes a registry of all certification undertaken in that country is around 10 thousands euro. Assuming that the European Commission will story in its registry information concerning product certifi</w:t>
      </w:r>
      <w:r>
        <w:rPr>
          <w:noProof/>
          <w:color w:val="000000"/>
          <w:sz w:val="22"/>
          <w:szCs w:val="22"/>
          <w:lang w:val="en-US"/>
        </w:rPr>
        <w:t xml:space="preserve">cation of all EU countries and not merely information from a single country. A more reasonable estimate cost could be </w:t>
      </w:r>
      <w:r>
        <w:rPr>
          <w:b/>
          <w:noProof/>
          <w:color w:val="000000"/>
          <w:sz w:val="22"/>
          <w:szCs w:val="22"/>
          <w:lang w:val="en-US"/>
        </w:rPr>
        <w:t>25 thousands euros</w:t>
      </w:r>
      <w:r>
        <w:rPr>
          <w:noProof/>
          <w:color w:val="000000"/>
          <w:sz w:val="22"/>
          <w:szCs w:val="22"/>
          <w:lang w:val="en-US"/>
        </w:rPr>
        <w:t xml:space="preserve"> which is based on the costs for this database characteristics</w:t>
      </w:r>
      <w:r>
        <w:rPr>
          <w:rStyle w:val="FootnoteReference"/>
          <w:noProof/>
          <w:color w:val="000000"/>
          <w:sz w:val="22"/>
          <w:szCs w:val="22"/>
          <w:lang w:val="en-US"/>
        </w:rPr>
        <w:footnoteReference w:id="5"/>
      </w:r>
      <w:r>
        <w:rPr>
          <w:noProof/>
          <w:color w:val="000000"/>
          <w:sz w:val="22"/>
          <w:szCs w:val="22"/>
          <w:lang w:val="en-US"/>
        </w:rPr>
        <w:t>:</w:t>
      </w:r>
    </w:p>
    <w:p w:rsidR="00913429" w:rsidRDefault="00913429">
      <w:pPr>
        <w:pStyle w:val="ListParagraph"/>
        <w:spacing w:after="180"/>
        <w:jc w:val="both"/>
        <w:rPr>
          <w:noProof/>
          <w:color w:val="000000"/>
          <w:sz w:val="22"/>
          <w:szCs w:val="22"/>
          <w:lang w:val="en-US"/>
        </w:rPr>
      </w:pPr>
    </w:p>
    <w:p w:rsidR="00913429" w:rsidRDefault="00E143F0">
      <w:pPr>
        <w:pStyle w:val="ListParagraph"/>
        <w:numPr>
          <w:ilvl w:val="0"/>
          <w:numId w:val="124"/>
        </w:numPr>
        <w:spacing w:after="180"/>
        <w:jc w:val="both"/>
        <w:rPr>
          <w:noProof/>
          <w:color w:val="000000"/>
          <w:sz w:val="22"/>
          <w:szCs w:val="22"/>
          <w:lang w:val="en-US"/>
        </w:rPr>
      </w:pPr>
      <w:r>
        <w:rPr>
          <w:b/>
          <w:noProof/>
          <w:color w:val="000000"/>
          <w:sz w:val="22"/>
          <w:szCs w:val="22"/>
          <w:lang w:val="en-US"/>
        </w:rPr>
        <w:t>Number of pages</w:t>
      </w:r>
      <w:r>
        <w:rPr>
          <w:noProof/>
          <w:color w:val="000000"/>
          <w:sz w:val="22"/>
          <w:szCs w:val="22"/>
          <w:lang w:val="en-US"/>
        </w:rPr>
        <w:t>: 10 - 50</w:t>
      </w:r>
    </w:p>
    <w:p w:rsidR="00913429" w:rsidRDefault="00E143F0">
      <w:pPr>
        <w:pStyle w:val="ListParagraph"/>
        <w:numPr>
          <w:ilvl w:val="0"/>
          <w:numId w:val="124"/>
        </w:numPr>
        <w:spacing w:after="180"/>
        <w:jc w:val="both"/>
        <w:rPr>
          <w:noProof/>
          <w:color w:val="000000"/>
          <w:sz w:val="22"/>
          <w:szCs w:val="22"/>
          <w:lang w:val="en-US"/>
        </w:rPr>
      </w:pPr>
      <w:r>
        <w:rPr>
          <w:b/>
          <w:noProof/>
          <w:color w:val="000000"/>
          <w:sz w:val="22"/>
          <w:szCs w:val="22"/>
          <w:lang w:val="en-US"/>
        </w:rPr>
        <w:t>Style of design</w:t>
      </w:r>
      <w:r>
        <w:rPr>
          <w:noProof/>
          <w:color w:val="000000"/>
          <w:sz w:val="22"/>
          <w:szCs w:val="22"/>
          <w:lang w:val="en-US"/>
        </w:rPr>
        <w:t>: Moderately s</w:t>
      </w:r>
      <w:r>
        <w:rPr>
          <w:noProof/>
          <w:color w:val="000000"/>
          <w:sz w:val="22"/>
          <w:szCs w:val="22"/>
          <w:lang w:val="en-US"/>
        </w:rPr>
        <w:t>tylized</w:t>
      </w:r>
    </w:p>
    <w:p w:rsidR="00913429" w:rsidRDefault="00E143F0">
      <w:pPr>
        <w:pStyle w:val="ListParagraph"/>
        <w:numPr>
          <w:ilvl w:val="0"/>
          <w:numId w:val="124"/>
        </w:numPr>
        <w:spacing w:after="180"/>
        <w:jc w:val="both"/>
        <w:rPr>
          <w:noProof/>
          <w:color w:val="000000"/>
          <w:sz w:val="22"/>
          <w:szCs w:val="22"/>
          <w:lang w:val="en-US"/>
        </w:rPr>
      </w:pPr>
      <w:r>
        <w:rPr>
          <w:b/>
          <w:noProof/>
          <w:color w:val="000000"/>
          <w:sz w:val="22"/>
          <w:szCs w:val="22"/>
          <w:lang w:val="en-US"/>
        </w:rPr>
        <w:t>Copywriting # of pages</w:t>
      </w:r>
      <w:r>
        <w:rPr>
          <w:noProof/>
          <w:color w:val="000000"/>
          <w:sz w:val="22"/>
          <w:szCs w:val="22"/>
          <w:lang w:val="en-US"/>
        </w:rPr>
        <w:t>: 5-10</w:t>
      </w:r>
    </w:p>
    <w:p w:rsidR="00913429" w:rsidRDefault="00E143F0">
      <w:pPr>
        <w:pStyle w:val="ListParagraph"/>
        <w:numPr>
          <w:ilvl w:val="0"/>
          <w:numId w:val="124"/>
        </w:numPr>
        <w:spacing w:after="180"/>
        <w:jc w:val="both"/>
        <w:rPr>
          <w:noProof/>
          <w:color w:val="000000"/>
          <w:sz w:val="22"/>
          <w:szCs w:val="22"/>
          <w:lang w:val="en-US"/>
        </w:rPr>
      </w:pPr>
      <w:r>
        <w:rPr>
          <w:b/>
          <w:noProof/>
          <w:color w:val="000000"/>
          <w:sz w:val="22"/>
          <w:szCs w:val="22"/>
          <w:lang w:val="en-US"/>
        </w:rPr>
        <w:t>SEO w/ Placement Guarantee</w:t>
      </w:r>
      <w:r>
        <w:rPr>
          <w:noProof/>
          <w:color w:val="000000"/>
          <w:sz w:val="22"/>
          <w:szCs w:val="22"/>
          <w:lang w:val="en-US"/>
        </w:rPr>
        <w:t>: 30 keywords</w:t>
      </w:r>
    </w:p>
    <w:p w:rsidR="00913429" w:rsidRDefault="00E143F0">
      <w:pPr>
        <w:pStyle w:val="ListParagraph"/>
        <w:numPr>
          <w:ilvl w:val="0"/>
          <w:numId w:val="124"/>
        </w:numPr>
        <w:spacing w:after="180"/>
        <w:jc w:val="both"/>
        <w:rPr>
          <w:noProof/>
          <w:color w:val="000000"/>
          <w:sz w:val="22"/>
          <w:szCs w:val="22"/>
          <w:lang w:val="en-US"/>
        </w:rPr>
      </w:pPr>
      <w:r>
        <w:rPr>
          <w:b/>
          <w:noProof/>
          <w:color w:val="000000"/>
          <w:sz w:val="22"/>
          <w:szCs w:val="22"/>
          <w:lang w:val="en-US"/>
        </w:rPr>
        <w:t>Responsive Design</w:t>
      </w:r>
      <w:r>
        <w:rPr>
          <w:noProof/>
          <w:color w:val="000000"/>
          <w:sz w:val="22"/>
          <w:szCs w:val="22"/>
          <w:lang w:val="en-US"/>
        </w:rPr>
        <w:t>: Yes</w:t>
      </w:r>
    </w:p>
    <w:p w:rsidR="00913429" w:rsidRDefault="00E143F0">
      <w:pPr>
        <w:pStyle w:val="ListParagraph"/>
        <w:numPr>
          <w:ilvl w:val="0"/>
          <w:numId w:val="124"/>
        </w:numPr>
        <w:spacing w:after="180"/>
        <w:jc w:val="both"/>
        <w:rPr>
          <w:noProof/>
          <w:color w:val="000000"/>
          <w:sz w:val="22"/>
          <w:szCs w:val="22"/>
          <w:lang w:val="en-US"/>
        </w:rPr>
      </w:pPr>
      <w:r>
        <w:rPr>
          <w:b/>
          <w:noProof/>
          <w:color w:val="000000"/>
          <w:sz w:val="22"/>
          <w:szCs w:val="22"/>
          <w:lang w:val="en-US"/>
        </w:rPr>
        <w:t>Database Integration</w:t>
      </w:r>
      <w:r>
        <w:rPr>
          <w:noProof/>
          <w:color w:val="000000"/>
          <w:sz w:val="22"/>
          <w:szCs w:val="22"/>
          <w:lang w:val="en-US"/>
        </w:rPr>
        <w:t>: Full development</w:t>
      </w:r>
    </w:p>
    <w:p w:rsidR="00913429" w:rsidRDefault="00E143F0">
      <w:pPr>
        <w:pStyle w:val="ListParagraph"/>
        <w:numPr>
          <w:ilvl w:val="0"/>
          <w:numId w:val="124"/>
        </w:numPr>
        <w:spacing w:after="180"/>
        <w:jc w:val="both"/>
        <w:rPr>
          <w:noProof/>
          <w:color w:val="000000"/>
          <w:sz w:val="22"/>
          <w:szCs w:val="22"/>
          <w:lang w:val="en-US"/>
        </w:rPr>
      </w:pPr>
      <w:r>
        <w:rPr>
          <w:b/>
          <w:noProof/>
          <w:color w:val="000000"/>
          <w:sz w:val="22"/>
          <w:szCs w:val="22"/>
          <w:lang w:val="en-US"/>
        </w:rPr>
        <w:t>e-Commerce Functionality</w:t>
      </w:r>
      <w:r>
        <w:rPr>
          <w:noProof/>
          <w:color w:val="000000"/>
          <w:sz w:val="22"/>
          <w:szCs w:val="22"/>
          <w:lang w:val="en-US"/>
        </w:rPr>
        <w:t>: None</w:t>
      </w:r>
    </w:p>
    <w:p w:rsidR="00913429" w:rsidRDefault="00E143F0">
      <w:pPr>
        <w:pStyle w:val="ListParagraph"/>
        <w:numPr>
          <w:ilvl w:val="0"/>
          <w:numId w:val="124"/>
        </w:numPr>
        <w:spacing w:after="180"/>
        <w:jc w:val="both"/>
        <w:rPr>
          <w:noProof/>
          <w:color w:val="000000"/>
          <w:sz w:val="22"/>
          <w:szCs w:val="22"/>
          <w:lang w:val="en-US"/>
        </w:rPr>
      </w:pPr>
      <w:r>
        <w:rPr>
          <w:b/>
          <w:noProof/>
          <w:color w:val="000000"/>
          <w:sz w:val="22"/>
          <w:szCs w:val="22"/>
          <w:lang w:val="en-US"/>
        </w:rPr>
        <w:t>CMS</w:t>
      </w:r>
      <w:r>
        <w:rPr>
          <w:noProof/>
          <w:color w:val="000000"/>
          <w:sz w:val="22"/>
          <w:szCs w:val="22"/>
          <w:lang w:val="en-US"/>
        </w:rPr>
        <w:t xml:space="preserve">: Standard </w:t>
      </w:r>
    </w:p>
    <w:p w:rsidR="00913429" w:rsidRDefault="00E143F0">
      <w:pPr>
        <w:pStyle w:val="Heading4"/>
        <w:numPr>
          <w:ilvl w:val="2"/>
          <w:numId w:val="51"/>
        </w:numPr>
        <w:spacing w:after="240"/>
        <w:rPr>
          <w:noProof/>
          <w:lang w:val="en-US"/>
        </w:rPr>
      </w:pPr>
      <w:r>
        <w:rPr>
          <w:noProof/>
          <w:lang w:val="en-US"/>
        </w:rPr>
        <w:t xml:space="preserve">Costs estimated for the running of an EU wide ICT framework management </w:t>
      </w:r>
      <w:r>
        <w:rPr>
          <w:noProof/>
          <w:lang w:val="en-US"/>
        </w:rPr>
        <w:t>board</w:t>
      </w:r>
    </w:p>
    <w:p w:rsidR="00913429" w:rsidRDefault="00E143F0">
      <w:pPr>
        <w:autoSpaceDE w:val="0"/>
        <w:autoSpaceDN w:val="0"/>
        <w:adjustRightInd w:val="0"/>
        <w:spacing w:after="120" w:line="240" w:lineRule="auto"/>
        <w:jc w:val="both"/>
        <w:rPr>
          <w:noProof/>
          <w:sz w:val="22"/>
          <w:szCs w:val="22"/>
          <w:lang w:val="en-US"/>
        </w:rPr>
      </w:pPr>
      <w:r>
        <w:rPr>
          <w:noProof/>
          <w:sz w:val="22"/>
          <w:szCs w:val="22"/>
          <w:lang w:val="en-US"/>
        </w:rPr>
        <w:t>In order to consider different options</w:t>
      </w:r>
      <w:r>
        <w:rPr>
          <w:noProof/>
        </w:rPr>
        <w:t xml:space="preserve"> for the </w:t>
      </w:r>
      <w:r>
        <w:rPr>
          <w:noProof/>
          <w:sz w:val="22"/>
          <w:szCs w:val="22"/>
          <w:lang w:val="en-US"/>
        </w:rPr>
        <w:t xml:space="preserve">maintenance costs of Institutions similar to ENISA in the context of an EU wide ICT Framework, costs related to the creation of a Management Board have been analysed. </w:t>
      </w:r>
    </w:p>
    <w:p w:rsidR="00913429" w:rsidRDefault="00E143F0">
      <w:pPr>
        <w:autoSpaceDE w:val="0"/>
        <w:autoSpaceDN w:val="0"/>
        <w:adjustRightInd w:val="0"/>
        <w:spacing w:after="120" w:line="240" w:lineRule="auto"/>
        <w:jc w:val="both"/>
        <w:rPr>
          <w:noProof/>
          <w:sz w:val="22"/>
          <w:szCs w:val="22"/>
          <w:lang w:val="en-US"/>
        </w:rPr>
      </w:pPr>
      <w:r>
        <w:rPr>
          <w:noProof/>
          <w:sz w:val="22"/>
          <w:szCs w:val="22"/>
          <w:lang w:val="en-US"/>
        </w:rPr>
        <w:t xml:space="preserve">In the context of the creation of an EU general ICT Certification scheme, representatives from National Certification Authorities expect not negligible costs to run a European certification boards. At least, the following costs should be considered: costs </w:t>
      </w:r>
      <w:r>
        <w:rPr>
          <w:noProof/>
          <w:sz w:val="22"/>
          <w:szCs w:val="22"/>
          <w:lang w:val="en-US"/>
        </w:rPr>
        <w:t>to produce/maintain the relevant competencies in the Framework (e.g., security specification, evaluation, certification), costs to call/launch ad hoc projects on relevant security requirements and corresponding security certification requirements, and cost</w:t>
      </w:r>
      <w:r>
        <w:rPr>
          <w:noProof/>
          <w:sz w:val="22"/>
          <w:szCs w:val="22"/>
          <w:lang w:val="en-US"/>
        </w:rPr>
        <w:t xml:space="preserve">s for logistics. Costs could be in fact reduced to those needed to coordinate and/or extend pre-existing structures and/or tools and/or standards. </w:t>
      </w:r>
    </w:p>
    <w:p w:rsidR="00913429" w:rsidRDefault="00E143F0">
      <w:pPr>
        <w:autoSpaceDE w:val="0"/>
        <w:autoSpaceDN w:val="0"/>
        <w:adjustRightInd w:val="0"/>
        <w:spacing w:after="120" w:line="240" w:lineRule="auto"/>
        <w:jc w:val="both"/>
        <w:rPr>
          <w:noProof/>
          <w:sz w:val="22"/>
          <w:szCs w:val="22"/>
          <w:lang w:val="en-US"/>
        </w:rPr>
      </w:pPr>
      <w:r>
        <w:rPr>
          <w:noProof/>
          <w:sz w:val="22"/>
          <w:szCs w:val="22"/>
          <w:lang w:val="en-US"/>
        </w:rPr>
        <w:t xml:space="preserve">Interviewees from ICT Certification Authority said that a very quick estimation of manpower needed to run a </w:t>
      </w:r>
      <w:r>
        <w:rPr>
          <w:noProof/>
          <w:sz w:val="22"/>
          <w:szCs w:val="22"/>
          <w:lang w:val="en-US"/>
        </w:rPr>
        <w:t>European Certification board is not that obvious, however if we consider the existing SOG-IS MRA and EU Authorities (ENISA, JRC), ICT Certification Authority representatives suggest that a permanent secretariat of 5 people could support the MSs to:</w:t>
      </w:r>
    </w:p>
    <w:p w:rsidR="00913429" w:rsidRDefault="00E143F0">
      <w:pPr>
        <w:autoSpaceDE w:val="0"/>
        <w:autoSpaceDN w:val="0"/>
        <w:adjustRightInd w:val="0"/>
        <w:spacing w:after="0" w:line="240" w:lineRule="auto"/>
        <w:ind w:left="720" w:hanging="360"/>
        <w:jc w:val="both"/>
        <w:rPr>
          <w:noProof/>
          <w:sz w:val="22"/>
          <w:szCs w:val="22"/>
          <w:lang w:val="en-US"/>
        </w:rPr>
      </w:pPr>
      <w:r>
        <w:rPr>
          <w:noProof/>
          <w:sz w:val="22"/>
          <w:szCs w:val="22"/>
          <w:lang w:val="en-US"/>
        </w:rPr>
        <w:t>-</w:t>
      </w:r>
      <w:r>
        <w:rPr>
          <w:noProof/>
          <w:sz w:val="22"/>
          <w:szCs w:val="22"/>
          <w:lang w:val="en-US"/>
        </w:rPr>
        <w:tab/>
        <w:t>Organ</w:t>
      </w:r>
      <w:r>
        <w:rPr>
          <w:noProof/>
          <w:sz w:val="22"/>
          <w:szCs w:val="22"/>
          <w:lang w:val="en-US"/>
        </w:rPr>
        <w:t>ize the appropriate exchanges of strategies to address the certification needs in the EU and establish roadmaps</w:t>
      </w:r>
    </w:p>
    <w:p w:rsidR="00913429" w:rsidRDefault="00E143F0">
      <w:pPr>
        <w:autoSpaceDE w:val="0"/>
        <w:autoSpaceDN w:val="0"/>
        <w:adjustRightInd w:val="0"/>
        <w:spacing w:after="0" w:line="240" w:lineRule="auto"/>
        <w:ind w:left="720" w:hanging="360"/>
        <w:jc w:val="both"/>
        <w:rPr>
          <w:noProof/>
          <w:sz w:val="22"/>
          <w:szCs w:val="22"/>
          <w:lang w:val="en-US"/>
        </w:rPr>
      </w:pPr>
      <w:r>
        <w:rPr>
          <w:noProof/>
          <w:sz w:val="22"/>
          <w:szCs w:val="22"/>
          <w:lang w:val="en-US"/>
        </w:rPr>
        <w:t>-</w:t>
      </w:r>
      <w:r>
        <w:rPr>
          <w:noProof/>
          <w:sz w:val="22"/>
          <w:szCs w:val="22"/>
          <w:lang w:val="en-US"/>
        </w:rPr>
        <w:tab/>
        <w:t>Approve the certification methods considered applicable for EU certification and recognized by all MSs</w:t>
      </w:r>
    </w:p>
    <w:p w:rsidR="00913429" w:rsidRDefault="00E143F0">
      <w:pPr>
        <w:autoSpaceDE w:val="0"/>
        <w:autoSpaceDN w:val="0"/>
        <w:adjustRightInd w:val="0"/>
        <w:spacing w:after="0" w:line="240" w:lineRule="auto"/>
        <w:ind w:left="720" w:hanging="360"/>
        <w:jc w:val="both"/>
        <w:rPr>
          <w:noProof/>
          <w:sz w:val="22"/>
          <w:szCs w:val="22"/>
          <w:lang w:val="en-US"/>
        </w:rPr>
      </w:pPr>
      <w:r>
        <w:rPr>
          <w:noProof/>
          <w:sz w:val="22"/>
          <w:szCs w:val="22"/>
          <w:lang w:val="en-US"/>
        </w:rPr>
        <w:t>-</w:t>
      </w:r>
      <w:r>
        <w:rPr>
          <w:noProof/>
          <w:sz w:val="22"/>
          <w:szCs w:val="22"/>
          <w:lang w:val="en-US"/>
        </w:rPr>
        <w:tab/>
        <w:t>Offer a front office for new certific</w:t>
      </w:r>
      <w:r>
        <w:rPr>
          <w:noProof/>
          <w:sz w:val="22"/>
          <w:szCs w:val="22"/>
          <w:lang w:val="en-US"/>
        </w:rPr>
        <w:t>ation needs expressed by vertical sectors</w:t>
      </w:r>
    </w:p>
    <w:p w:rsidR="00913429" w:rsidRDefault="00E143F0">
      <w:pPr>
        <w:autoSpaceDE w:val="0"/>
        <w:autoSpaceDN w:val="0"/>
        <w:adjustRightInd w:val="0"/>
        <w:spacing w:after="0" w:line="240" w:lineRule="auto"/>
        <w:ind w:left="720" w:hanging="360"/>
        <w:rPr>
          <w:rFonts w:eastAsia="Calibri"/>
          <w:noProof/>
          <w:color w:val="70AD47"/>
          <w:sz w:val="22"/>
          <w:szCs w:val="22"/>
          <w:u w:val="single"/>
        </w:rPr>
      </w:pPr>
      <w:r>
        <w:rPr>
          <w:noProof/>
          <w:sz w:val="22"/>
          <w:szCs w:val="22"/>
          <w:lang w:val="en-US"/>
        </w:rPr>
        <w:t>-</w:t>
      </w:r>
      <w:r>
        <w:rPr>
          <w:noProof/>
          <w:sz w:val="22"/>
          <w:szCs w:val="22"/>
          <w:lang w:val="en-US"/>
        </w:rPr>
        <w:tab/>
        <w:t>Publish certificates and promote certification activities</w:t>
      </w:r>
      <w:r>
        <w:rPr>
          <w:noProof/>
          <w:sz w:val="22"/>
          <w:szCs w:val="22"/>
          <w:lang w:val="en-US"/>
        </w:rPr>
        <w:br/>
      </w:r>
    </w:p>
    <w:p w:rsidR="00913429" w:rsidRDefault="00E143F0">
      <w:pPr>
        <w:autoSpaceDE w:val="0"/>
        <w:autoSpaceDN w:val="0"/>
        <w:adjustRightInd w:val="0"/>
        <w:spacing w:line="240" w:lineRule="auto"/>
        <w:jc w:val="both"/>
        <w:rPr>
          <w:rFonts w:eastAsia="Calibri"/>
          <w:noProof/>
          <w:sz w:val="22"/>
          <w:szCs w:val="22"/>
        </w:rPr>
      </w:pPr>
      <w:r>
        <w:rPr>
          <w:rFonts w:eastAsia="Calibri"/>
          <w:noProof/>
          <w:sz w:val="22"/>
          <w:szCs w:val="22"/>
        </w:rPr>
        <w:t>A proposal of the new Structure and Organisation of the new Certification Unit is shown below:</w:t>
      </w:r>
    </w:p>
    <w:p w:rsidR="00913429" w:rsidRDefault="00E143F0">
      <w:pPr>
        <w:keepNext/>
        <w:autoSpaceDE w:val="0"/>
        <w:autoSpaceDN w:val="0"/>
        <w:adjustRightInd w:val="0"/>
        <w:spacing w:after="120" w:line="240" w:lineRule="auto"/>
        <w:jc w:val="center"/>
        <w:rPr>
          <w:noProof/>
          <w:sz w:val="22"/>
          <w:szCs w:val="22"/>
        </w:rPr>
      </w:pPr>
      <w:r>
        <w:rPr>
          <w:noProof/>
          <w:sz w:val="22"/>
          <w:szCs w:val="22"/>
          <w:lang w:eastAsia="en-GB"/>
        </w:rPr>
        <w:t xml:space="preserve"> </w:t>
      </w:r>
      <w:r>
        <w:rPr>
          <w:noProof/>
          <w:sz w:val="22"/>
          <w:szCs w:val="22"/>
          <w:lang w:eastAsia="en-GB"/>
        </w:rPr>
        <w:drawing>
          <wp:inline distT="0" distB="0" distL="0" distR="0" wp14:anchorId="3481D792" wp14:editId="7437CEC2">
            <wp:extent cx="6534150" cy="3681454"/>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42102" cy="3685934"/>
                    </a:xfrm>
                    <a:prstGeom prst="rect">
                      <a:avLst/>
                    </a:prstGeom>
                    <a:noFill/>
                  </pic:spPr>
                </pic:pic>
              </a:graphicData>
            </a:graphic>
          </wp:inline>
        </w:drawing>
      </w:r>
    </w:p>
    <w:p w:rsidR="00913429" w:rsidRDefault="00E143F0">
      <w:pPr>
        <w:pStyle w:val="Caption"/>
        <w:jc w:val="center"/>
        <w:rPr>
          <w:noProof/>
          <w:sz w:val="22"/>
          <w:szCs w:val="22"/>
        </w:rPr>
      </w:pPr>
      <w:r>
        <w:rPr>
          <w:noProof/>
          <w:sz w:val="22"/>
          <w:szCs w:val="22"/>
        </w:rPr>
        <w:t>Figure - Proposal for the new Certification Unit</w:t>
      </w:r>
    </w:p>
    <w:p w:rsidR="00913429" w:rsidRDefault="00913429">
      <w:pPr>
        <w:jc w:val="both"/>
        <w:rPr>
          <w:noProof/>
          <w:sz w:val="22"/>
          <w:szCs w:val="22"/>
        </w:rPr>
      </w:pPr>
    </w:p>
    <w:p w:rsidR="00913429" w:rsidRDefault="00E143F0">
      <w:pPr>
        <w:jc w:val="both"/>
        <w:rPr>
          <w:noProof/>
          <w:sz w:val="22"/>
          <w:szCs w:val="22"/>
        </w:rPr>
      </w:pPr>
      <w:r>
        <w:rPr>
          <w:noProof/>
          <w:sz w:val="22"/>
          <w:szCs w:val="22"/>
        </w:rPr>
        <w:t xml:space="preserve">The </w:t>
      </w:r>
      <w:r>
        <w:rPr>
          <w:noProof/>
          <w:sz w:val="22"/>
          <w:szCs w:val="22"/>
        </w:rPr>
        <w:t>new Certification Unit could be composed by:</w:t>
      </w:r>
    </w:p>
    <w:p w:rsidR="00913429" w:rsidRDefault="00E143F0">
      <w:pPr>
        <w:pStyle w:val="ListParagraph"/>
        <w:numPr>
          <w:ilvl w:val="0"/>
          <w:numId w:val="125"/>
        </w:numPr>
        <w:jc w:val="both"/>
        <w:rPr>
          <w:noProof/>
          <w:sz w:val="22"/>
          <w:szCs w:val="22"/>
          <w:lang w:val="en-US"/>
        </w:rPr>
      </w:pPr>
      <w:r>
        <w:rPr>
          <w:rFonts w:eastAsiaTheme="minorEastAsia"/>
          <w:b/>
          <w:bCs/>
          <w:noProof/>
          <w:sz w:val="22"/>
          <w:szCs w:val="22"/>
          <w:lang w:val="en-US"/>
        </w:rPr>
        <w:t>1 Head of Unit (or Team Leader)</w:t>
      </w:r>
      <w:r>
        <w:rPr>
          <w:rFonts w:eastAsiaTheme="minorEastAsia"/>
          <w:noProof/>
          <w:sz w:val="22"/>
          <w:szCs w:val="22"/>
          <w:lang w:val="en-US"/>
        </w:rPr>
        <w:t>: For the estimate cost, the Consortium considered a salary for a Temporary Agent (AD7). The Head of Certification Unit will be responsible for maintaining relationships with ENISA</w:t>
      </w:r>
      <w:r>
        <w:rPr>
          <w:rFonts w:eastAsiaTheme="minorEastAsia"/>
          <w:noProof/>
          <w:sz w:val="22"/>
          <w:szCs w:val="22"/>
          <w:lang w:val="en-US"/>
        </w:rPr>
        <w:t xml:space="preserve"> Management Board as well as EU Member States and supervising the Secretariat Team and the Technical Support. </w:t>
      </w:r>
      <w:r>
        <w:rPr>
          <w:rFonts w:eastAsiaTheme="minorEastAsia"/>
          <w:b/>
          <w:bCs/>
          <w:noProof/>
          <w:sz w:val="22"/>
          <w:szCs w:val="22"/>
          <w:lang w:val="en-US"/>
        </w:rPr>
        <w:t>The total cost estimated is 90k/€ per 1 FTE.</w:t>
      </w:r>
    </w:p>
    <w:p w:rsidR="00913429" w:rsidRDefault="00E143F0">
      <w:pPr>
        <w:jc w:val="both"/>
        <w:rPr>
          <w:noProof/>
          <w:sz w:val="22"/>
          <w:szCs w:val="22"/>
          <w:lang w:val="en-US"/>
        </w:rPr>
      </w:pPr>
      <w:r>
        <w:rPr>
          <w:bCs/>
          <w:noProof/>
          <w:sz w:val="22"/>
          <w:szCs w:val="22"/>
          <w:lang w:val="en-US"/>
        </w:rPr>
        <w:t>Under the Head of Certification Unit, the Secretariat will be composed by one Administrator Temporary</w:t>
      </w:r>
      <w:r>
        <w:rPr>
          <w:bCs/>
          <w:noProof/>
          <w:sz w:val="22"/>
          <w:szCs w:val="22"/>
          <w:lang w:val="en-US"/>
        </w:rPr>
        <w:t xml:space="preserve"> Agent (AD5) and three Assistants (AST3) that will be responsible for the following activities:</w:t>
      </w:r>
    </w:p>
    <w:p w:rsidR="00913429" w:rsidRDefault="00E143F0">
      <w:pPr>
        <w:numPr>
          <w:ilvl w:val="0"/>
          <w:numId w:val="126"/>
        </w:numPr>
        <w:spacing w:after="0"/>
        <w:jc w:val="both"/>
        <w:rPr>
          <w:noProof/>
          <w:sz w:val="22"/>
          <w:szCs w:val="22"/>
          <w:lang w:val="en-US"/>
        </w:rPr>
      </w:pPr>
      <w:r>
        <w:rPr>
          <w:b/>
          <w:bCs/>
          <w:noProof/>
          <w:sz w:val="22"/>
          <w:szCs w:val="22"/>
          <w:lang w:val="en-US"/>
        </w:rPr>
        <w:t xml:space="preserve">Coordination: </w:t>
      </w:r>
      <w:r>
        <w:rPr>
          <w:noProof/>
          <w:sz w:val="22"/>
          <w:szCs w:val="22"/>
          <w:lang w:val="en-US"/>
        </w:rPr>
        <w:t xml:space="preserve">coordinate department functions, identifying needs, information sharing </w:t>
      </w:r>
    </w:p>
    <w:p w:rsidR="00913429" w:rsidRDefault="00E143F0">
      <w:pPr>
        <w:numPr>
          <w:ilvl w:val="0"/>
          <w:numId w:val="126"/>
        </w:numPr>
        <w:spacing w:after="0"/>
        <w:jc w:val="both"/>
        <w:rPr>
          <w:noProof/>
          <w:sz w:val="22"/>
          <w:szCs w:val="22"/>
          <w:lang w:val="en-US"/>
        </w:rPr>
      </w:pPr>
      <w:r>
        <w:rPr>
          <w:b/>
          <w:bCs/>
          <w:noProof/>
          <w:sz w:val="22"/>
          <w:szCs w:val="22"/>
          <w:lang w:val="en-US"/>
        </w:rPr>
        <w:t xml:space="preserve">Meetings organization: </w:t>
      </w:r>
      <w:r>
        <w:rPr>
          <w:noProof/>
          <w:sz w:val="22"/>
          <w:szCs w:val="22"/>
          <w:lang w:val="en-US"/>
        </w:rPr>
        <w:t>organize transfers and technical and/or support me</w:t>
      </w:r>
      <w:r>
        <w:rPr>
          <w:noProof/>
          <w:sz w:val="22"/>
          <w:szCs w:val="22"/>
          <w:lang w:val="en-US"/>
        </w:rPr>
        <w:t>etings to MS and industry</w:t>
      </w:r>
    </w:p>
    <w:p w:rsidR="00913429" w:rsidRDefault="00E143F0">
      <w:pPr>
        <w:numPr>
          <w:ilvl w:val="0"/>
          <w:numId w:val="126"/>
        </w:numPr>
        <w:spacing w:after="0"/>
        <w:jc w:val="both"/>
        <w:rPr>
          <w:noProof/>
          <w:sz w:val="22"/>
          <w:szCs w:val="22"/>
          <w:lang w:val="en-US"/>
        </w:rPr>
      </w:pPr>
      <w:r>
        <w:rPr>
          <w:b/>
          <w:bCs/>
          <w:noProof/>
          <w:sz w:val="22"/>
          <w:szCs w:val="22"/>
          <w:lang w:val="en-US"/>
        </w:rPr>
        <w:t xml:space="preserve">Agenda setting: </w:t>
      </w:r>
      <w:r>
        <w:rPr>
          <w:noProof/>
          <w:sz w:val="22"/>
          <w:szCs w:val="22"/>
          <w:lang w:val="en-US"/>
        </w:rPr>
        <w:t>draft agenda and the decisions/opinions of the Board, maintaining relations with MS</w:t>
      </w:r>
    </w:p>
    <w:p w:rsidR="00913429" w:rsidRDefault="00E143F0">
      <w:pPr>
        <w:numPr>
          <w:ilvl w:val="0"/>
          <w:numId w:val="126"/>
        </w:numPr>
        <w:spacing w:after="0"/>
        <w:jc w:val="both"/>
        <w:rPr>
          <w:noProof/>
          <w:sz w:val="22"/>
          <w:szCs w:val="22"/>
          <w:lang w:val="en-US"/>
        </w:rPr>
      </w:pPr>
      <w:r>
        <w:rPr>
          <w:b/>
          <w:bCs/>
          <w:noProof/>
          <w:sz w:val="22"/>
          <w:szCs w:val="22"/>
          <w:lang w:val="en-US"/>
        </w:rPr>
        <w:t>Website/Register of Certificates:</w:t>
      </w:r>
      <w:r>
        <w:rPr>
          <w:noProof/>
          <w:sz w:val="22"/>
          <w:szCs w:val="22"/>
          <w:lang w:val="en-US"/>
        </w:rPr>
        <w:t xml:space="preserve"> maintain/update the website and the register of the certified products and the list of products under evaluation</w:t>
      </w:r>
    </w:p>
    <w:p w:rsidR="00913429" w:rsidRDefault="00E143F0">
      <w:pPr>
        <w:numPr>
          <w:ilvl w:val="0"/>
          <w:numId w:val="126"/>
        </w:numPr>
        <w:jc w:val="both"/>
        <w:rPr>
          <w:noProof/>
          <w:sz w:val="22"/>
          <w:szCs w:val="22"/>
          <w:lang w:val="en-US"/>
        </w:rPr>
      </w:pPr>
      <w:r>
        <w:rPr>
          <w:b/>
          <w:bCs/>
          <w:noProof/>
          <w:sz w:val="22"/>
          <w:szCs w:val="22"/>
          <w:lang w:val="en-US"/>
        </w:rPr>
        <w:t xml:space="preserve">Other secretariat tasks: </w:t>
      </w:r>
      <w:r>
        <w:rPr>
          <w:noProof/>
          <w:sz w:val="22"/>
          <w:szCs w:val="22"/>
          <w:lang w:val="en-US"/>
        </w:rPr>
        <w:t>provide support to and/or participate in various (technical) meetings, working groups etc.</w:t>
      </w:r>
    </w:p>
    <w:p w:rsidR="00913429" w:rsidRDefault="00E143F0">
      <w:pPr>
        <w:jc w:val="both"/>
        <w:rPr>
          <w:noProof/>
          <w:sz w:val="22"/>
          <w:szCs w:val="22"/>
          <w:lang w:val="en-US"/>
        </w:rPr>
      </w:pPr>
      <w:r>
        <w:rPr>
          <w:bCs/>
          <w:noProof/>
          <w:sz w:val="22"/>
          <w:szCs w:val="22"/>
          <w:lang w:val="en-US"/>
        </w:rPr>
        <w:t>Assuming for the Administr</w:t>
      </w:r>
      <w:r>
        <w:rPr>
          <w:bCs/>
          <w:noProof/>
          <w:sz w:val="22"/>
          <w:szCs w:val="22"/>
          <w:lang w:val="en-US"/>
        </w:rPr>
        <w:t xml:space="preserve">ator a salary of 70 thousand euros per year and for the Assistants a salary of 50 thousands euros per year , the total cost estimated for running and maintain the Secretariat is </w:t>
      </w:r>
      <w:r>
        <w:rPr>
          <w:b/>
          <w:bCs/>
          <w:noProof/>
          <w:sz w:val="22"/>
          <w:szCs w:val="22"/>
          <w:lang w:val="en-US"/>
        </w:rPr>
        <w:t xml:space="preserve">220k/€ for </w:t>
      </w:r>
      <w:r>
        <w:rPr>
          <w:noProof/>
          <w:sz w:val="22"/>
          <w:szCs w:val="22"/>
          <w:lang w:val="en-US"/>
        </w:rPr>
        <w:t>1 Administrator (AD5) and 3 FTE Assistant (AST3).</w:t>
      </w:r>
    </w:p>
    <w:p w:rsidR="00913429" w:rsidRDefault="00E143F0">
      <w:pPr>
        <w:keepNext/>
        <w:jc w:val="center"/>
        <w:rPr>
          <w:noProof/>
          <w:sz w:val="22"/>
          <w:szCs w:val="22"/>
        </w:rPr>
      </w:pPr>
      <w:r>
        <w:rPr>
          <w:noProof/>
          <w:sz w:val="22"/>
          <w:szCs w:val="22"/>
          <w:lang w:eastAsia="en-GB"/>
        </w:rPr>
        <w:drawing>
          <wp:inline distT="0" distB="0" distL="0" distR="0" wp14:anchorId="1C03D6B3" wp14:editId="5A504BFF">
            <wp:extent cx="4659464" cy="3926768"/>
            <wp:effectExtent l="0" t="0" r="825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48561" cy="4001855"/>
                    </a:xfrm>
                    <a:prstGeom prst="rect">
                      <a:avLst/>
                    </a:prstGeom>
                    <a:noFill/>
                  </pic:spPr>
                </pic:pic>
              </a:graphicData>
            </a:graphic>
          </wp:inline>
        </w:drawing>
      </w:r>
    </w:p>
    <w:p w:rsidR="00913429" w:rsidRDefault="00E143F0">
      <w:pPr>
        <w:pStyle w:val="Caption"/>
        <w:spacing w:after="240"/>
        <w:jc w:val="center"/>
        <w:rPr>
          <w:noProof/>
          <w:sz w:val="22"/>
          <w:szCs w:val="22"/>
          <w:lang w:val="en-US"/>
        </w:rPr>
      </w:pPr>
      <w:r>
        <w:rPr>
          <w:noProof/>
          <w:sz w:val="22"/>
          <w:szCs w:val="22"/>
        </w:rPr>
        <w:t xml:space="preserve">Figure - Roles </w:t>
      </w:r>
      <w:r>
        <w:rPr>
          <w:noProof/>
          <w:sz w:val="22"/>
          <w:szCs w:val="22"/>
        </w:rPr>
        <w:t>Interrelationships</w:t>
      </w:r>
    </w:p>
    <w:p w:rsidR="00913429" w:rsidRDefault="00913429">
      <w:pPr>
        <w:jc w:val="both"/>
        <w:rPr>
          <w:bCs/>
          <w:noProof/>
          <w:sz w:val="22"/>
          <w:szCs w:val="22"/>
          <w:lang w:val="en-US"/>
        </w:rPr>
      </w:pPr>
    </w:p>
    <w:p w:rsidR="00913429" w:rsidRDefault="00913429">
      <w:pPr>
        <w:jc w:val="both"/>
        <w:rPr>
          <w:bCs/>
          <w:noProof/>
          <w:sz w:val="22"/>
          <w:szCs w:val="22"/>
          <w:lang w:val="en-US"/>
        </w:rPr>
      </w:pPr>
    </w:p>
    <w:p w:rsidR="00913429" w:rsidRDefault="00E143F0">
      <w:pPr>
        <w:jc w:val="both"/>
        <w:rPr>
          <w:noProof/>
          <w:sz w:val="22"/>
          <w:szCs w:val="22"/>
          <w:lang w:val="en-US"/>
        </w:rPr>
      </w:pPr>
      <w:r>
        <w:rPr>
          <w:bCs/>
          <w:noProof/>
          <w:sz w:val="22"/>
          <w:szCs w:val="22"/>
          <w:lang w:val="en-US"/>
        </w:rPr>
        <w:t>The Secretariat of the Certification Unit will need of Technical Support responsible for the following activities:</w:t>
      </w:r>
    </w:p>
    <w:p w:rsidR="00913429" w:rsidRDefault="00E143F0">
      <w:pPr>
        <w:numPr>
          <w:ilvl w:val="0"/>
          <w:numId w:val="127"/>
        </w:numPr>
        <w:spacing w:after="0"/>
        <w:jc w:val="both"/>
        <w:rPr>
          <w:noProof/>
          <w:sz w:val="22"/>
          <w:szCs w:val="22"/>
          <w:lang w:val="en-US"/>
        </w:rPr>
      </w:pPr>
      <w:r>
        <w:rPr>
          <w:b/>
          <w:bCs/>
          <w:noProof/>
          <w:sz w:val="22"/>
          <w:szCs w:val="22"/>
          <w:lang w:val="en-US"/>
        </w:rPr>
        <w:t xml:space="preserve">Regulatory technical Standards: </w:t>
      </w:r>
      <w:r>
        <w:rPr>
          <w:noProof/>
          <w:sz w:val="22"/>
          <w:szCs w:val="22"/>
          <w:lang w:val="en-US"/>
        </w:rPr>
        <w:t>Responsible</w:t>
      </w:r>
      <w:r>
        <w:rPr>
          <w:b/>
          <w:bCs/>
          <w:noProof/>
          <w:sz w:val="22"/>
          <w:szCs w:val="22"/>
          <w:lang w:val="en-US"/>
        </w:rPr>
        <w:t xml:space="preserve"> </w:t>
      </w:r>
      <w:r>
        <w:rPr>
          <w:noProof/>
          <w:sz w:val="22"/>
          <w:szCs w:val="22"/>
          <w:lang w:val="en-US"/>
        </w:rPr>
        <w:t>for</w:t>
      </w:r>
      <w:r>
        <w:rPr>
          <w:b/>
          <w:bCs/>
          <w:noProof/>
          <w:sz w:val="22"/>
          <w:szCs w:val="22"/>
          <w:lang w:val="en-US"/>
        </w:rPr>
        <w:t xml:space="preserve"> </w:t>
      </w:r>
      <w:r>
        <w:rPr>
          <w:noProof/>
          <w:sz w:val="22"/>
          <w:szCs w:val="22"/>
          <w:lang w:val="en-US"/>
        </w:rPr>
        <w:t xml:space="preserve">evaluating standards and the certification scheme’s security </w:t>
      </w:r>
      <w:r>
        <w:rPr>
          <w:noProof/>
          <w:sz w:val="22"/>
          <w:szCs w:val="22"/>
          <w:lang w:val="en-US"/>
        </w:rPr>
        <w:t>requirements, preparing and collecting reports</w:t>
      </w:r>
    </w:p>
    <w:p w:rsidR="00913429" w:rsidRDefault="00E143F0">
      <w:pPr>
        <w:numPr>
          <w:ilvl w:val="0"/>
          <w:numId w:val="127"/>
        </w:numPr>
        <w:spacing w:after="0"/>
        <w:jc w:val="both"/>
        <w:rPr>
          <w:noProof/>
          <w:sz w:val="22"/>
          <w:szCs w:val="22"/>
          <w:lang w:val="en-US"/>
        </w:rPr>
      </w:pPr>
      <w:r>
        <w:rPr>
          <w:b/>
          <w:bCs/>
          <w:noProof/>
          <w:sz w:val="22"/>
          <w:szCs w:val="22"/>
          <w:lang w:val="en-US"/>
        </w:rPr>
        <w:t>Guidelines drafting on security ICT requirements: involve industry and certification authorities stakeholders to draft guidelines on given ICT requirements</w:t>
      </w:r>
    </w:p>
    <w:p w:rsidR="00913429" w:rsidRDefault="00E143F0">
      <w:pPr>
        <w:numPr>
          <w:ilvl w:val="0"/>
          <w:numId w:val="127"/>
        </w:numPr>
        <w:spacing w:after="0"/>
        <w:jc w:val="both"/>
        <w:rPr>
          <w:noProof/>
          <w:sz w:val="22"/>
          <w:szCs w:val="22"/>
          <w:lang w:val="en-US"/>
        </w:rPr>
      </w:pPr>
      <w:r>
        <w:rPr>
          <w:b/>
          <w:bCs/>
          <w:noProof/>
          <w:sz w:val="22"/>
          <w:szCs w:val="22"/>
          <w:lang w:val="en-US"/>
        </w:rPr>
        <w:t>Member States technical support:</w:t>
      </w:r>
      <w:r>
        <w:rPr>
          <w:noProof/>
          <w:sz w:val="22"/>
          <w:szCs w:val="22"/>
          <w:lang w:val="en-US"/>
        </w:rPr>
        <w:t xml:space="preserve"> Responsible for prov</w:t>
      </w:r>
      <w:r>
        <w:rPr>
          <w:noProof/>
          <w:sz w:val="22"/>
          <w:szCs w:val="22"/>
          <w:lang w:val="en-US"/>
        </w:rPr>
        <w:t>iding technical expertise to MSs (e.g.: MSs taking part in the framework on issues related to ICT Products</w:t>
      </w:r>
    </w:p>
    <w:p w:rsidR="00913429" w:rsidRDefault="00E143F0">
      <w:pPr>
        <w:numPr>
          <w:ilvl w:val="0"/>
          <w:numId w:val="127"/>
        </w:numPr>
        <w:spacing w:after="120"/>
        <w:jc w:val="both"/>
        <w:rPr>
          <w:noProof/>
          <w:sz w:val="22"/>
          <w:szCs w:val="22"/>
          <w:lang w:val="en-US"/>
        </w:rPr>
      </w:pPr>
      <w:r>
        <w:rPr>
          <w:b/>
          <w:bCs/>
          <w:noProof/>
          <w:sz w:val="22"/>
          <w:szCs w:val="22"/>
          <w:lang w:val="en-US"/>
        </w:rPr>
        <w:t xml:space="preserve">Audit and Validation: </w:t>
      </w:r>
      <w:r>
        <w:rPr>
          <w:noProof/>
          <w:sz w:val="22"/>
          <w:szCs w:val="22"/>
          <w:lang w:val="en-US"/>
        </w:rPr>
        <w:t>Conduct audit on Conformity Assessment Bodies and Certification Authorities and validate the products/services certified</w:t>
      </w:r>
    </w:p>
    <w:p w:rsidR="00913429" w:rsidRDefault="00E143F0">
      <w:pPr>
        <w:jc w:val="both"/>
        <w:rPr>
          <w:noProof/>
          <w:sz w:val="22"/>
          <w:szCs w:val="22"/>
          <w:lang w:val="en-US"/>
        </w:rPr>
      </w:pPr>
      <w:r>
        <w:rPr>
          <w:bCs/>
          <w:noProof/>
          <w:sz w:val="22"/>
          <w:szCs w:val="22"/>
          <w:lang w:val="en-US"/>
        </w:rPr>
        <w:t>To run</w:t>
      </w:r>
      <w:r>
        <w:rPr>
          <w:bCs/>
          <w:noProof/>
          <w:sz w:val="22"/>
          <w:szCs w:val="22"/>
          <w:lang w:val="en-US"/>
        </w:rPr>
        <w:t xml:space="preserve"> and maintain the Technical Support Unit, two Administrators and three External Experts must be recruited. Assuming for the Administrators a salary of 70 thousand euros per year and for the External Experts a salary of 75 thousands euros per year (Total Fe</w:t>
      </w:r>
      <w:r>
        <w:rPr>
          <w:bCs/>
          <w:noProof/>
          <w:sz w:val="22"/>
          <w:szCs w:val="22"/>
          <w:lang w:val="en-US"/>
        </w:rPr>
        <w:t xml:space="preserve">e for each Expert: 130 working days * 450€ + 11’000€ + 5’000€ Allowances </w:t>
      </w:r>
      <w:r>
        <w:rPr>
          <w:rFonts w:ascii="Cambria Math" w:hAnsi="Cambria Math" w:cs="Cambria Math"/>
          <w:bCs/>
          <w:noProof/>
          <w:sz w:val="22"/>
          <w:szCs w:val="22"/>
          <w:lang w:val="en-US"/>
        </w:rPr>
        <w:t>≃</w:t>
      </w:r>
      <w:r>
        <w:rPr>
          <w:bCs/>
          <w:noProof/>
          <w:sz w:val="22"/>
          <w:szCs w:val="22"/>
          <w:lang w:val="en-US"/>
        </w:rPr>
        <w:t xml:space="preserve"> 75</w:t>
      </w:r>
      <w:r>
        <w:rPr>
          <w:rFonts w:cs="Georgia"/>
          <w:bCs/>
          <w:noProof/>
          <w:sz w:val="22"/>
          <w:szCs w:val="22"/>
          <w:lang w:val="en-US"/>
        </w:rPr>
        <w:t>’</w:t>
      </w:r>
      <w:r>
        <w:rPr>
          <w:bCs/>
          <w:noProof/>
          <w:sz w:val="22"/>
          <w:szCs w:val="22"/>
          <w:lang w:val="en-US"/>
        </w:rPr>
        <w:t>000</w:t>
      </w:r>
      <w:r>
        <w:rPr>
          <w:rFonts w:cs="Georgia"/>
          <w:bCs/>
          <w:noProof/>
          <w:sz w:val="22"/>
          <w:szCs w:val="22"/>
          <w:lang w:val="en-US"/>
        </w:rPr>
        <w:t>€ as explained in detail in the previous pages)</w:t>
      </w:r>
      <w:r>
        <w:rPr>
          <w:bCs/>
          <w:noProof/>
          <w:sz w:val="22"/>
          <w:szCs w:val="22"/>
          <w:lang w:val="en-US"/>
        </w:rPr>
        <w:t xml:space="preserve">, the total cost rough estimation for running and maintaining the Technical Support is </w:t>
      </w:r>
      <w:r>
        <w:rPr>
          <w:b/>
          <w:bCs/>
          <w:noProof/>
          <w:sz w:val="22"/>
          <w:szCs w:val="22"/>
          <w:lang w:val="en-US"/>
        </w:rPr>
        <w:t>365 thousand euros per year</w:t>
      </w:r>
      <w:r>
        <w:rPr>
          <w:bCs/>
          <w:noProof/>
          <w:sz w:val="22"/>
          <w:szCs w:val="22"/>
          <w:lang w:val="en-US"/>
        </w:rPr>
        <w:t xml:space="preserve"> for </w:t>
      </w:r>
      <w:r>
        <w:rPr>
          <w:noProof/>
          <w:sz w:val="22"/>
          <w:szCs w:val="22"/>
          <w:lang w:val="en-US"/>
        </w:rPr>
        <w:t>2 FTE Adm</w:t>
      </w:r>
      <w:r>
        <w:rPr>
          <w:noProof/>
          <w:sz w:val="22"/>
          <w:szCs w:val="22"/>
          <w:lang w:val="en-US"/>
        </w:rPr>
        <w:t>inistrator (AD5) and 3 External Experts.</w:t>
      </w:r>
    </w:p>
    <w:p w:rsidR="00913429" w:rsidRDefault="00E143F0">
      <w:pPr>
        <w:jc w:val="both"/>
        <w:rPr>
          <w:noProof/>
          <w:sz w:val="22"/>
          <w:szCs w:val="22"/>
        </w:rPr>
      </w:pPr>
      <w:r>
        <w:rPr>
          <w:noProof/>
          <w:sz w:val="22"/>
          <w:szCs w:val="22"/>
        </w:rPr>
        <w:t>In addition to the personnel cost, the following costs must be considered:</w:t>
      </w:r>
    </w:p>
    <w:p w:rsidR="00913429" w:rsidRDefault="00E143F0">
      <w:pPr>
        <w:numPr>
          <w:ilvl w:val="0"/>
          <w:numId w:val="128"/>
        </w:numPr>
        <w:spacing w:after="0"/>
        <w:jc w:val="both"/>
        <w:rPr>
          <w:noProof/>
          <w:sz w:val="22"/>
          <w:szCs w:val="22"/>
          <w:lang w:val="en-US"/>
        </w:rPr>
      </w:pPr>
      <w:r>
        <w:rPr>
          <w:noProof/>
          <w:sz w:val="22"/>
          <w:szCs w:val="22"/>
          <w:lang w:val="en-US"/>
        </w:rPr>
        <w:t xml:space="preserve">Costs for meetings and events (e.g.: catering; rooms rent, etc.) </w:t>
      </w:r>
    </w:p>
    <w:p w:rsidR="00913429" w:rsidRDefault="00E143F0">
      <w:pPr>
        <w:numPr>
          <w:ilvl w:val="0"/>
          <w:numId w:val="128"/>
        </w:numPr>
        <w:spacing w:after="0"/>
        <w:jc w:val="both"/>
        <w:rPr>
          <w:noProof/>
          <w:sz w:val="22"/>
          <w:szCs w:val="22"/>
          <w:lang w:val="en-US"/>
        </w:rPr>
      </w:pPr>
      <w:r>
        <w:rPr>
          <w:noProof/>
          <w:sz w:val="22"/>
          <w:szCs w:val="22"/>
          <w:lang w:val="en-US"/>
        </w:rPr>
        <w:t>Costs for travelling of ENISA Certification Unit personnel</w:t>
      </w:r>
    </w:p>
    <w:p w:rsidR="00913429" w:rsidRDefault="00913429">
      <w:pPr>
        <w:spacing w:after="0"/>
        <w:jc w:val="both"/>
        <w:rPr>
          <w:noProof/>
          <w:sz w:val="22"/>
          <w:szCs w:val="22"/>
          <w:lang w:val="en-US"/>
        </w:rPr>
      </w:pPr>
    </w:p>
    <w:p w:rsidR="00913429" w:rsidRDefault="00E143F0">
      <w:pPr>
        <w:spacing w:after="0"/>
        <w:jc w:val="both"/>
        <w:rPr>
          <w:noProof/>
          <w:sz w:val="22"/>
          <w:szCs w:val="22"/>
          <w:lang w:val="en-US"/>
        </w:rPr>
      </w:pPr>
      <w:r>
        <w:rPr>
          <w:noProof/>
          <w:sz w:val="22"/>
          <w:szCs w:val="22"/>
          <w:lang w:val="en-US"/>
        </w:rPr>
        <w:t>ENISA could or</w:t>
      </w:r>
      <w:r>
        <w:rPr>
          <w:noProof/>
          <w:sz w:val="22"/>
          <w:szCs w:val="22"/>
          <w:lang w:val="en-US"/>
        </w:rPr>
        <w:t>ganize 6 major events per year with representatives from all Member State as actually organized by SOG-IS. The estimate costs for each events should be include at least:</w:t>
      </w:r>
    </w:p>
    <w:p w:rsidR="00913429" w:rsidRDefault="00E143F0">
      <w:pPr>
        <w:pStyle w:val="ListParagraph"/>
        <w:numPr>
          <w:ilvl w:val="0"/>
          <w:numId w:val="129"/>
        </w:numPr>
        <w:spacing w:after="0"/>
        <w:jc w:val="both"/>
        <w:rPr>
          <w:noProof/>
          <w:sz w:val="22"/>
          <w:szCs w:val="22"/>
          <w:lang w:val="en-US"/>
        </w:rPr>
      </w:pPr>
      <w:r>
        <w:rPr>
          <w:noProof/>
          <w:sz w:val="22"/>
          <w:szCs w:val="22"/>
          <w:lang w:val="en-US"/>
        </w:rPr>
        <w:t>Catering</w:t>
      </w:r>
    </w:p>
    <w:p w:rsidR="00913429" w:rsidRDefault="00E143F0">
      <w:pPr>
        <w:pStyle w:val="ListParagraph"/>
        <w:numPr>
          <w:ilvl w:val="0"/>
          <w:numId w:val="129"/>
        </w:numPr>
        <w:spacing w:after="0"/>
        <w:jc w:val="both"/>
        <w:rPr>
          <w:noProof/>
          <w:sz w:val="22"/>
          <w:szCs w:val="22"/>
          <w:lang w:val="en-US"/>
        </w:rPr>
      </w:pPr>
      <w:r>
        <w:rPr>
          <w:noProof/>
          <w:sz w:val="22"/>
          <w:szCs w:val="22"/>
          <w:lang w:val="en-US"/>
        </w:rPr>
        <w:t>Event Room Rent</w:t>
      </w:r>
    </w:p>
    <w:p w:rsidR="00913429" w:rsidRDefault="00913429">
      <w:pPr>
        <w:spacing w:after="0"/>
        <w:jc w:val="both"/>
        <w:rPr>
          <w:noProof/>
          <w:sz w:val="22"/>
          <w:szCs w:val="22"/>
          <w:lang w:val="en-US"/>
        </w:rPr>
      </w:pPr>
    </w:p>
    <w:p w:rsidR="00913429" w:rsidRDefault="00E143F0">
      <w:pPr>
        <w:jc w:val="both"/>
        <w:rPr>
          <w:noProof/>
          <w:sz w:val="22"/>
          <w:szCs w:val="22"/>
          <w:lang w:val="en-US"/>
        </w:rPr>
      </w:pPr>
      <w:r>
        <w:rPr>
          <w:noProof/>
          <w:sz w:val="22"/>
          <w:szCs w:val="22"/>
          <w:lang w:val="en-US"/>
        </w:rPr>
        <w:t xml:space="preserve">Assuming for the Catering approximately 100 euros for each participants (including breakfast, lunch and dinner) and for the room rent an estimated cost of 500€ per day, the total estimate cost for 6 events of two day and 60 participants is </w:t>
      </w:r>
      <w:r>
        <w:rPr>
          <w:b/>
          <w:noProof/>
          <w:sz w:val="22"/>
          <w:szCs w:val="22"/>
          <w:lang w:val="en-US"/>
        </w:rPr>
        <w:t>42 thousand euro</w:t>
      </w:r>
      <w:r>
        <w:rPr>
          <w:b/>
          <w:noProof/>
          <w:sz w:val="22"/>
          <w:szCs w:val="22"/>
          <w:lang w:val="en-US"/>
        </w:rPr>
        <w:t>s</w:t>
      </w:r>
      <w:r>
        <w:rPr>
          <w:noProof/>
          <w:sz w:val="22"/>
          <w:szCs w:val="22"/>
          <w:lang w:val="en-US"/>
        </w:rPr>
        <w:t>.</w:t>
      </w:r>
    </w:p>
    <w:p w:rsidR="00913429" w:rsidRDefault="00E143F0">
      <w:pPr>
        <w:autoSpaceDE w:val="0"/>
        <w:autoSpaceDN w:val="0"/>
        <w:adjustRightInd w:val="0"/>
        <w:spacing w:after="0" w:line="240" w:lineRule="auto"/>
        <w:jc w:val="both"/>
        <w:rPr>
          <w:rFonts w:eastAsia="Calibri"/>
          <w:noProof/>
          <w:sz w:val="22"/>
          <w:szCs w:val="22"/>
        </w:rPr>
      </w:pPr>
      <w:r>
        <w:rPr>
          <w:rFonts w:eastAsia="Calibri"/>
          <w:noProof/>
          <w:sz w:val="22"/>
          <w:szCs w:val="22"/>
        </w:rPr>
        <w:t>Moreover, audit activities must be undertaken by ENISA Certification Unit personnel on MS having national certification authorities. We assume that after the creation of an EU wide certification framework around 15 country of the total 27 EU countries w</w:t>
      </w:r>
      <w:r>
        <w:rPr>
          <w:rFonts w:eastAsia="Calibri"/>
          <w:noProof/>
          <w:sz w:val="22"/>
          <w:szCs w:val="22"/>
        </w:rPr>
        <w:t xml:space="preserve">ill be audited. Considering for each travel abroad an estimated cost of 2 thousand euros per participants and considering an average of 15 travel per year, the total cost is </w:t>
      </w:r>
      <w:r>
        <w:rPr>
          <w:rFonts w:eastAsia="Calibri"/>
          <w:b/>
          <w:noProof/>
          <w:sz w:val="22"/>
          <w:szCs w:val="22"/>
        </w:rPr>
        <w:t>45 thousand euros</w:t>
      </w:r>
      <w:r>
        <w:rPr>
          <w:rFonts w:eastAsia="Calibri"/>
          <w:noProof/>
          <w:sz w:val="22"/>
          <w:szCs w:val="22"/>
        </w:rPr>
        <w:t xml:space="preserve">. </w:t>
      </w:r>
    </w:p>
    <w:p w:rsidR="00913429" w:rsidRDefault="00913429">
      <w:pPr>
        <w:autoSpaceDE w:val="0"/>
        <w:autoSpaceDN w:val="0"/>
        <w:adjustRightInd w:val="0"/>
        <w:spacing w:after="0" w:line="240" w:lineRule="auto"/>
        <w:jc w:val="both"/>
        <w:rPr>
          <w:rFonts w:eastAsia="Calibri"/>
          <w:noProof/>
          <w:sz w:val="22"/>
          <w:szCs w:val="22"/>
        </w:rPr>
      </w:pPr>
    </w:p>
    <w:p w:rsidR="00913429" w:rsidRDefault="00E143F0">
      <w:pPr>
        <w:autoSpaceDE w:val="0"/>
        <w:autoSpaceDN w:val="0"/>
        <w:adjustRightInd w:val="0"/>
        <w:spacing w:after="0" w:line="240" w:lineRule="auto"/>
        <w:jc w:val="both"/>
        <w:rPr>
          <w:rFonts w:eastAsia="Calibri"/>
          <w:b/>
          <w:noProof/>
          <w:sz w:val="22"/>
          <w:szCs w:val="22"/>
        </w:rPr>
      </w:pPr>
      <w:r>
        <w:rPr>
          <w:rFonts w:eastAsia="Calibri"/>
          <w:noProof/>
          <w:sz w:val="22"/>
          <w:szCs w:val="22"/>
        </w:rPr>
        <w:t>In the end, for minor meeting organised at the ENISA Headquarter, a light brunch could be offered. We estimate that in general for the working of an organisation such as ENISA in order to involve industry and certification stakeholders around 5-6 working m</w:t>
      </w:r>
      <w:r>
        <w:rPr>
          <w:rFonts w:eastAsia="Calibri"/>
          <w:noProof/>
          <w:sz w:val="22"/>
          <w:szCs w:val="22"/>
        </w:rPr>
        <w:t xml:space="preserve">eetings per month. In total 72 minor meetings per year could cost up to </w:t>
      </w:r>
      <w:r>
        <w:rPr>
          <w:rFonts w:eastAsia="Calibri"/>
          <w:b/>
          <w:noProof/>
          <w:sz w:val="22"/>
          <w:szCs w:val="22"/>
        </w:rPr>
        <w:t>1'440 euros.</w:t>
      </w:r>
    </w:p>
    <w:p w:rsidR="00913429" w:rsidRDefault="00913429">
      <w:pPr>
        <w:autoSpaceDE w:val="0"/>
        <w:autoSpaceDN w:val="0"/>
        <w:adjustRightInd w:val="0"/>
        <w:spacing w:after="0" w:line="240" w:lineRule="auto"/>
        <w:jc w:val="both"/>
        <w:rPr>
          <w:rFonts w:eastAsia="Calibri"/>
          <w:b/>
          <w:noProof/>
          <w:sz w:val="22"/>
          <w:szCs w:val="22"/>
        </w:rPr>
      </w:pPr>
    </w:p>
    <w:p w:rsidR="00913429" w:rsidRDefault="00913429">
      <w:pPr>
        <w:autoSpaceDE w:val="0"/>
        <w:autoSpaceDN w:val="0"/>
        <w:adjustRightInd w:val="0"/>
        <w:spacing w:after="0" w:line="240" w:lineRule="auto"/>
        <w:jc w:val="both"/>
        <w:rPr>
          <w:rFonts w:eastAsia="Calibri"/>
          <w:b/>
          <w:noProof/>
          <w:sz w:val="22"/>
          <w:szCs w:val="22"/>
        </w:rPr>
      </w:pPr>
    </w:p>
    <w:p w:rsidR="00913429" w:rsidRDefault="00913429">
      <w:pPr>
        <w:autoSpaceDE w:val="0"/>
        <w:autoSpaceDN w:val="0"/>
        <w:adjustRightInd w:val="0"/>
        <w:spacing w:after="0" w:line="240" w:lineRule="auto"/>
        <w:jc w:val="both"/>
        <w:rPr>
          <w:rFonts w:eastAsia="Calibri"/>
          <w:b/>
          <w:noProof/>
          <w:sz w:val="22"/>
          <w:szCs w:val="22"/>
        </w:rPr>
      </w:pPr>
    </w:p>
    <w:p w:rsidR="00913429" w:rsidRDefault="00913429">
      <w:pPr>
        <w:autoSpaceDE w:val="0"/>
        <w:autoSpaceDN w:val="0"/>
        <w:adjustRightInd w:val="0"/>
        <w:spacing w:after="0" w:line="240" w:lineRule="auto"/>
        <w:jc w:val="both"/>
        <w:rPr>
          <w:rFonts w:eastAsia="Calibri"/>
          <w:b/>
          <w:noProof/>
          <w:sz w:val="22"/>
          <w:szCs w:val="22"/>
        </w:rPr>
      </w:pPr>
    </w:p>
    <w:p w:rsidR="00913429" w:rsidRDefault="00913429">
      <w:pPr>
        <w:autoSpaceDE w:val="0"/>
        <w:autoSpaceDN w:val="0"/>
        <w:adjustRightInd w:val="0"/>
        <w:spacing w:after="0" w:line="240" w:lineRule="auto"/>
        <w:jc w:val="both"/>
        <w:rPr>
          <w:rFonts w:eastAsia="Calibri"/>
          <w:b/>
          <w:noProof/>
          <w:sz w:val="22"/>
          <w:szCs w:val="22"/>
        </w:rPr>
      </w:pPr>
    </w:p>
    <w:p w:rsidR="00913429" w:rsidRDefault="00913429">
      <w:pPr>
        <w:autoSpaceDE w:val="0"/>
        <w:autoSpaceDN w:val="0"/>
        <w:adjustRightInd w:val="0"/>
        <w:spacing w:after="0" w:line="240" w:lineRule="auto"/>
        <w:jc w:val="both"/>
        <w:rPr>
          <w:rFonts w:eastAsia="Calibri"/>
          <w:b/>
          <w:noProof/>
          <w:sz w:val="22"/>
          <w:szCs w:val="22"/>
        </w:rPr>
      </w:pPr>
    </w:p>
    <w:p w:rsidR="00913429" w:rsidRDefault="00913429">
      <w:pPr>
        <w:autoSpaceDE w:val="0"/>
        <w:autoSpaceDN w:val="0"/>
        <w:adjustRightInd w:val="0"/>
        <w:spacing w:after="0" w:line="240" w:lineRule="auto"/>
        <w:jc w:val="both"/>
        <w:rPr>
          <w:rFonts w:eastAsia="Calibri"/>
          <w:b/>
          <w:noProof/>
          <w:sz w:val="22"/>
          <w:szCs w:val="22"/>
        </w:rPr>
      </w:pPr>
    </w:p>
    <w:p w:rsidR="00913429" w:rsidRDefault="00913429">
      <w:pPr>
        <w:autoSpaceDE w:val="0"/>
        <w:autoSpaceDN w:val="0"/>
        <w:adjustRightInd w:val="0"/>
        <w:spacing w:after="0" w:line="240" w:lineRule="auto"/>
        <w:jc w:val="both"/>
        <w:rPr>
          <w:rFonts w:eastAsia="Calibri"/>
          <w:b/>
          <w:noProof/>
          <w:sz w:val="22"/>
          <w:szCs w:val="22"/>
        </w:rPr>
      </w:pPr>
    </w:p>
    <w:p w:rsidR="00913429" w:rsidRDefault="00913429">
      <w:pPr>
        <w:autoSpaceDE w:val="0"/>
        <w:autoSpaceDN w:val="0"/>
        <w:adjustRightInd w:val="0"/>
        <w:spacing w:after="0" w:line="240" w:lineRule="auto"/>
        <w:jc w:val="both"/>
        <w:rPr>
          <w:rFonts w:eastAsia="Calibri"/>
          <w:b/>
          <w:noProof/>
          <w:sz w:val="22"/>
          <w:szCs w:val="22"/>
        </w:rPr>
      </w:pPr>
    </w:p>
    <w:p w:rsidR="00913429" w:rsidRDefault="00E143F0">
      <w:pPr>
        <w:autoSpaceDE w:val="0"/>
        <w:autoSpaceDN w:val="0"/>
        <w:adjustRightInd w:val="0"/>
        <w:spacing w:after="0" w:line="240" w:lineRule="auto"/>
        <w:jc w:val="both"/>
        <w:rPr>
          <w:rFonts w:eastAsia="Calibri"/>
          <w:noProof/>
          <w:sz w:val="22"/>
          <w:szCs w:val="22"/>
        </w:rPr>
      </w:pPr>
      <w:r>
        <w:rPr>
          <w:rFonts w:eastAsia="Calibri"/>
          <w:noProof/>
          <w:sz w:val="22"/>
          <w:szCs w:val="22"/>
        </w:rPr>
        <w:t>To have an overview of the estimated costs explained above, here after all the costs details are shown in table:</w:t>
      </w:r>
    </w:p>
    <w:p w:rsidR="00913429" w:rsidRDefault="00E143F0">
      <w:pPr>
        <w:autoSpaceDE w:val="0"/>
        <w:autoSpaceDN w:val="0"/>
        <w:adjustRightInd w:val="0"/>
        <w:spacing w:after="0" w:line="240" w:lineRule="auto"/>
        <w:jc w:val="both"/>
        <w:rPr>
          <w:rFonts w:eastAsia="Calibri"/>
          <w:noProof/>
          <w:sz w:val="22"/>
          <w:szCs w:val="22"/>
        </w:rPr>
      </w:pPr>
      <w:r>
        <w:rPr>
          <w:rFonts w:eastAsia="Calibri"/>
          <w:noProof/>
          <w:sz w:val="22"/>
          <w:szCs w:val="22"/>
        </w:rPr>
        <w:t xml:space="preserve"> </w:t>
      </w:r>
    </w:p>
    <w:tbl>
      <w:tblPr>
        <w:tblW w:w="5000" w:type="pct"/>
        <w:tblLayout w:type="fixed"/>
        <w:tblCellMar>
          <w:left w:w="70" w:type="dxa"/>
          <w:right w:w="70" w:type="dxa"/>
        </w:tblCellMar>
        <w:tblLook w:val="04A0" w:firstRow="1" w:lastRow="0" w:firstColumn="1" w:lastColumn="0" w:noHBand="0" w:noVBand="1"/>
      </w:tblPr>
      <w:tblGrid>
        <w:gridCol w:w="2340"/>
        <w:gridCol w:w="710"/>
        <w:gridCol w:w="1274"/>
        <w:gridCol w:w="991"/>
        <w:gridCol w:w="1134"/>
        <w:gridCol w:w="1134"/>
        <w:gridCol w:w="1151"/>
        <w:gridCol w:w="1023"/>
      </w:tblGrid>
      <w:tr w:rsidR="00913429">
        <w:trPr>
          <w:trHeight w:val="659"/>
          <w:tblHeader/>
        </w:trPr>
        <w:tc>
          <w:tcPr>
            <w:tcW w:w="1199" w:type="pct"/>
            <w:tcBorders>
              <w:top w:val="nil"/>
              <w:left w:val="single" w:sz="8" w:space="0" w:color="auto"/>
              <w:bottom w:val="nil"/>
              <w:right w:val="nil"/>
            </w:tcBorders>
            <w:shd w:val="clear" w:color="000000" w:fill="4472C4"/>
            <w:vAlign w:val="center"/>
            <w:hideMark/>
          </w:tcPr>
          <w:p w:rsidR="00913429" w:rsidRDefault="00E143F0">
            <w:pPr>
              <w:spacing w:after="0" w:line="240" w:lineRule="auto"/>
              <w:jc w:val="center"/>
              <w:rPr>
                <w:rFonts w:ascii="Calibri" w:eastAsia="Times New Roman" w:hAnsi="Calibri"/>
                <w:b/>
                <w:bCs/>
                <w:noProof/>
                <w:color w:val="FFFFFF"/>
                <w:sz w:val="18"/>
                <w:szCs w:val="24"/>
                <w:lang w:val="it-IT" w:eastAsia="it-IT"/>
              </w:rPr>
            </w:pPr>
            <w:r>
              <w:rPr>
                <w:rFonts w:ascii="Calibri" w:eastAsia="Times New Roman" w:hAnsi="Calibri"/>
                <w:b/>
                <w:bCs/>
                <w:noProof/>
                <w:color w:val="FFFFFF"/>
                <w:sz w:val="18"/>
                <w:szCs w:val="24"/>
                <w:lang w:val="it-IT" w:eastAsia="it-IT"/>
              </w:rPr>
              <w:t>Description</w:t>
            </w:r>
          </w:p>
        </w:tc>
        <w:tc>
          <w:tcPr>
            <w:tcW w:w="364" w:type="pct"/>
            <w:tcBorders>
              <w:top w:val="nil"/>
              <w:left w:val="single" w:sz="8" w:space="0" w:color="auto"/>
              <w:bottom w:val="nil"/>
              <w:right w:val="single" w:sz="4" w:space="0" w:color="auto"/>
            </w:tcBorders>
            <w:shd w:val="clear" w:color="000000" w:fill="4472C4"/>
            <w:vAlign w:val="center"/>
            <w:hideMark/>
          </w:tcPr>
          <w:p w:rsidR="00913429" w:rsidRDefault="00E143F0">
            <w:pPr>
              <w:spacing w:after="0" w:line="240" w:lineRule="auto"/>
              <w:jc w:val="center"/>
              <w:rPr>
                <w:rFonts w:ascii="Calibri" w:eastAsia="Times New Roman" w:hAnsi="Calibri"/>
                <w:b/>
                <w:bCs/>
                <w:noProof/>
                <w:color w:val="FFFFFF"/>
                <w:sz w:val="18"/>
                <w:szCs w:val="24"/>
                <w:lang w:val="it-IT" w:eastAsia="it-IT"/>
              </w:rPr>
            </w:pPr>
            <w:r>
              <w:rPr>
                <w:rFonts w:ascii="Calibri" w:eastAsia="Times New Roman" w:hAnsi="Calibri"/>
                <w:b/>
                <w:bCs/>
                <w:noProof/>
                <w:color w:val="FFFFFF"/>
                <w:sz w:val="18"/>
                <w:szCs w:val="24"/>
                <w:lang w:val="it-IT" w:eastAsia="it-IT"/>
              </w:rPr>
              <w:t>Unit #</w:t>
            </w:r>
          </w:p>
        </w:tc>
        <w:tc>
          <w:tcPr>
            <w:tcW w:w="653" w:type="pct"/>
            <w:tcBorders>
              <w:top w:val="nil"/>
              <w:left w:val="single" w:sz="8" w:space="0" w:color="auto"/>
              <w:bottom w:val="nil"/>
              <w:right w:val="single" w:sz="4" w:space="0" w:color="auto"/>
            </w:tcBorders>
            <w:shd w:val="clear" w:color="000000" w:fill="4472C4"/>
            <w:vAlign w:val="center"/>
            <w:hideMark/>
          </w:tcPr>
          <w:p w:rsidR="00913429" w:rsidRDefault="00E143F0">
            <w:pPr>
              <w:spacing w:after="0" w:line="240" w:lineRule="auto"/>
              <w:jc w:val="center"/>
              <w:rPr>
                <w:rFonts w:ascii="Calibri" w:eastAsia="Times New Roman" w:hAnsi="Calibri"/>
                <w:b/>
                <w:bCs/>
                <w:noProof/>
                <w:color w:val="FFFFFF"/>
                <w:sz w:val="18"/>
                <w:szCs w:val="24"/>
                <w:lang w:val="it-IT" w:eastAsia="it-IT"/>
              </w:rPr>
            </w:pPr>
            <w:r>
              <w:rPr>
                <w:rFonts w:ascii="Calibri" w:eastAsia="Times New Roman" w:hAnsi="Calibri"/>
                <w:b/>
                <w:bCs/>
                <w:noProof/>
                <w:color w:val="FFFFFF"/>
                <w:sz w:val="18"/>
                <w:szCs w:val="24"/>
                <w:lang w:val="it-IT" w:eastAsia="it-IT"/>
              </w:rPr>
              <w:t>Unit of measure</w:t>
            </w:r>
          </w:p>
        </w:tc>
        <w:tc>
          <w:tcPr>
            <w:tcW w:w="508" w:type="pct"/>
            <w:tcBorders>
              <w:top w:val="nil"/>
              <w:left w:val="single" w:sz="8" w:space="0" w:color="auto"/>
              <w:bottom w:val="nil"/>
              <w:right w:val="nil"/>
            </w:tcBorders>
            <w:shd w:val="clear" w:color="000000" w:fill="4472C4"/>
            <w:vAlign w:val="center"/>
            <w:hideMark/>
          </w:tcPr>
          <w:p w:rsidR="00913429" w:rsidRDefault="00E143F0">
            <w:pPr>
              <w:spacing w:after="0" w:line="240" w:lineRule="auto"/>
              <w:jc w:val="center"/>
              <w:rPr>
                <w:rFonts w:ascii="Calibri" w:eastAsia="Times New Roman" w:hAnsi="Calibri"/>
                <w:b/>
                <w:bCs/>
                <w:noProof/>
                <w:color w:val="FFFFFF"/>
                <w:sz w:val="18"/>
                <w:szCs w:val="24"/>
                <w:lang w:val="it-IT" w:eastAsia="it-IT"/>
              </w:rPr>
            </w:pPr>
            <w:r>
              <w:rPr>
                <w:rFonts w:ascii="Calibri" w:eastAsia="Times New Roman" w:hAnsi="Calibri"/>
                <w:b/>
                <w:bCs/>
                <w:noProof/>
                <w:color w:val="FFFFFF"/>
                <w:sz w:val="18"/>
                <w:szCs w:val="24"/>
                <w:lang w:val="it-IT" w:eastAsia="it-IT"/>
              </w:rPr>
              <w:t>Occurance</w:t>
            </w:r>
          </w:p>
        </w:tc>
        <w:tc>
          <w:tcPr>
            <w:tcW w:w="581" w:type="pct"/>
            <w:tcBorders>
              <w:top w:val="nil"/>
              <w:left w:val="single" w:sz="8" w:space="0" w:color="auto"/>
              <w:bottom w:val="nil"/>
              <w:right w:val="single" w:sz="4" w:space="0" w:color="auto"/>
            </w:tcBorders>
            <w:shd w:val="clear" w:color="000000" w:fill="4472C4"/>
            <w:vAlign w:val="center"/>
            <w:hideMark/>
          </w:tcPr>
          <w:p w:rsidR="00913429" w:rsidRDefault="00E143F0">
            <w:pPr>
              <w:spacing w:after="0" w:line="240" w:lineRule="auto"/>
              <w:jc w:val="center"/>
              <w:rPr>
                <w:rFonts w:ascii="Calibri" w:eastAsia="Times New Roman" w:hAnsi="Calibri"/>
                <w:b/>
                <w:bCs/>
                <w:noProof/>
                <w:color w:val="FFFFFF"/>
                <w:sz w:val="18"/>
                <w:szCs w:val="24"/>
                <w:lang w:val="it-IT" w:eastAsia="it-IT"/>
              </w:rPr>
            </w:pPr>
            <w:r>
              <w:rPr>
                <w:rFonts w:ascii="Calibri" w:eastAsia="Times New Roman" w:hAnsi="Calibri"/>
                <w:b/>
                <w:bCs/>
                <w:noProof/>
                <w:color w:val="FFFFFF"/>
                <w:sz w:val="18"/>
                <w:szCs w:val="24"/>
                <w:lang w:val="it-IT" w:eastAsia="it-IT"/>
              </w:rPr>
              <w:t>Un</w:t>
            </w:r>
            <w:r>
              <w:rPr>
                <w:rFonts w:ascii="Calibri" w:eastAsia="Times New Roman" w:hAnsi="Calibri"/>
                <w:b/>
                <w:bCs/>
                <w:noProof/>
                <w:color w:val="FFFFFF"/>
                <w:sz w:val="18"/>
                <w:szCs w:val="24"/>
                <w:lang w:val="it-IT" w:eastAsia="it-IT"/>
              </w:rPr>
              <w:t>it  price</w:t>
            </w:r>
          </w:p>
        </w:tc>
        <w:tc>
          <w:tcPr>
            <w:tcW w:w="581" w:type="pct"/>
            <w:tcBorders>
              <w:top w:val="nil"/>
              <w:left w:val="single" w:sz="8" w:space="0" w:color="auto"/>
              <w:bottom w:val="nil"/>
              <w:right w:val="single" w:sz="4" w:space="0" w:color="auto"/>
            </w:tcBorders>
            <w:shd w:val="clear" w:color="000000" w:fill="4472C4"/>
            <w:vAlign w:val="center"/>
            <w:hideMark/>
          </w:tcPr>
          <w:p w:rsidR="00913429" w:rsidRDefault="00E143F0">
            <w:pPr>
              <w:spacing w:after="0" w:line="240" w:lineRule="auto"/>
              <w:jc w:val="center"/>
              <w:rPr>
                <w:rFonts w:ascii="Calibri" w:eastAsia="Times New Roman" w:hAnsi="Calibri"/>
                <w:b/>
                <w:bCs/>
                <w:noProof/>
                <w:color w:val="FFFFFF"/>
                <w:sz w:val="18"/>
                <w:szCs w:val="24"/>
                <w:lang w:val="it-IT" w:eastAsia="it-IT"/>
              </w:rPr>
            </w:pPr>
            <w:r>
              <w:rPr>
                <w:rFonts w:ascii="Calibri" w:eastAsia="Times New Roman" w:hAnsi="Calibri"/>
                <w:b/>
                <w:bCs/>
                <w:noProof/>
                <w:color w:val="FFFFFF"/>
                <w:sz w:val="18"/>
                <w:szCs w:val="24"/>
                <w:lang w:val="it-IT" w:eastAsia="it-IT"/>
              </w:rPr>
              <w:t>Sub-Total</w:t>
            </w:r>
          </w:p>
        </w:tc>
        <w:tc>
          <w:tcPr>
            <w:tcW w:w="590" w:type="pct"/>
            <w:tcBorders>
              <w:top w:val="nil"/>
              <w:left w:val="single" w:sz="8" w:space="0" w:color="auto"/>
              <w:bottom w:val="nil"/>
              <w:right w:val="nil"/>
            </w:tcBorders>
            <w:shd w:val="clear" w:color="000000" w:fill="4472C4"/>
            <w:vAlign w:val="center"/>
            <w:hideMark/>
          </w:tcPr>
          <w:p w:rsidR="00913429" w:rsidRDefault="00E143F0">
            <w:pPr>
              <w:spacing w:after="0" w:line="240" w:lineRule="auto"/>
              <w:jc w:val="center"/>
              <w:rPr>
                <w:rFonts w:ascii="Calibri" w:eastAsia="Times New Roman" w:hAnsi="Calibri"/>
                <w:b/>
                <w:bCs/>
                <w:noProof/>
                <w:color w:val="FFFFFF"/>
                <w:sz w:val="18"/>
                <w:szCs w:val="24"/>
                <w:lang w:val="it-IT" w:eastAsia="it-IT"/>
              </w:rPr>
            </w:pPr>
            <w:r>
              <w:rPr>
                <w:rFonts w:ascii="Calibri" w:eastAsia="Times New Roman" w:hAnsi="Calibri"/>
                <w:b/>
                <w:bCs/>
                <w:noProof/>
                <w:color w:val="FFFFFF"/>
                <w:sz w:val="18"/>
                <w:szCs w:val="24"/>
                <w:lang w:val="it-IT" w:eastAsia="it-IT"/>
              </w:rPr>
              <w:t>Total</w:t>
            </w:r>
          </w:p>
        </w:tc>
        <w:tc>
          <w:tcPr>
            <w:tcW w:w="524" w:type="pct"/>
            <w:tcBorders>
              <w:top w:val="nil"/>
              <w:left w:val="single" w:sz="8" w:space="0" w:color="auto"/>
              <w:bottom w:val="nil"/>
              <w:right w:val="nil"/>
            </w:tcBorders>
            <w:shd w:val="clear" w:color="000000" w:fill="4472C4"/>
            <w:vAlign w:val="center"/>
            <w:hideMark/>
          </w:tcPr>
          <w:p w:rsidR="00913429" w:rsidRDefault="00E143F0">
            <w:pPr>
              <w:spacing w:after="0" w:line="240" w:lineRule="auto"/>
              <w:jc w:val="center"/>
              <w:rPr>
                <w:rFonts w:ascii="Calibri" w:eastAsia="Times New Roman" w:hAnsi="Calibri"/>
                <w:b/>
                <w:bCs/>
                <w:noProof/>
                <w:color w:val="FFFFFF"/>
                <w:sz w:val="18"/>
                <w:szCs w:val="24"/>
                <w:lang w:val="it-IT" w:eastAsia="it-IT"/>
              </w:rPr>
            </w:pPr>
            <w:r>
              <w:rPr>
                <w:rFonts w:ascii="Calibri" w:eastAsia="Times New Roman" w:hAnsi="Calibri"/>
                <w:b/>
                <w:bCs/>
                <w:noProof/>
                <w:color w:val="FFFFFF"/>
                <w:sz w:val="18"/>
                <w:szCs w:val="24"/>
                <w:lang w:val="it-IT" w:eastAsia="it-IT"/>
              </w:rPr>
              <w:t>Cost Tipology</w:t>
            </w:r>
          </w:p>
        </w:tc>
      </w:tr>
      <w:tr w:rsidR="00913429">
        <w:trPr>
          <w:trHeight w:val="433"/>
          <w:tblHeader/>
        </w:trPr>
        <w:tc>
          <w:tcPr>
            <w:tcW w:w="1199" w:type="pct"/>
            <w:tcBorders>
              <w:top w:val="single" w:sz="8" w:space="0" w:color="auto"/>
              <w:left w:val="single" w:sz="8" w:space="0" w:color="auto"/>
              <w:bottom w:val="nil"/>
              <w:right w:val="nil"/>
            </w:tcBorders>
            <w:shd w:val="clear" w:color="000000" w:fill="FCE4D6"/>
            <w:noWrap/>
            <w:vAlign w:val="center"/>
            <w:hideMark/>
          </w:tcPr>
          <w:p w:rsidR="00913429" w:rsidRDefault="00E143F0">
            <w:pPr>
              <w:spacing w:after="0" w:line="240" w:lineRule="auto"/>
              <w:rPr>
                <w:rFonts w:ascii="Calibri" w:eastAsia="Times New Roman" w:hAnsi="Calibri"/>
                <w:b/>
                <w:bCs/>
                <w:noProof/>
                <w:color w:val="000000"/>
                <w:sz w:val="18"/>
                <w:szCs w:val="22"/>
                <w:lang w:val="it-IT" w:eastAsia="it-IT"/>
              </w:rPr>
            </w:pPr>
            <w:r>
              <w:rPr>
                <w:rFonts w:ascii="Calibri" w:hAnsi="Calibri"/>
                <w:b/>
                <w:bCs/>
                <w:noProof/>
                <w:color w:val="000000"/>
                <w:sz w:val="18"/>
                <w:szCs w:val="22"/>
              </w:rPr>
              <w:t xml:space="preserve">Event Room Rent </w:t>
            </w:r>
          </w:p>
        </w:tc>
        <w:tc>
          <w:tcPr>
            <w:tcW w:w="364" w:type="pct"/>
            <w:tcBorders>
              <w:top w:val="single" w:sz="8" w:space="0" w:color="auto"/>
              <w:left w:val="single" w:sz="4" w:space="0" w:color="auto"/>
              <w:bottom w:val="nil"/>
              <w:right w:val="single" w:sz="4" w:space="0" w:color="auto"/>
            </w:tcBorders>
            <w:shd w:val="clear" w:color="000000" w:fill="FCE4D6"/>
            <w:vAlign w:val="center"/>
            <w:hideMark/>
          </w:tcPr>
          <w:p w:rsidR="00913429" w:rsidRDefault="00E143F0">
            <w:pPr>
              <w:spacing w:after="0" w:line="240" w:lineRule="auto"/>
              <w:jc w:val="center"/>
              <w:rPr>
                <w:rFonts w:ascii="Calibri" w:eastAsia="Times New Roman" w:hAnsi="Calibri"/>
                <w:b/>
                <w:bCs/>
                <w:noProof/>
                <w:color w:val="000000"/>
                <w:sz w:val="18"/>
                <w:szCs w:val="22"/>
                <w:lang w:val="it-IT" w:eastAsia="it-IT"/>
              </w:rPr>
            </w:pPr>
            <w:r>
              <w:rPr>
                <w:rFonts w:ascii="Calibri" w:hAnsi="Calibri"/>
                <w:b/>
                <w:bCs/>
                <w:noProof/>
                <w:color w:val="000000"/>
                <w:sz w:val="18"/>
                <w:szCs w:val="22"/>
              </w:rPr>
              <w:t>2</w:t>
            </w:r>
          </w:p>
        </w:tc>
        <w:tc>
          <w:tcPr>
            <w:tcW w:w="653" w:type="pct"/>
            <w:tcBorders>
              <w:top w:val="single" w:sz="8" w:space="0" w:color="auto"/>
              <w:left w:val="nil"/>
              <w:bottom w:val="nil"/>
              <w:right w:val="single" w:sz="4" w:space="0" w:color="auto"/>
            </w:tcBorders>
            <w:shd w:val="clear" w:color="000000" w:fill="FCE4D6"/>
            <w:vAlign w:val="center"/>
            <w:hideMark/>
          </w:tcPr>
          <w:p w:rsidR="00913429" w:rsidRDefault="00E143F0">
            <w:pPr>
              <w:spacing w:after="0" w:line="240" w:lineRule="auto"/>
              <w:jc w:val="center"/>
              <w:rPr>
                <w:rFonts w:ascii="Calibri" w:eastAsia="Times New Roman" w:hAnsi="Calibri"/>
                <w:b/>
                <w:bCs/>
                <w:noProof/>
                <w:color w:val="000000"/>
                <w:sz w:val="18"/>
                <w:szCs w:val="22"/>
                <w:lang w:val="it-IT" w:eastAsia="it-IT"/>
              </w:rPr>
            </w:pPr>
            <w:r>
              <w:rPr>
                <w:rFonts w:ascii="Calibri" w:hAnsi="Calibri"/>
                <w:b/>
                <w:bCs/>
                <w:noProof/>
                <w:color w:val="000000"/>
                <w:sz w:val="18"/>
                <w:szCs w:val="22"/>
              </w:rPr>
              <w:t>Day</w:t>
            </w:r>
          </w:p>
        </w:tc>
        <w:tc>
          <w:tcPr>
            <w:tcW w:w="508" w:type="pct"/>
            <w:tcBorders>
              <w:top w:val="single" w:sz="8" w:space="0" w:color="auto"/>
              <w:left w:val="nil"/>
              <w:bottom w:val="nil"/>
              <w:right w:val="nil"/>
            </w:tcBorders>
            <w:shd w:val="clear" w:color="000000" w:fill="FCE4D6"/>
            <w:noWrap/>
            <w:vAlign w:val="center"/>
            <w:hideMark/>
          </w:tcPr>
          <w:p w:rsidR="00913429" w:rsidRDefault="00E143F0">
            <w:pPr>
              <w:spacing w:after="0" w:line="240" w:lineRule="auto"/>
              <w:jc w:val="center"/>
              <w:rPr>
                <w:rFonts w:ascii="Calibri" w:eastAsia="Times New Roman" w:hAnsi="Calibri"/>
                <w:b/>
                <w:bCs/>
                <w:noProof/>
                <w:color w:val="000000"/>
                <w:sz w:val="18"/>
                <w:szCs w:val="22"/>
                <w:lang w:val="it-IT" w:eastAsia="it-IT"/>
              </w:rPr>
            </w:pPr>
            <w:r>
              <w:rPr>
                <w:rFonts w:ascii="Calibri" w:hAnsi="Calibri"/>
                <w:b/>
                <w:bCs/>
                <w:noProof/>
                <w:color w:val="000000"/>
                <w:sz w:val="18"/>
                <w:szCs w:val="22"/>
              </w:rPr>
              <w:t>6</w:t>
            </w:r>
          </w:p>
        </w:tc>
        <w:tc>
          <w:tcPr>
            <w:tcW w:w="581" w:type="pct"/>
            <w:tcBorders>
              <w:top w:val="single" w:sz="8" w:space="0" w:color="auto"/>
              <w:left w:val="single" w:sz="4" w:space="0" w:color="auto"/>
              <w:bottom w:val="nil"/>
              <w:right w:val="single" w:sz="4" w:space="0" w:color="auto"/>
            </w:tcBorders>
            <w:shd w:val="clear" w:color="000000" w:fill="FCE4D6"/>
            <w:vAlign w:val="center"/>
            <w:hideMark/>
          </w:tcPr>
          <w:p w:rsidR="00913429" w:rsidRDefault="00E143F0">
            <w:pPr>
              <w:spacing w:after="0" w:line="240" w:lineRule="auto"/>
              <w:jc w:val="center"/>
              <w:rPr>
                <w:rFonts w:ascii="Calibri" w:eastAsia="Times New Roman" w:hAnsi="Calibri"/>
                <w:b/>
                <w:bCs/>
                <w:noProof/>
                <w:color w:val="000000"/>
                <w:sz w:val="18"/>
                <w:szCs w:val="22"/>
                <w:lang w:val="it-IT" w:eastAsia="it-IT"/>
              </w:rPr>
            </w:pPr>
            <w:r>
              <w:rPr>
                <w:rFonts w:ascii="Calibri" w:hAnsi="Calibri"/>
                <w:b/>
                <w:bCs/>
                <w:noProof/>
                <w:color w:val="000000"/>
                <w:sz w:val="18"/>
                <w:szCs w:val="22"/>
              </w:rPr>
              <w:t>€ 500,00</w:t>
            </w:r>
          </w:p>
        </w:tc>
        <w:tc>
          <w:tcPr>
            <w:tcW w:w="581" w:type="pct"/>
            <w:tcBorders>
              <w:top w:val="single" w:sz="8" w:space="0" w:color="auto"/>
              <w:left w:val="nil"/>
              <w:bottom w:val="nil"/>
              <w:right w:val="single" w:sz="4" w:space="0" w:color="auto"/>
            </w:tcBorders>
            <w:shd w:val="clear" w:color="000000" w:fill="FCE4D6"/>
            <w:vAlign w:val="center"/>
            <w:hideMark/>
          </w:tcPr>
          <w:p w:rsidR="00913429" w:rsidRDefault="00E143F0">
            <w:pPr>
              <w:spacing w:after="0" w:line="240" w:lineRule="auto"/>
              <w:jc w:val="center"/>
              <w:rPr>
                <w:rFonts w:ascii="Calibri" w:eastAsia="Times New Roman" w:hAnsi="Calibri"/>
                <w:b/>
                <w:bCs/>
                <w:noProof/>
                <w:color w:val="000000"/>
                <w:sz w:val="18"/>
                <w:szCs w:val="22"/>
                <w:lang w:val="it-IT" w:eastAsia="it-IT"/>
              </w:rPr>
            </w:pPr>
            <w:r>
              <w:rPr>
                <w:rFonts w:ascii="Calibri" w:hAnsi="Calibri"/>
                <w:b/>
                <w:bCs/>
                <w:noProof/>
                <w:color w:val="000000"/>
                <w:sz w:val="18"/>
                <w:szCs w:val="22"/>
              </w:rPr>
              <w:t>€ 1.000,00</w:t>
            </w:r>
          </w:p>
        </w:tc>
        <w:tc>
          <w:tcPr>
            <w:tcW w:w="590" w:type="pct"/>
            <w:tcBorders>
              <w:top w:val="single" w:sz="8" w:space="0" w:color="auto"/>
              <w:left w:val="nil"/>
              <w:bottom w:val="nil"/>
              <w:right w:val="single" w:sz="4" w:space="0" w:color="auto"/>
            </w:tcBorders>
            <w:shd w:val="clear" w:color="000000" w:fill="FCE4D6"/>
            <w:vAlign w:val="center"/>
            <w:hideMark/>
          </w:tcPr>
          <w:p w:rsidR="00913429" w:rsidRDefault="00E143F0">
            <w:pPr>
              <w:spacing w:after="0" w:line="240" w:lineRule="auto"/>
              <w:jc w:val="center"/>
              <w:rPr>
                <w:rFonts w:ascii="Calibri" w:eastAsia="Times New Roman" w:hAnsi="Calibri"/>
                <w:b/>
                <w:bCs/>
                <w:noProof/>
                <w:color w:val="000000"/>
                <w:sz w:val="18"/>
                <w:szCs w:val="22"/>
                <w:lang w:val="it-IT" w:eastAsia="it-IT"/>
              </w:rPr>
            </w:pPr>
            <w:r>
              <w:rPr>
                <w:rFonts w:ascii="Calibri" w:hAnsi="Calibri"/>
                <w:b/>
                <w:bCs/>
                <w:noProof/>
                <w:color w:val="000000"/>
                <w:sz w:val="18"/>
                <w:szCs w:val="22"/>
              </w:rPr>
              <w:t>€ 6.000,00</w:t>
            </w:r>
          </w:p>
        </w:tc>
        <w:tc>
          <w:tcPr>
            <w:tcW w:w="524" w:type="pct"/>
            <w:tcBorders>
              <w:top w:val="single" w:sz="8" w:space="0" w:color="auto"/>
              <w:left w:val="nil"/>
              <w:bottom w:val="nil"/>
              <w:right w:val="nil"/>
            </w:tcBorders>
            <w:shd w:val="clear" w:color="000000" w:fill="FCE4D6"/>
            <w:noWrap/>
            <w:vAlign w:val="center"/>
            <w:hideMark/>
          </w:tcPr>
          <w:p w:rsidR="00913429" w:rsidRDefault="00E143F0">
            <w:pPr>
              <w:spacing w:after="0" w:line="240" w:lineRule="auto"/>
              <w:jc w:val="center"/>
              <w:rPr>
                <w:rFonts w:ascii="Calibri" w:eastAsia="Times New Roman" w:hAnsi="Calibri"/>
                <w:noProof/>
                <w:color w:val="000000"/>
                <w:sz w:val="18"/>
                <w:szCs w:val="22"/>
                <w:lang w:val="it-IT" w:eastAsia="it-IT"/>
              </w:rPr>
            </w:pPr>
            <w:r>
              <w:rPr>
                <w:rFonts w:ascii="Calibri" w:hAnsi="Calibri"/>
                <w:noProof/>
                <w:color w:val="000000"/>
                <w:sz w:val="18"/>
                <w:szCs w:val="22"/>
              </w:rPr>
              <w:t>Event-based</w:t>
            </w:r>
          </w:p>
        </w:tc>
      </w:tr>
      <w:tr w:rsidR="00913429">
        <w:trPr>
          <w:trHeight w:val="407"/>
          <w:tblHeader/>
        </w:trPr>
        <w:tc>
          <w:tcPr>
            <w:tcW w:w="1199" w:type="pct"/>
            <w:tcBorders>
              <w:top w:val="single" w:sz="4" w:space="0" w:color="auto"/>
              <w:left w:val="single" w:sz="8" w:space="0" w:color="auto"/>
              <w:bottom w:val="single" w:sz="4" w:space="0" w:color="auto"/>
              <w:right w:val="single" w:sz="4" w:space="0" w:color="auto"/>
            </w:tcBorders>
            <w:shd w:val="clear" w:color="000000" w:fill="FCE4D6"/>
            <w:noWrap/>
            <w:vAlign w:val="center"/>
            <w:hideMark/>
          </w:tcPr>
          <w:p w:rsidR="00913429" w:rsidRDefault="00E143F0">
            <w:pPr>
              <w:spacing w:after="0" w:line="240" w:lineRule="auto"/>
              <w:rPr>
                <w:rFonts w:ascii="Calibri" w:eastAsia="Times New Roman" w:hAnsi="Calibri"/>
                <w:b/>
                <w:bCs/>
                <w:noProof/>
                <w:color w:val="000000"/>
                <w:sz w:val="18"/>
                <w:szCs w:val="22"/>
                <w:lang w:val="it-IT" w:eastAsia="it-IT"/>
              </w:rPr>
            </w:pPr>
            <w:r>
              <w:rPr>
                <w:rFonts w:ascii="Calibri" w:hAnsi="Calibri"/>
                <w:b/>
                <w:bCs/>
                <w:noProof/>
                <w:color w:val="000000"/>
                <w:sz w:val="18"/>
                <w:szCs w:val="22"/>
              </w:rPr>
              <w:t>Catering for Event</w:t>
            </w:r>
          </w:p>
        </w:tc>
        <w:tc>
          <w:tcPr>
            <w:tcW w:w="364" w:type="pct"/>
            <w:tcBorders>
              <w:top w:val="single" w:sz="4" w:space="0" w:color="auto"/>
              <w:left w:val="nil"/>
              <w:bottom w:val="single" w:sz="4" w:space="0" w:color="auto"/>
              <w:right w:val="single" w:sz="4" w:space="0" w:color="auto"/>
            </w:tcBorders>
            <w:shd w:val="clear" w:color="000000" w:fill="FCE4D6"/>
            <w:vAlign w:val="center"/>
            <w:hideMark/>
          </w:tcPr>
          <w:p w:rsidR="00913429" w:rsidRDefault="00E143F0">
            <w:pPr>
              <w:spacing w:after="0" w:line="240" w:lineRule="auto"/>
              <w:jc w:val="center"/>
              <w:rPr>
                <w:rFonts w:ascii="Calibri" w:eastAsia="Times New Roman" w:hAnsi="Calibri"/>
                <w:b/>
                <w:bCs/>
                <w:noProof/>
                <w:color w:val="000000"/>
                <w:sz w:val="18"/>
                <w:szCs w:val="22"/>
                <w:lang w:val="it-IT" w:eastAsia="it-IT"/>
              </w:rPr>
            </w:pPr>
            <w:r>
              <w:rPr>
                <w:rFonts w:ascii="Calibri" w:hAnsi="Calibri"/>
                <w:b/>
                <w:bCs/>
                <w:noProof/>
                <w:color w:val="000000"/>
                <w:sz w:val="18"/>
                <w:szCs w:val="22"/>
              </w:rPr>
              <w:t>60</w:t>
            </w:r>
          </w:p>
        </w:tc>
        <w:tc>
          <w:tcPr>
            <w:tcW w:w="653" w:type="pct"/>
            <w:tcBorders>
              <w:top w:val="single" w:sz="4" w:space="0" w:color="auto"/>
              <w:left w:val="nil"/>
              <w:bottom w:val="single" w:sz="4" w:space="0" w:color="auto"/>
              <w:right w:val="single" w:sz="4" w:space="0" w:color="auto"/>
            </w:tcBorders>
            <w:shd w:val="clear" w:color="000000" w:fill="FCE4D6"/>
            <w:vAlign w:val="center"/>
            <w:hideMark/>
          </w:tcPr>
          <w:p w:rsidR="00913429" w:rsidRDefault="00E143F0">
            <w:pPr>
              <w:spacing w:after="0" w:line="240" w:lineRule="auto"/>
              <w:jc w:val="center"/>
              <w:rPr>
                <w:rFonts w:ascii="Calibri" w:eastAsia="Times New Roman" w:hAnsi="Calibri"/>
                <w:b/>
                <w:bCs/>
                <w:noProof/>
                <w:color w:val="000000"/>
                <w:sz w:val="18"/>
                <w:szCs w:val="22"/>
                <w:lang w:val="it-IT" w:eastAsia="it-IT"/>
              </w:rPr>
            </w:pPr>
            <w:r>
              <w:rPr>
                <w:rFonts w:ascii="Calibri" w:hAnsi="Calibri"/>
                <w:b/>
                <w:bCs/>
                <w:noProof/>
                <w:color w:val="000000"/>
                <w:sz w:val="18"/>
                <w:szCs w:val="22"/>
              </w:rPr>
              <w:t>Person</w:t>
            </w:r>
          </w:p>
        </w:tc>
        <w:tc>
          <w:tcPr>
            <w:tcW w:w="508" w:type="pct"/>
            <w:tcBorders>
              <w:top w:val="single" w:sz="4" w:space="0" w:color="auto"/>
              <w:left w:val="nil"/>
              <w:bottom w:val="single" w:sz="4" w:space="0" w:color="auto"/>
              <w:right w:val="single" w:sz="4" w:space="0" w:color="auto"/>
            </w:tcBorders>
            <w:shd w:val="clear" w:color="000000" w:fill="FCE4D6"/>
            <w:noWrap/>
            <w:vAlign w:val="center"/>
            <w:hideMark/>
          </w:tcPr>
          <w:p w:rsidR="00913429" w:rsidRDefault="00E143F0">
            <w:pPr>
              <w:spacing w:after="0" w:line="240" w:lineRule="auto"/>
              <w:jc w:val="center"/>
              <w:rPr>
                <w:rFonts w:ascii="Calibri" w:eastAsia="Times New Roman" w:hAnsi="Calibri"/>
                <w:b/>
                <w:bCs/>
                <w:noProof/>
                <w:color w:val="000000"/>
                <w:sz w:val="18"/>
                <w:szCs w:val="22"/>
                <w:lang w:val="it-IT" w:eastAsia="it-IT"/>
              </w:rPr>
            </w:pPr>
            <w:r>
              <w:rPr>
                <w:rFonts w:ascii="Calibri" w:hAnsi="Calibri"/>
                <w:b/>
                <w:bCs/>
                <w:noProof/>
                <w:color w:val="000000"/>
                <w:sz w:val="18"/>
                <w:szCs w:val="22"/>
              </w:rPr>
              <w:t>6</w:t>
            </w:r>
          </w:p>
        </w:tc>
        <w:tc>
          <w:tcPr>
            <w:tcW w:w="581" w:type="pct"/>
            <w:tcBorders>
              <w:top w:val="single" w:sz="4" w:space="0" w:color="auto"/>
              <w:left w:val="nil"/>
              <w:bottom w:val="single" w:sz="4" w:space="0" w:color="auto"/>
              <w:right w:val="single" w:sz="4" w:space="0" w:color="auto"/>
            </w:tcBorders>
            <w:shd w:val="clear" w:color="000000" w:fill="FCE4D6"/>
            <w:vAlign w:val="center"/>
            <w:hideMark/>
          </w:tcPr>
          <w:p w:rsidR="00913429" w:rsidRDefault="00E143F0">
            <w:pPr>
              <w:spacing w:after="0" w:line="240" w:lineRule="auto"/>
              <w:jc w:val="center"/>
              <w:rPr>
                <w:rFonts w:ascii="Calibri" w:eastAsia="Times New Roman" w:hAnsi="Calibri"/>
                <w:b/>
                <w:bCs/>
                <w:noProof/>
                <w:color w:val="000000"/>
                <w:sz w:val="18"/>
                <w:szCs w:val="22"/>
                <w:lang w:val="it-IT" w:eastAsia="it-IT"/>
              </w:rPr>
            </w:pPr>
            <w:r>
              <w:rPr>
                <w:rFonts w:ascii="Calibri" w:hAnsi="Calibri"/>
                <w:b/>
                <w:bCs/>
                <w:noProof/>
                <w:color w:val="000000"/>
                <w:sz w:val="18"/>
                <w:szCs w:val="22"/>
              </w:rPr>
              <w:t>€ 100,00</w:t>
            </w:r>
          </w:p>
        </w:tc>
        <w:tc>
          <w:tcPr>
            <w:tcW w:w="581" w:type="pct"/>
            <w:tcBorders>
              <w:top w:val="single" w:sz="4" w:space="0" w:color="auto"/>
              <w:left w:val="nil"/>
              <w:bottom w:val="single" w:sz="4" w:space="0" w:color="auto"/>
              <w:right w:val="single" w:sz="4" w:space="0" w:color="auto"/>
            </w:tcBorders>
            <w:shd w:val="clear" w:color="000000" w:fill="FCE4D6"/>
            <w:vAlign w:val="center"/>
            <w:hideMark/>
          </w:tcPr>
          <w:p w:rsidR="00913429" w:rsidRDefault="00E143F0">
            <w:pPr>
              <w:spacing w:after="0" w:line="240" w:lineRule="auto"/>
              <w:jc w:val="center"/>
              <w:rPr>
                <w:rFonts w:ascii="Calibri" w:eastAsia="Times New Roman" w:hAnsi="Calibri"/>
                <w:b/>
                <w:bCs/>
                <w:noProof/>
                <w:color w:val="000000"/>
                <w:sz w:val="18"/>
                <w:szCs w:val="22"/>
                <w:lang w:val="it-IT" w:eastAsia="it-IT"/>
              </w:rPr>
            </w:pPr>
            <w:r>
              <w:rPr>
                <w:rFonts w:ascii="Calibri" w:hAnsi="Calibri"/>
                <w:b/>
                <w:bCs/>
                <w:noProof/>
                <w:color w:val="000000"/>
                <w:sz w:val="18"/>
                <w:szCs w:val="22"/>
              </w:rPr>
              <w:t>€ 6.000,00</w:t>
            </w:r>
          </w:p>
        </w:tc>
        <w:tc>
          <w:tcPr>
            <w:tcW w:w="590" w:type="pct"/>
            <w:tcBorders>
              <w:top w:val="single" w:sz="4" w:space="0" w:color="auto"/>
              <w:left w:val="nil"/>
              <w:bottom w:val="single" w:sz="4" w:space="0" w:color="auto"/>
              <w:right w:val="single" w:sz="4" w:space="0" w:color="auto"/>
            </w:tcBorders>
            <w:shd w:val="clear" w:color="000000" w:fill="FCE4D6"/>
            <w:vAlign w:val="center"/>
            <w:hideMark/>
          </w:tcPr>
          <w:p w:rsidR="00913429" w:rsidRDefault="00E143F0">
            <w:pPr>
              <w:spacing w:after="0" w:line="240" w:lineRule="auto"/>
              <w:jc w:val="center"/>
              <w:rPr>
                <w:rFonts w:ascii="Calibri" w:eastAsia="Times New Roman" w:hAnsi="Calibri"/>
                <w:b/>
                <w:bCs/>
                <w:noProof/>
                <w:color w:val="000000"/>
                <w:sz w:val="18"/>
                <w:szCs w:val="22"/>
                <w:lang w:val="it-IT" w:eastAsia="it-IT"/>
              </w:rPr>
            </w:pPr>
            <w:r>
              <w:rPr>
                <w:rFonts w:ascii="Calibri" w:hAnsi="Calibri"/>
                <w:b/>
                <w:bCs/>
                <w:noProof/>
                <w:color w:val="000000"/>
                <w:sz w:val="18"/>
                <w:szCs w:val="22"/>
              </w:rPr>
              <w:t>€ 36.000,00</w:t>
            </w:r>
          </w:p>
        </w:tc>
        <w:tc>
          <w:tcPr>
            <w:tcW w:w="524" w:type="pct"/>
            <w:tcBorders>
              <w:top w:val="single" w:sz="4" w:space="0" w:color="auto"/>
              <w:left w:val="nil"/>
              <w:bottom w:val="single" w:sz="4" w:space="0" w:color="auto"/>
              <w:right w:val="single" w:sz="4" w:space="0" w:color="auto"/>
            </w:tcBorders>
            <w:shd w:val="clear" w:color="000000" w:fill="FCE4D6"/>
            <w:noWrap/>
            <w:vAlign w:val="center"/>
            <w:hideMark/>
          </w:tcPr>
          <w:p w:rsidR="00913429" w:rsidRDefault="00E143F0">
            <w:pPr>
              <w:spacing w:after="0" w:line="240" w:lineRule="auto"/>
              <w:jc w:val="center"/>
              <w:rPr>
                <w:rFonts w:ascii="Calibri" w:eastAsia="Times New Roman" w:hAnsi="Calibri"/>
                <w:noProof/>
                <w:color w:val="000000"/>
                <w:sz w:val="18"/>
                <w:szCs w:val="22"/>
                <w:lang w:val="it-IT" w:eastAsia="it-IT"/>
              </w:rPr>
            </w:pPr>
            <w:r>
              <w:rPr>
                <w:rFonts w:ascii="Calibri" w:hAnsi="Calibri"/>
                <w:noProof/>
                <w:color w:val="000000"/>
                <w:sz w:val="18"/>
                <w:szCs w:val="22"/>
              </w:rPr>
              <w:t>Event-based</w:t>
            </w:r>
          </w:p>
        </w:tc>
      </w:tr>
      <w:tr w:rsidR="00913429">
        <w:trPr>
          <w:trHeight w:val="659"/>
          <w:tblHeader/>
        </w:trPr>
        <w:tc>
          <w:tcPr>
            <w:tcW w:w="1199" w:type="pct"/>
            <w:tcBorders>
              <w:top w:val="nil"/>
              <w:left w:val="single" w:sz="8" w:space="0" w:color="auto"/>
              <w:bottom w:val="single" w:sz="4" w:space="0" w:color="auto"/>
              <w:right w:val="single" w:sz="4" w:space="0" w:color="auto"/>
            </w:tcBorders>
            <w:shd w:val="clear" w:color="000000" w:fill="FCE4D6"/>
            <w:noWrap/>
            <w:vAlign w:val="center"/>
            <w:hideMark/>
          </w:tcPr>
          <w:p w:rsidR="00913429" w:rsidRDefault="00E143F0">
            <w:pPr>
              <w:spacing w:after="0" w:line="240" w:lineRule="auto"/>
              <w:rPr>
                <w:rFonts w:ascii="Calibri" w:eastAsia="Times New Roman" w:hAnsi="Calibri"/>
                <w:b/>
                <w:bCs/>
                <w:noProof/>
                <w:color w:val="000000"/>
                <w:sz w:val="18"/>
                <w:szCs w:val="22"/>
                <w:lang w:val="en-US" w:eastAsia="it-IT"/>
              </w:rPr>
            </w:pPr>
            <w:r>
              <w:rPr>
                <w:rFonts w:ascii="Calibri" w:hAnsi="Calibri"/>
                <w:b/>
                <w:bCs/>
                <w:noProof/>
                <w:color w:val="000000"/>
                <w:sz w:val="18"/>
                <w:szCs w:val="22"/>
              </w:rPr>
              <w:t>Catering  for Meeting (ENISA Headquarter-based)</w:t>
            </w:r>
          </w:p>
        </w:tc>
        <w:tc>
          <w:tcPr>
            <w:tcW w:w="364" w:type="pct"/>
            <w:tcBorders>
              <w:top w:val="nil"/>
              <w:left w:val="nil"/>
              <w:bottom w:val="single" w:sz="4" w:space="0" w:color="auto"/>
              <w:right w:val="single" w:sz="4" w:space="0" w:color="auto"/>
            </w:tcBorders>
            <w:shd w:val="clear" w:color="000000" w:fill="FCE4D6"/>
            <w:vAlign w:val="center"/>
            <w:hideMark/>
          </w:tcPr>
          <w:p w:rsidR="00913429" w:rsidRDefault="00E143F0">
            <w:pPr>
              <w:spacing w:after="0" w:line="240" w:lineRule="auto"/>
              <w:jc w:val="center"/>
              <w:rPr>
                <w:rFonts w:ascii="Calibri" w:eastAsia="Times New Roman" w:hAnsi="Calibri"/>
                <w:b/>
                <w:bCs/>
                <w:noProof/>
                <w:color w:val="000000"/>
                <w:sz w:val="18"/>
                <w:szCs w:val="22"/>
                <w:lang w:val="it-IT" w:eastAsia="it-IT"/>
              </w:rPr>
            </w:pPr>
            <w:r>
              <w:rPr>
                <w:rFonts w:ascii="Calibri" w:hAnsi="Calibri"/>
                <w:b/>
                <w:bCs/>
                <w:noProof/>
                <w:color w:val="000000"/>
                <w:sz w:val="18"/>
                <w:szCs w:val="22"/>
              </w:rPr>
              <w:t>1</w:t>
            </w:r>
          </w:p>
        </w:tc>
        <w:tc>
          <w:tcPr>
            <w:tcW w:w="653" w:type="pct"/>
            <w:tcBorders>
              <w:top w:val="nil"/>
              <w:left w:val="nil"/>
              <w:bottom w:val="single" w:sz="4" w:space="0" w:color="auto"/>
              <w:right w:val="single" w:sz="4" w:space="0" w:color="auto"/>
            </w:tcBorders>
            <w:shd w:val="clear" w:color="000000" w:fill="FCE4D6"/>
            <w:vAlign w:val="center"/>
            <w:hideMark/>
          </w:tcPr>
          <w:p w:rsidR="00913429" w:rsidRDefault="00E143F0">
            <w:pPr>
              <w:spacing w:after="0" w:line="240" w:lineRule="auto"/>
              <w:jc w:val="center"/>
              <w:rPr>
                <w:rFonts w:ascii="Calibri" w:eastAsia="Times New Roman" w:hAnsi="Calibri"/>
                <w:b/>
                <w:bCs/>
                <w:noProof/>
                <w:color w:val="000000"/>
                <w:sz w:val="18"/>
                <w:szCs w:val="22"/>
                <w:lang w:val="it-IT" w:eastAsia="it-IT"/>
              </w:rPr>
            </w:pPr>
            <w:r>
              <w:rPr>
                <w:rFonts w:ascii="Calibri" w:hAnsi="Calibri"/>
                <w:b/>
                <w:bCs/>
                <w:noProof/>
                <w:color w:val="000000"/>
                <w:sz w:val="18"/>
                <w:szCs w:val="22"/>
              </w:rPr>
              <w:t>Day</w:t>
            </w:r>
          </w:p>
        </w:tc>
        <w:tc>
          <w:tcPr>
            <w:tcW w:w="508" w:type="pct"/>
            <w:tcBorders>
              <w:top w:val="nil"/>
              <w:left w:val="nil"/>
              <w:bottom w:val="single" w:sz="4" w:space="0" w:color="auto"/>
              <w:right w:val="single" w:sz="4" w:space="0" w:color="auto"/>
            </w:tcBorders>
            <w:shd w:val="clear" w:color="000000" w:fill="FCE4D6"/>
            <w:noWrap/>
            <w:vAlign w:val="center"/>
            <w:hideMark/>
          </w:tcPr>
          <w:p w:rsidR="00913429" w:rsidRDefault="00E143F0">
            <w:pPr>
              <w:spacing w:after="0" w:line="240" w:lineRule="auto"/>
              <w:jc w:val="center"/>
              <w:rPr>
                <w:rFonts w:ascii="Calibri" w:eastAsia="Times New Roman" w:hAnsi="Calibri"/>
                <w:b/>
                <w:bCs/>
                <w:noProof/>
                <w:color w:val="000000"/>
                <w:sz w:val="18"/>
                <w:szCs w:val="22"/>
                <w:lang w:val="it-IT" w:eastAsia="it-IT"/>
              </w:rPr>
            </w:pPr>
            <w:r>
              <w:rPr>
                <w:rFonts w:ascii="Calibri" w:hAnsi="Calibri"/>
                <w:b/>
                <w:bCs/>
                <w:noProof/>
                <w:color w:val="000000"/>
                <w:sz w:val="18"/>
                <w:szCs w:val="22"/>
              </w:rPr>
              <w:t>72</w:t>
            </w:r>
          </w:p>
        </w:tc>
        <w:tc>
          <w:tcPr>
            <w:tcW w:w="581" w:type="pct"/>
            <w:tcBorders>
              <w:top w:val="nil"/>
              <w:left w:val="nil"/>
              <w:bottom w:val="single" w:sz="4" w:space="0" w:color="auto"/>
              <w:right w:val="single" w:sz="4" w:space="0" w:color="auto"/>
            </w:tcBorders>
            <w:shd w:val="clear" w:color="000000" w:fill="FCE4D6"/>
            <w:vAlign w:val="center"/>
            <w:hideMark/>
          </w:tcPr>
          <w:p w:rsidR="00913429" w:rsidRDefault="00E143F0">
            <w:pPr>
              <w:spacing w:after="0" w:line="240" w:lineRule="auto"/>
              <w:jc w:val="center"/>
              <w:rPr>
                <w:rFonts w:ascii="Calibri" w:eastAsia="Times New Roman" w:hAnsi="Calibri"/>
                <w:b/>
                <w:bCs/>
                <w:noProof/>
                <w:color w:val="000000"/>
                <w:sz w:val="18"/>
                <w:szCs w:val="22"/>
                <w:lang w:val="it-IT" w:eastAsia="it-IT"/>
              </w:rPr>
            </w:pPr>
            <w:r>
              <w:rPr>
                <w:rFonts w:ascii="Calibri" w:hAnsi="Calibri"/>
                <w:b/>
                <w:bCs/>
                <w:noProof/>
                <w:color w:val="000000"/>
                <w:sz w:val="18"/>
                <w:szCs w:val="22"/>
              </w:rPr>
              <w:t>€ 20,00</w:t>
            </w:r>
          </w:p>
        </w:tc>
        <w:tc>
          <w:tcPr>
            <w:tcW w:w="581" w:type="pct"/>
            <w:tcBorders>
              <w:top w:val="nil"/>
              <w:left w:val="nil"/>
              <w:bottom w:val="single" w:sz="4" w:space="0" w:color="auto"/>
              <w:right w:val="single" w:sz="4" w:space="0" w:color="auto"/>
            </w:tcBorders>
            <w:shd w:val="clear" w:color="000000" w:fill="FCE4D6"/>
            <w:vAlign w:val="center"/>
            <w:hideMark/>
          </w:tcPr>
          <w:p w:rsidR="00913429" w:rsidRDefault="00E143F0">
            <w:pPr>
              <w:spacing w:after="0" w:line="240" w:lineRule="auto"/>
              <w:jc w:val="center"/>
              <w:rPr>
                <w:rFonts w:ascii="Calibri" w:eastAsia="Times New Roman" w:hAnsi="Calibri"/>
                <w:b/>
                <w:bCs/>
                <w:noProof/>
                <w:color w:val="000000"/>
                <w:sz w:val="18"/>
                <w:szCs w:val="22"/>
                <w:lang w:val="it-IT" w:eastAsia="it-IT"/>
              </w:rPr>
            </w:pPr>
            <w:r>
              <w:rPr>
                <w:rFonts w:ascii="Calibri" w:hAnsi="Calibri"/>
                <w:b/>
                <w:bCs/>
                <w:noProof/>
                <w:color w:val="000000"/>
                <w:sz w:val="18"/>
                <w:szCs w:val="22"/>
              </w:rPr>
              <w:t xml:space="preserve">€ </w:t>
            </w:r>
            <w:r>
              <w:rPr>
                <w:rFonts w:ascii="Calibri" w:hAnsi="Calibri"/>
                <w:b/>
                <w:bCs/>
                <w:noProof/>
                <w:color w:val="000000"/>
                <w:sz w:val="18"/>
                <w:szCs w:val="22"/>
              </w:rPr>
              <w:t>20,00</w:t>
            </w:r>
          </w:p>
        </w:tc>
        <w:tc>
          <w:tcPr>
            <w:tcW w:w="590" w:type="pct"/>
            <w:tcBorders>
              <w:top w:val="nil"/>
              <w:left w:val="nil"/>
              <w:bottom w:val="single" w:sz="4" w:space="0" w:color="auto"/>
              <w:right w:val="single" w:sz="4" w:space="0" w:color="auto"/>
            </w:tcBorders>
            <w:shd w:val="clear" w:color="000000" w:fill="FCE4D6"/>
            <w:vAlign w:val="center"/>
            <w:hideMark/>
          </w:tcPr>
          <w:p w:rsidR="00913429" w:rsidRDefault="00E143F0">
            <w:pPr>
              <w:spacing w:after="0" w:line="240" w:lineRule="auto"/>
              <w:jc w:val="center"/>
              <w:rPr>
                <w:rFonts w:ascii="Calibri" w:eastAsia="Times New Roman" w:hAnsi="Calibri"/>
                <w:b/>
                <w:bCs/>
                <w:noProof/>
                <w:color w:val="000000"/>
                <w:sz w:val="18"/>
                <w:szCs w:val="22"/>
                <w:lang w:val="it-IT" w:eastAsia="it-IT"/>
              </w:rPr>
            </w:pPr>
            <w:r>
              <w:rPr>
                <w:rFonts w:ascii="Calibri" w:hAnsi="Calibri"/>
                <w:b/>
                <w:bCs/>
                <w:noProof/>
                <w:color w:val="000000"/>
                <w:sz w:val="18"/>
                <w:szCs w:val="22"/>
              </w:rPr>
              <w:t>€ 1.440,00</w:t>
            </w:r>
          </w:p>
        </w:tc>
        <w:tc>
          <w:tcPr>
            <w:tcW w:w="524" w:type="pct"/>
            <w:tcBorders>
              <w:top w:val="nil"/>
              <w:left w:val="nil"/>
              <w:bottom w:val="single" w:sz="4" w:space="0" w:color="auto"/>
              <w:right w:val="single" w:sz="4" w:space="0" w:color="auto"/>
            </w:tcBorders>
            <w:shd w:val="clear" w:color="000000" w:fill="FCE4D6"/>
            <w:noWrap/>
            <w:vAlign w:val="center"/>
            <w:hideMark/>
          </w:tcPr>
          <w:p w:rsidR="00913429" w:rsidRDefault="00E143F0">
            <w:pPr>
              <w:spacing w:after="0" w:line="240" w:lineRule="auto"/>
              <w:jc w:val="center"/>
              <w:rPr>
                <w:rFonts w:ascii="Calibri" w:eastAsia="Times New Roman" w:hAnsi="Calibri"/>
                <w:noProof/>
                <w:color w:val="000000"/>
                <w:sz w:val="18"/>
                <w:szCs w:val="22"/>
                <w:lang w:val="it-IT" w:eastAsia="it-IT"/>
              </w:rPr>
            </w:pPr>
            <w:r>
              <w:rPr>
                <w:rFonts w:ascii="Calibri" w:hAnsi="Calibri"/>
                <w:noProof/>
                <w:color w:val="000000"/>
                <w:sz w:val="18"/>
                <w:szCs w:val="22"/>
              </w:rPr>
              <w:t>Event-based</w:t>
            </w:r>
          </w:p>
        </w:tc>
      </w:tr>
      <w:tr w:rsidR="00913429">
        <w:trPr>
          <w:trHeight w:val="659"/>
          <w:tblHeader/>
        </w:trPr>
        <w:tc>
          <w:tcPr>
            <w:tcW w:w="1199" w:type="pct"/>
            <w:tcBorders>
              <w:top w:val="nil"/>
              <w:left w:val="single" w:sz="8" w:space="0" w:color="auto"/>
              <w:bottom w:val="single" w:sz="4" w:space="0" w:color="auto"/>
              <w:right w:val="single" w:sz="4" w:space="0" w:color="auto"/>
            </w:tcBorders>
            <w:shd w:val="clear" w:color="000000" w:fill="FCE4D6"/>
            <w:noWrap/>
            <w:vAlign w:val="center"/>
            <w:hideMark/>
          </w:tcPr>
          <w:p w:rsidR="00913429" w:rsidRDefault="00E143F0">
            <w:pPr>
              <w:spacing w:after="0" w:line="240" w:lineRule="auto"/>
              <w:rPr>
                <w:rFonts w:ascii="Calibri" w:eastAsia="Times New Roman" w:hAnsi="Calibri"/>
                <w:b/>
                <w:bCs/>
                <w:noProof/>
                <w:color w:val="000000"/>
                <w:sz w:val="18"/>
                <w:szCs w:val="22"/>
                <w:lang w:val="en-US" w:eastAsia="it-IT"/>
              </w:rPr>
            </w:pPr>
            <w:r>
              <w:rPr>
                <w:rFonts w:ascii="Calibri" w:hAnsi="Calibri"/>
                <w:b/>
                <w:bCs/>
                <w:noProof/>
                <w:color w:val="000000"/>
                <w:sz w:val="18"/>
                <w:szCs w:val="22"/>
              </w:rPr>
              <w:t xml:space="preserve">Travelling Costs for Meetings abroad </w:t>
            </w:r>
          </w:p>
        </w:tc>
        <w:tc>
          <w:tcPr>
            <w:tcW w:w="364" w:type="pct"/>
            <w:tcBorders>
              <w:top w:val="nil"/>
              <w:left w:val="nil"/>
              <w:bottom w:val="single" w:sz="4" w:space="0" w:color="auto"/>
              <w:right w:val="single" w:sz="4" w:space="0" w:color="auto"/>
            </w:tcBorders>
            <w:shd w:val="clear" w:color="000000" w:fill="FCE4D6"/>
            <w:vAlign w:val="center"/>
            <w:hideMark/>
          </w:tcPr>
          <w:p w:rsidR="00913429" w:rsidRDefault="00E143F0">
            <w:pPr>
              <w:spacing w:after="0" w:line="240" w:lineRule="auto"/>
              <w:jc w:val="center"/>
              <w:rPr>
                <w:rFonts w:ascii="Calibri" w:eastAsia="Times New Roman" w:hAnsi="Calibri"/>
                <w:b/>
                <w:bCs/>
                <w:noProof/>
                <w:color w:val="000000"/>
                <w:sz w:val="18"/>
                <w:szCs w:val="22"/>
                <w:lang w:val="it-IT" w:eastAsia="it-IT"/>
              </w:rPr>
            </w:pPr>
            <w:r>
              <w:rPr>
                <w:rFonts w:ascii="Calibri" w:hAnsi="Calibri"/>
                <w:b/>
                <w:bCs/>
                <w:noProof/>
                <w:color w:val="000000"/>
                <w:sz w:val="18"/>
                <w:szCs w:val="22"/>
              </w:rPr>
              <w:t>1,5</w:t>
            </w:r>
          </w:p>
        </w:tc>
        <w:tc>
          <w:tcPr>
            <w:tcW w:w="653" w:type="pct"/>
            <w:tcBorders>
              <w:top w:val="nil"/>
              <w:left w:val="nil"/>
              <w:bottom w:val="single" w:sz="4" w:space="0" w:color="auto"/>
              <w:right w:val="single" w:sz="4" w:space="0" w:color="auto"/>
            </w:tcBorders>
            <w:shd w:val="clear" w:color="000000" w:fill="FCE4D6"/>
            <w:vAlign w:val="center"/>
            <w:hideMark/>
          </w:tcPr>
          <w:p w:rsidR="00913429" w:rsidRDefault="00E143F0">
            <w:pPr>
              <w:spacing w:after="0" w:line="240" w:lineRule="auto"/>
              <w:jc w:val="center"/>
              <w:rPr>
                <w:rFonts w:ascii="Calibri" w:eastAsia="Times New Roman" w:hAnsi="Calibri"/>
                <w:b/>
                <w:bCs/>
                <w:noProof/>
                <w:color w:val="000000"/>
                <w:sz w:val="18"/>
                <w:szCs w:val="22"/>
                <w:lang w:val="it-IT" w:eastAsia="it-IT"/>
              </w:rPr>
            </w:pPr>
            <w:r>
              <w:rPr>
                <w:rFonts w:ascii="Calibri" w:hAnsi="Calibri"/>
                <w:b/>
                <w:bCs/>
                <w:noProof/>
                <w:color w:val="000000"/>
                <w:sz w:val="18"/>
                <w:szCs w:val="22"/>
              </w:rPr>
              <w:t>Person wage</w:t>
            </w:r>
          </w:p>
        </w:tc>
        <w:tc>
          <w:tcPr>
            <w:tcW w:w="508" w:type="pct"/>
            <w:tcBorders>
              <w:top w:val="nil"/>
              <w:left w:val="nil"/>
              <w:bottom w:val="single" w:sz="4" w:space="0" w:color="auto"/>
              <w:right w:val="single" w:sz="4" w:space="0" w:color="auto"/>
            </w:tcBorders>
            <w:shd w:val="clear" w:color="000000" w:fill="FCE4D6"/>
            <w:noWrap/>
            <w:vAlign w:val="center"/>
            <w:hideMark/>
          </w:tcPr>
          <w:p w:rsidR="00913429" w:rsidRDefault="00E143F0">
            <w:pPr>
              <w:spacing w:after="0" w:line="240" w:lineRule="auto"/>
              <w:jc w:val="center"/>
              <w:rPr>
                <w:rFonts w:ascii="Calibri" w:eastAsia="Times New Roman" w:hAnsi="Calibri"/>
                <w:b/>
                <w:bCs/>
                <w:noProof/>
                <w:color w:val="000000"/>
                <w:sz w:val="18"/>
                <w:szCs w:val="22"/>
                <w:lang w:val="it-IT" w:eastAsia="it-IT"/>
              </w:rPr>
            </w:pPr>
            <w:r>
              <w:rPr>
                <w:rFonts w:ascii="Calibri" w:hAnsi="Calibri"/>
                <w:b/>
                <w:bCs/>
                <w:noProof/>
                <w:color w:val="000000"/>
                <w:sz w:val="18"/>
                <w:szCs w:val="22"/>
              </w:rPr>
              <w:t>27</w:t>
            </w:r>
          </w:p>
        </w:tc>
        <w:tc>
          <w:tcPr>
            <w:tcW w:w="581" w:type="pct"/>
            <w:tcBorders>
              <w:top w:val="nil"/>
              <w:left w:val="nil"/>
              <w:bottom w:val="single" w:sz="4" w:space="0" w:color="auto"/>
              <w:right w:val="single" w:sz="4" w:space="0" w:color="auto"/>
            </w:tcBorders>
            <w:shd w:val="clear" w:color="000000" w:fill="FCE4D6"/>
            <w:vAlign w:val="center"/>
            <w:hideMark/>
          </w:tcPr>
          <w:p w:rsidR="00913429" w:rsidRDefault="00E143F0">
            <w:pPr>
              <w:spacing w:after="0" w:line="240" w:lineRule="auto"/>
              <w:jc w:val="center"/>
              <w:rPr>
                <w:rFonts w:ascii="Calibri" w:eastAsia="Times New Roman" w:hAnsi="Calibri"/>
                <w:b/>
                <w:bCs/>
                <w:noProof/>
                <w:color w:val="000000"/>
                <w:sz w:val="18"/>
                <w:szCs w:val="22"/>
                <w:lang w:val="it-IT" w:eastAsia="it-IT"/>
              </w:rPr>
            </w:pPr>
            <w:r>
              <w:rPr>
                <w:rFonts w:ascii="Calibri" w:hAnsi="Calibri"/>
                <w:b/>
                <w:bCs/>
                <w:noProof/>
                <w:color w:val="000000"/>
                <w:sz w:val="18"/>
                <w:szCs w:val="22"/>
              </w:rPr>
              <w:t>€ 2.000,00</w:t>
            </w:r>
          </w:p>
        </w:tc>
        <w:tc>
          <w:tcPr>
            <w:tcW w:w="581" w:type="pct"/>
            <w:tcBorders>
              <w:top w:val="nil"/>
              <w:left w:val="nil"/>
              <w:bottom w:val="single" w:sz="4" w:space="0" w:color="auto"/>
              <w:right w:val="single" w:sz="4" w:space="0" w:color="auto"/>
            </w:tcBorders>
            <w:shd w:val="clear" w:color="000000" w:fill="FCE4D6"/>
            <w:vAlign w:val="center"/>
            <w:hideMark/>
          </w:tcPr>
          <w:p w:rsidR="00913429" w:rsidRDefault="00E143F0">
            <w:pPr>
              <w:spacing w:after="0" w:line="240" w:lineRule="auto"/>
              <w:jc w:val="center"/>
              <w:rPr>
                <w:rFonts w:ascii="Calibri" w:eastAsia="Times New Roman" w:hAnsi="Calibri"/>
                <w:b/>
                <w:bCs/>
                <w:noProof/>
                <w:color w:val="000000"/>
                <w:sz w:val="18"/>
                <w:szCs w:val="22"/>
                <w:lang w:val="it-IT" w:eastAsia="it-IT"/>
              </w:rPr>
            </w:pPr>
            <w:r>
              <w:rPr>
                <w:rFonts w:ascii="Calibri" w:hAnsi="Calibri"/>
                <w:b/>
                <w:bCs/>
                <w:noProof/>
                <w:color w:val="000000"/>
                <w:sz w:val="18"/>
                <w:szCs w:val="22"/>
              </w:rPr>
              <w:t>€ 3.000,00</w:t>
            </w:r>
          </w:p>
        </w:tc>
        <w:tc>
          <w:tcPr>
            <w:tcW w:w="590" w:type="pct"/>
            <w:tcBorders>
              <w:top w:val="nil"/>
              <w:left w:val="nil"/>
              <w:bottom w:val="single" w:sz="4" w:space="0" w:color="auto"/>
              <w:right w:val="single" w:sz="4" w:space="0" w:color="auto"/>
            </w:tcBorders>
            <w:shd w:val="clear" w:color="000000" w:fill="FCE4D6"/>
            <w:vAlign w:val="center"/>
            <w:hideMark/>
          </w:tcPr>
          <w:p w:rsidR="00913429" w:rsidRDefault="00E143F0">
            <w:pPr>
              <w:spacing w:after="0" w:line="240" w:lineRule="auto"/>
              <w:jc w:val="center"/>
              <w:rPr>
                <w:rFonts w:ascii="Calibri" w:eastAsia="Times New Roman" w:hAnsi="Calibri"/>
                <w:b/>
                <w:bCs/>
                <w:noProof/>
                <w:color w:val="000000"/>
                <w:sz w:val="18"/>
                <w:szCs w:val="22"/>
                <w:lang w:val="it-IT" w:eastAsia="it-IT"/>
              </w:rPr>
            </w:pPr>
            <w:r>
              <w:rPr>
                <w:rFonts w:ascii="Calibri" w:hAnsi="Calibri"/>
                <w:b/>
                <w:bCs/>
                <w:noProof/>
                <w:color w:val="000000"/>
                <w:sz w:val="18"/>
                <w:szCs w:val="22"/>
              </w:rPr>
              <w:t>€ 45.000,00</w:t>
            </w:r>
          </w:p>
        </w:tc>
        <w:tc>
          <w:tcPr>
            <w:tcW w:w="524" w:type="pct"/>
            <w:tcBorders>
              <w:top w:val="nil"/>
              <w:left w:val="nil"/>
              <w:bottom w:val="single" w:sz="4" w:space="0" w:color="auto"/>
              <w:right w:val="single" w:sz="4" w:space="0" w:color="auto"/>
            </w:tcBorders>
            <w:shd w:val="clear" w:color="000000" w:fill="FCE4D6"/>
            <w:noWrap/>
            <w:vAlign w:val="center"/>
            <w:hideMark/>
          </w:tcPr>
          <w:p w:rsidR="00913429" w:rsidRDefault="00E143F0">
            <w:pPr>
              <w:spacing w:after="0" w:line="240" w:lineRule="auto"/>
              <w:jc w:val="center"/>
              <w:rPr>
                <w:rFonts w:ascii="Calibri" w:eastAsia="Times New Roman" w:hAnsi="Calibri"/>
                <w:noProof/>
                <w:color w:val="000000"/>
                <w:sz w:val="18"/>
                <w:szCs w:val="22"/>
                <w:lang w:val="it-IT" w:eastAsia="it-IT"/>
              </w:rPr>
            </w:pPr>
            <w:r>
              <w:rPr>
                <w:rFonts w:ascii="Calibri" w:hAnsi="Calibri"/>
                <w:noProof/>
                <w:color w:val="000000"/>
                <w:sz w:val="18"/>
                <w:szCs w:val="22"/>
              </w:rPr>
              <w:t>Event-based</w:t>
            </w:r>
          </w:p>
        </w:tc>
      </w:tr>
      <w:tr w:rsidR="00913429">
        <w:trPr>
          <w:trHeight w:val="593"/>
          <w:tblHeader/>
        </w:trPr>
        <w:tc>
          <w:tcPr>
            <w:tcW w:w="1199" w:type="pct"/>
            <w:tcBorders>
              <w:top w:val="single" w:sz="8" w:space="0" w:color="auto"/>
              <w:left w:val="single" w:sz="8" w:space="0" w:color="auto"/>
              <w:bottom w:val="single" w:sz="4" w:space="0" w:color="auto"/>
              <w:right w:val="single" w:sz="4" w:space="0" w:color="auto"/>
            </w:tcBorders>
            <w:shd w:val="clear" w:color="000000" w:fill="DDEBF7"/>
            <w:noWrap/>
            <w:vAlign w:val="center"/>
            <w:hideMark/>
          </w:tcPr>
          <w:p w:rsidR="00913429" w:rsidRDefault="00E143F0">
            <w:pPr>
              <w:spacing w:after="0" w:line="240" w:lineRule="auto"/>
              <w:rPr>
                <w:rFonts w:ascii="Calibri" w:eastAsia="Times New Roman" w:hAnsi="Calibri"/>
                <w:b/>
                <w:bCs/>
                <w:noProof/>
                <w:color w:val="000000"/>
                <w:sz w:val="18"/>
                <w:szCs w:val="22"/>
                <w:lang w:val="it-IT" w:eastAsia="it-IT"/>
              </w:rPr>
            </w:pPr>
            <w:r>
              <w:rPr>
                <w:rFonts w:ascii="Calibri" w:hAnsi="Calibri"/>
                <w:b/>
                <w:bCs/>
                <w:noProof/>
                <w:color w:val="000000"/>
                <w:sz w:val="18"/>
                <w:szCs w:val="22"/>
              </w:rPr>
              <w:t>Head of Unit (AD7/9)</w:t>
            </w:r>
          </w:p>
        </w:tc>
        <w:tc>
          <w:tcPr>
            <w:tcW w:w="364" w:type="pct"/>
            <w:tcBorders>
              <w:top w:val="single" w:sz="8" w:space="0" w:color="auto"/>
              <w:left w:val="nil"/>
              <w:bottom w:val="single" w:sz="4" w:space="0" w:color="auto"/>
              <w:right w:val="single" w:sz="4" w:space="0" w:color="auto"/>
            </w:tcBorders>
            <w:shd w:val="clear" w:color="000000" w:fill="DDEBF7"/>
            <w:vAlign w:val="center"/>
            <w:hideMark/>
          </w:tcPr>
          <w:p w:rsidR="00913429" w:rsidRDefault="00E143F0">
            <w:pPr>
              <w:spacing w:after="0" w:line="240" w:lineRule="auto"/>
              <w:jc w:val="center"/>
              <w:rPr>
                <w:rFonts w:ascii="Calibri" w:eastAsia="Times New Roman" w:hAnsi="Calibri"/>
                <w:b/>
                <w:bCs/>
                <w:noProof/>
                <w:color w:val="000000"/>
                <w:sz w:val="18"/>
                <w:szCs w:val="22"/>
                <w:lang w:val="it-IT" w:eastAsia="it-IT"/>
              </w:rPr>
            </w:pPr>
            <w:r>
              <w:rPr>
                <w:rFonts w:ascii="Calibri" w:hAnsi="Calibri"/>
                <w:b/>
                <w:bCs/>
                <w:noProof/>
                <w:color w:val="000000"/>
                <w:sz w:val="18"/>
                <w:szCs w:val="22"/>
              </w:rPr>
              <w:t>1</w:t>
            </w:r>
          </w:p>
        </w:tc>
        <w:tc>
          <w:tcPr>
            <w:tcW w:w="653" w:type="pct"/>
            <w:tcBorders>
              <w:top w:val="single" w:sz="8" w:space="0" w:color="auto"/>
              <w:left w:val="nil"/>
              <w:bottom w:val="single" w:sz="4" w:space="0" w:color="auto"/>
              <w:right w:val="single" w:sz="4" w:space="0" w:color="auto"/>
            </w:tcBorders>
            <w:shd w:val="clear" w:color="000000" w:fill="DDEBF7"/>
            <w:vAlign w:val="center"/>
            <w:hideMark/>
          </w:tcPr>
          <w:p w:rsidR="00913429" w:rsidRDefault="00E143F0">
            <w:pPr>
              <w:spacing w:after="0" w:line="240" w:lineRule="auto"/>
              <w:jc w:val="center"/>
              <w:rPr>
                <w:rFonts w:ascii="Calibri" w:eastAsia="Times New Roman" w:hAnsi="Calibri"/>
                <w:b/>
                <w:bCs/>
                <w:noProof/>
                <w:color w:val="000000"/>
                <w:sz w:val="18"/>
                <w:szCs w:val="22"/>
                <w:lang w:val="it-IT" w:eastAsia="it-IT"/>
              </w:rPr>
            </w:pPr>
            <w:r>
              <w:rPr>
                <w:rFonts w:ascii="Calibri" w:hAnsi="Calibri"/>
                <w:b/>
                <w:bCs/>
                <w:noProof/>
                <w:color w:val="000000"/>
                <w:sz w:val="18"/>
                <w:szCs w:val="22"/>
              </w:rPr>
              <w:t>Person wage</w:t>
            </w:r>
          </w:p>
        </w:tc>
        <w:tc>
          <w:tcPr>
            <w:tcW w:w="508" w:type="pct"/>
            <w:tcBorders>
              <w:top w:val="single" w:sz="8" w:space="0" w:color="auto"/>
              <w:left w:val="nil"/>
              <w:bottom w:val="single" w:sz="4" w:space="0" w:color="auto"/>
              <w:right w:val="single" w:sz="4" w:space="0" w:color="auto"/>
            </w:tcBorders>
            <w:shd w:val="clear" w:color="000000" w:fill="DDEBF7"/>
            <w:noWrap/>
            <w:vAlign w:val="center"/>
            <w:hideMark/>
          </w:tcPr>
          <w:p w:rsidR="00913429" w:rsidRDefault="00E143F0">
            <w:pPr>
              <w:spacing w:after="0" w:line="240" w:lineRule="auto"/>
              <w:jc w:val="center"/>
              <w:rPr>
                <w:rFonts w:ascii="Calibri" w:eastAsia="Times New Roman" w:hAnsi="Calibri"/>
                <w:b/>
                <w:bCs/>
                <w:noProof/>
                <w:color w:val="000000"/>
                <w:sz w:val="18"/>
                <w:szCs w:val="22"/>
                <w:lang w:val="it-IT" w:eastAsia="it-IT"/>
              </w:rPr>
            </w:pPr>
            <w:r>
              <w:rPr>
                <w:rFonts w:ascii="Calibri" w:hAnsi="Calibri"/>
                <w:b/>
                <w:bCs/>
                <w:noProof/>
                <w:color w:val="000000"/>
                <w:sz w:val="18"/>
                <w:szCs w:val="22"/>
              </w:rPr>
              <w:t>1</w:t>
            </w:r>
          </w:p>
        </w:tc>
        <w:tc>
          <w:tcPr>
            <w:tcW w:w="581" w:type="pct"/>
            <w:tcBorders>
              <w:top w:val="single" w:sz="8" w:space="0" w:color="auto"/>
              <w:left w:val="nil"/>
              <w:bottom w:val="single" w:sz="4" w:space="0" w:color="auto"/>
              <w:right w:val="single" w:sz="4" w:space="0" w:color="auto"/>
            </w:tcBorders>
            <w:shd w:val="clear" w:color="000000" w:fill="DDEBF7"/>
            <w:vAlign w:val="center"/>
            <w:hideMark/>
          </w:tcPr>
          <w:p w:rsidR="00913429" w:rsidRDefault="00E143F0">
            <w:pPr>
              <w:spacing w:after="0" w:line="240" w:lineRule="auto"/>
              <w:jc w:val="center"/>
              <w:rPr>
                <w:rFonts w:ascii="Calibri" w:eastAsia="Times New Roman" w:hAnsi="Calibri"/>
                <w:b/>
                <w:bCs/>
                <w:noProof/>
                <w:color w:val="000000"/>
                <w:sz w:val="18"/>
                <w:szCs w:val="22"/>
                <w:lang w:val="it-IT" w:eastAsia="it-IT"/>
              </w:rPr>
            </w:pPr>
            <w:r>
              <w:rPr>
                <w:rFonts w:ascii="Calibri" w:hAnsi="Calibri"/>
                <w:b/>
                <w:bCs/>
                <w:noProof/>
                <w:color w:val="000000"/>
                <w:sz w:val="18"/>
                <w:szCs w:val="22"/>
              </w:rPr>
              <w:t>€ 90.000,00</w:t>
            </w:r>
          </w:p>
        </w:tc>
        <w:tc>
          <w:tcPr>
            <w:tcW w:w="581" w:type="pct"/>
            <w:tcBorders>
              <w:top w:val="single" w:sz="8" w:space="0" w:color="auto"/>
              <w:left w:val="nil"/>
              <w:bottom w:val="single" w:sz="4" w:space="0" w:color="auto"/>
              <w:right w:val="single" w:sz="4" w:space="0" w:color="auto"/>
            </w:tcBorders>
            <w:shd w:val="clear" w:color="000000" w:fill="DDEBF7"/>
            <w:vAlign w:val="center"/>
            <w:hideMark/>
          </w:tcPr>
          <w:p w:rsidR="00913429" w:rsidRDefault="00E143F0">
            <w:pPr>
              <w:spacing w:after="0" w:line="240" w:lineRule="auto"/>
              <w:jc w:val="center"/>
              <w:rPr>
                <w:rFonts w:ascii="Calibri" w:eastAsia="Times New Roman" w:hAnsi="Calibri"/>
                <w:b/>
                <w:bCs/>
                <w:noProof/>
                <w:color w:val="000000"/>
                <w:sz w:val="18"/>
                <w:szCs w:val="22"/>
                <w:lang w:val="it-IT" w:eastAsia="it-IT"/>
              </w:rPr>
            </w:pPr>
            <w:r>
              <w:rPr>
                <w:rFonts w:ascii="Calibri" w:hAnsi="Calibri"/>
                <w:b/>
                <w:bCs/>
                <w:noProof/>
                <w:color w:val="000000"/>
                <w:sz w:val="18"/>
                <w:szCs w:val="22"/>
              </w:rPr>
              <w:t>€ 90.000,00</w:t>
            </w:r>
          </w:p>
        </w:tc>
        <w:tc>
          <w:tcPr>
            <w:tcW w:w="590" w:type="pct"/>
            <w:tcBorders>
              <w:top w:val="single" w:sz="8" w:space="0" w:color="auto"/>
              <w:left w:val="nil"/>
              <w:bottom w:val="single" w:sz="4" w:space="0" w:color="auto"/>
              <w:right w:val="single" w:sz="4" w:space="0" w:color="auto"/>
            </w:tcBorders>
            <w:shd w:val="clear" w:color="000000" w:fill="DDEBF7"/>
            <w:vAlign w:val="center"/>
            <w:hideMark/>
          </w:tcPr>
          <w:p w:rsidR="00913429" w:rsidRDefault="00E143F0">
            <w:pPr>
              <w:spacing w:after="0" w:line="240" w:lineRule="auto"/>
              <w:jc w:val="center"/>
              <w:rPr>
                <w:rFonts w:ascii="Calibri" w:eastAsia="Times New Roman" w:hAnsi="Calibri"/>
                <w:b/>
                <w:bCs/>
                <w:noProof/>
                <w:color w:val="000000"/>
                <w:sz w:val="18"/>
                <w:szCs w:val="22"/>
                <w:lang w:val="it-IT" w:eastAsia="it-IT"/>
              </w:rPr>
            </w:pPr>
            <w:r>
              <w:rPr>
                <w:rFonts w:ascii="Calibri" w:hAnsi="Calibri"/>
                <w:b/>
                <w:bCs/>
                <w:noProof/>
                <w:color w:val="000000"/>
                <w:sz w:val="18"/>
                <w:szCs w:val="22"/>
              </w:rPr>
              <w:t>€ 90.000,00</w:t>
            </w:r>
          </w:p>
        </w:tc>
        <w:tc>
          <w:tcPr>
            <w:tcW w:w="524" w:type="pct"/>
            <w:tcBorders>
              <w:top w:val="single" w:sz="8" w:space="0" w:color="auto"/>
              <w:left w:val="nil"/>
              <w:bottom w:val="single" w:sz="4" w:space="0" w:color="auto"/>
              <w:right w:val="single" w:sz="4" w:space="0" w:color="auto"/>
            </w:tcBorders>
            <w:shd w:val="clear" w:color="000000" w:fill="DDEBF7"/>
            <w:noWrap/>
            <w:vAlign w:val="center"/>
            <w:hideMark/>
          </w:tcPr>
          <w:p w:rsidR="00913429" w:rsidRDefault="00E143F0">
            <w:pPr>
              <w:spacing w:after="0" w:line="240" w:lineRule="auto"/>
              <w:jc w:val="center"/>
              <w:rPr>
                <w:rFonts w:ascii="Calibri" w:eastAsia="Times New Roman" w:hAnsi="Calibri"/>
                <w:noProof/>
                <w:color w:val="000000"/>
                <w:sz w:val="18"/>
                <w:szCs w:val="22"/>
                <w:lang w:val="it-IT" w:eastAsia="it-IT"/>
              </w:rPr>
            </w:pPr>
            <w:r>
              <w:rPr>
                <w:rFonts w:ascii="Calibri" w:hAnsi="Calibri"/>
                <w:noProof/>
                <w:color w:val="000000"/>
                <w:sz w:val="18"/>
                <w:szCs w:val="22"/>
              </w:rPr>
              <w:t>Recurring</w:t>
            </w:r>
          </w:p>
        </w:tc>
      </w:tr>
      <w:tr w:rsidR="00913429">
        <w:trPr>
          <w:trHeight w:val="659"/>
          <w:tblHeader/>
        </w:trPr>
        <w:tc>
          <w:tcPr>
            <w:tcW w:w="1199" w:type="pct"/>
            <w:tcBorders>
              <w:top w:val="nil"/>
              <w:left w:val="single" w:sz="8" w:space="0" w:color="auto"/>
              <w:bottom w:val="single" w:sz="4" w:space="0" w:color="auto"/>
              <w:right w:val="single" w:sz="4" w:space="0" w:color="auto"/>
            </w:tcBorders>
            <w:shd w:val="clear" w:color="000000" w:fill="DDEBF7"/>
            <w:noWrap/>
            <w:vAlign w:val="center"/>
            <w:hideMark/>
          </w:tcPr>
          <w:p w:rsidR="00913429" w:rsidRDefault="00E143F0">
            <w:pPr>
              <w:spacing w:after="0" w:line="240" w:lineRule="auto"/>
              <w:rPr>
                <w:rFonts w:ascii="Calibri" w:eastAsia="Times New Roman" w:hAnsi="Calibri"/>
                <w:b/>
                <w:bCs/>
                <w:noProof/>
                <w:color w:val="000000"/>
                <w:sz w:val="18"/>
                <w:szCs w:val="22"/>
                <w:lang w:val="it-IT" w:eastAsia="it-IT"/>
              </w:rPr>
            </w:pPr>
            <w:r>
              <w:rPr>
                <w:rFonts w:ascii="Calibri" w:hAnsi="Calibri"/>
                <w:b/>
                <w:bCs/>
                <w:noProof/>
                <w:color w:val="000000"/>
                <w:sz w:val="18"/>
                <w:szCs w:val="22"/>
              </w:rPr>
              <w:t>Maintenance Costs - Secretariat (AD5)</w:t>
            </w:r>
          </w:p>
        </w:tc>
        <w:tc>
          <w:tcPr>
            <w:tcW w:w="364" w:type="pct"/>
            <w:tcBorders>
              <w:top w:val="nil"/>
              <w:left w:val="nil"/>
              <w:bottom w:val="single" w:sz="4" w:space="0" w:color="auto"/>
              <w:right w:val="single" w:sz="4" w:space="0" w:color="auto"/>
            </w:tcBorders>
            <w:shd w:val="clear" w:color="000000" w:fill="DDEBF7"/>
            <w:vAlign w:val="center"/>
            <w:hideMark/>
          </w:tcPr>
          <w:p w:rsidR="00913429" w:rsidRDefault="00E143F0">
            <w:pPr>
              <w:spacing w:after="0" w:line="240" w:lineRule="auto"/>
              <w:jc w:val="center"/>
              <w:rPr>
                <w:rFonts w:ascii="Calibri" w:eastAsia="Times New Roman" w:hAnsi="Calibri"/>
                <w:b/>
                <w:bCs/>
                <w:noProof/>
                <w:color w:val="000000"/>
                <w:sz w:val="18"/>
                <w:szCs w:val="22"/>
                <w:lang w:val="it-IT" w:eastAsia="it-IT"/>
              </w:rPr>
            </w:pPr>
            <w:r>
              <w:rPr>
                <w:rFonts w:ascii="Calibri" w:hAnsi="Calibri"/>
                <w:b/>
                <w:bCs/>
                <w:noProof/>
                <w:color w:val="000000"/>
                <w:sz w:val="18"/>
                <w:szCs w:val="22"/>
              </w:rPr>
              <w:t>1</w:t>
            </w:r>
          </w:p>
        </w:tc>
        <w:tc>
          <w:tcPr>
            <w:tcW w:w="653" w:type="pct"/>
            <w:tcBorders>
              <w:top w:val="nil"/>
              <w:left w:val="nil"/>
              <w:bottom w:val="single" w:sz="4" w:space="0" w:color="auto"/>
              <w:right w:val="single" w:sz="4" w:space="0" w:color="auto"/>
            </w:tcBorders>
            <w:shd w:val="clear" w:color="000000" w:fill="DDEBF7"/>
            <w:vAlign w:val="center"/>
            <w:hideMark/>
          </w:tcPr>
          <w:p w:rsidR="00913429" w:rsidRDefault="00E143F0">
            <w:pPr>
              <w:spacing w:after="0" w:line="240" w:lineRule="auto"/>
              <w:jc w:val="center"/>
              <w:rPr>
                <w:rFonts w:ascii="Calibri" w:eastAsia="Times New Roman" w:hAnsi="Calibri"/>
                <w:b/>
                <w:bCs/>
                <w:noProof/>
                <w:color w:val="000000"/>
                <w:sz w:val="18"/>
                <w:szCs w:val="22"/>
                <w:lang w:val="it-IT" w:eastAsia="it-IT"/>
              </w:rPr>
            </w:pPr>
            <w:r>
              <w:rPr>
                <w:rFonts w:ascii="Calibri" w:hAnsi="Calibri"/>
                <w:b/>
                <w:bCs/>
                <w:noProof/>
                <w:color w:val="000000"/>
                <w:sz w:val="18"/>
                <w:szCs w:val="22"/>
              </w:rPr>
              <w:t>Person wage</w:t>
            </w:r>
          </w:p>
        </w:tc>
        <w:tc>
          <w:tcPr>
            <w:tcW w:w="508" w:type="pct"/>
            <w:tcBorders>
              <w:top w:val="nil"/>
              <w:left w:val="nil"/>
              <w:bottom w:val="single" w:sz="4" w:space="0" w:color="auto"/>
              <w:right w:val="single" w:sz="4" w:space="0" w:color="auto"/>
            </w:tcBorders>
            <w:shd w:val="clear" w:color="000000" w:fill="DDEBF7"/>
            <w:noWrap/>
            <w:vAlign w:val="center"/>
            <w:hideMark/>
          </w:tcPr>
          <w:p w:rsidR="00913429" w:rsidRDefault="00E143F0">
            <w:pPr>
              <w:spacing w:after="0" w:line="240" w:lineRule="auto"/>
              <w:jc w:val="center"/>
              <w:rPr>
                <w:rFonts w:ascii="Calibri" w:eastAsia="Times New Roman" w:hAnsi="Calibri"/>
                <w:b/>
                <w:bCs/>
                <w:noProof/>
                <w:color w:val="000000"/>
                <w:sz w:val="18"/>
                <w:szCs w:val="22"/>
                <w:lang w:val="it-IT" w:eastAsia="it-IT"/>
              </w:rPr>
            </w:pPr>
            <w:r>
              <w:rPr>
                <w:rFonts w:ascii="Calibri" w:hAnsi="Calibri"/>
                <w:b/>
                <w:bCs/>
                <w:noProof/>
                <w:color w:val="000000"/>
                <w:sz w:val="18"/>
                <w:szCs w:val="22"/>
              </w:rPr>
              <w:t>1</w:t>
            </w:r>
          </w:p>
        </w:tc>
        <w:tc>
          <w:tcPr>
            <w:tcW w:w="581" w:type="pct"/>
            <w:tcBorders>
              <w:top w:val="nil"/>
              <w:left w:val="nil"/>
              <w:bottom w:val="single" w:sz="4" w:space="0" w:color="auto"/>
              <w:right w:val="single" w:sz="4" w:space="0" w:color="auto"/>
            </w:tcBorders>
            <w:shd w:val="clear" w:color="000000" w:fill="DDEBF7"/>
            <w:vAlign w:val="center"/>
            <w:hideMark/>
          </w:tcPr>
          <w:p w:rsidR="00913429" w:rsidRDefault="00E143F0">
            <w:pPr>
              <w:spacing w:after="0" w:line="240" w:lineRule="auto"/>
              <w:jc w:val="center"/>
              <w:rPr>
                <w:rFonts w:ascii="Calibri" w:eastAsia="Times New Roman" w:hAnsi="Calibri"/>
                <w:b/>
                <w:bCs/>
                <w:noProof/>
                <w:color w:val="000000"/>
                <w:sz w:val="18"/>
                <w:szCs w:val="22"/>
                <w:lang w:val="it-IT" w:eastAsia="it-IT"/>
              </w:rPr>
            </w:pPr>
            <w:r>
              <w:rPr>
                <w:rFonts w:ascii="Calibri" w:hAnsi="Calibri"/>
                <w:b/>
                <w:bCs/>
                <w:noProof/>
                <w:color w:val="000000"/>
                <w:sz w:val="18"/>
                <w:szCs w:val="22"/>
              </w:rPr>
              <w:t>€ 70.000,00</w:t>
            </w:r>
          </w:p>
        </w:tc>
        <w:tc>
          <w:tcPr>
            <w:tcW w:w="581" w:type="pct"/>
            <w:tcBorders>
              <w:top w:val="nil"/>
              <w:left w:val="nil"/>
              <w:bottom w:val="single" w:sz="4" w:space="0" w:color="auto"/>
              <w:right w:val="single" w:sz="4" w:space="0" w:color="auto"/>
            </w:tcBorders>
            <w:shd w:val="clear" w:color="000000" w:fill="DDEBF7"/>
            <w:vAlign w:val="center"/>
            <w:hideMark/>
          </w:tcPr>
          <w:p w:rsidR="00913429" w:rsidRDefault="00E143F0">
            <w:pPr>
              <w:spacing w:after="0" w:line="240" w:lineRule="auto"/>
              <w:jc w:val="center"/>
              <w:rPr>
                <w:rFonts w:ascii="Calibri" w:eastAsia="Times New Roman" w:hAnsi="Calibri"/>
                <w:b/>
                <w:bCs/>
                <w:noProof/>
                <w:color w:val="000000"/>
                <w:sz w:val="18"/>
                <w:szCs w:val="22"/>
                <w:lang w:val="it-IT" w:eastAsia="it-IT"/>
              </w:rPr>
            </w:pPr>
            <w:r>
              <w:rPr>
                <w:rFonts w:ascii="Calibri" w:hAnsi="Calibri"/>
                <w:b/>
                <w:bCs/>
                <w:noProof/>
                <w:color w:val="000000"/>
                <w:sz w:val="18"/>
                <w:szCs w:val="22"/>
              </w:rPr>
              <w:t>€ 70.000,00</w:t>
            </w:r>
          </w:p>
        </w:tc>
        <w:tc>
          <w:tcPr>
            <w:tcW w:w="590" w:type="pct"/>
            <w:tcBorders>
              <w:top w:val="nil"/>
              <w:left w:val="nil"/>
              <w:bottom w:val="single" w:sz="4" w:space="0" w:color="auto"/>
              <w:right w:val="single" w:sz="4" w:space="0" w:color="auto"/>
            </w:tcBorders>
            <w:shd w:val="clear" w:color="000000" w:fill="DDEBF7"/>
            <w:vAlign w:val="center"/>
            <w:hideMark/>
          </w:tcPr>
          <w:p w:rsidR="00913429" w:rsidRDefault="00E143F0">
            <w:pPr>
              <w:spacing w:after="0" w:line="240" w:lineRule="auto"/>
              <w:jc w:val="center"/>
              <w:rPr>
                <w:rFonts w:ascii="Calibri" w:eastAsia="Times New Roman" w:hAnsi="Calibri"/>
                <w:b/>
                <w:bCs/>
                <w:noProof/>
                <w:color w:val="000000"/>
                <w:sz w:val="18"/>
                <w:szCs w:val="22"/>
                <w:lang w:val="it-IT" w:eastAsia="it-IT"/>
              </w:rPr>
            </w:pPr>
            <w:r>
              <w:rPr>
                <w:rFonts w:ascii="Calibri" w:hAnsi="Calibri"/>
                <w:b/>
                <w:bCs/>
                <w:noProof/>
                <w:color w:val="000000"/>
                <w:sz w:val="18"/>
                <w:szCs w:val="22"/>
              </w:rPr>
              <w:t>€ 70.000,00</w:t>
            </w:r>
          </w:p>
        </w:tc>
        <w:tc>
          <w:tcPr>
            <w:tcW w:w="524" w:type="pct"/>
            <w:tcBorders>
              <w:top w:val="nil"/>
              <w:left w:val="nil"/>
              <w:bottom w:val="single" w:sz="4" w:space="0" w:color="auto"/>
              <w:right w:val="single" w:sz="4" w:space="0" w:color="auto"/>
            </w:tcBorders>
            <w:shd w:val="clear" w:color="000000" w:fill="DDEBF7"/>
            <w:noWrap/>
            <w:vAlign w:val="center"/>
            <w:hideMark/>
          </w:tcPr>
          <w:p w:rsidR="00913429" w:rsidRDefault="00E143F0">
            <w:pPr>
              <w:spacing w:after="0" w:line="240" w:lineRule="auto"/>
              <w:jc w:val="center"/>
              <w:rPr>
                <w:rFonts w:ascii="Calibri" w:eastAsia="Times New Roman" w:hAnsi="Calibri"/>
                <w:noProof/>
                <w:color w:val="000000"/>
                <w:sz w:val="18"/>
                <w:szCs w:val="22"/>
                <w:lang w:val="it-IT" w:eastAsia="it-IT"/>
              </w:rPr>
            </w:pPr>
            <w:r>
              <w:rPr>
                <w:rFonts w:ascii="Calibri" w:hAnsi="Calibri"/>
                <w:noProof/>
                <w:color w:val="000000"/>
                <w:sz w:val="18"/>
                <w:szCs w:val="22"/>
              </w:rPr>
              <w:t>Recurring</w:t>
            </w:r>
          </w:p>
        </w:tc>
      </w:tr>
      <w:tr w:rsidR="00913429">
        <w:trPr>
          <w:trHeight w:val="660"/>
          <w:tblHeader/>
        </w:trPr>
        <w:tc>
          <w:tcPr>
            <w:tcW w:w="1199" w:type="pct"/>
            <w:tcBorders>
              <w:top w:val="nil"/>
              <w:left w:val="single" w:sz="8" w:space="0" w:color="auto"/>
              <w:bottom w:val="single" w:sz="4" w:space="0" w:color="auto"/>
              <w:right w:val="single" w:sz="4" w:space="0" w:color="auto"/>
            </w:tcBorders>
            <w:shd w:val="clear" w:color="000000" w:fill="DDEBF7"/>
            <w:noWrap/>
            <w:vAlign w:val="center"/>
            <w:hideMark/>
          </w:tcPr>
          <w:p w:rsidR="00913429" w:rsidRDefault="00E143F0">
            <w:pPr>
              <w:spacing w:after="0" w:line="240" w:lineRule="auto"/>
              <w:rPr>
                <w:rFonts w:ascii="Calibri" w:eastAsia="Times New Roman" w:hAnsi="Calibri"/>
                <w:b/>
                <w:bCs/>
                <w:noProof/>
                <w:color w:val="000000"/>
                <w:sz w:val="18"/>
                <w:szCs w:val="22"/>
                <w:lang w:val="it-IT" w:eastAsia="it-IT"/>
              </w:rPr>
            </w:pPr>
            <w:r>
              <w:rPr>
                <w:rFonts w:ascii="Calibri" w:hAnsi="Calibri"/>
                <w:b/>
                <w:bCs/>
                <w:noProof/>
                <w:color w:val="000000"/>
                <w:sz w:val="18"/>
                <w:szCs w:val="22"/>
              </w:rPr>
              <w:t>Maintenance Costs - Secretariat (AST3)</w:t>
            </w:r>
          </w:p>
        </w:tc>
        <w:tc>
          <w:tcPr>
            <w:tcW w:w="364" w:type="pct"/>
            <w:tcBorders>
              <w:top w:val="nil"/>
              <w:left w:val="nil"/>
              <w:bottom w:val="single" w:sz="4" w:space="0" w:color="auto"/>
              <w:right w:val="single" w:sz="4" w:space="0" w:color="auto"/>
            </w:tcBorders>
            <w:shd w:val="clear" w:color="000000" w:fill="DDEBF7"/>
            <w:vAlign w:val="center"/>
            <w:hideMark/>
          </w:tcPr>
          <w:p w:rsidR="00913429" w:rsidRDefault="00E143F0">
            <w:pPr>
              <w:spacing w:after="0" w:line="240" w:lineRule="auto"/>
              <w:jc w:val="center"/>
              <w:rPr>
                <w:rFonts w:ascii="Calibri" w:eastAsia="Times New Roman" w:hAnsi="Calibri"/>
                <w:b/>
                <w:bCs/>
                <w:noProof/>
                <w:color w:val="000000"/>
                <w:sz w:val="18"/>
                <w:szCs w:val="22"/>
                <w:lang w:val="it-IT" w:eastAsia="it-IT"/>
              </w:rPr>
            </w:pPr>
            <w:r>
              <w:rPr>
                <w:rFonts w:ascii="Calibri" w:hAnsi="Calibri"/>
                <w:b/>
                <w:bCs/>
                <w:noProof/>
                <w:color w:val="000000"/>
                <w:sz w:val="18"/>
                <w:szCs w:val="22"/>
              </w:rPr>
              <w:t>3</w:t>
            </w:r>
          </w:p>
        </w:tc>
        <w:tc>
          <w:tcPr>
            <w:tcW w:w="653" w:type="pct"/>
            <w:tcBorders>
              <w:top w:val="nil"/>
              <w:left w:val="nil"/>
              <w:bottom w:val="single" w:sz="4" w:space="0" w:color="auto"/>
              <w:right w:val="single" w:sz="4" w:space="0" w:color="auto"/>
            </w:tcBorders>
            <w:shd w:val="clear" w:color="000000" w:fill="DDEBF7"/>
            <w:vAlign w:val="center"/>
            <w:hideMark/>
          </w:tcPr>
          <w:p w:rsidR="00913429" w:rsidRDefault="00E143F0">
            <w:pPr>
              <w:spacing w:after="0" w:line="240" w:lineRule="auto"/>
              <w:jc w:val="center"/>
              <w:rPr>
                <w:rFonts w:ascii="Calibri" w:eastAsia="Times New Roman" w:hAnsi="Calibri"/>
                <w:b/>
                <w:bCs/>
                <w:noProof/>
                <w:color w:val="000000"/>
                <w:sz w:val="18"/>
                <w:szCs w:val="22"/>
                <w:lang w:val="it-IT" w:eastAsia="it-IT"/>
              </w:rPr>
            </w:pPr>
            <w:r>
              <w:rPr>
                <w:rFonts w:ascii="Calibri" w:hAnsi="Calibri"/>
                <w:b/>
                <w:bCs/>
                <w:noProof/>
                <w:color w:val="000000"/>
                <w:sz w:val="18"/>
                <w:szCs w:val="22"/>
              </w:rPr>
              <w:t>Person wage</w:t>
            </w:r>
          </w:p>
        </w:tc>
        <w:tc>
          <w:tcPr>
            <w:tcW w:w="508" w:type="pct"/>
            <w:tcBorders>
              <w:top w:val="nil"/>
              <w:left w:val="nil"/>
              <w:bottom w:val="single" w:sz="4" w:space="0" w:color="auto"/>
              <w:right w:val="single" w:sz="4" w:space="0" w:color="auto"/>
            </w:tcBorders>
            <w:shd w:val="clear" w:color="000000" w:fill="DDEBF7"/>
            <w:noWrap/>
            <w:vAlign w:val="center"/>
            <w:hideMark/>
          </w:tcPr>
          <w:p w:rsidR="00913429" w:rsidRDefault="00E143F0">
            <w:pPr>
              <w:spacing w:after="0" w:line="240" w:lineRule="auto"/>
              <w:jc w:val="center"/>
              <w:rPr>
                <w:rFonts w:ascii="Calibri" w:eastAsia="Times New Roman" w:hAnsi="Calibri"/>
                <w:b/>
                <w:bCs/>
                <w:noProof/>
                <w:color w:val="000000"/>
                <w:sz w:val="18"/>
                <w:szCs w:val="22"/>
                <w:lang w:val="it-IT" w:eastAsia="it-IT"/>
              </w:rPr>
            </w:pPr>
            <w:r>
              <w:rPr>
                <w:rFonts w:ascii="Calibri" w:hAnsi="Calibri"/>
                <w:b/>
                <w:bCs/>
                <w:noProof/>
                <w:color w:val="000000"/>
                <w:sz w:val="18"/>
                <w:szCs w:val="22"/>
              </w:rPr>
              <w:t>1</w:t>
            </w:r>
          </w:p>
        </w:tc>
        <w:tc>
          <w:tcPr>
            <w:tcW w:w="581" w:type="pct"/>
            <w:tcBorders>
              <w:top w:val="nil"/>
              <w:left w:val="nil"/>
              <w:bottom w:val="single" w:sz="4" w:space="0" w:color="auto"/>
              <w:right w:val="single" w:sz="4" w:space="0" w:color="auto"/>
            </w:tcBorders>
            <w:shd w:val="clear" w:color="000000" w:fill="DDEBF7"/>
            <w:vAlign w:val="center"/>
            <w:hideMark/>
          </w:tcPr>
          <w:p w:rsidR="00913429" w:rsidRDefault="00E143F0">
            <w:pPr>
              <w:spacing w:after="0" w:line="240" w:lineRule="auto"/>
              <w:jc w:val="center"/>
              <w:rPr>
                <w:rFonts w:ascii="Calibri" w:eastAsia="Times New Roman" w:hAnsi="Calibri"/>
                <w:b/>
                <w:bCs/>
                <w:noProof/>
                <w:color w:val="000000"/>
                <w:sz w:val="18"/>
                <w:szCs w:val="22"/>
                <w:lang w:val="it-IT" w:eastAsia="it-IT"/>
              </w:rPr>
            </w:pPr>
            <w:r>
              <w:rPr>
                <w:rFonts w:ascii="Calibri" w:hAnsi="Calibri"/>
                <w:b/>
                <w:bCs/>
                <w:noProof/>
                <w:color w:val="000000"/>
                <w:sz w:val="18"/>
                <w:szCs w:val="22"/>
              </w:rPr>
              <w:t>€ 50.000,00</w:t>
            </w:r>
          </w:p>
        </w:tc>
        <w:tc>
          <w:tcPr>
            <w:tcW w:w="581" w:type="pct"/>
            <w:tcBorders>
              <w:top w:val="nil"/>
              <w:left w:val="nil"/>
              <w:bottom w:val="single" w:sz="4" w:space="0" w:color="auto"/>
              <w:right w:val="single" w:sz="4" w:space="0" w:color="auto"/>
            </w:tcBorders>
            <w:shd w:val="clear" w:color="000000" w:fill="DDEBF7"/>
            <w:vAlign w:val="center"/>
            <w:hideMark/>
          </w:tcPr>
          <w:p w:rsidR="00913429" w:rsidRDefault="00E143F0">
            <w:pPr>
              <w:spacing w:after="0" w:line="240" w:lineRule="auto"/>
              <w:jc w:val="center"/>
              <w:rPr>
                <w:rFonts w:ascii="Calibri" w:eastAsia="Times New Roman" w:hAnsi="Calibri"/>
                <w:b/>
                <w:bCs/>
                <w:noProof/>
                <w:color w:val="000000"/>
                <w:sz w:val="18"/>
                <w:szCs w:val="22"/>
                <w:lang w:val="it-IT" w:eastAsia="it-IT"/>
              </w:rPr>
            </w:pPr>
            <w:r>
              <w:rPr>
                <w:rFonts w:ascii="Calibri" w:hAnsi="Calibri"/>
                <w:b/>
                <w:bCs/>
                <w:noProof/>
                <w:color w:val="000000"/>
                <w:sz w:val="18"/>
                <w:szCs w:val="22"/>
              </w:rPr>
              <w:t>€ 150.000,00</w:t>
            </w:r>
          </w:p>
        </w:tc>
        <w:tc>
          <w:tcPr>
            <w:tcW w:w="590" w:type="pct"/>
            <w:tcBorders>
              <w:top w:val="nil"/>
              <w:left w:val="nil"/>
              <w:bottom w:val="single" w:sz="4" w:space="0" w:color="auto"/>
              <w:right w:val="single" w:sz="4" w:space="0" w:color="auto"/>
            </w:tcBorders>
            <w:shd w:val="clear" w:color="000000" w:fill="DDEBF7"/>
            <w:vAlign w:val="center"/>
            <w:hideMark/>
          </w:tcPr>
          <w:p w:rsidR="00913429" w:rsidRDefault="00E143F0">
            <w:pPr>
              <w:spacing w:after="0" w:line="240" w:lineRule="auto"/>
              <w:jc w:val="center"/>
              <w:rPr>
                <w:rFonts w:ascii="Calibri" w:eastAsia="Times New Roman" w:hAnsi="Calibri"/>
                <w:b/>
                <w:bCs/>
                <w:noProof/>
                <w:color w:val="000000"/>
                <w:sz w:val="18"/>
                <w:szCs w:val="22"/>
                <w:lang w:val="it-IT" w:eastAsia="it-IT"/>
              </w:rPr>
            </w:pPr>
            <w:r>
              <w:rPr>
                <w:rFonts w:ascii="Calibri" w:hAnsi="Calibri"/>
                <w:b/>
                <w:bCs/>
                <w:noProof/>
                <w:color w:val="000000"/>
                <w:sz w:val="18"/>
                <w:szCs w:val="22"/>
              </w:rPr>
              <w:t>€ 150.000,00</w:t>
            </w:r>
          </w:p>
        </w:tc>
        <w:tc>
          <w:tcPr>
            <w:tcW w:w="524" w:type="pct"/>
            <w:tcBorders>
              <w:top w:val="nil"/>
              <w:left w:val="nil"/>
              <w:bottom w:val="single" w:sz="4" w:space="0" w:color="auto"/>
              <w:right w:val="single" w:sz="4" w:space="0" w:color="auto"/>
            </w:tcBorders>
            <w:shd w:val="clear" w:color="000000" w:fill="DDEBF7"/>
            <w:noWrap/>
            <w:vAlign w:val="center"/>
            <w:hideMark/>
          </w:tcPr>
          <w:p w:rsidR="00913429" w:rsidRDefault="00E143F0">
            <w:pPr>
              <w:spacing w:after="0" w:line="240" w:lineRule="auto"/>
              <w:jc w:val="center"/>
              <w:rPr>
                <w:rFonts w:ascii="Calibri" w:eastAsia="Times New Roman" w:hAnsi="Calibri"/>
                <w:noProof/>
                <w:color w:val="000000"/>
                <w:sz w:val="18"/>
                <w:szCs w:val="22"/>
                <w:lang w:val="it-IT" w:eastAsia="it-IT"/>
              </w:rPr>
            </w:pPr>
            <w:r>
              <w:rPr>
                <w:rFonts w:ascii="Calibri" w:hAnsi="Calibri"/>
                <w:noProof/>
                <w:color w:val="000000"/>
                <w:sz w:val="18"/>
                <w:szCs w:val="22"/>
              </w:rPr>
              <w:t>Recurring</w:t>
            </w:r>
          </w:p>
        </w:tc>
      </w:tr>
      <w:tr w:rsidR="00913429">
        <w:trPr>
          <w:trHeight w:val="644"/>
          <w:tblHeader/>
        </w:trPr>
        <w:tc>
          <w:tcPr>
            <w:tcW w:w="1199" w:type="pct"/>
            <w:tcBorders>
              <w:top w:val="nil"/>
              <w:left w:val="single" w:sz="8" w:space="0" w:color="auto"/>
              <w:bottom w:val="single" w:sz="4" w:space="0" w:color="auto"/>
              <w:right w:val="single" w:sz="4" w:space="0" w:color="auto"/>
            </w:tcBorders>
            <w:shd w:val="clear" w:color="000000" w:fill="DDEBF7"/>
            <w:vAlign w:val="center"/>
            <w:hideMark/>
          </w:tcPr>
          <w:p w:rsidR="00913429" w:rsidRDefault="00E143F0">
            <w:pPr>
              <w:spacing w:after="0" w:line="240" w:lineRule="auto"/>
              <w:ind w:firstLineChars="200" w:firstLine="360"/>
              <w:rPr>
                <w:rFonts w:ascii="Calibri" w:eastAsia="Times New Roman" w:hAnsi="Calibri"/>
                <w:noProof/>
                <w:color w:val="000000"/>
                <w:sz w:val="18"/>
                <w:szCs w:val="22"/>
                <w:lang w:val="it-IT" w:eastAsia="it-IT"/>
              </w:rPr>
            </w:pPr>
            <w:r>
              <w:rPr>
                <w:rFonts w:ascii="Calibri" w:hAnsi="Calibri"/>
                <w:noProof/>
                <w:color w:val="000000"/>
                <w:sz w:val="18"/>
                <w:szCs w:val="22"/>
              </w:rPr>
              <w:t>Secretariat - Meetings organisation</w:t>
            </w:r>
          </w:p>
        </w:tc>
        <w:tc>
          <w:tcPr>
            <w:tcW w:w="364" w:type="pct"/>
            <w:tcBorders>
              <w:top w:val="nil"/>
              <w:left w:val="nil"/>
              <w:bottom w:val="single" w:sz="4" w:space="0" w:color="auto"/>
              <w:right w:val="single" w:sz="4" w:space="0" w:color="auto"/>
            </w:tcBorders>
            <w:shd w:val="clear" w:color="000000" w:fill="DDEBF7"/>
            <w:vAlign w:val="center"/>
            <w:hideMark/>
          </w:tcPr>
          <w:p w:rsidR="00913429" w:rsidRDefault="00E143F0">
            <w:pPr>
              <w:spacing w:after="0" w:line="240" w:lineRule="auto"/>
              <w:jc w:val="center"/>
              <w:rPr>
                <w:rFonts w:ascii="Calibri" w:eastAsia="Times New Roman" w:hAnsi="Calibri"/>
                <w:noProof/>
                <w:color w:val="000000"/>
                <w:sz w:val="18"/>
                <w:szCs w:val="22"/>
                <w:lang w:val="it-IT" w:eastAsia="it-IT"/>
              </w:rPr>
            </w:pPr>
            <w:r>
              <w:rPr>
                <w:rFonts w:ascii="Calibri" w:hAnsi="Calibri"/>
                <w:noProof/>
                <w:color w:val="000000"/>
                <w:sz w:val="18"/>
                <w:szCs w:val="22"/>
              </w:rPr>
              <w:t>0,5</w:t>
            </w:r>
          </w:p>
        </w:tc>
        <w:tc>
          <w:tcPr>
            <w:tcW w:w="653" w:type="pct"/>
            <w:tcBorders>
              <w:top w:val="nil"/>
              <w:left w:val="nil"/>
              <w:bottom w:val="single" w:sz="4" w:space="0" w:color="auto"/>
              <w:right w:val="single" w:sz="4" w:space="0" w:color="auto"/>
            </w:tcBorders>
            <w:shd w:val="clear" w:color="000000" w:fill="DDEBF7"/>
            <w:vAlign w:val="center"/>
            <w:hideMark/>
          </w:tcPr>
          <w:p w:rsidR="00913429" w:rsidRDefault="00E143F0">
            <w:pPr>
              <w:spacing w:after="0" w:line="240" w:lineRule="auto"/>
              <w:jc w:val="center"/>
              <w:rPr>
                <w:rFonts w:ascii="Calibri" w:eastAsia="Times New Roman" w:hAnsi="Calibri"/>
                <w:noProof/>
                <w:color w:val="000000"/>
                <w:sz w:val="18"/>
                <w:szCs w:val="22"/>
                <w:lang w:val="it-IT" w:eastAsia="it-IT"/>
              </w:rPr>
            </w:pPr>
            <w:r>
              <w:rPr>
                <w:rFonts w:ascii="Calibri" w:hAnsi="Calibri"/>
                <w:noProof/>
                <w:color w:val="000000"/>
                <w:sz w:val="18"/>
                <w:szCs w:val="22"/>
              </w:rPr>
              <w:t>Person wage</w:t>
            </w:r>
          </w:p>
        </w:tc>
        <w:tc>
          <w:tcPr>
            <w:tcW w:w="508" w:type="pct"/>
            <w:tcBorders>
              <w:top w:val="nil"/>
              <w:left w:val="nil"/>
              <w:bottom w:val="single" w:sz="4" w:space="0" w:color="auto"/>
              <w:right w:val="single" w:sz="4" w:space="0" w:color="auto"/>
            </w:tcBorders>
            <w:shd w:val="clear" w:color="000000" w:fill="DDEBF7"/>
            <w:noWrap/>
            <w:vAlign w:val="center"/>
            <w:hideMark/>
          </w:tcPr>
          <w:p w:rsidR="00913429" w:rsidRDefault="00E143F0">
            <w:pPr>
              <w:spacing w:after="0" w:line="240" w:lineRule="auto"/>
              <w:jc w:val="center"/>
              <w:rPr>
                <w:rFonts w:ascii="Calibri" w:eastAsia="Times New Roman" w:hAnsi="Calibri"/>
                <w:noProof/>
                <w:color w:val="000000"/>
                <w:sz w:val="18"/>
                <w:szCs w:val="22"/>
                <w:lang w:val="it-IT" w:eastAsia="it-IT"/>
              </w:rPr>
            </w:pPr>
            <w:r>
              <w:rPr>
                <w:rFonts w:ascii="Calibri" w:hAnsi="Calibri"/>
                <w:noProof/>
                <w:color w:val="000000"/>
                <w:sz w:val="18"/>
                <w:szCs w:val="22"/>
              </w:rPr>
              <w:t>1</w:t>
            </w:r>
          </w:p>
        </w:tc>
        <w:tc>
          <w:tcPr>
            <w:tcW w:w="581" w:type="pct"/>
            <w:tcBorders>
              <w:top w:val="nil"/>
              <w:left w:val="nil"/>
              <w:bottom w:val="single" w:sz="4" w:space="0" w:color="auto"/>
              <w:right w:val="single" w:sz="4" w:space="0" w:color="auto"/>
            </w:tcBorders>
            <w:shd w:val="clear" w:color="000000" w:fill="DDEBF7"/>
            <w:vAlign w:val="center"/>
            <w:hideMark/>
          </w:tcPr>
          <w:p w:rsidR="00913429" w:rsidRDefault="00E143F0">
            <w:pPr>
              <w:spacing w:after="0" w:line="240" w:lineRule="auto"/>
              <w:jc w:val="center"/>
              <w:rPr>
                <w:rFonts w:ascii="Calibri" w:eastAsia="Times New Roman" w:hAnsi="Calibri"/>
                <w:noProof/>
                <w:color w:val="000000"/>
                <w:sz w:val="18"/>
                <w:szCs w:val="22"/>
                <w:lang w:val="it-IT" w:eastAsia="it-IT"/>
              </w:rPr>
            </w:pPr>
            <w:r>
              <w:rPr>
                <w:rFonts w:ascii="Calibri" w:hAnsi="Calibri"/>
                <w:noProof/>
                <w:color w:val="000000"/>
                <w:sz w:val="18"/>
                <w:szCs w:val="22"/>
              </w:rPr>
              <w:t>€ 50.000,00</w:t>
            </w:r>
          </w:p>
        </w:tc>
        <w:tc>
          <w:tcPr>
            <w:tcW w:w="581" w:type="pct"/>
            <w:tcBorders>
              <w:top w:val="nil"/>
              <w:left w:val="nil"/>
              <w:bottom w:val="single" w:sz="4" w:space="0" w:color="auto"/>
              <w:right w:val="single" w:sz="4" w:space="0" w:color="auto"/>
            </w:tcBorders>
            <w:shd w:val="clear" w:color="000000" w:fill="DDEBF7"/>
            <w:vAlign w:val="center"/>
            <w:hideMark/>
          </w:tcPr>
          <w:p w:rsidR="00913429" w:rsidRDefault="00E143F0">
            <w:pPr>
              <w:spacing w:after="0" w:line="240" w:lineRule="auto"/>
              <w:jc w:val="center"/>
              <w:rPr>
                <w:rFonts w:ascii="Calibri" w:eastAsia="Times New Roman" w:hAnsi="Calibri"/>
                <w:noProof/>
                <w:color w:val="000000"/>
                <w:sz w:val="18"/>
                <w:szCs w:val="22"/>
                <w:lang w:val="it-IT" w:eastAsia="it-IT"/>
              </w:rPr>
            </w:pPr>
            <w:r>
              <w:rPr>
                <w:rFonts w:ascii="Calibri" w:hAnsi="Calibri"/>
                <w:noProof/>
                <w:color w:val="000000"/>
                <w:sz w:val="18"/>
                <w:szCs w:val="22"/>
              </w:rPr>
              <w:t>€ 25.000,00</w:t>
            </w:r>
          </w:p>
        </w:tc>
        <w:tc>
          <w:tcPr>
            <w:tcW w:w="590" w:type="pct"/>
            <w:tcBorders>
              <w:top w:val="nil"/>
              <w:left w:val="nil"/>
              <w:bottom w:val="single" w:sz="4" w:space="0" w:color="auto"/>
              <w:right w:val="single" w:sz="4" w:space="0" w:color="auto"/>
            </w:tcBorders>
            <w:shd w:val="clear" w:color="000000" w:fill="DDEBF7"/>
            <w:vAlign w:val="center"/>
            <w:hideMark/>
          </w:tcPr>
          <w:p w:rsidR="00913429" w:rsidRDefault="00E143F0">
            <w:pPr>
              <w:spacing w:after="0" w:line="240" w:lineRule="auto"/>
              <w:jc w:val="center"/>
              <w:rPr>
                <w:rFonts w:ascii="Calibri" w:eastAsia="Times New Roman" w:hAnsi="Calibri"/>
                <w:noProof/>
                <w:color w:val="000000"/>
                <w:sz w:val="18"/>
                <w:szCs w:val="22"/>
                <w:lang w:val="it-IT" w:eastAsia="it-IT"/>
              </w:rPr>
            </w:pPr>
            <w:r>
              <w:rPr>
                <w:rFonts w:ascii="Calibri" w:hAnsi="Calibri"/>
                <w:noProof/>
                <w:color w:val="000000"/>
                <w:sz w:val="18"/>
                <w:szCs w:val="22"/>
              </w:rPr>
              <w:t>€ 25.000,00</w:t>
            </w:r>
          </w:p>
        </w:tc>
        <w:tc>
          <w:tcPr>
            <w:tcW w:w="524" w:type="pct"/>
            <w:tcBorders>
              <w:top w:val="nil"/>
              <w:left w:val="nil"/>
              <w:bottom w:val="single" w:sz="4" w:space="0" w:color="auto"/>
              <w:right w:val="single" w:sz="4" w:space="0" w:color="auto"/>
            </w:tcBorders>
            <w:shd w:val="clear" w:color="000000" w:fill="DDEBF7"/>
            <w:noWrap/>
            <w:vAlign w:val="center"/>
            <w:hideMark/>
          </w:tcPr>
          <w:p w:rsidR="00913429" w:rsidRDefault="00E143F0">
            <w:pPr>
              <w:spacing w:after="0" w:line="240" w:lineRule="auto"/>
              <w:jc w:val="center"/>
              <w:rPr>
                <w:rFonts w:ascii="Calibri" w:eastAsia="Times New Roman" w:hAnsi="Calibri"/>
                <w:noProof/>
                <w:color w:val="000000"/>
                <w:sz w:val="18"/>
                <w:szCs w:val="22"/>
                <w:lang w:val="it-IT" w:eastAsia="it-IT"/>
              </w:rPr>
            </w:pPr>
            <w:r>
              <w:rPr>
                <w:rFonts w:ascii="Calibri" w:hAnsi="Calibri"/>
                <w:noProof/>
                <w:color w:val="000000"/>
                <w:sz w:val="18"/>
                <w:szCs w:val="22"/>
              </w:rPr>
              <w:t>Recurring</w:t>
            </w:r>
          </w:p>
        </w:tc>
      </w:tr>
      <w:tr w:rsidR="00913429">
        <w:trPr>
          <w:trHeight w:val="527"/>
          <w:tblHeader/>
        </w:trPr>
        <w:tc>
          <w:tcPr>
            <w:tcW w:w="1199" w:type="pct"/>
            <w:tcBorders>
              <w:top w:val="nil"/>
              <w:left w:val="single" w:sz="8" w:space="0" w:color="auto"/>
              <w:bottom w:val="single" w:sz="4" w:space="0" w:color="auto"/>
              <w:right w:val="single" w:sz="4" w:space="0" w:color="auto"/>
            </w:tcBorders>
            <w:shd w:val="clear" w:color="000000" w:fill="DDEBF7"/>
            <w:noWrap/>
            <w:vAlign w:val="center"/>
            <w:hideMark/>
          </w:tcPr>
          <w:p w:rsidR="00913429" w:rsidRDefault="00E143F0">
            <w:pPr>
              <w:spacing w:after="0" w:line="240" w:lineRule="auto"/>
              <w:ind w:firstLineChars="200" w:firstLine="360"/>
              <w:rPr>
                <w:rFonts w:ascii="Calibri" w:eastAsia="Times New Roman" w:hAnsi="Calibri"/>
                <w:noProof/>
                <w:color w:val="000000"/>
                <w:sz w:val="18"/>
                <w:szCs w:val="22"/>
                <w:lang w:val="it-IT" w:eastAsia="it-IT"/>
              </w:rPr>
            </w:pPr>
            <w:r>
              <w:rPr>
                <w:rFonts w:ascii="Calibri" w:hAnsi="Calibri"/>
                <w:noProof/>
                <w:color w:val="000000"/>
                <w:sz w:val="18"/>
                <w:szCs w:val="22"/>
              </w:rPr>
              <w:t>Secretariat - Agenda setting</w:t>
            </w:r>
          </w:p>
        </w:tc>
        <w:tc>
          <w:tcPr>
            <w:tcW w:w="364" w:type="pct"/>
            <w:tcBorders>
              <w:top w:val="nil"/>
              <w:left w:val="nil"/>
              <w:bottom w:val="single" w:sz="4" w:space="0" w:color="auto"/>
              <w:right w:val="single" w:sz="4" w:space="0" w:color="auto"/>
            </w:tcBorders>
            <w:shd w:val="clear" w:color="000000" w:fill="DDEBF7"/>
            <w:vAlign w:val="center"/>
            <w:hideMark/>
          </w:tcPr>
          <w:p w:rsidR="00913429" w:rsidRDefault="00E143F0">
            <w:pPr>
              <w:spacing w:after="0" w:line="240" w:lineRule="auto"/>
              <w:jc w:val="center"/>
              <w:rPr>
                <w:rFonts w:ascii="Calibri" w:eastAsia="Times New Roman" w:hAnsi="Calibri"/>
                <w:noProof/>
                <w:color w:val="000000"/>
                <w:sz w:val="18"/>
                <w:szCs w:val="22"/>
                <w:lang w:val="it-IT" w:eastAsia="it-IT"/>
              </w:rPr>
            </w:pPr>
            <w:r>
              <w:rPr>
                <w:rFonts w:ascii="Calibri" w:hAnsi="Calibri"/>
                <w:noProof/>
                <w:color w:val="000000"/>
                <w:sz w:val="18"/>
                <w:szCs w:val="22"/>
              </w:rPr>
              <w:t>0,5</w:t>
            </w:r>
          </w:p>
        </w:tc>
        <w:tc>
          <w:tcPr>
            <w:tcW w:w="653" w:type="pct"/>
            <w:tcBorders>
              <w:top w:val="nil"/>
              <w:left w:val="nil"/>
              <w:bottom w:val="single" w:sz="4" w:space="0" w:color="auto"/>
              <w:right w:val="single" w:sz="4" w:space="0" w:color="auto"/>
            </w:tcBorders>
            <w:shd w:val="clear" w:color="000000" w:fill="DDEBF7"/>
            <w:vAlign w:val="center"/>
            <w:hideMark/>
          </w:tcPr>
          <w:p w:rsidR="00913429" w:rsidRDefault="00E143F0">
            <w:pPr>
              <w:spacing w:after="0" w:line="240" w:lineRule="auto"/>
              <w:jc w:val="center"/>
              <w:rPr>
                <w:rFonts w:ascii="Calibri" w:eastAsia="Times New Roman" w:hAnsi="Calibri"/>
                <w:noProof/>
                <w:color w:val="000000"/>
                <w:sz w:val="18"/>
                <w:szCs w:val="22"/>
                <w:lang w:val="it-IT" w:eastAsia="it-IT"/>
              </w:rPr>
            </w:pPr>
            <w:r>
              <w:rPr>
                <w:rFonts w:ascii="Calibri" w:hAnsi="Calibri"/>
                <w:noProof/>
                <w:color w:val="000000"/>
                <w:sz w:val="18"/>
                <w:szCs w:val="22"/>
              </w:rPr>
              <w:t>Person wage</w:t>
            </w:r>
          </w:p>
        </w:tc>
        <w:tc>
          <w:tcPr>
            <w:tcW w:w="508" w:type="pct"/>
            <w:tcBorders>
              <w:top w:val="nil"/>
              <w:left w:val="nil"/>
              <w:bottom w:val="single" w:sz="4" w:space="0" w:color="auto"/>
              <w:right w:val="single" w:sz="4" w:space="0" w:color="auto"/>
            </w:tcBorders>
            <w:shd w:val="clear" w:color="000000" w:fill="DDEBF7"/>
            <w:noWrap/>
            <w:vAlign w:val="center"/>
            <w:hideMark/>
          </w:tcPr>
          <w:p w:rsidR="00913429" w:rsidRDefault="00E143F0">
            <w:pPr>
              <w:spacing w:after="0" w:line="240" w:lineRule="auto"/>
              <w:jc w:val="center"/>
              <w:rPr>
                <w:rFonts w:ascii="Calibri" w:eastAsia="Times New Roman" w:hAnsi="Calibri"/>
                <w:noProof/>
                <w:color w:val="000000"/>
                <w:sz w:val="18"/>
                <w:szCs w:val="22"/>
                <w:lang w:val="it-IT" w:eastAsia="it-IT"/>
              </w:rPr>
            </w:pPr>
            <w:r>
              <w:rPr>
                <w:rFonts w:ascii="Calibri" w:hAnsi="Calibri"/>
                <w:noProof/>
                <w:color w:val="000000"/>
                <w:sz w:val="18"/>
                <w:szCs w:val="22"/>
              </w:rPr>
              <w:t>1</w:t>
            </w:r>
          </w:p>
        </w:tc>
        <w:tc>
          <w:tcPr>
            <w:tcW w:w="581" w:type="pct"/>
            <w:tcBorders>
              <w:top w:val="nil"/>
              <w:left w:val="nil"/>
              <w:bottom w:val="single" w:sz="4" w:space="0" w:color="auto"/>
              <w:right w:val="single" w:sz="4" w:space="0" w:color="auto"/>
            </w:tcBorders>
            <w:shd w:val="clear" w:color="000000" w:fill="DDEBF7"/>
            <w:vAlign w:val="center"/>
            <w:hideMark/>
          </w:tcPr>
          <w:p w:rsidR="00913429" w:rsidRDefault="00E143F0">
            <w:pPr>
              <w:spacing w:after="0" w:line="240" w:lineRule="auto"/>
              <w:jc w:val="center"/>
              <w:rPr>
                <w:rFonts w:ascii="Calibri" w:eastAsia="Times New Roman" w:hAnsi="Calibri"/>
                <w:noProof/>
                <w:color w:val="000000"/>
                <w:sz w:val="18"/>
                <w:szCs w:val="22"/>
                <w:lang w:val="it-IT" w:eastAsia="it-IT"/>
              </w:rPr>
            </w:pPr>
            <w:r>
              <w:rPr>
                <w:rFonts w:ascii="Calibri" w:hAnsi="Calibri"/>
                <w:noProof/>
                <w:color w:val="000000"/>
                <w:sz w:val="18"/>
                <w:szCs w:val="22"/>
              </w:rPr>
              <w:t>€ 50.000,00</w:t>
            </w:r>
          </w:p>
        </w:tc>
        <w:tc>
          <w:tcPr>
            <w:tcW w:w="581" w:type="pct"/>
            <w:tcBorders>
              <w:top w:val="nil"/>
              <w:left w:val="nil"/>
              <w:bottom w:val="single" w:sz="4" w:space="0" w:color="auto"/>
              <w:right w:val="single" w:sz="4" w:space="0" w:color="auto"/>
            </w:tcBorders>
            <w:shd w:val="clear" w:color="000000" w:fill="DDEBF7"/>
            <w:vAlign w:val="center"/>
            <w:hideMark/>
          </w:tcPr>
          <w:p w:rsidR="00913429" w:rsidRDefault="00E143F0">
            <w:pPr>
              <w:spacing w:after="0" w:line="240" w:lineRule="auto"/>
              <w:jc w:val="center"/>
              <w:rPr>
                <w:rFonts w:ascii="Calibri" w:eastAsia="Times New Roman" w:hAnsi="Calibri"/>
                <w:noProof/>
                <w:color w:val="000000"/>
                <w:sz w:val="18"/>
                <w:szCs w:val="22"/>
                <w:lang w:val="it-IT" w:eastAsia="it-IT"/>
              </w:rPr>
            </w:pPr>
            <w:r>
              <w:rPr>
                <w:rFonts w:ascii="Calibri" w:hAnsi="Calibri"/>
                <w:noProof/>
                <w:color w:val="000000"/>
                <w:sz w:val="18"/>
                <w:szCs w:val="22"/>
              </w:rPr>
              <w:t>€ 25.000,00</w:t>
            </w:r>
          </w:p>
        </w:tc>
        <w:tc>
          <w:tcPr>
            <w:tcW w:w="590" w:type="pct"/>
            <w:tcBorders>
              <w:top w:val="nil"/>
              <w:left w:val="nil"/>
              <w:bottom w:val="single" w:sz="4" w:space="0" w:color="auto"/>
              <w:right w:val="single" w:sz="4" w:space="0" w:color="auto"/>
            </w:tcBorders>
            <w:shd w:val="clear" w:color="000000" w:fill="DDEBF7"/>
            <w:vAlign w:val="center"/>
            <w:hideMark/>
          </w:tcPr>
          <w:p w:rsidR="00913429" w:rsidRDefault="00E143F0">
            <w:pPr>
              <w:spacing w:after="0" w:line="240" w:lineRule="auto"/>
              <w:jc w:val="center"/>
              <w:rPr>
                <w:rFonts w:ascii="Calibri" w:eastAsia="Times New Roman" w:hAnsi="Calibri"/>
                <w:noProof/>
                <w:color w:val="000000"/>
                <w:sz w:val="18"/>
                <w:szCs w:val="22"/>
                <w:lang w:val="it-IT" w:eastAsia="it-IT"/>
              </w:rPr>
            </w:pPr>
            <w:r>
              <w:rPr>
                <w:rFonts w:ascii="Calibri" w:hAnsi="Calibri"/>
                <w:noProof/>
                <w:color w:val="000000"/>
                <w:sz w:val="18"/>
                <w:szCs w:val="22"/>
              </w:rPr>
              <w:t>€ 25.000,00</w:t>
            </w:r>
          </w:p>
        </w:tc>
        <w:tc>
          <w:tcPr>
            <w:tcW w:w="524" w:type="pct"/>
            <w:tcBorders>
              <w:top w:val="nil"/>
              <w:left w:val="nil"/>
              <w:bottom w:val="single" w:sz="4" w:space="0" w:color="auto"/>
              <w:right w:val="single" w:sz="4" w:space="0" w:color="auto"/>
            </w:tcBorders>
            <w:shd w:val="clear" w:color="000000" w:fill="DDEBF7"/>
            <w:noWrap/>
            <w:vAlign w:val="center"/>
            <w:hideMark/>
          </w:tcPr>
          <w:p w:rsidR="00913429" w:rsidRDefault="00E143F0">
            <w:pPr>
              <w:spacing w:after="0" w:line="240" w:lineRule="auto"/>
              <w:jc w:val="center"/>
              <w:rPr>
                <w:rFonts w:ascii="Calibri" w:eastAsia="Times New Roman" w:hAnsi="Calibri"/>
                <w:noProof/>
                <w:color w:val="000000"/>
                <w:sz w:val="18"/>
                <w:szCs w:val="22"/>
                <w:lang w:val="it-IT" w:eastAsia="it-IT"/>
              </w:rPr>
            </w:pPr>
            <w:r>
              <w:rPr>
                <w:rFonts w:ascii="Calibri" w:hAnsi="Calibri"/>
                <w:noProof/>
                <w:color w:val="000000"/>
                <w:sz w:val="18"/>
                <w:szCs w:val="22"/>
              </w:rPr>
              <w:t>Recurring</w:t>
            </w:r>
          </w:p>
        </w:tc>
      </w:tr>
      <w:tr w:rsidR="00913429">
        <w:trPr>
          <w:trHeight w:val="579"/>
          <w:tblHeader/>
        </w:trPr>
        <w:tc>
          <w:tcPr>
            <w:tcW w:w="1199" w:type="pct"/>
            <w:tcBorders>
              <w:top w:val="nil"/>
              <w:left w:val="single" w:sz="8" w:space="0" w:color="auto"/>
              <w:bottom w:val="single" w:sz="4" w:space="0" w:color="auto"/>
              <w:right w:val="single" w:sz="4" w:space="0" w:color="auto"/>
            </w:tcBorders>
            <w:shd w:val="clear" w:color="000000" w:fill="DDEBF7"/>
            <w:noWrap/>
            <w:vAlign w:val="center"/>
            <w:hideMark/>
          </w:tcPr>
          <w:p w:rsidR="00913429" w:rsidRDefault="00E143F0">
            <w:pPr>
              <w:spacing w:after="0" w:line="240" w:lineRule="auto"/>
              <w:ind w:firstLineChars="200" w:firstLine="360"/>
              <w:rPr>
                <w:rFonts w:ascii="Calibri" w:eastAsia="Times New Roman" w:hAnsi="Calibri"/>
                <w:noProof/>
                <w:color w:val="000000"/>
                <w:sz w:val="18"/>
                <w:szCs w:val="22"/>
                <w:lang w:val="it-IT" w:eastAsia="it-IT"/>
              </w:rPr>
            </w:pPr>
            <w:r>
              <w:rPr>
                <w:rFonts w:ascii="Calibri" w:hAnsi="Calibri"/>
                <w:noProof/>
                <w:color w:val="000000"/>
                <w:sz w:val="18"/>
                <w:szCs w:val="22"/>
              </w:rPr>
              <w:t>Secretariat – Coordination</w:t>
            </w:r>
          </w:p>
        </w:tc>
        <w:tc>
          <w:tcPr>
            <w:tcW w:w="364" w:type="pct"/>
            <w:tcBorders>
              <w:top w:val="nil"/>
              <w:left w:val="nil"/>
              <w:bottom w:val="single" w:sz="4" w:space="0" w:color="auto"/>
              <w:right w:val="single" w:sz="4" w:space="0" w:color="auto"/>
            </w:tcBorders>
            <w:shd w:val="clear" w:color="000000" w:fill="DDEBF7"/>
            <w:vAlign w:val="center"/>
            <w:hideMark/>
          </w:tcPr>
          <w:p w:rsidR="00913429" w:rsidRDefault="00E143F0">
            <w:pPr>
              <w:spacing w:after="0" w:line="240" w:lineRule="auto"/>
              <w:jc w:val="center"/>
              <w:rPr>
                <w:rFonts w:ascii="Calibri" w:eastAsia="Times New Roman" w:hAnsi="Calibri"/>
                <w:noProof/>
                <w:color w:val="000000"/>
                <w:sz w:val="18"/>
                <w:szCs w:val="22"/>
                <w:lang w:val="it-IT" w:eastAsia="it-IT"/>
              </w:rPr>
            </w:pPr>
            <w:r>
              <w:rPr>
                <w:rFonts w:ascii="Calibri" w:hAnsi="Calibri"/>
                <w:noProof/>
                <w:color w:val="000000"/>
                <w:sz w:val="18"/>
                <w:szCs w:val="22"/>
              </w:rPr>
              <w:t>1,0</w:t>
            </w:r>
          </w:p>
        </w:tc>
        <w:tc>
          <w:tcPr>
            <w:tcW w:w="653" w:type="pct"/>
            <w:tcBorders>
              <w:top w:val="nil"/>
              <w:left w:val="nil"/>
              <w:bottom w:val="single" w:sz="4" w:space="0" w:color="auto"/>
              <w:right w:val="single" w:sz="4" w:space="0" w:color="auto"/>
            </w:tcBorders>
            <w:shd w:val="clear" w:color="000000" w:fill="DDEBF7"/>
            <w:vAlign w:val="center"/>
            <w:hideMark/>
          </w:tcPr>
          <w:p w:rsidR="00913429" w:rsidRDefault="00E143F0">
            <w:pPr>
              <w:spacing w:after="0" w:line="240" w:lineRule="auto"/>
              <w:jc w:val="center"/>
              <w:rPr>
                <w:rFonts w:ascii="Calibri" w:eastAsia="Times New Roman" w:hAnsi="Calibri"/>
                <w:noProof/>
                <w:color w:val="000000"/>
                <w:sz w:val="18"/>
                <w:szCs w:val="22"/>
                <w:lang w:val="it-IT" w:eastAsia="it-IT"/>
              </w:rPr>
            </w:pPr>
            <w:r>
              <w:rPr>
                <w:rFonts w:ascii="Calibri" w:hAnsi="Calibri"/>
                <w:noProof/>
                <w:color w:val="000000"/>
                <w:sz w:val="18"/>
                <w:szCs w:val="22"/>
              </w:rPr>
              <w:t>Person wage</w:t>
            </w:r>
          </w:p>
        </w:tc>
        <w:tc>
          <w:tcPr>
            <w:tcW w:w="508" w:type="pct"/>
            <w:tcBorders>
              <w:top w:val="nil"/>
              <w:left w:val="nil"/>
              <w:bottom w:val="single" w:sz="4" w:space="0" w:color="auto"/>
              <w:right w:val="single" w:sz="4" w:space="0" w:color="auto"/>
            </w:tcBorders>
            <w:shd w:val="clear" w:color="000000" w:fill="DDEBF7"/>
            <w:noWrap/>
            <w:vAlign w:val="center"/>
            <w:hideMark/>
          </w:tcPr>
          <w:p w:rsidR="00913429" w:rsidRDefault="00E143F0">
            <w:pPr>
              <w:spacing w:after="0" w:line="240" w:lineRule="auto"/>
              <w:jc w:val="center"/>
              <w:rPr>
                <w:rFonts w:ascii="Calibri" w:eastAsia="Times New Roman" w:hAnsi="Calibri"/>
                <w:noProof/>
                <w:color w:val="000000"/>
                <w:sz w:val="18"/>
                <w:szCs w:val="22"/>
                <w:lang w:val="it-IT" w:eastAsia="it-IT"/>
              </w:rPr>
            </w:pPr>
            <w:r>
              <w:rPr>
                <w:rFonts w:ascii="Calibri" w:hAnsi="Calibri"/>
                <w:noProof/>
                <w:color w:val="000000"/>
                <w:sz w:val="18"/>
                <w:szCs w:val="22"/>
              </w:rPr>
              <w:t>1</w:t>
            </w:r>
          </w:p>
        </w:tc>
        <w:tc>
          <w:tcPr>
            <w:tcW w:w="581" w:type="pct"/>
            <w:tcBorders>
              <w:top w:val="nil"/>
              <w:left w:val="nil"/>
              <w:bottom w:val="single" w:sz="4" w:space="0" w:color="auto"/>
              <w:right w:val="single" w:sz="4" w:space="0" w:color="auto"/>
            </w:tcBorders>
            <w:shd w:val="clear" w:color="000000" w:fill="DDEBF7"/>
            <w:vAlign w:val="center"/>
            <w:hideMark/>
          </w:tcPr>
          <w:p w:rsidR="00913429" w:rsidRDefault="00E143F0">
            <w:pPr>
              <w:spacing w:after="0" w:line="240" w:lineRule="auto"/>
              <w:jc w:val="center"/>
              <w:rPr>
                <w:rFonts w:ascii="Calibri" w:eastAsia="Times New Roman" w:hAnsi="Calibri"/>
                <w:noProof/>
                <w:color w:val="000000"/>
                <w:sz w:val="18"/>
                <w:szCs w:val="22"/>
                <w:lang w:val="it-IT" w:eastAsia="it-IT"/>
              </w:rPr>
            </w:pPr>
            <w:r>
              <w:rPr>
                <w:rFonts w:ascii="Calibri" w:hAnsi="Calibri"/>
                <w:noProof/>
                <w:color w:val="000000"/>
                <w:sz w:val="18"/>
                <w:szCs w:val="22"/>
              </w:rPr>
              <w:t>€ 70.000,00</w:t>
            </w:r>
          </w:p>
        </w:tc>
        <w:tc>
          <w:tcPr>
            <w:tcW w:w="581" w:type="pct"/>
            <w:tcBorders>
              <w:top w:val="nil"/>
              <w:left w:val="nil"/>
              <w:bottom w:val="single" w:sz="4" w:space="0" w:color="auto"/>
              <w:right w:val="single" w:sz="4" w:space="0" w:color="auto"/>
            </w:tcBorders>
            <w:shd w:val="clear" w:color="000000" w:fill="DDEBF7"/>
            <w:vAlign w:val="center"/>
            <w:hideMark/>
          </w:tcPr>
          <w:p w:rsidR="00913429" w:rsidRDefault="00E143F0">
            <w:pPr>
              <w:spacing w:after="0" w:line="240" w:lineRule="auto"/>
              <w:jc w:val="center"/>
              <w:rPr>
                <w:rFonts w:ascii="Calibri" w:eastAsia="Times New Roman" w:hAnsi="Calibri"/>
                <w:noProof/>
                <w:color w:val="000000"/>
                <w:sz w:val="18"/>
                <w:szCs w:val="22"/>
                <w:lang w:val="it-IT" w:eastAsia="it-IT"/>
              </w:rPr>
            </w:pPr>
            <w:r>
              <w:rPr>
                <w:rFonts w:ascii="Calibri" w:hAnsi="Calibri"/>
                <w:noProof/>
                <w:color w:val="000000"/>
                <w:sz w:val="18"/>
                <w:szCs w:val="22"/>
              </w:rPr>
              <w:t>€ 70.000,00</w:t>
            </w:r>
          </w:p>
        </w:tc>
        <w:tc>
          <w:tcPr>
            <w:tcW w:w="590" w:type="pct"/>
            <w:tcBorders>
              <w:top w:val="nil"/>
              <w:left w:val="nil"/>
              <w:bottom w:val="single" w:sz="4" w:space="0" w:color="auto"/>
              <w:right w:val="single" w:sz="4" w:space="0" w:color="auto"/>
            </w:tcBorders>
            <w:shd w:val="clear" w:color="000000" w:fill="DDEBF7"/>
            <w:vAlign w:val="center"/>
            <w:hideMark/>
          </w:tcPr>
          <w:p w:rsidR="00913429" w:rsidRDefault="00E143F0">
            <w:pPr>
              <w:spacing w:after="0" w:line="240" w:lineRule="auto"/>
              <w:jc w:val="center"/>
              <w:rPr>
                <w:rFonts w:ascii="Calibri" w:eastAsia="Times New Roman" w:hAnsi="Calibri"/>
                <w:noProof/>
                <w:color w:val="000000"/>
                <w:sz w:val="18"/>
                <w:szCs w:val="22"/>
                <w:lang w:val="it-IT" w:eastAsia="it-IT"/>
              </w:rPr>
            </w:pPr>
            <w:r>
              <w:rPr>
                <w:rFonts w:ascii="Calibri" w:hAnsi="Calibri"/>
                <w:noProof/>
                <w:color w:val="000000"/>
                <w:sz w:val="18"/>
                <w:szCs w:val="22"/>
              </w:rPr>
              <w:t>€ 70.000,00</w:t>
            </w:r>
          </w:p>
        </w:tc>
        <w:tc>
          <w:tcPr>
            <w:tcW w:w="524" w:type="pct"/>
            <w:tcBorders>
              <w:top w:val="nil"/>
              <w:left w:val="nil"/>
              <w:bottom w:val="single" w:sz="4" w:space="0" w:color="auto"/>
              <w:right w:val="single" w:sz="4" w:space="0" w:color="auto"/>
            </w:tcBorders>
            <w:shd w:val="clear" w:color="000000" w:fill="DDEBF7"/>
            <w:noWrap/>
            <w:vAlign w:val="center"/>
            <w:hideMark/>
          </w:tcPr>
          <w:p w:rsidR="00913429" w:rsidRDefault="00E143F0">
            <w:pPr>
              <w:spacing w:after="0" w:line="240" w:lineRule="auto"/>
              <w:jc w:val="center"/>
              <w:rPr>
                <w:rFonts w:ascii="Calibri" w:eastAsia="Times New Roman" w:hAnsi="Calibri"/>
                <w:noProof/>
                <w:color w:val="000000"/>
                <w:sz w:val="18"/>
                <w:szCs w:val="22"/>
                <w:lang w:val="it-IT" w:eastAsia="it-IT"/>
              </w:rPr>
            </w:pPr>
            <w:r>
              <w:rPr>
                <w:rFonts w:ascii="Calibri" w:hAnsi="Calibri"/>
                <w:noProof/>
                <w:color w:val="000000"/>
                <w:sz w:val="18"/>
                <w:szCs w:val="22"/>
              </w:rPr>
              <w:t>Recurring</w:t>
            </w:r>
          </w:p>
        </w:tc>
      </w:tr>
      <w:tr w:rsidR="00913429">
        <w:trPr>
          <w:trHeight w:val="617"/>
          <w:tblHeader/>
        </w:trPr>
        <w:tc>
          <w:tcPr>
            <w:tcW w:w="1199" w:type="pct"/>
            <w:tcBorders>
              <w:top w:val="nil"/>
              <w:left w:val="single" w:sz="8" w:space="0" w:color="auto"/>
              <w:bottom w:val="single" w:sz="4" w:space="0" w:color="auto"/>
              <w:right w:val="single" w:sz="4" w:space="0" w:color="auto"/>
            </w:tcBorders>
            <w:shd w:val="clear" w:color="000000" w:fill="DDEBF7"/>
            <w:vAlign w:val="center"/>
            <w:hideMark/>
          </w:tcPr>
          <w:p w:rsidR="00913429" w:rsidRDefault="00E143F0">
            <w:pPr>
              <w:spacing w:after="0" w:line="240" w:lineRule="auto"/>
              <w:ind w:firstLineChars="200" w:firstLine="360"/>
              <w:rPr>
                <w:rFonts w:ascii="Calibri" w:eastAsia="Times New Roman" w:hAnsi="Calibri"/>
                <w:noProof/>
                <w:color w:val="000000"/>
                <w:sz w:val="18"/>
                <w:szCs w:val="22"/>
                <w:lang w:val="it-IT" w:eastAsia="it-IT"/>
              </w:rPr>
            </w:pPr>
            <w:r>
              <w:rPr>
                <w:rFonts w:ascii="Calibri" w:hAnsi="Calibri"/>
                <w:noProof/>
                <w:color w:val="000000"/>
                <w:sz w:val="18"/>
                <w:szCs w:val="22"/>
              </w:rPr>
              <w:t>Secretariat – Coordination</w:t>
            </w:r>
          </w:p>
        </w:tc>
        <w:tc>
          <w:tcPr>
            <w:tcW w:w="364" w:type="pct"/>
            <w:tcBorders>
              <w:top w:val="nil"/>
              <w:left w:val="nil"/>
              <w:bottom w:val="single" w:sz="4" w:space="0" w:color="auto"/>
              <w:right w:val="single" w:sz="4" w:space="0" w:color="auto"/>
            </w:tcBorders>
            <w:shd w:val="clear" w:color="000000" w:fill="DDEBF7"/>
            <w:vAlign w:val="center"/>
            <w:hideMark/>
          </w:tcPr>
          <w:p w:rsidR="00913429" w:rsidRDefault="00E143F0">
            <w:pPr>
              <w:spacing w:after="0" w:line="240" w:lineRule="auto"/>
              <w:jc w:val="center"/>
              <w:rPr>
                <w:rFonts w:ascii="Calibri" w:eastAsia="Times New Roman" w:hAnsi="Calibri"/>
                <w:noProof/>
                <w:color w:val="000000"/>
                <w:sz w:val="18"/>
                <w:szCs w:val="22"/>
                <w:lang w:val="it-IT" w:eastAsia="it-IT"/>
              </w:rPr>
            </w:pPr>
            <w:r>
              <w:rPr>
                <w:rFonts w:ascii="Calibri" w:hAnsi="Calibri"/>
                <w:noProof/>
                <w:color w:val="000000"/>
                <w:sz w:val="18"/>
                <w:szCs w:val="22"/>
              </w:rPr>
              <w:t>1,0</w:t>
            </w:r>
          </w:p>
        </w:tc>
        <w:tc>
          <w:tcPr>
            <w:tcW w:w="653" w:type="pct"/>
            <w:tcBorders>
              <w:top w:val="nil"/>
              <w:left w:val="nil"/>
              <w:bottom w:val="single" w:sz="4" w:space="0" w:color="auto"/>
              <w:right w:val="single" w:sz="4" w:space="0" w:color="auto"/>
            </w:tcBorders>
            <w:shd w:val="clear" w:color="000000" w:fill="DDEBF7"/>
            <w:vAlign w:val="center"/>
            <w:hideMark/>
          </w:tcPr>
          <w:p w:rsidR="00913429" w:rsidRDefault="00E143F0">
            <w:pPr>
              <w:spacing w:after="0" w:line="240" w:lineRule="auto"/>
              <w:jc w:val="center"/>
              <w:rPr>
                <w:rFonts w:ascii="Calibri" w:eastAsia="Times New Roman" w:hAnsi="Calibri"/>
                <w:noProof/>
                <w:color w:val="000000"/>
                <w:sz w:val="18"/>
                <w:szCs w:val="22"/>
                <w:lang w:val="it-IT" w:eastAsia="it-IT"/>
              </w:rPr>
            </w:pPr>
            <w:r>
              <w:rPr>
                <w:rFonts w:ascii="Calibri" w:hAnsi="Calibri"/>
                <w:noProof/>
                <w:color w:val="000000"/>
                <w:sz w:val="18"/>
                <w:szCs w:val="22"/>
              </w:rPr>
              <w:t>Person wage</w:t>
            </w:r>
          </w:p>
        </w:tc>
        <w:tc>
          <w:tcPr>
            <w:tcW w:w="508" w:type="pct"/>
            <w:tcBorders>
              <w:top w:val="nil"/>
              <w:left w:val="nil"/>
              <w:bottom w:val="single" w:sz="4" w:space="0" w:color="auto"/>
              <w:right w:val="single" w:sz="4" w:space="0" w:color="auto"/>
            </w:tcBorders>
            <w:shd w:val="clear" w:color="000000" w:fill="DDEBF7"/>
            <w:noWrap/>
            <w:vAlign w:val="center"/>
            <w:hideMark/>
          </w:tcPr>
          <w:p w:rsidR="00913429" w:rsidRDefault="00E143F0">
            <w:pPr>
              <w:spacing w:after="0" w:line="240" w:lineRule="auto"/>
              <w:jc w:val="center"/>
              <w:rPr>
                <w:rFonts w:ascii="Calibri" w:eastAsia="Times New Roman" w:hAnsi="Calibri"/>
                <w:noProof/>
                <w:color w:val="000000"/>
                <w:sz w:val="18"/>
                <w:szCs w:val="22"/>
                <w:lang w:val="it-IT" w:eastAsia="it-IT"/>
              </w:rPr>
            </w:pPr>
            <w:r>
              <w:rPr>
                <w:rFonts w:ascii="Calibri" w:hAnsi="Calibri"/>
                <w:noProof/>
                <w:color w:val="000000"/>
                <w:sz w:val="18"/>
                <w:szCs w:val="22"/>
              </w:rPr>
              <w:t>1</w:t>
            </w:r>
          </w:p>
        </w:tc>
        <w:tc>
          <w:tcPr>
            <w:tcW w:w="581" w:type="pct"/>
            <w:tcBorders>
              <w:top w:val="nil"/>
              <w:left w:val="nil"/>
              <w:bottom w:val="single" w:sz="4" w:space="0" w:color="auto"/>
              <w:right w:val="single" w:sz="4" w:space="0" w:color="auto"/>
            </w:tcBorders>
            <w:shd w:val="clear" w:color="000000" w:fill="DDEBF7"/>
            <w:vAlign w:val="center"/>
            <w:hideMark/>
          </w:tcPr>
          <w:p w:rsidR="00913429" w:rsidRDefault="00E143F0">
            <w:pPr>
              <w:spacing w:after="0" w:line="240" w:lineRule="auto"/>
              <w:jc w:val="center"/>
              <w:rPr>
                <w:rFonts w:ascii="Calibri" w:eastAsia="Times New Roman" w:hAnsi="Calibri"/>
                <w:noProof/>
                <w:color w:val="000000"/>
                <w:sz w:val="18"/>
                <w:szCs w:val="22"/>
                <w:lang w:val="it-IT" w:eastAsia="it-IT"/>
              </w:rPr>
            </w:pPr>
            <w:r>
              <w:rPr>
                <w:rFonts w:ascii="Calibri" w:hAnsi="Calibri"/>
                <w:noProof/>
                <w:color w:val="000000"/>
                <w:sz w:val="18"/>
                <w:szCs w:val="22"/>
              </w:rPr>
              <w:t>€ 50.000,00</w:t>
            </w:r>
          </w:p>
        </w:tc>
        <w:tc>
          <w:tcPr>
            <w:tcW w:w="581" w:type="pct"/>
            <w:tcBorders>
              <w:top w:val="nil"/>
              <w:left w:val="nil"/>
              <w:bottom w:val="single" w:sz="4" w:space="0" w:color="auto"/>
              <w:right w:val="single" w:sz="4" w:space="0" w:color="auto"/>
            </w:tcBorders>
            <w:shd w:val="clear" w:color="000000" w:fill="DDEBF7"/>
            <w:vAlign w:val="center"/>
            <w:hideMark/>
          </w:tcPr>
          <w:p w:rsidR="00913429" w:rsidRDefault="00E143F0">
            <w:pPr>
              <w:spacing w:after="0" w:line="240" w:lineRule="auto"/>
              <w:jc w:val="center"/>
              <w:rPr>
                <w:rFonts w:ascii="Calibri" w:eastAsia="Times New Roman" w:hAnsi="Calibri"/>
                <w:noProof/>
                <w:color w:val="000000"/>
                <w:sz w:val="18"/>
                <w:szCs w:val="22"/>
                <w:lang w:val="it-IT" w:eastAsia="it-IT"/>
              </w:rPr>
            </w:pPr>
            <w:r>
              <w:rPr>
                <w:rFonts w:ascii="Calibri" w:hAnsi="Calibri"/>
                <w:noProof/>
                <w:color w:val="000000"/>
                <w:sz w:val="18"/>
                <w:szCs w:val="22"/>
              </w:rPr>
              <w:t>€</w:t>
            </w:r>
            <w:r>
              <w:rPr>
                <w:rFonts w:ascii="Calibri" w:hAnsi="Calibri"/>
                <w:noProof/>
                <w:color w:val="000000"/>
                <w:sz w:val="18"/>
                <w:szCs w:val="22"/>
              </w:rPr>
              <w:t xml:space="preserve"> 50.000,00</w:t>
            </w:r>
          </w:p>
        </w:tc>
        <w:tc>
          <w:tcPr>
            <w:tcW w:w="590" w:type="pct"/>
            <w:tcBorders>
              <w:top w:val="nil"/>
              <w:left w:val="nil"/>
              <w:bottom w:val="single" w:sz="4" w:space="0" w:color="auto"/>
              <w:right w:val="single" w:sz="4" w:space="0" w:color="auto"/>
            </w:tcBorders>
            <w:shd w:val="clear" w:color="000000" w:fill="DDEBF7"/>
            <w:vAlign w:val="center"/>
            <w:hideMark/>
          </w:tcPr>
          <w:p w:rsidR="00913429" w:rsidRDefault="00E143F0">
            <w:pPr>
              <w:spacing w:after="0" w:line="240" w:lineRule="auto"/>
              <w:jc w:val="center"/>
              <w:rPr>
                <w:rFonts w:ascii="Calibri" w:eastAsia="Times New Roman" w:hAnsi="Calibri"/>
                <w:noProof/>
                <w:color w:val="000000"/>
                <w:sz w:val="18"/>
                <w:szCs w:val="22"/>
                <w:lang w:val="it-IT" w:eastAsia="it-IT"/>
              </w:rPr>
            </w:pPr>
            <w:r>
              <w:rPr>
                <w:rFonts w:ascii="Calibri" w:hAnsi="Calibri"/>
                <w:noProof/>
                <w:color w:val="000000"/>
                <w:sz w:val="18"/>
                <w:szCs w:val="22"/>
              </w:rPr>
              <w:t>€ 50.000,00</w:t>
            </w:r>
          </w:p>
        </w:tc>
        <w:tc>
          <w:tcPr>
            <w:tcW w:w="524" w:type="pct"/>
            <w:tcBorders>
              <w:top w:val="nil"/>
              <w:left w:val="nil"/>
              <w:bottom w:val="single" w:sz="4" w:space="0" w:color="auto"/>
              <w:right w:val="single" w:sz="4" w:space="0" w:color="auto"/>
            </w:tcBorders>
            <w:shd w:val="clear" w:color="000000" w:fill="DDEBF7"/>
            <w:noWrap/>
            <w:vAlign w:val="center"/>
            <w:hideMark/>
          </w:tcPr>
          <w:p w:rsidR="00913429" w:rsidRDefault="00E143F0">
            <w:pPr>
              <w:spacing w:after="0" w:line="240" w:lineRule="auto"/>
              <w:jc w:val="center"/>
              <w:rPr>
                <w:rFonts w:ascii="Calibri" w:eastAsia="Times New Roman" w:hAnsi="Calibri"/>
                <w:noProof/>
                <w:color w:val="000000"/>
                <w:sz w:val="18"/>
                <w:szCs w:val="22"/>
                <w:lang w:val="it-IT" w:eastAsia="it-IT"/>
              </w:rPr>
            </w:pPr>
            <w:r>
              <w:rPr>
                <w:rFonts w:ascii="Calibri" w:hAnsi="Calibri"/>
                <w:noProof/>
                <w:color w:val="000000"/>
                <w:sz w:val="18"/>
                <w:szCs w:val="22"/>
              </w:rPr>
              <w:t>Recurring</w:t>
            </w:r>
          </w:p>
        </w:tc>
      </w:tr>
      <w:tr w:rsidR="00913429">
        <w:trPr>
          <w:trHeight w:val="659"/>
          <w:tblHeader/>
        </w:trPr>
        <w:tc>
          <w:tcPr>
            <w:tcW w:w="1199" w:type="pct"/>
            <w:tcBorders>
              <w:top w:val="nil"/>
              <w:left w:val="single" w:sz="8" w:space="0" w:color="auto"/>
              <w:bottom w:val="nil"/>
              <w:right w:val="single" w:sz="4" w:space="0" w:color="auto"/>
            </w:tcBorders>
            <w:shd w:val="clear" w:color="000000" w:fill="DDEBF7"/>
            <w:noWrap/>
            <w:vAlign w:val="center"/>
            <w:hideMark/>
          </w:tcPr>
          <w:p w:rsidR="00913429" w:rsidRDefault="00E143F0">
            <w:pPr>
              <w:spacing w:after="0" w:line="240" w:lineRule="auto"/>
              <w:ind w:firstLineChars="200" w:firstLine="360"/>
              <w:rPr>
                <w:rFonts w:ascii="Calibri" w:eastAsia="Times New Roman" w:hAnsi="Calibri"/>
                <w:noProof/>
                <w:color w:val="000000"/>
                <w:sz w:val="18"/>
                <w:szCs w:val="22"/>
                <w:lang w:val="it-IT" w:eastAsia="it-IT"/>
              </w:rPr>
            </w:pPr>
            <w:r>
              <w:rPr>
                <w:rFonts w:ascii="Calibri" w:hAnsi="Calibri"/>
                <w:noProof/>
                <w:color w:val="000000"/>
                <w:sz w:val="18"/>
                <w:szCs w:val="22"/>
              </w:rPr>
              <w:t>Secretariat - Website/Certificate register</w:t>
            </w:r>
          </w:p>
        </w:tc>
        <w:tc>
          <w:tcPr>
            <w:tcW w:w="364" w:type="pct"/>
            <w:tcBorders>
              <w:top w:val="nil"/>
              <w:left w:val="nil"/>
              <w:bottom w:val="single" w:sz="4" w:space="0" w:color="auto"/>
              <w:right w:val="single" w:sz="4" w:space="0" w:color="auto"/>
            </w:tcBorders>
            <w:shd w:val="clear" w:color="000000" w:fill="DDEBF7"/>
            <w:vAlign w:val="center"/>
            <w:hideMark/>
          </w:tcPr>
          <w:p w:rsidR="00913429" w:rsidRDefault="00E143F0">
            <w:pPr>
              <w:spacing w:after="0" w:line="240" w:lineRule="auto"/>
              <w:jc w:val="center"/>
              <w:rPr>
                <w:rFonts w:ascii="Calibri" w:eastAsia="Times New Roman" w:hAnsi="Calibri"/>
                <w:noProof/>
                <w:color w:val="000000"/>
                <w:sz w:val="18"/>
                <w:szCs w:val="22"/>
                <w:lang w:val="it-IT" w:eastAsia="it-IT"/>
              </w:rPr>
            </w:pPr>
            <w:r>
              <w:rPr>
                <w:rFonts w:ascii="Calibri" w:hAnsi="Calibri"/>
                <w:noProof/>
                <w:color w:val="000000"/>
                <w:sz w:val="18"/>
                <w:szCs w:val="22"/>
              </w:rPr>
              <w:t>0,5</w:t>
            </w:r>
          </w:p>
        </w:tc>
        <w:tc>
          <w:tcPr>
            <w:tcW w:w="653" w:type="pct"/>
            <w:tcBorders>
              <w:top w:val="nil"/>
              <w:left w:val="nil"/>
              <w:bottom w:val="single" w:sz="4" w:space="0" w:color="auto"/>
              <w:right w:val="single" w:sz="4" w:space="0" w:color="auto"/>
            </w:tcBorders>
            <w:shd w:val="clear" w:color="000000" w:fill="DDEBF7"/>
            <w:vAlign w:val="center"/>
            <w:hideMark/>
          </w:tcPr>
          <w:p w:rsidR="00913429" w:rsidRDefault="00E143F0">
            <w:pPr>
              <w:spacing w:after="0" w:line="240" w:lineRule="auto"/>
              <w:jc w:val="center"/>
              <w:rPr>
                <w:rFonts w:ascii="Calibri" w:eastAsia="Times New Roman" w:hAnsi="Calibri"/>
                <w:noProof/>
                <w:color w:val="000000"/>
                <w:sz w:val="18"/>
                <w:szCs w:val="22"/>
                <w:lang w:val="it-IT" w:eastAsia="it-IT"/>
              </w:rPr>
            </w:pPr>
            <w:r>
              <w:rPr>
                <w:rFonts w:ascii="Calibri" w:hAnsi="Calibri"/>
                <w:noProof/>
                <w:color w:val="000000"/>
                <w:sz w:val="18"/>
                <w:szCs w:val="22"/>
              </w:rPr>
              <w:t>Person wage</w:t>
            </w:r>
          </w:p>
        </w:tc>
        <w:tc>
          <w:tcPr>
            <w:tcW w:w="508" w:type="pct"/>
            <w:tcBorders>
              <w:top w:val="nil"/>
              <w:left w:val="nil"/>
              <w:bottom w:val="single" w:sz="4" w:space="0" w:color="auto"/>
              <w:right w:val="single" w:sz="4" w:space="0" w:color="auto"/>
            </w:tcBorders>
            <w:shd w:val="clear" w:color="000000" w:fill="DDEBF7"/>
            <w:noWrap/>
            <w:vAlign w:val="center"/>
            <w:hideMark/>
          </w:tcPr>
          <w:p w:rsidR="00913429" w:rsidRDefault="00E143F0">
            <w:pPr>
              <w:spacing w:after="0" w:line="240" w:lineRule="auto"/>
              <w:jc w:val="center"/>
              <w:rPr>
                <w:rFonts w:ascii="Calibri" w:eastAsia="Times New Roman" w:hAnsi="Calibri"/>
                <w:noProof/>
                <w:color w:val="000000"/>
                <w:sz w:val="18"/>
                <w:szCs w:val="22"/>
                <w:lang w:val="it-IT" w:eastAsia="it-IT"/>
              </w:rPr>
            </w:pPr>
            <w:r>
              <w:rPr>
                <w:rFonts w:ascii="Calibri" w:hAnsi="Calibri"/>
                <w:noProof/>
                <w:color w:val="000000"/>
                <w:sz w:val="18"/>
                <w:szCs w:val="22"/>
              </w:rPr>
              <w:t>1</w:t>
            </w:r>
          </w:p>
        </w:tc>
        <w:tc>
          <w:tcPr>
            <w:tcW w:w="581" w:type="pct"/>
            <w:tcBorders>
              <w:top w:val="nil"/>
              <w:left w:val="nil"/>
              <w:bottom w:val="single" w:sz="4" w:space="0" w:color="auto"/>
              <w:right w:val="single" w:sz="4" w:space="0" w:color="auto"/>
            </w:tcBorders>
            <w:shd w:val="clear" w:color="000000" w:fill="DDEBF7"/>
            <w:vAlign w:val="center"/>
            <w:hideMark/>
          </w:tcPr>
          <w:p w:rsidR="00913429" w:rsidRDefault="00E143F0">
            <w:pPr>
              <w:spacing w:after="0" w:line="240" w:lineRule="auto"/>
              <w:jc w:val="center"/>
              <w:rPr>
                <w:rFonts w:ascii="Calibri" w:eastAsia="Times New Roman" w:hAnsi="Calibri"/>
                <w:noProof/>
                <w:color w:val="000000"/>
                <w:sz w:val="18"/>
                <w:szCs w:val="22"/>
                <w:lang w:val="it-IT" w:eastAsia="it-IT"/>
              </w:rPr>
            </w:pPr>
            <w:r>
              <w:rPr>
                <w:rFonts w:ascii="Calibri" w:hAnsi="Calibri"/>
                <w:noProof/>
                <w:color w:val="000000"/>
                <w:sz w:val="18"/>
                <w:szCs w:val="22"/>
              </w:rPr>
              <w:t>€ 50.000,00</w:t>
            </w:r>
          </w:p>
        </w:tc>
        <w:tc>
          <w:tcPr>
            <w:tcW w:w="581" w:type="pct"/>
            <w:tcBorders>
              <w:top w:val="nil"/>
              <w:left w:val="nil"/>
              <w:bottom w:val="single" w:sz="4" w:space="0" w:color="auto"/>
              <w:right w:val="single" w:sz="4" w:space="0" w:color="auto"/>
            </w:tcBorders>
            <w:shd w:val="clear" w:color="000000" w:fill="DDEBF7"/>
            <w:vAlign w:val="center"/>
            <w:hideMark/>
          </w:tcPr>
          <w:p w:rsidR="00913429" w:rsidRDefault="00E143F0">
            <w:pPr>
              <w:spacing w:after="0" w:line="240" w:lineRule="auto"/>
              <w:jc w:val="center"/>
              <w:rPr>
                <w:rFonts w:ascii="Calibri" w:eastAsia="Times New Roman" w:hAnsi="Calibri"/>
                <w:noProof/>
                <w:color w:val="000000"/>
                <w:sz w:val="18"/>
                <w:szCs w:val="22"/>
                <w:lang w:val="it-IT" w:eastAsia="it-IT"/>
              </w:rPr>
            </w:pPr>
            <w:r>
              <w:rPr>
                <w:rFonts w:ascii="Calibri" w:hAnsi="Calibri"/>
                <w:noProof/>
                <w:color w:val="000000"/>
                <w:sz w:val="18"/>
                <w:szCs w:val="22"/>
              </w:rPr>
              <w:t>€ 25.000,00</w:t>
            </w:r>
          </w:p>
        </w:tc>
        <w:tc>
          <w:tcPr>
            <w:tcW w:w="590" w:type="pct"/>
            <w:tcBorders>
              <w:top w:val="nil"/>
              <w:left w:val="nil"/>
              <w:bottom w:val="single" w:sz="4" w:space="0" w:color="auto"/>
              <w:right w:val="single" w:sz="4" w:space="0" w:color="auto"/>
            </w:tcBorders>
            <w:shd w:val="clear" w:color="000000" w:fill="DDEBF7"/>
            <w:vAlign w:val="center"/>
            <w:hideMark/>
          </w:tcPr>
          <w:p w:rsidR="00913429" w:rsidRDefault="00E143F0">
            <w:pPr>
              <w:spacing w:after="0" w:line="240" w:lineRule="auto"/>
              <w:jc w:val="center"/>
              <w:rPr>
                <w:rFonts w:ascii="Calibri" w:eastAsia="Times New Roman" w:hAnsi="Calibri"/>
                <w:noProof/>
                <w:color w:val="000000"/>
                <w:sz w:val="18"/>
                <w:szCs w:val="22"/>
                <w:lang w:val="it-IT" w:eastAsia="it-IT"/>
              </w:rPr>
            </w:pPr>
            <w:r>
              <w:rPr>
                <w:rFonts w:ascii="Calibri" w:hAnsi="Calibri"/>
                <w:noProof/>
                <w:color w:val="000000"/>
                <w:sz w:val="18"/>
                <w:szCs w:val="22"/>
              </w:rPr>
              <w:t>€ 25.000,00</w:t>
            </w:r>
          </w:p>
        </w:tc>
        <w:tc>
          <w:tcPr>
            <w:tcW w:w="524" w:type="pct"/>
            <w:tcBorders>
              <w:top w:val="nil"/>
              <w:left w:val="nil"/>
              <w:bottom w:val="single" w:sz="4" w:space="0" w:color="auto"/>
              <w:right w:val="single" w:sz="4" w:space="0" w:color="auto"/>
            </w:tcBorders>
            <w:shd w:val="clear" w:color="000000" w:fill="DDEBF7"/>
            <w:noWrap/>
            <w:vAlign w:val="center"/>
            <w:hideMark/>
          </w:tcPr>
          <w:p w:rsidR="00913429" w:rsidRDefault="00E143F0">
            <w:pPr>
              <w:spacing w:after="0" w:line="240" w:lineRule="auto"/>
              <w:jc w:val="center"/>
              <w:rPr>
                <w:rFonts w:ascii="Calibri" w:eastAsia="Times New Roman" w:hAnsi="Calibri"/>
                <w:noProof/>
                <w:color w:val="000000"/>
                <w:sz w:val="18"/>
                <w:szCs w:val="22"/>
                <w:lang w:val="it-IT" w:eastAsia="it-IT"/>
              </w:rPr>
            </w:pPr>
            <w:r>
              <w:rPr>
                <w:rFonts w:ascii="Calibri" w:hAnsi="Calibri"/>
                <w:noProof/>
                <w:color w:val="000000"/>
                <w:sz w:val="18"/>
                <w:szCs w:val="22"/>
              </w:rPr>
              <w:t>Recurring</w:t>
            </w:r>
          </w:p>
        </w:tc>
      </w:tr>
      <w:tr w:rsidR="00913429">
        <w:trPr>
          <w:trHeight w:val="550"/>
          <w:tblHeader/>
        </w:trPr>
        <w:tc>
          <w:tcPr>
            <w:tcW w:w="1199" w:type="pct"/>
            <w:tcBorders>
              <w:top w:val="single" w:sz="4" w:space="0" w:color="auto"/>
              <w:left w:val="single" w:sz="8" w:space="0" w:color="auto"/>
              <w:bottom w:val="single" w:sz="8" w:space="0" w:color="auto"/>
              <w:right w:val="single" w:sz="4" w:space="0" w:color="auto"/>
            </w:tcBorders>
            <w:shd w:val="clear" w:color="000000" w:fill="DDEBF7"/>
            <w:noWrap/>
            <w:vAlign w:val="center"/>
            <w:hideMark/>
          </w:tcPr>
          <w:p w:rsidR="00913429" w:rsidRDefault="00E143F0">
            <w:pPr>
              <w:spacing w:after="0" w:line="240" w:lineRule="auto"/>
              <w:ind w:firstLineChars="200" w:firstLine="360"/>
              <w:rPr>
                <w:rFonts w:ascii="Calibri" w:eastAsia="Times New Roman" w:hAnsi="Calibri"/>
                <w:noProof/>
                <w:color w:val="000000"/>
                <w:sz w:val="18"/>
                <w:szCs w:val="22"/>
                <w:lang w:val="it-IT" w:eastAsia="it-IT"/>
              </w:rPr>
            </w:pPr>
            <w:r>
              <w:rPr>
                <w:rFonts w:ascii="Calibri" w:hAnsi="Calibri"/>
                <w:noProof/>
                <w:color w:val="000000"/>
                <w:sz w:val="18"/>
                <w:szCs w:val="22"/>
              </w:rPr>
              <w:t>Secretariat - Other secretariat tasks</w:t>
            </w:r>
          </w:p>
        </w:tc>
        <w:tc>
          <w:tcPr>
            <w:tcW w:w="364" w:type="pct"/>
            <w:tcBorders>
              <w:top w:val="nil"/>
              <w:left w:val="nil"/>
              <w:bottom w:val="single" w:sz="8" w:space="0" w:color="auto"/>
              <w:right w:val="single" w:sz="4" w:space="0" w:color="auto"/>
            </w:tcBorders>
            <w:shd w:val="clear" w:color="000000" w:fill="DDEBF7"/>
            <w:vAlign w:val="center"/>
            <w:hideMark/>
          </w:tcPr>
          <w:p w:rsidR="00913429" w:rsidRDefault="00E143F0">
            <w:pPr>
              <w:spacing w:after="0" w:line="240" w:lineRule="auto"/>
              <w:jc w:val="center"/>
              <w:rPr>
                <w:rFonts w:ascii="Calibri" w:eastAsia="Times New Roman" w:hAnsi="Calibri"/>
                <w:noProof/>
                <w:color w:val="000000"/>
                <w:sz w:val="18"/>
                <w:szCs w:val="22"/>
                <w:lang w:val="it-IT" w:eastAsia="it-IT"/>
              </w:rPr>
            </w:pPr>
            <w:r>
              <w:rPr>
                <w:rFonts w:ascii="Calibri" w:hAnsi="Calibri"/>
                <w:noProof/>
                <w:color w:val="000000"/>
                <w:sz w:val="18"/>
                <w:szCs w:val="22"/>
              </w:rPr>
              <w:t>0,5</w:t>
            </w:r>
          </w:p>
        </w:tc>
        <w:tc>
          <w:tcPr>
            <w:tcW w:w="653" w:type="pct"/>
            <w:tcBorders>
              <w:top w:val="nil"/>
              <w:left w:val="nil"/>
              <w:bottom w:val="single" w:sz="8" w:space="0" w:color="auto"/>
              <w:right w:val="single" w:sz="4" w:space="0" w:color="auto"/>
            </w:tcBorders>
            <w:shd w:val="clear" w:color="000000" w:fill="DDEBF7"/>
            <w:vAlign w:val="center"/>
            <w:hideMark/>
          </w:tcPr>
          <w:p w:rsidR="00913429" w:rsidRDefault="00E143F0">
            <w:pPr>
              <w:spacing w:after="0" w:line="240" w:lineRule="auto"/>
              <w:jc w:val="center"/>
              <w:rPr>
                <w:rFonts w:ascii="Calibri" w:eastAsia="Times New Roman" w:hAnsi="Calibri"/>
                <w:noProof/>
                <w:color w:val="000000"/>
                <w:sz w:val="18"/>
                <w:szCs w:val="22"/>
                <w:lang w:val="it-IT" w:eastAsia="it-IT"/>
              </w:rPr>
            </w:pPr>
            <w:r>
              <w:rPr>
                <w:rFonts w:ascii="Calibri" w:hAnsi="Calibri"/>
                <w:noProof/>
                <w:color w:val="000000"/>
                <w:sz w:val="18"/>
                <w:szCs w:val="22"/>
              </w:rPr>
              <w:t>Person wage</w:t>
            </w:r>
          </w:p>
        </w:tc>
        <w:tc>
          <w:tcPr>
            <w:tcW w:w="508" w:type="pct"/>
            <w:tcBorders>
              <w:top w:val="nil"/>
              <w:left w:val="nil"/>
              <w:bottom w:val="single" w:sz="8" w:space="0" w:color="auto"/>
              <w:right w:val="single" w:sz="4" w:space="0" w:color="auto"/>
            </w:tcBorders>
            <w:shd w:val="clear" w:color="000000" w:fill="DDEBF7"/>
            <w:noWrap/>
            <w:vAlign w:val="center"/>
            <w:hideMark/>
          </w:tcPr>
          <w:p w:rsidR="00913429" w:rsidRDefault="00E143F0">
            <w:pPr>
              <w:spacing w:after="0" w:line="240" w:lineRule="auto"/>
              <w:jc w:val="center"/>
              <w:rPr>
                <w:rFonts w:ascii="Calibri" w:eastAsia="Times New Roman" w:hAnsi="Calibri"/>
                <w:noProof/>
                <w:color w:val="000000"/>
                <w:sz w:val="18"/>
                <w:szCs w:val="22"/>
                <w:lang w:val="it-IT" w:eastAsia="it-IT"/>
              </w:rPr>
            </w:pPr>
            <w:r>
              <w:rPr>
                <w:rFonts w:ascii="Calibri" w:hAnsi="Calibri"/>
                <w:noProof/>
                <w:color w:val="000000"/>
                <w:sz w:val="18"/>
                <w:szCs w:val="22"/>
              </w:rPr>
              <w:t>1</w:t>
            </w:r>
          </w:p>
        </w:tc>
        <w:tc>
          <w:tcPr>
            <w:tcW w:w="581" w:type="pct"/>
            <w:tcBorders>
              <w:top w:val="nil"/>
              <w:left w:val="nil"/>
              <w:bottom w:val="single" w:sz="8" w:space="0" w:color="auto"/>
              <w:right w:val="single" w:sz="4" w:space="0" w:color="auto"/>
            </w:tcBorders>
            <w:shd w:val="clear" w:color="000000" w:fill="DDEBF7"/>
            <w:vAlign w:val="center"/>
            <w:hideMark/>
          </w:tcPr>
          <w:p w:rsidR="00913429" w:rsidRDefault="00E143F0">
            <w:pPr>
              <w:spacing w:after="0" w:line="240" w:lineRule="auto"/>
              <w:jc w:val="center"/>
              <w:rPr>
                <w:rFonts w:ascii="Calibri" w:eastAsia="Times New Roman" w:hAnsi="Calibri"/>
                <w:noProof/>
                <w:color w:val="000000"/>
                <w:sz w:val="18"/>
                <w:szCs w:val="22"/>
                <w:lang w:val="it-IT" w:eastAsia="it-IT"/>
              </w:rPr>
            </w:pPr>
            <w:r>
              <w:rPr>
                <w:rFonts w:ascii="Calibri" w:hAnsi="Calibri"/>
                <w:noProof/>
                <w:color w:val="000000"/>
                <w:sz w:val="18"/>
                <w:szCs w:val="22"/>
              </w:rPr>
              <w:t>€ 50.000,00</w:t>
            </w:r>
          </w:p>
        </w:tc>
        <w:tc>
          <w:tcPr>
            <w:tcW w:w="581" w:type="pct"/>
            <w:tcBorders>
              <w:top w:val="nil"/>
              <w:left w:val="nil"/>
              <w:bottom w:val="single" w:sz="8" w:space="0" w:color="auto"/>
              <w:right w:val="single" w:sz="4" w:space="0" w:color="auto"/>
            </w:tcBorders>
            <w:shd w:val="clear" w:color="000000" w:fill="DDEBF7"/>
            <w:vAlign w:val="center"/>
            <w:hideMark/>
          </w:tcPr>
          <w:p w:rsidR="00913429" w:rsidRDefault="00E143F0">
            <w:pPr>
              <w:spacing w:after="0" w:line="240" w:lineRule="auto"/>
              <w:jc w:val="center"/>
              <w:rPr>
                <w:rFonts w:ascii="Calibri" w:eastAsia="Times New Roman" w:hAnsi="Calibri"/>
                <w:noProof/>
                <w:color w:val="000000"/>
                <w:sz w:val="18"/>
                <w:szCs w:val="22"/>
                <w:lang w:val="it-IT" w:eastAsia="it-IT"/>
              </w:rPr>
            </w:pPr>
            <w:r>
              <w:rPr>
                <w:rFonts w:ascii="Calibri" w:hAnsi="Calibri"/>
                <w:noProof/>
                <w:color w:val="000000"/>
                <w:sz w:val="18"/>
                <w:szCs w:val="22"/>
              </w:rPr>
              <w:t>€ 25.000,00</w:t>
            </w:r>
          </w:p>
        </w:tc>
        <w:tc>
          <w:tcPr>
            <w:tcW w:w="590" w:type="pct"/>
            <w:tcBorders>
              <w:top w:val="nil"/>
              <w:left w:val="nil"/>
              <w:bottom w:val="single" w:sz="8" w:space="0" w:color="auto"/>
              <w:right w:val="single" w:sz="4" w:space="0" w:color="auto"/>
            </w:tcBorders>
            <w:shd w:val="clear" w:color="000000" w:fill="DDEBF7"/>
            <w:vAlign w:val="center"/>
            <w:hideMark/>
          </w:tcPr>
          <w:p w:rsidR="00913429" w:rsidRDefault="00E143F0">
            <w:pPr>
              <w:spacing w:after="0" w:line="240" w:lineRule="auto"/>
              <w:jc w:val="center"/>
              <w:rPr>
                <w:rFonts w:ascii="Calibri" w:eastAsia="Times New Roman" w:hAnsi="Calibri"/>
                <w:noProof/>
                <w:color w:val="000000"/>
                <w:sz w:val="18"/>
                <w:szCs w:val="22"/>
                <w:lang w:val="it-IT" w:eastAsia="it-IT"/>
              </w:rPr>
            </w:pPr>
            <w:r>
              <w:rPr>
                <w:rFonts w:ascii="Calibri" w:hAnsi="Calibri"/>
                <w:noProof/>
                <w:color w:val="000000"/>
                <w:sz w:val="18"/>
                <w:szCs w:val="22"/>
              </w:rPr>
              <w:t>€ 25.000,00</w:t>
            </w:r>
          </w:p>
        </w:tc>
        <w:tc>
          <w:tcPr>
            <w:tcW w:w="524" w:type="pct"/>
            <w:tcBorders>
              <w:top w:val="nil"/>
              <w:left w:val="nil"/>
              <w:bottom w:val="single" w:sz="8" w:space="0" w:color="auto"/>
              <w:right w:val="single" w:sz="4" w:space="0" w:color="auto"/>
            </w:tcBorders>
            <w:shd w:val="clear" w:color="000000" w:fill="DDEBF7"/>
            <w:noWrap/>
            <w:vAlign w:val="center"/>
            <w:hideMark/>
          </w:tcPr>
          <w:p w:rsidR="00913429" w:rsidRDefault="00E143F0">
            <w:pPr>
              <w:spacing w:after="0" w:line="240" w:lineRule="auto"/>
              <w:jc w:val="center"/>
              <w:rPr>
                <w:rFonts w:ascii="Calibri" w:eastAsia="Times New Roman" w:hAnsi="Calibri"/>
                <w:noProof/>
                <w:color w:val="000000"/>
                <w:sz w:val="18"/>
                <w:szCs w:val="22"/>
                <w:lang w:val="it-IT" w:eastAsia="it-IT"/>
              </w:rPr>
            </w:pPr>
            <w:r>
              <w:rPr>
                <w:rFonts w:ascii="Calibri" w:hAnsi="Calibri"/>
                <w:noProof/>
                <w:color w:val="000000"/>
                <w:sz w:val="18"/>
                <w:szCs w:val="22"/>
              </w:rPr>
              <w:t>Recurring</w:t>
            </w:r>
          </w:p>
        </w:tc>
      </w:tr>
      <w:tr w:rsidR="00913429">
        <w:trPr>
          <w:trHeight w:val="498"/>
          <w:tblHeader/>
        </w:trPr>
        <w:tc>
          <w:tcPr>
            <w:tcW w:w="1199" w:type="pct"/>
            <w:tcBorders>
              <w:top w:val="nil"/>
              <w:left w:val="single" w:sz="8" w:space="0" w:color="auto"/>
              <w:bottom w:val="single" w:sz="4" w:space="0" w:color="auto"/>
              <w:right w:val="single" w:sz="4" w:space="0" w:color="auto"/>
            </w:tcBorders>
            <w:shd w:val="clear" w:color="000000" w:fill="E2EFDA"/>
            <w:noWrap/>
            <w:vAlign w:val="center"/>
            <w:hideMark/>
          </w:tcPr>
          <w:p w:rsidR="00913429" w:rsidRDefault="00E143F0">
            <w:pPr>
              <w:spacing w:after="0" w:line="240" w:lineRule="auto"/>
              <w:rPr>
                <w:rFonts w:ascii="Calibri" w:eastAsia="Times New Roman" w:hAnsi="Calibri"/>
                <w:b/>
                <w:bCs/>
                <w:noProof/>
                <w:color w:val="000000"/>
                <w:sz w:val="18"/>
                <w:szCs w:val="22"/>
                <w:lang w:val="en-US" w:eastAsia="it-IT"/>
              </w:rPr>
            </w:pPr>
            <w:r>
              <w:rPr>
                <w:rFonts w:ascii="Calibri" w:hAnsi="Calibri"/>
                <w:b/>
                <w:bCs/>
                <w:noProof/>
                <w:color w:val="000000"/>
                <w:sz w:val="18"/>
                <w:szCs w:val="22"/>
              </w:rPr>
              <w:t xml:space="preserve">Technical </w:t>
            </w:r>
            <w:r>
              <w:rPr>
                <w:rFonts w:ascii="Calibri" w:hAnsi="Calibri"/>
                <w:b/>
                <w:bCs/>
                <w:noProof/>
                <w:color w:val="000000"/>
                <w:sz w:val="18"/>
                <w:szCs w:val="22"/>
              </w:rPr>
              <w:t>Support - Technical Support (AD5)</w:t>
            </w:r>
          </w:p>
        </w:tc>
        <w:tc>
          <w:tcPr>
            <w:tcW w:w="364" w:type="pct"/>
            <w:tcBorders>
              <w:top w:val="nil"/>
              <w:left w:val="nil"/>
              <w:bottom w:val="single" w:sz="4" w:space="0" w:color="auto"/>
              <w:right w:val="single" w:sz="4" w:space="0" w:color="auto"/>
            </w:tcBorders>
            <w:shd w:val="clear" w:color="000000" w:fill="E2EFDA"/>
            <w:vAlign w:val="center"/>
            <w:hideMark/>
          </w:tcPr>
          <w:p w:rsidR="00913429" w:rsidRDefault="00E143F0">
            <w:pPr>
              <w:spacing w:after="0" w:line="240" w:lineRule="auto"/>
              <w:jc w:val="center"/>
              <w:rPr>
                <w:rFonts w:ascii="Calibri" w:eastAsia="Times New Roman" w:hAnsi="Calibri"/>
                <w:b/>
                <w:bCs/>
                <w:noProof/>
                <w:color w:val="000000"/>
                <w:sz w:val="18"/>
                <w:szCs w:val="22"/>
                <w:lang w:val="it-IT" w:eastAsia="it-IT"/>
              </w:rPr>
            </w:pPr>
            <w:r>
              <w:rPr>
                <w:rFonts w:ascii="Calibri" w:hAnsi="Calibri"/>
                <w:b/>
                <w:bCs/>
                <w:noProof/>
                <w:color w:val="000000"/>
                <w:sz w:val="18"/>
                <w:szCs w:val="22"/>
              </w:rPr>
              <w:t>2</w:t>
            </w:r>
          </w:p>
        </w:tc>
        <w:tc>
          <w:tcPr>
            <w:tcW w:w="653" w:type="pct"/>
            <w:tcBorders>
              <w:top w:val="nil"/>
              <w:left w:val="nil"/>
              <w:bottom w:val="single" w:sz="4" w:space="0" w:color="auto"/>
              <w:right w:val="single" w:sz="4" w:space="0" w:color="auto"/>
            </w:tcBorders>
            <w:shd w:val="clear" w:color="000000" w:fill="E2EFDA"/>
            <w:vAlign w:val="center"/>
            <w:hideMark/>
          </w:tcPr>
          <w:p w:rsidR="00913429" w:rsidRDefault="00E143F0">
            <w:pPr>
              <w:spacing w:after="0" w:line="240" w:lineRule="auto"/>
              <w:jc w:val="center"/>
              <w:rPr>
                <w:rFonts w:ascii="Calibri" w:eastAsia="Times New Roman" w:hAnsi="Calibri"/>
                <w:b/>
                <w:bCs/>
                <w:noProof/>
                <w:color w:val="000000"/>
                <w:sz w:val="18"/>
                <w:szCs w:val="22"/>
                <w:lang w:val="it-IT" w:eastAsia="it-IT"/>
              </w:rPr>
            </w:pPr>
            <w:r>
              <w:rPr>
                <w:rFonts w:ascii="Calibri" w:hAnsi="Calibri"/>
                <w:b/>
                <w:bCs/>
                <w:noProof/>
                <w:color w:val="000000"/>
                <w:sz w:val="18"/>
                <w:szCs w:val="22"/>
              </w:rPr>
              <w:t>Persone wage</w:t>
            </w:r>
          </w:p>
        </w:tc>
        <w:tc>
          <w:tcPr>
            <w:tcW w:w="508" w:type="pct"/>
            <w:tcBorders>
              <w:top w:val="nil"/>
              <w:left w:val="nil"/>
              <w:bottom w:val="single" w:sz="4" w:space="0" w:color="auto"/>
              <w:right w:val="single" w:sz="4" w:space="0" w:color="auto"/>
            </w:tcBorders>
            <w:shd w:val="clear" w:color="000000" w:fill="E2EFDA"/>
            <w:noWrap/>
            <w:vAlign w:val="center"/>
            <w:hideMark/>
          </w:tcPr>
          <w:p w:rsidR="00913429" w:rsidRDefault="00E143F0">
            <w:pPr>
              <w:spacing w:after="0" w:line="240" w:lineRule="auto"/>
              <w:jc w:val="center"/>
              <w:rPr>
                <w:rFonts w:ascii="Calibri" w:eastAsia="Times New Roman" w:hAnsi="Calibri"/>
                <w:b/>
                <w:bCs/>
                <w:noProof/>
                <w:color w:val="000000"/>
                <w:sz w:val="18"/>
                <w:szCs w:val="22"/>
                <w:lang w:val="it-IT" w:eastAsia="it-IT"/>
              </w:rPr>
            </w:pPr>
            <w:r>
              <w:rPr>
                <w:rFonts w:ascii="Calibri" w:hAnsi="Calibri"/>
                <w:b/>
                <w:bCs/>
                <w:noProof/>
                <w:color w:val="000000"/>
                <w:sz w:val="18"/>
                <w:szCs w:val="22"/>
              </w:rPr>
              <w:t>1</w:t>
            </w:r>
          </w:p>
        </w:tc>
        <w:tc>
          <w:tcPr>
            <w:tcW w:w="581" w:type="pct"/>
            <w:tcBorders>
              <w:top w:val="nil"/>
              <w:left w:val="nil"/>
              <w:bottom w:val="single" w:sz="4" w:space="0" w:color="auto"/>
              <w:right w:val="single" w:sz="4" w:space="0" w:color="auto"/>
            </w:tcBorders>
            <w:shd w:val="clear" w:color="000000" w:fill="E2EFDA"/>
            <w:vAlign w:val="center"/>
            <w:hideMark/>
          </w:tcPr>
          <w:p w:rsidR="00913429" w:rsidRDefault="00E143F0">
            <w:pPr>
              <w:spacing w:after="0" w:line="240" w:lineRule="auto"/>
              <w:jc w:val="center"/>
              <w:rPr>
                <w:rFonts w:ascii="Calibri" w:eastAsia="Times New Roman" w:hAnsi="Calibri"/>
                <w:b/>
                <w:bCs/>
                <w:noProof/>
                <w:color w:val="000000"/>
                <w:sz w:val="18"/>
                <w:szCs w:val="22"/>
                <w:lang w:val="it-IT" w:eastAsia="it-IT"/>
              </w:rPr>
            </w:pPr>
            <w:r>
              <w:rPr>
                <w:rFonts w:ascii="Calibri" w:hAnsi="Calibri"/>
                <w:b/>
                <w:bCs/>
                <w:noProof/>
                <w:color w:val="000000"/>
                <w:sz w:val="18"/>
                <w:szCs w:val="22"/>
              </w:rPr>
              <w:t>€ 70.000,00</w:t>
            </w:r>
          </w:p>
        </w:tc>
        <w:tc>
          <w:tcPr>
            <w:tcW w:w="581" w:type="pct"/>
            <w:tcBorders>
              <w:top w:val="nil"/>
              <w:left w:val="nil"/>
              <w:bottom w:val="single" w:sz="4" w:space="0" w:color="auto"/>
              <w:right w:val="single" w:sz="4" w:space="0" w:color="auto"/>
            </w:tcBorders>
            <w:shd w:val="clear" w:color="000000" w:fill="E2EFDA"/>
            <w:vAlign w:val="center"/>
            <w:hideMark/>
          </w:tcPr>
          <w:p w:rsidR="00913429" w:rsidRDefault="00E143F0">
            <w:pPr>
              <w:spacing w:after="0" w:line="240" w:lineRule="auto"/>
              <w:jc w:val="center"/>
              <w:rPr>
                <w:rFonts w:ascii="Calibri" w:eastAsia="Times New Roman" w:hAnsi="Calibri"/>
                <w:b/>
                <w:bCs/>
                <w:noProof/>
                <w:color w:val="000000"/>
                <w:sz w:val="18"/>
                <w:szCs w:val="22"/>
                <w:lang w:val="it-IT" w:eastAsia="it-IT"/>
              </w:rPr>
            </w:pPr>
            <w:r>
              <w:rPr>
                <w:rFonts w:ascii="Calibri" w:hAnsi="Calibri"/>
                <w:b/>
                <w:bCs/>
                <w:noProof/>
                <w:color w:val="000000"/>
                <w:sz w:val="18"/>
                <w:szCs w:val="22"/>
              </w:rPr>
              <w:t>€ 140.000,00</w:t>
            </w:r>
          </w:p>
        </w:tc>
        <w:tc>
          <w:tcPr>
            <w:tcW w:w="590" w:type="pct"/>
            <w:tcBorders>
              <w:top w:val="nil"/>
              <w:left w:val="nil"/>
              <w:bottom w:val="single" w:sz="4" w:space="0" w:color="auto"/>
              <w:right w:val="single" w:sz="4" w:space="0" w:color="auto"/>
            </w:tcBorders>
            <w:shd w:val="clear" w:color="000000" w:fill="E2EFDA"/>
            <w:vAlign w:val="center"/>
            <w:hideMark/>
          </w:tcPr>
          <w:p w:rsidR="00913429" w:rsidRDefault="00E143F0">
            <w:pPr>
              <w:spacing w:after="0" w:line="240" w:lineRule="auto"/>
              <w:jc w:val="center"/>
              <w:rPr>
                <w:rFonts w:ascii="Calibri" w:eastAsia="Times New Roman" w:hAnsi="Calibri"/>
                <w:b/>
                <w:bCs/>
                <w:noProof/>
                <w:color w:val="000000"/>
                <w:sz w:val="18"/>
                <w:szCs w:val="22"/>
                <w:lang w:val="it-IT" w:eastAsia="it-IT"/>
              </w:rPr>
            </w:pPr>
            <w:r>
              <w:rPr>
                <w:rFonts w:ascii="Calibri" w:hAnsi="Calibri"/>
                <w:b/>
                <w:bCs/>
                <w:noProof/>
                <w:color w:val="000000"/>
                <w:sz w:val="18"/>
                <w:szCs w:val="22"/>
              </w:rPr>
              <w:t>€ 140.000,00</w:t>
            </w:r>
          </w:p>
        </w:tc>
        <w:tc>
          <w:tcPr>
            <w:tcW w:w="524" w:type="pct"/>
            <w:tcBorders>
              <w:top w:val="nil"/>
              <w:left w:val="nil"/>
              <w:bottom w:val="single" w:sz="4" w:space="0" w:color="auto"/>
              <w:right w:val="single" w:sz="4" w:space="0" w:color="auto"/>
            </w:tcBorders>
            <w:shd w:val="clear" w:color="000000" w:fill="E2EFDA"/>
            <w:noWrap/>
            <w:vAlign w:val="center"/>
            <w:hideMark/>
          </w:tcPr>
          <w:p w:rsidR="00913429" w:rsidRDefault="00E143F0">
            <w:pPr>
              <w:spacing w:after="0" w:line="240" w:lineRule="auto"/>
              <w:jc w:val="center"/>
              <w:rPr>
                <w:rFonts w:ascii="Calibri" w:eastAsia="Times New Roman" w:hAnsi="Calibri"/>
                <w:noProof/>
                <w:color w:val="000000"/>
                <w:sz w:val="18"/>
                <w:szCs w:val="22"/>
                <w:lang w:val="it-IT" w:eastAsia="it-IT"/>
              </w:rPr>
            </w:pPr>
            <w:r>
              <w:rPr>
                <w:rFonts w:ascii="Calibri" w:hAnsi="Calibri"/>
                <w:noProof/>
                <w:color w:val="000000"/>
                <w:sz w:val="18"/>
                <w:szCs w:val="22"/>
              </w:rPr>
              <w:t>Recurring</w:t>
            </w:r>
          </w:p>
        </w:tc>
      </w:tr>
      <w:tr w:rsidR="00913429">
        <w:trPr>
          <w:trHeight w:val="660"/>
          <w:tblHeader/>
        </w:trPr>
        <w:tc>
          <w:tcPr>
            <w:tcW w:w="1199" w:type="pct"/>
            <w:tcBorders>
              <w:top w:val="nil"/>
              <w:left w:val="single" w:sz="8" w:space="0" w:color="auto"/>
              <w:bottom w:val="single" w:sz="4" w:space="0" w:color="auto"/>
              <w:right w:val="single" w:sz="4" w:space="0" w:color="auto"/>
            </w:tcBorders>
            <w:shd w:val="clear" w:color="000000" w:fill="E2EFDA"/>
            <w:noWrap/>
            <w:vAlign w:val="center"/>
            <w:hideMark/>
          </w:tcPr>
          <w:p w:rsidR="00913429" w:rsidRDefault="00E143F0">
            <w:pPr>
              <w:spacing w:after="0" w:line="240" w:lineRule="auto"/>
              <w:rPr>
                <w:rFonts w:ascii="Calibri" w:eastAsia="Times New Roman" w:hAnsi="Calibri"/>
                <w:b/>
                <w:bCs/>
                <w:noProof/>
                <w:color w:val="000000"/>
                <w:sz w:val="18"/>
                <w:szCs w:val="22"/>
                <w:lang w:val="it-IT" w:eastAsia="it-IT"/>
              </w:rPr>
            </w:pPr>
            <w:r>
              <w:rPr>
                <w:rFonts w:ascii="Calibri" w:hAnsi="Calibri"/>
                <w:b/>
                <w:bCs/>
                <w:noProof/>
                <w:color w:val="000000"/>
                <w:sz w:val="18"/>
                <w:szCs w:val="22"/>
              </w:rPr>
              <w:t>Technical Support - External Experts</w:t>
            </w:r>
          </w:p>
        </w:tc>
        <w:tc>
          <w:tcPr>
            <w:tcW w:w="364" w:type="pct"/>
            <w:tcBorders>
              <w:top w:val="nil"/>
              <w:left w:val="nil"/>
              <w:bottom w:val="single" w:sz="4" w:space="0" w:color="auto"/>
              <w:right w:val="single" w:sz="4" w:space="0" w:color="auto"/>
            </w:tcBorders>
            <w:shd w:val="clear" w:color="000000" w:fill="E2EFDA"/>
            <w:vAlign w:val="center"/>
            <w:hideMark/>
          </w:tcPr>
          <w:p w:rsidR="00913429" w:rsidRDefault="00E143F0">
            <w:pPr>
              <w:spacing w:after="0" w:line="240" w:lineRule="auto"/>
              <w:jc w:val="center"/>
              <w:rPr>
                <w:rFonts w:ascii="Calibri" w:eastAsia="Times New Roman" w:hAnsi="Calibri"/>
                <w:b/>
                <w:bCs/>
                <w:noProof/>
                <w:color w:val="000000"/>
                <w:sz w:val="18"/>
                <w:szCs w:val="22"/>
                <w:lang w:val="it-IT" w:eastAsia="it-IT"/>
              </w:rPr>
            </w:pPr>
            <w:r>
              <w:rPr>
                <w:rFonts w:ascii="Calibri" w:hAnsi="Calibri"/>
                <w:b/>
                <w:bCs/>
                <w:noProof/>
                <w:color w:val="000000"/>
                <w:sz w:val="18"/>
                <w:szCs w:val="22"/>
              </w:rPr>
              <w:t>3</w:t>
            </w:r>
          </w:p>
        </w:tc>
        <w:tc>
          <w:tcPr>
            <w:tcW w:w="653" w:type="pct"/>
            <w:tcBorders>
              <w:top w:val="nil"/>
              <w:left w:val="nil"/>
              <w:bottom w:val="single" w:sz="4" w:space="0" w:color="auto"/>
              <w:right w:val="single" w:sz="4" w:space="0" w:color="auto"/>
            </w:tcBorders>
            <w:shd w:val="clear" w:color="000000" w:fill="E2EFDA"/>
            <w:vAlign w:val="center"/>
            <w:hideMark/>
          </w:tcPr>
          <w:p w:rsidR="00913429" w:rsidRDefault="00E143F0">
            <w:pPr>
              <w:spacing w:after="0" w:line="240" w:lineRule="auto"/>
              <w:jc w:val="center"/>
              <w:rPr>
                <w:rFonts w:ascii="Calibri" w:eastAsia="Times New Roman" w:hAnsi="Calibri"/>
                <w:b/>
                <w:bCs/>
                <w:noProof/>
                <w:color w:val="000000"/>
                <w:sz w:val="18"/>
                <w:szCs w:val="22"/>
                <w:lang w:val="it-IT" w:eastAsia="it-IT"/>
              </w:rPr>
            </w:pPr>
            <w:r>
              <w:rPr>
                <w:rFonts w:ascii="Calibri" w:hAnsi="Calibri"/>
                <w:b/>
                <w:bCs/>
                <w:noProof/>
                <w:color w:val="000000"/>
                <w:sz w:val="18"/>
                <w:szCs w:val="22"/>
              </w:rPr>
              <w:t>Person wage</w:t>
            </w:r>
          </w:p>
        </w:tc>
        <w:tc>
          <w:tcPr>
            <w:tcW w:w="508" w:type="pct"/>
            <w:tcBorders>
              <w:top w:val="nil"/>
              <w:left w:val="nil"/>
              <w:bottom w:val="single" w:sz="4" w:space="0" w:color="auto"/>
              <w:right w:val="single" w:sz="4" w:space="0" w:color="auto"/>
            </w:tcBorders>
            <w:shd w:val="clear" w:color="000000" w:fill="E2EFDA"/>
            <w:noWrap/>
            <w:vAlign w:val="center"/>
            <w:hideMark/>
          </w:tcPr>
          <w:p w:rsidR="00913429" w:rsidRDefault="00E143F0">
            <w:pPr>
              <w:spacing w:after="0" w:line="240" w:lineRule="auto"/>
              <w:jc w:val="center"/>
              <w:rPr>
                <w:rFonts w:ascii="Calibri" w:eastAsia="Times New Roman" w:hAnsi="Calibri"/>
                <w:b/>
                <w:bCs/>
                <w:noProof/>
                <w:color w:val="000000"/>
                <w:sz w:val="18"/>
                <w:szCs w:val="22"/>
                <w:lang w:val="it-IT" w:eastAsia="it-IT"/>
              </w:rPr>
            </w:pPr>
            <w:r>
              <w:rPr>
                <w:rFonts w:ascii="Calibri" w:hAnsi="Calibri"/>
                <w:b/>
                <w:bCs/>
                <w:noProof/>
                <w:color w:val="000000"/>
                <w:sz w:val="18"/>
                <w:szCs w:val="22"/>
              </w:rPr>
              <w:t>1</w:t>
            </w:r>
          </w:p>
        </w:tc>
        <w:tc>
          <w:tcPr>
            <w:tcW w:w="581" w:type="pct"/>
            <w:tcBorders>
              <w:top w:val="nil"/>
              <w:left w:val="nil"/>
              <w:bottom w:val="single" w:sz="4" w:space="0" w:color="auto"/>
              <w:right w:val="single" w:sz="4" w:space="0" w:color="auto"/>
            </w:tcBorders>
            <w:shd w:val="clear" w:color="000000" w:fill="E2EFDA"/>
            <w:vAlign w:val="center"/>
            <w:hideMark/>
          </w:tcPr>
          <w:p w:rsidR="00913429" w:rsidRDefault="00E143F0">
            <w:pPr>
              <w:spacing w:after="0" w:line="240" w:lineRule="auto"/>
              <w:jc w:val="center"/>
              <w:rPr>
                <w:rFonts w:ascii="Calibri" w:eastAsia="Times New Roman" w:hAnsi="Calibri"/>
                <w:b/>
                <w:bCs/>
                <w:noProof/>
                <w:color w:val="000000"/>
                <w:sz w:val="18"/>
                <w:szCs w:val="22"/>
                <w:lang w:val="it-IT" w:eastAsia="it-IT"/>
              </w:rPr>
            </w:pPr>
            <w:r>
              <w:rPr>
                <w:rFonts w:ascii="Calibri" w:hAnsi="Calibri"/>
                <w:b/>
                <w:bCs/>
                <w:noProof/>
                <w:color w:val="000000"/>
                <w:sz w:val="18"/>
                <w:szCs w:val="22"/>
              </w:rPr>
              <w:t>€ 75.000,00</w:t>
            </w:r>
          </w:p>
        </w:tc>
        <w:tc>
          <w:tcPr>
            <w:tcW w:w="581" w:type="pct"/>
            <w:tcBorders>
              <w:top w:val="nil"/>
              <w:left w:val="nil"/>
              <w:bottom w:val="single" w:sz="4" w:space="0" w:color="auto"/>
              <w:right w:val="single" w:sz="4" w:space="0" w:color="auto"/>
            </w:tcBorders>
            <w:shd w:val="clear" w:color="000000" w:fill="E2EFDA"/>
            <w:vAlign w:val="center"/>
            <w:hideMark/>
          </w:tcPr>
          <w:p w:rsidR="00913429" w:rsidRDefault="00E143F0">
            <w:pPr>
              <w:spacing w:after="0" w:line="240" w:lineRule="auto"/>
              <w:jc w:val="center"/>
              <w:rPr>
                <w:rFonts w:ascii="Calibri" w:eastAsia="Times New Roman" w:hAnsi="Calibri"/>
                <w:b/>
                <w:bCs/>
                <w:noProof/>
                <w:color w:val="000000"/>
                <w:sz w:val="18"/>
                <w:szCs w:val="22"/>
                <w:lang w:val="it-IT" w:eastAsia="it-IT"/>
              </w:rPr>
            </w:pPr>
            <w:r>
              <w:rPr>
                <w:rFonts w:ascii="Calibri" w:hAnsi="Calibri"/>
                <w:b/>
                <w:bCs/>
                <w:noProof/>
                <w:color w:val="000000"/>
                <w:sz w:val="18"/>
                <w:szCs w:val="22"/>
              </w:rPr>
              <w:t>€ 225.000,00</w:t>
            </w:r>
          </w:p>
        </w:tc>
        <w:tc>
          <w:tcPr>
            <w:tcW w:w="590" w:type="pct"/>
            <w:tcBorders>
              <w:top w:val="nil"/>
              <w:left w:val="nil"/>
              <w:bottom w:val="single" w:sz="4" w:space="0" w:color="auto"/>
              <w:right w:val="single" w:sz="4" w:space="0" w:color="auto"/>
            </w:tcBorders>
            <w:shd w:val="clear" w:color="000000" w:fill="E2EFDA"/>
            <w:vAlign w:val="center"/>
            <w:hideMark/>
          </w:tcPr>
          <w:p w:rsidR="00913429" w:rsidRDefault="00E143F0">
            <w:pPr>
              <w:spacing w:after="0" w:line="240" w:lineRule="auto"/>
              <w:jc w:val="center"/>
              <w:rPr>
                <w:rFonts w:ascii="Calibri" w:eastAsia="Times New Roman" w:hAnsi="Calibri"/>
                <w:b/>
                <w:bCs/>
                <w:noProof/>
                <w:color w:val="000000"/>
                <w:sz w:val="18"/>
                <w:szCs w:val="22"/>
                <w:lang w:val="it-IT" w:eastAsia="it-IT"/>
              </w:rPr>
            </w:pPr>
            <w:r>
              <w:rPr>
                <w:rFonts w:ascii="Calibri" w:hAnsi="Calibri"/>
                <w:b/>
                <w:bCs/>
                <w:noProof/>
                <w:color w:val="000000"/>
                <w:sz w:val="18"/>
                <w:szCs w:val="22"/>
              </w:rPr>
              <w:t>€ 225.000,00</w:t>
            </w:r>
          </w:p>
        </w:tc>
        <w:tc>
          <w:tcPr>
            <w:tcW w:w="524" w:type="pct"/>
            <w:tcBorders>
              <w:top w:val="nil"/>
              <w:left w:val="nil"/>
              <w:bottom w:val="single" w:sz="4" w:space="0" w:color="auto"/>
              <w:right w:val="single" w:sz="4" w:space="0" w:color="auto"/>
            </w:tcBorders>
            <w:shd w:val="clear" w:color="000000" w:fill="E2EFDA"/>
            <w:noWrap/>
            <w:vAlign w:val="center"/>
            <w:hideMark/>
          </w:tcPr>
          <w:p w:rsidR="00913429" w:rsidRDefault="00E143F0">
            <w:pPr>
              <w:keepNext/>
              <w:spacing w:after="0" w:line="240" w:lineRule="auto"/>
              <w:jc w:val="center"/>
              <w:rPr>
                <w:rFonts w:ascii="Calibri" w:eastAsia="Times New Roman" w:hAnsi="Calibri"/>
                <w:noProof/>
                <w:color w:val="000000"/>
                <w:sz w:val="18"/>
                <w:szCs w:val="22"/>
                <w:lang w:val="it-IT" w:eastAsia="it-IT"/>
              </w:rPr>
            </w:pPr>
            <w:r>
              <w:rPr>
                <w:rFonts w:ascii="Calibri" w:hAnsi="Calibri"/>
                <w:noProof/>
                <w:color w:val="000000"/>
                <w:sz w:val="18"/>
                <w:szCs w:val="22"/>
              </w:rPr>
              <w:t>Recurring</w:t>
            </w:r>
          </w:p>
        </w:tc>
      </w:tr>
      <w:tr w:rsidR="00913429">
        <w:trPr>
          <w:trHeight w:val="578"/>
          <w:tblHeader/>
        </w:trPr>
        <w:tc>
          <w:tcPr>
            <w:tcW w:w="1199" w:type="pct"/>
            <w:tcBorders>
              <w:top w:val="single" w:sz="4" w:space="0" w:color="auto"/>
            </w:tcBorders>
            <w:shd w:val="clear" w:color="auto" w:fill="FFFFFF" w:themeFill="background1"/>
            <w:noWrap/>
            <w:vAlign w:val="center"/>
            <w:hideMark/>
          </w:tcPr>
          <w:p w:rsidR="00913429" w:rsidRDefault="00913429">
            <w:pPr>
              <w:spacing w:after="0" w:line="240" w:lineRule="auto"/>
              <w:rPr>
                <w:rFonts w:ascii="Calibri" w:eastAsia="Times New Roman" w:hAnsi="Calibri"/>
                <w:b/>
                <w:bCs/>
                <w:noProof/>
                <w:color w:val="000000"/>
                <w:sz w:val="18"/>
                <w:szCs w:val="22"/>
                <w:lang w:val="it-IT" w:eastAsia="it-IT"/>
              </w:rPr>
            </w:pPr>
          </w:p>
        </w:tc>
        <w:tc>
          <w:tcPr>
            <w:tcW w:w="364" w:type="pct"/>
            <w:tcBorders>
              <w:top w:val="single" w:sz="4" w:space="0" w:color="auto"/>
            </w:tcBorders>
            <w:shd w:val="clear" w:color="auto" w:fill="FFFFFF" w:themeFill="background1"/>
            <w:vAlign w:val="center"/>
            <w:hideMark/>
          </w:tcPr>
          <w:p w:rsidR="00913429" w:rsidRDefault="00913429">
            <w:pPr>
              <w:spacing w:after="0" w:line="240" w:lineRule="auto"/>
              <w:jc w:val="center"/>
              <w:rPr>
                <w:rFonts w:ascii="Calibri" w:eastAsia="Times New Roman" w:hAnsi="Calibri"/>
                <w:b/>
                <w:bCs/>
                <w:noProof/>
                <w:color w:val="000000"/>
                <w:sz w:val="18"/>
                <w:szCs w:val="22"/>
                <w:lang w:val="it-IT" w:eastAsia="it-IT"/>
              </w:rPr>
            </w:pPr>
          </w:p>
        </w:tc>
        <w:tc>
          <w:tcPr>
            <w:tcW w:w="653" w:type="pct"/>
            <w:tcBorders>
              <w:top w:val="single" w:sz="4" w:space="0" w:color="auto"/>
            </w:tcBorders>
            <w:shd w:val="clear" w:color="auto" w:fill="FFFFFF" w:themeFill="background1"/>
            <w:vAlign w:val="center"/>
            <w:hideMark/>
          </w:tcPr>
          <w:p w:rsidR="00913429" w:rsidRDefault="00913429">
            <w:pPr>
              <w:spacing w:after="0" w:line="240" w:lineRule="auto"/>
              <w:jc w:val="center"/>
              <w:rPr>
                <w:rFonts w:ascii="Calibri" w:eastAsia="Times New Roman" w:hAnsi="Calibri"/>
                <w:b/>
                <w:bCs/>
                <w:noProof/>
                <w:color w:val="000000"/>
                <w:sz w:val="18"/>
                <w:szCs w:val="22"/>
                <w:lang w:val="it-IT" w:eastAsia="it-IT"/>
              </w:rPr>
            </w:pPr>
          </w:p>
        </w:tc>
        <w:tc>
          <w:tcPr>
            <w:tcW w:w="1089" w:type="pct"/>
            <w:gridSpan w:val="2"/>
            <w:tcBorders>
              <w:top w:val="single" w:sz="4" w:space="0" w:color="auto"/>
            </w:tcBorders>
            <w:shd w:val="clear" w:color="auto" w:fill="FFFFFF" w:themeFill="background1"/>
            <w:noWrap/>
            <w:vAlign w:val="center"/>
            <w:hideMark/>
          </w:tcPr>
          <w:p w:rsidR="00913429" w:rsidRDefault="00E143F0">
            <w:pPr>
              <w:spacing w:after="0" w:line="240" w:lineRule="auto"/>
              <w:jc w:val="center"/>
              <w:rPr>
                <w:rFonts w:ascii="Calibri" w:eastAsia="Times New Roman" w:hAnsi="Calibri"/>
                <w:b/>
                <w:bCs/>
                <w:noProof/>
                <w:color w:val="000000"/>
                <w:sz w:val="18"/>
                <w:szCs w:val="22"/>
                <w:lang w:val="it-IT" w:eastAsia="it-IT"/>
              </w:rPr>
            </w:pPr>
            <w:r>
              <w:rPr>
                <w:rFonts w:ascii="Calibri" w:eastAsia="Times New Roman" w:hAnsi="Calibri"/>
                <w:b/>
                <w:bCs/>
                <w:noProof/>
                <w:color w:val="000000"/>
                <w:sz w:val="18"/>
                <w:szCs w:val="22"/>
                <w:lang w:val="it-IT" w:eastAsia="it-IT"/>
              </w:rPr>
              <w:t>GRAND TOTAL</w:t>
            </w:r>
          </w:p>
        </w:tc>
        <w:tc>
          <w:tcPr>
            <w:tcW w:w="1171" w:type="pct"/>
            <w:gridSpan w:val="2"/>
            <w:tcBorders>
              <w:top w:val="single" w:sz="4" w:space="0" w:color="auto"/>
            </w:tcBorders>
            <w:shd w:val="clear" w:color="auto" w:fill="FFFFFF" w:themeFill="background1"/>
            <w:vAlign w:val="center"/>
            <w:hideMark/>
          </w:tcPr>
          <w:p w:rsidR="00913429" w:rsidRDefault="00E143F0">
            <w:pPr>
              <w:spacing w:after="0" w:line="240" w:lineRule="auto"/>
              <w:jc w:val="center"/>
              <w:rPr>
                <w:rFonts w:ascii="Calibri" w:eastAsia="Times New Roman" w:hAnsi="Calibri"/>
                <w:b/>
                <w:bCs/>
                <w:noProof/>
                <w:color w:val="000000"/>
                <w:sz w:val="18"/>
                <w:szCs w:val="22"/>
                <w:lang w:val="it-IT" w:eastAsia="it-IT"/>
              </w:rPr>
            </w:pPr>
            <w:r>
              <w:rPr>
                <w:rFonts w:ascii="Calibri" w:eastAsia="Times New Roman" w:hAnsi="Calibri"/>
                <w:b/>
                <w:bCs/>
                <w:noProof/>
                <w:color w:val="000000"/>
                <w:sz w:val="18"/>
                <w:szCs w:val="22"/>
                <w:lang w:val="it-IT" w:eastAsia="it-IT"/>
              </w:rPr>
              <w:t>€ 788.440,00</w:t>
            </w:r>
          </w:p>
        </w:tc>
        <w:tc>
          <w:tcPr>
            <w:tcW w:w="524" w:type="pct"/>
            <w:tcBorders>
              <w:top w:val="single" w:sz="4" w:space="0" w:color="auto"/>
            </w:tcBorders>
            <w:shd w:val="clear" w:color="auto" w:fill="FFFFFF" w:themeFill="background1"/>
            <w:noWrap/>
            <w:vAlign w:val="center"/>
            <w:hideMark/>
          </w:tcPr>
          <w:p w:rsidR="00913429" w:rsidRDefault="00913429">
            <w:pPr>
              <w:keepNext/>
              <w:spacing w:after="0" w:line="240" w:lineRule="auto"/>
              <w:jc w:val="center"/>
              <w:rPr>
                <w:rFonts w:ascii="Calibri" w:eastAsia="Times New Roman" w:hAnsi="Calibri"/>
                <w:noProof/>
                <w:color w:val="000000"/>
                <w:sz w:val="18"/>
                <w:szCs w:val="22"/>
                <w:lang w:val="it-IT" w:eastAsia="it-IT"/>
              </w:rPr>
            </w:pPr>
          </w:p>
        </w:tc>
      </w:tr>
    </w:tbl>
    <w:p w:rsidR="00913429" w:rsidRDefault="00E143F0">
      <w:pPr>
        <w:pStyle w:val="Caption"/>
        <w:spacing w:after="240"/>
        <w:rPr>
          <w:rFonts w:eastAsia="SimHei"/>
          <w:bCs/>
          <w:noProof/>
          <w:sz w:val="36"/>
          <w:szCs w:val="28"/>
        </w:rPr>
      </w:pPr>
      <w:r>
        <w:rPr>
          <w:noProof/>
        </w:rPr>
        <w:t xml:space="preserve">Figure - Total estimate </w:t>
      </w:r>
      <w:r>
        <w:rPr>
          <w:noProof/>
        </w:rPr>
        <w:t>costs for the running of an EU wide ICT framework management board</w:t>
      </w:r>
      <w:r>
        <w:rPr>
          <w:noProof/>
        </w:rPr>
        <w:br/>
      </w:r>
      <w:bookmarkStart w:id="5" w:name="_Toc485163954"/>
    </w:p>
    <w:p w:rsidR="00913429" w:rsidRDefault="00E143F0">
      <w:pPr>
        <w:spacing w:after="0" w:line="240" w:lineRule="auto"/>
        <w:rPr>
          <w:rFonts w:eastAsia="SimHei"/>
          <w:bCs/>
          <w:noProof/>
          <w:sz w:val="36"/>
          <w:szCs w:val="28"/>
        </w:rPr>
      </w:pPr>
      <w:r>
        <w:rPr>
          <w:rFonts w:eastAsia="SimHei"/>
          <w:bCs/>
          <w:noProof/>
          <w:sz w:val="36"/>
          <w:szCs w:val="28"/>
        </w:rPr>
        <w:br w:type="page"/>
      </w:r>
    </w:p>
    <w:p w:rsidR="00913429" w:rsidRDefault="00E143F0">
      <w:pPr>
        <w:pStyle w:val="Heading4"/>
        <w:numPr>
          <w:ilvl w:val="2"/>
          <w:numId w:val="51"/>
        </w:numPr>
        <w:spacing w:after="240"/>
        <w:rPr>
          <w:noProof/>
          <w:lang w:val="en-US"/>
        </w:rPr>
      </w:pPr>
      <w:r>
        <w:rPr>
          <w:noProof/>
          <w:lang w:val="en-US"/>
        </w:rPr>
        <w:t>Costs estimated for the running of an EU wide ICT framework managed by an Expert Group</w:t>
      </w:r>
    </w:p>
    <w:p w:rsidR="00913429" w:rsidRDefault="00E143F0">
      <w:pPr>
        <w:autoSpaceDE w:val="0"/>
        <w:autoSpaceDN w:val="0"/>
        <w:adjustRightInd w:val="0"/>
        <w:spacing w:after="120" w:line="240" w:lineRule="auto"/>
        <w:jc w:val="both"/>
        <w:rPr>
          <w:noProof/>
          <w:sz w:val="22"/>
          <w:szCs w:val="22"/>
          <w:lang w:val="en-US"/>
        </w:rPr>
      </w:pPr>
      <w:r>
        <w:rPr>
          <w:noProof/>
          <w:sz w:val="22"/>
          <w:szCs w:val="22"/>
          <w:lang w:val="en-US"/>
        </w:rPr>
        <w:t>In the context of the creation of an EU wide ICT Certification scheme, costs estimated for the runn</w:t>
      </w:r>
      <w:r>
        <w:rPr>
          <w:noProof/>
          <w:sz w:val="22"/>
          <w:szCs w:val="22"/>
          <w:lang w:val="en-US"/>
        </w:rPr>
        <w:t xml:space="preserve">ing of an EU wide ICT Framework managed by an Expert Group have been also considered. </w:t>
      </w:r>
    </w:p>
    <w:p w:rsidR="00913429" w:rsidRDefault="00E143F0">
      <w:pPr>
        <w:jc w:val="both"/>
        <w:rPr>
          <w:noProof/>
          <w:sz w:val="22"/>
          <w:szCs w:val="22"/>
        </w:rPr>
      </w:pPr>
      <w:r>
        <w:rPr>
          <w:noProof/>
          <w:sz w:val="22"/>
          <w:szCs w:val="22"/>
        </w:rPr>
        <w:t xml:space="preserve">The costs for the </w:t>
      </w:r>
      <w:r>
        <w:rPr>
          <w:b/>
          <w:noProof/>
          <w:sz w:val="22"/>
          <w:szCs w:val="22"/>
        </w:rPr>
        <w:t>EU</w:t>
      </w:r>
      <w:r>
        <w:rPr>
          <w:noProof/>
          <w:sz w:val="22"/>
          <w:szCs w:val="22"/>
        </w:rPr>
        <w:t xml:space="preserve"> institutions, </w:t>
      </w:r>
      <w:r>
        <w:rPr>
          <w:b/>
          <w:noProof/>
          <w:sz w:val="22"/>
          <w:szCs w:val="22"/>
        </w:rPr>
        <w:t>ENISA</w:t>
      </w:r>
      <w:r>
        <w:rPr>
          <w:noProof/>
          <w:sz w:val="22"/>
          <w:szCs w:val="22"/>
        </w:rPr>
        <w:t xml:space="preserve"> and </w:t>
      </w:r>
      <w:r>
        <w:rPr>
          <w:b/>
          <w:noProof/>
          <w:sz w:val="22"/>
          <w:szCs w:val="24"/>
        </w:rPr>
        <w:t>Member States</w:t>
      </w:r>
      <w:r>
        <w:rPr>
          <w:noProof/>
          <w:sz w:val="22"/>
          <w:szCs w:val="22"/>
        </w:rPr>
        <w:t xml:space="preserve"> coincide with the establishment and maintenance of this European Framework. In particular, the European Commis</w:t>
      </w:r>
      <w:r>
        <w:rPr>
          <w:noProof/>
          <w:sz w:val="22"/>
          <w:szCs w:val="22"/>
        </w:rPr>
        <w:t>sion would have to place resources to support the establishment of the framework, notably for the adoption of the European schemes by means of delegated acts or implementing acts. It is estimated that this would require three FTEs working full time basis (</w:t>
      </w:r>
      <w:r>
        <w:rPr>
          <w:noProof/>
          <w:sz w:val="22"/>
          <w:szCs w:val="22"/>
        </w:rPr>
        <w:t xml:space="preserve">e.g.two administrators and one assistant). </w:t>
      </w:r>
    </w:p>
    <w:p w:rsidR="00913429" w:rsidRDefault="00E143F0">
      <w:pPr>
        <w:jc w:val="both"/>
        <w:rPr>
          <w:noProof/>
          <w:sz w:val="22"/>
          <w:szCs w:val="22"/>
        </w:rPr>
      </w:pPr>
      <w:r>
        <w:rPr>
          <w:noProof/>
          <w:sz w:val="22"/>
          <w:szCs w:val="22"/>
        </w:rPr>
        <w:t xml:space="preserve">The EU institutions would also bear the costs related to the set up of the Expert Group. Typically, the Commission allocates 600 Euro per expert who will qualify for travel reimbursement. Since each Member State </w:t>
      </w:r>
      <w:r>
        <w:rPr>
          <w:noProof/>
          <w:sz w:val="22"/>
          <w:szCs w:val="22"/>
        </w:rPr>
        <w:t>will appoint a representative, the total cost of the group is estimated to be in the region of 16,000 - 17,000 Euro per year.</w:t>
      </w:r>
    </w:p>
    <w:p w:rsidR="00913429" w:rsidRDefault="00E143F0">
      <w:pPr>
        <w:jc w:val="both"/>
        <w:rPr>
          <w:noProof/>
          <w:sz w:val="22"/>
          <w:szCs w:val="22"/>
        </w:rPr>
      </w:pPr>
      <w:r>
        <w:rPr>
          <w:noProof/>
          <w:sz w:val="22"/>
          <w:szCs w:val="22"/>
        </w:rPr>
        <w:t>ENISA is expected to bear the bulk of the costs related to both the functioning and maintenance of the framework, as it will be in charge of a) preparing the candidate schemes and b) issuing guidelines and c) providing the secretariat for the Group. The in</w:t>
      </w:r>
      <w:r>
        <w:rPr>
          <w:noProof/>
          <w:sz w:val="22"/>
          <w:szCs w:val="22"/>
        </w:rPr>
        <w:t xml:space="preserve">stituional costs related to ENISA are included in the economic estimates for ENISA (see Annex 6). </w:t>
      </w:r>
    </w:p>
    <w:p w:rsidR="00913429" w:rsidRDefault="00E143F0">
      <w:pPr>
        <w:jc w:val="both"/>
        <w:rPr>
          <w:noProof/>
          <w:sz w:val="22"/>
          <w:szCs w:val="22"/>
        </w:rPr>
      </w:pPr>
      <w:r>
        <w:rPr>
          <w:noProof/>
          <w:sz w:val="22"/>
          <w:szCs w:val="22"/>
        </w:rPr>
        <w:t>As an alternative to ENISA, it has been estimated that establishing a new body with the appropriate expertise in such a complex area would take between 5-7 y</w:t>
      </w:r>
      <w:r>
        <w:rPr>
          <w:noProof/>
          <w:sz w:val="22"/>
          <w:szCs w:val="22"/>
        </w:rPr>
        <w:t xml:space="preserve">ears. Approximately, the costs of setting up a new European body amount to EUR 21,9 million. ENISA as the EU agency for cybersecurity with strong links with Member States has been considered to be best placed to ensure a coordinated and efficient approach </w:t>
      </w:r>
      <w:r>
        <w:rPr>
          <w:noProof/>
          <w:sz w:val="22"/>
          <w:szCs w:val="22"/>
        </w:rPr>
        <w:t>to any European effort on security certification, for example by bringing all relevant stakeholders together, coordinating their work on certification schemes, preparing certification schemes and provide technical expertise.</w:t>
      </w:r>
    </w:p>
    <w:p w:rsidR="00913429" w:rsidRDefault="00E143F0">
      <w:pPr>
        <w:spacing w:after="120"/>
        <w:jc w:val="both"/>
        <w:rPr>
          <w:noProof/>
          <w:sz w:val="22"/>
          <w:szCs w:val="22"/>
        </w:rPr>
      </w:pPr>
      <w:r>
        <w:rPr>
          <w:noProof/>
          <w:sz w:val="22"/>
          <w:szCs w:val="22"/>
        </w:rPr>
        <w:t>Member States appointing a competent certification authority are expected to bear costs that would approximately amount to 1,600,000 Euro per year. This estimate include costs related to personel (e.g. min. three), equipment, subcontracting, operations (in</w:t>
      </w:r>
      <w:r>
        <w:rPr>
          <w:noProof/>
          <w:sz w:val="22"/>
          <w:szCs w:val="22"/>
        </w:rPr>
        <w:t xml:space="preserve">cl. training conferences) as well as set up of evaluation facilities.  The operational management of a certification authority would also require investments for carrying out enforcement and supervision activities. Costs related to these activities are in </w:t>
      </w:r>
      <w:r>
        <w:rPr>
          <w:noProof/>
          <w:sz w:val="22"/>
          <w:szCs w:val="22"/>
        </w:rPr>
        <w:t xml:space="preserve">the region of 290,000-300,000 Euro (per year). Generally, the overall impact will be significantly lower (or neutral) on Member States that are already part of the SOG-IS MRA and that have a supervision authority already in place. </w:t>
      </w:r>
    </w:p>
    <w:p w:rsidR="00913429" w:rsidRDefault="00E143F0">
      <w:pPr>
        <w:jc w:val="both"/>
        <w:rPr>
          <w:noProof/>
          <w:sz w:val="22"/>
          <w:szCs w:val="22"/>
        </w:rPr>
      </w:pPr>
      <w:r>
        <w:rPr>
          <w:noProof/>
          <w:sz w:val="22"/>
          <w:szCs w:val="22"/>
        </w:rPr>
        <w:t>This Option would not im</w:t>
      </w:r>
      <w:r>
        <w:rPr>
          <w:noProof/>
          <w:sz w:val="22"/>
          <w:szCs w:val="22"/>
        </w:rPr>
        <w:t xml:space="preserve">pose additional costs for the </w:t>
      </w:r>
      <w:r>
        <w:rPr>
          <w:noProof/>
          <w:sz w:val="22"/>
          <w:szCs w:val="24"/>
        </w:rPr>
        <w:t>industry</w:t>
      </w:r>
      <w:r>
        <w:rPr>
          <w:noProof/>
          <w:sz w:val="22"/>
          <w:szCs w:val="22"/>
        </w:rPr>
        <w:t xml:space="preserve"> in the short term, namely because</w:t>
      </w:r>
      <w:r>
        <w:rPr>
          <w:noProof/>
          <w:sz w:val="22"/>
          <w:szCs w:val="24"/>
        </w:rPr>
        <w:t xml:space="preserve"> </w:t>
      </w:r>
      <w:r>
        <w:rPr>
          <w:noProof/>
          <w:sz w:val="22"/>
          <w:szCs w:val="22"/>
        </w:rPr>
        <w:t>certification  will remain essentially a voluntary tool.</w:t>
      </w:r>
      <w:r>
        <w:rPr>
          <w:b/>
          <w:noProof/>
          <w:sz w:val="22"/>
          <w:szCs w:val="22"/>
        </w:rPr>
        <w:t xml:space="preserve"> </w:t>
      </w:r>
      <w:r>
        <w:rPr>
          <w:noProof/>
          <w:sz w:val="22"/>
          <w:szCs w:val="22"/>
        </w:rPr>
        <w:t>As is the case today, businesses will remain free to choose whether to certify their products or services.</w:t>
      </w:r>
      <w:r>
        <w:rPr>
          <w:b/>
          <w:noProof/>
          <w:sz w:val="22"/>
          <w:szCs w:val="22"/>
        </w:rPr>
        <w:t xml:space="preserve"> </w:t>
      </w:r>
      <w:r>
        <w:rPr>
          <w:noProof/>
          <w:sz w:val="22"/>
          <w:szCs w:val="22"/>
        </w:rPr>
        <w:t>By contrast, the po</w:t>
      </w:r>
      <w:r>
        <w:rPr>
          <w:noProof/>
          <w:sz w:val="22"/>
          <w:szCs w:val="22"/>
        </w:rPr>
        <w:t xml:space="preserve">ssibility to obtain an EU wide certificate would certainly act as a cost reductor for those firms that already certify their products or as an incentive for those that are willing to do so. </w:t>
      </w:r>
    </w:p>
    <w:p w:rsidR="00913429" w:rsidRDefault="00E143F0">
      <w:pPr>
        <w:spacing w:after="0" w:line="240" w:lineRule="auto"/>
        <w:jc w:val="both"/>
        <w:rPr>
          <w:noProof/>
          <w:sz w:val="22"/>
          <w:szCs w:val="22"/>
        </w:rPr>
      </w:pPr>
      <w:r>
        <w:rPr>
          <w:noProof/>
          <w:sz w:val="22"/>
          <w:szCs w:val="22"/>
        </w:rPr>
        <w:t>Since the process involved in future European schemes would depen</w:t>
      </w:r>
      <w:r>
        <w:rPr>
          <w:noProof/>
          <w:sz w:val="22"/>
          <w:szCs w:val="22"/>
        </w:rPr>
        <w:t xml:space="preserve">d on the associated level of assurance, cost and duration of certification would be more proportionate compared to the current SOG-IS MRA, built on the lenghtly and bureaucratic CC methodology.  </w:t>
      </w:r>
    </w:p>
    <w:p w:rsidR="00913429" w:rsidRDefault="00E143F0">
      <w:pPr>
        <w:spacing w:after="0" w:line="240" w:lineRule="auto"/>
        <w:rPr>
          <w:noProof/>
          <w:sz w:val="22"/>
          <w:szCs w:val="22"/>
        </w:rPr>
      </w:pPr>
      <w:r>
        <w:rPr>
          <w:noProof/>
          <w:sz w:val="22"/>
          <w:szCs w:val="22"/>
        </w:rPr>
        <w:br w:type="page"/>
      </w:r>
    </w:p>
    <w:p w:rsidR="00913429" w:rsidRDefault="00E143F0">
      <w:pPr>
        <w:keepNext/>
        <w:keepLines/>
        <w:numPr>
          <w:ilvl w:val="1"/>
          <w:numId w:val="97"/>
        </w:numPr>
        <w:spacing w:after="120" w:line="240" w:lineRule="auto"/>
        <w:outlineLvl w:val="3"/>
        <w:rPr>
          <w:rFonts w:eastAsia="SimHei"/>
          <w:bCs/>
          <w:i/>
          <w:iCs/>
          <w:noProof/>
          <w:color w:val="DC6900"/>
          <w:sz w:val="22"/>
          <w:szCs w:val="22"/>
        </w:rPr>
      </w:pPr>
      <w:r>
        <w:rPr>
          <w:rFonts w:eastAsia="SimHei"/>
          <w:bCs/>
          <w:i/>
          <w:iCs/>
          <w:noProof/>
          <w:color w:val="DC6900"/>
          <w:sz w:val="22"/>
          <w:szCs w:val="22"/>
        </w:rPr>
        <w:t>Summary of the Interviews with Experts on Cyber Resilience</w:t>
      </w:r>
      <w:r>
        <w:rPr>
          <w:rFonts w:eastAsia="SimHei"/>
          <w:bCs/>
          <w:i/>
          <w:iCs/>
          <w:noProof/>
          <w:color w:val="DC6900"/>
          <w:sz w:val="22"/>
          <w:szCs w:val="22"/>
        </w:rPr>
        <w:t xml:space="preserve"> of Critical Infrastructures</w:t>
      </w:r>
    </w:p>
    <w:p w:rsidR="00913429" w:rsidRDefault="00E143F0">
      <w:pPr>
        <w:jc w:val="both"/>
        <w:rPr>
          <w:noProof/>
        </w:rPr>
      </w:pPr>
      <w:r>
        <w:rPr>
          <w:noProof/>
        </w:rPr>
        <w:t>The following paragraph summarize the information gathered through interview activities to selected participants from these Critical Infrastructures Sectors:</w:t>
      </w:r>
    </w:p>
    <w:p w:rsidR="00913429" w:rsidRDefault="00E143F0">
      <w:pPr>
        <w:numPr>
          <w:ilvl w:val="0"/>
          <w:numId w:val="96"/>
        </w:numPr>
        <w:spacing w:after="0"/>
        <w:jc w:val="both"/>
        <w:rPr>
          <w:noProof/>
        </w:rPr>
      </w:pPr>
      <w:r>
        <w:rPr>
          <w:noProof/>
        </w:rPr>
        <w:t>Finance</w:t>
      </w:r>
    </w:p>
    <w:p w:rsidR="00913429" w:rsidRDefault="00E143F0">
      <w:pPr>
        <w:numPr>
          <w:ilvl w:val="0"/>
          <w:numId w:val="96"/>
        </w:numPr>
        <w:spacing w:after="0"/>
        <w:jc w:val="both"/>
        <w:rPr>
          <w:noProof/>
        </w:rPr>
      </w:pPr>
      <w:r>
        <w:rPr>
          <w:noProof/>
        </w:rPr>
        <w:t>Transportation</w:t>
      </w:r>
    </w:p>
    <w:p w:rsidR="00913429" w:rsidRDefault="00E143F0">
      <w:pPr>
        <w:numPr>
          <w:ilvl w:val="0"/>
          <w:numId w:val="96"/>
        </w:numPr>
        <w:spacing w:after="0"/>
        <w:jc w:val="both"/>
        <w:rPr>
          <w:noProof/>
        </w:rPr>
      </w:pPr>
      <w:r>
        <w:rPr>
          <w:noProof/>
        </w:rPr>
        <w:t>Energy</w:t>
      </w:r>
    </w:p>
    <w:p w:rsidR="00913429" w:rsidRDefault="00E143F0">
      <w:pPr>
        <w:numPr>
          <w:ilvl w:val="0"/>
          <w:numId w:val="96"/>
        </w:numPr>
        <w:spacing w:after="0"/>
        <w:jc w:val="both"/>
        <w:rPr>
          <w:noProof/>
        </w:rPr>
      </w:pPr>
      <w:r>
        <w:rPr>
          <w:noProof/>
        </w:rPr>
        <w:t>Telecommunication</w:t>
      </w:r>
    </w:p>
    <w:p w:rsidR="00913429" w:rsidRDefault="00E143F0">
      <w:pPr>
        <w:numPr>
          <w:ilvl w:val="0"/>
          <w:numId w:val="96"/>
        </w:numPr>
        <w:spacing w:after="120"/>
        <w:jc w:val="both"/>
        <w:rPr>
          <w:noProof/>
        </w:rPr>
      </w:pPr>
      <w:r>
        <w:rPr>
          <w:noProof/>
        </w:rPr>
        <w:t>Healthcare</w:t>
      </w:r>
    </w:p>
    <w:p w:rsidR="00913429" w:rsidRDefault="00E143F0">
      <w:pPr>
        <w:jc w:val="both"/>
        <w:rPr>
          <w:noProof/>
        </w:rPr>
      </w:pPr>
      <w:r>
        <w:rPr>
          <w:noProof/>
        </w:rPr>
        <w:t xml:space="preserve">Questions </w:t>
      </w:r>
      <w:r>
        <w:rPr>
          <w:noProof/>
        </w:rPr>
        <w:t xml:space="preserve">were asked in order to cover the following areas of interest: </w:t>
      </w:r>
    </w:p>
    <w:p w:rsidR="00913429" w:rsidRDefault="00E143F0">
      <w:pPr>
        <w:numPr>
          <w:ilvl w:val="0"/>
          <w:numId w:val="96"/>
        </w:numPr>
        <w:spacing w:after="0"/>
        <w:jc w:val="both"/>
        <w:rPr>
          <w:noProof/>
        </w:rPr>
      </w:pPr>
      <w:r>
        <w:rPr>
          <w:noProof/>
        </w:rPr>
        <w:t>Evidence of fragmentation</w:t>
      </w:r>
    </w:p>
    <w:p w:rsidR="00913429" w:rsidRDefault="00E143F0">
      <w:pPr>
        <w:numPr>
          <w:ilvl w:val="0"/>
          <w:numId w:val="96"/>
        </w:numPr>
        <w:spacing w:after="0"/>
        <w:jc w:val="both"/>
        <w:rPr>
          <w:noProof/>
        </w:rPr>
      </w:pPr>
      <w:r>
        <w:rPr>
          <w:noProof/>
        </w:rPr>
        <w:t>Labelling and information asymmetry</w:t>
      </w:r>
    </w:p>
    <w:p w:rsidR="00913429" w:rsidRDefault="00E143F0">
      <w:pPr>
        <w:numPr>
          <w:ilvl w:val="0"/>
          <w:numId w:val="96"/>
        </w:numPr>
        <w:spacing w:after="0"/>
        <w:jc w:val="both"/>
        <w:rPr>
          <w:noProof/>
        </w:rPr>
      </w:pPr>
      <w:r>
        <w:rPr>
          <w:noProof/>
        </w:rPr>
        <w:t>Advantages of adopting cybersecurity certification</w:t>
      </w:r>
    </w:p>
    <w:p w:rsidR="00913429" w:rsidRDefault="00E143F0">
      <w:pPr>
        <w:numPr>
          <w:ilvl w:val="0"/>
          <w:numId w:val="96"/>
        </w:numPr>
        <w:spacing w:after="0"/>
        <w:jc w:val="both"/>
        <w:rPr>
          <w:noProof/>
        </w:rPr>
      </w:pPr>
      <w:r>
        <w:rPr>
          <w:noProof/>
        </w:rPr>
        <w:t>Cyber resilience of Critical Infrastructures</w:t>
      </w:r>
    </w:p>
    <w:p w:rsidR="00913429" w:rsidRDefault="00E143F0">
      <w:pPr>
        <w:numPr>
          <w:ilvl w:val="0"/>
          <w:numId w:val="96"/>
        </w:numPr>
        <w:spacing w:after="0"/>
        <w:jc w:val="both"/>
        <w:rPr>
          <w:noProof/>
        </w:rPr>
      </w:pPr>
      <w:r>
        <w:rPr>
          <w:noProof/>
        </w:rPr>
        <w:t xml:space="preserve">Impacts of an EU wide ICT Security </w:t>
      </w:r>
      <w:r>
        <w:rPr>
          <w:noProof/>
        </w:rPr>
        <w:t>Certification and Labelling Scheme</w:t>
      </w:r>
    </w:p>
    <w:p w:rsidR="00913429" w:rsidRDefault="00E143F0">
      <w:pPr>
        <w:numPr>
          <w:ilvl w:val="0"/>
          <w:numId w:val="96"/>
        </w:numPr>
        <w:spacing w:after="120"/>
        <w:jc w:val="both"/>
        <w:rPr>
          <w:noProof/>
        </w:rPr>
      </w:pPr>
      <w:r>
        <w:rPr>
          <w:noProof/>
        </w:rPr>
        <w:t>Costs related to Certifications</w:t>
      </w:r>
    </w:p>
    <w:p w:rsidR="00913429" w:rsidRDefault="00E143F0">
      <w:pPr>
        <w:jc w:val="both"/>
        <w:rPr>
          <w:noProof/>
        </w:rPr>
      </w:pPr>
      <w:r>
        <w:rPr>
          <w:noProof/>
        </w:rPr>
        <w:t>Almost the totality of interviewees from different critical infrastructures sectors agree that there are many advantages adopting security certified ICT components/products for Critical Inf</w:t>
      </w:r>
      <w:r>
        <w:rPr>
          <w:noProof/>
        </w:rPr>
        <w:t>rastructures. For example, a security certified product allows the entrance to several markets that have particular requirements and gives advantages for the transparency of the information for the customer or the regulator. However, an interviewee from Fi</w:t>
      </w:r>
      <w:r>
        <w:rPr>
          <w:noProof/>
        </w:rPr>
        <w:t>nance Sector stressed that being compliant does not mean being safer. In fact, the Finance Sector is one of the most regulated sector in the world and operators need to be compliant with lots of National and International Requirements.</w:t>
      </w:r>
    </w:p>
    <w:p w:rsidR="00913429" w:rsidRDefault="00E143F0">
      <w:pPr>
        <w:jc w:val="both"/>
        <w:rPr>
          <w:noProof/>
          <w:lang w:val="en-US"/>
        </w:rPr>
      </w:pPr>
      <w:r>
        <w:rPr>
          <w:noProof/>
        </w:rPr>
        <w:t>The fragmentation ac</w:t>
      </w:r>
      <w:r>
        <w:rPr>
          <w:noProof/>
        </w:rPr>
        <w:t>ross Europe related to National and International ICT Security Certification Schemes is highlighted by many interviewees. One of the Scheme mentioned by interviewees is Common Criteria but it is stated that this Certification Scheme does not work and it is</w:t>
      </w:r>
      <w:r>
        <w:rPr>
          <w:noProof/>
        </w:rPr>
        <w:t xml:space="preserve"> little used to certify critical infrastructure products or components. Moreover, the certification processes are too difficult to go through because there is too much bureaucracy and paper forms to fill and the related costs are too high. An interviewee f</w:t>
      </w:r>
      <w:r>
        <w:rPr>
          <w:noProof/>
        </w:rPr>
        <w:t xml:space="preserve">rom Communication Sector said </w:t>
      </w:r>
      <w:r>
        <w:rPr>
          <w:noProof/>
          <w:lang w:val="en-US"/>
        </w:rPr>
        <w:t>that in 2016 they requested 20 Common Criteria certifications with a cost of several hundred thousand euros each, including the external resources, laboratories etc.</w:t>
      </w:r>
    </w:p>
    <w:p w:rsidR="00913429" w:rsidRDefault="00E143F0">
      <w:pPr>
        <w:spacing w:after="0"/>
        <w:jc w:val="both"/>
        <w:rPr>
          <w:noProof/>
        </w:rPr>
      </w:pPr>
      <w:r>
        <w:rPr>
          <w:noProof/>
        </w:rPr>
        <w:t xml:space="preserve">Two clear examples of fragmentation are related to the </w:t>
      </w:r>
      <w:r>
        <w:rPr>
          <w:noProof/>
        </w:rPr>
        <w:t>French National Certification Scheme developed by ANSSI and the German National Certification Scheme developed by BSI. These two National Certification Schemes do not recognise each other. Another example mentioned is the National Certification Scheme reco</w:t>
      </w:r>
      <w:r>
        <w:rPr>
          <w:noProof/>
        </w:rPr>
        <w:t>gnised only in UK. An interviewee from Communications Sector said that his company needs to be certified on a variety of schemes in order to provide their service. In UK, there is the CAS(T)  scheme, which is a telecom specific version of ISO27001 and that</w:t>
      </w:r>
      <w:r>
        <w:rPr>
          <w:noProof/>
        </w:rPr>
        <w:t xml:space="preserve"> is a fundamental security certification for any product and service that is sold. Furthermore, the Public Services Network need to be certified every year as a prerequisite. It will not be possible to sell services in UK, without certifying them. For the </w:t>
      </w:r>
      <w:r>
        <w:rPr>
          <w:noProof/>
        </w:rPr>
        <w:t>same company, costs related to these certification are very high. For example, for one of thei network platform the overall budget was of 500 thousand UK pounds. It includes 39 different services, whose price range from 10 to 15 thousands UK pounds each. C</w:t>
      </w:r>
      <w:r>
        <w:rPr>
          <w:noProof/>
        </w:rPr>
        <w:t>AS(T) Certification, an equivalent of the ISO 27001, it is issued by the National Cyber Security Council and it is valid only for the UK. Therefore, it is more UK centered and not European. Furthermore, there are actually a lot of standards for products’ s</w:t>
      </w:r>
      <w:r>
        <w:rPr>
          <w:noProof/>
        </w:rPr>
        <w:t xml:space="preserve">ecurity certification. There are at least four schemes that are run by the UK National Technical Authority. They range from test marking, encryption etc. and there is no doubt that the cost of certification would be a barrier for vendors who want to enter </w:t>
      </w:r>
      <w:r>
        <w:rPr>
          <w:noProof/>
        </w:rPr>
        <w:t>the UK market.</w:t>
      </w:r>
    </w:p>
    <w:p w:rsidR="00913429" w:rsidRDefault="00913429">
      <w:pPr>
        <w:spacing w:after="0"/>
        <w:jc w:val="both"/>
        <w:rPr>
          <w:noProof/>
        </w:rPr>
      </w:pPr>
    </w:p>
    <w:p w:rsidR="00913429" w:rsidRDefault="00E143F0">
      <w:pPr>
        <w:jc w:val="both"/>
        <w:rPr>
          <w:noProof/>
        </w:rPr>
      </w:pPr>
      <w:r>
        <w:rPr>
          <w:noProof/>
        </w:rPr>
        <w:t>A representative of an association of critical infrastructure stated that in Italy there isn’t any mandatory certification but it is necessary to be compliant with Standards and National requirements. For example, as stated by interviewee f</w:t>
      </w:r>
      <w:r>
        <w:rPr>
          <w:noProof/>
        </w:rPr>
        <w:t xml:space="preserve">rom the Communication Sector, there are lots of products and components such as </w:t>
      </w:r>
      <w:r>
        <w:rPr>
          <w:noProof/>
          <w:lang w:val="en-US"/>
        </w:rPr>
        <w:t xml:space="preserve">firewall, IPM, intrusion detection systems, routers with different criteria and standards that are required. In some cases, multiple certifications are necessary because other </w:t>
      </w:r>
      <w:r>
        <w:rPr>
          <w:noProof/>
          <w:lang w:val="en-US"/>
        </w:rPr>
        <w:t>markets require them. For example, in France, it is requested an authorization issued by the Prime Minister Office for network devices used in Critical Infrastructure. It is common for government to require certain standards for Critical Infrastructure and</w:t>
      </w:r>
      <w:r>
        <w:rPr>
          <w:noProof/>
          <w:lang w:val="en-US"/>
        </w:rPr>
        <w:t xml:space="preserve"> security products and services. </w:t>
      </w:r>
    </w:p>
    <w:p w:rsidR="00913429" w:rsidRDefault="00E143F0">
      <w:pPr>
        <w:jc w:val="both"/>
        <w:rPr>
          <w:noProof/>
        </w:rPr>
      </w:pPr>
      <w:r>
        <w:rPr>
          <w:noProof/>
        </w:rPr>
        <w:t xml:space="preserve">In the Finance industry services must have secure encryption and the use of Hardware Security Module (HSM), which are incredibly expensive. In order to use a HSM component, the cost is around 20 thousand euros and it is a </w:t>
      </w:r>
      <w:r>
        <w:rPr>
          <w:noProof/>
        </w:rPr>
        <w:t xml:space="preserve">cost for a single component, not for the whole device. </w:t>
      </w:r>
    </w:p>
    <w:p w:rsidR="00913429" w:rsidRDefault="00E143F0">
      <w:pPr>
        <w:jc w:val="both"/>
        <w:rPr>
          <w:noProof/>
          <w:lang w:val="en-US"/>
        </w:rPr>
      </w:pPr>
      <w:r>
        <w:rPr>
          <w:noProof/>
        </w:rPr>
        <w:t>The fragmentation of ICT Security Certification Schemes combined with the increase of National Approaches across Europe are defined by interviewees a real market problem. Without a European wide Certi</w:t>
      </w:r>
      <w:r>
        <w:rPr>
          <w:noProof/>
        </w:rPr>
        <w:t xml:space="preserve">fication Framework, it would be very difficult to sell products in more than one European Country especially for </w:t>
      </w:r>
      <w:r>
        <w:rPr>
          <w:noProof/>
          <w:lang w:val="en-US"/>
        </w:rPr>
        <w:t xml:space="preserve">small and medium companies. It is important however that the requirements of the certification are appropriate. </w:t>
      </w:r>
    </w:p>
    <w:p w:rsidR="00913429" w:rsidRDefault="00E143F0">
      <w:pPr>
        <w:jc w:val="both"/>
        <w:rPr>
          <w:noProof/>
          <w:lang w:val="en-US"/>
        </w:rPr>
      </w:pPr>
      <w:r>
        <w:rPr>
          <w:noProof/>
          <w:lang w:val="en-US"/>
        </w:rPr>
        <w:t>Critical infrastructures are b</w:t>
      </w:r>
      <w:r>
        <w:rPr>
          <w:noProof/>
          <w:lang w:val="en-US"/>
        </w:rPr>
        <w:t>y definition more critical than IoT, in general. However, the fragmentation is a common theme for both of them and it is unhelpful. Interviewees stated that the best solution to solve such fragmentation would be a moderate option that keeps in consideratio</w:t>
      </w:r>
      <w:r>
        <w:rPr>
          <w:noProof/>
          <w:lang w:val="en-US"/>
        </w:rPr>
        <w:t xml:space="preserve">n both the European Market and each jurisdiction. According to representatives from Telecommunication Sector, it would also be positive if European Commission, instructed by ENISA, could define a set of best practices. </w:t>
      </w:r>
    </w:p>
    <w:p w:rsidR="00913429" w:rsidRDefault="00E143F0">
      <w:pPr>
        <w:jc w:val="both"/>
        <w:rPr>
          <w:noProof/>
          <w:lang w:val="en-US"/>
        </w:rPr>
      </w:pPr>
      <w:r>
        <w:rPr>
          <w:noProof/>
          <w:lang w:val="en-US"/>
        </w:rPr>
        <w:t>Regarding the lack of information related to security requirements of ICT products and components, according to all interviewees, an EU wide Certification and Labelling Scheme could be a valid instrument to raise the awareness and trust of customers. Inter</w:t>
      </w:r>
      <w:r>
        <w:rPr>
          <w:noProof/>
          <w:lang w:val="en-US"/>
        </w:rPr>
        <w:t>viewees stress that customers should be divided in companies and end-users. Companies are generally more aware on security requirements of ICT products purchased than the end users are. This is due also to the different nature, cost and complexity of the p</w:t>
      </w:r>
      <w:r>
        <w:rPr>
          <w:noProof/>
          <w:lang w:val="en-US"/>
        </w:rPr>
        <w:t>roduct that are purchased. There are medical devices that are expensive and complicated machines, which can be bought only by operators (for example, Tomography machines cost approximately one million euros). Before an operator buys such an expensive machi</w:t>
      </w:r>
      <w:r>
        <w:rPr>
          <w:noProof/>
          <w:lang w:val="en-US"/>
        </w:rPr>
        <w:t xml:space="preserve">nery, surely it will ask for more information about security requirements than a normal user that wants to buy a medical smart device that measures the level of glucose.  </w:t>
      </w:r>
    </w:p>
    <w:p w:rsidR="00913429" w:rsidRDefault="00E143F0">
      <w:pPr>
        <w:jc w:val="both"/>
        <w:rPr>
          <w:noProof/>
          <w:lang w:val="en-US"/>
        </w:rPr>
      </w:pPr>
      <w:r>
        <w:rPr>
          <w:noProof/>
          <w:lang w:val="en-US"/>
        </w:rPr>
        <w:t xml:space="preserve">For critical infrastructure operators it is crucial to have the correct information </w:t>
      </w:r>
      <w:r>
        <w:rPr>
          <w:noProof/>
          <w:lang w:val="en-US"/>
        </w:rPr>
        <w:t>about security tests made on certified products or information related to security requirements. As argued by an interviewee of Communication sector without a certification applied it is difficult to know if the information provided to the customer/end-use</w:t>
      </w:r>
      <w:r>
        <w:rPr>
          <w:noProof/>
          <w:lang w:val="en-US"/>
        </w:rPr>
        <w:t>r are true and complete. Each company could claim that their product is secure but it is better to have third parties to test it independently. Without any information related to security requirements of ICT/IoT products, the choices are based merely on th</w:t>
      </w:r>
      <w:r>
        <w:rPr>
          <w:noProof/>
          <w:lang w:val="en-US"/>
        </w:rPr>
        <w:t xml:space="preserve">e producer name. </w:t>
      </w:r>
      <w:r>
        <w:rPr>
          <w:noProof/>
        </w:rPr>
        <w:t>The company brand from which consumer purchases the components is like a security guarantor. For instance, buying from Scheneider Electric and Siemens is probably more reliable than purchasing from a Chinese producer. There is, however, an</w:t>
      </w:r>
      <w:r>
        <w:rPr>
          <w:noProof/>
        </w:rPr>
        <w:t xml:space="preserve"> issue to point out: most of systems and products on the European Market have embedded components that come from China where the security standards are less available to check. An appropriate EU labelling Scheme for ICT/IoT products could reduce these prob</w:t>
      </w:r>
      <w:r>
        <w:rPr>
          <w:noProof/>
        </w:rPr>
        <w:t xml:space="preserve">lems. </w:t>
      </w:r>
      <w:r>
        <w:rPr>
          <w:noProof/>
          <w:lang w:val="en-US"/>
        </w:rPr>
        <w:t xml:space="preserve">Interviewee from Communication Sector said that, during the last year, his company discussed on the idea of IT trust labels for devices. They believe that a Labelling Scheme could be a more effective solution, especially for critical infrastructure. </w:t>
      </w:r>
      <w:r>
        <w:rPr>
          <w:noProof/>
          <w:lang w:val="en-US"/>
        </w:rPr>
        <w:t>Also for a representative of Transportation and Logistic sector, the current situation with the lack of transparency of security requirements could still be improved. Making the information more available and clearer would definitely help the operators and</w:t>
      </w:r>
      <w:r>
        <w:rPr>
          <w:noProof/>
          <w:lang w:val="en-US"/>
        </w:rPr>
        <w:t xml:space="preserve"> avoid certain situations. If the label would be reassuring for the customer, it would also increase the trust in the company. </w:t>
      </w:r>
    </w:p>
    <w:p w:rsidR="00913429" w:rsidRDefault="00E143F0">
      <w:pPr>
        <w:jc w:val="both"/>
        <w:rPr>
          <w:noProof/>
        </w:rPr>
      </w:pPr>
      <w:r>
        <w:rPr>
          <w:noProof/>
        </w:rPr>
        <w:t>The totality of the interviewees agreed that a European cybersecurity certification Framework that support the mutual recognitio</w:t>
      </w:r>
      <w:r>
        <w:rPr>
          <w:noProof/>
        </w:rPr>
        <w:t>n of cybersecurity certification would have a positive impacts. However, it is important to establish in a proper manner what are standards, minimum security requirements to adopt and the evaluation processes of the laboratories. For an expert on cyber res</w:t>
      </w:r>
      <w:r>
        <w:rPr>
          <w:noProof/>
        </w:rPr>
        <w:t>ilience of critical infrastructures, having multiple certification laboratories is very expensive. It is required to prepare the maintenance staff of these structures and, with an EU wide Certification Scheme, it would be possible to reduce these laborator</w:t>
      </w:r>
      <w:r>
        <w:rPr>
          <w:noProof/>
        </w:rPr>
        <w:t xml:space="preserve">ies. It will be therefore possible to reduce costs related to laboratories on the long term. </w:t>
      </w:r>
    </w:p>
    <w:p w:rsidR="00913429" w:rsidRDefault="00E143F0">
      <w:pPr>
        <w:jc w:val="both"/>
        <w:rPr>
          <w:noProof/>
          <w:lang w:val="en-US"/>
        </w:rPr>
      </w:pPr>
      <w:r>
        <w:rPr>
          <w:noProof/>
          <w:lang w:val="en-US"/>
        </w:rPr>
        <w:t>Representative from a Transportation and Logistic association claims that an EU wide Certification Scheme would not only increase the security levels of all Membe</w:t>
      </w:r>
      <w:r>
        <w:rPr>
          <w:noProof/>
          <w:lang w:val="en-US"/>
        </w:rPr>
        <w:t xml:space="preserve">r States but it would also be good for the European market. </w:t>
      </w:r>
      <w:r>
        <w:rPr>
          <w:noProof/>
          <w:lang w:val="en"/>
        </w:rPr>
        <w:t>Even in this case, however, it is stated that</w:t>
      </w:r>
      <w:r>
        <w:rPr>
          <w:noProof/>
          <w:lang w:val="en-US"/>
        </w:rPr>
        <w:t xml:space="preserve"> the EU wide Certification Scheme has to be made in a proper manner: the certification needs to be designed based on the needs of the industries and th</w:t>
      </w:r>
      <w:r>
        <w:rPr>
          <w:noProof/>
          <w:lang w:val="en-US"/>
        </w:rPr>
        <w:t>e Member States. Moreover, the mutual recognition across EU might even have positive effects globally. An EU wide Certification Scheme could attract other non-European countries to join the mutual recognition. States like US and Canada and many others migh</w:t>
      </w:r>
      <w:r>
        <w:rPr>
          <w:noProof/>
          <w:lang w:val="en-US"/>
        </w:rPr>
        <w:t>t be interested in the future to join such mutual recognition. All interviewees stated that it is also important that an EU wide Certification scheme would not be a mandatory scheme.</w:t>
      </w:r>
    </w:p>
    <w:p w:rsidR="00913429" w:rsidRDefault="00E143F0">
      <w:pPr>
        <w:jc w:val="both"/>
        <w:rPr>
          <w:b/>
          <w:noProof/>
        </w:rPr>
      </w:pPr>
      <w:r>
        <w:rPr>
          <w:noProof/>
          <w:lang w:val="en-US"/>
        </w:rPr>
        <w:t xml:space="preserve">Another example, related to </w:t>
      </w:r>
      <w:r>
        <w:rPr>
          <w:noProof/>
        </w:rPr>
        <w:t>cybersecurity and the actual European ICT lan</w:t>
      </w:r>
      <w:r>
        <w:rPr>
          <w:noProof/>
        </w:rPr>
        <w:t>dscape,</w:t>
      </w:r>
      <w:r>
        <w:rPr>
          <w:noProof/>
          <w:lang w:val="en-US"/>
        </w:rPr>
        <w:t xml:space="preserve"> comes from </w:t>
      </w:r>
      <w:r>
        <w:rPr>
          <w:noProof/>
        </w:rPr>
        <w:t xml:space="preserve">Cloud Computing Services. Interviewees from Finance, Energy and Telecommunication Sectors stated that there is a barrier from using Cloud Services considering that, </w:t>
      </w:r>
      <w:r>
        <w:rPr>
          <w:noProof/>
          <w:lang w:val="en-US"/>
        </w:rPr>
        <w:t>without clear and mutually recognized security requirements, companies h</w:t>
      </w:r>
      <w:r>
        <w:rPr>
          <w:noProof/>
          <w:lang w:val="en-US"/>
        </w:rPr>
        <w:t xml:space="preserve">ave not perception of </w:t>
      </w:r>
      <w:r>
        <w:rPr>
          <w:noProof/>
        </w:rPr>
        <w:t>data stored in a secure way, especially according to the various jurisdictions. Most of the banks are struggling with this challenge. There are many problems because the European data might be stored in South America, or in another Co</w:t>
      </w:r>
      <w:r>
        <w:rPr>
          <w:noProof/>
        </w:rPr>
        <w:t>untry, under a different jurisdiction and with different perception of security. If Cloud Services would be certified under an EU wide Certification Scheme, it would be easier to be compliant and more confident about the respect of common security requirem</w:t>
      </w:r>
      <w:r>
        <w:rPr>
          <w:noProof/>
        </w:rPr>
        <w:t xml:space="preserve">ents. </w:t>
      </w:r>
    </w:p>
    <w:p w:rsidR="00913429" w:rsidRDefault="00E143F0">
      <w:pPr>
        <w:spacing w:after="0" w:line="240" w:lineRule="auto"/>
        <w:rPr>
          <w:noProof/>
        </w:rPr>
      </w:pPr>
      <w:r>
        <w:rPr>
          <w:noProof/>
        </w:rPr>
        <w:br w:type="page"/>
      </w:r>
    </w:p>
    <w:p w:rsidR="00913429" w:rsidRDefault="00E143F0">
      <w:pPr>
        <w:keepNext/>
        <w:widowControl w:val="0"/>
        <w:spacing w:before="120" w:after="300" w:line="240" w:lineRule="auto"/>
        <w:contextualSpacing/>
        <w:outlineLvl w:val="0"/>
        <w:rPr>
          <w:rFonts w:eastAsia="SimHei"/>
          <w:b/>
          <w:bCs/>
          <w:i/>
          <w:noProof/>
          <w:sz w:val="36"/>
          <w:szCs w:val="28"/>
        </w:rPr>
      </w:pPr>
      <w:bookmarkStart w:id="6" w:name="_Toc492396545"/>
      <w:bookmarkEnd w:id="5"/>
      <w:r>
        <w:rPr>
          <w:rFonts w:eastAsia="SimHei"/>
          <w:b/>
          <w:bCs/>
          <w:i/>
          <w:noProof/>
          <w:sz w:val="36"/>
          <w:szCs w:val="28"/>
        </w:rPr>
        <w:t>6.Work Plan</w:t>
      </w:r>
      <w:bookmarkEnd w:id="6"/>
    </w:p>
    <w:p w:rsidR="00913429" w:rsidRDefault="00913429">
      <w:pPr>
        <w:rPr>
          <w:noProof/>
        </w:rPr>
      </w:pPr>
    </w:p>
    <w:p w:rsidR="00913429" w:rsidRDefault="00E143F0">
      <w:pPr>
        <w:rPr>
          <w:noProof/>
        </w:rPr>
      </w:pPr>
      <w:r>
        <w:rPr>
          <w:noProof/>
        </w:rPr>
        <w:t>This chapter of the Interim Report is based on the submitted Inception Report, and briefly summarizes how activities were undertaken in the first reporting periods and the extent to which they coincided with Tasks as planned. Furtherm</w:t>
      </w:r>
      <w:r>
        <w:rPr>
          <w:noProof/>
        </w:rPr>
        <w:t>ore, also key issues and how they were tackled are included.</w:t>
      </w:r>
    </w:p>
    <w:p w:rsidR="00913429" w:rsidRDefault="00E143F0">
      <w:pPr>
        <w:rPr>
          <w:noProof/>
        </w:rPr>
      </w:pPr>
      <w:r>
        <w:rPr>
          <w:noProof/>
        </w:rPr>
        <w:t>The timetable represented here below (Overall Gantt chart) illustrates the general scheduled work plan for carrying out the whole project, as agreed within the Inception Report, with the red line</w:t>
      </w:r>
      <w:r>
        <w:rPr>
          <w:noProof/>
        </w:rPr>
        <w:t xml:space="preserve"> indicating where we currently stand:</w:t>
      </w:r>
    </w:p>
    <w:p w:rsidR="00913429" w:rsidRDefault="00913429">
      <w:pPr>
        <w:spacing w:after="0" w:line="240" w:lineRule="auto"/>
        <w:rPr>
          <w:noProof/>
        </w:rPr>
        <w:sectPr w:rsidR="00913429">
          <w:headerReference w:type="even" r:id="rId25"/>
          <w:headerReference w:type="default" r:id="rId26"/>
          <w:footerReference w:type="even" r:id="rId27"/>
          <w:footerReference w:type="default" r:id="rId28"/>
          <w:headerReference w:type="first" r:id="rId29"/>
          <w:footerReference w:type="first" r:id="rId30"/>
          <w:type w:val="continuous"/>
          <w:pgSz w:w="11909" w:h="16834" w:code="9"/>
          <w:pgMar w:top="1440" w:right="1440" w:bottom="1560" w:left="852" w:header="576" w:footer="562" w:gutter="0"/>
          <w:cols w:space="720"/>
          <w:docGrid w:linePitch="360"/>
        </w:sectPr>
      </w:pPr>
    </w:p>
    <w:p w:rsidR="00913429" w:rsidRDefault="00913429">
      <w:pPr>
        <w:spacing w:before="60" w:after="60"/>
        <w:jc w:val="both"/>
        <w:rPr>
          <w:noProof/>
        </w:rPr>
      </w:pPr>
    </w:p>
    <w:p w:rsidR="00913429" w:rsidRDefault="00E143F0">
      <w:pPr>
        <w:spacing w:after="0" w:line="240" w:lineRule="auto"/>
        <w:rPr>
          <w:b/>
          <w:i/>
          <w:noProof/>
          <w:color w:val="DC6900"/>
        </w:rPr>
      </w:pPr>
      <w:r>
        <w:rPr>
          <w:b/>
          <w:i/>
          <w:noProof/>
          <w:color w:val="DC6900"/>
          <w:sz w:val="40"/>
          <w:lang w:eastAsia="en-GB"/>
        </w:rPr>
        <mc:AlternateContent>
          <mc:Choice Requires="wps">
            <w:drawing>
              <wp:anchor distT="0" distB="0" distL="114300" distR="114300" simplePos="0" relativeHeight="251657728" behindDoc="0" locked="0" layoutInCell="1" allowOverlap="1" wp14:anchorId="55804D9A" wp14:editId="362DF03A">
                <wp:simplePos x="0" y="0"/>
                <wp:positionH relativeFrom="column">
                  <wp:posOffset>5981700</wp:posOffset>
                </wp:positionH>
                <wp:positionV relativeFrom="paragraph">
                  <wp:posOffset>190500</wp:posOffset>
                </wp:positionV>
                <wp:extent cx="0" cy="5638800"/>
                <wp:effectExtent l="0" t="0" r="19050" b="19050"/>
                <wp:wrapNone/>
                <wp:docPr id="25" name="Straight Connector 25"/>
                <wp:cNvGraphicFramePr/>
                <a:graphic xmlns:a="http://schemas.openxmlformats.org/drawingml/2006/main">
                  <a:graphicData uri="http://schemas.microsoft.com/office/word/2010/wordprocessingShape">
                    <wps:wsp>
                      <wps:cNvCnPr/>
                      <wps:spPr>
                        <a:xfrm>
                          <a:off x="0" y="0"/>
                          <a:ext cx="0" cy="5638800"/>
                        </a:xfrm>
                        <a:prstGeom prst="line">
                          <a:avLst/>
                        </a:prstGeom>
                        <a:noFill/>
                        <a:ln w="1587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1pt,15pt" to="471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" strokecolor="red" strokeweight="1.25pt"/>
            </w:pict>
          </mc:Fallback>
        </mc:AlternateContent>
      </w:r>
      <w:r>
        <w:rPr>
          <w:b/>
          <w:i/>
          <w:noProof/>
          <w:color w:val="DC6900"/>
          <w:sz w:val="40"/>
        </w:rPr>
        <w:t>Overall Gantt Chart</w:t>
      </w:r>
    </w:p>
    <w:p w:rsidR="00913429" w:rsidRDefault="00913429">
      <w:pPr>
        <w:spacing w:after="0" w:line="240" w:lineRule="auto"/>
        <w:rPr>
          <w:noProof/>
        </w:rPr>
      </w:pPr>
    </w:p>
    <w:p w:rsidR="00913429" w:rsidRDefault="00E143F0">
      <w:pPr>
        <w:tabs>
          <w:tab w:val="center" w:pos="6917"/>
        </w:tabs>
        <w:rPr>
          <w:noProof/>
        </w:rPr>
        <w:sectPr w:rsidR="00913429">
          <w:headerReference w:type="even" r:id="rId31"/>
          <w:headerReference w:type="default" r:id="rId32"/>
          <w:footerReference w:type="even" r:id="rId33"/>
          <w:footerReference w:type="default" r:id="rId34"/>
          <w:headerReference w:type="first" r:id="rId35"/>
          <w:footerReference w:type="first" r:id="rId36"/>
          <w:pgSz w:w="16834" w:h="11909" w:orient="landscape" w:code="9"/>
          <w:pgMar w:top="1440" w:right="1559" w:bottom="851" w:left="1440" w:header="578" w:footer="561" w:gutter="0"/>
          <w:cols w:space="720"/>
          <w:docGrid w:linePitch="360"/>
        </w:sectPr>
      </w:pPr>
      <w:r>
        <w:rPr>
          <w:noProof/>
          <w:lang w:eastAsia="en-GB"/>
        </w:rPr>
        <w:drawing>
          <wp:inline distT="0" distB="0" distL="0" distR="0" wp14:anchorId="1B65AE66" wp14:editId="26E043EA">
            <wp:extent cx="9182100" cy="508635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204025" cy="5098495"/>
                    </a:xfrm>
                    <a:prstGeom prst="rect">
                      <a:avLst/>
                    </a:prstGeom>
                    <a:noFill/>
                  </pic:spPr>
                </pic:pic>
              </a:graphicData>
            </a:graphic>
          </wp:inline>
        </w:drawing>
      </w:r>
      <w:r>
        <w:rPr>
          <w:noProof/>
        </w:rPr>
        <w:tab/>
      </w:r>
    </w:p>
    <w:p w:rsidR="00913429" w:rsidRDefault="00E143F0">
      <w:pPr>
        <w:keepNext/>
        <w:keepLines/>
        <w:numPr>
          <w:ilvl w:val="1"/>
          <w:numId w:val="187"/>
        </w:numPr>
        <w:tabs>
          <w:tab w:val="left" w:pos="993"/>
        </w:tabs>
        <w:spacing w:after="120" w:line="259" w:lineRule="auto"/>
        <w:ind w:right="-23"/>
        <w:contextualSpacing/>
        <w:outlineLvl w:val="1"/>
        <w:rPr>
          <w:rFonts w:eastAsia="SimHei"/>
          <w:b/>
          <w:bCs/>
          <w:i/>
          <w:noProof/>
          <w:color w:val="DC6900"/>
          <w:sz w:val="32"/>
          <w:szCs w:val="26"/>
        </w:rPr>
      </w:pPr>
      <w:bookmarkStart w:id="7" w:name="_Toc489544125"/>
      <w:bookmarkStart w:id="8" w:name="_Toc489605337"/>
      <w:bookmarkStart w:id="9" w:name="_Toc489608085"/>
      <w:bookmarkStart w:id="10" w:name="_Toc492396439"/>
      <w:bookmarkStart w:id="11" w:name="_Toc492396546"/>
      <w:bookmarkStart w:id="12" w:name="_Toc489544126"/>
      <w:bookmarkStart w:id="13" w:name="_Toc489605338"/>
      <w:bookmarkStart w:id="14" w:name="_Toc489608086"/>
      <w:bookmarkStart w:id="15" w:name="_Toc492396440"/>
      <w:bookmarkStart w:id="16" w:name="_Toc492396547"/>
      <w:bookmarkStart w:id="17" w:name="_Toc489544127"/>
      <w:bookmarkStart w:id="18" w:name="_Toc489605339"/>
      <w:bookmarkStart w:id="19" w:name="_Toc489608087"/>
      <w:bookmarkStart w:id="20" w:name="_Toc492396441"/>
      <w:bookmarkStart w:id="21" w:name="_Toc492396548"/>
      <w:bookmarkStart w:id="22" w:name="_Toc489544128"/>
      <w:bookmarkStart w:id="23" w:name="_Toc489605340"/>
      <w:bookmarkStart w:id="24" w:name="_Toc489608088"/>
      <w:bookmarkStart w:id="25" w:name="_Toc492396442"/>
      <w:bookmarkStart w:id="26" w:name="_Toc492396549"/>
      <w:bookmarkStart w:id="27" w:name="_Toc489544129"/>
      <w:bookmarkStart w:id="28" w:name="_Toc489605341"/>
      <w:bookmarkStart w:id="29" w:name="_Toc489608089"/>
      <w:bookmarkStart w:id="30" w:name="_Toc492396443"/>
      <w:bookmarkStart w:id="31" w:name="_Toc492396550"/>
      <w:bookmarkStart w:id="32" w:name="_Toc489544130"/>
      <w:bookmarkStart w:id="33" w:name="_Toc489605342"/>
      <w:bookmarkStart w:id="34" w:name="_Toc489608090"/>
      <w:bookmarkStart w:id="35" w:name="_Toc492396444"/>
      <w:bookmarkStart w:id="36" w:name="_Toc492396551"/>
      <w:bookmarkStart w:id="37" w:name="_Toc492396552"/>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r>
        <w:rPr>
          <w:rFonts w:eastAsia="SimHei"/>
          <w:b/>
          <w:bCs/>
          <w:i/>
          <w:noProof/>
          <w:color w:val="DC6900"/>
          <w:sz w:val="32"/>
          <w:szCs w:val="26"/>
        </w:rPr>
        <w:t>Update on Project Tasks</w:t>
      </w:r>
      <w:bookmarkEnd w:id="37"/>
    </w:p>
    <w:p w:rsidR="00913429" w:rsidRDefault="00913429">
      <w:pPr>
        <w:adjustRightInd w:val="0"/>
        <w:spacing w:after="0" w:line="240" w:lineRule="auto"/>
        <w:textAlignment w:val="baseline"/>
        <w:rPr>
          <w:rFonts w:eastAsia="SimHei"/>
          <w:bCs/>
          <w:noProof/>
          <w:color w:val="000000"/>
          <w:sz w:val="21"/>
          <w:szCs w:val="24"/>
        </w:rPr>
      </w:pPr>
    </w:p>
    <w:p w:rsidR="00913429" w:rsidRDefault="00E143F0">
      <w:pPr>
        <w:spacing w:line="276" w:lineRule="auto"/>
        <w:jc w:val="both"/>
        <w:rPr>
          <w:noProof/>
        </w:rPr>
      </w:pPr>
      <w:bookmarkStart w:id="38" w:name="_Toc362950926"/>
      <w:bookmarkStart w:id="39" w:name="_Toc482375232"/>
      <w:bookmarkStart w:id="40" w:name="_Toc485163958"/>
      <w:r>
        <w:rPr>
          <w:noProof/>
        </w:rPr>
        <w:t xml:space="preserve">We have been following clear and logical procedures at all stages of the engagement until now. </w:t>
      </w:r>
      <w:r>
        <w:rPr>
          <w:noProof/>
        </w:rPr>
        <w:t>Below we outline, in reference to each of the foreseen Tasks, main activities carried out, including those methodological elements that characterized these Tasks. Furthermore, at the beginning of each paragraph describing the Task, we have detailed each on</w:t>
      </w:r>
      <w:r>
        <w:rPr>
          <w:noProof/>
        </w:rPr>
        <w:t>e of them in a number of more operative Sub-Tasks, indicating for each of them their implementation status.</w:t>
      </w:r>
    </w:p>
    <w:p w:rsidR="00913429" w:rsidRDefault="00E143F0">
      <w:pPr>
        <w:keepNext/>
        <w:keepLines/>
        <w:numPr>
          <w:ilvl w:val="2"/>
          <w:numId w:val="187"/>
        </w:numPr>
        <w:tabs>
          <w:tab w:val="left" w:pos="993"/>
        </w:tabs>
        <w:spacing w:after="120" w:line="259" w:lineRule="auto"/>
        <w:ind w:right="-23"/>
        <w:contextualSpacing/>
        <w:outlineLvl w:val="1"/>
        <w:rPr>
          <w:rFonts w:eastAsia="SimHei"/>
          <w:b/>
          <w:iCs/>
          <w:noProof/>
          <w:color w:val="DC6900"/>
          <w:sz w:val="28"/>
          <w:szCs w:val="28"/>
        </w:rPr>
      </w:pPr>
      <w:bookmarkStart w:id="41" w:name="_Toc492396553"/>
      <w:r>
        <w:rPr>
          <w:rFonts w:eastAsia="SimHei"/>
          <w:bCs/>
          <w:i/>
          <w:iCs/>
          <w:noProof/>
          <w:color w:val="DC6900"/>
          <w:sz w:val="24"/>
          <w:szCs w:val="28"/>
        </w:rPr>
        <w:t xml:space="preserve">Task 1: </w:t>
      </w:r>
      <w:bookmarkEnd w:id="38"/>
      <w:r>
        <w:rPr>
          <w:rFonts w:eastAsia="SimHei"/>
          <w:bCs/>
          <w:i/>
          <w:iCs/>
          <w:noProof/>
          <w:color w:val="DC6900"/>
          <w:sz w:val="24"/>
          <w:szCs w:val="28"/>
        </w:rPr>
        <w:t>Evidence Gathering and Analysis</w:t>
      </w:r>
      <w:bookmarkEnd w:id="39"/>
      <w:bookmarkEnd w:id="40"/>
      <w:bookmarkEnd w:id="41"/>
    </w:p>
    <w:p w:rsidR="00913429" w:rsidRDefault="00913429">
      <w:pPr>
        <w:spacing w:after="0" w:line="276" w:lineRule="auto"/>
        <w:jc w:val="both"/>
        <w:rPr>
          <w:noProof/>
        </w:rPr>
      </w:pPr>
    </w:p>
    <w:p w:rsidR="00913429" w:rsidRDefault="00E143F0">
      <w:pPr>
        <w:spacing w:line="276" w:lineRule="auto"/>
        <w:jc w:val="both"/>
        <w:rPr>
          <w:noProof/>
        </w:rPr>
      </w:pPr>
      <w:r>
        <w:rPr>
          <w:noProof/>
        </w:rPr>
        <w:t>Macro-Task 1 will be broken down into five sub-tasks (1.0, 1.1, 1.2, 1.3 and 1.4) each one containing the v</w:t>
      </w:r>
      <w:r>
        <w:rPr>
          <w:noProof/>
        </w:rPr>
        <w:t xml:space="preserve">arious activities indicated with letters in the ToR. Task 1 will involve the following sub-tasks: </w:t>
      </w:r>
    </w:p>
    <w:tbl>
      <w:tblPr>
        <w:tblStyle w:val="LightList-Accent121"/>
        <w:tblW w:w="5000" w:type="pct"/>
        <w:tblBorders>
          <w:insideH w:val="single" w:sz="8" w:space="0" w:color="F8981D"/>
        </w:tblBorders>
        <w:tblLook w:val="04A0" w:firstRow="1" w:lastRow="0" w:firstColumn="1" w:lastColumn="0" w:noHBand="0" w:noVBand="1"/>
      </w:tblPr>
      <w:tblGrid>
        <w:gridCol w:w="7338"/>
        <w:gridCol w:w="2496"/>
      </w:tblGrid>
      <w:tr w:rsidR="00913429" w:rsidTr="00913429">
        <w:trPr>
          <w:cnfStyle w:val="100000000000" w:firstRow="1" w:lastRow="0" w:firstColumn="0" w:lastColumn="0" w:oddVBand="0" w:evenVBand="0" w:oddHBand="0" w:evenHBand="0" w:firstRowFirstColumn="0" w:firstRowLastColumn="0" w:lastRowFirstColumn="0" w:lastRowLastColumn="0"/>
          <w:trHeight w:val="42"/>
        </w:trPr>
        <w:tc>
          <w:tcPr>
            <w:cnfStyle w:val="001000000000" w:firstRow="0" w:lastRow="0" w:firstColumn="1" w:lastColumn="0" w:oddVBand="0" w:evenVBand="0" w:oddHBand="0" w:evenHBand="0" w:firstRowFirstColumn="0" w:firstRowLastColumn="0" w:lastRowFirstColumn="0" w:lastRowLastColumn="0"/>
            <w:tcW w:w="3731" w:type="pct"/>
            <w:shd w:val="clear" w:color="auto" w:fill="DC6900"/>
          </w:tcPr>
          <w:p w:rsidR="00913429" w:rsidRDefault="00E143F0">
            <w:pPr>
              <w:suppressAutoHyphens/>
              <w:spacing w:after="0" w:line="240" w:lineRule="auto"/>
              <w:rPr>
                <w:noProof/>
                <w:szCs w:val="18"/>
              </w:rPr>
            </w:pPr>
            <w:r>
              <w:rPr>
                <w:noProof/>
                <w:szCs w:val="18"/>
              </w:rPr>
              <w:t>Task 1: Evidence Gathering and Analysis</w:t>
            </w:r>
          </w:p>
        </w:tc>
        <w:tc>
          <w:tcPr>
            <w:tcW w:w="1269" w:type="pct"/>
            <w:tcBorders>
              <w:bottom w:val="single" w:sz="8" w:space="0" w:color="DC6900"/>
            </w:tcBorders>
            <w:shd w:val="clear" w:color="auto" w:fill="DC6900"/>
          </w:tcPr>
          <w:p w:rsidR="00913429" w:rsidRDefault="00E143F0">
            <w:pPr>
              <w:suppressAutoHyphens/>
              <w:spacing w:after="0" w:line="240" w:lineRule="auto"/>
              <w:cnfStyle w:val="100000000000" w:firstRow="1" w:lastRow="0" w:firstColumn="0" w:lastColumn="0" w:oddVBand="0" w:evenVBand="0" w:oddHBand="0" w:evenHBand="0" w:firstRowFirstColumn="0" w:firstRowLastColumn="0" w:lastRowFirstColumn="0" w:lastRowLastColumn="0"/>
              <w:rPr>
                <w:noProof/>
                <w:szCs w:val="18"/>
              </w:rPr>
            </w:pPr>
            <w:r>
              <w:rPr>
                <w:noProof/>
                <w:szCs w:val="18"/>
              </w:rPr>
              <w:t>Implementation status</w:t>
            </w:r>
          </w:p>
        </w:tc>
      </w:tr>
      <w:tr w:rsidR="00913429" w:rsidTr="00913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pct"/>
            <w:tcBorders>
              <w:top w:val="none" w:sz="0" w:space="0" w:color="auto"/>
              <w:left w:val="none" w:sz="0" w:space="0" w:color="auto"/>
              <w:bottom w:val="none" w:sz="0" w:space="0" w:color="auto"/>
              <w:right w:val="single" w:sz="8" w:space="0" w:color="DC6900"/>
            </w:tcBorders>
          </w:tcPr>
          <w:p w:rsidR="00913429" w:rsidRDefault="00E143F0">
            <w:pPr>
              <w:spacing w:before="60" w:after="60" w:line="276" w:lineRule="auto"/>
              <w:jc w:val="both"/>
              <w:rPr>
                <w:noProof/>
                <w:szCs w:val="18"/>
              </w:rPr>
            </w:pPr>
            <w:r>
              <w:rPr>
                <w:noProof/>
                <w:szCs w:val="18"/>
              </w:rPr>
              <w:t>Sub-Task 1.0: Project set up</w:t>
            </w:r>
          </w:p>
        </w:tc>
        <w:tc>
          <w:tcPr>
            <w:tcW w:w="1269" w:type="pct"/>
            <w:tcBorders>
              <w:top w:val="single" w:sz="8" w:space="0" w:color="DC6900"/>
              <w:left w:val="single" w:sz="8" w:space="0" w:color="DC6900"/>
              <w:bottom w:val="single" w:sz="8" w:space="0" w:color="DC6900"/>
              <w:right w:val="single" w:sz="8" w:space="0" w:color="DC6900"/>
            </w:tcBorders>
            <w:shd w:val="clear" w:color="auto" w:fill="92D050"/>
            <w:vAlign w:val="center"/>
          </w:tcPr>
          <w:p w:rsidR="00913429" w:rsidRDefault="00E143F0">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noProof/>
                <w:szCs w:val="18"/>
              </w:rPr>
            </w:pPr>
            <w:r>
              <w:rPr>
                <w:noProof/>
                <w:szCs w:val="18"/>
              </w:rPr>
              <w:t>Completed</w:t>
            </w:r>
          </w:p>
        </w:tc>
      </w:tr>
      <w:tr w:rsidR="00913429" w:rsidTr="00913429">
        <w:tc>
          <w:tcPr>
            <w:cnfStyle w:val="001000000000" w:firstRow="0" w:lastRow="0" w:firstColumn="1" w:lastColumn="0" w:oddVBand="0" w:evenVBand="0" w:oddHBand="0" w:evenHBand="0" w:firstRowFirstColumn="0" w:firstRowLastColumn="0" w:lastRowFirstColumn="0" w:lastRowLastColumn="0"/>
            <w:tcW w:w="3731" w:type="pct"/>
            <w:tcBorders>
              <w:right w:val="single" w:sz="8" w:space="0" w:color="DC6900"/>
            </w:tcBorders>
          </w:tcPr>
          <w:p w:rsidR="00913429" w:rsidRDefault="00E143F0">
            <w:pPr>
              <w:spacing w:before="60" w:after="60" w:line="276" w:lineRule="auto"/>
              <w:jc w:val="both"/>
              <w:rPr>
                <w:noProof/>
                <w:szCs w:val="18"/>
              </w:rPr>
            </w:pPr>
            <w:r>
              <w:rPr>
                <w:noProof/>
                <w:szCs w:val="18"/>
              </w:rPr>
              <w:t>Sub-Task 1.1: Desk research and Field work</w:t>
            </w:r>
          </w:p>
        </w:tc>
        <w:tc>
          <w:tcPr>
            <w:tcW w:w="1269" w:type="pct"/>
            <w:tcBorders>
              <w:top w:val="single" w:sz="8" w:space="0" w:color="DC6900"/>
              <w:left w:val="single" w:sz="8" w:space="0" w:color="DC6900"/>
              <w:bottom w:val="single" w:sz="8" w:space="0" w:color="DC6900"/>
              <w:right w:val="single" w:sz="8" w:space="0" w:color="DC6900"/>
            </w:tcBorders>
            <w:shd w:val="clear" w:color="auto" w:fill="92D050"/>
            <w:vAlign w:val="center"/>
          </w:tcPr>
          <w:p w:rsidR="00913429" w:rsidRDefault="00E143F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noProof/>
                <w:szCs w:val="18"/>
              </w:rPr>
            </w:pPr>
            <w:r>
              <w:rPr>
                <w:noProof/>
                <w:szCs w:val="18"/>
              </w:rPr>
              <w:t>Completed</w:t>
            </w:r>
          </w:p>
        </w:tc>
      </w:tr>
      <w:tr w:rsidR="00913429" w:rsidTr="00913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pct"/>
            <w:tcBorders>
              <w:top w:val="none" w:sz="0" w:space="0" w:color="auto"/>
              <w:left w:val="none" w:sz="0" w:space="0" w:color="auto"/>
              <w:bottom w:val="none" w:sz="0" w:space="0" w:color="auto"/>
              <w:right w:val="single" w:sz="8" w:space="0" w:color="DC6900"/>
            </w:tcBorders>
          </w:tcPr>
          <w:p w:rsidR="00913429" w:rsidRDefault="00E143F0">
            <w:pPr>
              <w:spacing w:before="60" w:after="60" w:line="276" w:lineRule="auto"/>
              <w:jc w:val="both"/>
              <w:rPr>
                <w:noProof/>
                <w:szCs w:val="18"/>
              </w:rPr>
            </w:pPr>
            <w:r>
              <w:rPr>
                <w:noProof/>
                <w:szCs w:val="18"/>
              </w:rPr>
              <w:t>Sub-Task 1.2: Mapping and assessment of existing certification and labelling schemes</w:t>
            </w:r>
          </w:p>
        </w:tc>
        <w:tc>
          <w:tcPr>
            <w:tcW w:w="1269" w:type="pct"/>
            <w:tcBorders>
              <w:top w:val="single" w:sz="8" w:space="0" w:color="DC6900"/>
              <w:left w:val="single" w:sz="8" w:space="0" w:color="DC6900"/>
              <w:bottom w:val="single" w:sz="8" w:space="0" w:color="DC6900"/>
              <w:right w:val="single" w:sz="8" w:space="0" w:color="DC6900"/>
            </w:tcBorders>
            <w:shd w:val="clear" w:color="auto" w:fill="92D050"/>
            <w:vAlign w:val="center"/>
          </w:tcPr>
          <w:p w:rsidR="00913429" w:rsidRDefault="00E143F0">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noProof/>
                <w:szCs w:val="18"/>
              </w:rPr>
            </w:pPr>
            <w:r>
              <w:rPr>
                <w:noProof/>
                <w:szCs w:val="18"/>
              </w:rPr>
              <w:t>Completed</w:t>
            </w:r>
          </w:p>
        </w:tc>
      </w:tr>
      <w:tr w:rsidR="00913429" w:rsidTr="00913429">
        <w:tc>
          <w:tcPr>
            <w:cnfStyle w:val="001000000000" w:firstRow="0" w:lastRow="0" w:firstColumn="1" w:lastColumn="0" w:oddVBand="0" w:evenVBand="0" w:oddHBand="0" w:evenHBand="0" w:firstRowFirstColumn="0" w:firstRowLastColumn="0" w:lastRowFirstColumn="0" w:lastRowLastColumn="0"/>
            <w:tcW w:w="3731" w:type="pct"/>
            <w:tcBorders>
              <w:right w:val="single" w:sz="8" w:space="0" w:color="DC6900"/>
            </w:tcBorders>
          </w:tcPr>
          <w:p w:rsidR="00913429" w:rsidRDefault="00E143F0">
            <w:pPr>
              <w:spacing w:before="60" w:after="60" w:line="276" w:lineRule="auto"/>
              <w:jc w:val="both"/>
              <w:rPr>
                <w:noProof/>
                <w:szCs w:val="18"/>
              </w:rPr>
            </w:pPr>
            <w:r>
              <w:rPr>
                <w:noProof/>
                <w:szCs w:val="18"/>
              </w:rPr>
              <w:t>Sub-Task 1.3:</w:t>
            </w:r>
            <w:r>
              <w:rPr>
                <w:noProof/>
              </w:rPr>
              <w:t xml:space="preserve"> </w:t>
            </w:r>
            <w:r>
              <w:rPr>
                <w:noProof/>
                <w:szCs w:val="18"/>
              </w:rPr>
              <w:t>Problem definition and assessment</w:t>
            </w:r>
          </w:p>
        </w:tc>
        <w:tc>
          <w:tcPr>
            <w:tcW w:w="1269" w:type="pct"/>
            <w:tcBorders>
              <w:top w:val="single" w:sz="8" w:space="0" w:color="DC6900"/>
              <w:left w:val="single" w:sz="8" w:space="0" w:color="DC6900"/>
              <w:bottom w:val="single" w:sz="8" w:space="0" w:color="DC6900"/>
              <w:right w:val="single" w:sz="8" w:space="0" w:color="DC6900"/>
            </w:tcBorders>
            <w:shd w:val="clear" w:color="auto" w:fill="92D050"/>
            <w:vAlign w:val="center"/>
          </w:tcPr>
          <w:p w:rsidR="00913429" w:rsidRDefault="00E143F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noProof/>
                <w:szCs w:val="18"/>
              </w:rPr>
            </w:pPr>
            <w:r>
              <w:rPr>
                <w:noProof/>
                <w:szCs w:val="18"/>
              </w:rPr>
              <w:t>Completed</w:t>
            </w:r>
          </w:p>
        </w:tc>
      </w:tr>
      <w:tr w:rsidR="00913429" w:rsidTr="00913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pct"/>
            <w:tcBorders>
              <w:right w:val="single" w:sz="8" w:space="0" w:color="DC6900"/>
            </w:tcBorders>
          </w:tcPr>
          <w:p w:rsidR="00913429" w:rsidRDefault="00E143F0">
            <w:pPr>
              <w:spacing w:before="60" w:after="60" w:line="276" w:lineRule="auto"/>
              <w:jc w:val="both"/>
              <w:rPr>
                <w:noProof/>
                <w:szCs w:val="18"/>
              </w:rPr>
            </w:pPr>
            <w:r>
              <w:rPr>
                <w:noProof/>
                <w:szCs w:val="18"/>
              </w:rPr>
              <w:t>Sub-Task 1.4:</w:t>
            </w:r>
            <w:r>
              <w:rPr>
                <w:noProof/>
              </w:rPr>
              <w:t xml:space="preserve"> </w:t>
            </w:r>
            <w:r>
              <w:rPr>
                <w:noProof/>
                <w:szCs w:val="18"/>
              </w:rPr>
              <w:t>Analysis of the baseline scenario and its evolution</w:t>
            </w:r>
          </w:p>
        </w:tc>
        <w:tc>
          <w:tcPr>
            <w:tcW w:w="1269" w:type="pct"/>
            <w:tcBorders>
              <w:top w:val="single" w:sz="8" w:space="0" w:color="DC6900"/>
              <w:left w:val="single" w:sz="8" w:space="0" w:color="DC6900"/>
              <w:bottom w:val="single" w:sz="8" w:space="0" w:color="DC6900"/>
              <w:right w:val="single" w:sz="8" w:space="0" w:color="DC6900"/>
            </w:tcBorders>
            <w:shd w:val="clear" w:color="auto" w:fill="92D050"/>
            <w:vAlign w:val="center"/>
          </w:tcPr>
          <w:p w:rsidR="00913429" w:rsidRDefault="00E143F0">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noProof/>
                <w:szCs w:val="18"/>
              </w:rPr>
            </w:pPr>
            <w:r>
              <w:rPr>
                <w:noProof/>
                <w:szCs w:val="18"/>
              </w:rPr>
              <w:t>Completed</w:t>
            </w:r>
          </w:p>
        </w:tc>
      </w:tr>
    </w:tbl>
    <w:p w:rsidR="00913429" w:rsidRDefault="00913429">
      <w:pPr>
        <w:spacing w:after="0" w:line="276" w:lineRule="auto"/>
        <w:jc w:val="both"/>
        <w:rPr>
          <w:noProof/>
        </w:rPr>
      </w:pPr>
    </w:p>
    <w:p w:rsidR="00913429" w:rsidRDefault="00E143F0">
      <w:pPr>
        <w:spacing w:line="276" w:lineRule="auto"/>
        <w:jc w:val="both"/>
        <w:rPr>
          <w:noProof/>
        </w:rPr>
      </w:pPr>
      <w:r>
        <w:rPr>
          <w:noProof/>
        </w:rPr>
        <w:t xml:space="preserve">Here below the </w:t>
      </w:r>
      <w:r>
        <w:rPr>
          <w:noProof/>
        </w:rPr>
        <w:t>implementation timetable referring specifically to project Task 1, dedicated to Evidence Gathering and Analysis.</w:t>
      </w:r>
    </w:p>
    <w:p w:rsidR="00913429" w:rsidRDefault="00E143F0">
      <w:pPr>
        <w:spacing w:line="276" w:lineRule="auto"/>
        <w:jc w:val="both"/>
        <w:rPr>
          <w:noProof/>
        </w:rPr>
      </w:pPr>
      <w:r>
        <w:rPr>
          <w:bCs/>
          <w:iCs/>
          <w:noProof/>
        </w:rPr>
        <w:t>The output consisted of addictions and integrations to what has been described in literature provided by the commission (e.g. JRC report, ENISA</w:t>
      </w:r>
      <w:r>
        <w:rPr>
          <w:bCs/>
          <w:iCs/>
          <w:noProof/>
        </w:rPr>
        <w:t xml:space="preserve"> questionnaire), a desk research activity, an ongoing activity which consists in interviews of the main stakeholders mapped (mainly Certification Authorities, smart meters and semiconductors representatives). Furthermore it has been conducted a depth analy</w:t>
      </w:r>
      <w:r>
        <w:rPr>
          <w:bCs/>
          <w:iCs/>
          <w:noProof/>
        </w:rPr>
        <w:t>sis of the problem definition and the baseline scenario and its evolution, using the output coming from the above mentioned evidences gathered.</w:t>
      </w:r>
    </w:p>
    <w:p w:rsidR="00913429" w:rsidRDefault="00E143F0">
      <w:pPr>
        <w:keepNext/>
        <w:tabs>
          <w:tab w:val="left" w:pos="8908"/>
        </w:tabs>
        <w:spacing w:after="120" w:line="240" w:lineRule="auto"/>
        <w:ind w:right="-23"/>
        <w:jc w:val="both"/>
        <w:rPr>
          <w:rFonts w:eastAsia="Times New Roman"/>
          <w:b/>
          <w:i/>
          <w:noProof/>
          <w:color w:val="D06F1A"/>
        </w:rPr>
      </w:pPr>
      <w:r>
        <w:rPr>
          <w:rFonts w:eastAsia="Times New Roman"/>
          <w:b/>
          <w:i/>
          <w:noProof/>
          <w:color w:val="D06F1A"/>
        </w:rPr>
        <w:t>Task 1 Timetable – 5 Weeks</w:t>
      </w:r>
    </w:p>
    <w:tbl>
      <w:tblPr>
        <w:tblW w:w="5366" w:type="pct"/>
        <w:tblCellMar>
          <w:left w:w="0" w:type="dxa"/>
          <w:right w:w="0" w:type="dxa"/>
        </w:tblCellMar>
        <w:tblLook w:val="0420" w:firstRow="1" w:lastRow="0" w:firstColumn="0" w:lastColumn="0" w:noHBand="0" w:noVBand="1"/>
      </w:tblPr>
      <w:tblGrid>
        <w:gridCol w:w="516"/>
        <w:gridCol w:w="3490"/>
        <w:gridCol w:w="698"/>
        <w:gridCol w:w="698"/>
        <w:gridCol w:w="704"/>
        <w:gridCol w:w="762"/>
        <w:gridCol w:w="714"/>
        <w:gridCol w:w="756"/>
        <w:gridCol w:w="708"/>
        <w:gridCol w:w="702"/>
        <w:gridCol w:w="696"/>
      </w:tblGrid>
      <w:tr w:rsidR="00913429">
        <w:trPr>
          <w:gridAfter w:val="1"/>
          <w:wAfter w:w="334" w:type="pct"/>
          <w:trHeight w:val="20"/>
        </w:trPr>
        <w:tc>
          <w:tcPr>
            <w:tcW w:w="247" w:type="pct"/>
            <w:vMerge w:val="restart"/>
            <w:tcBorders>
              <w:top w:val="single" w:sz="8" w:space="0" w:color="FFFFFF"/>
              <w:left w:val="single" w:sz="8" w:space="0" w:color="DC6900"/>
              <w:right w:val="single" w:sz="8" w:space="0" w:color="DC6900"/>
            </w:tcBorders>
            <w:shd w:val="clear" w:color="auto" w:fill="A32020"/>
            <w:tcMar>
              <w:top w:w="72" w:type="dxa"/>
              <w:left w:w="57" w:type="dxa"/>
              <w:bottom w:w="72" w:type="dxa"/>
              <w:right w:w="57" w:type="dxa"/>
            </w:tcMar>
            <w:vAlign w:val="center"/>
          </w:tcPr>
          <w:p w:rsidR="00913429" w:rsidRDefault="00E143F0">
            <w:pPr>
              <w:spacing w:after="0" w:line="240" w:lineRule="auto"/>
              <w:jc w:val="center"/>
              <w:rPr>
                <w:rFonts w:eastAsia="Times New Roman"/>
                <w:bCs/>
                <w:noProof/>
                <w:color w:val="FFFFFF"/>
                <w:sz w:val="18"/>
                <w:szCs w:val="18"/>
              </w:rPr>
            </w:pPr>
            <w:r>
              <w:rPr>
                <w:rFonts w:eastAsia="Times New Roman"/>
                <w:bCs/>
                <w:noProof/>
                <w:color w:val="FFFFFF"/>
                <w:sz w:val="18"/>
                <w:szCs w:val="18"/>
              </w:rPr>
              <w:t>Sub-Task</w:t>
            </w:r>
          </w:p>
        </w:tc>
        <w:tc>
          <w:tcPr>
            <w:tcW w:w="1671" w:type="pct"/>
            <w:vMerge w:val="restart"/>
            <w:tcBorders>
              <w:top w:val="single" w:sz="8" w:space="0" w:color="FFFFFF"/>
              <w:left w:val="single" w:sz="8" w:space="0" w:color="DC6900"/>
              <w:right w:val="single" w:sz="8" w:space="0" w:color="FFFFFF"/>
            </w:tcBorders>
            <w:shd w:val="clear" w:color="auto" w:fill="A32020"/>
            <w:tcMar>
              <w:top w:w="72" w:type="dxa"/>
              <w:left w:w="144" w:type="dxa"/>
              <w:bottom w:w="72" w:type="dxa"/>
              <w:right w:w="144" w:type="dxa"/>
            </w:tcMar>
            <w:vAlign w:val="center"/>
          </w:tcPr>
          <w:p w:rsidR="00913429" w:rsidRDefault="00E143F0">
            <w:pPr>
              <w:spacing w:after="0" w:line="240" w:lineRule="auto"/>
              <w:jc w:val="center"/>
              <w:rPr>
                <w:rFonts w:eastAsia="Times New Roman"/>
                <w:bCs/>
                <w:noProof/>
                <w:color w:val="FFFFFF"/>
                <w:sz w:val="18"/>
                <w:szCs w:val="18"/>
              </w:rPr>
            </w:pPr>
            <w:r>
              <w:rPr>
                <w:rFonts w:eastAsia="Times New Roman"/>
                <w:bCs/>
                <w:noProof/>
                <w:color w:val="FFFFFF"/>
                <w:sz w:val="18"/>
                <w:szCs w:val="18"/>
              </w:rPr>
              <w:t>Description</w:t>
            </w:r>
          </w:p>
        </w:tc>
        <w:tc>
          <w:tcPr>
            <w:tcW w:w="1005" w:type="pct"/>
            <w:gridSpan w:val="3"/>
            <w:tcBorders>
              <w:top w:val="single" w:sz="8" w:space="0" w:color="FFFFFF"/>
              <w:left w:val="single" w:sz="8" w:space="0" w:color="FFFFFF"/>
              <w:bottom w:val="single" w:sz="8" w:space="0" w:color="FFFFFF"/>
              <w:right w:val="single" w:sz="8" w:space="0" w:color="FFFFFF"/>
            </w:tcBorders>
            <w:shd w:val="clear" w:color="auto" w:fill="DC6900"/>
            <w:tcMar>
              <w:top w:w="72" w:type="dxa"/>
              <w:left w:w="57" w:type="dxa"/>
              <w:bottom w:w="72" w:type="dxa"/>
              <w:right w:w="57" w:type="dxa"/>
            </w:tcMar>
            <w:vAlign w:val="center"/>
          </w:tcPr>
          <w:p w:rsidR="00913429" w:rsidRDefault="00E143F0">
            <w:pPr>
              <w:spacing w:after="0" w:line="240" w:lineRule="auto"/>
              <w:jc w:val="center"/>
              <w:rPr>
                <w:rFonts w:eastAsia="Times New Roman"/>
                <w:bCs/>
                <w:noProof/>
                <w:color w:val="FFFFFF"/>
                <w:sz w:val="18"/>
                <w:szCs w:val="18"/>
              </w:rPr>
            </w:pPr>
            <w:r>
              <w:rPr>
                <w:rFonts w:eastAsia="Times New Roman"/>
                <w:bCs/>
                <w:noProof/>
                <w:color w:val="FFFFFF"/>
                <w:sz w:val="18"/>
                <w:szCs w:val="18"/>
              </w:rPr>
              <w:t>May</w:t>
            </w:r>
          </w:p>
        </w:tc>
        <w:tc>
          <w:tcPr>
            <w:tcW w:w="1407" w:type="pct"/>
            <w:gridSpan w:val="4"/>
            <w:tcBorders>
              <w:top w:val="single" w:sz="8" w:space="0" w:color="FFFFFF"/>
              <w:left w:val="single" w:sz="8" w:space="0" w:color="FFFFFF"/>
              <w:bottom w:val="single" w:sz="8" w:space="0" w:color="FFFFFF"/>
              <w:right w:val="single" w:sz="8" w:space="0" w:color="FFFFFF"/>
            </w:tcBorders>
            <w:shd w:val="clear" w:color="auto" w:fill="DC6900"/>
            <w:tcMar>
              <w:top w:w="72" w:type="dxa"/>
              <w:left w:w="57" w:type="dxa"/>
              <w:bottom w:w="72" w:type="dxa"/>
              <w:right w:w="57" w:type="dxa"/>
            </w:tcMar>
            <w:vAlign w:val="center"/>
          </w:tcPr>
          <w:p w:rsidR="00913429" w:rsidRDefault="00E143F0">
            <w:pPr>
              <w:spacing w:after="0" w:line="240" w:lineRule="auto"/>
              <w:jc w:val="center"/>
              <w:rPr>
                <w:rFonts w:eastAsia="Times New Roman"/>
                <w:bCs/>
                <w:noProof/>
                <w:color w:val="FFFFFF"/>
                <w:sz w:val="18"/>
                <w:szCs w:val="18"/>
              </w:rPr>
            </w:pPr>
            <w:r>
              <w:rPr>
                <w:rFonts w:eastAsia="Times New Roman"/>
                <w:bCs/>
                <w:noProof/>
                <w:color w:val="FFFFFF"/>
                <w:sz w:val="18"/>
                <w:szCs w:val="18"/>
              </w:rPr>
              <w:t>June</w:t>
            </w:r>
          </w:p>
        </w:tc>
        <w:tc>
          <w:tcPr>
            <w:tcW w:w="336" w:type="pct"/>
            <w:tcBorders>
              <w:top w:val="single" w:sz="8" w:space="0" w:color="FFFFFF"/>
              <w:left w:val="single" w:sz="8" w:space="0" w:color="FFFFFF"/>
              <w:bottom w:val="single" w:sz="8" w:space="0" w:color="FFFFFF"/>
              <w:right w:val="single" w:sz="8" w:space="0" w:color="FFFFFF"/>
            </w:tcBorders>
            <w:shd w:val="clear" w:color="auto" w:fill="DC6900"/>
            <w:tcMar>
              <w:top w:w="72" w:type="dxa"/>
              <w:left w:w="57" w:type="dxa"/>
              <w:bottom w:w="72" w:type="dxa"/>
              <w:right w:w="57" w:type="dxa"/>
            </w:tcMar>
            <w:vAlign w:val="center"/>
          </w:tcPr>
          <w:p w:rsidR="00913429" w:rsidRDefault="00E143F0">
            <w:pPr>
              <w:spacing w:after="0" w:line="240" w:lineRule="auto"/>
              <w:jc w:val="center"/>
              <w:rPr>
                <w:rFonts w:eastAsia="Times New Roman"/>
                <w:bCs/>
                <w:noProof/>
                <w:color w:val="FFFFFF"/>
                <w:sz w:val="18"/>
                <w:szCs w:val="18"/>
              </w:rPr>
            </w:pPr>
            <w:r>
              <w:rPr>
                <w:rFonts w:eastAsia="Times New Roman"/>
                <w:bCs/>
                <w:noProof/>
                <w:color w:val="FFFFFF"/>
                <w:sz w:val="18"/>
                <w:szCs w:val="18"/>
              </w:rPr>
              <w:t>July</w:t>
            </w:r>
          </w:p>
        </w:tc>
      </w:tr>
      <w:tr w:rsidR="00913429">
        <w:trPr>
          <w:gridAfter w:val="1"/>
          <w:wAfter w:w="334" w:type="pct"/>
          <w:trHeight w:val="20"/>
        </w:trPr>
        <w:tc>
          <w:tcPr>
            <w:tcW w:w="247" w:type="pct"/>
            <w:vMerge/>
            <w:tcBorders>
              <w:left w:val="single" w:sz="8" w:space="0" w:color="DC6900"/>
              <w:bottom w:val="single" w:sz="18" w:space="0" w:color="DC6900"/>
              <w:right w:val="single" w:sz="8" w:space="0" w:color="DC6900"/>
            </w:tcBorders>
            <w:shd w:val="clear" w:color="auto" w:fill="A32020"/>
            <w:tcMar>
              <w:top w:w="72" w:type="dxa"/>
              <w:left w:w="57" w:type="dxa"/>
              <w:bottom w:w="72" w:type="dxa"/>
              <w:right w:w="57" w:type="dxa"/>
            </w:tcMar>
            <w:vAlign w:val="center"/>
            <w:hideMark/>
          </w:tcPr>
          <w:p w:rsidR="00913429" w:rsidRDefault="00913429">
            <w:pPr>
              <w:spacing w:after="0" w:line="240" w:lineRule="auto"/>
              <w:jc w:val="center"/>
              <w:rPr>
                <w:rFonts w:eastAsia="Times New Roman"/>
                <w:bCs/>
                <w:noProof/>
                <w:color w:val="FFFFFF"/>
                <w:sz w:val="18"/>
                <w:szCs w:val="18"/>
              </w:rPr>
            </w:pPr>
          </w:p>
        </w:tc>
        <w:tc>
          <w:tcPr>
            <w:tcW w:w="1671" w:type="pct"/>
            <w:vMerge/>
            <w:tcBorders>
              <w:left w:val="single" w:sz="8" w:space="0" w:color="DC6900"/>
              <w:bottom w:val="single" w:sz="18" w:space="0" w:color="DC6900"/>
              <w:right w:val="single" w:sz="8" w:space="0" w:color="FFFFFF"/>
            </w:tcBorders>
            <w:shd w:val="clear" w:color="auto" w:fill="A32020"/>
            <w:tcMar>
              <w:top w:w="72" w:type="dxa"/>
              <w:left w:w="144" w:type="dxa"/>
              <w:bottom w:w="72" w:type="dxa"/>
              <w:right w:w="144" w:type="dxa"/>
            </w:tcMar>
            <w:vAlign w:val="center"/>
            <w:hideMark/>
          </w:tcPr>
          <w:p w:rsidR="00913429" w:rsidRDefault="00913429">
            <w:pPr>
              <w:spacing w:after="0" w:line="240" w:lineRule="auto"/>
              <w:jc w:val="center"/>
              <w:rPr>
                <w:rFonts w:eastAsia="Times New Roman"/>
                <w:bCs/>
                <w:noProof/>
                <w:color w:val="FFFFFF"/>
                <w:sz w:val="18"/>
                <w:szCs w:val="18"/>
              </w:rPr>
            </w:pPr>
          </w:p>
        </w:tc>
        <w:tc>
          <w:tcPr>
            <w:tcW w:w="334" w:type="pct"/>
            <w:tcBorders>
              <w:top w:val="single" w:sz="8" w:space="0" w:color="FFFFFF"/>
              <w:left w:val="single" w:sz="8" w:space="0" w:color="FFFFFF"/>
              <w:bottom w:val="single" w:sz="8" w:space="0" w:color="FFFFFF"/>
              <w:right w:val="single" w:sz="8" w:space="0" w:color="FFFFFF"/>
            </w:tcBorders>
            <w:shd w:val="clear" w:color="auto" w:fill="DC6900"/>
            <w:tcMar>
              <w:top w:w="72" w:type="dxa"/>
              <w:left w:w="57" w:type="dxa"/>
              <w:bottom w:w="72" w:type="dxa"/>
              <w:right w:w="57" w:type="dxa"/>
            </w:tcMar>
            <w:vAlign w:val="center"/>
            <w:hideMark/>
          </w:tcPr>
          <w:p w:rsidR="00913429" w:rsidRDefault="00E143F0">
            <w:pPr>
              <w:spacing w:after="0" w:line="240" w:lineRule="auto"/>
              <w:jc w:val="center"/>
              <w:rPr>
                <w:rFonts w:eastAsia="Times New Roman"/>
                <w:bCs/>
                <w:noProof/>
                <w:color w:val="FFFFFF"/>
                <w:sz w:val="18"/>
                <w:szCs w:val="18"/>
              </w:rPr>
            </w:pPr>
            <w:r>
              <w:rPr>
                <w:rFonts w:eastAsia="Times New Roman"/>
                <w:bCs/>
                <w:noProof/>
                <w:color w:val="FFFFFF"/>
                <w:sz w:val="18"/>
                <w:szCs w:val="18"/>
              </w:rPr>
              <w:t>W1</w:t>
            </w:r>
          </w:p>
        </w:tc>
        <w:tc>
          <w:tcPr>
            <w:tcW w:w="334" w:type="pct"/>
            <w:tcBorders>
              <w:top w:val="single" w:sz="8" w:space="0" w:color="FFFFFF"/>
              <w:left w:val="single" w:sz="8" w:space="0" w:color="FFFFFF"/>
              <w:bottom w:val="single" w:sz="8" w:space="0" w:color="FFFFFF"/>
              <w:right w:val="single" w:sz="8" w:space="0" w:color="FFFFFF"/>
            </w:tcBorders>
            <w:shd w:val="clear" w:color="auto" w:fill="DC6900"/>
            <w:tcMar>
              <w:top w:w="72" w:type="dxa"/>
              <w:left w:w="57" w:type="dxa"/>
              <w:bottom w:w="72" w:type="dxa"/>
              <w:right w:w="57" w:type="dxa"/>
            </w:tcMar>
            <w:vAlign w:val="center"/>
            <w:hideMark/>
          </w:tcPr>
          <w:p w:rsidR="00913429" w:rsidRDefault="00E143F0">
            <w:pPr>
              <w:spacing w:after="0" w:line="240" w:lineRule="auto"/>
              <w:jc w:val="center"/>
              <w:rPr>
                <w:rFonts w:eastAsia="Times New Roman"/>
                <w:bCs/>
                <w:noProof/>
                <w:color w:val="FFFFFF"/>
                <w:sz w:val="18"/>
                <w:szCs w:val="18"/>
              </w:rPr>
            </w:pPr>
            <w:r>
              <w:rPr>
                <w:rFonts w:eastAsia="Times New Roman"/>
                <w:bCs/>
                <w:noProof/>
                <w:color w:val="FFFFFF"/>
                <w:sz w:val="18"/>
                <w:szCs w:val="18"/>
              </w:rPr>
              <w:t>W2</w:t>
            </w:r>
          </w:p>
        </w:tc>
        <w:tc>
          <w:tcPr>
            <w:tcW w:w="336" w:type="pct"/>
            <w:tcBorders>
              <w:top w:val="single" w:sz="8" w:space="0" w:color="FFFFFF"/>
              <w:left w:val="single" w:sz="8" w:space="0" w:color="FFFFFF"/>
              <w:bottom w:val="single" w:sz="8" w:space="0" w:color="FFFFFF"/>
              <w:right w:val="single" w:sz="8" w:space="0" w:color="FFFFFF"/>
            </w:tcBorders>
            <w:shd w:val="clear" w:color="auto" w:fill="DC6900"/>
            <w:tcMar>
              <w:top w:w="72" w:type="dxa"/>
              <w:left w:w="57" w:type="dxa"/>
              <w:bottom w:w="72" w:type="dxa"/>
              <w:right w:w="57" w:type="dxa"/>
            </w:tcMar>
            <w:vAlign w:val="center"/>
            <w:hideMark/>
          </w:tcPr>
          <w:p w:rsidR="00913429" w:rsidRDefault="00E143F0">
            <w:pPr>
              <w:spacing w:after="0" w:line="240" w:lineRule="auto"/>
              <w:jc w:val="center"/>
              <w:rPr>
                <w:rFonts w:eastAsia="Times New Roman"/>
                <w:bCs/>
                <w:noProof/>
                <w:color w:val="FFFFFF"/>
                <w:sz w:val="18"/>
                <w:szCs w:val="18"/>
              </w:rPr>
            </w:pPr>
            <w:r>
              <w:rPr>
                <w:rFonts w:eastAsia="Times New Roman"/>
                <w:bCs/>
                <w:noProof/>
                <w:color w:val="FFFFFF"/>
                <w:sz w:val="18"/>
                <w:szCs w:val="18"/>
              </w:rPr>
              <w:t>W3</w:t>
            </w:r>
          </w:p>
        </w:tc>
        <w:tc>
          <w:tcPr>
            <w:tcW w:w="365" w:type="pct"/>
            <w:tcBorders>
              <w:top w:val="single" w:sz="8" w:space="0" w:color="FFFFFF"/>
              <w:left w:val="single" w:sz="8" w:space="0" w:color="FFFFFF"/>
              <w:bottom w:val="single" w:sz="8" w:space="0" w:color="FFFFFF"/>
              <w:right w:val="single" w:sz="8" w:space="0" w:color="FFFFFF"/>
            </w:tcBorders>
            <w:shd w:val="clear" w:color="auto" w:fill="DC6900"/>
            <w:tcMar>
              <w:top w:w="72" w:type="dxa"/>
              <w:left w:w="57" w:type="dxa"/>
              <w:bottom w:w="72" w:type="dxa"/>
              <w:right w:w="57" w:type="dxa"/>
            </w:tcMar>
            <w:vAlign w:val="center"/>
            <w:hideMark/>
          </w:tcPr>
          <w:p w:rsidR="00913429" w:rsidRDefault="00E143F0">
            <w:pPr>
              <w:spacing w:after="0" w:line="240" w:lineRule="auto"/>
              <w:jc w:val="center"/>
              <w:rPr>
                <w:rFonts w:eastAsia="Times New Roman"/>
                <w:bCs/>
                <w:noProof/>
                <w:color w:val="FFFFFF"/>
                <w:sz w:val="18"/>
                <w:szCs w:val="18"/>
              </w:rPr>
            </w:pPr>
            <w:r>
              <w:rPr>
                <w:rFonts w:eastAsia="Times New Roman"/>
                <w:bCs/>
                <w:noProof/>
                <w:color w:val="FFFFFF"/>
                <w:sz w:val="18"/>
                <w:szCs w:val="18"/>
              </w:rPr>
              <w:t>W4</w:t>
            </w:r>
          </w:p>
        </w:tc>
        <w:tc>
          <w:tcPr>
            <w:tcW w:w="342" w:type="pct"/>
            <w:tcBorders>
              <w:top w:val="single" w:sz="8" w:space="0" w:color="FFFFFF"/>
              <w:left w:val="single" w:sz="8" w:space="0" w:color="FFFFFF"/>
              <w:bottom w:val="single" w:sz="8" w:space="0" w:color="FFFFFF"/>
              <w:right w:val="single" w:sz="8" w:space="0" w:color="FFFFFF"/>
            </w:tcBorders>
            <w:shd w:val="clear" w:color="auto" w:fill="DC6900"/>
            <w:tcMar>
              <w:top w:w="72" w:type="dxa"/>
              <w:left w:w="57" w:type="dxa"/>
              <w:bottom w:w="72" w:type="dxa"/>
              <w:right w:w="57" w:type="dxa"/>
            </w:tcMar>
            <w:vAlign w:val="center"/>
            <w:hideMark/>
          </w:tcPr>
          <w:p w:rsidR="00913429" w:rsidRDefault="00E143F0">
            <w:pPr>
              <w:spacing w:after="0" w:line="240" w:lineRule="auto"/>
              <w:jc w:val="center"/>
              <w:rPr>
                <w:rFonts w:eastAsia="Times New Roman"/>
                <w:bCs/>
                <w:noProof/>
                <w:color w:val="FFFFFF"/>
                <w:sz w:val="18"/>
                <w:szCs w:val="18"/>
              </w:rPr>
            </w:pPr>
            <w:r>
              <w:rPr>
                <w:rFonts w:eastAsia="Times New Roman"/>
                <w:bCs/>
                <w:noProof/>
                <w:color w:val="FFFFFF"/>
                <w:sz w:val="18"/>
                <w:szCs w:val="18"/>
              </w:rPr>
              <w:t>W5</w:t>
            </w:r>
          </w:p>
        </w:tc>
        <w:tc>
          <w:tcPr>
            <w:tcW w:w="362" w:type="pct"/>
            <w:tcBorders>
              <w:top w:val="single" w:sz="8" w:space="0" w:color="FFFFFF"/>
              <w:left w:val="single" w:sz="8" w:space="0" w:color="FFFFFF"/>
              <w:bottom w:val="single" w:sz="8" w:space="0" w:color="FFFFFF"/>
              <w:right w:val="single" w:sz="8" w:space="0" w:color="FFFFFF"/>
            </w:tcBorders>
            <w:shd w:val="clear" w:color="auto" w:fill="DC6900"/>
            <w:tcMar>
              <w:top w:w="72" w:type="dxa"/>
              <w:left w:w="57" w:type="dxa"/>
              <w:bottom w:w="72" w:type="dxa"/>
              <w:right w:w="57" w:type="dxa"/>
            </w:tcMar>
            <w:vAlign w:val="center"/>
            <w:hideMark/>
          </w:tcPr>
          <w:p w:rsidR="00913429" w:rsidRDefault="00E143F0">
            <w:pPr>
              <w:spacing w:after="0" w:line="240" w:lineRule="auto"/>
              <w:jc w:val="center"/>
              <w:rPr>
                <w:rFonts w:eastAsia="Times New Roman"/>
                <w:bCs/>
                <w:noProof/>
                <w:color w:val="FFFFFF"/>
                <w:sz w:val="18"/>
                <w:szCs w:val="18"/>
              </w:rPr>
            </w:pPr>
            <w:r>
              <w:rPr>
                <w:rFonts w:eastAsia="Times New Roman"/>
                <w:bCs/>
                <w:noProof/>
                <w:color w:val="FFFFFF"/>
                <w:sz w:val="18"/>
                <w:szCs w:val="18"/>
              </w:rPr>
              <w:t>W6</w:t>
            </w:r>
          </w:p>
        </w:tc>
        <w:tc>
          <w:tcPr>
            <w:tcW w:w="339" w:type="pct"/>
            <w:tcBorders>
              <w:top w:val="single" w:sz="8" w:space="0" w:color="FFFFFF"/>
              <w:left w:val="single" w:sz="8" w:space="0" w:color="FFFFFF"/>
              <w:bottom w:val="single" w:sz="8" w:space="0" w:color="FFFFFF"/>
              <w:right w:val="single" w:sz="8" w:space="0" w:color="FFFFFF"/>
            </w:tcBorders>
            <w:shd w:val="clear" w:color="auto" w:fill="DC6900"/>
            <w:tcMar>
              <w:top w:w="72" w:type="dxa"/>
              <w:left w:w="57" w:type="dxa"/>
              <w:bottom w:w="72" w:type="dxa"/>
              <w:right w:w="57" w:type="dxa"/>
            </w:tcMar>
            <w:vAlign w:val="center"/>
            <w:hideMark/>
          </w:tcPr>
          <w:p w:rsidR="00913429" w:rsidRDefault="00E143F0">
            <w:pPr>
              <w:spacing w:after="0" w:line="240" w:lineRule="auto"/>
              <w:jc w:val="center"/>
              <w:rPr>
                <w:rFonts w:eastAsia="Times New Roman"/>
                <w:bCs/>
                <w:noProof/>
                <w:color w:val="FFFFFF"/>
                <w:sz w:val="18"/>
                <w:szCs w:val="18"/>
              </w:rPr>
            </w:pPr>
            <w:r>
              <w:rPr>
                <w:rFonts w:eastAsia="Times New Roman"/>
                <w:bCs/>
                <w:noProof/>
                <w:color w:val="FFFFFF"/>
                <w:sz w:val="18"/>
                <w:szCs w:val="18"/>
              </w:rPr>
              <w:t>W7</w:t>
            </w:r>
          </w:p>
        </w:tc>
        <w:tc>
          <w:tcPr>
            <w:tcW w:w="336" w:type="pct"/>
            <w:tcBorders>
              <w:top w:val="single" w:sz="8" w:space="0" w:color="FFFFFF"/>
              <w:left w:val="single" w:sz="8" w:space="0" w:color="FFFFFF"/>
              <w:bottom w:val="single" w:sz="8" w:space="0" w:color="FFFFFF"/>
              <w:right w:val="single" w:sz="8" w:space="0" w:color="FFFFFF"/>
            </w:tcBorders>
            <w:shd w:val="clear" w:color="auto" w:fill="DC6900"/>
            <w:tcMar>
              <w:top w:w="72" w:type="dxa"/>
              <w:left w:w="57" w:type="dxa"/>
              <w:bottom w:w="72" w:type="dxa"/>
              <w:right w:w="57" w:type="dxa"/>
            </w:tcMar>
            <w:vAlign w:val="center"/>
            <w:hideMark/>
          </w:tcPr>
          <w:p w:rsidR="00913429" w:rsidRDefault="00E143F0">
            <w:pPr>
              <w:spacing w:after="0" w:line="240" w:lineRule="auto"/>
              <w:jc w:val="center"/>
              <w:rPr>
                <w:rFonts w:eastAsia="Times New Roman"/>
                <w:bCs/>
                <w:noProof/>
                <w:color w:val="FFFFFF"/>
                <w:sz w:val="18"/>
                <w:szCs w:val="18"/>
              </w:rPr>
            </w:pPr>
            <w:r>
              <w:rPr>
                <w:rFonts w:eastAsia="Times New Roman"/>
                <w:bCs/>
                <w:noProof/>
                <w:color w:val="FFFFFF"/>
                <w:sz w:val="18"/>
                <w:szCs w:val="18"/>
              </w:rPr>
              <w:t>W8</w:t>
            </w:r>
          </w:p>
        </w:tc>
      </w:tr>
      <w:tr w:rsidR="00913429">
        <w:trPr>
          <w:gridAfter w:val="1"/>
          <w:wAfter w:w="334" w:type="pct"/>
          <w:trHeight w:val="20"/>
        </w:trPr>
        <w:tc>
          <w:tcPr>
            <w:tcW w:w="247" w:type="pct"/>
            <w:tcBorders>
              <w:top w:val="single" w:sz="8" w:space="0" w:color="DC6900"/>
              <w:left w:val="single" w:sz="8" w:space="0" w:color="FFFFFF"/>
              <w:bottom w:val="single" w:sz="8" w:space="0" w:color="DC6900"/>
              <w:right w:val="single" w:sz="8" w:space="0" w:color="DC6900"/>
            </w:tcBorders>
            <w:shd w:val="clear" w:color="auto" w:fill="auto"/>
            <w:tcMar>
              <w:top w:w="72" w:type="dxa"/>
              <w:left w:w="113" w:type="dxa"/>
              <w:bottom w:w="72" w:type="dxa"/>
              <w:right w:w="113" w:type="dxa"/>
            </w:tcMar>
            <w:hideMark/>
          </w:tcPr>
          <w:p w:rsidR="00913429" w:rsidRDefault="00913429">
            <w:pPr>
              <w:spacing w:after="0" w:line="240" w:lineRule="auto"/>
              <w:rPr>
                <w:rFonts w:eastAsia="Times New Roman"/>
                <w:bCs/>
                <w:noProof/>
                <w:color w:val="000000"/>
                <w:sz w:val="18"/>
                <w:szCs w:val="18"/>
              </w:rPr>
            </w:pPr>
          </w:p>
        </w:tc>
        <w:tc>
          <w:tcPr>
            <w:tcW w:w="1671" w:type="pct"/>
            <w:tcBorders>
              <w:top w:val="single" w:sz="8" w:space="0" w:color="DC6900"/>
              <w:left w:val="single" w:sz="8" w:space="0" w:color="DC6900"/>
              <w:bottom w:val="single" w:sz="8" w:space="0" w:color="DC6900"/>
              <w:right w:val="single" w:sz="8" w:space="0" w:color="DC6900"/>
            </w:tcBorders>
            <w:shd w:val="clear" w:color="auto" w:fill="auto"/>
            <w:tcMar>
              <w:top w:w="15" w:type="dxa"/>
              <w:left w:w="57" w:type="dxa"/>
              <w:bottom w:w="0" w:type="dxa"/>
              <w:right w:w="15" w:type="dxa"/>
            </w:tcMar>
            <w:vAlign w:val="center"/>
            <w:hideMark/>
          </w:tcPr>
          <w:p w:rsidR="00913429" w:rsidRDefault="00E143F0">
            <w:pPr>
              <w:spacing w:after="0" w:line="240" w:lineRule="auto"/>
              <w:rPr>
                <w:rFonts w:eastAsia="Times New Roman"/>
                <w:b/>
                <w:bCs/>
                <w:noProof/>
                <w:color w:val="000000"/>
                <w:sz w:val="18"/>
                <w:szCs w:val="18"/>
              </w:rPr>
            </w:pPr>
            <w:r>
              <w:rPr>
                <w:rFonts w:eastAsia="Times New Roman"/>
                <w:b/>
                <w:bCs/>
                <w:noProof/>
                <w:color w:val="000000"/>
                <w:sz w:val="18"/>
                <w:szCs w:val="18"/>
              </w:rPr>
              <w:t xml:space="preserve">Task 1 – Gather the </w:t>
            </w:r>
            <w:r>
              <w:rPr>
                <w:rFonts w:eastAsia="Times New Roman"/>
                <w:b/>
                <w:bCs/>
                <w:noProof/>
                <w:color w:val="000000"/>
                <w:sz w:val="18"/>
                <w:szCs w:val="18"/>
              </w:rPr>
              <w:t>evidence base</w:t>
            </w:r>
          </w:p>
        </w:tc>
        <w:tc>
          <w:tcPr>
            <w:tcW w:w="334" w:type="pct"/>
            <w:tcBorders>
              <w:top w:val="single" w:sz="8" w:space="0" w:color="DC6900"/>
              <w:left w:val="single" w:sz="8" w:space="0" w:color="DC6900"/>
              <w:bottom w:val="single" w:sz="8" w:space="0" w:color="DC6900"/>
              <w:right w:val="single" w:sz="8" w:space="0" w:color="DC6900"/>
            </w:tcBorders>
            <w:shd w:val="clear" w:color="auto" w:fill="D32E4B"/>
            <w:tcMar>
              <w:top w:w="72" w:type="dxa"/>
              <w:left w:w="144" w:type="dxa"/>
              <w:bottom w:w="72" w:type="dxa"/>
              <w:right w:w="144" w:type="dxa"/>
            </w:tcMar>
            <w:hideMark/>
          </w:tcPr>
          <w:p w:rsidR="00913429" w:rsidRDefault="00913429">
            <w:pPr>
              <w:spacing w:after="0" w:line="240" w:lineRule="auto"/>
              <w:rPr>
                <w:rFonts w:eastAsia="Times New Roman"/>
                <w:bCs/>
                <w:noProof/>
                <w:color w:val="000000"/>
                <w:sz w:val="18"/>
                <w:szCs w:val="18"/>
              </w:rPr>
            </w:pPr>
          </w:p>
        </w:tc>
        <w:tc>
          <w:tcPr>
            <w:tcW w:w="334" w:type="pct"/>
            <w:tcBorders>
              <w:top w:val="single" w:sz="8" w:space="0" w:color="DC6900"/>
              <w:left w:val="single" w:sz="8" w:space="0" w:color="DC6900"/>
              <w:bottom w:val="single" w:sz="8" w:space="0" w:color="DC6900"/>
              <w:right w:val="single" w:sz="8" w:space="0" w:color="DC6900"/>
            </w:tcBorders>
            <w:shd w:val="clear" w:color="auto" w:fill="D32E4B"/>
            <w:tcMar>
              <w:top w:w="72" w:type="dxa"/>
              <w:left w:w="144" w:type="dxa"/>
              <w:bottom w:w="72" w:type="dxa"/>
              <w:right w:w="144" w:type="dxa"/>
            </w:tcMar>
            <w:hideMark/>
          </w:tcPr>
          <w:p w:rsidR="00913429" w:rsidRDefault="00913429">
            <w:pPr>
              <w:spacing w:after="0" w:line="240" w:lineRule="auto"/>
              <w:rPr>
                <w:rFonts w:eastAsia="Times New Roman"/>
                <w:bCs/>
                <w:noProof/>
                <w:color w:val="000000"/>
                <w:sz w:val="18"/>
                <w:szCs w:val="18"/>
              </w:rPr>
            </w:pPr>
          </w:p>
        </w:tc>
        <w:tc>
          <w:tcPr>
            <w:tcW w:w="336" w:type="pct"/>
            <w:tcBorders>
              <w:top w:val="single" w:sz="8" w:space="0" w:color="DC6900"/>
              <w:left w:val="single" w:sz="8" w:space="0" w:color="DC6900"/>
              <w:bottom w:val="single" w:sz="8" w:space="0" w:color="DC6900"/>
              <w:right w:val="single" w:sz="8" w:space="0" w:color="DC6900"/>
            </w:tcBorders>
            <w:shd w:val="clear" w:color="auto" w:fill="D32E4B"/>
            <w:tcMar>
              <w:top w:w="72" w:type="dxa"/>
              <w:left w:w="144" w:type="dxa"/>
              <w:bottom w:w="72" w:type="dxa"/>
              <w:right w:w="144" w:type="dxa"/>
            </w:tcMar>
            <w:hideMark/>
          </w:tcPr>
          <w:p w:rsidR="00913429" w:rsidRDefault="00913429">
            <w:pPr>
              <w:spacing w:after="0" w:line="240" w:lineRule="auto"/>
              <w:rPr>
                <w:rFonts w:eastAsia="Times New Roman"/>
                <w:bCs/>
                <w:noProof/>
                <w:color w:val="000000"/>
                <w:sz w:val="18"/>
                <w:szCs w:val="18"/>
              </w:rPr>
            </w:pPr>
          </w:p>
        </w:tc>
        <w:tc>
          <w:tcPr>
            <w:tcW w:w="365" w:type="pct"/>
            <w:tcBorders>
              <w:top w:val="single" w:sz="8" w:space="0" w:color="DC6900"/>
              <w:left w:val="single" w:sz="8" w:space="0" w:color="DC6900"/>
              <w:bottom w:val="single" w:sz="8" w:space="0" w:color="DC6900"/>
              <w:right w:val="single" w:sz="8" w:space="0" w:color="DC6900"/>
            </w:tcBorders>
            <w:shd w:val="clear" w:color="auto" w:fill="D32E4B"/>
            <w:tcMar>
              <w:top w:w="72" w:type="dxa"/>
              <w:left w:w="144" w:type="dxa"/>
              <w:bottom w:w="72" w:type="dxa"/>
              <w:right w:w="144" w:type="dxa"/>
            </w:tcMar>
            <w:hideMark/>
          </w:tcPr>
          <w:p w:rsidR="00913429" w:rsidRDefault="00913429">
            <w:pPr>
              <w:spacing w:after="0" w:line="240" w:lineRule="auto"/>
              <w:rPr>
                <w:rFonts w:eastAsia="Times New Roman"/>
                <w:bCs/>
                <w:noProof/>
                <w:color w:val="000000"/>
                <w:sz w:val="18"/>
                <w:szCs w:val="18"/>
              </w:rPr>
            </w:pPr>
          </w:p>
        </w:tc>
        <w:tc>
          <w:tcPr>
            <w:tcW w:w="342" w:type="pct"/>
            <w:tcBorders>
              <w:top w:val="single" w:sz="8" w:space="0" w:color="DC6900"/>
              <w:left w:val="single" w:sz="8" w:space="0" w:color="DC6900"/>
              <w:bottom w:val="single" w:sz="8" w:space="0" w:color="DC6900"/>
              <w:right w:val="single" w:sz="8" w:space="0" w:color="DC6900"/>
            </w:tcBorders>
            <w:shd w:val="clear" w:color="auto" w:fill="D32E4B"/>
            <w:tcMar>
              <w:top w:w="72" w:type="dxa"/>
              <w:left w:w="144" w:type="dxa"/>
              <w:bottom w:w="72" w:type="dxa"/>
              <w:right w:w="144" w:type="dxa"/>
            </w:tcMar>
            <w:hideMark/>
          </w:tcPr>
          <w:p w:rsidR="00913429" w:rsidRDefault="00913429">
            <w:pPr>
              <w:spacing w:after="0" w:line="240" w:lineRule="auto"/>
              <w:rPr>
                <w:rFonts w:eastAsia="Times New Roman"/>
                <w:bCs/>
                <w:noProof/>
                <w:color w:val="000000"/>
                <w:sz w:val="18"/>
                <w:szCs w:val="18"/>
              </w:rPr>
            </w:pPr>
          </w:p>
        </w:tc>
        <w:tc>
          <w:tcPr>
            <w:tcW w:w="362" w:type="pct"/>
            <w:tcBorders>
              <w:top w:val="single" w:sz="8" w:space="0" w:color="DC6900"/>
              <w:left w:val="single" w:sz="8" w:space="0" w:color="DC6900"/>
              <w:bottom w:val="single" w:sz="8" w:space="0" w:color="DC6900"/>
              <w:right w:val="single" w:sz="8" w:space="0" w:color="DC6900"/>
            </w:tcBorders>
            <w:shd w:val="clear" w:color="auto" w:fill="808080"/>
            <w:tcMar>
              <w:top w:w="72" w:type="dxa"/>
              <w:left w:w="144" w:type="dxa"/>
              <w:bottom w:w="72" w:type="dxa"/>
              <w:right w:w="144" w:type="dxa"/>
            </w:tcMar>
            <w:hideMark/>
          </w:tcPr>
          <w:p w:rsidR="00913429" w:rsidRDefault="00913429">
            <w:pPr>
              <w:spacing w:after="0" w:line="240" w:lineRule="auto"/>
              <w:rPr>
                <w:rFonts w:eastAsia="Times New Roman"/>
                <w:bCs/>
                <w:noProof/>
                <w:color w:val="000000"/>
                <w:sz w:val="18"/>
                <w:szCs w:val="18"/>
              </w:rPr>
            </w:pPr>
          </w:p>
        </w:tc>
        <w:tc>
          <w:tcPr>
            <w:tcW w:w="339" w:type="pct"/>
            <w:tcBorders>
              <w:top w:val="single" w:sz="8" w:space="0" w:color="DC6900"/>
              <w:left w:val="single" w:sz="8" w:space="0" w:color="DC6900"/>
              <w:bottom w:val="single" w:sz="8" w:space="0" w:color="DC6900"/>
              <w:right w:val="single" w:sz="8" w:space="0" w:color="DC6900"/>
            </w:tcBorders>
            <w:shd w:val="clear" w:color="auto" w:fill="808080"/>
            <w:tcMar>
              <w:top w:w="72" w:type="dxa"/>
              <w:left w:w="144" w:type="dxa"/>
              <w:bottom w:w="72" w:type="dxa"/>
              <w:right w:w="144" w:type="dxa"/>
            </w:tcMar>
            <w:hideMark/>
          </w:tcPr>
          <w:p w:rsidR="00913429" w:rsidRDefault="00913429">
            <w:pPr>
              <w:spacing w:after="0" w:line="240" w:lineRule="auto"/>
              <w:rPr>
                <w:rFonts w:eastAsia="Times New Roman"/>
                <w:bCs/>
                <w:noProof/>
                <w:color w:val="000000"/>
                <w:sz w:val="18"/>
                <w:szCs w:val="18"/>
              </w:rPr>
            </w:pPr>
          </w:p>
        </w:tc>
        <w:tc>
          <w:tcPr>
            <w:tcW w:w="336" w:type="pct"/>
            <w:tcBorders>
              <w:top w:val="single" w:sz="8" w:space="0" w:color="DC6900"/>
              <w:left w:val="single" w:sz="8" w:space="0" w:color="DC6900"/>
              <w:bottom w:val="single" w:sz="8" w:space="0" w:color="DC6900"/>
              <w:right w:val="single" w:sz="8" w:space="0" w:color="DC6900"/>
            </w:tcBorders>
            <w:shd w:val="clear" w:color="auto" w:fill="808080"/>
            <w:tcMar>
              <w:top w:w="72" w:type="dxa"/>
              <w:left w:w="144" w:type="dxa"/>
              <w:bottom w:w="72" w:type="dxa"/>
              <w:right w:w="144" w:type="dxa"/>
            </w:tcMar>
            <w:hideMark/>
          </w:tcPr>
          <w:p w:rsidR="00913429" w:rsidRDefault="00913429">
            <w:pPr>
              <w:spacing w:after="0" w:line="240" w:lineRule="auto"/>
              <w:rPr>
                <w:rFonts w:eastAsia="Times New Roman"/>
                <w:bCs/>
                <w:noProof/>
                <w:color w:val="000000"/>
                <w:sz w:val="18"/>
                <w:szCs w:val="18"/>
              </w:rPr>
            </w:pPr>
          </w:p>
        </w:tc>
      </w:tr>
      <w:tr w:rsidR="00913429">
        <w:trPr>
          <w:gridAfter w:val="1"/>
          <w:wAfter w:w="334" w:type="pct"/>
          <w:trHeight w:val="227"/>
        </w:trPr>
        <w:tc>
          <w:tcPr>
            <w:tcW w:w="247" w:type="pct"/>
            <w:tcBorders>
              <w:top w:val="single" w:sz="8" w:space="0" w:color="DC6900"/>
              <w:left w:val="single" w:sz="8" w:space="0" w:color="DC6900"/>
              <w:bottom w:val="single" w:sz="8" w:space="0" w:color="DC6900"/>
              <w:right w:val="single" w:sz="8" w:space="0" w:color="DC6900"/>
            </w:tcBorders>
            <w:shd w:val="clear" w:color="auto" w:fill="auto"/>
            <w:tcMar>
              <w:top w:w="72" w:type="dxa"/>
              <w:left w:w="113" w:type="dxa"/>
              <w:bottom w:w="72" w:type="dxa"/>
              <w:right w:w="113" w:type="dxa"/>
            </w:tcMar>
            <w:vAlign w:val="center"/>
            <w:hideMark/>
          </w:tcPr>
          <w:p w:rsidR="00913429" w:rsidRDefault="00E143F0">
            <w:pPr>
              <w:spacing w:after="0" w:line="240" w:lineRule="auto"/>
              <w:jc w:val="center"/>
              <w:rPr>
                <w:rFonts w:eastAsia="Times New Roman"/>
                <w:bCs/>
                <w:noProof/>
                <w:color w:val="000000"/>
                <w:sz w:val="18"/>
                <w:szCs w:val="18"/>
              </w:rPr>
            </w:pPr>
            <w:r>
              <w:rPr>
                <w:rFonts w:eastAsia="Times New Roman"/>
                <w:bCs/>
                <w:noProof/>
                <w:color w:val="000000"/>
                <w:sz w:val="18"/>
                <w:szCs w:val="18"/>
              </w:rPr>
              <w:t>1.0</w:t>
            </w:r>
          </w:p>
        </w:tc>
        <w:tc>
          <w:tcPr>
            <w:tcW w:w="1671" w:type="pct"/>
            <w:tcBorders>
              <w:top w:val="single" w:sz="8" w:space="0" w:color="DC6900"/>
              <w:left w:val="single" w:sz="8" w:space="0" w:color="DC6900"/>
              <w:bottom w:val="single" w:sz="8" w:space="0" w:color="DC6900"/>
              <w:right w:val="single" w:sz="8" w:space="0" w:color="DC6900"/>
            </w:tcBorders>
            <w:shd w:val="clear" w:color="auto" w:fill="auto"/>
            <w:tcMar>
              <w:top w:w="15" w:type="dxa"/>
              <w:left w:w="57" w:type="dxa"/>
              <w:bottom w:w="0" w:type="dxa"/>
              <w:right w:w="15" w:type="dxa"/>
            </w:tcMar>
            <w:vAlign w:val="center"/>
            <w:hideMark/>
          </w:tcPr>
          <w:p w:rsidR="00913429" w:rsidRDefault="00E143F0">
            <w:pPr>
              <w:spacing w:after="0" w:line="240" w:lineRule="auto"/>
              <w:rPr>
                <w:rFonts w:eastAsia="Times New Roman"/>
                <w:bCs/>
                <w:noProof/>
                <w:color w:val="000000"/>
                <w:sz w:val="18"/>
                <w:szCs w:val="18"/>
              </w:rPr>
            </w:pPr>
            <w:r>
              <w:rPr>
                <w:rFonts w:eastAsia="Times New Roman"/>
                <w:bCs/>
                <w:noProof/>
                <w:color w:val="000000"/>
                <w:sz w:val="18"/>
                <w:szCs w:val="18"/>
              </w:rPr>
              <w:t>Project set up</w:t>
            </w:r>
          </w:p>
        </w:tc>
        <w:tc>
          <w:tcPr>
            <w:tcW w:w="334" w:type="pct"/>
            <w:tcBorders>
              <w:top w:val="single" w:sz="8" w:space="0" w:color="DC6900"/>
              <w:left w:val="single" w:sz="8" w:space="0" w:color="DC6900"/>
              <w:bottom w:val="single" w:sz="8" w:space="0" w:color="DC6900"/>
              <w:right w:val="single" w:sz="8" w:space="0" w:color="DC6900"/>
            </w:tcBorders>
            <w:shd w:val="clear" w:color="auto" w:fill="FFF0CC"/>
            <w:tcMar>
              <w:top w:w="72" w:type="dxa"/>
              <w:left w:w="144" w:type="dxa"/>
              <w:bottom w:w="72" w:type="dxa"/>
              <w:right w:w="144" w:type="dxa"/>
            </w:tcMar>
            <w:hideMark/>
          </w:tcPr>
          <w:p w:rsidR="00913429" w:rsidRDefault="00913429">
            <w:pPr>
              <w:spacing w:after="0" w:line="240" w:lineRule="auto"/>
              <w:rPr>
                <w:rFonts w:eastAsia="Times New Roman"/>
                <w:bCs/>
                <w:noProof/>
                <w:color w:val="000000"/>
                <w:sz w:val="18"/>
                <w:szCs w:val="18"/>
              </w:rPr>
            </w:pPr>
          </w:p>
        </w:tc>
        <w:tc>
          <w:tcPr>
            <w:tcW w:w="334" w:type="pct"/>
            <w:tcBorders>
              <w:top w:val="single" w:sz="8" w:space="0" w:color="DC6900"/>
              <w:left w:val="single" w:sz="8" w:space="0" w:color="DC6900"/>
              <w:bottom w:val="single" w:sz="8" w:space="0" w:color="DC6900"/>
              <w:right w:val="single" w:sz="8" w:space="0" w:color="DC6900"/>
            </w:tcBorders>
            <w:shd w:val="clear" w:color="auto" w:fill="FFF0CC"/>
            <w:tcMar>
              <w:top w:w="72" w:type="dxa"/>
              <w:left w:w="144" w:type="dxa"/>
              <w:bottom w:w="72" w:type="dxa"/>
              <w:right w:w="144" w:type="dxa"/>
            </w:tcMar>
            <w:hideMark/>
          </w:tcPr>
          <w:p w:rsidR="00913429" w:rsidRDefault="00E143F0">
            <w:pPr>
              <w:spacing w:after="0" w:line="240" w:lineRule="auto"/>
              <w:rPr>
                <w:rFonts w:eastAsia="Times New Roman"/>
                <w:b/>
                <w:bCs/>
                <w:noProof/>
                <w:color w:val="000000"/>
                <w:sz w:val="18"/>
                <w:szCs w:val="18"/>
              </w:rPr>
            </w:pPr>
            <w:r>
              <w:rPr>
                <w:rFonts w:eastAsia="Times New Roman"/>
                <w:b/>
                <w:bCs/>
                <w:noProof/>
                <w:color w:val="000000"/>
                <w:sz w:val="18"/>
                <w:szCs w:val="18"/>
              </w:rPr>
              <w:t>IRf</w:t>
            </w:r>
          </w:p>
        </w:tc>
        <w:tc>
          <w:tcPr>
            <w:tcW w:w="336" w:type="pct"/>
            <w:tcBorders>
              <w:top w:val="single" w:sz="8" w:space="0" w:color="DC6900"/>
              <w:left w:val="single" w:sz="8" w:space="0" w:color="DC6900"/>
              <w:bottom w:val="single" w:sz="8" w:space="0" w:color="DC6900"/>
              <w:right w:val="single" w:sz="8" w:space="0" w:color="DC6900"/>
            </w:tcBorders>
            <w:shd w:val="clear" w:color="auto" w:fill="auto"/>
            <w:tcMar>
              <w:top w:w="72" w:type="dxa"/>
              <w:left w:w="144" w:type="dxa"/>
              <w:bottom w:w="72" w:type="dxa"/>
              <w:right w:w="144" w:type="dxa"/>
            </w:tcMar>
            <w:hideMark/>
          </w:tcPr>
          <w:p w:rsidR="00913429" w:rsidRDefault="00913429">
            <w:pPr>
              <w:spacing w:after="0" w:line="240" w:lineRule="auto"/>
              <w:rPr>
                <w:rFonts w:eastAsia="Times New Roman"/>
                <w:bCs/>
                <w:noProof/>
                <w:color w:val="000000"/>
                <w:sz w:val="18"/>
                <w:szCs w:val="18"/>
              </w:rPr>
            </w:pPr>
          </w:p>
        </w:tc>
        <w:tc>
          <w:tcPr>
            <w:tcW w:w="365" w:type="pct"/>
            <w:tcBorders>
              <w:top w:val="single" w:sz="8" w:space="0" w:color="DC6900"/>
              <w:left w:val="single" w:sz="8" w:space="0" w:color="DC6900"/>
              <w:bottom w:val="single" w:sz="8" w:space="0" w:color="DC6900"/>
              <w:right w:val="single" w:sz="8" w:space="0" w:color="DC6900"/>
            </w:tcBorders>
            <w:shd w:val="clear" w:color="auto" w:fill="auto"/>
            <w:tcMar>
              <w:top w:w="72" w:type="dxa"/>
              <w:left w:w="144" w:type="dxa"/>
              <w:bottom w:w="72" w:type="dxa"/>
              <w:right w:w="144" w:type="dxa"/>
            </w:tcMar>
            <w:hideMark/>
          </w:tcPr>
          <w:p w:rsidR="00913429" w:rsidRDefault="00913429">
            <w:pPr>
              <w:spacing w:after="0" w:line="240" w:lineRule="auto"/>
              <w:rPr>
                <w:rFonts w:eastAsia="Times New Roman"/>
                <w:bCs/>
                <w:noProof/>
                <w:color w:val="000000"/>
                <w:sz w:val="18"/>
                <w:szCs w:val="18"/>
              </w:rPr>
            </w:pPr>
          </w:p>
        </w:tc>
        <w:tc>
          <w:tcPr>
            <w:tcW w:w="342" w:type="pct"/>
            <w:tcBorders>
              <w:top w:val="single" w:sz="8" w:space="0" w:color="DC6900"/>
              <w:left w:val="single" w:sz="8" w:space="0" w:color="DC6900"/>
              <w:bottom w:val="single" w:sz="8" w:space="0" w:color="DC6900"/>
              <w:right w:val="single" w:sz="8" w:space="0" w:color="DC6900"/>
            </w:tcBorders>
            <w:shd w:val="clear" w:color="auto" w:fill="auto"/>
            <w:tcMar>
              <w:top w:w="72" w:type="dxa"/>
              <w:left w:w="144" w:type="dxa"/>
              <w:bottom w:w="72" w:type="dxa"/>
              <w:right w:w="144" w:type="dxa"/>
            </w:tcMar>
            <w:hideMark/>
          </w:tcPr>
          <w:p w:rsidR="00913429" w:rsidRDefault="00913429">
            <w:pPr>
              <w:spacing w:after="0" w:line="240" w:lineRule="auto"/>
              <w:rPr>
                <w:rFonts w:eastAsia="Times New Roman"/>
                <w:bCs/>
                <w:noProof/>
                <w:color w:val="000000"/>
                <w:sz w:val="18"/>
                <w:szCs w:val="18"/>
              </w:rPr>
            </w:pPr>
          </w:p>
        </w:tc>
        <w:tc>
          <w:tcPr>
            <w:tcW w:w="362" w:type="pct"/>
            <w:tcBorders>
              <w:top w:val="single" w:sz="8" w:space="0" w:color="DC6900"/>
              <w:left w:val="single" w:sz="8" w:space="0" w:color="DC6900"/>
              <w:bottom w:val="single" w:sz="8" w:space="0" w:color="DC6900"/>
              <w:right w:val="single" w:sz="8" w:space="0" w:color="DC6900"/>
            </w:tcBorders>
            <w:shd w:val="clear" w:color="auto" w:fill="808080"/>
            <w:tcMar>
              <w:top w:w="72" w:type="dxa"/>
              <w:left w:w="144" w:type="dxa"/>
              <w:bottom w:w="72" w:type="dxa"/>
              <w:right w:w="144" w:type="dxa"/>
            </w:tcMar>
            <w:hideMark/>
          </w:tcPr>
          <w:p w:rsidR="00913429" w:rsidRDefault="00913429">
            <w:pPr>
              <w:spacing w:after="0" w:line="240" w:lineRule="auto"/>
              <w:rPr>
                <w:rFonts w:eastAsia="Times New Roman"/>
                <w:bCs/>
                <w:noProof/>
                <w:color w:val="000000"/>
                <w:sz w:val="18"/>
                <w:szCs w:val="18"/>
              </w:rPr>
            </w:pPr>
          </w:p>
        </w:tc>
        <w:tc>
          <w:tcPr>
            <w:tcW w:w="339" w:type="pct"/>
            <w:tcBorders>
              <w:top w:val="single" w:sz="8" w:space="0" w:color="DC6900"/>
              <w:left w:val="single" w:sz="8" w:space="0" w:color="DC6900"/>
              <w:bottom w:val="single" w:sz="8" w:space="0" w:color="DC6900"/>
              <w:right w:val="single" w:sz="8" w:space="0" w:color="DC6900"/>
            </w:tcBorders>
            <w:shd w:val="clear" w:color="auto" w:fill="808080"/>
            <w:tcMar>
              <w:top w:w="72" w:type="dxa"/>
              <w:left w:w="144" w:type="dxa"/>
              <w:bottom w:w="72" w:type="dxa"/>
              <w:right w:w="144" w:type="dxa"/>
            </w:tcMar>
            <w:hideMark/>
          </w:tcPr>
          <w:p w:rsidR="00913429" w:rsidRDefault="00913429">
            <w:pPr>
              <w:spacing w:after="0" w:line="240" w:lineRule="auto"/>
              <w:rPr>
                <w:rFonts w:eastAsia="Times New Roman"/>
                <w:bCs/>
                <w:noProof/>
                <w:color w:val="000000"/>
                <w:sz w:val="18"/>
                <w:szCs w:val="18"/>
              </w:rPr>
            </w:pPr>
          </w:p>
        </w:tc>
        <w:tc>
          <w:tcPr>
            <w:tcW w:w="336" w:type="pct"/>
            <w:tcBorders>
              <w:top w:val="single" w:sz="8" w:space="0" w:color="DC6900"/>
              <w:left w:val="single" w:sz="8" w:space="0" w:color="DC6900"/>
              <w:bottom w:val="single" w:sz="8" w:space="0" w:color="DC6900"/>
              <w:right w:val="single" w:sz="8" w:space="0" w:color="DC6900"/>
            </w:tcBorders>
            <w:shd w:val="clear" w:color="auto" w:fill="808080"/>
            <w:tcMar>
              <w:top w:w="72" w:type="dxa"/>
              <w:left w:w="144" w:type="dxa"/>
              <w:bottom w:w="72" w:type="dxa"/>
              <w:right w:w="144" w:type="dxa"/>
            </w:tcMar>
            <w:hideMark/>
          </w:tcPr>
          <w:p w:rsidR="00913429" w:rsidRDefault="00913429">
            <w:pPr>
              <w:spacing w:after="0" w:line="240" w:lineRule="auto"/>
              <w:rPr>
                <w:rFonts w:eastAsia="Times New Roman"/>
                <w:bCs/>
                <w:noProof/>
                <w:color w:val="000000"/>
                <w:sz w:val="18"/>
                <w:szCs w:val="18"/>
              </w:rPr>
            </w:pPr>
          </w:p>
        </w:tc>
      </w:tr>
      <w:tr w:rsidR="00913429">
        <w:trPr>
          <w:gridAfter w:val="1"/>
          <w:wAfter w:w="334" w:type="pct"/>
          <w:trHeight w:val="227"/>
        </w:trPr>
        <w:tc>
          <w:tcPr>
            <w:tcW w:w="247" w:type="pct"/>
            <w:tcBorders>
              <w:top w:val="single" w:sz="8" w:space="0" w:color="DC6900"/>
              <w:left w:val="single" w:sz="8" w:space="0" w:color="DC6900"/>
              <w:bottom w:val="single" w:sz="8" w:space="0" w:color="DC6900"/>
              <w:right w:val="single" w:sz="8" w:space="0" w:color="DC6900"/>
            </w:tcBorders>
            <w:shd w:val="clear" w:color="auto" w:fill="auto"/>
            <w:tcMar>
              <w:top w:w="72" w:type="dxa"/>
              <w:left w:w="113" w:type="dxa"/>
              <w:bottom w:w="72" w:type="dxa"/>
              <w:right w:w="113" w:type="dxa"/>
            </w:tcMar>
            <w:vAlign w:val="center"/>
            <w:hideMark/>
          </w:tcPr>
          <w:p w:rsidR="00913429" w:rsidRDefault="00E143F0">
            <w:pPr>
              <w:spacing w:after="0" w:line="240" w:lineRule="auto"/>
              <w:jc w:val="center"/>
              <w:rPr>
                <w:rFonts w:eastAsia="Times New Roman"/>
                <w:bCs/>
                <w:noProof/>
                <w:color w:val="000000"/>
                <w:sz w:val="18"/>
                <w:szCs w:val="18"/>
              </w:rPr>
            </w:pPr>
            <w:r>
              <w:rPr>
                <w:rFonts w:eastAsia="Times New Roman"/>
                <w:bCs/>
                <w:noProof/>
                <w:color w:val="000000"/>
                <w:sz w:val="18"/>
                <w:szCs w:val="18"/>
              </w:rPr>
              <w:t>1.1</w:t>
            </w:r>
          </w:p>
        </w:tc>
        <w:tc>
          <w:tcPr>
            <w:tcW w:w="1671" w:type="pct"/>
            <w:tcBorders>
              <w:top w:val="single" w:sz="8" w:space="0" w:color="DC6900"/>
              <w:left w:val="single" w:sz="8" w:space="0" w:color="DC6900"/>
              <w:bottom w:val="single" w:sz="8" w:space="0" w:color="DC6900"/>
              <w:right w:val="single" w:sz="8" w:space="0" w:color="DC6900"/>
            </w:tcBorders>
            <w:shd w:val="clear" w:color="auto" w:fill="auto"/>
            <w:tcMar>
              <w:top w:w="15" w:type="dxa"/>
              <w:left w:w="57" w:type="dxa"/>
              <w:bottom w:w="0" w:type="dxa"/>
              <w:right w:w="15" w:type="dxa"/>
            </w:tcMar>
            <w:vAlign w:val="center"/>
            <w:hideMark/>
          </w:tcPr>
          <w:p w:rsidR="00913429" w:rsidRDefault="00E143F0">
            <w:pPr>
              <w:spacing w:after="0" w:line="240" w:lineRule="auto"/>
              <w:rPr>
                <w:rFonts w:eastAsia="Times New Roman"/>
                <w:bCs/>
                <w:noProof/>
                <w:color w:val="000000"/>
                <w:sz w:val="18"/>
                <w:szCs w:val="18"/>
              </w:rPr>
            </w:pPr>
            <w:r>
              <w:rPr>
                <w:rFonts w:eastAsia="Times New Roman"/>
                <w:bCs/>
                <w:noProof/>
                <w:color w:val="000000"/>
                <w:sz w:val="18"/>
                <w:szCs w:val="18"/>
              </w:rPr>
              <w:t>Desk Research &amp; Field Work</w:t>
            </w:r>
          </w:p>
        </w:tc>
        <w:tc>
          <w:tcPr>
            <w:tcW w:w="334" w:type="pct"/>
            <w:tcBorders>
              <w:top w:val="single" w:sz="8" w:space="0" w:color="DC6900"/>
              <w:left w:val="single" w:sz="8" w:space="0" w:color="DC6900"/>
              <w:bottom w:val="single" w:sz="8" w:space="0" w:color="DC6900"/>
              <w:right w:val="single" w:sz="8" w:space="0" w:color="DC6900"/>
            </w:tcBorders>
            <w:shd w:val="clear" w:color="auto" w:fill="auto"/>
            <w:tcMar>
              <w:top w:w="72" w:type="dxa"/>
              <w:left w:w="144" w:type="dxa"/>
              <w:bottom w:w="72" w:type="dxa"/>
              <w:right w:w="144" w:type="dxa"/>
            </w:tcMar>
            <w:hideMark/>
          </w:tcPr>
          <w:p w:rsidR="00913429" w:rsidRDefault="00913429">
            <w:pPr>
              <w:spacing w:after="0" w:line="240" w:lineRule="auto"/>
              <w:rPr>
                <w:rFonts w:eastAsia="Times New Roman"/>
                <w:bCs/>
                <w:noProof/>
                <w:color w:val="000000"/>
                <w:sz w:val="18"/>
                <w:szCs w:val="18"/>
              </w:rPr>
            </w:pPr>
          </w:p>
        </w:tc>
        <w:tc>
          <w:tcPr>
            <w:tcW w:w="334" w:type="pct"/>
            <w:tcBorders>
              <w:top w:val="single" w:sz="8" w:space="0" w:color="DC6900"/>
              <w:left w:val="single" w:sz="8" w:space="0" w:color="DC6900"/>
              <w:bottom w:val="single" w:sz="8" w:space="0" w:color="DC6900"/>
              <w:right w:val="single" w:sz="8" w:space="0" w:color="DC6900"/>
            </w:tcBorders>
            <w:shd w:val="clear" w:color="auto" w:fill="FFF0CC"/>
            <w:tcMar>
              <w:top w:w="72" w:type="dxa"/>
              <w:left w:w="144" w:type="dxa"/>
              <w:bottom w:w="72" w:type="dxa"/>
              <w:right w:w="144" w:type="dxa"/>
            </w:tcMar>
            <w:hideMark/>
          </w:tcPr>
          <w:p w:rsidR="00913429" w:rsidRDefault="00913429">
            <w:pPr>
              <w:spacing w:after="0" w:line="240" w:lineRule="auto"/>
              <w:rPr>
                <w:rFonts w:eastAsia="Times New Roman"/>
                <w:bCs/>
                <w:noProof/>
                <w:color w:val="000000"/>
                <w:sz w:val="18"/>
                <w:szCs w:val="18"/>
              </w:rPr>
            </w:pPr>
          </w:p>
        </w:tc>
        <w:tc>
          <w:tcPr>
            <w:tcW w:w="336" w:type="pct"/>
            <w:tcBorders>
              <w:top w:val="single" w:sz="8" w:space="0" w:color="DC6900"/>
              <w:left w:val="single" w:sz="8" w:space="0" w:color="DC6900"/>
              <w:bottom w:val="single" w:sz="8" w:space="0" w:color="DC6900"/>
              <w:right w:val="single" w:sz="8" w:space="0" w:color="DC6900"/>
            </w:tcBorders>
            <w:shd w:val="clear" w:color="auto" w:fill="FFF0CC"/>
            <w:tcMar>
              <w:top w:w="72" w:type="dxa"/>
              <w:left w:w="144" w:type="dxa"/>
              <w:bottom w:w="72" w:type="dxa"/>
              <w:right w:w="144" w:type="dxa"/>
            </w:tcMar>
            <w:hideMark/>
          </w:tcPr>
          <w:p w:rsidR="00913429" w:rsidRDefault="00913429">
            <w:pPr>
              <w:spacing w:after="0" w:line="240" w:lineRule="auto"/>
              <w:rPr>
                <w:rFonts w:eastAsia="Times New Roman"/>
                <w:bCs/>
                <w:noProof/>
                <w:color w:val="000000"/>
                <w:sz w:val="18"/>
                <w:szCs w:val="18"/>
              </w:rPr>
            </w:pPr>
          </w:p>
        </w:tc>
        <w:tc>
          <w:tcPr>
            <w:tcW w:w="365" w:type="pct"/>
            <w:tcBorders>
              <w:top w:val="single" w:sz="8" w:space="0" w:color="DC6900"/>
              <w:left w:val="single" w:sz="8" w:space="0" w:color="DC6900"/>
              <w:bottom w:val="single" w:sz="8" w:space="0" w:color="DC6900"/>
              <w:right w:val="single" w:sz="8" w:space="0" w:color="DC6900"/>
            </w:tcBorders>
            <w:shd w:val="clear" w:color="auto" w:fill="FFF0CC"/>
            <w:tcMar>
              <w:top w:w="72" w:type="dxa"/>
              <w:left w:w="144" w:type="dxa"/>
              <w:bottom w:w="72" w:type="dxa"/>
              <w:right w:w="144" w:type="dxa"/>
            </w:tcMar>
            <w:hideMark/>
          </w:tcPr>
          <w:p w:rsidR="00913429" w:rsidRDefault="00913429">
            <w:pPr>
              <w:spacing w:after="0" w:line="240" w:lineRule="auto"/>
              <w:rPr>
                <w:rFonts w:eastAsia="Times New Roman"/>
                <w:bCs/>
                <w:noProof/>
                <w:color w:val="000000"/>
                <w:sz w:val="18"/>
                <w:szCs w:val="18"/>
              </w:rPr>
            </w:pPr>
          </w:p>
        </w:tc>
        <w:tc>
          <w:tcPr>
            <w:tcW w:w="342" w:type="pct"/>
            <w:tcBorders>
              <w:top w:val="single" w:sz="8" w:space="0" w:color="DC6900"/>
              <w:left w:val="single" w:sz="8" w:space="0" w:color="DC6900"/>
              <w:bottom w:val="single" w:sz="8" w:space="0" w:color="DC6900"/>
              <w:right w:val="single" w:sz="8" w:space="0" w:color="DC6900"/>
            </w:tcBorders>
            <w:shd w:val="clear" w:color="auto" w:fill="FFF0CC"/>
            <w:tcMar>
              <w:top w:w="72" w:type="dxa"/>
              <w:left w:w="144" w:type="dxa"/>
              <w:bottom w:w="72" w:type="dxa"/>
              <w:right w:w="144" w:type="dxa"/>
            </w:tcMar>
            <w:hideMark/>
          </w:tcPr>
          <w:p w:rsidR="00913429" w:rsidRDefault="00913429">
            <w:pPr>
              <w:spacing w:after="0" w:line="240" w:lineRule="auto"/>
              <w:rPr>
                <w:rFonts w:eastAsia="Times New Roman"/>
                <w:bCs/>
                <w:noProof/>
                <w:color w:val="000000"/>
                <w:sz w:val="18"/>
                <w:szCs w:val="18"/>
              </w:rPr>
            </w:pPr>
          </w:p>
        </w:tc>
        <w:tc>
          <w:tcPr>
            <w:tcW w:w="362" w:type="pct"/>
            <w:tcBorders>
              <w:top w:val="single" w:sz="8" w:space="0" w:color="DC6900"/>
              <w:left w:val="single" w:sz="8" w:space="0" w:color="DC6900"/>
              <w:bottom w:val="single" w:sz="8" w:space="0" w:color="DC6900"/>
              <w:right w:val="single" w:sz="8" w:space="0" w:color="DC6900"/>
            </w:tcBorders>
            <w:shd w:val="clear" w:color="auto" w:fill="808080"/>
            <w:tcMar>
              <w:top w:w="72" w:type="dxa"/>
              <w:left w:w="144" w:type="dxa"/>
              <w:bottom w:w="72" w:type="dxa"/>
              <w:right w:w="144" w:type="dxa"/>
            </w:tcMar>
            <w:hideMark/>
          </w:tcPr>
          <w:p w:rsidR="00913429" w:rsidRDefault="00913429">
            <w:pPr>
              <w:spacing w:after="0" w:line="240" w:lineRule="auto"/>
              <w:rPr>
                <w:rFonts w:eastAsia="Times New Roman"/>
                <w:bCs/>
                <w:noProof/>
                <w:color w:val="000000"/>
                <w:sz w:val="18"/>
                <w:szCs w:val="18"/>
              </w:rPr>
            </w:pPr>
          </w:p>
        </w:tc>
        <w:tc>
          <w:tcPr>
            <w:tcW w:w="339" w:type="pct"/>
            <w:tcBorders>
              <w:top w:val="single" w:sz="8" w:space="0" w:color="DC6900"/>
              <w:left w:val="single" w:sz="8" w:space="0" w:color="DC6900"/>
              <w:bottom w:val="single" w:sz="8" w:space="0" w:color="DC6900"/>
              <w:right w:val="single" w:sz="8" w:space="0" w:color="DC6900"/>
            </w:tcBorders>
            <w:shd w:val="clear" w:color="auto" w:fill="808080"/>
            <w:tcMar>
              <w:top w:w="72" w:type="dxa"/>
              <w:left w:w="144" w:type="dxa"/>
              <w:bottom w:w="72" w:type="dxa"/>
              <w:right w:w="144" w:type="dxa"/>
            </w:tcMar>
            <w:hideMark/>
          </w:tcPr>
          <w:p w:rsidR="00913429" w:rsidRDefault="00913429">
            <w:pPr>
              <w:spacing w:after="0" w:line="240" w:lineRule="auto"/>
              <w:rPr>
                <w:rFonts w:eastAsia="Times New Roman"/>
                <w:bCs/>
                <w:noProof/>
                <w:color w:val="000000"/>
                <w:sz w:val="18"/>
                <w:szCs w:val="18"/>
              </w:rPr>
            </w:pPr>
          </w:p>
        </w:tc>
        <w:tc>
          <w:tcPr>
            <w:tcW w:w="336" w:type="pct"/>
            <w:tcBorders>
              <w:top w:val="single" w:sz="8" w:space="0" w:color="DC6900"/>
              <w:left w:val="single" w:sz="8" w:space="0" w:color="DC6900"/>
              <w:bottom w:val="single" w:sz="8" w:space="0" w:color="DC6900"/>
              <w:right w:val="single" w:sz="8" w:space="0" w:color="DC6900"/>
            </w:tcBorders>
            <w:shd w:val="clear" w:color="auto" w:fill="808080"/>
            <w:tcMar>
              <w:top w:w="72" w:type="dxa"/>
              <w:left w:w="144" w:type="dxa"/>
              <w:bottom w:w="72" w:type="dxa"/>
              <w:right w:w="144" w:type="dxa"/>
            </w:tcMar>
            <w:hideMark/>
          </w:tcPr>
          <w:p w:rsidR="00913429" w:rsidRDefault="00913429">
            <w:pPr>
              <w:spacing w:after="0" w:line="240" w:lineRule="auto"/>
              <w:rPr>
                <w:rFonts w:eastAsia="Times New Roman"/>
                <w:bCs/>
                <w:noProof/>
                <w:color w:val="000000"/>
                <w:sz w:val="18"/>
                <w:szCs w:val="18"/>
              </w:rPr>
            </w:pPr>
          </w:p>
        </w:tc>
      </w:tr>
      <w:tr w:rsidR="00913429">
        <w:trPr>
          <w:gridAfter w:val="1"/>
          <w:wAfter w:w="334" w:type="pct"/>
          <w:trHeight w:val="227"/>
        </w:trPr>
        <w:tc>
          <w:tcPr>
            <w:tcW w:w="247" w:type="pct"/>
            <w:tcBorders>
              <w:top w:val="single" w:sz="8" w:space="0" w:color="DC6900"/>
              <w:left w:val="single" w:sz="8" w:space="0" w:color="DC6900"/>
              <w:bottom w:val="single" w:sz="8" w:space="0" w:color="DC6900"/>
              <w:right w:val="single" w:sz="8" w:space="0" w:color="DC6900"/>
            </w:tcBorders>
            <w:shd w:val="clear" w:color="auto" w:fill="auto"/>
            <w:tcMar>
              <w:top w:w="72" w:type="dxa"/>
              <w:left w:w="113" w:type="dxa"/>
              <w:bottom w:w="72" w:type="dxa"/>
              <w:right w:w="113" w:type="dxa"/>
            </w:tcMar>
            <w:vAlign w:val="center"/>
          </w:tcPr>
          <w:p w:rsidR="00913429" w:rsidRDefault="00913429">
            <w:pPr>
              <w:spacing w:after="0" w:line="240" w:lineRule="auto"/>
              <w:jc w:val="center"/>
              <w:rPr>
                <w:rFonts w:eastAsia="Times New Roman"/>
                <w:bCs/>
                <w:noProof/>
                <w:color w:val="000000"/>
                <w:sz w:val="18"/>
                <w:szCs w:val="18"/>
              </w:rPr>
            </w:pPr>
          </w:p>
        </w:tc>
        <w:tc>
          <w:tcPr>
            <w:tcW w:w="1671" w:type="pct"/>
            <w:tcBorders>
              <w:top w:val="single" w:sz="8" w:space="0" w:color="DC6900"/>
              <w:left w:val="single" w:sz="8" w:space="0" w:color="DC6900"/>
              <w:bottom w:val="single" w:sz="8" w:space="0" w:color="DC6900"/>
              <w:right w:val="single" w:sz="8" w:space="0" w:color="DC6900"/>
            </w:tcBorders>
            <w:shd w:val="clear" w:color="auto" w:fill="auto"/>
            <w:tcMar>
              <w:top w:w="15" w:type="dxa"/>
              <w:left w:w="57" w:type="dxa"/>
              <w:bottom w:w="0" w:type="dxa"/>
              <w:right w:w="15" w:type="dxa"/>
            </w:tcMar>
            <w:vAlign w:val="center"/>
          </w:tcPr>
          <w:p w:rsidR="00913429" w:rsidRDefault="00E143F0">
            <w:pPr>
              <w:spacing w:after="0" w:line="240" w:lineRule="auto"/>
              <w:rPr>
                <w:rFonts w:eastAsia="Times New Roman"/>
                <w:bCs/>
                <w:noProof/>
                <w:color w:val="000000"/>
                <w:sz w:val="18"/>
                <w:szCs w:val="18"/>
              </w:rPr>
            </w:pPr>
            <w:r>
              <w:rPr>
                <w:rFonts w:eastAsia="Times New Roman"/>
                <w:bCs/>
                <w:noProof/>
                <w:color w:val="000000"/>
                <w:sz w:val="18"/>
                <w:szCs w:val="18"/>
              </w:rPr>
              <w:t>Literature / input analysis provided by the Commission</w:t>
            </w:r>
          </w:p>
        </w:tc>
        <w:tc>
          <w:tcPr>
            <w:tcW w:w="334" w:type="pct"/>
            <w:tcBorders>
              <w:top w:val="single" w:sz="8" w:space="0" w:color="DC6900"/>
              <w:left w:val="single" w:sz="8" w:space="0" w:color="DC6900"/>
              <w:bottom w:val="single" w:sz="8" w:space="0" w:color="DC6900"/>
              <w:right w:val="single" w:sz="8" w:space="0" w:color="DC6900"/>
            </w:tcBorders>
            <w:shd w:val="clear" w:color="auto" w:fill="auto"/>
            <w:tcMar>
              <w:top w:w="72" w:type="dxa"/>
              <w:left w:w="144" w:type="dxa"/>
              <w:bottom w:w="72" w:type="dxa"/>
              <w:right w:w="144" w:type="dxa"/>
            </w:tcMar>
          </w:tcPr>
          <w:p w:rsidR="00913429" w:rsidRDefault="00913429">
            <w:pPr>
              <w:spacing w:after="0" w:line="240" w:lineRule="auto"/>
              <w:rPr>
                <w:rFonts w:eastAsia="Times New Roman"/>
                <w:bCs/>
                <w:noProof/>
                <w:color w:val="000000"/>
                <w:sz w:val="18"/>
                <w:szCs w:val="18"/>
              </w:rPr>
            </w:pPr>
          </w:p>
        </w:tc>
        <w:tc>
          <w:tcPr>
            <w:tcW w:w="334" w:type="pct"/>
            <w:tcBorders>
              <w:top w:val="single" w:sz="8" w:space="0" w:color="DC6900"/>
              <w:left w:val="single" w:sz="8" w:space="0" w:color="DC6900"/>
              <w:bottom w:val="single" w:sz="8" w:space="0" w:color="DC6900"/>
              <w:right w:val="single" w:sz="8" w:space="0" w:color="DC6900"/>
            </w:tcBorders>
            <w:shd w:val="clear" w:color="auto" w:fill="FFF0CC"/>
            <w:tcMar>
              <w:top w:w="72" w:type="dxa"/>
              <w:left w:w="144" w:type="dxa"/>
              <w:bottom w:w="72" w:type="dxa"/>
              <w:right w:w="144" w:type="dxa"/>
            </w:tcMar>
          </w:tcPr>
          <w:p w:rsidR="00913429" w:rsidRDefault="00913429">
            <w:pPr>
              <w:spacing w:after="0" w:line="240" w:lineRule="auto"/>
              <w:rPr>
                <w:rFonts w:eastAsia="Times New Roman"/>
                <w:bCs/>
                <w:noProof/>
                <w:color w:val="000000"/>
                <w:sz w:val="18"/>
                <w:szCs w:val="18"/>
              </w:rPr>
            </w:pPr>
          </w:p>
        </w:tc>
        <w:tc>
          <w:tcPr>
            <w:tcW w:w="336" w:type="pct"/>
            <w:tcBorders>
              <w:top w:val="single" w:sz="8" w:space="0" w:color="DC6900"/>
              <w:left w:val="single" w:sz="8" w:space="0" w:color="DC6900"/>
              <w:bottom w:val="single" w:sz="8" w:space="0" w:color="DC6900"/>
              <w:right w:val="single" w:sz="8" w:space="0" w:color="DC6900"/>
            </w:tcBorders>
            <w:shd w:val="clear" w:color="auto" w:fill="FFF0CC"/>
            <w:tcMar>
              <w:top w:w="72" w:type="dxa"/>
              <w:left w:w="144" w:type="dxa"/>
              <w:bottom w:w="72" w:type="dxa"/>
              <w:right w:w="144" w:type="dxa"/>
            </w:tcMar>
          </w:tcPr>
          <w:p w:rsidR="00913429" w:rsidRDefault="00913429">
            <w:pPr>
              <w:spacing w:after="0" w:line="240" w:lineRule="auto"/>
              <w:rPr>
                <w:rFonts w:eastAsia="Times New Roman"/>
                <w:bCs/>
                <w:noProof/>
                <w:color w:val="000000"/>
                <w:sz w:val="18"/>
                <w:szCs w:val="18"/>
              </w:rPr>
            </w:pPr>
          </w:p>
        </w:tc>
        <w:tc>
          <w:tcPr>
            <w:tcW w:w="365" w:type="pct"/>
            <w:tcBorders>
              <w:top w:val="single" w:sz="8" w:space="0" w:color="DC6900"/>
              <w:left w:val="single" w:sz="8" w:space="0" w:color="DC6900"/>
              <w:bottom w:val="single" w:sz="8" w:space="0" w:color="DC6900"/>
              <w:right w:val="single" w:sz="8" w:space="0" w:color="DC6900"/>
            </w:tcBorders>
            <w:shd w:val="clear" w:color="auto" w:fill="FFF0CC"/>
            <w:tcMar>
              <w:top w:w="72" w:type="dxa"/>
              <w:left w:w="144" w:type="dxa"/>
              <w:bottom w:w="72" w:type="dxa"/>
              <w:right w:w="144" w:type="dxa"/>
            </w:tcMar>
          </w:tcPr>
          <w:p w:rsidR="00913429" w:rsidRDefault="00913429">
            <w:pPr>
              <w:spacing w:after="0" w:line="240" w:lineRule="auto"/>
              <w:rPr>
                <w:rFonts w:eastAsia="Times New Roman"/>
                <w:bCs/>
                <w:noProof/>
                <w:color w:val="000000"/>
                <w:sz w:val="18"/>
                <w:szCs w:val="18"/>
              </w:rPr>
            </w:pPr>
          </w:p>
        </w:tc>
        <w:tc>
          <w:tcPr>
            <w:tcW w:w="342" w:type="pct"/>
            <w:tcBorders>
              <w:top w:val="single" w:sz="8" w:space="0" w:color="DC6900"/>
              <w:left w:val="single" w:sz="8" w:space="0" w:color="DC6900"/>
              <w:bottom w:val="single" w:sz="8" w:space="0" w:color="DC6900"/>
              <w:right w:val="single" w:sz="8" w:space="0" w:color="DC6900"/>
            </w:tcBorders>
            <w:shd w:val="clear" w:color="auto" w:fill="FFF0CC"/>
            <w:tcMar>
              <w:top w:w="72" w:type="dxa"/>
              <w:left w:w="144" w:type="dxa"/>
              <w:bottom w:w="72" w:type="dxa"/>
              <w:right w:w="144" w:type="dxa"/>
            </w:tcMar>
          </w:tcPr>
          <w:p w:rsidR="00913429" w:rsidRDefault="00913429">
            <w:pPr>
              <w:spacing w:after="0" w:line="240" w:lineRule="auto"/>
              <w:rPr>
                <w:rFonts w:eastAsia="Times New Roman"/>
                <w:bCs/>
                <w:noProof/>
                <w:color w:val="000000"/>
                <w:sz w:val="18"/>
                <w:szCs w:val="18"/>
              </w:rPr>
            </w:pPr>
          </w:p>
        </w:tc>
        <w:tc>
          <w:tcPr>
            <w:tcW w:w="362" w:type="pct"/>
            <w:tcBorders>
              <w:top w:val="single" w:sz="8" w:space="0" w:color="DC6900"/>
              <w:left w:val="single" w:sz="8" w:space="0" w:color="DC6900"/>
              <w:bottom w:val="single" w:sz="8" w:space="0" w:color="DC6900"/>
              <w:right w:val="single" w:sz="8" w:space="0" w:color="DC6900"/>
            </w:tcBorders>
            <w:shd w:val="clear" w:color="auto" w:fill="808080"/>
            <w:tcMar>
              <w:top w:w="72" w:type="dxa"/>
              <w:left w:w="144" w:type="dxa"/>
              <w:bottom w:w="72" w:type="dxa"/>
              <w:right w:w="144" w:type="dxa"/>
            </w:tcMar>
          </w:tcPr>
          <w:p w:rsidR="00913429" w:rsidRDefault="00913429">
            <w:pPr>
              <w:spacing w:after="0" w:line="240" w:lineRule="auto"/>
              <w:rPr>
                <w:rFonts w:eastAsia="Times New Roman"/>
                <w:bCs/>
                <w:noProof/>
                <w:color w:val="000000"/>
                <w:sz w:val="18"/>
                <w:szCs w:val="18"/>
              </w:rPr>
            </w:pPr>
          </w:p>
        </w:tc>
        <w:tc>
          <w:tcPr>
            <w:tcW w:w="339" w:type="pct"/>
            <w:tcBorders>
              <w:top w:val="single" w:sz="8" w:space="0" w:color="DC6900"/>
              <w:left w:val="single" w:sz="8" w:space="0" w:color="DC6900"/>
              <w:bottom w:val="single" w:sz="8" w:space="0" w:color="DC6900"/>
              <w:right w:val="single" w:sz="8" w:space="0" w:color="DC6900"/>
            </w:tcBorders>
            <w:shd w:val="clear" w:color="auto" w:fill="808080"/>
            <w:tcMar>
              <w:top w:w="72" w:type="dxa"/>
              <w:left w:w="144" w:type="dxa"/>
              <w:bottom w:w="72" w:type="dxa"/>
              <w:right w:w="144" w:type="dxa"/>
            </w:tcMar>
          </w:tcPr>
          <w:p w:rsidR="00913429" w:rsidRDefault="00913429">
            <w:pPr>
              <w:spacing w:after="0" w:line="240" w:lineRule="auto"/>
              <w:rPr>
                <w:rFonts w:eastAsia="Times New Roman"/>
                <w:bCs/>
                <w:noProof/>
                <w:color w:val="000000"/>
                <w:sz w:val="18"/>
                <w:szCs w:val="18"/>
              </w:rPr>
            </w:pPr>
          </w:p>
        </w:tc>
        <w:tc>
          <w:tcPr>
            <w:tcW w:w="336" w:type="pct"/>
            <w:tcBorders>
              <w:top w:val="single" w:sz="8" w:space="0" w:color="DC6900"/>
              <w:left w:val="single" w:sz="8" w:space="0" w:color="DC6900"/>
              <w:bottom w:val="single" w:sz="8" w:space="0" w:color="DC6900"/>
              <w:right w:val="single" w:sz="8" w:space="0" w:color="DC6900"/>
            </w:tcBorders>
            <w:shd w:val="clear" w:color="auto" w:fill="808080"/>
            <w:tcMar>
              <w:top w:w="72" w:type="dxa"/>
              <w:left w:w="144" w:type="dxa"/>
              <w:bottom w:w="72" w:type="dxa"/>
              <w:right w:w="144" w:type="dxa"/>
            </w:tcMar>
          </w:tcPr>
          <w:p w:rsidR="00913429" w:rsidRDefault="00913429">
            <w:pPr>
              <w:spacing w:after="0" w:line="240" w:lineRule="auto"/>
              <w:rPr>
                <w:rFonts w:eastAsia="Times New Roman"/>
                <w:bCs/>
                <w:noProof/>
                <w:color w:val="000000"/>
                <w:sz w:val="18"/>
                <w:szCs w:val="18"/>
              </w:rPr>
            </w:pPr>
          </w:p>
        </w:tc>
      </w:tr>
      <w:tr w:rsidR="00913429">
        <w:trPr>
          <w:gridAfter w:val="1"/>
          <w:wAfter w:w="334" w:type="pct"/>
          <w:trHeight w:val="227"/>
        </w:trPr>
        <w:tc>
          <w:tcPr>
            <w:tcW w:w="247" w:type="pct"/>
            <w:tcBorders>
              <w:top w:val="single" w:sz="8" w:space="0" w:color="DC6900"/>
              <w:left w:val="single" w:sz="8" w:space="0" w:color="DC6900"/>
              <w:bottom w:val="single" w:sz="8" w:space="0" w:color="DC6900"/>
              <w:right w:val="single" w:sz="8" w:space="0" w:color="DC6900"/>
            </w:tcBorders>
            <w:shd w:val="clear" w:color="auto" w:fill="auto"/>
            <w:tcMar>
              <w:top w:w="72" w:type="dxa"/>
              <w:left w:w="113" w:type="dxa"/>
              <w:bottom w:w="72" w:type="dxa"/>
              <w:right w:w="113" w:type="dxa"/>
            </w:tcMar>
            <w:vAlign w:val="center"/>
            <w:hideMark/>
          </w:tcPr>
          <w:p w:rsidR="00913429" w:rsidRDefault="00913429">
            <w:pPr>
              <w:spacing w:after="0" w:line="240" w:lineRule="auto"/>
              <w:jc w:val="center"/>
              <w:rPr>
                <w:rFonts w:eastAsia="Times New Roman"/>
                <w:bCs/>
                <w:noProof/>
                <w:color w:val="000000"/>
                <w:sz w:val="18"/>
                <w:szCs w:val="18"/>
              </w:rPr>
            </w:pPr>
          </w:p>
        </w:tc>
        <w:tc>
          <w:tcPr>
            <w:tcW w:w="1671" w:type="pct"/>
            <w:tcBorders>
              <w:top w:val="single" w:sz="8" w:space="0" w:color="DC6900"/>
              <w:left w:val="single" w:sz="8" w:space="0" w:color="DC6900"/>
              <w:bottom w:val="single" w:sz="8" w:space="0" w:color="DC6900"/>
              <w:right w:val="single" w:sz="8" w:space="0" w:color="DC6900"/>
            </w:tcBorders>
            <w:shd w:val="clear" w:color="auto" w:fill="auto"/>
            <w:tcMar>
              <w:top w:w="15" w:type="dxa"/>
              <w:left w:w="57" w:type="dxa"/>
              <w:bottom w:w="0" w:type="dxa"/>
              <w:right w:w="15" w:type="dxa"/>
            </w:tcMar>
            <w:vAlign w:val="center"/>
            <w:hideMark/>
          </w:tcPr>
          <w:p w:rsidR="00913429" w:rsidRDefault="00E143F0">
            <w:pPr>
              <w:spacing w:after="0" w:line="240" w:lineRule="auto"/>
              <w:rPr>
                <w:rFonts w:eastAsia="Times New Roman"/>
                <w:bCs/>
                <w:noProof/>
                <w:color w:val="000000"/>
                <w:sz w:val="18"/>
                <w:szCs w:val="18"/>
              </w:rPr>
            </w:pPr>
            <w:r>
              <w:rPr>
                <w:rFonts w:eastAsia="Times New Roman"/>
                <w:bCs/>
                <w:noProof/>
                <w:color w:val="000000"/>
                <w:sz w:val="18"/>
                <w:szCs w:val="18"/>
              </w:rPr>
              <w:t>Desk research</w:t>
            </w:r>
          </w:p>
        </w:tc>
        <w:tc>
          <w:tcPr>
            <w:tcW w:w="334" w:type="pct"/>
            <w:tcBorders>
              <w:top w:val="single" w:sz="8" w:space="0" w:color="DC6900"/>
              <w:left w:val="single" w:sz="8" w:space="0" w:color="DC6900"/>
              <w:bottom w:val="single" w:sz="8" w:space="0" w:color="DC6900"/>
              <w:right w:val="single" w:sz="8" w:space="0" w:color="DC6900"/>
            </w:tcBorders>
            <w:shd w:val="clear" w:color="auto" w:fill="auto"/>
            <w:tcMar>
              <w:top w:w="72" w:type="dxa"/>
              <w:left w:w="144" w:type="dxa"/>
              <w:bottom w:w="72" w:type="dxa"/>
              <w:right w:w="144" w:type="dxa"/>
            </w:tcMar>
            <w:hideMark/>
          </w:tcPr>
          <w:p w:rsidR="00913429" w:rsidRDefault="00913429">
            <w:pPr>
              <w:spacing w:after="0" w:line="240" w:lineRule="auto"/>
              <w:rPr>
                <w:rFonts w:eastAsia="Times New Roman"/>
                <w:bCs/>
                <w:noProof/>
                <w:color w:val="000000"/>
                <w:sz w:val="18"/>
                <w:szCs w:val="18"/>
              </w:rPr>
            </w:pPr>
          </w:p>
        </w:tc>
        <w:tc>
          <w:tcPr>
            <w:tcW w:w="334" w:type="pct"/>
            <w:tcBorders>
              <w:top w:val="single" w:sz="8" w:space="0" w:color="DC6900"/>
              <w:left w:val="single" w:sz="8" w:space="0" w:color="DC6900"/>
              <w:bottom w:val="single" w:sz="8" w:space="0" w:color="DC6900"/>
              <w:right w:val="single" w:sz="8" w:space="0" w:color="DC6900"/>
            </w:tcBorders>
            <w:shd w:val="clear" w:color="auto" w:fill="auto"/>
            <w:tcMar>
              <w:top w:w="72" w:type="dxa"/>
              <w:left w:w="144" w:type="dxa"/>
              <w:bottom w:w="72" w:type="dxa"/>
              <w:right w:w="144" w:type="dxa"/>
            </w:tcMar>
            <w:hideMark/>
          </w:tcPr>
          <w:p w:rsidR="00913429" w:rsidRDefault="00913429">
            <w:pPr>
              <w:spacing w:after="0" w:line="240" w:lineRule="auto"/>
              <w:rPr>
                <w:rFonts w:eastAsia="Times New Roman"/>
                <w:bCs/>
                <w:noProof/>
                <w:color w:val="000000"/>
                <w:sz w:val="18"/>
                <w:szCs w:val="18"/>
              </w:rPr>
            </w:pPr>
          </w:p>
        </w:tc>
        <w:tc>
          <w:tcPr>
            <w:tcW w:w="336" w:type="pct"/>
            <w:tcBorders>
              <w:top w:val="single" w:sz="8" w:space="0" w:color="DC6900"/>
              <w:left w:val="single" w:sz="8" w:space="0" w:color="DC6900"/>
              <w:bottom w:val="single" w:sz="8" w:space="0" w:color="DC6900"/>
              <w:right w:val="single" w:sz="8" w:space="0" w:color="DC6900"/>
            </w:tcBorders>
            <w:shd w:val="clear" w:color="auto" w:fill="FFF0CC"/>
            <w:tcMar>
              <w:top w:w="72" w:type="dxa"/>
              <w:left w:w="144" w:type="dxa"/>
              <w:bottom w:w="72" w:type="dxa"/>
              <w:right w:w="144" w:type="dxa"/>
            </w:tcMar>
            <w:hideMark/>
          </w:tcPr>
          <w:p w:rsidR="00913429" w:rsidRDefault="00913429">
            <w:pPr>
              <w:spacing w:after="0" w:line="240" w:lineRule="auto"/>
              <w:rPr>
                <w:rFonts w:eastAsia="Times New Roman"/>
                <w:bCs/>
                <w:noProof/>
                <w:color w:val="000000"/>
                <w:sz w:val="18"/>
                <w:szCs w:val="18"/>
              </w:rPr>
            </w:pPr>
          </w:p>
        </w:tc>
        <w:tc>
          <w:tcPr>
            <w:tcW w:w="365" w:type="pct"/>
            <w:tcBorders>
              <w:top w:val="single" w:sz="8" w:space="0" w:color="DC6900"/>
              <w:left w:val="single" w:sz="8" w:space="0" w:color="DC6900"/>
              <w:bottom w:val="single" w:sz="8" w:space="0" w:color="DC6900"/>
              <w:right w:val="single" w:sz="8" w:space="0" w:color="DC6900"/>
            </w:tcBorders>
            <w:shd w:val="clear" w:color="auto" w:fill="FFF0CC"/>
            <w:tcMar>
              <w:top w:w="72" w:type="dxa"/>
              <w:left w:w="144" w:type="dxa"/>
              <w:bottom w:w="72" w:type="dxa"/>
              <w:right w:w="144" w:type="dxa"/>
            </w:tcMar>
            <w:hideMark/>
          </w:tcPr>
          <w:p w:rsidR="00913429" w:rsidRDefault="00913429">
            <w:pPr>
              <w:spacing w:after="0" w:line="240" w:lineRule="auto"/>
              <w:rPr>
                <w:rFonts w:eastAsia="Times New Roman"/>
                <w:bCs/>
                <w:noProof/>
                <w:color w:val="000000"/>
                <w:sz w:val="18"/>
                <w:szCs w:val="18"/>
              </w:rPr>
            </w:pPr>
          </w:p>
        </w:tc>
        <w:tc>
          <w:tcPr>
            <w:tcW w:w="342" w:type="pct"/>
            <w:tcBorders>
              <w:top w:val="single" w:sz="8" w:space="0" w:color="DC6900"/>
              <w:left w:val="single" w:sz="8" w:space="0" w:color="DC6900"/>
              <w:bottom w:val="single" w:sz="8" w:space="0" w:color="DC6900"/>
              <w:right w:val="single" w:sz="8" w:space="0" w:color="DC6900"/>
            </w:tcBorders>
            <w:shd w:val="clear" w:color="auto" w:fill="FFF0CC"/>
            <w:tcMar>
              <w:top w:w="72" w:type="dxa"/>
              <w:left w:w="144" w:type="dxa"/>
              <w:bottom w:w="72" w:type="dxa"/>
              <w:right w:w="144" w:type="dxa"/>
            </w:tcMar>
            <w:hideMark/>
          </w:tcPr>
          <w:p w:rsidR="00913429" w:rsidRDefault="00913429">
            <w:pPr>
              <w:spacing w:after="0" w:line="240" w:lineRule="auto"/>
              <w:rPr>
                <w:rFonts w:eastAsia="Times New Roman"/>
                <w:bCs/>
                <w:noProof/>
                <w:color w:val="000000"/>
                <w:sz w:val="18"/>
                <w:szCs w:val="18"/>
              </w:rPr>
            </w:pPr>
          </w:p>
        </w:tc>
        <w:tc>
          <w:tcPr>
            <w:tcW w:w="362" w:type="pct"/>
            <w:tcBorders>
              <w:top w:val="single" w:sz="8" w:space="0" w:color="DC6900"/>
              <w:left w:val="single" w:sz="8" w:space="0" w:color="DC6900"/>
              <w:bottom w:val="single" w:sz="8" w:space="0" w:color="DC6900"/>
              <w:right w:val="single" w:sz="8" w:space="0" w:color="DC6900"/>
            </w:tcBorders>
            <w:shd w:val="clear" w:color="auto" w:fill="808080"/>
            <w:tcMar>
              <w:top w:w="72" w:type="dxa"/>
              <w:left w:w="144" w:type="dxa"/>
              <w:bottom w:w="72" w:type="dxa"/>
              <w:right w:w="144" w:type="dxa"/>
            </w:tcMar>
            <w:hideMark/>
          </w:tcPr>
          <w:p w:rsidR="00913429" w:rsidRDefault="00913429">
            <w:pPr>
              <w:spacing w:after="0" w:line="240" w:lineRule="auto"/>
              <w:rPr>
                <w:rFonts w:eastAsia="Times New Roman"/>
                <w:bCs/>
                <w:noProof/>
                <w:color w:val="000000"/>
                <w:sz w:val="18"/>
                <w:szCs w:val="18"/>
              </w:rPr>
            </w:pPr>
          </w:p>
        </w:tc>
        <w:tc>
          <w:tcPr>
            <w:tcW w:w="339" w:type="pct"/>
            <w:tcBorders>
              <w:top w:val="single" w:sz="8" w:space="0" w:color="DC6900"/>
              <w:left w:val="single" w:sz="8" w:space="0" w:color="DC6900"/>
              <w:bottom w:val="single" w:sz="8" w:space="0" w:color="DC6900"/>
              <w:right w:val="single" w:sz="8" w:space="0" w:color="DC6900"/>
            </w:tcBorders>
            <w:shd w:val="clear" w:color="auto" w:fill="808080"/>
            <w:tcMar>
              <w:top w:w="72" w:type="dxa"/>
              <w:left w:w="144" w:type="dxa"/>
              <w:bottom w:w="72" w:type="dxa"/>
              <w:right w:w="144" w:type="dxa"/>
            </w:tcMar>
            <w:hideMark/>
          </w:tcPr>
          <w:p w:rsidR="00913429" w:rsidRDefault="00913429">
            <w:pPr>
              <w:spacing w:after="0" w:line="240" w:lineRule="auto"/>
              <w:rPr>
                <w:rFonts w:eastAsia="Times New Roman"/>
                <w:bCs/>
                <w:noProof/>
                <w:color w:val="000000"/>
                <w:sz w:val="18"/>
                <w:szCs w:val="18"/>
              </w:rPr>
            </w:pPr>
          </w:p>
        </w:tc>
        <w:tc>
          <w:tcPr>
            <w:tcW w:w="336" w:type="pct"/>
            <w:tcBorders>
              <w:top w:val="single" w:sz="8" w:space="0" w:color="DC6900"/>
              <w:left w:val="single" w:sz="8" w:space="0" w:color="DC6900"/>
              <w:bottom w:val="single" w:sz="8" w:space="0" w:color="DC6900"/>
              <w:right w:val="single" w:sz="8" w:space="0" w:color="DC6900"/>
            </w:tcBorders>
            <w:shd w:val="clear" w:color="auto" w:fill="808080"/>
            <w:tcMar>
              <w:top w:w="72" w:type="dxa"/>
              <w:left w:w="144" w:type="dxa"/>
              <w:bottom w:w="72" w:type="dxa"/>
              <w:right w:w="144" w:type="dxa"/>
            </w:tcMar>
            <w:hideMark/>
          </w:tcPr>
          <w:p w:rsidR="00913429" w:rsidRDefault="00913429">
            <w:pPr>
              <w:spacing w:after="0" w:line="240" w:lineRule="auto"/>
              <w:rPr>
                <w:rFonts w:eastAsia="Times New Roman"/>
                <w:bCs/>
                <w:noProof/>
                <w:color w:val="000000"/>
                <w:sz w:val="18"/>
                <w:szCs w:val="18"/>
              </w:rPr>
            </w:pPr>
          </w:p>
        </w:tc>
      </w:tr>
      <w:tr w:rsidR="00913429">
        <w:trPr>
          <w:gridAfter w:val="1"/>
          <w:wAfter w:w="334" w:type="pct"/>
          <w:trHeight w:val="227"/>
        </w:trPr>
        <w:tc>
          <w:tcPr>
            <w:tcW w:w="247" w:type="pct"/>
            <w:tcBorders>
              <w:top w:val="single" w:sz="8" w:space="0" w:color="DC6900"/>
              <w:left w:val="single" w:sz="8" w:space="0" w:color="DC6900"/>
              <w:bottom w:val="single" w:sz="8" w:space="0" w:color="DC6900"/>
              <w:right w:val="single" w:sz="8" w:space="0" w:color="DC6900"/>
            </w:tcBorders>
            <w:shd w:val="clear" w:color="auto" w:fill="auto"/>
            <w:tcMar>
              <w:top w:w="72" w:type="dxa"/>
              <w:left w:w="113" w:type="dxa"/>
              <w:bottom w:w="72" w:type="dxa"/>
              <w:right w:w="113" w:type="dxa"/>
            </w:tcMar>
            <w:vAlign w:val="center"/>
            <w:hideMark/>
          </w:tcPr>
          <w:p w:rsidR="00913429" w:rsidRDefault="00913429">
            <w:pPr>
              <w:spacing w:after="0" w:line="240" w:lineRule="auto"/>
              <w:jc w:val="center"/>
              <w:rPr>
                <w:rFonts w:eastAsia="Times New Roman"/>
                <w:bCs/>
                <w:noProof/>
                <w:color w:val="000000"/>
                <w:sz w:val="18"/>
                <w:szCs w:val="18"/>
              </w:rPr>
            </w:pPr>
          </w:p>
        </w:tc>
        <w:tc>
          <w:tcPr>
            <w:tcW w:w="1671" w:type="pct"/>
            <w:tcBorders>
              <w:top w:val="single" w:sz="8" w:space="0" w:color="DC6900"/>
              <w:left w:val="single" w:sz="8" w:space="0" w:color="DC6900"/>
              <w:bottom w:val="single" w:sz="8" w:space="0" w:color="DC6900"/>
              <w:right w:val="single" w:sz="8" w:space="0" w:color="DC6900"/>
            </w:tcBorders>
            <w:shd w:val="clear" w:color="auto" w:fill="auto"/>
            <w:tcMar>
              <w:top w:w="15" w:type="dxa"/>
              <w:left w:w="57" w:type="dxa"/>
              <w:bottom w:w="0" w:type="dxa"/>
              <w:right w:w="15" w:type="dxa"/>
            </w:tcMar>
            <w:vAlign w:val="center"/>
            <w:hideMark/>
          </w:tcPr>
          <w:p w:rsidR="00913429" w:rsidRDefault="00E143F0">
            <w:pPr>
              <w:spacing w:after="0" w:line="240" w:lineRule="auto"/>
              <w:rPr>
                <w:rFonts w:eastAsia="Times New Roman"/>
                <w:bCs/>
                <w:noProof/>
                <w:color w:val="000000"/>
                <w:sz w:val="18"/>
                <w:szCs w:val="18"/>
              </w:rPr>
            </w:pPr>
            <w:r>
              <w:rPr>
                <w:rFonts w:eastAsia="Times New Roman"/>
                <w:bCs/>
                <w:noProof/>
                <w:color w:val="000000"/>
                <w:sz w:val="18"/>
                <w:szCs w:val="18"/>
              </w:rPr>
              <w:t>Stakeholders re-mapping</w:t>
            </w:r>
          </w:p>
        </w:tc>
        <w:tc>
          <w:tcPr>
            <w:tcW w:w="334" w:type="pct"/>
            <w:tcBorders>
              <w:top w:val="single" w:sz="8" w:space="0" w:color="DC6900"/>
              <w:left w:val="single" w:sz="8" w:space="0" w:color="DC6900"/>
              <w:bottom w:val="single" w:sz="8" w:space="0" w:color="DC6900"/>
              <w:right w:val="single" w:sz="8" w:space="0" w:color="DC6900"/>
            </w:tcBorders>
            <w:shd w:val="clear" w:color="auto" w:fill="auto"/>
            <w:tcMar>
              <w:top w:w="72" w:type="dxa"/>
              <w:left w:w="144" w:type="dxa"/>
              <w:bottom w:w="72" w:type="dxa"/>
              <w:right w:w="144" w:type="dxa"/>
            </w:tcMar>
            <w:hideMark/>
          </w:tcPr>
          <w:p w:rsidR="00913429" w:rsidRDefault="00913429">
            <w:pPr>
              <w:spacing w:after="0" w:line="240" w:lineRule="auto"/>
              <w:rPr>
                <w:rFonts w:eastAsia="Times New Roman"/>
                <w:bCs/>
                <w:noProof/>
                <w:color w:val="000000"/>
                <w:sz w:val="18"/>
                <w:szCs w:val="18"/>
              </w:rPr>
            </w:pPr>
          </w:p>
        </w:tc>
        <w:tc>
          <w:tcPr>
            <w:tcW w:w="334" w:type="pct"/>
            <w:tcBorders>
              <w:top w:val="single" w:sz="8" w:space="0" w:color="DC6900"/>
              <w:left w:val="single" w:sz="8" w:space="0" w:color="DC6900"/>
              <w:bottom w:val="single" w:sz="8" w:space="0" w:color="DC6900"/>
              <w:right w:val="single" w:sz="8" w:space="0" w:color="DC6900"/>
            </w:tcBorders>
            <w:shd w:val="clear" w:color="auto" w:fill="auto"/>
            <w:tcMar>
              <w:top w:w="72" w:type="dxa"/>
              <w:left w:w="144" w:type="dxa"/>
              <w:bottom w:w="72" w:type="dxa"/>
              <w:right w:w="144" w:type="dxa"/>
            </w:tcMar>
            <w:hideMark/>
          </w:tcPr>
          <w:p w:rsidR="00913429" w:rsidRDefault="00913429">
            <w:pPr>
              <w:spacing w:after="0" w:line="240" w:lineRule="auto"/>
              <w:rPr>
                <w:rFonts w:eastAsia="Times New Roman"/>
                <w:bCs/>
                <w:noProof/>
                <w:color w:val="000000"/>
                <w:sz w:val="18"/>
                <w:szCs w:val="18"/>
              </w:rPr>
            </w:pPr>
          </w:p>
        </w:tc>
        <w:tc>
          <w:tcPr>
            <w:tcW w:w="336" w:type="pct"/>
            <w:tcBorders>
              <w:top w:val="single" w:sz="8" w:space="0" w:color="DC6900"/>
              <w:left w:val="single" w:sz="8" w:space="0" w:color="DC6900"/>
              <w:bottom w:val="single" w:sz="8" w:space="0" w:color="DC6900"/>
              <w:right w:val="single" w:sz="8" w:space="0" w:color="DC6900"/>
            </w:tcBorders>
            <w:shd w:val="clear" w:color="auto" w:fill="FFF0CC"/>
            <w:tcMar>
              <w:top w:w="72" w:type="dxa"/>
              <w:left w:w="144" w:type="dxa"/>
              <w:bottom w:w="72" w:type="dxa"/>
              <w:right w:w="144" w:type="dxa"/>
            </w:tcMar>
            <w:hideMark/>
          </w:tcPr>
          <w:p w:rsidR="00913429" w:rsidRDefault="00913429">
            <w:pPr>
              <w:spacing w:after="0" w:line="240" w:lineRule="auto"/>
              <w:rPr>
                <w:rFonts w:eastAsia="Times New Roman"/>
                <w:bCs/>
                <w:noProof/>
                <w:color w:val="000000"/>
                <w:sz w:val="18"/>
                <w:szCs w:val="18"/>
              </w:rPr>
            </w:pPr>
          </w:p>
        </w:tc>
        <w:tc>
          <w:tcPr>
            <w:tcW w:w="365" w:type="pct"/>
            <w:tcBorders>
              <w:top w:val="single" w:sz="8" w:space="0" w:color="DC6900"/>
              <w:left w:val="single" w:sz="8" w:space="0" w:color="DC6900"/>
              <w:bottom w:val="single" w:sz="8" w:space="0" w:color="DC6900"/>
              <w:right w:val="single" w:sz="8" w:space="0" w:color="DC6900"/>
            </w:tcBorders>
            <w:shd w:val="clear" w:color="auto" w:fill="FFF0CC"/>
            <w:tcMar>
              <w:top w:w="72" w:type="dxa"/>
              <w:left w:w="144" w:type="dxa"/>
              <w:bottom w:w="72" w:type="dxa"/>
              <w:right w:w="144" w:type="dxa"/>
            </w:tcMar>
            <w:hideMark/>
          </w:tcPr>
          <w:p w:rsidR="00913429" w:rsidRDefault="00913429">
            <w:pPr>
              <w:spacing w:after="0" w:line="240" w:lineRule="auto"/>
              <w:rPr>
                <w:rFonts w:eastAsia="Times New Roman"/>
                <w:bCs/>
                <w:noProof/>
                <w:color w:val="000000"/>
                <w:sz w:val="18"/>
                <w:szCs w:val="18"/>
              </w:rPr>
            </w:pPr>
          </w:p>
        </w:tc>
        <w:tc>
          <w:tcPr>
            <w:tcW w:w="342" w:type="pct"/>
            <w:tcBorders>
              <w:top w:val="single" w:sz="8" w:space="0" w:color="DC6900"/>
              <w:left w:val="single" w:sz="8" w:space="0" w:color="DC6900"/>
              <w:bottom w:val="single" w:sz="8" w:space="0" w:color="DC6900"/>
              <w:right w:val="single" w:sz="8" w:space="0" w:color="DC6900"/>
            </w:tcBorders>
            <w:shd w:val="clear" w:color="auto" w:fill="auto"/>
            <w:tcMar>
              <w:top w:w="72" w:type="dxa"/>
              <w:left w:w="144" w:type="dxa"/>
              <w:bottom w:w="72" w:type="dxa"/>
              <w:right w:w="144" w:type="dxa"/>
            </w:tcMar>
            <w:hideMark/>
          </w:tcPr>
          <w:p w:rsidR="00913429" w:rsidRDefault="00913429">
            <w:pPr>
              <w:spacing w:after="0" w:line="240" w:lineRule="auto"/>
              <w:rPr>
                <w:rFonts w:eastAsia="Times New Roman"/>
                <w:bCs/>
                <w:noProof/>
                <w:color w:val="000000"/>
                <w:sz w:val="18"/>
                <w:szCs w:val="18"/>
              </w:rPr>
            </w:pPr>
          </w:p>
        </w:tc>
        <w:tc>
          <w:tcPr>
            <w:tcW w:w="362" w:type="pct"/>
            <w:tcBorders>
              <w:top w:val="single" w:sz="8" w:space="0" w:color="DC6900"/>
              <w:left w:val="single" w:sz="8" w:space="0" w:color="DC6900"/>
              <w:bottom w:val="single" w:sz="8" w:space="0" w:color="DC6900"/>
              <w:right w:val="single" w:sz="8" w:space="0" w:color="DC6900"/>
            </w:tcBorders>
            <w:shd w:val="clear" w:color="auto" w:fill="808080"/>
            <w:tcMar>
              <w:top w:w="72" w:type="dxa"/>
              <w:left w:w="144" w:type="dxa"/>
              <w:bottom w:w="72" w:type="dxa"/>
              <w:right w:w="144" w:type="dxa"/>
            </w:tcMar>
            <w:hideMark/>
          </w:tcPr>
          <w:p w:rsidR="00913429" w:rsidRDefault="00913429">
            <w:pPr>
              <w:spacing w:after="0" w:line="240" w:lineRule="auto"/>
              <w:rPr>
                <w:rFonts w:eastAsia="Times New Roman"/>
                <w:bCs/>
                <w:noProof/>
                <w:color w:val="000000"/>
                <w:sz w:val="18"/>
                <w:szCs w:val="18"/>
              </w:rPr>
            </w:pPr>
          </w:p>
        </w:tc>
        <w:tc>
          <w:tcPr>
            <w:tcW w:w="339" w:type="pct"/>
            <w:tcBorders>
              <w:top w:val="single" w:sz="8" w:space="0" w:color="DC6900"/>
              <w:left w:val="single" w:sz="8" w:space="0" w:color="DC6900"/>
              <w:bottom w:val="single" w:sz="8" w:space="0" w:color="DC6900"/>
              <w:right w:val="single" w:sz="8" w:space="0" w:color="DC6900"/>
            </w:tcBorders>
            <w:shd w:val="clear" w:color="auto" w:fill="808080"/>
            <w:tcMar>
              <w:top w:w="72" w:type="dxa"/>
              <w:left w:w="144" w:type="dxa"/>
              <w:bottom w:w="72" w:type="dxa"/>
              <w:right w:w="144" w:type="dxa"/>
            </w:tcMar>
            <w:hideMark/>
          </w:tcPr>
          <w:p w:rsidR="00913429" w:rsidRDefault="00913429">
            <w:pPr>
              <w:spacing w:after="0" w:line="240" w:lineRule="auto"/>
              <w:rPr>
                <w:rFonts w:eastAsia="Times New Roman"/>
                <w:bCs/>
                <w:noProof/>
                <w:color w:val="000000"/>
                <w:sz w:val="18"/>
                <w:szCs w:val="18"/>
              </w:rPr>
            </w:pPr>
          </w:p>
        </w:tc>
        <w:tc>
          <w:tcPr>
            <w:tcW w:w="336" w:type="pct"/>
            <w:tcBorders>
              <w:top w:val="single" w:sz="8" w:space="0" w:color="DC6900"/>
              <w:left w:val="single" w:sz="8" w:space="0" w:color="DC6900"/>
              <w:bottom w:val="single" w:sz="8" w:space="0" w:color="DC6900"/>
              <w:right w:val="single" w:sz="8" w:space="0" w:color="DC6900"/>
            </w:tcBorders>
            <w:shd w:val="clear" w:color="auto" w:fill="808080"/>
            <w:tcMar>
              <w:top w:w="72" w:type="dxa"/>
              <w:left w:w="144" w:type="dxa"/>
              <w:bottom w:w="72" w:type="dxa"/>
              <w:right w:w="144" w:type="dxa"/>
            </w:tcMar>
            <w:hideMark/>
          </w:tcPr>
          <w:p w:rsidR="00913429" w:rsidRDefault="00913429">
            <w:pPr>
              <w:spacing w:after="0" w:line="240" w:lineRule="auto"/>
              <w:rPr>
                <w:rFonts w:eastAsia="Times New Roman"/>
                <w:bCs/>
                <w:noProof/>
                <w:color w:val="000000"/>
                <w:sz w:val="18"/>
                <w:szCs w:val="18"/>
              </w:rPr>
            </w:pPr>
          </w:p>
        </w:tc>
      </w:tr>
      <w:tr w:rsidR="00913429">
        <w:trPr>
          <w:gridAfter w:val="1"/>
          <w:wAfter w:w="334" w:type="pct"/>
          <w:trHeight w:val="227"/>
        </w:trPr>
        <w:tc>
          <w:tcPr>
            <w:tcW w:w="247" w:type="pct"/>
            <w:tcBorders>
              <w:top w:val="single" w:sz="8" w:space="0" w:color="DC6900"/>
              <w:left w:val="single" w:sz="8" w:space="0" w:color="DC6900"/>
              <w:bottom w:val="single" w:sz="8" w:space="0" w:color="DC6900"/>
              <w:right w:val="single" w:sz="8" w:space="0" w:color="DC6900"/>
            </w:tcBorders>
            <w:shd w:val="clear" w:color="auto" w:fill="auto"/>
            <w:tcMar>
              <w:top w:w="72" w:type="dxa"/>
              <w:left w:w="113" w:type="dxa"/>
              <w:bottom w:w="72" w:type="dxa"/>
              <w:right w:w="113" w:type="dxa"/>
            </w:tcMar>
            <w:vAlign w:val="center"/>
            <w:hideMark/>
          </w:tcPr>
          <w:p w:rsidR="00913429" w:rsidRDefault="00913429">
            <w:pPr>
              <w:spacing w:after="0" w:line="240" w:lineRule="auto"/>
              <w:jc w:val="center"/>
              <w:rPr>
                <w:rFonts w:eastAsia="Times New Roman"/>
                <w:bCs/>
                <w:noProof/>
                <w:color w:val="000000"/>
                <w:sz w:val="18"/>
                <w:szCs w:val="18"/>
              </w:rPr>
            </w:pPr>
          </w:p>
        </w:tc>
        <w:tc>
          <w:tcPr>
            <w:tcW w:w="1671" w:type="pct"/>
            <w:tcBorders>
              <w:top w:val="single" w:sz="8" w:space="0" w:color="DC6900"/>
              <w:left w:val="single" w:sz="8" w:space="0" w:color="DC6900"/>
              <w:bottom w:val="single" w:sz="8" w:space="0" w:color="DC6900"/>
              <w:right w:val="single" w:sz="8" w:space="0" w:color="DC6900"/>
            </w:tcBorders>
            <w:shd w:val="clear" w:color="auto" w:fill="auto"/>
            <w:tcMar>
              <w:top w:w="15" w:type="dxa"/>
              <w:left w:w="57" w:type="dxa"/>
              <w:bottom w:w="0" w:type="dxa"/>
              <w:right w:w="15" w:type="dxa"/>
            </w:tcMar>
            <w:vAlign w:val="center"/>
            <w:hideMark/>
          </w:tcPr>
          <w:p w:rsidR="00913429" w:rsidRDefault="00E143F0">
            <w:pPr>
              <w:spacing w:after="0" w:line="240" w:lineRule="auto"/>
              <w:rPr>
                <w:rFonts w:eastAsia="Times New Roman"/>
                <w:bCs/>
                <w:noProof/>
                <w:color w:val="000000"/>
                <w:sz w:val="18"/>
                <w:szCs w:val="18"/>
              </w:rPr>
            </w:pPr>
            <w:r>
              <w:rPr>
                <w:rFonts w:eastAsia="Times New Roman"/>
                <w:bCs/>
                <w:noProof/>
                <w:color w:val="000000"/>
                <w:sz w:val="18"/>
                <w:szCs w:val="18"/>
              </w:rPr>
              <w:t>Interviews/Online Questionnaire</w:t>
            </w:r>
          </w:p>
        </w:tc>
        <w:tc>
          <w:tcPr>
            <w:tcW w:w="334" w:type="pct"/>
            <w:tcBorders>
              <w:top w:val="single" w:sz="8" w:space="0" w:color="DC6900"/>
              <w:left w:val="single" w:sz="8" w:space="0" w:color="DC6900"/>
              <w:bottom w:val="single" w:sz="8" w:space="0" w:color="DC6900"/>
              <w:right w:val="single" w:sz="8" w:space="0" w:color="DC6900"/>
            </w:tcBorders>
            <w:shd w:val="clear" w:color="auto" w:fill="auto"/>
            <w:tcMar>
              <w:top w:w="72" w:type="dxa"/>
              <w:left w:w="144" w:type="dxa"/>
              <w:bottom w:w="72" w:type="dxa"/>
              <w:right w:w="144" w:type="dxa"/>
            </w:tcMar>
            <w:hideMark/>
          </w:tcPr>
          <w:p w:rsidR="00913429" w:rsidRDefault="00913429">
            <w:pPr>
              <w:spacing w:after="0" w:line="240" w:lineRule="auto"/>
              <w:rPr>
                <w:rFonts w:eastAsia="Times New Roman"/>
                <w:bCs/>
                <w:noProof/>
                <w:color w:val="000000"/>
                <w:sz w:val="18"/>
                <w:szCs w:val="18"/>
              </w:rPr>
            </w:pPr>
          </w:p>
        </w:tc>
        <w:tc>
          <w:tcPr>
            <w:tcW w:w="334" w:type="pct"/>
            <w:tcBorders>
              <w:top w:val="single" w:sz="8" w:space="0" w:color="DC6900"/>
              <w:left w:val="single" w:sz="8" w:space="0" w:color="DC6900"/>
              <w:bottom w:val="single" w:sz="8" w:space="0" w:color="DC6900"/>
              <w:right w:val="single" w:sz="8" w:space="0" w:color="DC6900"/>
            </w:tcBorders>
            <w:shd w:val="clear" w:color="auto" w:fill="auto"/>
            <w:tcMar>
              <w:top w:w="72" w:type="dxa"/>
              <w:left w:w="144" w:type="dxa"/>
              <w:bottom w:w="72" w:type="dxa"/>
              <w:right w:w="144" w:type="dxa"/>
            </w:tcMar>
            <w:hideMark/>
          </w:tcPr>
          <w:p w:rsidR="00913429" w:rsidRDefault="00913429">
            <w:pPr>
              <w:spacing w:after="0" w:line="240" w:lineRule="auto"/>
              <w:rPr>
                <w:rFonts w:eastAsia="Times New Roman"/>
                <w:bCs/>
                <w:noProof/>
                <w:color w:val="000000"/>
                <w:sz w:val="18"/>
                <w:szCs w:val="18"/>
              </w:rPr>
            </w:pPr>
          </w:p>
        </w:tc>
        <w:tc>
          <w:tcPr>
            <w:tcW w:w="336" w:type="pct"/>
            <w:tcBorders>
              <w:top w:val="single" w:sz="8" w:space="0" w:color="DC6900"/>
              <w:left w:val="single" w:sz="8" w:space="0" w:color="DC6900"/>
              <w:bottom w:val="single" w:sz="8" w:space="0" w:color="DC6900"/>
              <w:right w:val="single" w:sz="8" w:space="0" w:color="DC6900"/>
            </w:tcBorders>
            <w:shd w:val="clear" w:color="auto" w:fill="auto"/>
            <w:tcMar>
              <w:top w:w="72" w:type="dxa"/>
              <w:left w:w="144" w:type="dxa"/>
              <w:bottom w:w="72" w:type="dxa"/>
              <w:right w:w="144" w:type="dxa"/>
            </w:tcMar>
            <w:hideMark/>
          </w:tcPr>
          <w:p w:rsidR="00913429" w:rsidRDefault="00913429">
            <w:pPr>
              <w:spacing w:after="0" w:line="240" w:lineRule="auto"/>
              <w:rPr>
                <w:rFonts w:eastAsia="Times New Roman"/>
                <w:bCs/>
                <w:noProof/>
                <w:color w:val="000000"/>
                <w:sz w:val="18"/>
                <w:szCs w:val="18"/>
              </w:rPr>
            </w:pPr>
          </w:p>
        </w:tc>
        <w:tc>
          <w:tcPr>
            <w:tcW w:w="365" w:type="pct"/>
            <w:tcBorders>
              <w:top w:val="single" w:sz="8" w:space="0" w:color="DC6900"/>
              <w:left w:val="single" w:sz="8" w:space="0" w:color="DC6900"/>
              <w:bottom w:val="single" w:sz="8" w:space="0" w:color="DC6900"/>
              <w:right w:val="single" w:sz="8" w:space="0" w:color="DC6900"/>
            </w:tcBorders>
            <w:shd w:val="clear" w:color="auto" w:fill="FFF0CC"/>
            <w:tcMar>
              <w:top w:w="72" w:type="dxa"/>
              <w:left w:w="144" w:type="dxa"/>
              <w:bottom w:w="72" w:type="dxa"/>
              <w:right w:w="144" w:type="dxa"/>
            </w:tcMar>
            <w:hideMark/>
          </w:tcPr>
          <w:p w:rsidR="00913429" w:rsidRDefault="00913429">
            <w:pPr>
              <w:spacing w:after="0" w:line="240" w:lineRule="auto"/>
              <w:rPr>
                <w:rFonts w:eastAsia="Times New Roman"/>
                <w:bCs/>
                <w:noProof/>
                <w:color w:val="000000"/>
                <w:sz w:val="18"/>
                <w:szCs w:val="18"/>
              </w:rPr>
            </w:pPr>
          </w:p>
        </w:tc>
        <w:tc>
          <w:tcPr>
            <w:tcW w:w="342" w:type="pct"/>
            <w:tcBorders>
              <w:top w:val="single" w:sz="8" w:space="0" w:color="DC6900"/>
              <w:left w:val="single" w:sz="8" w:space="0" w:color="DC6900"/>
              <w:bottom w:val="single" w:sz="8" w:space="0" w:color="DC6900"/>
              <w:right w:val="single" w:sz="8" w:space="0" w:color="DC6900"/>
            </w:tcBorders>
            <w:shd w:val="clear" w:color="auto" w:fill="FFF0CC"/>
            <w:tcMar>
              <w:top w:w="72" w:type="dxa"/>
              <w:left w:w="144" w:type="dxa"/>
              <w:bottom w:w="72" w:type="dxa"/>
              <w:right w:w="144" w:type="dxa"/>
            </w:tcMar>
            <w:hideMark/>
          </w:tcPr>
          <w:p w:rsidR="00913429" w:rsidRDefault="00913429">
            <w:pPr>
              <w:spacing w:after="0" w:line="240" w:lineRule="auto"/>
              <w:rPr>
                <w:rFonts w:eastAsia="Times New Roman"/>
                <w:bCs/>
                <w:noProof/>
                <w:color w:val="000000"/>
                <w:sz w:val="18"/>
                <w:szCs w:val="18"/>
              </w:rPr>
            </w:pPr>
          </w:p>
        </w:tc>
        <w:tc>
          <w:tcPr>
            <w:tcW w:w="362" w:type="pct"/>
            <w:tcBorders>
              <w:top w:val="single" w:sz="8" w:space="0" w:color="DC6900"/>
              <w:left w:val="single" w:sz="8" w:space="0" w:color="DC6900"/>
              <w:bottom w:val="single" w:sz="8" w:space="0" w:color="DC6900"/>
              <w:right w:val="single" w:sz="8" w:space="0" w:color="DC6900"/>
            </w:tcBorders>
            <w:shd w:val="clear" w:color="auto" w:fill="808080"/>
            <w:tcMar>
              <w:top w:w="72" w:type="dxa"/>
              <w:left w:w="144" w:type="dxa"/>
              <w:bottom w:w="72" w:type="dxa"/>
              <w:right w:w="144" w:type="dxa"/>
            </w:tcMar>
            <w:hideMark/>
          </w:tcPr>
          <w:p w:rsidR="00913429" w:rsidRDefault="00913429">
            <w:pPr>
              <w:spacing w:after="0" w:line="240" w:lineRule="auto"/>
              <w:rPr>
                <w:rFonts w:eastAsia="Times New Roman"/>
                <w:bCs/>
                <w:noProof/>
                <w:color w:val="000000"/>
                <w:sz w:val="18"/>
                <w:szCs w:val="18"/>
              </w:rPr>
            </w:pPr>
          </w:p>
        </w:tc>
        <w:tc>
          <w:tcPr>
            <w:tcW w:w="339" w:type="pct"/>
            <w:tcBorders>
              <w:top w:val="single" w:sz="8" w:space="0" w:color="DC6900"/>
              <w:left w:val="single" w:sz="8" w:space="0" w:color="DC6900"/>
              <w:bottom w:val="single" w:sz="8" w:space="0" w:color="DC6900"/>
              <w:right w:val="single" w:sz="8" w:space="0" w:color="DC6900"/>
            </w:tcBorders>
            <w:shd w:val="clear" w:color="auto" w:fill="808080"/>
            <w:tcMar>
              <w:top w:w="72" w:type="dxa"/>
              <w:left w:w="144" w:type="dxa"/>
              <w:bottom w:w="72" w:type="dxa"/>
              <w:right w:w="144" w:type="dxa"/>
            </w:tcMar>
            <w:hideMark/>
          </w:tcPr>
          <w:p w:rsidR="00913429" w:rsidRDefault="00913429">
            <w:pPr>
              <w:spacing w:after="0" w:line="240" w:lineRule="auto"/>
              <w:rPr>
                <w:rFonts w:eastAsia="Times New Roman"/>
                <w:bCs/>
                <w:noProof/>
                <w:color w:val="000000"/>
                <w:sz w:val="18"/>
                <w:szCs w:val="18"/>
              </w:rPr>
            </w:pPr>
          </w:p>
        </w:tc>
        <w:tc>
          <w:tcPr>
            <w:tcW w:w="336" w:type="pct"/>
            <w:tcBorders>
              <w:top w:val="single" w:sz="8" w:space="0" w:color="DC6900"/>
              <w:left w:val="single" w:sz="8" w:space="0" w:color="DC6900"/>
              <w:bottom w:val="single" w:sz="8" w:space="0" w:color="DC6900"/>
              <w:right w:val="single" w:sz="8" w:space="0" w:color="DC6900"/>
            </w:tcBorders>
            <w:shd w:val="clear" w:color="auto" w:fill="808080"/>
            <w:tcMar>
              <w:top w:w="72" w:type="dxa"/>
              <w:left w:w="144" w:type="dxa"/>
              <w:bottom w:w="72" w:type="dxa"/>
              <w:right w:w="144" w:type="dxa"/>
            </w:tcMar>
            <w:hideMark/>
          </w:tcPr>
          <w:p w:rsidR="00913429" w:rsidRDefault="00913429">
            <w:pPr>
              <w:spacing w:after="0" w:line="240" w:lineRule="auto"/>
              <w:rPr>
                <w:rFonts w:eastAsia="Times New Roman"/>
                <w:bCs/>
                <w:noProof/>
                <w:color w:val="000000"/>
                <w:sz w:val="18"/>
                <w:szCs w:val="18"/>
              </w:rPr>
            </w:pPr>
          </w:p>
        </w:tc>
      </w:tr>
      <w:tr w:rsidR="00913429">
        <w:trPr>
          <w:trHeight w:val="227"/>
        </w:trPr>
        <w:tc>
          <w:tcPr>
            <w:tcW w:w="247" w:type="pct"/>
            <w:tcBorders>
              <w:top w:val="single" w:sz="8" w:space="0" w:color="DC6900"/>
              <w:left w:val="single" w:sz="8" w:space="0" w:color="DC6900"/>
              <w:bottom w:val="single" w:sz="8" w:space="0" w:color="DC6900"/>
              <w:right w:val="single" w:sz="8" w:space="0" w:color="DC6900"/>
            </w:tcBorders>
            <w:shd w:val="clear" w:color="auto" w:fill="auto"/>
            <w:tcMar>
              <w:top w:w="72" w:type="dxa"/>
              <w:left w:w="113" w:type="dxa"/>
              <w:bottom w:w="72" w:type="dxa"/>
              <w:right w:w="113" w:type="dxa"/>
            </w:tcMar>
            <w:vAlign w:val="center"/>
            <w:hideMark/>
          </w:tcPr>
          <w:p w:rsidR="00913429" w:rsidRDefault="00E143F0">
            <w:pPr>
              <w:spacing w:after="0" w:line="240" w:lineRule="auto"/>
              <w:jc w:val="center"/>
              <w:rPr>
                <w:rFonts w:eastAsia="Times New Roman"/>
                <w:bCs/>
                <w:noProof/>
                <w:color w:val="000000"/>
                <w:sz w:val="18"/>
                <w:szCs w:val="18"/>
              </w:rPr>
            </w:pPr>
            <w:r>
              <w:rPr>
                <w:rFonts w:eastAsia="Times New Roman"/>
                <w:bCs/>
                <w:noProof/>
                <w:color w:val="000000"/>
                <w:sz w:val="18"/>
                <w:szCs w:val="18"/>
              </w:rPr>
              <w:t>1.2</w:t>
            </w:r>
          </w:p>
        </w:tc>
        <w:tc>
          <w:tcPr>
            <w:tcW w:w="1671" w:type="pct"/>
            <w:tcBorders>
              <w:top w:val="single" w:sz="8" w:space="0" w:color="DC6900"/>
              <w:left w:val="single" w:sz="8" w:space="0" w:color="DC6900"/>
              <w:bottom w:val="single" w:sz="8" w:space="0" w:color="DC6900"/>
              <w:right w:val="single" w:sz="8" w:space="0" w:color="DC6900"/>
            </w:tcBorders>
            <w:shd w:val="clear" w:color="auto" w:fill="auto"/>
            <w:tcMar>
              <w:top w:w="15" w:type="dxa"/>
              <w:left w:w="57" w:type="dxa"/>
              <w:bottom w:w="0" w:type="dxa"/>
              <w:right w:w="15" w:type="dxa"/>
            </w:tcMar>
            <w:vAlign w:val="center"/>
            <w:hideMark/>
          </w:tcPr>
          <w:p w:rsidR="00913429" w:rsidRDefault="00E143F0">
            <w:pPr>
              <w:spacing w:after="0" w:line="240" w:lineRule="auto"/>
              <w:rPr>
                <w:rFonts w:eastAsia="Times New Roman"/>
                <w:bCs/>
                <w:noProof/>
                <w:color w:val="000000"/>
                <w:sz w:val="18"/>
                <w:szCs w:val="18"/>
              </w:rPr>
            </w:pPr>
            <w:r>
              <w:rPr>
                <w:rFonts w:eastAsia="Times New Roman"/>
                <w:bCs/>
                <w:noProof/>
                <w:color w:val="000000"/>
                <w:sz w:val="18"/>
                <w:szCs w:val="18"/>
              </w:rPr>
              <w:t>Mapping and assessment of existing certification and labelling schemes</w:t>
            </w:r>
          </w:p>
        </w:tc>
        <w:tc>
          <w:tcPr>
            <w:tcW w:w="334" w:type="pct"/>
            <w:tcBorders>
              <w:top w:val="single" w:sz="8" w:space="0" w:color="DC6900"/>
              <w:left w:val="single" w:sz="8" w:space="0" w:color="DC6900"/>
              <w:bottom w:val="single" w:sz="8" w:space="0" w:color="DC6900"/>
              <w:right w:val="single" w:sz="8" w:space="0" w:color="DC6900"/>
            </w:tcBorders>
            <w:shd w:val="clear" w:color="auto" w:fill="auto"/>
            <w:tcMar>
              <w:top w:w="72" w:type="dxa"/>
              <w:left w:w="144" w:type="dxa"/>
              <w:bottom w:w="72" w:type="dxa"/>
              <w:right w:w="144" w:type="dxa"/>
            </w:tcMar>
            <w:hideMark/>
          </w:tcPr>
          <w:p w:rsidR="00913429" w:rsidRDefault="00913429">
            <w:pPr>
              <w:spacing w:after="0" w:line="240" w:lineRule="auto"/>
              <w:rPr>
                <w:rFonts w:eastAsia="Times New Roman"/>
                <w:bCs/>
                <w:noProof/>
                <w:color w:val="000000"/>
                <w:sz w:val="18"/>
                <w:szCs w:val="18"/>
              </w:rPr>
            </w:pPr>
          </w:p>
        </w:tc>
        <w:tc>
          <w:tcPr>
            <w:tcW w:w="334" w:type="pct"/>
            <w:tcBorders>
              <w:top w:val="single" w:sz="8" w:space="0" w:color="DC6900"/>
              <w:left w:val="single" w:sz="8" w:space="0" w:color="DC6900"/>
              <w:bottom w:val="single" w:sz="8" w:space="0" w:color="DC6900"/>
              <w:right w:val="single" w:sz="8" w:space="0" w:color="DC6900"/>
            </w:tcBorders>
            <w:shd w:val="clear" w:color="auto" w:fill="auto"/>
            <w:tcMar>
              <w:top w:w="72" w:type="dxa"/>
              <w:left w:w="144" w:type="dxa"/>
              <w:bottom w:w="72" w:type="dxa"/>
              <w:right w:w="144" w:type="dxa"/>
            </w:tcMar>
            <w:hideMark/>
          </w:tcPr>
          <w:p w:rsidR="00913429" w:rsidRDefault="00913429">
            <w:pPr>
              <w:spacing w:after="0" w:line="240" w:lineRule="auto"/>
              <w:rPr>
                <w:rFonts w:eastAsia="Times New Roman"/>
                <w:bCs/>
                <w:noProof/>
                <w:color w:val="000000"/>
                <w:sz w:val="18"/>
                <w:szCs w:val="18"/>
              </w:rPr>
            </w:pPr>
          </w:p>
        </w:tc>
        <w:tc>
          <w:tcPr>
            <w:tcW w:w="336" w:type="pct"/>
            <w:tcBorders>
              <w:top w:val="single" w:sz="8" w:space="0" w:color="DC6900"/>
              <w:left w:val="single" w:sz="8" w:space="0" w:color="DC6900"/>
              <w:bottom w:val="single" w:sz="8" w:space="0" w:color="DC6900"/>
              <w:right w:val="single" w:sz="8" w:space="0" w:color="DC6900"/>
            </w:tcBorders>
            <w:shd w:val="clear" w:color="auto" w:fill="FFF0CC"/>
            <w:tcMar>
              <w:top w:w="72" w:type="dxa"/>
              <w:left w:w="144" w:type="dxa"/>
              <w:bottom w:w="72" w:type="dxa"/>
              <w:right w:w="144" w:type="dxa"/>
            </w:tcMar>
          </w:tcPr>
          <w:p w:rsidR="00913429" w:rsidRDefault="00913429">
            <w:pPr>
              <w:spacing w:after="0" w:line="240" w:lineRule="auto"/>
              <w:rPr>
                <w:rFonts w:eastAsia="Times New Roman"/>
                <w:bCs/>
                <w:noProof/>
                <w:color w:val="000000"/>
                <w:sz w:val="18"/>
                <w:szCs w:val="18"/>
              </w:rPr>
            </w:pPr>
          </w:p>
        </w:tc>
        <w:tc>
          <w:tcPr>
            <w:tcW w:w="365" w:type="pct"/>
            <w:tcBorders>
              <w:top w:val="single" w:sz="8" w:space="0" w:color="DC6900"/>
              <w:left w:val="single" w:sz="8" w:space="0" w:color="DC6900"/>
              <w:bottom w:val="single" w:sz="8" w:space="0" w:color="DC6900"/>
              <w:right w:val="single" w:sz="8" w:space="0" w:color="DC6900"/>
            </w:tcBorders>
            <w:shd w:val="clear" w:color="auto" w:fill="FFF0CC"/>
            <w:tcMar>
              <w:top w:w="72" w:type="dxa"/>
              <w:left w:w="144" w:type="dxa"/>
              <w:bottom w:w="72" w:type="dxa"/>
              <w:right w:w="144" w:type="dxa"/>
            </w:tcMar>
          </w:tcPr>
          <w:p w:rsidR="00913429" w:rsidRDefault="00913429">
            <w:pPr>
              <w:spacing w:after="0" w:line="240" w:lineRule="auto"/>
              <w:rPr>
                <w:rFonts w:eastAsia="Times New Roman"/>
                <w:bCs/>
                <w:noProof/>
                <w:color w:val="000000"/>
                <w:sz w:val="18"/>
                <w:szCs w:val="18"/>
              </w:rPr>
            </w:pPr>
          </w:p>
        </w:tc>
        <w:tc>
          <w:tcPr>
            <w:tcW w:w="342" w:type="pct"/>
            <w:tcBorders>
              <w:top w:val="single" w:sz="8" w:space="0" w:color="DC6900"/>
              <w:left w:val="single" w:sz="8" w:space="0" w:color="DC6900"/>
              <w:bottom w:val="single" w:sz="8" w:space="0" w:color="DC6900"/>
              <w:right w:val="single" w:sz="8" w:space="0" w:color="DC6900"/>
            </w:tcBorders>
            <w:shd w:val="clear" w:color="auto" w:fill="FFF0CC"/>
            <w:tcMar>
              <w:top w:w="72" w:type="dxa"/>
              <w:left w:w="144" w:type="dxa"/>
              <w:bottom w:w="72" w:type="dxa"/>
              <w:right w:w="144" w:type="dxa"/>
            </w:tcMar>
          </w:tcPr>
          <w:p w:rsidR="00913429" w:rsidRDefault="00913429">
            <w:pPr>
              <w:spacing w:after="0" w:line="240" w:lineRule="auto"/>
              <w:rPr>
                <w:rFonts w:eastAsia="Times New Roman"/>
                <w:bCs/>
                <w:noProof/>
                <w:color w:val="000000"/>
                <w:sz w:val="18"/>
                <w:szCs w:val="18"/>
              </w:rPr>
            </w:pPr>
          </w:p>
        </w:tc>
        <w:tc>
          <w:tcPr>
            <w:tcW w:w="362" w:type="pct"/>
            <w:tcBorders>
              <w:top w:val="single" w:sz="8" w:space="0" w:color="DC6900"/>
              <w:left w:val="single" w:sz="8" w:space="0" w:color="DC6900"/>
              <w:bottom w:val="single" w:sz="8" w:space="0" w:color="DC6900"/>
              <w:right w:val="single" w:sz="8" w:space="0" w:color="DC6900"/>
            </w:tcBorders>
            <w:shd w:val="clear" w:color="auto" w:fill="808080"/>
            <w:tcMar>
              <w:top w:w="72" w:type="dxa"/>
              <w:left w:w="144" w:type="dxa"/>
              <w:bottom w:w="72" w:type="dxa"/>
              <w:right w:w="144" w:type="dxa"/>
            </w:tcMar>
            <w:hideMark/>
          </w:tcPr>
          <w:p w:rsidR="00913429" w:rsidRDefault="00913429">
            <w:pPr>
              <w:spacing w:after="0" w:line="240" w:lineRule="auto"/>
              <w:rPr>
                <w:rFonts w:eastAsia="Times New Roman"/>
                <w:bCs/>
                <w:noProof/>
                <w:color w:val="000000"/>
                <w:sz w:val="18"/>
                <w:szCs w:val="18"/>
              </w:rPr>
            </w:pPr>
          </w:p>
        </w:tc>
        <w:tc>
          <w:tcPr>
            <w:tcW w:w="339" w:type="pct"/>
            <w:tcBorders>
              <w:top w:val="single" w:sz="8" w:space="0" w:color="DC6900"/>
              <w:left w:val="single" w:sz="8" w:space="0" w:color="DC6900"/>
              <w:bottom w:val="single" w:sz="8" w:space="0" w:color="DC6900"/>
              <w:right w:val="single" w:sz="8" w:space="0" w:color="DC6900"/>
            </w:tcBorders>
            <w:shd w:val="clear" w:color="auto" w:fill="808080"/>
            <w:tcMar>
              <w:top w:w="72" w:type="dxa"/>
              <w:left w:w="144" w:type="dxa"/>
              <w:bottom w:w="72" w:type="dxa"/>
              <w:right w:w="144" w:type="dxa"/>
            </w:tcMar>
            <w:hideMark/>
          </w:tcPr>
          <w:p w:rsidR="00913429" w:rsidRDefault="00913429">
            <w:pPr>
              <w:spacing w:after="0" w:line="240" w:lineRule="auto"/>
              <w:rPr>
                <w:rFonts w:eastAsia="Times New Roman"/>
                <w:bCs/>
                <w:noProof/>
                <w:color w:val="000000"/>
                <w:sz w:val="18"/>
                <w:szCs w:val="18"/>
              </w:rPr>
            </w:pPr>
          </w:p>
        </w:tc>
        <w:tc>
          <w:tcPr>
            <w:tcW w:w="336" w:type="pct"/>
            <w:tcBorders>
              <w:top w:val="single" w:sz="8" w:space="0" w:color="DC6900"/>
              <w:left w:val="single" w:sz="8" w:space="0" w:color="DC6900"/>
              <w:bottom w:val="single" w:sz="8" w:space="0" w:color="DC6900"/>
              <w:right w:val="single" w:sz="8" w:space="0" w:color="DC6900"/>
            </w:tcBorders>
            <w:shd w:val="clear" w:color="auto" w:fill="808080"/>
            <w:tcMar>
              <w:top w:w="72" w:type="dxa"/>
              <w:left w:w="144" w:type="dxa"/>
              <w:bottom w:w="72" w:type="dxa"/>
              <w:right w:w="144" w:type="dxa"/>
            </w:tcMar>
            <w:hideMark/>
          </w:tcPr>
          <w:p w:rsidR="00913429" w:rsidRDefault="00913429">
            <w:pPr>
              <w:spacing w:after="0" w:line="240" w:lineRule="auto"/>
              <w:rPr>
                <w:rFonts w:eastAsia="Times New Roman"/>
                <w:bCs/>
                <w:noProof/>
                <w:color w:val="000000"/>
                <w:sz w:val="18"/>
                <w:szCs w:val="18"/>
              </w:rPr>
            </w:pPr>
          </w:p>
        </w:tc>
        <w:tc>
          <w:tcPr>
            <w:tcW w:w="334" w:type="pct"/>
          </w:tcPr>
          <w:p w:rsidR="00913429" w:rsidRDefault="00913429">
            <w:pPr>
              <w:spacing w:after="0" w:line="240" w:lineRule="auto"/>
              <w:rPr>
                <w:noProof/>
              </w:rPr>
            </w:pPr>
          </w:p>
        </w:tc>
      </w:tr>
      <w:tr w:rsidR="00913429">
        <w:trPr>
          <w:gridAfter w:val="1"/>
          <w:wAfter w:w="334" w:type="pct"/>
          <w:trHeight w:val="227"/>
        </w:trPr>
        <w:tc>
          <w:tcPr>
            <w:tcW w:w="247" w:type="pct"/>
            <w:tcBorders>
              <w:top w:val="single" w:sz="8" w:space="0" w:color="DC6900"/>
              <w:left w:val="single" w:sz="8" w:space="0" w:color="DC6900"/>
              <w:bottom w:val="single" w:sz="8" w:space="0" w:color="DC6900"/>
              <w:right w:val="single" w:sz="8" w:space="0" w:color="DC6900"/>
            </w:tcBorders>
            <w:shd w:val="clear" w:color="auto" w:fill="auto"/>
            <w:tcMar>
              <w:top w:w="72" w:type="dxa"/>
              <w:left w:w="113" w:type="dxa"/>
              <w:bottom w:w="72" w:type="dxa"/>
              <w:right w:w="113" w:type="dxa"/>
            </w:tcMar>
            <w:vAlign w:val="center"/>
            <w:hideMark/>
          </w:tcPr>
          <w:p w:rsidR="00913429" w:rsidRDefault="00E143F0">
            <w:pPr>
              <w:spacing w:after="0" w:line="240" w:lineRule="auto"/>
              <w:jc w:val="center"/>
              <w:rPr>
                <w:rFonts w:eastAsia="Times New Roman"/>
                <w:bCs/>
                <w:noProof/>
                <w:color w:val="000000"/>
                <w:sz w:val="18"/>
                <w:szCs w:val="18"/>
              </w:rPr>
            </w:pPr>
            <w:r>
              <w:rPr>
                <w:rFonts w:eastAsia="Times New Roman"/>
                <w:bCs/>
                <w:noProof/>
                <w:color w:val="000000"/>
                <w:sz w:val="18"/>
                <w:szCs w:val="18"/>
              </w:rPr>
              <w:t>1.3</w:t>
            </w:r>
          </w:p>
        </w:tc>
        <w:tc>
          <w:tcPr>
            <w:tcW w:w="1671" w:type="pct"/>
            <w:tcBorders>
              <w:top w:val="single" w:sz="8" w:space="0" w:color="DC6900"/>
              <w:left w:val="single" w:sz="8" w:space="0" w:color="DC6900"/>
              <w:bottom w:val="single" w:sz="8" w:space="0" w:color="DC6900"/>
              <w:right w:val="single" w:sz="8" w:space="0" w:color="DC6900"/>
            </w:tcBorders>
            <w:shd w:val="clear" w:color="auto" w:fill="auto"/>
            <w:tcMar>
              <w:top w:w="15" w:type="dxa"/>
              <w:left w:w="57" w:type="dxa"/>
              <w:bottom w:w="0" w:type="dxa"/>
              <w:right w:w="15" w:type="dxa"/>
            </w:tcMar>
            <w:vAlign w:val="center"/>
            <w:hideMark/>
          </w:tcPr>
          <w:p w:rsidR="00913429" w:rsidRDefault="00E143F0">
            <w:pPr>
              <w:spacing w:after="0" w:line="240" w:lineRule="auto"/>
              <w:rPr>
                <w:rFonts w:eastAsia="Times New Roman"/>
                <w:bCs/>
                <w:noProof/>
                <w:color w:val="000000"/>
                <w:sz w:val="18"/>
                <w:szCs w:val="18"/>
              </w:rPr>
            </w:pPr>
            <w:r>
              <w:rPr>
                <w:rFonts w:eastAsia="Times New Roman"/>
                <w:bCs/>
                <w:noProof/>
                <w:color w:val="000000"/>
                <w:sz w:val="18"/>
                <w:szCs w:val="18"/>
              </w:rPr>
              <w:t>Problem definition and assessment</w:t>
            </w:r>
          </w:p>
        </w:tc>
        <w:tc>
          <w:tcPr>
            <w:tcW w:w="334" w:type="pct"/>
            <w:tcBorders>
              <w:top w:val="single" w:sz="8" w:space="0" w:color="DC6900"/>
              <w:left w:val="single" w:sz="8" w:space="0" w:color="DC6900"/>
              <w:bottom w:val="single" w:sz="8" w:space="0" w:color="DC6900"/>
              <w:right w:val="single" w:sz="8" w:space="0" w:color="DC6900"/>
            </w:tcBorders>
            <w:shd w:val="clear" w:color="auto" w:fill="auto"/>
            <w:tcMar>
              <w:top w:w="72" w:type="dxa"/>
              <w:left w:w="144" w:type="dxa"/>
              <w:bottom w:w="72" w:type="dxa"/>
              <w:right w:w="144" w:type="dxa"/>
            </w:tcMar>
            <w:hideMark/>
          </w:tcPr>
          <w:p w:rsidR="00913429" w:rsidRDefault="00913429">
            <w:pPr>
              <w:spacing w:after="0" w:line="240" w:lineRule="auto"/>
              <w:rPr>
                <w:rFonts w:eastAsia="Times New Roman"/>
                <w:bCs/>
                <w:noProof/>
                <w:color w:val="000000"/>
                <w:sz w:val="18"/>
                <w:szCs w:val="18"/>
              </w:rPr>
            </w:pPr>
          </w:p>
        </w:tc>
        <w:tc>
          <w:tcPr>
            <w:tcW w:w="334" w:type="pct"/>
            <w:tcBorders>
              <w:top w:val="single" w:sz="8" w:space="0" w:color="DC6900"/>
              <w:left w:val="single" w:sz="8" w:space="0" w:color="DC6900"/>
              <w:bottom w:val="single" w:sz="8" w:space="0" w:color="DC6900"/>
              <w:right w:val="single" w:sz="8" w:space="0" w:color="DC6900"/>
            </w:tcBorders>
            <w:shd w:val="clear" w:color="auto" w:fill="FFF0CC"/>
            <w:tcMar>
              <w:top w:w="72" w:type="dxa"/>
              <w:left w:w="144" w:type="dxa"/>
              <w:bottom w:w="72" w:type="dxa"/>
              <w:right w:w="144" w:type="dxa"/>
            </w:tcMar>
            <w:hideMark/>
          </w:tcPr>
          <w:p w:rsidR="00913429" w:rsidRDefault="00913429">
            <w:pPr>
              <w:spacing w:after="0" w:line="240" w:lineRule="auto"/>
              <w:rPr>
                <w:rFonts w:eastAsia="Times New Roman"/>
                <w:bCs/>
                <w:noProof/>
                <w:color w:val="000000"/>
                <w:sz w:val="18"/>
                <w:szCs w:val="18"/>
              </w:rPr>
            </w:pPr>
          </w:p>
        </w:tc>
        <w:tc>
          <w:tcPr>
            <w:tcW w:w="336" w:type="pct"/>
            <w:tcBorders>
              <w:top w:val="single" w:sz="8" w:space="0" w:color="DC6900"/>
              <w:left w:val="single" w:sz="8" w:space="0" w:color="DC6900"/>
              <w:bottom w:val="single" w:sz="8" w:space="0" w:color="DC6900"/>
              <w:right w:val="single" w:sz="8" w:space="0" w:color="DC6900"/>
            </w:tcBorders>
            <w:shd w:val="clear" w:color="auto" w:fill="FFF0CC"/>
            <w:tcMar>
              <w:top w:w="72" w:type="dxa"/>
              <w:left w:w="144" w:type="dxa"/>
              <w:bottom w:w="72" w:type="dxa"/>
              <w:right w:w="144" w:type="dxa"/>
            </w:tcMar>
            <w:hideMark/>
          </w:tcPr>
          <w:p w:rsidR="00913429" w:rsidRDefault="00913429">
            <w:pPr>
              <w:spacing w:after="0" w:line="240" w:lineRule="auto"/>
              <w:rPr>
                <w:rFonts w:eastAsia="Times New Roman"/>
                <w:bCs/>
                <w:noProof/>
                <w:color w:val="000000"/>
                <w:sz w:val="18"/>
                <w:szCs w:val="18"/>
              </w:rPr>
            </w:pPr>
          </w:p>
        </w:tc>
        <w:tc>
          <w:tcPr>
            <w:tcW w:w="365" w:type="pct"/>
            <w:tcBorders>
              <w:top w:val="single" w:sz="8" w:space="0" w:color="DC6900"/>
              <w:left w:val="single" w:sz="8" w:space="0" w:color="DC6900"/>
              <w:bottom w:val="single" w:sz="8" w:space="0" w:color="DC6900"/>
              <w:right w:val="single" w:sz="8" w:space="0" w:color="DC6900"/>
            </w:tcBorders>
            <w:shd w:val="clear" w:color="auto" w:fill="auto"/>
            <w:tcMar>
              <w:top w:w="72" w:type="dxa"/>
              <w:left w:w="144" w:type="dxa"/>
              <w:bottom w:w="72" w:type="dxa"/>
              <w:right w:w="144" w:type="dxa"/>
            </w:tcMar>
            <w:hideMark/>
          </w:tcPr>
          <w:p w:rsidR="00913429" w:rsidRDefault="00913429">
            <w:pPr>
              <w:spacing w:after="0" w:line="240" w:lineRule="auto"/>
              <w:rPr>
                <w:rFonts w:eastAsia="Times New Roman"/>
                <w:bCs/>
                <w:noProof/>
                <w:color w:val="000000"/>
                <w:sz w:val="18"/>
                <w:szCs w:val="18"/>
              </w:rPr>
            </w:pPr>
          </w:p>
        </w:tc>
        <w:tc>
          <w:tcPr>
            <w:tcW w:w="342" w:type="pct"/>
            <w:tcBorders>
              <w:top w:val="single" w:sz="8" w:space="0" w:color="DC6900"/>
              <w:left w:val="single" w:sz="8" w:space="0" w:color="DC6900"/>
              <w:bottom w:val="single" w:sz="8" w:space="0" w:color="DC6900"/>
              <w:right w:val="single" w:sz="8" w:space="0" w:color="DC6900"/>
            </w:tcBorders>
            <w:shd w:val="clear" w:color="auto" w:fill="FFF0CC"/>
            <w:tcMar>
              <w:top w:w="72" w:type="dxa"/>
              <w:left w:w="144" w:type="dxa"/>
              <w:bottom w:w="72" w:type="dxa"/>
              <w:right w:w="144" w:type="dxa"/>
            </w:tcMar>
            <w:hideMark/>
          </w:tcPr>
          <w:p w:rsidR="00913429" w:rsidRDefault="00913429">
            <w:pPr>
              <w:spacing w:after="0" w:line="240" w:lineRule="auto"/>
              <w:rPr>
                <w:rFonts w:eastAsia="Times New Roman"/>
                <w:bCs/>
                <w:noProof/>
                <w:color w:val="000000"/>
                <w:sz w:val="18"/>
                <w:szCs w:val="18"/>
              </w:rPr>
            </w:pPr>
          </w:p>
        </w:tc>
        <w:tc>
          <w:tcPr>
            <w:tcW w:w="362" w:type="pct"/>
            <w:tcBorders>
              <w:top w:val="single" w:sz="8" w:space="0" w:color="DC6900"/>
              <w:left w:val="single" w:sz="8" w:space="0" w:color="DC6900"/>
              <w:bottom w:val="single" w:sz="8" w:space="0" w:color="DC6900"/>
              <w:right w:val="single" w:sz="8" w:space="0" w:color="DC6900"/>
            </w:tcBorders>
            <w:shd w:val="clear" w:color="auto" w:fill="808080"/>
            <w:tcMar>
              <w:top w:w="72" w:type="dxa"/>
              <w:left w:w="144" w:type="dxa"/>
              <w:bottom w:w="72" w:type="dxa"/>
              <w:right w:w="144" w:type="dxa"/>
            </w:tcMar>
            <w:hideMark/>
          </w:tcPr>
          <w:p w:rsidR="00913429" w:rsidRDefault="00913429">
            <w:pPr>
              <w:spacing w:after="0" w:line="240" w:lineRule="auto"/>
              <w:rPr>
                <w:rFonts w:eastAsia="Times New Roman"/>
                <w:bCs/>
                <w:noProof/>
                <w:color w:val="000000"/>
                <w:sz w:val="18"/>
                <w:szCs w:val="18"/>
              </w:rPr>
            </w:pPr>
          </w:p>
        </w:tc>
        <w:tc>
          <w:tcPr>
            <w:tcW w:w="339" w:type="pct"/>
            <w:tcBorders>
              <w:top w:val="single" w:sz="8" w:space="0" w:color="DC6900"/>
              <w:left w:val="single" w:sz="8" w:space="0" w:color="DC6900"/>
              <w:bottom w:val="single" w:sz="8" w:space="0" w:color="DC6900"/>
              <w:right w:val="single" w:sz="8" w:space="0" w:color="DC6900"/>
            </w:tcBorders>
            <w:shd w:val="clear" w:color="auto" w:fill="808080"/>
            <w:tcMar>
              <w:top w:w="72" w:type="dxa"/>
              <w:left w:w="144" w:type="dxa"/>
              <w:bottom w:w="72" w:type="dxa"/>
              <w:right w:w="144" w:type="dxa"/>
            </w:tcMar>
            <w:hideMark/>
          </w:tcPr>
          <w:p w:rsidR="00913429" w:rsidRDefault="00913429">
            <w:pPr>
              <w:spacing w:after="0" w:line="240" w:lineRule="auto"/>
              <w:rPr>
                <w:rFonts w:eastAsia="Times New Roman"/>
                <w:bCs/>
                <w:noProof/>
                <w:color w:val="000000"/>
                <w:sz w:val="18"/>
                <w:szCs w:val="18"/>
              </w:rPr>
            </w:pPr>
          </w:p>
        </w:tc>
        <w:tc>
          <w:tcPr>
            <w:tcW w:w="336" w:type="pct"/>
            <w:tcBorders>
              <w:top w:val="single" w:sz="8" w:space="0" w:color="DC6900"/>
              <w:left w:val="single" w:sz="8" w:space="0" w:color="DC6900"/>
              <w:bottom w:val="single" w:sz="8" w:space="0" w:color="DC6900"/>
              <w:right w:val="single" w:sz="8" w:space="0" w:color="DC6900"/>
            </w:tcBorders>
            <w:shd w:val="clear" w:color="auto" w:fill="808080"/>
            <w:tcMar>
              <w:top w:w="72" w:type="dxa"/>
              <w:left w:w="144" w:type="dxa"/>
              <w:bottom w:w="72" w:type="dxa"/>
              <w:right w:w="144" w:type="dxa"/>
            </w:tcMar>
            <w:hideMark/>
          </w:tcPr>
          <w:p w:rsidR="00913429" w:rsidRDefault="00913429">
            <w:pPr>
              <w:spacing w:after="0" w:line="240" w:lineRule="auto"/>
              <w:rPr>
                <w:rFonts w:eastAsia="Times New Roman"/>
                <w:bCs/>
                <w:noProof/>
                <w:color w:val="000000"/>
                <w:sz w:val="18"/>
                <w:szCs w:val="18"/>
              </w:rPr>
            </w:pPr>
          </w:p>
        </w:tc>
      </w:tr>
      <w:tr w:rsidR="00913429">
        <w:trPr>
          <w:gridAfter w:val="1"/>
          <w:wAfter w:w="334" w:type="pct"/>
          <w:trHeight w:val="227"/>
        </w:trPr>
        <w:tc>
          <w:tcPr>
            <w:tcW w:w="247" w:type="pct"/>
            <w:tcBorders>
              <w:top w:val="single" w:sz="8" w:space="0" w:color="DC6900"/>
              <w:left w:val="single" w:sz="8" w:space="0" w:color="DC6900"/>
              <w:bottom w:val="single" w:sz="8" w:space="0" w:color="DC6900"/>
              <w:right w:val="single" w:sz="8" w:space="0" w:color="DC6900"/>
            </w:tcBorders>
            <w:shd w:val="clear" w:color="auto" w:fill="auto"/>
            <w:tcMar>
              <w:top w:w="72" w:type="dxa"/>
              <w:left w:w="113" w:type="dxa"/>
              <w:bottom w:w="72" w:type="dxa"/>
              <w:right w:w="113" w:type="dxa"/>
            </w:tcMar>
            <w:vAlign w:val="center"/>
            <w:hideMark/>
          </w:tcPr>
          <w:p w:rsidR="00913429" w:rsidRDefault="00E143F0">
            <w:pPr>
              <w:spacing w:after="0" w:line="240" w:lineRule="auto"/>
              <w:jc w:val="center"/>
              <w:rPr>
                <w:rFonts w:eastAsia="Times New Roman"/>
                <w:bCs/>
                <w:noProof/>
                <w:color w:val="000000"/>
                <w:sz w:val="18"/>
                <w:szCs w:val="18"/>
              </w:rPr>
            </w:pPr>
            <w:r>
              <w:rPr>
                <w:rFonts w:eastAsia="Times New Roman"/>
                <w:bCs/>
                <w:noProof/>
                <w:color w:val="000000"/>
                <w:sz w:val="18"/>
                <w:szCs w:val="18"/>
              </w:rPr>
              <w:t>1.4</w:t>
            </w:r>
          </w:p>
        </w:tc>
        <w:tc>
          <w:tcPr>
            <w:tcW w:w="1671" w:type="pct"/>
            <w:tcBorders>
              <w:top w:val="single" w:sz="8" w:space="0" w:color="DC6900"/>
              <w:left w:val="single" w:sz="8" w:space="0" w:color="DC6900"/>
              <w:bottom w:val="single" w:sz="8" w:space="0" w:color="DC6900"/>
              <w:right w:val="single" w:sz="8" w:space="0" w:color="DC6900"/>
            </w:tcBorders>
            <w:shd w:val="clear" w:color="auto" w:fill="auto"/>
            <w:tcMar>
              <w:top w:w="15" w:type="dxa"/>
              <w:left w:w="57" w:type="dxa"/>
              <w:bottom w:w="0" w:type="dxa"/>
              <w:right w:w="15" w:type="dxa"/>
            </w:tcMar>
            <w:vAlign w:val="center"/>
            <w:hideMark/>
          </w:tcPr>
          <w:p w:rsidR="00913429" w:rsidRDefault="00E143F0">
            <w:pPr>
              <w:spacing w:after="0" w:line="240" w:lineRule="auto"/>
              <w:rPr>
                <w:rFonts w:eastAsia="Times New Roman"/>
                <w:bCs/>
                <w:noProof/>
                <w:color w:val="000000"/>
                <w:sz w:val="18"/>
                <w:szCs w:val="18"/>
              </w:rPr>
            </w:pPr>
            <w:r>
              <w:rPr>
                <w:rFonts w:eastAsia="Times New Roman"/>
                <w:bCs/>
                <w:noProof/>
                <w:color w:val="000000"/>
                <w:sz w:val="18"/>
                <w:szCs w:val="18"/>
              </w:rPr>
              <w:t>Analysis of the baseline scenario and its evolution</w:t>
            </w:r>
          </w:p>
        </w:tc>
        <w:tc>
          <w:tcPr>
            <w:tcW w:w="334" w:type="pct"/>
            <w:tcBorders>
              <w:top w:val="single" w:sz="8" w:space="0" w:color="DC6900"/>
              <w:left w:val="single" w:sz="8" w:space="0" w:color="DC6900"/>
              <w:bottom w:val="single" w:sz="8" w:space="0" w:color="DC6900"/>
              <w:right w:val="single" w:sz="8" w:space="0" w:color="DC6900"/>
            </w:tcBorders>
            <w:shd w:val="clear" w:color="auto" w:fill="auto"/>
            <w:tcMar>
              <w:top w:w="72" w:type="dxa"/>
              <w:left w:w="144" w:type="dxa"/>
              <w:bottom w:w="72" w:type="dxa"/>
              <w:right w:w="144" w:type="dxa"/>
            </w:tcMar>
            <w:hideMark/>
          </w:tcPr>
          <w:p w:rsidR="00913429" w:rsidRDefault="00913429">
            <w:pPr>
              <w:spacing w:after="0" w:line="240" w:lineRule="auto"/>
              <w:rPr>
                <w:rFonts w:eastAsia="Times New Roman"/>
                <w:bCs/>
                <w:noProof/>
                <w:color w:val="000000"/>
                <w:sz w:val="18"/>
                <w:szCs w:val="18"/>
              </w:rPr>
            </w:pPr>
          </w:p>
        </w:tc>
        <w:tc>
          <w:tcPr>
            <w:tcW w:w="334" w:type="pct"/>
            <w:tcBorders>
              <w:top w:val="single" w:sz="8" w:space="0" w:color="DC6900"/>
              <w:left w:val="single" w:sz="8" w:space="0" w:color="DC6900"/>
              <w:bottom w:val="single" w:sz="8" w:space="0" w:color="DC6900"/>
              <w:right w:val="single" w:sz="8" w:space="0" w:color="DC6900"/>
            </w:tcBorders>
            <w:shd w:val="clear" w:color="auto" w:fill="FFF0CC"/>
            <w:tcMar>
              <w:top w:w="72" w:type="dxa"/>
              <w:left w:w="144" w:type="dxa"/>
              <w:bottom w:w="72" w:type="dxa"/>
              <w:right w:w="144" w:type="dxa"/>
            </w:tcMar>
            <w:hideMark/>
          </w:tcPr>
          <w:p w:rsidR="00913429" w:rsidRDefault="00913429">
            <w:pPr>
              <w:spacing w:after="0" w:line="240" w:lineRule="auto"/>
              <w:rPr>
                <w:rFonts w:eastAsia="Times New Roman"/>
                <w:bCs/>
                <w:noProof/>
                <w:color w:val="000000"/>
                <w:sz w:val="18"/>
                <w:szCs w:val="18"/>
              </w:rPr>
            </w:pPr>
          </w:p>
        </w:tc>
        <w:tc>
          <w:tcPr>
            <w:tcW w:w="336" w:type="pct"/>
            <w:tcBorders>
              <w:top w:val="single" w:sz="8" w:space="0" w:color="DC6900"/>
              <w:left w:val="single" w:sz="8" w:space="0" w:color="DC6900"/>
              <w:bottom w:val="single" w:sz="8" w:space="0" w:color="DC6900"/>
              <w:right w:val="single" w:sz="8" w:space="0" w:color="DC6900"/>
            </w:tcBorders>
            <w:shd w:val="clear" w:color="auto" w:fill="FFF0CC"/>
            <w:tcMar>
              <w:top w:w="72" w:type="dxa"/>
              <w:left w:w="144" w:type="dxa"/>
              <w:bottom w:w="72" w:type="dxa"/>
              <w:right w:w="144" w:type="dxa"/>
            </w:tcMar>
            <w:hideMark/>
          </w:tcPr>
          <w:p w:rsidR="00913429" w:rsidRDefault="00913429">
            <w:pPr>
              <w:spacing w:after="0" w:line="240" w:lineRule="auto"/>
              <w:rPr>
                <w:rFonts w:eastAsia="Times New Roman"/>
                <w:bCs/>
                <w:noProof/>
                <w:color w:val="000000"/>
                <w:sz w:val="18"/>
                <w:szCs w:val="18"/>
              </w:rPr>
            </w:pPr>
          </w:p>
        </w:tc>
        <w:tc>
          <w:tcPr>
            <w:tcW w:w="365" w:type="pct"/>
            <w:tcBorders>
              <w:top w:val="single" w:sz="8" w:space="0" w:color="DC6900"/>
              <w:left w:val="single" w:sz="8" w:space="0" w:color="DC6900"/>
              <w:bottom w:val="single" w:sz="8" w:space="0" w:color="DC6900"/>
              <w:right w:val="single" w:sz="8" w:space="0" w:color="DC6900"/>
            </w:tcBorders>
            <w:shd w:val="clear" w:color="auto" w:fill="FFF0CC"/>
            <w:tcMar>
              <w:top w:w="72" w:type="dxa"/>
              <w:left w:w="144" w:type="dxa"/>
              <w:bottom w:w="72" w:type="dxa"/>
              <w:right w:w="144" w:type="dxa"/>
            </w:tcMar>
            <w:hideMark/>
          </w:tcPr>
          <w:p w:rsidR="00913429" w:rsidRDefault="00E143F0">
            <w:pPr>
              <w:spacing w:after="0" w:line="240" w:lineRule="auto"/>
              <w:rPr>
                <w:rFonts w:eastAsia="Times New Roman"/>
                <w:bCs/>
                <w:noProof/>
                <w:color w:val="000000"/>
                <w:sz w:val="18"/>
                <w:szCs w:val="18"/>
              </w:rPr>
            </w:pPr>
            <w:r>
              <w:rPr>
                <w:rFonts w:eastAsia="Times New Roman"/>
                <w:b/>
                <w:bCs/>
                <w:noProof/>
                <w:color w:val="000000"/>
                <w:sz w:val="18"/>
                <w:szCs w:val="18"/>
              </w:rPr>
              <w:t>FIRd</w:t>
            </w:r>
          </w:p>
        </w:tc>
        <w:tc>
          <w:tcPr>
            <w:tcW w:w="342" w:type="pct"/>
            <w:tcBorders>
              <w:top w:val="single" w:sz="8" w:space="0" w:color="DC6900"/>
              <w:left w:val="single" w:sz="8" w:space="0" w:color="DC6900"/>
              <w:bottom w:val="single" w:sz="8" w:space="0" w:color="DC6900"/>
              <w:right w:val="single" w:sz="8" w:space="0" w:color="DC6900"/>
            </w:tcBorders>
            <w:shd w:val="clear" w:color="auto" w:fill="FFF0CC"/>
            <w:tcMar>
              <w:top w:w="72" w:type="dxa"/>
              <w:left w:w="144" w:type="dxa"/>
              <w:bottom w:w="72" w:type="dxa"/>
              <w:right w:w="144" w:type="dxa"/>
            </w:tcMar>
            <w:hideMark/>
          </w:tcPr>
          <w:p w:rsidR="00913429" w:rsidRDefault="00E143F0">
            <w:pPr>
              <w:spacing w:after="0" w:line="240" w:lineRule="auto"/>
              <w:rPr>
                <w:rFonts w:eastAsia="Times New Roman"/>
                <w:bCs/>
                <w:noProof/>
                <w:color w:val="000000"/>
                <w:sz w:val="18"/>
                <w:szCs w:val="18"/>
              </w:rPr>
            </w:pPr>
            <w:r>
              <w:rPr>
                <w:rFonts w:eastAsia="Times New Roman"/>
                <w:b/>
                <w:bCs/>
                <w:noProof/>
                <w:color w:val="000000"/>
                <w:sz w:val="18"/>
                <w:szCs w:val="18"/>
              </w:rPr>
              <w:t>FIRf</w:t>
            </w:r>
          </w:p>
        </w:tc>
        <w:tc>
          <w:tcPr>
            <w:tcW w:w="362" w:type="pct"/>
            <w:tcBorders>
              <w:top w:val="single" w:sz="8" w:space="0" w:color="DC6900"/>
              <w:left w:val="single" w:sz="8" w:space="0" w:color="DC6900"/>
              <w:bottom w:val="single" w:sz="8" w:space="0" w:color="DC6900"/>
              <w:right w:val="single" w:sz="8" w:space="0" w:color="DC6900"/>
            </w:tcBorders>
            <w:shd w:val="clear" w:color="auto" w:fill="808080"/>
            <w:tcMar>
              <w:top w:w="72" w:type="dxa"/>
              <w:left w:w="144" w:type="dxa"/>
              <w:bottom w:w="72" w:type="dxa"/>
              <w:right w:w="144" w:type="dxa"/>
            </w:tcMar>
          </w:tcPr>
          <w:p w:rsidR="00913429" w:rsidRDefault="00913429">
            <w:pPr>
              <w:spacing w:after="0" w:line="240" w:lineRule="auto"/>
              <w:rPr>
                <w:rFonts w:eastAsia="Times New Roman"/>
                <w:b/>
                <w:bCs/>
                <w:noProof/>
                <w:color w:val="000000"/>
                <w:sz w:val="18"/>
                <w:szCs w:val="18"/>
              </w:rPr>
            </w:pPr>
          </w:p>
        </w:tc>
        <w:tc>
          <w:tcPr>
            <w:tcW w:w="339" w:type="pct"/>
            <w:tcBorders>
              <w:top w:val="single" w:sz="8" w:space="0" w:color="DC6900"/>
              <w:left w:val="single" w:sz="8" w:space="0" w:color="DC6900"/>
              <w:bottom w:val="single" w:sz="8" w:space="0" w:color="DC6900"/>
              <w:right w:val="single" w:sz="8" w:space="0" w:color="DC6900"/>
            </w:tcBorders>
            <w:shd w:val="clear" w:color="auto" w:fill="808080"/>
            <w:tcMar>
              <w:top w:w="72" w:type="dxa"/>
              <w:left w:w="144" w:type="dxa"/>
              <w:bottom w:w="72" w:type="dxa"/>
              <w:right w:w="144" w:type="dxa"/>
            </w:tcMar>
          </w:tcPr>
          <w:p w:rsidR="00913429" w:rsidRDefault="00913429">
            <w:pPr>
              <w:spacing w:after="0" w:line="240" w:lineRule="auto"/>
              <w:rPr>
                <w:rFonts w:eastAsia="Times New Roman"/>
                <w:b/>
                <w:bCs/>
                <w:noProof/>
                <w:color w:val="000000"/>
                <w:sz w:val="18"/>
                <w:szCs w:val="18"/>
              </w:rPr>
            </w:pPr>
          </w:p>
        </w:tc>
        <w:tc>
          <w:tcPr>
            <w:tcW w:w="336" w:type="pct"/>
            <w:tcBorders>
              <w:top w:val="single" w:sz="8" w:space="0" w:color="DC6900"/>
              <w:left w:val="single" w:sz="8" w:space="0" w:color="DC6900"/>
              <w:bottom w:val="single" w:sz="8" w:space="0" w:color="DC6900"/>
              <w:right w:val="single" w:sz="8" w:space="0" w:color="DC6900"/>
            </w:tcBorders>
            <w:shd w:val="clear" w:color="auto" w:fill="808080"/>
            <w:tcMar>
              <w:top w:w="72" w:type="dxa"/>
              <w:left w:w="144" w:type="dxa"/>
              <w:bottom w:w="72" w:type="dxa"/>
              <w:right w:w="144" w:type="dxa"/>
            </w:tcMar>
            <w:hideMark/>
          </w:tcPr>
          <w:p w:rsidR="00913429" w:rsidRDefault="00913429">
            <w:pPr>
              <w:spacing w:after="0" w:line="240" w:lineRule="auto"/>
              <w:rPr>
                <w:rFonts w:eastAsia="Times New Roman"/>
                <w:bCs/>
                <w:noProof/>
                <w:color w:val="000000"/>
                <w:sz w:val="18"/>
                <w:szCs w:val="18"/>
              </w:rPr>
            </w:pPr>
          </w:p>
        </w:tc>
      </w:tr>
    </w:tbl>
    <w:p w:rsidR="00913429" w:rsidRDefault="00913429">
      <w:pPr>
        <w:spacing w:line="276" w:lineRule="auto"/>
        <w:jc w:val="both"/>
        <w:rPr>
          <w:bCs/>
          <w:i/>
          <w:iCs/>
          <w:noProof/>
          <w:color w:val="DC6900"/>
          <w:sz w:val="24"/>
        </w:rPr>
      </w:pPr>
    </w:p>
    <w:p w:rsidR="00913429" w:rsidRDefault="00E143F0">
      <w:pPr>
        <w:spacing w:line="276" w:lineRule="auto"/>
        <w:jc w:val="both"/>
        <w:rPr>
          <w:bCs/>
          <w:i/>
          <w:iCs/>
          <w:noProof/>
          <w:color w:val="DC6900"/>
          <w:sz w:val="24"/>
        </w:rPr>
      </w:pPr>
      <w:bookmarkStart w:id="42" w:name="_Toc362950927"/>
      <w:r>
        <w:rPr>
          <w:bCs/>
          <w:i/>
          <w:iCs/>
          <w:noProof/>
          <w:color w:val="DC6900"/>
          <w:sz w:val="24"/>
        </w:rPr>
        <w:t>Sub-Task 1.0</w:t>
      </w:r>
      <w:r>
        <w:rPr>
          <w:noProof/>
          <w:szCs w:val="18"/>
        </w:rPr>
        <w:t xml:space="preserve"> </w:t>
      </w:r>
      <w:r>
        <w:rPr>
          <w:bCs/>
          <w:i/>
          <w:iCs/>
          <w:noProof/>
          <w:color w:val="DC6900"/>
          <w:sz w:val="24"/>
        </w:rPr>
        <w:t>Project set up</w:t>
      </w:r>
    </w:p>
    <w:p w:rsidR="00913429" w:rsidRDefault="00E143F0">
      <w:pPr>
        <w:adjustRightInd w:val="0"/>
        <w:spacing w:after="0" w:line="240" w:lineRule="auto"/>
        <w:jc w:val="both"/>
        <w:textAlignment w:val="baseline"/>
        <w:rPr>
          <w:noProof/>
        </w:rPr>
      </w:pPr>
      <w:r>
        <w:rPr>
          <w:noProof/>
        </w:rPr>
        <w:t xml:space="preserve">As part of the </w:t>
      </w:r>
      <w:r>
        <w:rPr>
          <w:noProof/>
        </w:rPr>
        <w:t>Project set up, Pwc &amp; FUB delivered on the 17</w:t>
      </w:r>
      <w:r>
        <w:rPr>
          <w:noProof/>
          <w:vertAlign w:val="superscript"/>
        </w:rPr>
        <w:t>th</w:t>
      </w:r>
      <w:r>
        <w:rPr>
          <w:noProof/>
        </w:rPr>
        <w:t xml:space="preserve"> of May 2017, the Draft Version of the Inception Report to the DG CNECT Team one day before the inception meeting. The goal of the Inception Meeting at week 1 was to scope the methodology, resources and object</w:t>
      </w:r>
      <w:r>
        <w:rPr>
          <w:noProof/>
        </w:rPr>
        <w:t>ives, which have been initially proposed in the technical offer and thanks to a preliminary data collection. This was necessary to set out, share and validate the approach to be followed throughout the whole duration of the study, laying out the grounds, i</w:t>
      </w:r>
      <w:r>
        <w:rPr>
          <w:noProof/>
        </w:rPr>
        <w:t xml:space="preserve">n particular to the mapping and assessment of existing security certification and labelling schemes, the problem definition and assessment as well as providing the discussion over the policy options. </w:t>
      </w:r>
    </w:p>
    <w:p w:rsidR="00913429" w:rsidRDefault="00E143F0">
      <w:pPr>
        <w:adjustRightInd w:val="0"/>
        <w:spacing w:after="0" w:line="240" w:lineRule="auto"/>
        <w:jc w:val="both"/>
        <w:textAlignment w:val="baseline"/>
        <w:rPr>
          <w:noProof/>
        </w:rPr>
      </w:pPr>
      <w:r>
        <w:rPr>
          <w:noProof/>
        </w:rPr>
        <w:t xml:space="preserve">Following the Inception Meeting, the Inception report </w:t>
      </w:r>
      <w:r>
        <w:rPr>
          <w:noProof/>
        </w:rPr>
        <w:t>has been finalised taking into account all observations and comments raised at the meeting and delivered on the 19</w:t>
      </w:r>
      <w:r>
        <w:rPr>
          <w:noProof/>
          <w:vertAlign w:val="superscript"/>
        </w:rPr>
        <w:t>th</w:t>
      </w:r>
      <w:r>
        <w:rPr>
          <w:noProof/>
        </w:rPr>
        <w:t xml:space="preserve"> of May 2017.</w:t>
      </w:r>
    </w:p>
    <w:p w:rsidR="00913429" w:rsidRDefault="00913429">
      <w:pPr>
        <w:adjustRightInd w:val="0"/>
        <w:spacing w:after="0" w:line="240" w:lineRule="auto"/>
        <w:textAlignment w:val="baseline"/>
        <w:rPr>
          <w:rFonts w:eastAsia="Times New Roman"/>
          <w:bCs/>
          <w:noProof/>
          <w:color w:val="000000"/>
          <w:sz w:val="21"/>
          <w:szCs w:val="24"/>
        </w:rPr>
      </w:pPr>
    </w:p>
    <w:p w:rsidR="00913429" w:rsidRDefault="00E143F0">
      <w:pPr>
        <w:spacing w:line="276" w:lineRule="auto"/>
        <w:jc w:val="both"/>
        <w:rPr>
          <w:bCs/>
          <w:i/>
          <w:iCs/>
          <w:noProof/>
          <w:color w:val="DC6900"/>
          <w:sz w:val="24"/>
        </w:rPr>
      </w:pPr>
      <w:r>
        <w:rPr>
          <w:bCs/>
          <w:i/>
          <w:iCs/>
          <w:noProof/>
          <w:color w:val="DC6900"/>
          <w:sz w:val="24"/>
        </w:rPr>
        <w:t>Sub-Task 1.1: Desk research and field work</w:t>
      </w:r>
    </w:p>
    <w:p w:rsidR="00913429" w:rsidRDefault="00E143F0">
      <w:pPr>
        <w:jc w:val="both"/>
        <w:rPr>
          <w:noProof/>
        </w:rPr>
      </w:pPr>
      <w:r>
        <w:rPr>
          <w:noProof/>
        </w:rPr>
        <w:t xml:space="preserve">The goal of the data gathering activities was to find quantitative data or </w:t>
      </w:r>
      <w:r>
        <w:rPr>
          <w:noProof/>
        </w:rPr>
        <w:t>estimates, experts’ views, and any kind of useful information on:</w:t>
      </w:r>
    </w:p>
    <w:p w:rsidR="00913429" w:rsidRDefault="00E143F0">
      <w:pPr>
        <w:numPr>
          <w:ilvl w:val="0"/>
          <w:numId w:val="39"/>
        </w:numPr>
        <w:spacing w:after="0" w:line="259" w:lineRule="auto"/>
        <w:jc w:val="both"/>
        <w:rPr>
          <w:noProof/>
        </w:rPr>
      </w:pPr>
      <w:r>
        <w:rPr>
          <w:noProof/>
        </w:rPr>
        <w:t xml:space="preserve">State of play of certification and labelling frameworks by Member States, including level of diffusions, their key features (i.e. self-regulation vs. mandatory frameworks), level of success </w:t>
      </w:r>
      <w:r>
        <w:rPr>
          <w:noProof/>
        </w:rPr>
        <w:t>and their added value</w:t>
      </w:r>
    </w:p>
    <w:p w:rsidR="00913429" w:rsidRDefault="00E143F0">
      <w:pPr>
        <w:numPr>
          <w:ilvl w:val="0"/>
          <w:numId w:val="39"/>
        </w:numPr>
        <w:spacing w:after="0" w:line="259" w:lineRule="auto"/>
        <w:jc w:val="both"/>
        <w:rPr>
          <w:noProof/>
        </w:rPr>
      </w:pPr>
      <w:r>
        <w:rPr>
          <w:noProof/>
        </w:rPr>
        <w:t xml:space="preserve">Evidence of obstacles to cross-border trade and market fragmentation stemming caused by fragmentation in national certification framework </w:t>
      </w:r>
    </w:p>
    <w:p w:rsidR="00913429" w:rsidRDefault="00E143F0">
      <w:pPr>
        <w:numPr>
          <w:ilvl w:val="0"/>
          <w:numId w:val="39"/>
        </w:numPr>
        <w:spacing w:after="120" w:line="259" w:lineRule="auto"/>
        <w:jc w:val="both"/>
        <w:rPr>
          <w:noProof/>
        </w:rPr>
      </w:pPr>
      <w:r>
        <w:rPr>
          <w:noProof/>
        </w:rPr>
        <w:t xml:space="preserve">Costs (i.e. cost and duration of certification procedure) and benefits (for final users and as </w:t>
      </w:r>
      <w:r>
        <w:rPr>
          <w:noProof/>
        </w:rPr>
        <w:t>positive externality for the Digital Market Strategy)  of certification frameworks (see later our typology)</w:t>
      </w:r>
    </w:p>
    <w:p w:rsidR="00913429" w:rsidRDefault="00E143F0">
      <w:pPr>
        <w:spacing w:after="180" w:line="260" w:lineRule="atLeast"/>
        <w:jc w:val="both"/>
        <w:rPr>
          <w:noProof/>
        </w:rPr>
      </w:pPr>
      <w:r>
        <w:rPr>
          <w:noProof/>
        </w:rPr>
        <w:t>DG CONNECT has provided a list of sources to be examined that include also the results of workshops organized by DG CONNECT with stakeholders in the</w:t>
      </w:r>
      <w:r>
        <w:rPr>
          <w:noProof/>
        </w:rPr>
        <w:t xml:space="preserve"> previous months. In addition to the sources provided and listed above, one market study elaborated by PwC integrated.</w:t>
      </w:r>
    </w:p>
    <w:p w:rsidR="00913429" w:rsidRDefault="00E143F0">
      <w:pPr>
        <w:adjustRightInd w:val="0"/>
        <w:spacing w:after="120" w:line="240" w:lineRule="auto"/>
        <w:jc w:val="both"/>
        <w:textAlignment w:val="baseline"/>
        <w:rPr>
          <w:bCs/>
          <w:iCs/>
          <w:noProof/>
        </w:rPr>
      </w:pPr>
      <w:r>
        <w:rPr>
          <w:bCs/>
          <w:iCs/>
          <w:noProof/>
        </w:rPr>
        <w:t>During the first preliminary meeting, on the 8th of May 2017, and the kick off meeting, on the 17</w:t>
      </w:r>
      <w:r>
        <w:rPr>
          <w:bCs/>
          <w:iCs/>
          <w:noProof/>
          <w:vertAlign w:val="superscript"/>
        </w:rPr>
        <w:t>th</w:t>
      </w:r>
      <w:r>
        <w:rPr>
          <w:bCs/>
          <w:iCs/>
          <w:noProof/>
        </w:rPr>
        <w:t xml:space="preserve"> of May 2017, the DG CNECT Team has hi</w:t>
      </w:r>
      <w:r>
        <w:rPr>
          <w:bCs/>
          <w:iCs/>
          <w:noProof/>
        </w:rPr>
        <w:t>ghlighted the need to have within the Draft Interim Report the analysis of all the evidences supporting the impact assessment. It was therefore asked to focus on the documentation provided by DG CNECT and for this reason the activities to be carried out ha</w:t>
      </w:r>
      <w:r>
        <w:rPr>
          <w:bCs/>
          <w:iCs/>
          <w:noProof/>
        </w:rPr>
        <w:t>s been reorganized as follows:</w:t>
      </w:r>
    </w:p>
    <w:p w:rsidR="00913429" w:rsidRDefault="00E143F0">
      <w:pPr>
        <w:numPr>
          <w:ilvl w:val="2"/>
          <w:numId w:val="47"/>
        </w:numPr>
        <w:adjustRightInd w:val="0"/>
        <w:spacing w:after="120" w:line="240" w:lineRule="auto"/>
        <w:jc w:val="both"/>
        <w:textAlignment w:val="baseline"/>
        <w:rPr>
          <w:bCs/>
          <w:iCs/>
          <w:noProof/>
        </w:rPr>
      </w:pPr>
      <w:r>
        <w:rPr>
          <w:bCs/>
          <w:iCs/>
          <w:noProof/>
        </w:rPr>
        <w:t xml:space="preserve">Literature / Input analysis provided by the Commission; </w:t>
      </w:r>
    </w:p>
    <w:p w:rsidR="00913429" w:rsidRDefault="00E143F0">
      <w:pPr>
        <w:numPr>
          <w:ilvl w:val="2"/>
          <w:numId w:val="47"/>
        </w:numPr>
        <w:adjustRightInd w:val="0"/>
        <w:spacing w:after="120" w:line="240" w:lineRule="auto"/>
        <w:jc w:val="both"/>
        <w:textAlignment w:val="baseline"/>
        <w:rPr>
          <w:bCs/>
          <w:iCs/>
          <w:noProof/>
        </w:rPr>
      </w:pPr>
      <w:r>
        <w:rPr>
          <w:bCs/>
          <w:iCs/>
          <w:noProof/>
        </w:rPr>
        <w:t>Desk Research;</w:t>
      </w:r>
    </w:p>
    <w:p w:rsidR="00913429" w:rsidRDefault="00E143F0">
      <w:pPr>
        <w:numPr>
          <w:ilvl w:val="2"/>
          <w:numId w:val="47"/>
        </w:numPr>
        <w:adjustRightInd w:val="0"/>
        <w:spacing w:before="120" w:after="160" w:line="360" w:lineRule="auto"/>
        <w:contextualSpacing/>
        <w:jc w:val="both"/>
        <w:textAlignment w:val="baseline"/>
        <w:rPr>
          <w:rFonts w:eastAsia="Times New Roman"/>
          <w:bCs/>
          <w:iCs/>
          <w:noProof/>
        </w:rPr>
      </w:pPr>
      <w:r>
        <w:rPr>
          <w:bCs/>
          <w:iCs/>
          <w:noProof/>
        </w:rPr>
        <w:t>Re-mapping of key stakeholders not yet engaged in past activities and organization of related interviews;</w:t>
      </w:r>
    </w:p>
    <w:p w:rsidR="00913429" w:rsidRDefault="00E143F0">
      <w:pPr>
        <w:numPr>
          <w:ilvl w:val="2"/>
          <w:numId w:val="47"/>
        </w:numPr>
        <w:adjustRightInd w:val="0"/>
        <w:spacing w:before="120" w:line="240" w:lineRule="auto"/>
        <w:contextualSpacing/>
        <w:jc w:val="both"/>
        <w:textAlignment w:val="baseline"/>
        <w:rPr>
          <w:rFonts w:eastAsia="Times New Roman"/>
          <w:bCs/>
          <w:iCs/>
          <w:noProof/>
        </w:rPr>
      </w:pPr>
      <w:r>
        <w:rPr>
          <w:rFonts w:eastAsia="Times New Roman"/>
          <w:bCs/>
          <w:iCs/>
          <w:noProof/>
        </w:rPr>
        <w:t>Interviews/Online Questionnaire.</w:t>
      </w:r>
    </w:p>
    <w:p w:rsidR="00913429" w:rsidRDefault="00913429">
      <w:pPr>
        <w:adjustRightInd w:val="0"/>
        <w:spacing w:before="120" w:line="240" w:lineRule="auto"/>
        <w:contextualSpacing/>
        <w:jc w:val="both"/>
        <w:textAlignment w:val="baseline"/>
        <w:rPr>
          <w:rFonts w:eastAsia="Times New Roman"/>
          <w:bCs/>
          <w:iCs/>
          <w:noProof/>
        </w:rPr>
      </w:pPr>
    </w:p>
    <w:p w:rsidR="00913429" w:rsidRDefault="00E143F0">
      <w:pPr>
        <w:spacing w:before="60" w:after="60" w:line="276" w:lineRule="auto"/>
        <w:jc w:val="both"/>
        <w:rPr>
          <w:noProof/>
        </w:rPr>
      </w:pPr>
      <w:r>
        <w:rPr>
          <w:noProof/>
        </w:rPr>
        <w:t xml:space="preserve">Since the </w:t>
      </w:r>
      <w:r>
        <w:rPr>
          <w:noProof/>
        </w:rPr>
        <w:t>beginning of the project, we have been working to identify and validate a list of the stakeholders who are directly or indirectly impacted by the project. The list has been updated and enriched several times during the first weeks. An updated release of th</w:t>
      </w:r>
      <w:r>
        <w:rPr>
          <w:noProof/>
        </w:rPr>
        <w:t>e stakeholders map is included already now in Annex.</w:t>
      </w:r>
    </w:p>
    <w:p w:rsidR="00913429" w:rsidRDefault="00E143F0">
      <w:pPr>
        <w:spacing w:before="60" w:after="60" w:line="276" w:lineRule="auto"/>
        <w:jc w:val="both"/>
        <w:rPr>
          <w:noProof/>
        </w:rPr>
      </w:pPr>
      <w:r>
        <w:rPr>
          <w:noProof/>
        </w:rPr>
        <w:t xml:space="preserve">This fundamental database represented a key element to identify Certification Authority agencies and the representatives of the main industrial sectors participating to the interviews and questionnaire, </w:t>
      </w:r>
      <w:r>
        <w:rPr>
          <w:noProof/>
        </w:rPr>
        <w:t>to identify evidences supporting the analysis. When identifying key stakeholders, we have been taking into account the following:</w:t>
      </w:r>
    </w:p>
    <w:p w:rsidR="00913429" w:rsidRDefault="00E143F0">
      <w:pPr>
        <w:numPr>
          <w:ilvl w:val="0"/>
          <w:numId w:val="31"/>
        </w:numPr>
        <w:spacing w:before="120" w:after="60" w:line="276" w:lineRule="auto"/>
        <w:ind w:left="360"/>
        <w:contextualSpacing/>
        <w:rPr>
          <w:rFonts w:eastAsia="Times New Roman"/>
          <w:noProof/>
        </w:rPr>
      </w:pPr>
      <w:r>
        <w:rPr>
          <w:rFonts w:eastAsia="Times New Roman"/>
          <w:noProof/>
        </w:rPr>
        <w:t>Geographical coverage (EU 28 MS),</w:t>
      </w:r>
    </w:p>
    <w:p w:rsidR="00913429" w:rsidRDefault="00E143F0">
      <w:pPr>
        <w:numPr>
          <w:ilvl w:val="0"/>
          <w:numId w:val="31"/>
        </w:numPr>
        <w:spacing w:before="120" w:after="60" w:line="276" w:lineRule="auto"/>
        <w:ind w:left="360"/>
        <w:contextualSpacing/>
        <w:rPr>
          <w:rFonts w:eastAsia="Times New Roman"/>
          <w:noProof/>
        </w:rPr>
      </w:pPr>
      <w:r>
        <w:rPr>
          <w:rFonts w:eastAsia="Times New Roman"/>
          <w:noProof/>
        </w:rPr>
        <w:t>Coverage of the various types of stakeholders (Certification Authority Agencies, Industries,</w:t>
      </w:r>
      <w:r>
        <w:rPr>
          <w:rFonts w:eastAsia="Times New Roman"/>
          <w:noProof/>
        </w:rPr>
        <w:t xml:space="preserve"> etc.)</w:t>
      </w:r>
    </w:p>
    <w:p w:rsidR="00913429" w:rsidRDefault="00E143F0">
      <w:pPr>
        <w:numPr>
          <w:ilvl w:val="0"/>
          <w:numId w:val="31"/>
        </w:numPr>
        <w:spacing w:before="120" w:after="60" w:line="276" w:lineRule="auto"/>
        <w:ind w:left="360"/>
        <w:contextualSpacing/>
        <w:rPr>
          <w:rFonts w:eastAsia="Times New Roman"/>
          <w:noProof/>
        </w:rPr>
      </w:pPr>
      <w:r>
        <w:rPr>
          <w:rFonts w:eastAsia="Times New Roman"/>
          <w:noProof/>
        </w:rPr>
        <w:t>ICT vendors,</w:t>
      </w:r>
    </w:p>
    <w:p w:rsidR="00913429" w:rsidRDefault="00E143F0">
      <w:pPr>
        <w:numPr>
          <w:ilvl w:val="0"/>
          <w:numId w:val="31"/>
        </w:numPr>
        <w:spacing w:before="120" w:after="60" w:line="276" w:lineRule="auto"/>
        <w:ind w:left="360"/>
        <w:contextualSpacing/>
        <w:rPr>
          <w:rFonts w:eastAsia="Times New Roman"/>
          <w:noProof/>
        </w:rPr>
      </w:pPr>
      <w:r>
        <w:rPr>
          <w:rFonts w:eastAsia="Times New Roman"/>
          <w:noProof/>
        </w:rPr>
        <w:t>Policy makers.</w:t>
      </w:r>
    </w:p>
    <w:p w:rsidR="00913429" w:rsidRDefault="00913429">
      <w:pPr>
        <w:adjustRightInd w:val="0"/>
        <w:spacing w:after="0" w:line="240" w:lineRule="auto"/>
        <w:jc w:val="both"/>
        <w:textAlignment w:val="baseline"/>
        <w:rPr>
          <w:bCs/>
          <w:iCs/>
          <w:noProof/>
        </w:rPr>
      </w:pPr>
    </w:p>
    <w:p w:rsidR="00913429" w:rsidRDefault="00E143F0">
      <w:pPr>
        <w:adjustRightInd w:val="0"/>
        <w:spacing w:after="0" w:line="240" w:lineRule="auto"/>
        <w:jc w:val="both"/>
        <w:textAlignment w:val="baseline"/>
        <w:rPr>
          <w:bCs/>
          <w:iCs/>
          <w:noProof/>
        </w:rPr>
      </w:pPr>
      <w:r>
        <w:rPr>
          <w:bCs/>
          <w:iCs/>
          <w:noProof/>
        </w:rPr>
        <w:t xml:space="preserve">To get more resources in support of </w:t>
      </w:r>
      <w:r>
        <w:rPr>
          <w:bCs/>
          <w:i/>
          <w:iCs/>
          <w:noProof/>
        </w:rPr>
        <w:t>Literature / input analysis provided by the Commission</w:t>
      </w:r>
      <w:r>
        <w:rPr>
          <w:bCs/>
          <w:iCs/>
          <w:noProof/>
        </w:rPr>
        <w:t>, the Consortium requested to have access to a study on cloud computing certification, the study is not completed and the Consorti</w:t>
      </w:r>
      <w:r>
        <w:rPr>
          <w:bCs/>
          <w:iCs/>
          <w:noProof/>
        </w:rPr>
        <w:t xml:space="preserve">um had a preview of the ongoing activities. Furthermore, within the Report have been included preliminary data coming from the study on the </w:t>
      </w:r>
      <w:r>
        <w:rPr>
          <w:noProof/>
        </w:rPr>
        <w:t>Cyber Security Industry Market Analysis (CIMA), conducted by PwC and LSEC. This study is not yet completed and the d</w:t>
      </w:r>
      <w:r>
        <w:rPr>
          <w:noProof/>
        </w:rPr>
        <w:t>ata included by the Consortium within the present report are the very first information shared and updated at the 6</w:t>
      </w:r>
      <w:r>
        <w:rPr>
          <w:noProof/>
          <w:vertAlign w:val="superscript"/>
        </w:rPr>
        <w:t>th</w:t>
      </w:r>
      <w:r>
        <w:rPr>
          <w:noProof/>
        </w:rPr>
        <w:t xml:space="preserve"> on June 2017. </w:t>
      </w:r>
    </w:p>
    <w:p w:rsidR="00913429" w:rsidRDefault="00E143F0">
      <w:pPr>
        <w:adjustRightInd w:val="0"/>
        <w:spacing w:line="240" w:lineRule="auto"/>
        <w:jc w:val="both"/>
        <w:textAlignment w:val="baseline"/>
        <w:rPr>
          <w:bCs/>
          <w:iCs/>
          <w:noProof/>
        </w:rPr>
      </w:pPr>
      <w:r>
        <w:rPr>
          <w:bCs/>
          <w:iCs/>
          <w:noProof/>
        </w:rPr>
        <w:t xml:space="preserve">As regard the results of the 2017 Enisa Survey, the DG CNECT Team shared the results with the Consortium and these results </w:t>
      </w:r>
      <w:r>
        <w:rPr>
          <w:bCs/>
          <w:iCs/>
          <w:noProof/>
        </w:rPr>
        <w:t>are part of the analysis included within the previous chapters.</w:t>
      </w:r>
    </w:p>
    <w:p w:rsidR="00913429" w:rsidRDefault="00E143F0">
      <w:pPr>
        <w:adjustRightInd w:val="0"/>
        <w:spacing w:line="240" w:lineRule="auto"/>
        <w:jc w:val="both"/>
        <w:textAlignment w:val="baseline"/>
        <w:rPr>
          <w:bCs/>
          <w:iCs/>
          <w:noProof/>
        </w:rPr>
      </w:pPr>
      <w:r>
        <w:rPr>
          <w:bCs/>
          <w:iCs/>
          <w:noProof/>
        </w:rPr>
        <w:t>The chapter of this report, named Stakeholders’ support, contains a synthesis of the interviews conducted so far and, it gives an overview of the point of view of the main stakeholders involve</w:t>
      </w:r>
      <w:r>
        <w:rPr>
          <w:bCs/>
          <w:iCs/>
          <w:noProof/>
        </w:rPr>
        <w:t xml:space="preserve">d. In addition to the interviews, the Consortium has prepared a Questionnaire (see Annex 7.2) sent to all stakeholders mapped during the first two weeks of the project, which aimed at gathering more evidences. The due date to submit the said Questionnaire </w:t>
      </w:r>
      <w:r>
        <w:rPr>
          <w:bCs/>
          <w:iCs/>
          <w:noProof/>
        </w:rPr>
        <w:t>was the 19</w:t>
      </w:r>
      <w:r>
        <w:rPr>
          <w:bCs/>
          <w:iCs/>
          <w:noProof/>
          <w:vertAlign w:val="superscript"/>
        </w:rPr>
        <w:t>th</w:t>
      </w:r>
      <w:r>
        <w:rPr>
          <w:bCs/>
          <w:iCs/>
          <w:noProof/>
        </w:rPr>
        <w:t xml:space="preserve"> of June, the Annex includes also the results gathered. </w:t>
      </w:r>
    </w:p>
    <w:p w:rsidR="00913429" w:rsidRDefault="00E143F0">
      <w:pPr>
        <w:adjustRightInd w:val="0"/>
        <w:spacing w:line="240" w:lineRule="auto"/>
        <w:jc w:val="both"/>
        <w:textAlignment w:val="baseline"/>
        <w:rPr>
          <w:bCs/>
          <w:i/>
          <w:iCs/>
          <w:noProof/>
          <w:color w:val="DC6900"/>
          <w:sz w:val="24"/>
        </w:rPr>
      </w:pPr>
      <w:r>
        <w:rPr>
          <w:bCs/>
          <w:i/>
          <w:iCs/>
          <w:noProof/>
          <w:color w:val="DC6900"/>
          <w:sz w:val="24"/>
        </w:rPr>
        <w:t>Sub-Task 1.2: Mapping and assessment of existing certification and labelling schemes</w:t>
      </w:r>
    </w:p>
    <w:p w:rsidR="00913429" w:rsidRDefault="00E143F0">
      <w:pPr>
        <w:spacing w:before="120"/>
        <w:jc w:val="both"/>
        <w:rPr>
          <w:noProof/>
        </w:rPr>
      </w:pPr>
      <w:r>
        <w:rPr>
          <w:noProof/>
        </w:rPr>
        <w:t>Evidence on the current state of the art in the 28 EU countries and selected extra EU countries has be</w:t>
      </w:r>
      <w:r>
        <w:rPr>
          <w:noProof/>
        </w:rPr>
        <w:t>en identified and provided, performing a systematic research of secondary sources on the following:</w:t>
      </w:r>
    </w:p>
    <w:p w:rsidR="00913429" w:rsidRDefault="00E143F0">
      <w:pPr>
        <w:numPr>
          <w:ilvl w:val="0"/>
          <w:numId w:val="40"/>
        </w:numPr>
        <w:spacing w:after="0" w:line="240" w:lineRule="auto"/>
        <w:ind w:hanging="357"/>
        <w:jc w:val="both"/>
        <w:rPr>
          <w:rFonts w:ascii="Times New Roman" w:eastAsia="Times New Roman" w:hAnsi="Times New Roman"/>
          <w:noProof/>
          <w:sz w:val="22"/>
          <w:szCs w:val="24"/>
        </w:rPr>
      </w:pPr>
      <w:r>
        <w:rPr>
          <w:rFonts w:ascii="Times New Roman" w:eastAsia="Times New Roman" w:hAnsi="Times New Roman"/>
          <w:noProof/>
          <w:sz w:val="22"/>
          <w:szCs w:val="24"/>
        </w:rPr>
        <w:t xml:space="preserve">Available materials (from e.g., EU project CRISP, ENISA, BSA) that formed the initial reference for relevant entities in cybersecurity (and, hopefully, for </w:t>
      </w:r>
      <w:r>
        <w:rPr>
          <w:rFonts w:ascii="Times New Roman" w:eastAsia="Times New Roman" w:hAnsi="Times New Roman"/>
          <w:noProof/>
          <w:sz w:val="22"/>
          <w:szCs w:val="24"/>
        </w:rPr>
        <w:t xml:space="preserve">the derivation of the cybersecurity certification status) in EU (and outside). </w:t>
      </w:r>
    </w:p>
    <w:p w:rsidR="00913429" w:rsidRDefault="00E143F0">
      <w:pPr>
        <w:numPr>
          <w:ilvl w:val="0"/>
          <w:numId w:val="40"/>
        </w:numPr>
        <w:spacing w:before="60" w:after="160" w:line="240" w:lineRule="auto"/>
        <w:ind w:hanging="357"/>
        <w:jc w:val="both"/>
        <w:rPr>
          <w:rFonts w:ascii="Times New Roman" w:eastAsia="Times New Roman" w:hAnsi="Times New Roman"/>
          <w:noProof/>
          <w:sz w:val="22"/>
          <w:szCs w:val="24"/>
        </w:rPr>
      </w:pPr>
      <w:r>
        <w:rPr>
          <w:rFonts w:ascii="Times New Roman" w:eastAsia="Times New Roman" w:hAnsi="Times New Roman"/>
          <w:noProof/>
          <w:sz w:val="22"/>
          <w:szCs w:val="24"/>
        </w:rPr>
        <w:t>Missing data  gathered on the basis of explorations by the above mentioned questionnaire and interviews submitted to selected stakeholders  in specific and impacted industry se</w:t>
      </w:r>
      <w:r>
        <w:rPr>
          <w:rFonts w:ascii="Times New Roman" w:eastAsia="Times New Roman" w:hAnsi="Times New Roman"/>
          <w:noProof/>
          <w:sz w:val="22"/>
          <w:szCs w:val="24"/>
        </w:rPr>
        <w:t>ctor (mainly smart meters, semiconductors, Certification Authorities, etc.)</w:t>
      </w:r>
    </w:p>
    <w:p w:rsidR="00913429" w:rsidRDefault="00E143F0">
      <w:pPr>
        <w:spacing w:before="60" w:line="240" w:lineRule="auto"/>
        <w:jc w:val="both"/>
        <w:rPr>
          <w:noProof/>
          <w:color w:val="000000"/>
        </w:rPr>
      </w:pPr>
      <w:r>
        <w:rPr>
          <w:noProof/>
          <w:color w:val="000000"/>
        </w:rPr>
        <w:t>As highlighted by the DG CNECT Team during the Inception Meeting, on the 8th of May 2017, the specific theme of labelling will be discussed in September.</w:t>
      </w:r>
    </w:p>
    <w:p w:rsidR="00913429" w:rsidRDefault="00E143F0">
      <w:pPr>
        <w:spacing w:line="276" w:lineRule="auto"/>
        <w:jc w:val="both"/>
        <w:rPr>
          <w:bCs/>
          <w:i/>
          <w:iCs/>
          <w:noProof/>
          <w:color w:val="DC6900"/>
          <w:sz w:val="24"/>
        </w:rPr>
      </w:pPr>
      <w:r>
        <w:rPr>
          <w:bCs/>
          <w:i/>
          <w:iCs/>
          <w:noProof/>
          <w:color w:val="DC6900"/>
          <w:sz w:val="24"/>
        </w:rPr>
        <w:t>Sub-Task 1.3: Problem</w:t>
      </w:r>
      <w:r>
        <w:rPr>
          <w:b/>
          <w:bCs/>
          <w:i/>
          <w:iCs/>
          <w:noProof/>
          <w:color w:val="DC6900"/>
          <w:sz w:val="24"/>
        </w:rPr>
        <w:t xml:space="preserve"> </w:t>
      </w:r>
      <w:r>
        <w:rPr>
          <w:bCs/>
          <w:i/>
          <w:iCs/>
          <w:noProof/>
          <w:color w:val="DC6900"/>
          <w:sz w:val="24"/>
        </w:rPr>
        <w:t>definition and assessment</w:t>
      </w:r>
    </w:p>
    <w:p w:rsidR="00913429" w:rsidRDefault="00E143F0">
      <w:pPr>
        <w:adjustRightInd w:val="0"/>
        <w:spacing w:after="0" w:line="240" w:lineRule="auto"/>
        <w:textAlignment w:val="baseline"/>
        <w:rPr>
          <w:rFonts w:eastAsia="Times"/>
          <w:bCs/>
          <w:noProof/>
          <w:color w:val="000000"/>
          <w:sz w:val="21"/>
          <w:szCs w:val="24"/>
        </w:rPr>
      </w:pPr>
      <w:r>
        <w:rPr>
          <w:rFonts w:eastAsia="Times"/>
          <w:bCs/>
          <w:noProof/>
          <w:color w:val="000000"/>
          <w:sz w:val="21"/>
          <w:szCs w:val="24"/>
        </w:rPr>
        <w:t>Sub-Task 1.3 has been developed performing the following phases:</w:t>
      </w:r>
    </w:p>
    <w:p w:rsidR="00913429" w:rsidRDefault="00E143F0">
      <w:pPr>
        <w:spacing w:before="120"/>
        <w:jc w:val="both"/>
        <w:rPr>
          <w:rFonts w:eastAsia="Times"/>
          <w:b/>
          <w:noProof/>
          <w:color w:val="000000"/>
        </w:rPr>
      </w:pPr>
      <w:r>
        <w:rPr>
          <w:rFonts w:eastAsia="Times"/>
          <w:b/>
          <w:noProof/>
          <w:color w:val="000000"/>
        </w:rPr>
        <w:t>Analysis of the state of play and why EU intervention is needed (or not);</w:t>
      </w:r>
    </w:p>
    <w:p w:rsidR="00913429" w:rsidRDefault="00E143F0">
      <w:pPr>
        <w:autoSpaceDE w:val="0"/>
        <w:autoSpaceDN w:val="0"/>
        <w:adjustRightInd w:val="0"/>
        <w:spacing w:before="120"/>
        <w:jc w:val="both"/>
        <w:rPr>
          <w:noProof/>
        </w:rPr>
      </w:pPr>
      <w:r>
        <w:rPr>
          <w:noProof/>
        </w:rPr>
        <w:t xml:space="preserve">A preliminary qualitative assessment of the current fragmentation and its costs has been </w:t>
      </w:r>
      <w:r>
        <w:rPr>
          <w:noProof/>
        </w:rPr>
        <w:t>developed during these weeks, to perform the test prescribed in impact assessment to ascertain whether EU action is required. Practical examples and specific cases to prove the market fragmentation have been gathered and it is presented within this report.</w:t>
      </w:r>
      <w:r>
        <w:rPr>
          <w:noProof/>
        </w:rPr>
        <w:t xml:space="preserve"> The activity is ongoing and it will be completed within the 19</w:t>
      </w:r>
      <w:r>
        <w:rPr>
          <w:noProof/>
          <w:vertAlign w:val="superscript"/>
        </w:rPr>
        <w:t>th</w:t>
      </w:r>
      <w:r>
        <w:rPr>
          <w:noProof/>
        </w:rPr>
        <w:t xml:space="preserve"> of June 2017.</w:t>
      </w:r>
    </w:p>
    <w:p w:rsidR="00913429" w:rsidRDefault="00E143F0">
      <w:pPr>
        <w:autoSpaceDE w:val="0"/>
        <w:autoSpaceDN w:val="0"/>
        <w:adjustRightInd w:val="0"/>
        <w:spacing w:before="120"/>
        <w:jc w:val="both"/>
        <w:rPr>
          <w:b/>
          <w:noProof/>
        </w:rPr>
      </w:pPr>
      <w:r>
        <w:rPr>
          <w:b/>
          <w:noProof/>
        </w:rPr>
        <w:t xml:space="preserve">Further Development </w:t>
      </w:r>
    </w:p>
    <w:p w:rsidR="00913429" w:rsidRDefault="00E143F0">
      <w:pPr>
        <w:adjustRightInd w:val="0"/>
        <w:spacing w:after="0" w:line="240" w:lineRule="auto"/>
        <w:textAlignment w:val="baseline"/>
        <w:rPr>
          <w:rFonts w:eastAsia="Times New Roman"/>
          <w:bCs/>
          <w:noProof/>
          <w:color w:val="000000"/>
          <w:sz w:val="21"/>
          <w:szCs w:val="24"/>
        </w:rPr>
      </w:pPr>
      <w:r>
        <w:rPr>
          <w:rFonts w:eastAsia="Times New Roman"/>
          <w:bCs/>
          <w:noProof/>
          <w:color w:val="000000"/>
          <w:sz w:val="21"/>
          <w:szCs w:val="24"/>
        </w:rPr>
        <w:t>Based on the documents/data/information that the Consortium have analysed, it has been developed and improved the evaluation of the core problem and its wh</w:t>
      </w:r>
      <w:r>
        <w:rPr>
          <w:rFonts w:eastAsia="Times New Roman"/>
          <w:bCs/>
          <w:noProof/>
          <w:color w:val="000000"/>
          <w:sz w:val="21"/>
          <w:szCs w:val="24"/>
        </w:rPr>
        <w:t>ole definition.</w:t>
      </w:r>
    </w:p>
    <w:p w:rsidR="00913429" w:rsidRDefault="00913429">
      <w:pPr>
        <w:adjustRightInd w:val="0"/>
        <w:spacing w:after="0" w:line="240" w:lineRule="auto"/>
        <w:textAlignment w:val="baseline"/>
        <w:rPr>
          <w:rFonts w:eastAsia="Times New Roman"/>
          <w:bCs/>
          <w:noProof/>
          <w:color w:val="000000"/>
          <w:sz w:val="21"/>
          <w:szCs w:val="24"/>
        </w:rPr>
      </w:pPr>
    </w:p>
    <w:p w:rsidR="00913429" w:rsidRDefault="00E143F0">
      <w:pPr>
        <w:spacing w:line="276" w:lineRule="auto"/>
        <w:jc w:val="both"/>
        <w:rPr>
          <w:bCs/>
          <w:i/>
          <w:iCs/>
          <w:noProof/>
          <w:color w:val="DC6900"/>
          <w:sz w:val="24"/>
        </w:rPr>
      </w:pPr>
      <w:r>
        <w:rPr>
          <w:bCs/>
          <w:i/>
          <w:iCs/>
          <w:noProof/>
          <w:color w:val="DC6900"/>
          <w:sz w:val="24"/>
        </w:rPr>
        <w:t>Sub-Task 1.4: Analysis of the baseline scenario and its evolution</w:t>
      </w:r>
    </w:p>
    <w:p w:rsidR="00913429" w:rsidRDefault="00E143F0">
      <w:pPr>
        <w:jc w:val="both"/>
        <w:rPr>
          <w:noProof/>
        </w:rPr>
      </w:pPr>
      <w:r>
        <w:rPr>
          <w:noProof/>
        </w:rPr>
        <w:t>The approach used to develop scenarios started from the definition of gaps, needs and state of play. The trajectories that the State of Play Model pointed out, as well as th</w:t>
      </w:r>
      <w:r>
        <w:rPr>
          <w:noProof/>
        </w:rPr>
        <w:t>e analysis of barriers and needs, interpreted in terms of how they can evolve in terms of trends. The scenarios, thereby, investigated the type(s) of future(s) to which these trends may lead following the various steps explained in the following.</w:t>
      </w:r>
    </w:p>
    <w:p w:rsidR="00913429" w:rsidRDefault="00E143F0">
      <w:pPr>
        <w:jc w:val="both"/>
        <w:rPr>
          <w:noProof/>
        </w:rPr>
      </w:pPr>
      <w:r>
        <w:rPr>
          <w:noProof/>
        </w:rPr>
        <w:t>The trend</w:t>
      </w:r>
      <w:r>
        <w:rPr>
          <w:noProof/>
        </w:rPr>
        <w:t xml:space="preserve"> analysis followed five steps:</w:t>
      </w:r>
    </w:p>
    <w:p w:rsidR="00913429" w:rsidRDefault="00E143F0">
      <w:pPr>
        <w:numPr>
          <w:ilvl w:val="0"/>
          <w:numId w:val="41"/>
        </w:numPr>
        <w:spacing w:before="60" w:after="20" w:line="259" w:lineRule="auto"/>
        <w:jc w:val="both"/>
        <w:rPr>
          <w:noProof/>
        </w:rPr>
      </w:pPr>
      <w:r>
        <w:rPr>
          <w:b/>
          <w:iCs/>
          <w:noProof/>
        </w:rPr>
        <w:t>Identify the main trends</w:t>
      </w:r>
      <w:r>
        <w:rPr>
          <w:noProof/>
        </w:rPr>
        <w:t>. The trends has been derived from the baseline and state of play, which also shaped by the general description framework.</w:t>
      </w:r>
    </w:p>
    <w:p w:rsidR="00913429" w:rsidRDefault="00E143F0">
      <w:pPr>
        <w:numPr>
          <w:ilvl w:val="0"/>
          <w:numId w:val="41"/>
        </w:numPr>
        <w:spacing w:before="60" w:after="20" w:line="259" w:lineRule="auto"/>
        <w:jc w:val="both"/>
        <w:rPr>
          <w:noProof/>
        </w:rPr>
      </w:pPr>
      <w:r>
        <w:rPr>
          <w:b/>
          <w:iCs/>
          <w:noProof/>
        </w:rPr>
        <w:t>Classification of the trends</w:t>
      </w:r>
      <w:r>
        <w:rPr>
          <w:i/>
          <w:iCs/>
          <w:noProof/>
        </w:rPr>
        <w:t>.</w:t>
      </w:r>
      <w:r>
        <w:rPr>
          <w:noProof/>
        </w:rPr>
        <w:t xml:space="preserve"> This step required that trends have been cluster</w:t>
      </w:r>
      <w:r>
        <w:rPr>
          <w:noProof/>
        </w:rPr>
        <w:t>ed using an uncertainty - impact matrix. The rationale is that trends having a high uncertainty and high impact may result in contradictory and alternative futures and thus feed into different scenarios. On the contrary, trends having a high impact and low</w:t>
      </w:r>
      <w:r>
        <w:rPr>
          <w:noProof/>
        </w:rPr>
        <w:t xml:space="preserve"> uncertainty should result in one type of future that has been forecasted. Trends with expected low impact are irrelevant and has not be considered. </w:t>
      </w:r>
    </w:p>
    <w:p w:rsidR="00913429" w:rsidRDefault="00E143F0">
      <w:pPr>
        <w:numPr>
          <w:ilvl w:val="0"/>
          <w:numId w:val="41"/>
        </w:numPr>
        <w:spacing w:before="60" w:after="20" w:line="259" w:lineRule="auto"/>
        <w:jc w:val="both"/>
        <w:rPr>
          <w:noProof/>
        </w:rPr>
      </w:pPr>
      <w:r>
        <w:rPr>
          <w:b/>
          <w:iCs/>
          <w:noProof/>
        </w:rPr>
        <w:t>Organization of trends</w:t>
      </w:r>
      <w:r>
        <w:rPr>
          <w:i/>
          <w:iCs/>
          <w:noProof/>
        </w:rPr>
        <w:t xml:space="preserve">. </w:t>
      </w:r>
      <w:r>
        <w:rPr>
          <w:noProof/>
        </w:rPr>
        <w:t>The trends classified</w:t>
      </w:r>
      <w:r>
        <w:rPr>
          <w:i/>
          <w:iCs/>
          <w:noProof/>
        </w:rPr>
        <w:t xml:space="preserve"> </w:t>
      </w:r>
      <w:r>
        <w:rPr>
          <w:noProof/>
        </w:rPr>
        <w:t>as having a high uncertainty and high impact has been organi</w:t>
      </w:r>
      <w:r>
        <w:rPr>
          <w:noProof/>
        </w:rPr>
        <w:t>zed and clustered into a limited number of key uncertainties that defined a number of key dimensions (possibly two). These dimensions are the variables of the scenarios axis. In doing so trends related to each other will be merged into key uncertainties ha</w:t>
      </w:r>
      <w:r>
        <w:rPr>
          <w:noProof/>
        </w:rPr>
        <w:t xml:space="preserve">ving a high impact. </w:t>
      </w:r>
    </w:p>
    <w:p w:rsidR="00913429" w:rsidRDefault="00E143F0">
      <w:pPr>
        <w:numPr>
          <w:ilvl w:val="0"/>
          <w:numId w:val="41"/>
        </w:numPr>
        <w:spacing w:before="60" w:after="20" w:line="259" w:lineRule="auto"/>
        <w:jc w:val="both"/>
        <w:rPr>
          <w:noProof/>
        </w:rPr>
      </w:pPr>
      <w:r>
        <w:rPr>
          <w:b/>
          <w:iCs/>
          <w:noProof/>
        </w:rPr>
        <w:t>Derive concerted scenarios</w:t>
      </w:r>
      <w:r>
        <w:rPr>
          <w:noProof/>
        </w:rPr>
        <w:t>. By combining the key dimensions of uncertainties (each one taking an extreme value), a number of scenarios has been derived. Each scenario has been given a typical, easy-to-recognize, and understandable name</w:t>
      </w:r>
      <w:r>
        <w:rPr>
          <w:noProof/>
        </w:rPr>
        <w:t>.</w:t>
      </w:r>
    </w:p>
    <w:p w:rsidR="00913429" w:rsidRDefault="00E143F0">
      <w:pPr>
        <w:numPr>
          <w:ilvl w:val="0"/>
          <w:numId w:val="41"/>
        </w:numPr>
        <w:spacing w:before="60" w:after="20" w:line="259" w:lineRule="auto"/>
        <w:jc w:val="both"/>
        <w:rPr>
          <w:noProof/>
        </w:rPr>
      </w:pPr>
      <w:r>
        <w:rPr>
          <w:b/>
          <w:iCs/>
          <w:noProof/>
        </w:rPr>
        <w:t>Develop scenario stories and description</w:t>
      </w:r>
      <w:r>
        <w:rPr>
          <w:noProof/>
        </w:rPr>
        <w:t>. The last step aimed at enabling communication of the scenarios. An easy to read and understandable sketch or story will be of each scenario, as well as the values taken by the main aspects (contextual macro-level</w:t>
      </w:r>
      <w:r>
        <w:rPr>
          <w:noProof/>
        </w:rPr>
        <w:t xml:space="preserve"> environment, transactional environment, technology, etc.)</w:t>
      </w:r>
      <w:r>
        <w:rPr>
          <w:rFonts w:eastAsia="SimHei"/>
          <w:b/>
          <w:bCs/>
          <w:i/>
          <w:noProof/>
          <w:color w:val="DC6900"/>
          <w:sz w:val="28"/>
          <w:szCs w:val="28"/>
        </w:rPr>
        <w:br w:type="page"/>
      </w:r>
    </w:p>
    <w:p w:rsidR="00913429" w:rsidRDefault="00E143F0">
      <w:pPr>
        <w:keepNext/>
        <w:keepLines/>
        <w:numPr>
          <w:ilvl w:val="2"/>
          <w:numId w:val="187"/>
        </w:numPr>
        <w:tabs>
          <w:tab w:val="left" w:pos="993"/>
        </w:tabs>
        <w:spacing w:after="120" w:line="259" w:lineRule="auto"/>
        <w:ind w:right="-23"/>
        <w:contextualSpacing/>
        <w:outlineLvl w:val="1"/>
        <w:rPr>
          <w:rFonts w:eastAsia="SimHei"/>
          <w:bCs/>
          <w:i/>
          <w:iCs/>
          <w:noProof/>
          <w:color w:val="DC6900"/>
          <w:sz w:val="24"/>
          <w:szCs w:val="28"/>
        </w:rPr>
      </w:pPr>
      <w:bookmarkStart w:id="43" w:name="_Toc482375233"/>
      <w:bookmarkStart w:id="44" w:name="_Toc485163959"/>
      <w:bookmarkStart w:id="45" w:name="_Toc492396554"/>
      <w:r>
        <w:rPr>
          <w:rFonts w:eastAsia="SimHei"/>
          <w:bCs/>
          <w:i/>
          <w:iCs/>
          <w:noProof/>
          <w:color w:val="DC6900"/>
          <w:sz w:val="24"/>
          <w:szCs w:val="28"/>
        </w:rPr>
        <w:t xml:space="preserve">Task 2: </w:t>
      </w:r>
      <w:bookmarkEnd w:id="42"/>
      <w:r>
        <w:rPr>
          <w:rFonts w:eastAsia="SimHei"/>
          <w:bCs/>
          <w:i/>
          <w:iCs/>
          <w:noProof/>
          <w:color w:val="DC6900"/>
          <w:sz w:val="24"/>
          <w:szCs w:val="28"/>
        </w:rPr>
        <w:t>Assess the impact</w:t>
      </w:r>
      <w:bookmarkEnd w:id="43"/>
      <w:bookmarkEnd w:id="44"/>
      <w:bookmarkEnd w:id="45"/>
    </w:p>
    <w:p w:rsidR="00913429" w:rsidRDefault="00913429">
      <w:pPr>
        <w:spacing w:after="0" w:line="276" w:lineRule="auto"/>
        <w:jc w:val="both"/>
        <w:rPr>
          <w:noProof/>
        </w:rPr>
      </w:pPr>
    </w:p>
    <w:p w:rsidR="00913429" w:rsidRDefault="00E143F0">
      <w:pPr>
        <w:spacing w:line="276" w:lineRule="auto"/>
        <w:jc w:val="both"/>
        <w:rPr>
          <w:noProof/>
        </w:rPr>
      </w:pPr>
      <w:r>
        <w:rPr>
          <w:noProof/>
        </w:rPr>
        <w:t xml:space="preserve">During Task 2 will be provided quantitative and qualitative empirical evidence of the likely economic, social and environmental impacts of each of the identified preliminary options. Task 2 has been broken down into two sub-tasks detailed as follows: </w:t>
      </w:r>
    </w:p>
    <w:tbl>
      <w:tblPr>
        <w:tblStyle w:val="LightList-Accent121"/>
        <w:tblW w:w="5000" w:type="pct"/>
        <w:tblBorders>
          <w:insideH w:val="single" w:sz="8" w:space="0" w:color="F8981D"/>
        </w:tblBorders>
        <w:tblLook w:val="04A0" w:firstRow="1" w:lastRow="0" w:firstColumn="1" w:lastColumn="0" w:noHBand="0" w:noVBand="1"/>
      </w:tblPr>
      <w:tblGrid>
        <w:gridCol w:w="7289"/>
        <w:gridCol w:w="2545"/>
      </w:tblGrid>
      <w:tr w:rsidR="00913429" w:rsidTr="00913429">
        <w:trPr>
          <w:cnfStyle w:val="100000000000" w:firstRow="1" w:lastRow="0" w:firstColumn="0" w:lastColumn="0" w:oddVBand="0" w:evenVBand="0" w:oddHBand="0" w:evenHBand="0" w:firstRowFirstColumn="0" w:firstRowLastColumn="0" w:lastRowFirstColumn="0" w:lastRowLastColumn="0"/>
          <w:trHeight w:val="42"/>
        </w:trPr>
        <w:tc>
          <w:tcPr>
            <w:cnfStyle w:val="001000000000" w:firstRow="0" w:lastRow="0" w:firstColumn="1" w:lastColumn="0" w:oddVBand="0" w:evenVBand="0" w:oddHBand="0" w:evenHBand="0" w:firstRowFirstColumn="0" w:firstRowLastColumn="0" w:lastRowFirstColumn="0" w:lastRowLastColumn="0"/>
            <w:tcW w:w="3706" w:type="pct"/>
            <w:shd w:val="clear" w:color="auto" w:fill="DC6900"/>
          </w:tcPr>
          <w:p w:rsidR="00913429" w:rsidRDefault="00E143F0">
            <w:pPr>
              <w:suppressAutoHyphens/>
              <w:spacing w:after="0" w:line="240" w:lineRule="auto"/>
              <w:rPr>
                <w:noProof/>
                <w:szCs w:val="18"/>
              </w:rPr>
            </w:pPr>
            <w:r>
              <w:rPr>
                <w:noProof/>
                <w:szCs w:val="18"/>
              </w:rPr>
              <w:t>Task</w:t>
            </w:r>
            <w:r>
              <w:rPr>
                <w:noProof/>
                <w:szCs w:val="18"/>
              </w:rPr>
              <w:t xml:space="preserve"> 2: Assess the impact</w:t>
            </w:r>
          </w:p>
        </w:tc>
        <w:tc>
          <w:tcPr>
            <w:tcW w:w="1294" w:type="pct"/>
            <w:tcBorders>
              <w:bottom w:val="single" w:sz="8" w:space="0" w:color="DC6900"/>
            </w:tcBorders>
            <w:shd w:val="clear" w:color="auto" w:fill="DC6900"/>
          </w:tcPr>
          <w:p w:rsidR="00913429" w:rsidRDefault="00E143F0">
            <w:pPr>
              <w:suppressAutoHyphens/>
              <w:spacing w:after="0" w:line="240" w:lineRule="auto"/>
              <w:cnfStyle w:val="100000000000" w:firstRow="1" w:lastRow="0" w:firstColumn="0" w:lastColumn="0" w:oddVBand="0" w:evenVBand="0" w:oddHBand="0" w:evenHBand="0" w:firstRowFirstColumn="0" w:firstRowLastColumn="0" w:lastRowFirstColumn="0" w:lastRowLastColumn="0"/>
              <w:rPr>
                <w:noProof/>
                <w:szCs w:val="18"/>
              </w:rPr>
            </w:pPr>
            <w:r>
              <w:rPr>
                <w:noProof/>
                <w:szCs w:val="18"/>
              </w:rPr>
              <w:t>Implementation status</w:t>
            </w:r>
          </w:p>
        </w:tc>
      </w:tr>
      <w:tr w:rsidR="00913429" w:rsidTr="00913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6" w:type="pct"/>
            <w:tcBorders>
              <w:top w:val="none" w:sz="0" w:space="0" w:color="auto"/>
              <w:left w:val="none" w:sz="0" w:space="0" w:color="auto"/>
              <w:bottom w:val="none" w:sz="0" w:space="0" w:color="auto"/>
              <w:right w:val="single" w:sz="8" w:space="0" w:color="DC6900"/>
            </w:tcBorders>
          </w:tcPr>
          <w:p w:rsidR="00913429" w:rsidRDefault="00E143F0">
            <w:pPr>
              <w:spacing w:before="60" w:after="60" w:line="276" w:lineRule="auto"/>
              <w:jc w:val="both"/>
              <w:rPr>
                <w:noProof/>
                <w:szCs w:val="18"/>
              </w:rPr>
            </w:pPr>
            <w:r>
              <w:rPr>
                <w:noProof/>
                <w:szCs w:val="18"/>
              </w:rPr>
              <w:t>Sub-Task 2.1: Classification and analysis of the impacts of each policy option</w:t>
            </w:r>
          </w:p>
        </w:tc>
        <w:tc>
          <w:tcPr>
            <w:tcW w:w="1294" w:type="pct"/>
            <w:tcBorders>
              <w:top w:val="single" w:sz="8" w:space="0" w:color="DC6900"/>
              <w:left w:val="single" w:sz="8" w:space="0" w:color="DC6900"/>
              <w:bottom w:val="single" w:sz="8" w:space="0" w:color="DC6900"/>
              <w:right w:val="single" w:sz="8" w:space="0" w:color="DC6900"/>
            </w:tcBorders>
            <w:shd w:val="clear" w:color="auto" w:fill="92D050"/>
            <w:vAlign w:val="center"/>
          </w:tcPr>
          <w:p w:rsidR="00913429" w:rsidRDefault="00E143F0">
            <w:pPr>
              <w:spacing w:after="0" w:line="240" w:lineRule="auto"/>
              <w:jc w:val="center"/>
              <w:cnfStyle w:val="000000100000" w:firstRow="0" w:lastRow="0" w:firstColumn="0" w:lastColumn="0" w:oddVBand="0" w:evenVBand="0" w:oddHBand="1" w:evenHBand="0" w:firstRowFirstColumn="0" w:firstRowLastColumn="0" w:lastRowFirstColumn="0" w:lastRowLastColumn="0"/>
              <w:rPr>
                <w:noProof/>
                <w:szCs w:val="18"/>
              </w:rPr>
            </w:pPr>
            <w:r>
              <w:rPr>
                <w:b/>
                <w:noProof/>
                <w:szCs w:val="18"/>
              </w:rPr>
              <w:t>Closed</w:t>
            </w:r>
          </w:p>
        </w:tc>
      </w:tr>
      <w:tr w:rsidR="00913429" w:rsidTr="00913429">
        <w:tc>
          <w:tcPr>
            <w:cnfStyle w:val="001000000000" w:firstRow="0" w:lastRow="0" w:firstColumn="1" w:lastColumn="0" w:oddVBand="0" w:evenVBand="0" w:oddHBand="0" w:evenHBand="0" w:firstRowFirstColumn="0" w:firstRowLastColumn="0" w:lastRowFirstColumn="0" w:lastRowLastColumn="0"/>
            <w:tcW w:w="3706" w:type="pct"/>
            <w:tcBorders>
              <w:right w:val="single" w:sz="8" w:space="0" w:color="DC6900"/>
            </w:tcBorders>
          </w:tcPr>
          <w:p w:rsidR="00913429" w:rsidRDefault="00E143F0">
            <w:pPr>
              <w:spacing w:before="60" w:after="60" w:line="276" w:lineRule="auto"/>
              <w:jc w:val="both"/>
              <w:rPr>
                <w:noProof/>
                <w:szCs w:val="18"/>
              </w:rPr>
            </w:pPr>
            <w:r>
              <w:rPr>
                <w:noProof/>
                <w:szCs w:val="18"/>
              </w:rPr>
              <w:t>Sub-Task 2.2: Comparison of options and elaborating the preferred one</w:t>
            </w:r>
          </w:p>
        </w:tc>
        <w:tc>
          <w:tcPr>
            <w:tcW w:w="1294" w:type="pct"/>
            <w:tcBorders>
              <w:top w:val="single" w:sz="8" w:space="0" w:color="DC6900"/>
              <w:left w:val="single" w:sz="8" w:space="0" w:color="DC6900"/>
              <w:bottom w:val="single" w:sz="8" w:space="0" w:color="DC6900"/>
              <w:right w:val="single" w:sz="8" w:space="0" w:color="DC6900"/>
            </w:tcBorders>
            <w:shd w:val="clear" w:color="auto" w:fill="92D050"/>
            <w:vAlign w:val="center"/>
          </w:tcPr>
          <w:p w:rsidR="00913429" w:rsidRDefault="00E143F0">
            <w:pPr>
              <w:spacing w:after="0" w:line="240" w:lineRule="auto"/>
              <w:jc w:val="center"/>
              <w:cnfStyle w:val="000000000000" w:firstRow="0" w:lastRow="0" w:firstColumn="0" w:lastColumn="0" w:oddVBand="0" w:evenVBand="0" w:oddHBand="0" w:evenHBand="0" w:firstRowFirstColumn="0" w:firstRowLastColumn="0" w:lastRowFirstColumn="0" w:lastRowLastColumn="0"/>
              <w:rPr>
                <w:noProof/>
                <w:szCs w:val="18"/>
              </w:rPr>
            </w:pPr>
            <w:r>
              <w:rPr>
                <w:b/>
                <w:noProof/>
                <w:szCs w:val="18"/>
              </w:rPr>
              <w:t>Closed</w:t>
            </w:r>
          </w:p>
        </w:tc>
      </w:tr>
      <w:tr w:rsidR="00913429" w:rsidTr="00913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6" w:type="pct"/>
            <w:tcBorders>
              <w:right w:val="single" w:sz="8" w:space="0" w:color="DC6900"/>
            </w:tcBorders>
          </w:tcPr>
          <w:p w:rsidR="00913429" w:rsidRDefault="00E143F0">
            <w:pPr>
              <w:spacing w:before="60" w:after="60" w:line="276" w:lineRule="auto"/>
              <w:jc w:val="both"/>
              <w:rPr>
                <w:noProof/>
                <w:szCs w:val="18"/>
              </w:rPr>
            </w:pPr>
            <w:r>
              <w:rPr>
                <w:noProof/>
                <w:szCs w:val="18"/>
              </w:rPr>
              <w:t>Sub-Task 2.3: Desk Research; interviews to new</w:t>
            </w:r>
            <w:r>
              <w:rPr>
                <w:noProof/>
                <w:szCs w:val="18"/>
              </w:rPr>
              <w:t xml:space="preserve"> stakeholders; definition of three case studies</w:t>
            </w:r>
          </w:p>
        </w:tc>
        <w:tc>
          <w:tcPr>
            <w:tcW w:w="1294" w:type="pct"/>
            <w:tcBorders>
              <w:top w:val="single" w:sz="8" w:space="0" w:color="DC6900"/>
              <w:left w:val="single" w:sz="8" w:space="0" w:color="DC6900"/>
              <w:bottom w:val="single" w:sz="8" w:space="0" w:color="DC6900"/>
              <w:right w:val="single" w:sz="8" w:space="0" w:color="DC6900"/>
            </w:tcBorders>
            <w:shd w:val="clear" w:color="auto" w:fill="92D050"/>
            <w:vAlign w:val="center"/>
          </w:tcPr>
          <w:p w:rsidR="00913429" w:rsidRDefault="00E143F0">
            <w:pPr>
              <w:spacing w:after="0" w:line="240" w:lineRule="auto"/>
              <w:jc w:val="center"/>
              <w:cnfStyle w:val="000000100000" w:firstRow="0" w:lastRow="0" w:firstColumn="0" w:lastColumn="0" w:oddVBand="0" w:evenVBand="0" w:oddHBand="1" w:evenHBand="0" w:firstRowFirstColumn="0" w:firstRowLastColumn="0" w:lastRowFirstColumn="0" w:lastRowLastColumn="0"/>
              <w:rPr>
                <w:b/>
                <w:noProof/>
                <w:szCs w:val="18"/>
              </w:rPr>
            </w:pPr>
            <w:r>
              <w:rPr>
                <w:b/>
                <w:noProof/>
                <w:szCs w:val="18"/>
              </w:rPr>
              <w:t>Closed</w:t>
            </w:r>
          </w:p>
        </w:tc>
      </w:tr>
    </w:tbl>
    <w:p w:rsidR="00913429" w:rsidRDefault="00E143F0">
      <w:pPr>
        <w:spacing w:before="240" w:line="276" w:lineRule="auto"/>
        <w:jc w:val="both"/>
        <w:rPr>
          <w:noProof/>
        </w:rPr>
      </w:pPr>
      <w:r>
        <w:rPr>
          <w:noProof/>
        </w:rPr>
        <w:t>The Sub-Task 2.2 is ongoing considering that, during the interviews, the Consortium has started to gather, from the main stakeholders, data and information on the options proposed by the European Comm</w:t>
      </w:r>
      <w:r>
        <w:rPr>
          <w:noProof/>
        </w:rPr>
        <w:t xml:space="preserve">ission. </w:t>
      </w:r>
    </w:p>
    <w:p w:rsidR="00913429" w:rsidRDefault="00E143F0">
      <w:pPr>
        <w:spacing w:before="240" w:line="276" w:lineRule="auto"/>
        <w:jc w:val="both"/>
        <w:rPr>
          <w:noProof/>
        </w:rPr>
      </w:pPr>
      <w:r>
        <w:rPr>
          <w:noProof/>
        </w:rPr>
        <w:t>Here below the implementation timetable, referring specifically to project Task 2, dedicated to assess the impacts:</w:t>
      </w:r>
    </w:p>
    <w:p w:rsidR="00913429" w:rsidRDefault="00E143F0">
      <w:pPr>
        <w:keepNext/>
        <w:tabs>
          <w:tab w:val="left" w:pos="8908"/>
        </w:tabs>
        <w:spacing w:line="240" w:lineRule="auto"/>
        <w:ind w:right="-23"/>
        <w:jc w:val="both"/>
        <w:rPr>
          <w:rFonts w:eastAsia="Times New Roman"/>
          <w:b/>
          <w:i/>
          <w:noProof/>
          <w:color w:val="D06F1A"/>
        </w:rPr>
      </w:pPr>
      <w:r>
        <w:rPr>
          <w:rFonts w:eastAsia="Times New Roman"/>
          <w:b/>
          <w:i/>
          <w:noProof/>
          <w:color w:val="D06F1A"/>
        </w:rPr>
        <w:t>Task 2 Timetable – 10 Weeks</w:t>
      </w:r>
    </w:p>
    <w:tbl>
      <w:tblPr>
        <w:tblW w:w="5090" w:type="pct"/>
        <w:tblCellMar>
          <w:left w:w="0" w:type="dxa"/>
          <w:right w:w="0" w:type="dxa"/>
        </w:tblCellMar>
        <w:tblLook w:val="0420" w:firstRow="1" w:lastRow="0" w:firstColumn="0" w:lastColumn="0" w:noHBand="0" w:noVBand="1"/>
      </w:tblPr>
      <w:tblGrid>
        <w:gridCol w:w="732"/>
        <w:gridCol w:w="1893"/>
        <w:gridCol w:w="383"/>
        <w:gridCol w:w="383"/>
        <w:gridCol w:w="383"/>
        <w:gridCol w:w="389"/>
        <w:gridCol w:w="497"/>
        <w:gridCol w:w="450"/>
        <w:gridCol w:w="420"/>
        <w:gridCol w:w="396"/>
        <w:gridCol w:w="374"/>
        <w:gridCol w:w="374"/>
        <w:gridCol w:w="374"/>
        <w:gridCol w:w="376"/>
        <w:gridCol w:w="374"/>
        <w:gridCol w:w="374"/>
        <w:gridCol w:w="376"/>
        <w:gridCol w:w="396"/>
        <w:gridCol w:w="400"/>
        <w:gridCol w:w="563"/>
      </w:tblGrid>
      <w:tr w:rsidR="00913429">
        <w:trPr>
          <w:trHeight w:val="20"/>
        </w:trPr>
        <w:tc>
          <w:tcPr>
            <w:tcW w:w="369" w:type="pct"/>
            <w:vMerge w:val="restart"/>
            <w:tcBorders>
              <w:top w:val="single" w:sz="8" w:space="0" w:color="FFFFFF"/>
              <w:left w:val="single" w:sz="8" w:space="0" w:color="DC6900"/>
              <w:right w:val="single" w:sz="8" w:space="0" w:color="DC6900"/>
            </w:tcBorders>
            <w:shd w:val="clear" w:color="auto" w:fill="A32020"/>
            <w:tcMar>
              <w:top w:w="72" w:type="dxa"/>
              <w:left w:w="57" w:type="dxa"/>
              <w:bottom w:w="72" w:type="dxa"/>
              <w:right w:w="57" w:type="dxa"/>
            </w:tcMar>
            <w:vAlign w:val="center"/>
          </w:tcPr>
          <w:p w:rsidR="00913429" w:rsidRDefault="00E143F0">
            <w:pPr>
              <w:spacing w:after="0" w:line="240" w:lineRule="auto"/>
              <w:jc w:val="center"/>
              <w:rPr>
                <w:rFonts w:eastAsia="Times New Roman"/>
                <w:bCs/>
                <w:noProof/>
                <w:color w:val="FFFFFF"/>
                <w:sz w:val="16"/>
                <w:szCs w:val="18"/>
              </w:rPr>
            </w:pPr>
            <w:r>
              <w:rPr>
                <w:rFonts w:eastAsia="Times New Roman"/>
                <w:bCs/>
                <w:noProof/>
                <w:color w:val="FFFFFF"/>
                <w:sz w:val="16"/>
                <w:szCs w:val="18"/>
              </w:rPr>
              <w:t>Sub-Task</w:t>
            </w:r>
          </w:p>
        </w:tc>
        <w:tc>
          <w:tcPr>
            <w:tcW w:w="955" w:type="pct"/>
            <w:vMerge w:val="restart"/>
            <w:tcBorders>
              <w:top w:val="single" w:sz="8" w:space="0" w:color="FFFFFF"/>
              <w:left w:val="single" w:sz="8" w:space="0" w:color="DC6900"/>
              <w:right w:val="single" w:sz="8" w:space="0" w:color="FFFFFF"/>
            </w:tcBorders>
            <w:shd w:val="clear" w:color="auto" w:fill="A32020"/>
            <w:tcMar>
              <w:top w:w="72" w:type="dxa"/>
              <w:left w:w="144" w:type="dxa"/>
              <w:bottom w:w="72" w:type="dxa"/>
              <w:right w:w="144" w:type="dxa"/>
            </w:tcMar>
            <w:vAlign w:val="center"/>
          </w:tcPr>
          <w:p w:rsidR="00913429" w:rsidRDefault="00E143F0">
            <w:pPr>
              <w:spacing w:after="0" w:line="240" w:lineRule="auto"/>
              <w:jc w:val="center"/>
              <w:rPr>
                <w:rFonts w:eastAsia="Times New Roman"/>
                <w:bCs/>
                <w:noProof/>
                <w:color w:val="FFFFFF"/>
                <w:sz w:val="16"/>
                <w:szCs w:val="18"/>
              </w:rPr>
            </w:pPr>
            <w:r>
              <w:rPr>
                <w:rFonts w:eastAsia="Times New Roman"/>
                <w:bCs/>
                <w:noProof/>
                <w:color w:val="FFFFFF"/>
                <w:sz w:val="16"/>
                <w:szCs w:val="18"/>
              </w:rPr>
              <w:t>Description</w:t>
            </w:r>
          </w:p>
        </w:tc>
        <w:tc>
          <w:tcPr>
            <w:tcW w:w="775" w:type="pct"/>
            <w:gridSpan w:val="4"/>
            <w:tcBorders>
              <w:top w:val="single" w:sz="8" w:space="0" w:color="FFFFFF"/>
              <w:left w:val="single" w:sz="8" w:space="0" w:color="FFFFFF"/>
              <w:bottom w:val="single" w:sz="8" w:space="0" w:color="FFFFFF"/>
              <w:right w:val="single" w:sz="8" w:space="0" w:color="FFFFFF"/>
            </w:tcBorders>
            <w:shd w:val="clear" w:color="auto" w:fill="DC6900"/>
            <w:tcMar>
              <w:top w:w="72" w:type="dxa"/>
              <w:left w:w="57" w:type="dxa"/>
              <w:bottom w:w="72" w:type="dxa"/>
              <w:right w:w="57" w:type="dxa"/>
            </w:tcMar>
            <w:vAlign w:val="center"/>
          </w:tcPr>
          <w:p w:rsidR="00913429" w:rsidRDefault="00E143F0">
            <w:pPr>
              <w:spacing w:after="0" w:line="240" w:lineRule="auto"/>
              <w:jc w:val="center"/>
              <w:rPr>
                <w:rFonts w:eastAsia="Times New Roman"/>
                <w:bCs/>
                <w:noProof/>
                <w:color w:val="FFFFFF"/>
                <w:sz w:val="12"/>
                <w:szCs w:val="18"/>
              </w:rPr>
            </w:pPr>
            <w:r>
              <w:rPr>
                <w:rFonts w:eastAsia="Times New Roman"/>
                <w:bCs/>
                <w:noProof/>
                <w:color w:val="FFFFFF"/>
                <w:sz w:val="12"/>
                <w:szCs w:val="18"/>
              </w:rPr>
              <w:t>June</w:t>
            </w:r>
          </w:p>
        </w:tc>
        <w:tc>
          <w:tcPr>
            <w:tcW w:w="890" w:type="pct"/>
            <w:gridSpan w:val="4"/>
            <w:tcBorders>
              <w:top w:val="single" w:sz="8" w:space="0" w:color="FFFFFF"/>
              <w:left w:val="single" w:sz="8" w:space="0" w:color="FFFFFF"/>
              <w:bottom w:val="single" w:sz="8" w:space="0" w:color="FFFFFF"/>
              <w:right w:val="single" w:sz="8" w:space="0" w:color="FFFFFF"/>
            </w:tcBorders>
            <w:shd w:val="clear" w:color="auto" w:fill="DC6900"/>
            <w:tcMar>
              <w:top w:w="72" w:type="dxa"/>
              <w:left w:w="57" w:type="dxa"/>
              <w:bottom w:w="72" w:type="dxa"/>
              <w:right w:w="57" w:type="dxa"/>
            </w:tcMar>
            <w:vAlign w:val="center"/>
          </w:tcPr>
          <w:p w:rsidR="00913429" w:rsidRDefault="00E143F0">
            <w:pPr>
              <w:spacing w:after="0" w:line="240" w:lineRule="auto"/>
              <w:jc w:val="center"/>
              <w:rPr>
                <w:rFonts w:eastAsia="Times New Roman"/>
                <w:bCs/>
                <w:noProof/>
                <w:color w:val="FFFFFF"/>
                <w:sz w:val="12"/>
                <w:szCs w:val="18"/>
              </w:rPr>
            </w:pPr>
            <w:r>
              <w:rPr>
                <w:rFonts w:eastAsia="Times New Roman"/>
                <w:bCs/>
                <w:noProof/>
                <w:color w:val="FFFFFF"/>
                <w:sz w:val="12"/>
                <w:szCs w:val="18"/>
              </w:rPr>
              <w:t>July</w:t>
            </w:r>
          </w:p>
        </w:tc>
        <w:tc>
          <w:tcPr>
            <w:tcW w:w="756" w:type="pct"/>
            <w:gridSpan w:val="4"/>
            <w:tcBorders>
              <w:top w:val="single" w:sz="8" w:space="0" w:color="FFFFFF"/>
              <w:left w:val="single" w:sz="8" w:space="0" w:color="FFFFFF"/>
              <w:bottom w:val="single" w:sz="8" w:space="0" w:color="FFFFFF"/>
              <w:right w:val="single" w:sz="8" w:space="0" w:color="FFFFFF"/>
            </w:tcBorders>
            <w:shd w:val="clear" w:color="auto" w:fill="DC6900"/>
            <w:vAlign w:val="center"/>
          </w:tcPr>
          <w:p w:rsidR="00913429" w:rsidRDefault="00E143F0">
            <w:pPr>
              <w:spacing w:after="0" w:line="240" w:lineRule="auto"/>
              <w:jc w:val="center"/>
              <w:rPr>
                <w:rFonts w:eastAsia="Times New Roman"/>
                <w:bCs/>
                <w:noProof/>
                <w:color w:val="FFFFFF"/>
                <w:sz w:val="12"/>
                <w:szCs w:val="18"/>
              </w:rPr>
            </w:pPr>
            <w:r>
              <w:rPr>
                <w:rFonts w:eastAsia="Times New Roman"/>
                <w:bCs/>
                <w:noProof/>
                <w:color w:val="FFFFFF"/>
                <w:sz w:val="12"/>
                <w:szCs w:val="18"/>
              </w:rPr>
              <w:t>August</w:t>
            </w:r>
          </w:p>
        </w:tc>
        <w:tc>
          <w:tcPr>
            <w:tcW w:w="768" w:type="pct"/>
            <w:gridSpan w:val="4"/>
            <w:tcBorders>
              <w:top w:val="single" w:sz="8" w:space="0" w:color="FFFFFF"/>
              <w:left w:val="single" w:sz="8" w:space="0" w:color="FFFFFF"/>
              <w:bottom w:val="single" w:sz="8" w:space="0" w:color="FFFFFF"/>
              <w:right w:val="single" w:sz="8" w:space="0" w:color="FFFFFF"/>
            </w:tcBorders>
            <w:shd w:val="clear" w:color="auto" w:fill="DC6900"/>
            <w:vAlign w:val="center"/>
          </w:tcPr>
          <w:p w:rsidR="00913429" w:rsidRDefault="00E143F0">
            <w:pPr>
              <w:spacing w:after="0" w:line="240" w:lineRule="auto"/>
              <w:jc w:val="center"/>
              <w:rPr>
                <w:rFonts w:eastAsia="Times New Roman"/>
                <w:bCs/>
                <w:noProof/>
                <w:color w:val="FFFFFF"/>
                <w:sz w:val="12"/>
                <w:szCs w:val="18"/>
              </w:rPr>
            </w:pPr>
            <w:r>
              <w:rPr>
                <w:rFonts w:eastAsia="Times New Roman"/>
                <w:bCs/>
                <w:noProof/>
                <w:color w:val="FFFFFF"/>
                <w:sz w:val="12"/>
                <w:szCs w:val="18"/>
              </w:rPr>
              <w:t>September</w:t>
            </w:r>
          </w:p>
        </w:tc>
        <w:tc>
          <w:tcPr>
            <w:tcW w:w="486" w:type="pct"/>
            <w:gridSpan w:val="2"/>
            <w:tcBorders>
              <w:top w:val="single" w:sz="8" w:space="0" w:color="FFFFFF"/>
              <w:left w:val="single" w:sz="8" w:space="0" w:color="FFFFFF"/>
              <w:bottom w:val="single" w:sz="8" w:space="0" w:color="FFFFFF"/>
              <w:right w:val="single" w:sz="8" w:space="0" w:color="FFFFFF"/>
            </w:tcBorders>
            <w:shd w:val="clear" w:color="auto" w:fill="DC6900"/>
            <w:tcMar>
              <w:top w:w="72" w:type="dxa"/>
              <w:left w:w="57" w:type="dxa"/>
              <w:bottom w:w="72" w:type="dxa"/>
              <w:right w:w="57" w:type="dxa"/>
            </w:tcMar>
            <w:vAlign w:val="center"/>
          </w:tcPr>
          <w:p w:rsidR="00913429" w:rsidRDefault="00E143F0">
            <w:pPr>
              <w:spacing w:after="0" w:line="240" w:lineRule="auto"/>
              <w:jc w:val="center"/>
              <w:rPr>
                <w:rFonts w:eastAsia="Times New Roman"/>
                <w:bCs/>
                <w:noProof/>
                <w:color w:val="FFFFFF"/>
                <w:sz w:val="12"/>
                <w:szCs w:val="18"/>
              </w:rPr>
            </w:pPr>
            <w:r>
              <w:rPr>
                <w:rFonts w:eastAsia="Times New Roman"/>
                <w:bCs/>
                <w:noProof/>
                <w:color w:val="FFFFFF"/>
                <w:sz w:val="12"/>
                <w:szCs w:val="18"/>
              </w:rPr>
              <w:t>October</w:t>
            </w:r>
          </w:p>
        </w:tc>
      </w:tr>
      <w:tr w:rsidR="00913429">
        <w:trPr>
          <w:trHeight w:val="20"/>
        </w:trPr>
        <w:tc>
          <w:tcPr>
            <w:tcW w:w="369" w:type="pct"/>
            <w:vMerge/>
            <w:tcBorders>
              <w:left w:val="single" w:sz="8" w:space="0" w:color="DC6900"/>
              <w:bottom w:val="single" w:sz="18" w:space="0" w:color="DC6900"/>
              <w:right w:val="single" w:sz="8" w:space="0" w:color="DC6900"/>
            </w:tcBorders>
            <w:shd w:val="clear" w:color="auto" w:fill="A32020"/>
            <w:tcMar>
              <w:top w:w="72" w:type="dxa"/>
              <w:left w:w="57" w:type="dxa"/>
              <w:bottom w:w="72" w:type="dxa"/>
              <w:right w:w="57" w:type="dxa"/>
            </w:tcMar>
            <w:vAlign w:val="center"/>
            <w:hideMark/>
          </w:tcPr>
          <w:p w:rsidR="00913429" w:rsidRDefault="00913429">
            <w:pPr>
              <w:spacing w:after="0" w:line="240" w:lineRule="auto"/>
              <w:jc w:val="center"/>
              <w:rPr>
                <w:rFonts w:eastAsia="Times New Roman"/>
                <w:bCs/>
                <w:noProof/>
                <w:color w:val="FFFFFF"/>
                <w:sz w:val="16"/>
                <w:szCs w:val="18"/>
              </w:rPr>
            </w:pPr>
          </w:p>
        </w:tc>
        <w:tc>
          <w:tcPr>
            <w:tcW w:w="955" w:type="pct"/>
            <w:vMerge/>
            <w:tcBorders>
              <w:left w:val="single" w:sz="8" w:space="0" w:color="DC6900"/>
              <w:bottom w:val="single" w:sz="18" w:space="0" w:color="DC6900"/>
              <w:right w:val="single" w:sz="8" w:space="0" w:color="FFFFFF"/>
            </w:tcBorders>
            <w:shd w:val="clear" w:color="auto" w:fill="A32020"/>
            <w:tcMar>
              <w:top w:w="72" w:type="dxa"/>
              <w:left w:w="144" w:type="dxa"/>
              <w:bottom w:w="72" w:type="dxa"/>
              <w:right w:w="144" w:type="dxa"/>
            </w:tcMar>
            <w:vAlign w:val="center"/>
            <w:hideMark/>
          </w:tcPr>
          <w:p w:rsidR="00913429" w:rsidRDefault="00913429">
            <w:pPr>
              <w:spacing w:after="0" w:line="240" w:lineRule="auto"/>
              <w:jc w:val="center"/>
              <w:rPr>
                <w:rFonts w:eastAsia="Times New Roman"/>
                <w:bCs/>
                <w:noProof/>
                <w:color w:val="FFFFFF"/>
                <w:sz w:val="16"/>
                <w:szCs w:val="18"/>
              </w:rPr>
            </w:pPr>
          </w:p>
        </w:tc>
        <w:tc>
          <w:tcPr>
            <w:tcW w:w="193" w:type="pct"/>
            <w:tcBorders>
              <w:top w:val="single" w:sz="8" w:space="0" w:color="FFFFFF"/>
              <w:left w:val="single" w:sz="8" w:space="0" w:color="FFFFFF"/>
              <w:bottom w:val="single" w:sz="8" w:space="0" w:color="FFFFFF"/>
              <w:right w:val="single" w:sz="8" w:space="0" w:color="FFFFFF"/>
            </w:tcBorders>
            <w:shd w:val="clear" w:color="auto" w:fill="DC6900"/>
            <w:tcMar>
              <w:top w:w="72" w:type="dxa"/>
              <w:left w:w="57" w:type="dxa"/>
              <w:bottom w:w="72" w:type="dxa"/>
              <w:right w:w="57" w:type="dxa"/>
            </w:tcMar>
            <w:vAlign w:val="center"/>
            <w:hideMark/>
          </w:tcPr>
          <w:p w:rsidR="00913429" w:rsidRDefault="00E143F0">
            <w:pPr>
              <w:spacing w:after="0" w:line="240" w:lineRule="auto"/>
              <w:jc w:val="center"/>
              <w:rPr>
                <w:rFonts w:eastAsia="Times New Roman"/>
                <w:bCs/>
                <w:noProof/>
                <w:color w:val="FFFFFF"/>
                <w:sz w:val="12"/>
                <w:szCs w:val="18"/>
              </w:rPr>
            </w:pPr>
            <w:r>
              <w:rPr>
                <w:rFonts w:eastAsia="Times New Roman"/>
                <w:bCs/>
                <w:noProof/>
                <w:color w:val="FFFFFF"/>
                <w:sz w:val="12"/>
                <w:szCs w:val="18"/>
              </w:rPr>
              <w:t>W4</w:t>
            </w:r>
          </w:p>
        </w:tc>
        <w:tc>
          <w:tcPr>
            <w:tcW w:w="193" w:type="pct"/>
            <w:tcBorders>
              <w:top w:val="single" w:sz="8" w:space="0" w:color="FFFFFF"/>
              <w:left w:val="single" w:sz="8" w:space="0" w:color="FFFFFF"/>
              <w:bottom w:val="single" w:sz="8" w:space="0" w:color="FFFFFF"/>
              <w:right w:val="single" w:sz="8" w:space="0" w:color="FFFFFF"/>
            </w:tcBorders>
            <w:shd w:val="clear" w:color="auto" w:fill="DC6900"/>
            <w:tcMar>
              <w:top w:w="72" w:type="dxa"/>
              <w:left w:w="57" w:type="dxa"/>
              <w:bottom w:w="72" w:type="dxa"/>
              <w:right w:w="57" w:type="dxa"/>
            </w:tcMar>
            <w:vAlign w:val="center"/>
            <w:hideMark/>
          </w:tcPr>
          <w:p w:rsidR="00913429" w:rsidRDefault="00E143F0">
            <w:pPr>
              <w:spacing w:after="0" w:line="240" w:lineRule="auto"/>
              <w:jc w:val="center"/>
              <w:rPr>
                <w:rFonts w:eastAsia="Times New Roman"/>
                <w:bCs/>
                <w:noProof/>
                <w:color w:val="FFFFFF"/>
                <w:sz w:val="12"/>
                <w:szCs w:val="18"/>
              </w:rPr>
            </w:pPr>
            <w:r>
              <w:rPr>
                <w:rFonts w:eastAsia="Times New Roman"/>
                <w:bCs/>
                <w:noProof/>
                <w:color w:val="FFFFFF"/>
                <w:sz w:val="12"/>
                <w:szCs w:val="18"/>
              </w:rPr>
              <w:t>W5</w:t>
            </w:r>
          </w:p>
        </w:tc>
        <w:tc>
          <w:tcPr>
            <w:tcW w:w="193" w:type="pct"/>
            <w:tcBorders>
              <w:top w:val="single" w:sz="8" w:space="0" w:color="FFFFFF"/>
              <w:left w:val="single" w:sz="8" w:space="0" w:color="FFFFFF"/>
              <w:bottom w:val="single" w:sz="8" w:space="0" w:color="FFFFFF"/>
              <w:right w:val="single" w:sz="8" w:space="0" w:color="FFFFFF"/>
            </w:tcBorders>
            <w:shd w:val="clear" w:color="auto" w:fill="DC6900"/>
            <w:tcMar>
              <w:top w:w="72" w:type="dxa"/>
              <w:left w:w="57" w:type="dxa"/>
              <w:bottom w:w="72" w:type="dxa"/>
              <w:right w:w="57" w:type="dxa"/>
            </w:tcMar>
            <w:vAlign w:val="center"/>
            <w:hideMark/>
          </w:tcPr>
          <w:p w:rsidR="00913429" w:rsidRDefault="00E143F0">
            <w:pPr>
              <w:spacing w:after="0" w:line="240" w:lineRule="auto"/>
              <w:jc w:val="center"/>
              <w:rPr>
                <w:rFonts w:eastAsia="Times New Roman"/>
                <w:bCs/>
                <w:noProof/>
                <w:color w:val="FFFFFF"/>
                <w:sz w:val="12"/>
                <w:szCs w:val="18"/>
              </w:rPr>
            </w:pPr>
            <w:r>
              <w:rPr>
                <w:rFonts w:eastAsia="Times New Roman"/>
                <w:bCs/>
                <w:noProof/>
                <w:color w:val="FFFFFF"/>
                <w:sz w:val="12"/>
                <w:szCs w:val="18"/>
              </w:rPr>
              <w:t>W6</w:t>
            </w:r>
          </w:p>
        </w:tc>
        <w:tc>
          <w:tcPr>
            <w:tcW w:w="196" w:type="pct"/>
            <w:tcBorders>
              <w:top w:val="single" w:sz="8" w:space="0" w:color="FFFFFF"/>
              <w:left w:val="single" w:sz="8" w:space="0" w:color="FFFFFF"/>
              <w:bottom w:val="single" w:sz="8" w:space="0" w:color="FFFFFF"/>
              <w:right w:val="single" w:sz="8" w:space="0" w:color="FFFFFF"/>
            </w:tcBorders>
            <w:shd w:val="clear" w:color="auto" w:fill="DC6900"/>
            <w:tcMar>
              <w:top w:w="72" w:type="dxa"/>
              <w:left w:w="57" w:type="dxa"/>
              <w:bottom w:w="72" w:type="dxa"/>
              <w:right w:w="57" w:type="dxa"/>
            </w:tcMar>
            <w:vAlign w:val="center"/>
            <w:hideMark/>
          </w:tcPr>
          <w:p w:rsidR="00913429" w:rsidRDefault="00E143F0">
            <w:pPr>
              <w:spacing w:after="0" w:line="240" w:lineRule="auto"/>
              <w:jc w:val="center"/>
              <w:rPr>
                <w:rFonts w:eastAsia="Times New Roman"/>
                <w:bCs/>
                <w:noProof/>
                <w:color w:val="FFFFFF"/>
                <w:sz w:val="12"/>
                <w:szCs w:val="18"/>
              </w:rPr>
            </w:pPr>
            <w:r>
              <w:rPr>
                <w:rFonts w:eastAsia="Times New Roman"/>
                <w:bCs/>
                <w:noProof/>
                <w:color w:val="FFFFFF"/>
                <w:sz w:val="12"/>
                <w:szCs w:val="18"/>
              </w:rPr>
              <w:t>W7</w:t>
            </w:r>
          </w:p>
        </w:tc>
        <w:tc>
          <w:tcPr>
            <w:tcW w:w="251" w:type="pct"/>
            <w:tcBorders>
              <w:top w:val="single" w:sz="8" w:space="0" w:color="FFFFFF"/>
              <w:left w:val="single" w:sz="8" w:space="0" w:color="FFFFFF"/>
              <w:bottom w:val="single" w:sz="8" w:space="0" w:color="FFFFFF"/>
              <w:right w:val="single" w:sz="8" w:space="0" w:color="FFFFFF"/>
            </w:tcBorders>
            <w:shd w:val="clear" w:color="auto" w:fill="DC6900"/>
            <w:vAlign w:val="center"/>
          </w:tcPr>
          <w:p w:rsidR="00913429" w:rsidRDefault="00E143F0">
            <w:pPr>
              <w:spacing w:after="0" w:line="240" w:lineRule="auto"/>
              <w:jc w:val="center"/>
              <w:rPr>
                <w:rFonts w:eastAsia="Times New Roman"/>
                <w:bCs/>
                <w:noProof/>
                <w:color w:val="FFFFFF"/>
                <w:sz w:val="12"/>
                <w:szCs w:val="18"/>
              </w:rPr>
            </w:pPr>
            <w:r>
              <w:rPr>
                <w:rFonts w:eastAsia="Times New Roman"/>
                <w:bCs/>
                <w:noProof/>
                <w:color w:val="FFFFFF"/>
                <w:sz w:val="12"/>
                <w:szCs w:val="18"/>
              </w:rPr>
              <w:t>W8</w:t>
            </w:r>
          </w:p>
        </w:tc>
        <w:tc>
          <w:tcPr>
            <w:tcW w:w="227" w:type="pct"/>
            <w:tcBorders>
              <w:top w:val="single" w:sz="8" w:space="0" w:color="FFFFFF"/>
              <w:left w:val="single" w:sz="8" w:space="0" w:color="FFFFFF"/>
              <w:bottom w:val="single" w:sz="8" w:space="0" w:color="FFFFFF"/>
              <w:right w:val="single" w:sz="8" w:space="0" w:color="FFFFFF"/>
            </w:tcBorders>
            <w:shd w:val="clear" w:color="auto" w:fill="DC6900"/>
            <w:vAlign w:val="center"/>
          </w:tcPr>
          <w:p w:rsidR="00913429" w:rsidRDefault="00E143F0">
            <w:pPr>
              <w:spacing w:after="0" w:line="240" w:lineRule="auto"/>
              <w:jc w:val="center"/>
              <w:rPr>
                <w:rFonts w:eastAsia="Times New Roman"/>
                <w:bCs/>
                <w:noProof/>
                <w:color w:val="FFFFFF"/>
                <w:sz w:val="12"/>
                <w:szCs w:val="18"/>
              </w:rPr>
            </w:pPr>
            <w:r>
              <w:rPr>
                <w:rFonts w:eastAsia="Times New Roman"/>
                <w:bCs/>
                <w:noProof/>
                <w:color w:val="FFFFFF"/>
                <w:sz w:val="12"/>
                <w:szCs w:val="18"/>
              </w:rPr>
              <w:t>W9</w:t>
            </w:r>
          </w:p>
        </w:tc>
        <w:tc>
          <w:tcPr>
            <w:tcW w:w="212" w:type="pct"/>
            <w:tcBorders>
              <w:top w:val="single" w:sz="8" w:space="0" w:color="FFFFFF"/>
              <w:left w:val="single" w:sz="8" w:space="0" w:color="FFFFFF"/>
              <w:bottom w:val="single" w:sz="8" w:space="0" w:color="FFFFFF"/>
              <w:right w:val="single" w:sz="8" w:space="0" w:color="FFFFFF"/>
            </w:tcBorders>
            <w:shd w:val="clear" w:color="auto" w:fill="DC6900"/>
            <w:vAlign w:val="center"/>
          </w:tcPr>
          <w:p w:rsidR="00913429" w:rsidRDefault="00E143F0">
            <w:pPr>
              <w:spacing w:after="0" w:line="240" w:lineRule="auto"/>
              <w:jc w:val="center"/>
              <w:rPr>
                <w:rFonts w:eastAsia="Times New Roman"/>
                <w:bCs/>
                <w:noProof/>
                <w:color w:val="FFFFFF"/>
                <w:sz w:val="12"/>
                <w:szCs w:val="18"/>
              </w:rPr>
            </w:pPr>
            <w:r>
              <w:rPr>
                <w:rFonts w:eastAsia="Times New Roman"/>
                <w:bCs/>
                <w:noProof/>
                <w:color w:val="FFFFFF"/>
                <w:sz w:val="12"/>
                <w:szCs w:val="18"/>
              </w:rPr>
              <w:t>W10</w:t>
            </w:r>
          </w:p>
        </w:tc>
        <w:tc>
          <w:tcPr>
            <w:tcW w:w="200" w:type="pct"/>
            <w:tcBorders>
              <w:top w:val="single" w:sz="8" w:space="0" w:color="FFFFFF"/>
              <w:left w:val="single" w:sz="8" w:space="0" w:color="FFFFFF"/>
              <w:bottom w:val="single" w:sz="8" w:space="0" w:color="FFFFFF"/>
              <w:right w:val="single" w:sz="8" w:space="0" w:color="FFFFFF"/>
            </w:tcBorders>
            <w:shd w:val="clear" w:color="auto" w:fill="DC6900"/>
            <w:vAlign w:val="center"/>
          </w:tcPr>
          <w:p w:rsidR="00913429" w:rsidRDefault="00E143F0">
            <w:pPr>
              <w:spacing w:after="0" w:line="240" w:lineRule="auto"/>
              <w:jc w:val="center"/>
              <w:rPr>
                <w:rFonts w:eastAsia="Times New Roman"/>
                <w:bCs/>
                <w:noProof/>
                <w:color w:val="FFFFFF"/>
                <w:sz w:val="12"/>
                <w:szCs w:val="18"/>
              </w:rPr>
            </w:pPr>
            <w:r>
              <w:rPr>
                <w:rFonts w:eastAsia="Times New Roman"/>
                <w:bCs/>
                <w:noProof/>
                <w:color w:val="FFFFFF"/>
                <w:sz w:val="12"/>
                <w:szCs w:val="18"/>
              </w:rPr>
              <w:t>W11</w:t>
            </w:r>
          </w:p>
        </w:tc>
        <w:tc>
          <w:tcPr>
            <w:tcW w:w="189" w:type="pct"/>
            <w:tcBorders>
              <w:top w:val="single" w:sz="8" w:space="0" w:color="FFFFFF"/>
              <w:left w:val="single" w:sz="8" w:space="0" w:color="FFFFFF"/>
              <w:bottom w:val="single" w:sz="8" w:space="0" w:color="FFFFFF"/>
              <w:right w:val="single" w:sz="8" w:space="0" w:color="FFFFFF"/>
            </w:tcBorders>
            <w:shd w:val="clear" w:color="auto" w:fill="DC6900"/>
            <w:vAlign w:val="center"/>
          </w:tcPr>
          <w:p w:rsidR="00913429" w:rsidRDefault="00E143F0">
            <w:pPr>
              <w:spacing w:after="0" w:line="240" w:lineRule="auto"/>
              <w:jc w:val="center"/>
              <w:rPr>
                <w:rFonts w:eastAsia="Times New Roman"/>
                <w:bCs/>
                <w:noProof/>
                <w:color w:val="FFFFFF"/>
                <w:sz w:val="12"/>
                <w:szCs w:val="18"/>
              </w:rPr>
            </w:pPr>
            <w:r>
              <w:rPr>
                <w:rFonts w:eastAsia="Times New Roman"/>
                <w:bCs/>
                <w:noProof/>
                <w:color w:val="FFFFFF"/>
                <w:sz w:val="12"/>
                <w:szCs w:val="18"/>
              </w:rPr>
              <w:t>W12</w:t>
            </w:r>
          </w:p>
        </w:tc>
        <w:tc>
          <w:tcPr>
            <w:tcW w:w="189" w:type="pct"/>
            <w:tcBorders>
              <w:top w:val="single" w:sz="8" w:space="0" w:color="FFFFFF"/>
              <w:left w:val="single" w:sz="8" w:space="0" w:color="FFFFFF"/>
              <w:bottom w:val="single" w:sz="8" w:space="0" w:color="FFFFFF"/>
              <w:right w:val="single" w:sz="8" w:space="0" w:color="FFFFFF"/>
            </w:tcBorders>
            <w:shd w:val="clear" w:color="auto" w:fill="DC6900"/>
            <w:vAlign w:val="center"/>
          </w:tcPr>
          <w:p w:rsidR="00913429" w:rsidRDefault="00E143F0">
            <w:pPr>
              <w:spacing w:after="0" w:line="240" w:lineRule="auto"/>
              <w:jc w:val="center"/>
              <w:rPr>
                <w:rFonts w:eastAsia="Times New Roman"/>
                <w:bCs/>
                <w:noProof/>
                <w:color w:val="FFFFFF"/>
                <w:sz w:val="12"/>
                <w:szCs w:val="18"/>
              </w:rPr>
            </w:pPr>
            <w:r>
              <w:rPr>
                <w:rFonts w:eastAsia="Times New Roman"/>
                <w:bCs/>
                <w:noProof/>
                <w:color w:val="FFFFFF"/>
                <w:sz w:val="12"/>
                <w:szCs w:val="18"/>
              </w:rPr>
              <w:t>W13</w:t>
            </w:r>
          </w:p>
        </w:tc>
        <w:tc>
          <w:tcPr>
            <w:tcW w:w="189" w:type="pct"/>
            <w:tcBorders>
              <w:top w:val="single" w:sz="8" w:space="0" w:color="FFFFFF"/>
              <w:left w:val="single" w:sz="8" w:space="0" w:color="FFFFFF"/>
              <w:bottom w:val="single" w:sz="8" w:space="0" w:color="FFFFFF"/>
              <w:right w:val="single" w:sz="8" w:space="0" w:color="FFFFFF"/>
            </w:tcBorders>
            <w:shd w:val="clear" w:color="auto" w:fill="DC6900"/>
            <w:vAlign w:val="center"/>
          </w:tcPr>
          <w:p w:rsidR="00913429" w:rsidRDefault="00E143F0">
            <w:pPr>
              <w:spacing w:after="0" w:line="240" w:lineRule="auto"/>
              <w:jc w:val="center"/>
              <w:rPr>
                <w:rFonts w:eastAsia="Times New Roman"/>
                <w:bCs/>
                <w:noProof/>
                <w:color w:val="FFFFFF"/>
                <w:sz w:val="12"/>
                <w:szCs w:val="18"/>
              </w:rPr>
            </w:pPr>
            <w:r>
              <w:rPr>
                <w:rFonts w:eastAsia="Times New Roman"/>
                <w:bCs/>
                <w:noProof/>
                <w:color w:val="FFFFFF"/>
                <w:sz w:val="12"/>
                <w:szCs w:val="18"/>
              </w:rPr>
              <w:t>W14</w:t>
            </w:r>
          </w:p>
        </w:tc>
        <w:tc>
          <w:tcPr>
            <w:tcW w:w="190" w:type="pct"/>
            <w:tcBorders>
              <w:top w:val="single" w:sz="8" w:space="0" w:color="FFFFFF"/>
              <w:left w:val="single" w:sz="8" w:space="0" w:color="FFFFFF"/>
              <w:bottom w:val="single" w:sz="8" w:space="0" w:color="FFFFFF"/>
              <w:right w:val="single" w:sz="8" w:space="0" w:color="FFFFFF"/>
            </w:tcBorders>
            <w:shd w:val="clear" w:color="auto" w:fill="DC6900"/>
            <w:vAlign w:val="center"/>
          </w:tcPr>
          <w:p w:rsidR="00913429" w:rsidRDefault="00E143F0">
            <w:pPr>
              <w:spacing w:after="0" w:line="240" w:lineRule="auto"/>
              <w:jc w:val="center"/>
              <w:rPr>
                <w:rFonts w:eastAsia="Times New Roman"/>
                <w:bCs/>
                <w:noProof/>
                <w:color w:val="FFFFFF"/>
                <w:sz w:val="12"/>
                <w:szCs w:val="18"/>
              </w:rPr>
            </w:pPr>
            <w:r>
              <w:rPr>
                <w:rFonts w:eastAsia="Times New Roman"/>
                <w:bCs/>
                <w:noProof/>
                <w:color w:val="FFFFFF"/>
                <w:sz w:val="12"/>
                <w:szCs w:val="18"/>
              </w:rPr>
              <w:t>W15</w:t>
            </w:r>
          </w:p>
        </w:tc>
        <w:tc>
          <w:tcPr>
            <w:tcW w:w="189" w:type="pct"/>
            <w:tcBorders>
              <w:top w:val="single" w:sz="8" w:space="0" w:color="FFFFFF"/>
              <w:left w:val="single" w:sz="8" w:space="0" w:color="FFFFFF"/>
              <w:bottom w:val="single" w:sz="8" w:space="0" w:color="FFFFFF"/>
              <w:right w:val="single" w:sz="8" w:space="0" w:color="FFFFFF"/>
            </w:tcBorders>
            <w:shd w:val="clear" w:color="auto" w:fill="DC6900"/>
            <w:vAlign w:val="center"/>
          </w:tcPr>
          <w:p w:rsidR="00913429" w:rsidRDefault="00E143F0">
            <w:pPr>
              <w:spacing w:after="0" w:line="240" w:lineRule="auto"/>
              <w:jc w:val="center"/>
              <w:rPr>
                <w:rFonts w:eastAsia="Times New Roman"/>
                <w:bCs/>
                <w:noProof/>
                <w:color w:val="FFFFFF"/>
                <w:sz w:val="12"/>
                <w:szCs w:val="18"/>
              </w:rPr>
            </w:pPr>
            <w:r>
              <w:rPr>
                <w:rFonts w:eastAsia="Times New Roman"/>
                <w:bCs/>
                <w:noProof/>
                <w:color w:val="FFFFFF"/>
                <w:sz w:val="12"/>
                <w:szCs w:val="18"/>
              </w:rPr>
              <w:t>W16</w:t>
            </w:r>
          </w:p>
        </w:tc>
        <w:tc>
          <w:tcPr>
            <w:tcW w:w="189" w:type="pct"/>
            <w:tcBorders>
              <w:top w:val="single" w:sz="8" w:space="0" w:color="FFFFFF"/>
              <w:left w:val="single" w:sz="8" w:space="0" w:color="FFFFFF"/>
              <w:bottom w:val="single" w:sz="8" w:space="0" w:color="FFFFFF"/>
              <w:right w:val="single" w:sz="8" w:space="0" w:color="FFFFFF"/>
            </w:tcBorders>
            <w:shd w:val="clear" w:color="auto" w:fill="DC6900"/>
            <w:vAlign w:val="center"/>
          </w:tcPr>
          <w:p w:rsidR="00913429" w:rsidRDefault="00E143F0">
            <w:pPr>
              <w:spacing w:after="0" w:line="240" w:lineRule="auto"/>
              <w:jc w:val="center"/>
              <w:rPr>
                <w:rFonts w:eastAsia="Times New Roman"/>
                <w:bCs/>
                <w:noProof/>
                <w:color w:val="FFFFFF"/>
                <w:sz w:val="12"/>
                <w:szCs w:val="18"/>
              </w:rPr>
            </w:pPr>
            <w:r>
              <w:rPr>
                <w:rFonts w:eastAsia="Times New Roman"/>
                <w:bCs/>
                <w:noProof/>
                <w:color w:val="FFFFFF"/>
                <w:sz w:val="12"/>
                <w:szCs w:val="18"/>
              </w:rPr>
              <w:t>W17</w:t>
            </w:r>
          </w:p>
        </w:tc>
        <w:tc>
          <w:tcPr>
            <w:tcW w:w="190" w:type="pct"/>
            <w:tcBorders>
              <w:top w:val="single" w:sz="8" w:space="0" w:color="FFFFFF"/>
              <w:left w:val="single" w:sz="8" w:space="0" w:color="FFFFFF"/>
              <w:bottom w:val="single" w:sz="8" w:space="0" w:color="FFFFFF"/>
              <w:right w:val="single" w:sz="8" w:space="0" w:color="FFFFFF"/>
            </w:tcBorders>
            <w:shd w:val="clear" w:color="auto" w:fill="DC6900"/>
            <w:vAlign w:val="center"/>
          </w:tcPr>
          <w:p w:rsidR="00913429" w:rsidRDefault="00E143F0">
            <w:pPr>
              <w:spacing w:after="0" w:line="240" w:lineRule="auto"/>
              <w:jc w:val="center"/>
              <w:rPr>
                <w:rFonts w:eastAsia="Times New Roman"/>
                <w:bCs/>
                <w:noProof/>
                <w:color w:val="FFFFFF"/>
                <w:sz w:val="12"/>
                <w:szCs w:val="18"/>
              </w:rPr>
            </w:pPr>
            <w:r>
              <w:rPr>
                <w:rFonts w:eastAsia="Times New Roman"/>
                <w:bCs/>
                <w:noProof/>
                <w:color w:val="FFFFFF"/>
                <w:sz w:val="12"/>
                <w:szCs w:val="18"/>
              </w:rPr>
              <w:t>W18</w:t>
            </w:r>
          </w:p>
        </w:tc>
        <w:tc>
          <w:tcPr>
            <w:tcW w:w="200" w:type="pct"/>
            <w:tcBorders>
              <w:top w:val="single" w:sz="8" w:space="0" w:color="FFFFFF"/>
              <w:left w:val="single" w:sz="8" w:space="0" w:color="FFFFFF"/>
              <w:bottom w:val="single" w:sz="8" w:space="0" w:color="FFFFFF"/>
              <w:right w:val="single" w:sz="8" w:space="0" w:color="FFFFFF"/>
            </w:tcBorders>
            <w:shd w:val="clear" w:color="auto" w:fill="DC6900"/>
            <w:tcMar>
              <w:top w:w="72" w:type="dxa"/>
              <w:left w:w="57" w:type="dxa"/>
              <w:bottom w:w="72" w:type="dxa"/>
              <w:right w:w="57" w:type="dxa"/>
            </w:tcMar>
            <w:vAlign w:val="center"/>
            <w:hideMark/>
          </w:tcPr>
          <w:p w:rsidR="00913429" w:rsidRDefault="00E143F0">
            <w:pPr>
              <w:spacing w:after="0" w:line="240" w:lineRule="auto"/>
              <w:jc w:val="center"/>
              <w:rPr>
                <w:rFonts w:eastAsia="Times New Roman"/>
                <w:bCs/>
                <w:noProof/>
                <w:color w:val="FFFFFF"/>
                <w:sz w:val="12"/>
                <w:szCs w:val="18"/>
              </w:rPr>
            </w:pPr>
            <w:r>
              <w:rPr>
                <w:rFonts w:eastAsia="Times New Roman"/>
                <w:bCs/>
                <w:noProof/>
                <w:color w:val="FFFFFF"/>
                <w:sz w:val="12"/>
                <w:szCs w:val="18"/>
              </w:rPr>
              <w:t>W19</w:t>
            </w:r>
          </w:p>
        </w:tc>
        <w:tc>
          <w:tcPr>
            <w:tcW w:w="202" w:type="pct"/>
            <w:tcBorders>
              <w:top w:val="single" w:sz="8" w:space="0" w:color="FFFFFF"/>
              <w:left w:val="single" w:sz="8" w:space="0" w:color="FFFFFF"/>
              <w:bottom w:val="single" w:sz="8" w:space="0" w:color="FFFFFF"/>
              <w:right w:val="single" w:sz="8" w:space="0" w:color="FFFFFF"/>
            </w:tcBorders>
            <w:shd w:val="clear" w:color="auto" w:fill="DC6900"/>
            <w:tcMar>
              <w:top w:w="72" w:type="dxa"/>
              <w:left w:w="57" w:type="dxa"/>
              <w:bottom w:w="72" w:type="dxa"/>
              <w:right w:w="57" w:type="dxa"/>
            </w:tcMar>
            <w:vAlign w:val="center"/>
            <w:hideMark/>
          </w:tcPr>
          <w:p w:rsidR="00913429" w:rsidRDefault="00E143F0">
            <w:pPr>
              <w:spacing w:after="0" w:line="240" w:lineRule="auto"/>
              <w:jc w:val="center"/>
              <w:rPr>
                <w:rFonts w:eastAsia="Times New Roman"/>
                <w:bCs/>
                <w:noProof/>
                <w:color w:val="FFFFFF"/>
                <w:sz w:val="12"/>
                <w:szCs w:val="18"/>
              </w:rPr>
            </w:pPr>
            <w:r>
              <w:rPr>
                <w:rFonts w:eastAsia="Times New Roman"/>
                <w:bCs/>
                <w:noProof/>
                <w:color w:val="FFFFFF"/>
                <w:sz w:val="12"/>
                <w:szCs w:val="18"/>
              </w:rPr>
              <w:t>W20</w:t>
            </w:r>
          </w:p>
        </w:tc>
        <w:tc>
          <w:tcPr>
            <w:tcW w:w="284" w:type="pct"/>
            <w:tcBorders>
              <w:top w:val="single" w:sz="8" w:space="0" w:color="FFFFFF"/>
              <w:left w:val="single" w:sz="8" w:space="0" w:color="FFFFFF"/>
              <w:bottom w:val="single" w:sz="8" w:space="0" w:color="FFFFFF"/>
              <w:right w:val="single" w:sz="8" w:space="0" w:color="FFFFFF"/>
            </w:tcBorders>
            <w:shd w:val="clear" w:color="auto" w:fill="DC6900"/>
            <w:tcMar>
              <w:top w:w="72" w:type="dxa"/>
              <w:left w:w="57" w:type="dxa"/>
              <w:bottom w:w="72" w:type="dxa"/>
              <w:right w:w="57" w:type="dxa"/>
            </w:tcMar>
            <w:vAlign w:val="center"/>
            <w:hideMark/>
          </w:tcPr>
          <w:p w:rsidR="00913429" w:rsidRDefault="00E143F0">
            <w:pPr>
              <w:spacing w:after="0" w:line="240" w:lineRule="auto"/>
              <w:jc w:val="center"/>
              <w:rPr>
                <w:rFonts w:eastAsia="Times New Roman"/>
                <w:bCs/>
                <w:noProof/>
                <w:color w:val="FFFFFF"/>
                <w:sz w:val="12"/>
                <w:szCs w:val="18"/>
              </w:rPr>
            </w:pPr>
            <w:r>
              <w:rPr>
                <w:rFonts w:eastAsia="Times New Roman"/>
                <w:bCs/>
                <w:noProof/>
                <w:color w:val="FFFFFF"/>
                <w:sz w:val="12"/>
                <w:szCs w:val="18"/>
              </w:rPr>
              <w:t>W21</w:t>
            </w:r>
          </w:p>
        </w:tc>
      </w:tr>
      <w:tr w:rsidR="00913429">
        <w:trPr>
          <w:trHeight w:val="20"/>
        </w:trPr>
        <w:tc>
          <w:tcPr>
            <w:tcW w:w="369" w:type="pct"/>
            <w:tcBorders>
              <w:top w:val="single" w:sz="8" w:space="0" w:color="DC6900"/>
              <w:left w:val="single" w:sz="8" w:space="0" w:color="FFFFFF"/>
              <w:bottom w:val="single" w:sz="8" w:space="0" w:color="DC6900"/>
              <w:right w:val="single" w:sz="8" w:space="0" w:color="DC6900"/>
            </w:tcBorders>
            <w:shd w:val="clear" w:color="auto" w:fill="auto"/>
            <w:tcMar>
              <w:top w:w="72" w:type="dxa"/>
              <w:left w:w="113" w:type="dxa"/>
              <w:bottom w:w="72" w:type="dxa"/>
              <w:right w:w="113" w:type="dxa"/>
            </w:tcMar>
            <w:hideMark/>
          </w:tcPr>
          <w:p w:rsidR="00913429" w:rsidRDefault="00913429">
            <w:pPr>
              <w:spacing w:after="0" w:line="240" w:lineRule="auto"/>
              <w:rPr>
                <w:rFonts w:eastAsia="Times New Roman"/>
                <w:bCs/>
                <w:noProof/>
                <w:color w:val="000000"/>
                <w:sz w:val="16"/>
                <w:szCs w:val="18"/>
              </w:rPr>
            </w:pPr>
          </w:p>
        </w:tc>
        <w:tc>
          <w:tcPr>
            <w:tcW w:w="955" w:type="pct"/>
            <w:tcBorders>
              <w:top w:val="single" w:sz="8" w:space="0" w:color="DC6900"/>
              <w:left w:val="single" w:sz="8" w:space="0" w:color="DC6900"/>
              <w:bottom w:val="single" w:sz="8" w:space="0" w:color="DC6900"/>
              <w:right w:val="single" w:sz="8" w:space="0" w:color="DC6900"/>
            </w:tcBorders>
            <w:shd w:val="clear" w:color="auto" w:fill="auto"/>
            <w:tcMar>
              <w:top w:w="15" w:type="dxa"/>
              <w:left w:w="57" w:type="dxa"/>
              <w:bottom w:w="0" w:type="dxa"/>
              <w:right w:w="15" w:type="dxa"/>
            </w:tcMar>
            <w:vAlign w:val="center"/>
            <w:hideMark/>
          </w:tcPr>
          <w:p w:rsidR="00913429" w:rsidRDefault="00E143F0">
            <w:pPr>
              <w:spacing w:after="0" w:line="240" w:lineRule="auto"/>
              <w:rPr>
                <w:rFonts w:eastAsia="Times New Roman"/>
                <w:b/>
                <w:bCs/>
                <w:noProof/>
                <w:color w:val="000000"/>
                <w:sz w:val="16"/>
                <w:szCs w:val="18"/>
              </w:rPr>
            </w:pPr>
            <w:r>
              <w:rPr>
                <w:rFonts w:eastAsia="Times New Roman"/>
                <w:b/>
                <w:bCs/>
                <w:noProof/>
                <w:color w:val="000000"/>
                <w:sz w:val="16"/>
                <w:szCs w:val="18"/>
              </w:rPr>
              <w:t>Task 2 – Assess the impact</w:t>
            </w:r>
          </w:p>
        </w:tc>
        <w:tc>
          <w:tcPr>
            <w:tcW w:w="193" w:type="pct"/>
            <w:tcBorders>
              <w:top w:val="single" w:sz="8" w:space="0" w:color="DC6900"/>
              <w:left w:val="single" w:sz="8" w:space="0" w:color="DC6900"/>
              <w:bottom w:val="single" w:sz="8" w:space="0" w:color="DC6900"/>
              <w:right w:val="single" w:sz="8" w:space="0" w:color="DC6900"/>
            </w:tcBorders>
            <w:shd w:val="clear" w:color="auto" w:fill="D32E4B"/>
            <w:tcMar>
              <w:top w:w="72" w:type="dxa"/>
              <w:left w:w="144" w:type="dxa"/>
              <w:bottom w:w="72" w:type="dxa"/>
              <w:right w:w="144" w:type="dxa"/>
            </w:tcMar>
            <w:hideMark/>
          </w:tcPr>
          <w:p w:rsidR="00913429" w:rsidRDefault="00913429">
            <w:pPr>
              <w:spacing w:after="0" w:line="240" w:lineRule="auto"/>
              <w:rPr>
                <w:rFonts w:eastAsia="Times New Roman"/>
                <w:bCs/>
                <w:noProof/>
                <w:color w:val="000000"/>
                <w:sz w:val="18"/>
                <w:szCs w:val="18"/>
              </w:rPr>
            </w:pPr>
          </w:p>
        </w:tc>
        <w:tc>
          <w:tcPr>
            <w:tcW w:w="193" w:type="pct"/>
            <w:tcBorders>
              <w:top w:val="single" w:sz="8" w:space="0" w:color="DC6900"/>
              <w:left w:val="single" w:sz="8" w:space="0" w:color="DC6900"/>
              <w:bottom w:val="single" w:sz="8" w:space="0" w:color="DC6900"/>
              <w:right w:val="single" w:sz="8" w:space="0" w:color="DC6900"/>
            </w:tcBorders>
            <w:shd w:val="clear" w:color="auto" w:fill="D32E4B"/>
            <w:tcMar>
              <w:top w:w="72" w:type="dxa"/>
              <w:left w:w="144" w:type="dxa"/>
              <w:bottom w:w="72" w:type="dxa"/>
              <w:right w:w="144" w:type="dxa"/>
            </w:tcMar>
            <w:hideMark/>
          </w:tcPr>
          <w:p w:rsidR="00913429" w:rsidRDefault="00913429">
            <w:pPr>
              <w:spacing w:after="0" w:line="240" w:lineRule="auto"/>
              <w:rPr>
                <w:rFonts w:eastAsia="Times New Roman"/>
                <w:bCs/>
                <w:noProof/>
                <w:color w:val="000000"/>
                <w:sz w:val="18"/>
                <w:szCs w:val="18"/>
              </w:rPr>
            </w:pPr>
          </w:p>
        </w:tc>
        <w:tc>
          <w:tcPr>
            <w:tcW w:w="193" w:type="pct"/>
            <w:tcBorders>
              <w:top w:val="single" w:sz="8" w:space="0" w:color="DC6900"/>
              <w:left w:val="single" w:sz="8" w:space="0" w:color="DC6900"/>
              <w:bottom w:val="single" w:sz="8" w:space="0" w:color="DC6900"/>
              <w:right w:val="single" w:sz="8" w:space="0" w:color="DC6900"/>
            </w:tcBorders>
            <w:shd w:val="clear" w:color="auto" w:fill="D32E4B"/>
            <w:tcMar>
              <w:top w:w="72" w:type="dxa"/>
              <w:left w:w="144" w:type="dxa"/>
              <w:bottom w:w="72" w:type="dxa"/>
              <w:right w:w="144" w:type="dxa"/>
            </w:tcMar>
            <w:hideMark/>
          </w:tcPr>
          <w:p w:rsidR="00913429" w:rsidRDefault="00913429">
            <w:pPr>
              <w:spacing w:after="0" w:line="240" w:lineRule="auto"/>
              <w:rPr>
                <w:rFonts w:eastAsia="Times New Roman"/>
                <w:bCs/>
                <w:noProof/>
                <w:color w:val="000000"/>
                <w:sz w:val="18"/>
                <w:szCs w:val="18"/>
              </w:rPr>
            </w:pPr>
          </w:p>
        </w:tc>
        <w:tc>
          <w:tcPr>
            <w:tcW w:w="196" w:type="pct"/>
            <w:tcBorders>
              <w:top w:val="single" w:sz="8" w:space="0" w:color="DC6900"/>
              <w:left w:val="single" w:sz="8" w:space="0" w:color="DC6900"/>
              <w:bottom w:val="single" w:sz="8" w:space="0" w:color="DC6900"/>
              <w:right w:val="single" w:sz="8" w:space="0" w:color="DC6900"/>
            </w:tcBorders>
            <w:shd w:val="clear" w:color="auto" w:fill="D32E4B"/>
            <w:tcMar>
              <w:top w:w="72" w:type="dxa"/>
              <w:left w:w="144" w:type="dxa"/>
              <w:bottom w:w="72" w:type="dxa"/>
              <w:right w:w="144" w:type="dxa"/>
            </w:tcMar>
            <w:hideMark/>
          </w:tcPr>
          <w:p w:rsidR="00913429" w:rsidRDefault="00913429">
            <w:pPr>
              <w:spacing w:after="0" w:line="240" w:lineRule="auto"/>
              <w:rPr>
                <w:rFonts w:eastAsia="Times New Roman"/>
                <w:bCs/>
                <w:noProof/>
                <w:color w:val="000000"/>
                <w:sz w:val="18"/>
                <w:szCs w:val="18"/>
              </w:rPr>
            </w:pPr>
          </w:p>
        </w:tc>
        <w:tc>
          <w:tcPr>
            <w:tcW w:w="251" w:type="pct"/>
            <w:tcBorders>
              <w:top w:val="single" w:sz="8" w:space="0" w:color="DC6900"/>
              <w:left w:val="single" w:sz="8" w:space="0" w:color="DC6900"/>
              <w:bottom w:val="single" w:sz="8" w:space="0" w:color="DC6900"/>
              <w:right w:val="single" w:sz="8" w:space="0" w:color="DC6900"/>
            </w:tcBorders>
            <w:shd w:val="clear" w:color="auto" w:fill="D32E4B"/>
          </w:tcPr>
          <w:p w:rsidR="00913429" w:rsidRDefault="00913429">
            <w:pPr>
              <w:spacing w:after="0" w:line="240" w:lineRule="auto"/>
              <w:rPr>
                <w:rFonts w:eastAsia="Times New Roman"/>
                <w:bCs/>
                <w:noProof/>
                <w:color w:val="000000"/>
                <w:sz w:val="18"/>
                <w:szCs w:val="18"/>
              </w:rPr>
            </w:pPr>
          </w:p>
        </w:tc>
        <w:tc>
          <w:tcPr>
            <w:tcW w:w="227" w:type="pct"/>
            <w:tcBorders>
              <w:top w:val="single" w:sz="8" w:space="0" w:color="DC6900"/>
              <w:left w:val="single" w:sz="8" w:space="0" w:color="DC6900"/>
              <w:bottom w:val="single" w:sz="8" w:space="0" w:color="DC6900"/>
              <w:right w:val="single" w:sz="8" w:space="0" w:color="DC6900"/>
            </w:tcBorders>
            <w:shd w:val="clear" w:color="auto" w:fill="D32E4B"/>
          </w:tcPr>
          <w:p w:rsidR="00913429" w:rsidRDefault="00913429">
            <w:pPr>
              <w:spacing w:after="0" w:line="240" w:lineRule="auto"/>
              <w:rPr>
                <w:rFonts w:eastAsia="Times New Roman"/>
                <w:bCs/>
                <w:noProof/>
                <w:color w:val="000000"/>
                <w:sz w:val="18"/>
                <w:szCs w:val="18"/>
              </w:rPr>
            </w:pPr>
          </w:p>
        </w:tc>
        <w:tc>
          <w:tcPr>
            <w:tcW w:w="212" w:type="pct"/>
            <w:tcBorders>
              <w:top w:val="single" w:sz="8" w:space="0" w:color="DC6900"/>
              <w:left w:val="single" w:sz="8" w:space="0" w:color="DC6900"/>
              <w:bottom w:val="single" w:sz="8" w:space="0" w:color="DC6900"/>
              <w:right w:val="single" w:sz="8" w:space="0" w:color="DC6900"/>
            </w:tcBorders>
            <w:shd w:val="clear" w:color="auto" w:fill="D32E4B"/>
          </w:tcPr>
          <w:p w:rsidR="00913429" w:rsidRDefault="00913429">
            <w:pPr>
              <w:spacing w:after="0" w:line="240" w:lineRule="auto"/>
              <w:rPr>
                <w:rFonts w:eastAsia="Times New Roman"/>
                <w:bCs/>
                <w:noProof/>
                <w:color w:val="000000"/>
                <w:sz w:val="18"/>
                <w:szCs w:val="18"/>
              </w:rPr>
            </w:pPr>
          </w:p>
        </w:tc>
        <w:tc>
          <w:tcPr>
            <w:tcW w:w="200" w:type="pct"/>
            <w:tcBorders>
              <w:top w:val="single" w:sz="8" w:space="0" w:color="DC6900"/>
              <w:left w:val="single" w:sz="8" w:space="0" w:color="DC6900"/>
              <w:bottom w:val="single" w:sz="8" w:space="0" w:color="DC6900"/>
              <w:right w:val="single" w:sz="8" w:space="0" w:color="DC6900"/>
            </w:tcBorders>
            <w:shd w:val="clear" w:color="auto" w:fill="D32E4B"/>
          </w:tcPr>
          <w:p w:rsidR="00913429" w:rsidRDefault="00913429">
            <w:pPr>
              <w:spacing w:after="0" w:line="240" w:lineRule="auto"/>
              <w:rPr>
                <w:rFonts w:eastAsia="Times New Roman"/>
                <w:bCs/>
                <w:noProof/>
                <w:color w:val="000000"/>
                <w:sz w:val="18"/>
                <w:szCs w:val="18"/>
              </w:rPr>
            </w:pPr>
          </w:p>
        </w:tc>
        <w:tc>
          <w:tcPr>
            <w:tcW w:w="189" w:type="pct"/>
            <w:tcBorders>
              <w:top w:val="single" w:sz="8" w:space="0" w:color="DC6900"/>
              <w:left w:val="single" w:sz="8" w:space="0" w:color="DC6900"/>
              <w:bottom w:val="single" w:sz="8" w:space="0" w:color="DC6900"/>
              <w:right w:val="single" w:sz="8" w:space="0" w:color="DC6900"/>
            </w:tcBorders>
            <w:shd w:val="clear" w:color="auto" w:fill="D32E41"/>
          </w:tcPr>
          <w:p w:rsidR="00913429" w:rsidRDefault="00913429">
            <w:pPr>
              <w:spacing w:after="0" w:line="240" w:lineRule="auto"/>
              <w:rPr>
                <w:rFonts w:eastAsia="Times New Roman"/>
                <w:bCs/>
                <w:noProof/>
                <w:color w:val="000000"/>
                <w:sz w:val="18"/>
                <w:szCs w:val="18"/>
              </w:rPr>
            </w:pPr>
          </w:p>
        </w:tc>
        <w:tc>
          <w:tcPr>
            <w:tcW w:w="189" w:type="pct"/>
            <w:tcBorders>
              <w:top w:val="single" w:sz="8" w:space="0" w:color="DC6900"/>
              <w:left w:val="single" w:sz="8" w:space="0" w:color="DC6900"/>
              <w:bottom w:val="single" w:sz="8" w:space="0" w:color="DC6900"/>
              <w:right w:val="single" w:sz="8" w:space="0" w:color="DC6900"/>
            </w:tcBorders>
            <w:shd w:val="clear" w:color="auto" w:fill="808080"/>
          </w:tcPr>
          <w:p w:rsidR="00913429" w:rsidRDefault="00913429">
            <w:pPr>
              <w:spacing w:after="0" w:line="240" w:lineRule="auto"/>
              <w:rPr>
                <w:rFonts w:eastAsia="Times New Roman"/>
                <w:bCs/>
                <w:noProof/>
                <w:color w:val="000000"/>
                <w:sz w:val="18"/>
                <w:szCs w:val="18"/>
              </w:rPr>
            </w:pPr>
          </w:p>
        </w:tc>
        <w:tc>
          <w:tcPr>
            <w:tcW w:w="189" w:type="pct"/>
            <w:tcBorders>
              <w:top w:val="single" w:sz="8" w:space="0" w:color="DC6900"/>
              <w:left w:val="single" w:sz="8" w:space="0" w:color="DC6900"/>
              <w:bottom w:val="single" w:sz="8" w:space="0" w:color="DC6900"/>
              <w:right w:val="single" w:sz="8" w:space="0" w:color="DC6900"/>
            </w:tcBorders>
            <w:shd w:val="clear" w:color="auto" w:fill="808080"/>
          </w:tcPr>
          <w:p w:rsidR="00913429" w:rsidRDefault="00913429">
            <w:pPr>
              <w:spacing w:after="0" w:line="240" w:lineRule="auto"/>
              <w:rPr>
                <w:rFonts w:eastAsia="Times New Roman"/>
                <w:bCs/>
                <w:noProof/>
                <w:color w:val="000000"/>
                <w:sz w:val="18"/>
                <w:szCs w:val="18"/>
              </w:rPr>
            </w:pPr>
          </w:p>
        </w:tc>
        <w:tc>
          <w:tcPr>
            <w:tcW w:w="190" w:type="pct"/>
            <w:tcBorders>
              <w:top w:val="single" w:sz="8" w:space="0" w:color="DC6900"/>
              <w:left w:val="single" w:sz="8" w:space="0" w:color="DC6900"/>
              <w:bottom w:val="single" w:sz="8" w:space="0" w:color="DC6900"/>
              <w:right w:val="single" w:sz="8" w:space="0" w:color="DC6900"/>
            </w:tcBorders>
            <w:shd w:val="clear" w:color="auto" w:fill="D32E41"/>
          </w:tcPr>
          <w:p w:rsidR="00913429" w:rsidRDefault="00913429">
            <w:pPr>
              <w:spacing w:after="0" w:line="240" w:lineRule="auto"/>
              <w:rPr>
                <w:rFonts w:eastAsia="Times New Roman"/>
                <w:bCs/>
                <w:noProof/>
                <w:color w:val="000000"/>
                <w:sz w:val="18"/>
                <w:szCs w:val="18"/>
              </w:rPr>
            </w:pPr>
          </w:p>
        </w:tc>
        <w:tc>
          <w:tcPr>
            <w:tcW w:w="189" w:type="pct"/>
            <w:tcBorders>
              <w:top w:val="single" w:sz="8" w:space="0" w:color="DC6900"/>
              <w:left w:val="single" w:sz="8" w:space="0" w:color="DC6900"/>
              <w:bottom w:val="single" w:sz="8" w:space="0" w:color="DC6900"/>
              <w:right w:val="single" w:sz="8" w:space="0" w:color="DC6900"/>
            </w:tcBorders>
            <w:shd w:val="clear" w:color="auto" w:fill="808080"/>
          </w:tcPr>
          <w:p w:rsidR="00913429" w:rsidRDefault="00913429">
            <w:pPr>
              <w:spacing w:after="0" w:line="240" w:lineRule="auto"/>
              <w:rPr>
                <w:rFonts w:eastAsia="Times New Roman"/>
                <w:bCs/>
                <w:noProof/>
                <w:color w:val="000000"/>
                <w:sz w:val="18"/>
                <w:szCs w:val="18"/>
              </w:rPr>
            </w:pPr>
          </w:p>
        </w:tc>
        <w:tc>
          <w:tcPr>
            <w:tcW w:w="189" w:type="pct"/>
            <w:tcBorders>
              <w:top w:val="single" w:sz="8" w:space="0" w:color="DC6900"/>
              <w:left w:val="single" w:sz="8" w:space="0" w:color="DC6900"/>
              <w:bottom w:val="single" w:sz="8" w:space="0" w:color="DC6900"/>
              <w:right w:val="single" w:sz="8" w:space="0" w:color="DC6900"/>
            </w:tcBorders>
            <w:shd w:val="clear" w:color="auto" w:fill="808080"/>
          </w:tcPr>
          <w:p w:rsidR="00913429" w:rsidRDefault="00913429">
            <w:pPr>
              <w:spacing w:after="0" w:line="240" w:lineRule="auto"/>
              <w:rPr>
                <w:rFonts w:eastAsia="Times New Roman"/>
                <w:bCs/>
                <w:noProof/>
                <w:color w:val="000000"/>
                <w:sz w:val="18"/>
                <w:szCs w:val="18"/>
              </w:rPr>
            </w:pPr>
          </w:p>
        </w:tc>
        <w:tc>
          <w:tcPr>
            <w:tcW w:w="190" w:type="pct"/>
            <w:tcBorders>
              <w:top w:val="single" w:sz="8" w:space="0" w:color="DC6900"/>
              <w:left w:val="single" w:sz="8" w:space="0" w:color="DC6900"/>
              <w:bottom w:val="single" w:sz="8" w:space="0" w:color="DC6900"/>
              <w:right w:val="single" w:sz="8" w:space="0" w:color="DC6900"/>
            </w:tcBorders>
            <w:shd w:val="clear" w:color="auto" w:fill="808080"/>
          </w:tcPr>
          <w:p w:rsidR="00913429" w:rsidRDefault="00913429">
            <w:pPr>
              <w:spacing w:after="0" w:line="240" w:lineRule="auto"/>
              <w:rPr>
                <w:rFonts w:eastAsia="Times New Roman"/>
                <w:bCs/>
                <w:noProof/>
                <w:color w:val="000000"/>
                <w:sz w:val="18"/>
                <w:szCs w:val="18"/>
              </w:rPr>
            </w:pPr>
          </w:p>
        </w:tc>
        <w:tc>
          <w:tcPr>
            <w:tcW w:w="200" w:type="pct"/>
            <w:tcBorders>
              <w:top w:val="single" w:sz="8" w:space="0" w:color="DC6900"/>
              <w:left w:val="single" w:sz="8" w:space="0" w:color="DC6900"/>
              <w:bottom w:val="single" w:sz="8" w:space="0" w:color="DC6900"/>
              <w:right w:val="single" w:sz="8" w:space="0" w:color="DC6900"/>
            </w:tcBorders>
            <w:shd w:val="clear" w:color="auto" w:fill="808080"/>
            <w:tcMar>
              <w:top w:w="72" w:type="dxa"/>
              <w:left w:w="144" w:type="dxa"/>
              <w:bottom w:w="72" w:type="dxa"/>
              <w:right w:w="144" w:type="dxa"/>
            </w:tcMar>
            <w:hideMark/>
          </w:tcPr>
          <w:p w:rsidR="00913429" w:rsidRDefault="00913429">
            <w:pPr>
              <w:spacing w:after="0" w:line="240" w:lineRule="auto"/>
              <w:rPr>
                <w:rFonts w:eastAsia="Times New Roman"/>
                <w:bCs/>
                <w:noProof/>
                <w:color w:val="000000"/>
                <w:sz w:val="18"/>
                <w:szCs w:val="18"/>
              </w:rPr>
            </w:pPr>
          </w:p>
        </w:tc>
        <w:tc>
          <w:tcPr>
            <w:tcW w:w="202" w:type="pct"/>
            <w:tcBorders>
              <w:top w:val="single" w:sz="8" w:space="0" w:color="DC6900"/>
              <w:left w:val="single" w:sz="8" w:space="0" w:color="DC6900"/>
              <w:bottom w:val="single" w:sz="8" w:space="0" w:color="DC6900"/>
              <w:right w:val="single" w:sz="8" w:space="0" w:color="DC6900"/>
            </w:tcBorders>
            <w:shd w:val="clear" w:color="auto" w:fill="808080"/>
            <w:tcMar>
              <w:top w:w="72" w:type="dxa"/>
              <w:left w:w="144" w:type="dxa"/>
              <w:bottom w:w="72" w:type="dxa"/>
              <w:right w:w="144" w:type="dxa"/>
            </w:tcMar>
            <w:hideMark/>
          </w:tcPr>
          <w:p w:rsidR="00913429" w:rsidRDefault="00913429">
            <w:pPr>
              <w:spacing w:after="0" w:line="240" w:lineRule="auto"/>
              <w:rPr>
                <w:rFonts w:eastAsia="Times New Roman"/>
                <w:bCs/>
                <w:noProof/>
                <w:color w:val="000000"/>
                <w:sz w:val="18"/>
                <w:szCs w:val="18"/>
              </w:rPr>
            </w:pPr>
          </w:p>
        </w:tc>
        <w:tc>
          <w:tcPr>
            <w:tcW w:w="284" w:type="pct"/>
            <w:tcBorders>
              <w:top w:val="single" w:sz="8" w:space="0" w:color="DC6900"/>
              <w:left w:val="single" w:sz="8" w:space="0" w:color="DC6900"/>
              <w:bottom w:val="single" w:sz="8" w:space="0" w:color="DC6900"/>
              <w:right w:val="single" w:sz="8" w:space="0" w:color="DC6900"/>
            </w:tcBorders>
            <w:shd w:val="clear" w:color="auto" w:fill="808080"/>
            <w:tcMar>
              <w:top w:w="72" w:type="dxa"/>
              <w:left w:w="144" w:type="dxa"/>
              <w:bottom w:w="72" w:type="dxa"/>
              <w:right w:w="144" w:type="dxa"/>
            </w:tcMar>
            <w:hideMark/>
          </w:tcPr>
          <w:p w:rsidR="00913429" w:rsidRDefault="00913429">
            <w:pPr>
              <w:spacing w:after="0" w:line="240" w:lineRule="auto"/>
              <w:rPr>
                <w:rFonts w:eastAsia="Times New Roman"/>
                <w:bCs/>
                <w:noProof/>
                <w:color w:val="000000"/>
                <w:sz w:val="18"/>
                <w:szCs w:val="18"/>
              </w:rPr>
            </w:pPr>
          </w:p>
        </w:tc>
      </w:tr>
      <w:tr w:rsidR="00913429">
        <w:trPr>
          <w:trHeight w:val="614"/>
        </w:trPr>
        <w:tc>
          <w:tcPr>
            <w:tcW w:w="369" w:type="pct"/>
            <w:tcBorders>
              <w:top w:val="single" w:sz="8" w:space="0" w:color="DC6900"/>
              <w:left w:val="single" w:sz="8" w:space="0" w:color="DC6900"/>
              <w:bottom w:val="single" w:sz="8" w:space="0" w:color="DC6900"/>
              <w:right w:val="single" w:sz="8" w:space="0" w:color="DC6900"/>
            </w:tcBorders>
            <w:shd w:val="clear" w:color="auto" w:fill="auto"/>
            <w:tcMar>
              <w:top w:w="72" w:type="dxa"/>
              <w:left w:w="113" w:type="dxa"/>
              <w:bottom w:w="72" w:type="dxa"/>
              <w:right w:w="113" w:type="dxa"/>
            </w:tcMar>
            <w:vAlign w:val="center"/>
            <w:hideMark/>
          </w:tcPr>
          <w:p w:rsidR="00913429" w:rsidRDefault="00E143F0">
            <w:pPr>
              <w:spacing w:after="0" w:line="240" w:lineRule="auto"/>
              <w:jc w:val="center"/>
              <w:rPr>
                <w:rFonts w:eastAsia="Times New Roman"/>
                <w:bCs/>
                <w:noProof/>
                <w:color w:val="000000"/>
                <w:sz w:val="16"/>
                <w:szCs w:val="18"/>
              </w:rPr>
            </w:pPr>
            <w:r>
              <w:rPr>
                <w:rFonts w:eastAsia="Times New Roman"/>
                <w:bCs/>
                <w:noProof/>
                <w:color w:val="000000"/>
                <w:sz w:val="16"/>
                <w:szCs w:val="18"/>
              </w:rPr>
              <w:t>2.1</w:t>
            </w:r>
          </w:p>
        </w:tc>
        <w:tc>
          <w:tcPr>
            <w:tcW w:w="955" w:type="pct"/>
            <w:tcBorders>
              <w:top w:val="single" w:sz="8" w:space="0" w:color="DC6900"/>
              <w:left w:val="single" w:sz="8" w:space="0" w:color="DC6900"/>
              <w:bottom w:val="single" w:sz="8" w:space="0" w:color="DC6900"/>
              <w:right w:val="single" w:sz="8" w:space="0" w:color="DC6900"/>
            </w:tcBorders>
            <w:shd w:val="clear" w:color="auto" w:fill="auto"/>
            <w:tcMar>
              <w:top w:w="15" w:type="dxa"/>
              <w:left w:w="57" w:type="dxa"/>
              <w:bottom w:w="0" w:type="dxa"/>
              <w:right w:w="15" w:type="dxa"/>
            </w:tcMar>
            <w:vAlign w:val="center"/>
          </w:tcPr>
          <w:p w:rsidR="00913429" w:rsidRDefault="00E143F0">
            <w:pPr>
              <w:spacing w:after="0" w:line="240" w:lineRule="auto"/>
              <w:rPr>
                <w:rFonts w:eastAsia="Times New Roman"/>
                <w:bCs/>
                <w:noProof/>
                <w:color w:val="000000"/>
                <w:sz w:val="16"/>
                <w:szCs w:val="18"/>
              </w:rPr>
            </w:pPr>
            <w:r>
              <w:rPr>
                <w:rFonts w:eastAsia="Times New Roman"/>
                <w:bCs/>
                <w:noProof/>
                <w:color w:val="000000"/>
                <w:sz w:val="16"/>
                <w:szCs w:val="18"/>
              </w:rPr>
              <w:t>Classification and analysis of the impacts of each policy option</w:t>
            </w:r>
          </w:p>
        </w:tc>
        <w:tc>
          <w:tcPr>
            <w:tcW w:w="193" w:type="pct"/>
            <w:tcBorders>
              <w:top w:val="single" w:sz="8" w:space="0" w:color="DC6900"/>
              <w:left w:val="single" w:sz="8" w:space="0" w:color="DC6900"/>
              <w:bottom w:val="single" w:sz="8" w:space="0" w:color="DC6900"/>
              <w:right w:val="single" w:sz="8" w:space="0" w:color="DC6900"/>
            </w:tcBorders>
            <w:shd w:val="clear" w:color="auto" w:fill="auto"/>
            <w:tcMar>
              <w:top w:w="72" w:type="dxa"/>
              <w:left w:w="144" w:type="dxa"/>
              <w:bottom w:w="72" w:type="dxa"/>
              <w:right w:w="144" w:type="dxa"/>
            </w:tcMar>
            <w:hideMark/>
          </w:tcPr>
          <w:p w:rsidR="00913429" w:rsidRDefault="00913429">
            <w:pPr>
              <w:spacing w:after="0" w:line="240" w:lineRule="auto"/>
              <w:rPr>
                <w:rFonts w:eastAsia="Times New Roman"/>
                <w:bCs/>
                <w:noProof/>
                <w:color w:val="000000"/>
                <w:sz w:val="18"/>
                <w:szCs w:val="18"/>
              </w:rPr>
            </w:pPr>
          </w:p>
        </w:tc>
        <w:tc>
          <w:tcPr>
            <w:tcW w:w="193" w:type="pct"/>
            <w:tcBorders>
              <w:top w:val="single" w:sz="8" w:space="0" w:color="DC6900"/>
              <w:left w:val="single" w:sz="8" w:space="0" w:color="DC6900"/>
              <w:bottom w:val="single" w:sz="8" w:space="0" w:color="DC6900"/>
              <w:right w:val="single" w:sz="8" w:space="0" w:color="DC6900"/>
            </w:tcBorders>
            <w:shd w:val="clear" w:color="auto" w:fill="auto"/>
            <w:tcMar>
              <w:top w:w="72" w:type="dxa"/>
              <w:left w:w="144" w:type="dxa"/>
              <w:bottom w:w="72" w:type="dxa"/>
              <w:right w:w="144" w:type="dxa"/>
            </w:tcMar>
            <w:hideMark/>
          </w:tcPr>
          <w:p w:rsidR="00913429" w:rsidRDefault="00913429">
            <w:pPr>
              <w:spacing w:after="0" w:line="240" w:lineRule="auto"/>
              <w:rPr>
                <w:rFonts w:eastAsia="Times New Roman"/>
                <w:bCs/>
                <w:noProof/>
                <w:color w:val="000000"/>
                <w:sz w:val="18"/>
                <w:szCs w:val="18"/>
              </w:rPr>
            </w:pPr>
          </w:p>
        </w:tc>
        <w:tc>
          <w:tcPr>
            <w:tcW w:w="193" w:type="pct"/>
            <w:tcBorders>
              <w:top w:val="single" w:sz="8" w:space="0" w:color="DC6900"/>
              <w:left w:val="single" w:sz="8" w:space="0" w:color="DC6900"/>
              <w:bottom w:val="single" w:sz="8" w:space="0" w:color="DC6900"/>
              <w:right w:val="single" w:sz="8" w:space="0" w:color="DC6900"/>
            </w:tcBorders>
            <w:shd w:val="clear" w:color="auto" w:fill="FFF0CC"/>
            <w:tcMar>
              <w:top w:w="72" w:type="dxa"/>
              <w:left w:w="144" w:type="dxa"/>
              <w:bottom w:w="72" w:type="dxa"/>
              <w:right w:w="144" w:type="dxa"/>
            </w:tcMar>
            <w:hideMark/>
          </w:tcPr>
          <w:p w:rsidR="00913429" w:rsidRDefault="00913429">
            <w:pPr>
              <w:spacing w:after="0" w:line="240" w:lineRule="auto"/>
              <w:rPr>
                <w:rFonts w:eastAsia="Times New Roman"/>
                <w:bCs/>
                <w:noProof/>
                <w:color w:val="000000"/>
                <w:sz w:val="18"/>
                <w:szCs w:val="18"/>
              </w:rPr>
            </w:pPr>
          </w:p>
        </w:tc>
        <w:tc>
          <w:tcPr>
            <w:tcW w:w="196" w:type="pct"/>
            <w:tcBorders>
              <w:top w:val="single" w:sz="8" w:space="0" w:color="DC6900"/>
              <w:left w:val="single" w:sz="8" w:space="0" w:color="DC6900"/>
              <w:bottom w:val="single" w:sz="8" w:space="0" w:color="DC6900"/>
              <w:right w:val="single" w:sz="8" w:space="0" w:color="DC6900"/>
            </w:tcBorders>
            <w:shd w:val="clear" w:color="auto" w:fill="FFF0CC"/>
            <w:tcMar>
              <w:top w:w="72" w:type="dxa"/>
              <w:left w:w="144" w:type="dxa"/>
              <w:bottom w:w="72" w:type="dxa"/>
              <w:right w:w="144" w:type="dxa"/>
            </w:tcMar>
            <w:hideMark/>
          </w:tcPr>
          <w:p w:rsidR="00913429" w:rsidRDefault="00913429">
            <w:pPr>
              <w:spacing w:after="0" w:line="240" w:lineRule="auto"/>
              <w:rPr>
                <w:rFonts w:eastAsia="Times New Roman"/>
                <w:bCs/>
                <w:noProof/>
                <w:color w:val="000000"/>
                <w:sz w:val="18"/>
                <w:szCs w:val="18"/>
              </w:rPr>
            </w:pPr>
          </w:p>
        </w:tc>
        <w:tc>
          <w:tcPr>
            <w:tcW w:w="251" w:type="pct"/>
            <w:tcBorders>
              <w:top w:val="single" w:sz="8" w:space="0" w:color="DC6900"/>
              <w:left w:val="single" w:sz="8" w:space="0" w:color="DC6900"/>
              <w:bottom w:val="single" w:sz="8" w:space="0" w:color="DC6900"/>
              <w:right w:val="single" w:sz="8" w:space="0" w:color="DC6900"/>
            </w:tcBorders>
            <w:shd w:val="clear" w:color="auto" w:fill="FFF0CC"/>
          </w:tcPr>
          <w:p w:rsidR="00913429" w:rsidRDefault="00913429">
            <w:pPr>
              <w:spacing w:after="0" w:line="240" w:lineRule="auto"/>
              <w:rPr>
                <w:rFonts w:eastAsia="Times New Roman"/>
                <w:bCs/>
                <w:noProof/>
                <w:color w:val="000000"/>
                <w:sz w:val="18"/>
                <w:szCs w:val="18"/>
              </w:rPr>
            </w:pPr>
          </w:p>
        </w:tc>
        <w:tc>
          <w:tcPr>
            <w:tcW w:w="227" w:type="pct"/>
            <w:tcBorders>
              <w:top w:val="single" w:sz="8" w:space="0" w:color="DC6900"/>
              <w:left w:val="single" w:sz="8" w:space="0" w:color="DC6900"/>
              <w:bottom w:val="single" w:sz="8" w:space="0" w:color="DC6900"/>
              <w:right w:val="single" w:sz="8" w:space="0" w:color="DC6900"/>
            </w:tcBorders>
            <w:shd w:val="clear" w:color="auto" w:fill="FFF0CC"/>
          </w:tcPr>
          <w:p w:rsidR="00913429" w:rsidRDefault="00913429">
            <w:pPr>
              <w:spacing w:after="0" w:line="240" w:lineRule="auto"/>
              <w:rPr>
                <w:rFonts w:eastAsia="Times New Roman"/>
                <w:bCs/>
                <w:noProof/>
                <w:color w:val="000000"/>
                <w:sz w:val="18"/>
                <w:szCs w:val="18"/>
              </w:rPr>
            </w:pPr>
          </w:p>
        </w:tc>
        <w:tc>
          <w:tcPr>
            <w:tcW w:w="212" w:type="pct"/>
            <w:tcBorders>
              <w:top w:val="single" w:sz="8" w:space="0" w:color="DC6900"/>
              <w:left w:val="single" w:sz="8" w:space="0" w:color="DC6900"/>
              <w:bottom w:val="single" w:sz="8" w:space="0" w:color="DC6900"/>
              <w:right w:val="single" w:sz="8" w:space="0" w:color="DC6900"/>
            </w:tcBorders>
            <w:shd w:val="clear" w:color="auto" w:fill="FFF0CC"/>
          </w:tcPr>
          <w:p w:rsidR="00913429" w:rsidRDefault="00913429">
            <w:pPr>
              <w:spacing w:after="0" w:line="240" w:lineRule="auto"/>
              <w:rPr>
                <w:rFonts w:eastAsia="Times New Roman"/>
                <w:bCs/>
                <w:noProof/>
                <w:color w:val="000000"/>
                <w:sz w:val="18"/>
                <w:szCs w:val="18"/>
              </w:rPr>
            </w:pPr>
          </w:p>
        </w:tc>
        <w:tc>
          <w:tcPr>
            <w:tcW w:w="200" w:type="pct"/>
            <w:tcBorders>
              <w:top w:val="single" w:sz="8" w:space="0" w:color="DC6900"/>
              <w:left w:val="single" w:sz="8" w:space="0" w:color="DC6900"/>
              <w:bottom w:val="single" w:sz="8" w:space="0" w:color="DC6900"/>
              <w:right w:val="single" w:sz="8" w:space="0" w:color="DC6900"/>
            </w:tcBorders>
            <w:shd w:val="clear" w:color="auto" w:fill="FFF0CC"/>
          </w:tcPr>
          <w:p w:rsidR="00913429" w:rsidRDefault="00913429">
            <w:pPr>
              <w:spacing w:after="0" w:line="240" w:lineRule="auto"/>
              <w:rPr>
                <w:rFonts w:eastAsia="Times New Roman"/>
                <w:bCs/>
                <w:noProof/>
                <w:color w:val="000000"/>
                <w:sz w:val="18"/>
                <w:szCs w:val="18"/>
              </w:rPr>
            </w:pPr>
          </w:p>
        </w:tc>
        <w:tc>
          <w:tcPr>
            <w:tcW w:w="189" w:type="pct"/>
            <w:tcBorders>
              <w:top w:val="single" w:sz="8" w:space="0" w:color="DC6900"/>
              <w:left w:val="single" w:sz="8" w:space="0" w:color="DC6900"/>
              <w:bottom w:val="single" w:sz="8" w:space="0" w:color="DC6900"/>
              <w:right w:val="single" w:sz="8" w:space="0" w:color="DC6900"/>
            </w:tcBorders>
            <w:shd w:val="clear" w:color="auto" w:fill="auto"/>
          </w:tcPr>
          <w:p w:rsidR="00913429" w:rsidRDefault="00913429">
            <w:pPr>
              <w:spacing w:after="0" w:line="240" w:lineRule="auto"/>
              <w:rPr>
                <w:rFonts w:eastAsia="Times New Roman"/>
                <w:bCs/>
                <w:noProof/>
                <w:color w:val="000000"/>
                <w:sz w:val="18"/>
                <w:szCs w:val="18"/>
              </w:rPr>
            </w:pPr>
          </w:p>
        </w:tc>
        <w:tc>
          <w:tcPr>
            <w:tcW w:w="189" w:type="pct"/>
            <w:tcBorders>
              <w:top w:val="single" w:sz="8" w:space="0" w:color="DC6900"/>
              <w:left w:val="single" w:sz="8" w:space="0" w:color="DC6900"/>
              <w:bottom w:val="single" w:sz="8" w:space="0" w:color="DC6900"/>
              <w:right w:val="single" w:sz="8" w:space="0" w:color="DC6900"/>
            </w:tcBorders>
            <w:shd w:val="clear" w:color="auto" w:fill="808080"/>
          </w:tcPr>
          <w:p w:rsidR="00913429" w:rsidRDefault="00913429">
            <w:pPr>
              <w:spacing w:after="0" w:line="240" w:lineRule="auto"/>
              <w:rPr>
                <w:rFonts w:eastAsia="Times New Roman"/>
                <w:bCs/>
                <w:noProof/>
                <w:color w:val="000000"/>
                <w:sz w:val="18"/>
                <w:szCs w:val="18"/>
              </w:rPr>
            </w:pPr>
          </w:p>
        </w:tc>
        <w:tc>
          <w:tcPr>
            <w:tcW w:w="189" w:type="pct"/>
            <w:tcBorders>
              <w:top w:val="single" w:sz="8" w:space="0" w:color="DC6900"/>
              <w:left w:val="single" w:sz="8" w:space="0" w:color="DC6900"/>
              <w:bottom w:val="single" w:sz="8" w:space="0" w:color="DC6900"/>
              <w:right w:val="single" w:sz="8" w:space="0" w:color="DC6900"/>
            </w:tcBorders>
            <w:shd w:val="clear" w:color="auto" w:fill="808080"/>
          </w:tcPr>
          <w:p w:rsidR="00913429" w:rsidRDefault="00913429">
            <w:pPr>
              <w:spacing w:after="0" w:line="240" w:lineRule="auto"/>
              <w:rPr>
                <w:rFonts w:eastAsia="Times New Roman"/>
                <w:bCs/>
                <w:noProof/>
                <w:color w:val="000000"/>
                <w:sz w:val="18"/>
                <w:szCs w:val="18"/>
              </w:rPr>
            </w:pPr>
          </w:p>
        </w:tc>
        <w:tc>
          <w:tcPr>
            <w:tcW w:w="190" w:type="pct"/>
            <w:tcBorders>
              <w:top w:val="single" w:sz="8" w:space="0" w:color="DC6900"/>
              <w:left w:val="single" w:sz="8" w:space="0" w:color="DC6900"/>
              <w:bottom w:val="single" w:sz="8" w:space="0" w:color="DC6900"/>
              <w:right w:val="single" w:sz="8" w:space="0" w:color="DC6900"/>
            </w:tcBorders>
            <w:shd w:val="clear" w:color="auto" w:fill="auto"/>
          </w:tcPr>
          <w:p w:rsidR="00913429" w:rsidRDefault="00913429">
            <w:pPr>
              <w:spacing w:after="0" w:line="240" w:lineRule="auto"/>
              <w:rPr>
                <w:rFonts w:eastAsia="Times New Roman"/>
                <w:bCs/>
                <w:noProof/>
                <w:color w:val="000000"/>
                <w:sz w:val="18"/>
                <w:szCs w:val="18"/>
              </w:rPr>
            </w:pPr>
          </w:p>
        </w:tc>
        <w:tc>
          <w:tcPr>
            <w:tcW w:w="189" w:type="pct"/>
            <w:tcBorders>
              <w:top w:val="single" w:sz="8" w:space="0" w:color="DC6900"/>
              <w:left w:val="single" w:sz="8" w:space="0" w:color="DC6900"/>
              <w:bottom w:val="single" w:sz="8" w:space="0" w:color="DC6900"/>
              <w:right w:val="single" w:sz="8" w:space="0" w:color="DC6900"/>
            </w:tcBorders>
            <w:shd w:val="clear" w:color="auto" w:fill="808080"/>
          </w:tcPr>
          <w:p w:rsidR="00913429" w:rsidRDefault="00913429">
            <w:pPr>
              <w:spacing w:after="0" w:line="240" w:lineRule="auto"/>
              <w:rPr>
                <w:rFonts w:eastAsia="Times New Roman"/>
                <w:bCs/>
                <w:noProof/>
                <w:color w:val="000000"/>
                <w:sz w:val="18"/>
                <w:szCs w:val="18"/>
              </w:rPr>
            </w:pPr>
          </w:p>
        </w:tc>
        <w:tc>
          <w:tcPr>
            <w:tcW w:w="189" w:type="pct"/>
            <w:tcBorders>
              <w:top w:val="single" w:sz="8" w:space="0" w:color="DC6900"/>
              <w:left w:val="single" w:sz="8" w:space="0" w:color="DC6900"/>
              <w:bottom w:val="single" w:sz="8" w:space="0" w:color="DC6900"/>
              <w:right w:val="single" w:sz="8" w:space="0" w:color="DC6900"/>
            </w:tcBorders>
            <w:shd w:val="clear" w:color="auto" w:fill="808080"/>
          </w:tcPr>
          <w:p w:rsidR="00913429" w:rsidRDefault="00913429">
            <w:pPr>
              <w:spacing w:after="0" w:line="240" w:lineRule="auto"/>
              <w:rPr>
                <w:rFonts w:eastAsia="Times New Roman"/>
                <w:bCs/>
                <w:noProof/>
                <w:color w:val="000000"/>
                <w:sz w:val="18"/>
                <w:szCs w:val="18"/>
              </w:rPr>
            </w:pPr>
          </w:p>
        </w:tc>
        <w:tc>
          <w:tcPr>
            <w:tcW w:w="190" w:type="pct"/>
            <w:tcBorders>
              <w:top w:val="single" w:sz="8" w:space="0" w:color="DC6900"/>
              <w:left w:val="single" w:sz="8" w:space="0" w:color="DC6900"/>
              <w:bottom w:val="single" w:sz="8" w:space="0" w:color="DC6900"/>
              <w:right w:val="single" w:sz="8" w:space="0" w:color="DC6900"/>
            </w:tcBorders>
            <w:shd w:val="clear" w:color="auto" w:fill="808080"/>
          </w:tcPr>
          <w:p w:rsidR="00913429" w:rsidRDefault="00913429">
            <w:pPr>
              <w:spacing w:after="0" w:line="240" w:lineRule="auto"/>
              <w:rPr>
                <w:rFonts w:eastAsia="Times New Roman"/>
                <w:bCs/>
                <w:noProof/>
                <w:color w:val="000000"/>
                <w:sz w:val="18"/>
                <w:szCs w:val="18"/>
              </w:rPr>
            </w:pPr>
          </w:p>
        </w:tc>
        <w:tc>
          <w:tcPr>
            <w:tcW w:w="200" w:type="pct"/>
            <w:tcBorders>
              <w:top w:val="single" w:sz="8" w:space="0" w:color="DC6900"/>
              <w:left w:val="single" w:sz="8" w:space="0" w:color="DC6900"/>
              <w:bottom w:val="single" w:sz="8" w:space="0" w:color="DC6900"/>
              <w:right w:val="single" w:sz="8" w:space="0" w:color="DC6900"/>
            </w:tcBorders>
            <w:shd w:val="clear" w:color="auto" w:fill="808080"/>
            <w:tcMar>
              <w:top w:w="72" w:type="dxa"/>
              <w:left w:w="144" w:type="dxa"/>
              <w:bottom w:w="72" w:type="dxa"/>
              <w:right w:w="144" w:type="dxa"/>
            </w:tcMar>
            <w:hideMark/>
          </w:tcPr>
          <w:p w:rsidR="00913429" w:rsidRDefault="00913429">
            <w:pPr>
              <w:spacing w:after="0" w:line="240" w:lineRule="auto"/>
              <w:rPr>
                <w:rFonts w:eastAsia="Times New Roman"/>
                <w:bCs/>
                <w:noProof/>
                <w:color w:val="000000"/>
                <w:sz w:val="18"/>
                <w:szCs w:val="18"/>
              </w:rPr>
            </w:pPr>
          </w:p>
        </w:tc>
        <w:tc>
          <w:tcPr>
            <w:tcW w:w="202" w:type="pct"/>
            <w:tcBorders>
              <w:top w:val="single" w:sz="8" w:space="0" w:color="DC6900"/>
              <w:left w:val="single" w:sz="8" w:space="0" w:color="DC6900"/>
              <w:bottom w:val="single" w:sz="8" w:space="0" w:color="DC6900"/>
              <w:right w:val="single" w:sz="8" w:space="0" w:color="DC6900"/>
            </w:tcBorders>
            <w:shd w:val="clear" w:color="auto" w:fill="808080"/>
            <w:tcMar>
              <w:top w:w="72" w:type="dxa"/>
              <w:left w:w="144" w:type="dxa"/>
              <w:bottom w:w="72" w:type="dxa"/>
              <w:right w:w="144" w:type="dxa"/>
            </w:tcMar>
            <w:hideMark/>
          </w:tcPr>
          <w:p w:rsidR="00913429" w:rsidRDefault="00913429">
            <w:pPr>
              <w:spacing w:after="0" w:line="240" w:lineRule="auto"/>
              <w:rPr>
                <w:rFonts w:eastAsia="Times New Roman"/>
                <w:bCs/>
                <w:noProof/>
                <w:color w:val="000000"/>
                <w:sz w:val="18"/>
                <w:szCs w:val="18"/>
              </w:rPr>
            </w:pPr>
          </w:p>
        </w:tc>
        <w:tc>
          <w:tcPr>
            <w:tcW w:w="284" w:type="pct"/>
            <w:tcBorders>
              <w:top w:val="single" w:sz="8" w:space="0" w:color="DC6900"/>
              <w:left w:val="single" w:sz="8" w:space="0" w:color="DC6900"/>
              <w:bottom w:val="single" w:sz="8" w:space="0" w:color="DC6900"/>
              <w:right w:val="single" w:sz="8" w:space="0" w:color="DC6900"/>
            </w:tcBorders>
            <w:shd w:val="clear" w:color="auto" w:fill="808080"/>
            <w:tcMar>
              <w:top w:w="72" w:type="dxa"/>
              <w:left w:w="144" w:type="dxa"/>
              <w:bottom w:w="72" w:type="dxa"/>
              <w:right w:w="144" w:type="dxa"/>
            </w:tcMar>
            <w:hideMark/>
          </w:tcPr>
          <w:p w:rsidR="00913429" w:rsidRDefault="00913429">
            <w:pPr>
              <w:spacing w:after="0" w:line="240" w:lineRule="auto"/>
              <w:rPr>
                <w:rFonts w:eastAsia="Times New Roman"/>
                <w:bCs/>
                <w:noProof/>
                <w:color w:val="000000"/>
                <w:sz w:val="18"/>
                <w:szCs w:val="18"/>
              </w:rPr>
            </w:pPr>
          </w:p>
        </w:tc>
      </w:tr>
      <w:tr w:rsidR="00913429">
        <w:trPr>
          <w:trHeight w:val="612"/>
        </w:trPr>
        <w:tc>
          <w:tcPr>
            <w:tcW w:w="369" w:type="pct"/>
            <w:tcBorders>
              <w:top w:val="single" w:sz="8" w:space="0" w:color="DC6900"/>
              <w:left w:val="single" w:sz="8" w:space="0" w:color="DC6900"/>
              <w:bottom w:val="single" w:sz="8" w:space="0" w:color="DC6900"/>
              <w:right w:val="single" w:sz="8" w:space="0" w:color="DC6900"/>
            </w:tcBorders>
            <w:shd w:val="clear" w:color="auto" w:fill="auto"/>
            <w:tcMar>
              <w:top w:w="72" w:type="dxa"/>
              <w:left w:w="113" w:type="dxa"/>
              <w:bottom w:w="72" w:type="dxa"/>
              <w:right w:w="113" w:type="dxa"/>
            </w:tcMar>
            <w:vAlign w:val="center"/>
            <w:hideMark/>
          </w:tcPr>
          <w:p w:rsidR="00913429" w:rsidRDefault="00E143F0">
            <w:pPr>
              <w:spacing w:after="0" w:line="240" w:lineRule="auto"/>
              <w:jc w:val="center"/>
              <w:rPr>
                <w:rFonts w:eastAsia="Times New Roman"/>
                <w:bCs/>
                <w:noProof/>
                <w:color w:val="000000"/>
                <w:sz w:val="16"/>
                <w:szCs w:val="18"/>
              </w:rPr>
            </w:pPr>
            <w:r>
              <w:rPr>
                <w:rFonts w:eastAsia="Times New Roman"/>
                <w:bCs/>
                <w:noProof/>
                <w:color w:val="000000"/>
                <w:sz w:val="16"/>
                <w:szCs w:val="18"/>
              </w:rPr>
              <w:t>2.2</w:t>
            </w:r>
          </w:p>
        </w:tc>
        <w:tc>
          <w:tcPr>
            <w:tcW w:w="955" w:type="pct"/>
            <w:tcBorders>
              <w:top w:val="single" w:sz="8" w:space="0" w:color="DC6900"/>
              <w:left w:val="single" w:sz="8" w:space="0" w:color="DC6900"/>
              <w:bottom w:val="single" w:sz="8" w:space="0" w:color="DC6900"/>
              <w:right w:val="single" w:sz="8" w:space="0" w:color="DC6900"/>
            </w:tcBorders>
            <w:shd w:val="clear" w:color="auto" w:fill="auto"/>
            <w:tcMar>
              <w:top w:w="15" w:type="dxa"/>
              <w:left w:w="57" w:type="dxa"/>
              <w:bottom w:w="0" w:type="dxa"/>
              <w:right w:w="15" w:type="dxa"/>
            </w:tcMar>
            <w:vAlign w:val="center"/>
          </w:tcPr>
          <w:p w:rsidR="00913429" w:rsidRDefault="00E143F0">
            <w:pPr>
              <w:spacing w:after="0" w:line="240" w:lineRule="auto"/>
              <w:rPr>
                <w:rFonts w:eastAsia="Times New Roman"/>
                <w:bCs/>
                <w:noProof/>
                <w:color w:val="000000"/>
                <w:sz w:val="16"/>
                <w:szCs w:val="18"/>
              </w:rPr>
            </w:pPr>
            <w:r>
              <w:rPr>
                <w:rFonts w:eastAsia="Times New Roman"/>
                <w:bCs/>
                <w:noProof/>
                <w:color w:val="000000"/>
                <w:sz w:val="16"/>
                <w:szCs w:val="18"/>
              </w:rPr>
              <w:t>Comparison of options and elaborating the preferred one</w:t>
            </w:r>
          </w:p>
        </w:tc>
        <w:tc>
          <w:tcPr>
            <w:tcW w:w="193" w:type="pct"/>
            <w:tcBorders>
              <w:top w:val="single" w:sz="8" w:space="0" w:color="DC6900"/>
              <w:left w:val="single" w:sz="8" w:space="0" w:color="DC6900"/>
              <w:bottom w:val="single" w:sz="8" w:space="0" w:color="DC6900"/>
              <w:right w:val="single" w:sz="8" w:space="0" w:color="DC6900"/>
            </w:tcBorders>
            <w:shd w:val="clear" w:color="auto" w:fill="auto"/>
            <w:tcMar>
              <w:top w:w="72" w:type="dxa"/>
              <w:left w:w="144" w:type="dxa"/>
              <w:bottom w:w="72" w:type="dxa"/>
              <w:right w:w="144" w:type="dxa"/>
            </w:tcMar>
            <w:hideMark/>
          </w:tcPr>
          <w:p w:rsidR="00913429" w:rsidRDefault="00913429">
            <w:pPr>
              <w:spacing w:after="0" w:line="240" w:lineRule="auto"/>
              <w:rPr>
                <w:rFonts w:eastAsia="Times New Roman"/>
                <w:bCs/>
                <w:noProof/>
                <w:color w:val="000000"/>
                <w:sz w:val="18"/>
                <w:szCs w:val="18"/>
              </w:rPr>
            </w:pPr>
          </w:p>
        </w:tc>
        <w:tc>
          <w:tcPr>
            <w:tcW w:w="193" w:type="pct"/>
            <w:tcBorders>
              <w:top w:val="single" w:sz="8" w:space="0" w:color="DC6900"/>
              <w:left w:val="single" w:sz="8" w:space="0" w:color="DC6900"/>
              <w:bottom w:val="single" w:sz="8" w:space="0" w:color="DC6900"/>
              <w:right w:val="single" w:sz="8" w:space="0" w:color="DC6900"/>
            </w:tcBorders>
            <w:shd w:val="clear" w:color="auto" w:fill="auto"/>
            <w:tcMar>
              <w:top w:w="72" w:type="dxa"/>
              <w:left w:w="144" w:type="dxa"/>
              <w:bottom w:w="72" w:type="dxa"/>
              <w:right w:w="144" w:type="dxa"/>
            </w:tcMar>
            <w:hideMark/>
          </w:tcPr>
          <w:p w:rsidR="00913429" w:rsidRDefault="00913429">
            <w:pPr>
              <w:spacing w:after="0" w:line="240" w:lineRule="auto"/>
              <w:rPr>
                <w:rFonts w:eastAsia="Times New Roman"/>
                <w:bCs/>
                <w:noProof/>
                <w:color w:val="000000"/>
                <w:sz w:val="18"/>
                <w:szCs w:val="18"/>
              </w:rPr>
            </w:pPr>
          </w:p>
        </w:tc>
        <w:tc>
          <w:tcPr>
            <w:tcW w:w="193" w:type="pct"/>
            <w:tcBorders>
              <w:top w:val="single" w:sz="8" w:space="0" w:color="DC6900"/>
              <w:left w:val="single" w:sz="8" w:space="0" w:color="DC6900"/>
              <w:bottom w:val="single" w:sz="8" w:space="0" w:color="DC6900"/>
              <w:right w:val="single" w:sz="8" w:space="0" w:color="DC6900"/>
            </w:tcBorders>
            <w:shd w:val="clear" w:color="auto" w:fill="auto"/>
            <w:tcMar>
              <w:top w:w="72" w:type="dxa"/>
              <w:left w:w="144" w:type="dxa"/>
              <w:bottom w:w="72" w:type="dxa"/>
              <w:right w:w="144" w:type="dxa"/>
            </w:tcMar>
            <w:hideMark/>
          </w:tcPr>
          <w:p w:rsidR="00913429" w:rsidRDefault="00913429">
            <w:pPr>
              <w:spacing w:after="0" w:line="240" w:lineRule="auto"/>
              <w:rPr>
                <w:rFonts w:eastAsia="Times New Roman"/>
                <w:bCs/>
                <w:noProof/>
                <w:color w:val="000000"/>
                <w:sz w:val="18"/>
                <w:szCs w:val="18"/>
              </w:rPr>
            </w:pPr>
          </w:p>
        </w:tc>
        <w:tc>
          <w:tcPr>
            <w:tcW w:w="196" w:type="pct"/>
            <w:tcBorders>
              <w:top w:val="single" w:sz="8" w:space="0" w:color="DC6900"/>
              <w:left w:val="single" w:sz="8" w:space="0" w:color="DC6900"/>
              <w:bottom w:val="single" w:sz="8" w:space="0" w:color="DC6900"/>
              <w:right w:val="single" w:sz="8" w:space="0" w:color="DC6900"/>
            </w:tcBorders>
            <w:shd w:val="clear" w:color="auto" w:fill="FFF0CC"/>
            <w:tcMar>
              <w:top w:w="72" w:type="dxa"/>
              <w:left w:w="144" w:type="dxa"/>
              <w:bottom w:w="72" w:type="dxa"/>
              <w:right w:w="144" w:type="dxa"/>
            </w:tcMar>
            <w:hideMark/>
          </w:tcPr>
          <w:p w:rsidR="00913429" w:rsidRDefault="00913429">
            <w:pPr>
              <w:spacing w:after="0" w:line="240" w:lineRule="auto"/>
              <w:rPr>
                <w:rFonts w:eastAsia="Times New Roman"/>
                <w:bCs/>
                <w:noProof/>
                <w:color w:val="000000"/>
                <w:sz w:val="18"/>
                <w:szCs w:val="18"/>
              </w:rPr>
            </w:pPr>
          </w:p>
        </w:tc>
        <w:tc>
          <w:tcPr>
            <w:tcW w:w="251" w:type="pct"/>
            <w:tcBorders>
              <w:top w:val="single" w:sz="8" w:space="0" w:color="DC6900"/>
              <w:left w:val="single" w:sz="8" w:space="0" w:color="DC6900"/>
              <w:bottom w:val="single" w:sz="8" w:space="0" w:color="DC6900"/>
              <w:right w:val="single" w:sz="8" w:space="0" w:color="DC6900"/>
            </w:tcBorders>
            <w:shd w:val="clear" w:color="auto" w:fill="FFF0CC"/>
            <w:vAlign w:val="center"/>
          </w:tcPr>
          <w:p w:rsidR="00913429" w:rsidRDefault="00E143F0">
            <w:pPr>
              <w:spacing w:after="0" w:line="240" w:lineRule="auto"/>
              <w:jc w:val="center"/>
              <w:rPr>
                <w:rFonts w:eastAsia="Times New Roman"/>
                <w:b/>
                <w:bCs/>
                <w:noProof/>
                <w:color w:val="000000"/>
                <w:sz w:val="18"/>
                <w:szCs w:val="18"/>
              </w:rPr>
            </w:pPr>
            <w:r>
              <w:rPr>
                <w:rFonts w:eastAsia="Times New Roman"/>
                <w:b/>
                <w:bCs/>
                <w:noProof/>
                <w:color w:val="000000"/>
                <w:sz w:val="18"/>
                <w:szCs w:val="18"/>
              </w:rPr>
              <w:t>SIRd</w:t>
            </w:r>
          </w:p>
        </w:tc>
        <w:tc>
          <w:tcPr>
            <w:tcW w:w="227" w:type="pct"/>
            <w:tcBorders>
              <w:top w:val="single" w:sz="8" w:space="0" w:color="DC6900"/>
              <w:left w:val="single" w:sz="8" w:space="0" w:color="DC6900"/>
              <w:bottom w:val="single" w:sz="8" w:space="0" w:color="DC6900"/>
              <w:right w:val="single" w:sz="8" w:space="0" w:color="DC6900"/>
            </w:tcBorders>
            <w:shd w:val="clear" w:color="auto" w:fill="FFF0CC"/>
            <w:vAlign w:val="center"/>
          </w:tcPr>
          <w:p w:rsidR="00913429" w:rsidRDefault="00E143F0">
            <w:pPr>
              <w:spacing w:after="0" w:line="240" w:lineRule="auto"/>
              <w:jc w:val="center"/>
              <w:rPr>
                <w:rFonts w:eastAsia="Times New Roman"/>
                <w:b/>
                <w:bCs/>
                <w:noProof/>
                <w:color w:val="000000"/>
                <w:sz w:val="18"/>
                <w:szCs w:val="18"/>
              </w:rPr>
            </w:pPr>
            <w:r>
              <w:rPr>
                <w:rFonts w:eastAsia="Times New Roman"/>
                <w:b/>
                <w:bCs/>
                <w:noProof/>
                <w:color w:val="000000"/>
                <w:sz w:val="18"/>
                <w:szCs w:val="18"/>
              </w:rPr>
              <w:t>SIRf</w:t>
            </w:r>
          </w:p>
        </w:tc>
        <w:tc>
          <w:tcPr>
            <w:tcW w:w="212" w:type="pct"/>
            <w:tcBorders>
              <w:top w:val="single" w:sz="8" w:space="0" w:color="DC6900"/>
              <w:left w:val="single" w:sz="8" w:space="0" w:color="DC6900"/>
              <w:bottom w:val="single" w:sz="8" w:space="0" w:color="DC6900"/>
              <w:right w:val="single" w:sz="8" w:space="0" w:color="DC6900"/>
            </w:tcBorders>
            <w:shd w:val="clear" w:color="auto" w:fill="FFF0CC"/>
            <w:vAlign w:val="center"/>
          </w:tcPr>
          <w:p w:rsidR="00913429" w:rsidRDefault="00E143F0">
            <w:pPr>
              <w:spacing w:after="0" w:line="240" w:lineRule="auto"/>
              <w:jc w:val="center"/>
              <w:rPr>
                <w:rFonts w:eastAsia="Times New Roman"/>
                <w:b/>
                <w:bCs/>
                <w:noProof/>
                <w:color w:val="000000"/>
                <w:sz w:val="18"/>
                <w:szCs w:val="18"/>
              </w:rPr>
            </w:pPr>
            <w:r>
              <w:rPr>
                <w:rFonts w:eastAsia="Times New Roman"/>
                <w:b/>
                <w:bCs/>
                <w:noProof/>
                <w:color w:val="000000"/>
                <w:sz w:val="18"/>
                <w:szCs w:val="18"/>
              </w:rPr>
              <w:t>FRd</w:t>
            </w:r>
          </w:p>
        </w:tc>
        <w:tc>
          <w:tcPr>
            <w:tcW w:w="200" w:type="pct"/>
            <w:tcBorders>
              <w:top w:val="single" w:sz="8" w:space="0" w:color="DC6900"/>
              <w:left w:val="single" w:sz="8" w:space="0" w:color="DC6900"/>
              <w:bottom w:val="single" w:sz="8" w:space="0" w:color="DC6900"/>
              <w:right w:val="single" w:sz="8" w:space="0" w:color="DC6900"/>
            </w:tcBorders>
            <w:shd w:val="clear" w:color="auto" w:fill="FFF0CC"/>
            <w:vAlign w:val="center"/>
          </w:tcPr>
          <w:p w:rsidR="00913429" w:rsidRDefault="00E143F0">
            <w:pPr>
              <w:spacing w:after="0" w:line="240" w:lineRule="auto"/>
              <w:jc w:val="center"/>
              <w:rPr>
                <w:rFonts w:eastAsia="Times New Roman"/>
                <w:b/>
                <w:bCs/>
                <w:noProof/>
                <w:color w:val="000000"/>
                <w:sz w:val="18"/>
                <w:szCs w:val="18"/>
              </w:rPr>
            </w:pPr>
            <w:r>
              <w:rPr>
                <w:rFonts w:eastAsia="Times New Roman"/>
                <w:b/>
                <w:bCs/>
                <w:noProof/>
                <w:color w:val="000000"/>
                <w:sz w:val="18"/>
                <w:szCs w:val="18"/>
              </w:rPr>
              <w:t>FRf</w:t>
            </w:r>
          </w:p>
        </w:tc>
        <w:tc>
          <w:tcPr>
            <w:tcW w:w="189" w:type="pct"/>
            <w:tcBorders>
              <w:top w:val="single" w:sz="8" w:space="0" w:color="DC6900"/>
              <w:left w:val="single" w:sz="8" w:space="0" w:color="DC6900"/>
              <w:bottom w:val="single" w:sz="8" w:space="0" w:color="DC6900"/>
              <w:right w:val="single" w:sz="8" w:space="0" w:color="DC6900"/>
            </w:tcBorders>
            <w:shd w:val="clear" w:color="auto" w:fill="auto"/>
          </w:tcPr>
          <w:p w:rsidR="00913429" w:rsidRDefault="00913429">
            <w:pPr>
              <w:spacing w:after="0" w:line="240" w:lineRule="auto"/>
              <w:rPr>
                <w:rFonts w:eastAsia="Times New Roman"/>
                <w:b/>
                <w:bCs/>
                <w:noProof/>
                <w:color w:val="000000"/>
                <w:sz w:val="18"/>
                <w:szCs w:val="18"/>
              </w:rPr>
            </w:pPr>
          </w:p>
        </w:tc>
        <w:tc>
          <w:tcPr>
            <w:tcW w:w="189" w:type="pct"/>
            <w:tcBorders>
              <w:top w:val="single" w:sz="8" w:space="0" w:color="DC6900"/>
              <w:left w:val="single" w:sz="8" w:space="0" w:color="DC6900"/>
              <w:bottom w:val="single" w:sz="8" w:space="0" w:color="DC6900"/>
              <w:right w:val="single" w:sz="8" w:space="0" w:color="DC6900"/>
            </w:tcBorders>
            <w:shd w:val="clear" w:color="auto" w:fill="808080"/>
          </w:tcPr>
          <w:p w:rsidR="00913429" w:rsidRDefault="00913429">
            <w:pPr>
              <w:spacing w:after="0" w:line="240" w:lineRule="auto"/>
              <w:rPr>
                <w:rFonts w:eastAsia="Times New Roman"/>
                <w:bCs/>
                <w:noProof/>
                <w:color w:val="000000"/>
                <w:sz w:val="18"/>
                <w:szCs w:val="18"/>
              </w:rPr>
            </w:pPr>
          </w:p>
        </w:tc>
        <w:tc>
          <w:tcPr>
            <w:tcW w:w="189" w:type="pct"/>
            <w:tcBorders>
              <w:top w:val="single" w:sz="8" w:space="0" w:color="DC6900"/>
              <w:left w:val="single" w:sz="8" w:space="0" w:color="DC6900"/>
              <w:bottom w:val="single" w:sz="8" w:space="0" w:color="DC6900"/>
              <w:right w:val="single" w:sz="8" w:space="0" w:color="DC6900"/>
            </w:tcBorders>
            <w:shd w:val="clear" w:color="auto" w:fill="808080"/>
          </w:tcPr>
          <w:p w:rsidR="00913429" w:rsidRDefault="00913429">
            <w:pPr>
              <w:spacing w:after="0" w:line="240" w:lineRule="auto"/>
              <w:rPr>
                <w:rFonts w:eastAsia="Times New Roman"/>
                <w:bCs/>
                <w:noProof/>
                <w:color w:val="000000"/>
                <w:sz w:val="18"/>
                <w:szCs w:val="18"/>
              </w:rPr>
            </w:pPr>
          </w:p>
        </w:tc>
        <w:tc>
          <w:tcPr>
            <w:tcW w:w="190" w:type="pct"/>
            <w:tcBorders>
              <w:top w:val="single" w:sz="8" w:space="0" w:color="DC6900"/>
              <w:left w:val="single" w:sz="8" w:space="0" w:color="DC6900"/>
              <w:bottom w:val="single" w:sz="8" w:space="0" w:color="DC6900"/>
              <w:right w:val="single" w:sz="8" w:space="0" w:color="DC6900"/>
            </w:tcBorders>
            <w:shd w:val="clear" w:color="auto" w:fill="auto"/>
          </w:tcPr>
          <w:p w:rsidR="00913429" w:rsidRDefault="00913429">
            <w:pPr>
              <w:spacing w:after="0" w:line="240" w:lineRule="auto"/>
              <w:rPr>
                <w:rFonts w:eastAsia="Times New Roman"/>
                <w:bCs/>
                <w:noProof/>
                <w:color w:val="000000"/>
                <w:sz w:val="18"/>
                <w:szCs w:val="18"/>
              </w:rPr>
            </w:pPr>
          </w:p>
        </w:tc>
        <w:tc>
          <w:tcPr>
            <w:tcW w:w="189" w:type="pct"/>
            <w:tcBorders>
              <w:top w:val="single" w:sz="8" w:space="0" w:color="DC6900"/>
              <w:left w:val="single" w:sz="8" w:space="0" w:color="DC6900"/>
              <w:bottom w:val="single" w:sz="8" w:space="0" w:color="DC6900"/>
              <w:right w:val="single" w:sz="8" w:space="0" w:color="DC6900"/>
            </w:tcBorders>
            <w:shd w:val="clear" w:color="auto" w:fill="808080"/>
          </w:tcPr>
          <w:p w:rsidR="00913429" w:rsidRDefault="00913429">
            <w:pPr>
              <w:spacing w:after="0" w:line="240" w:lineRule="auto"/>
              <w:rPr>
                <w:rFonts w:eastAsia="Times New Roman"/>
                <w:bCs/>
                <w:noProof/>
                <w:color w:val="000000"/>
                <w:sz w:val="18"/>
                <w:szCs w:val="18"/>
              </w:rPr>
            </w:pPr>
          </w:p>
        </w:tc>
        <w:tc>
          <w:tcPr>
            <w:tcW w:w="189" w:type="pct"/>
            <w:tcBorders>
              <w:top w:val="single" w:sz="8" w:space="0" w:color="DC6900"/>
              <w:left w:val="single" w:sz="8" w:space="0" w:color="DC6900"/>
              <w:bottom w:val="single" w:sz="8" w:space="0" w:color="DC6900"/>
              <w:right w:val="single" w:sz="8" w:space="0" w:color="DC6900"/>
            </w:tcBorders>
            <w:shd w:val="clear" w:color="auto" w:fill="808080"/>
          </w:tcPr>
          <w:p w:rsidR="00913429" w:rsidRDefault="00913429">
            <w:pPr>
              <w:spacing w:after="0" w:line="240" w:lineRule="auto"/>
              <w:rPr>
                <w:rFonts w:eastAsia="Times New Roman"/>
                <w:bCs/>
                <w:noProof/>
                <w:color w:val="000000"/>
                <w:sz w:val="18"/>
                <w:szCs w:val="18"/>
              </w:rPr>
            </w:pPr>
          </w:p>
        </w:tc>
        <w:tc>
          <w:tcPr>
            <w:tcW w:w="190" w:type="pct"/>
            <w:tcBorders>
              <w:top w:val="single" w:sz="8" w:space="0" w:color="DC6900"/>
              <w:left w:val="single" w:sz="8" w:space="0" w:color="DC6900"/>
              <w:bottom w:val="single" w:sz="8" w:space="0" w:color="DC6900"/>
              <w:right w:val="single" w:sz="8" w:space="0" w:color="DC6900"/>
            </w:tcBorders>
            <w:shd w:val="clear" w:color="auto" w:fill="808080"/>
          </w:tcPr>
          <w:p w:rsidR="00913429" w:rsidRDefault="00913429">
            <w:pPr>
              <w:spacing w:after="0" w:line="240" w:lineRule="auto"/>
              <w:rPr>
                <w:rFonts w:eastAsia="Times New Roman"/>
                <w:bCs/>
                <w:noProof/>
                <w:color w:val="000000"/>
                <w:sz w:val="18"/>
                <w:szCs w:val="18"/>
              </w:rPr>
            </w:pPr>
          </w:p>
        </w:tc>
        <w:tc>
          <w:tcPr>
            <w:tcW w:w="200" w:type="pct"/>
            <w:tcBorders>
              <w:top w:val="single" w:sz="8" w:space="0" w:color="DC6900"/>
              <w:left w:val="single" w:sz="8" w:space="0" w:color="DC6900"/>
              <w:bottom w:val="single" w:sz="8" w:space="0" w:color="DC6900"/>
              <w:right w:val="single" w:sz="8" w:space="0" w:color="DC6900"/>
            </w:tcBorders>
            <w:shd w:val="clear" w:color="auto" w:fill="808080"/>
            <w:tcMar>
              <w:top w:w="72" w:type="dxa"/>
              <w:left w:w="144" w:type="dxa"/>
              <w:bottom w:w="72" w:type="dxa"/>
              <w:right w:w="144" w:type="dxa"/>
            </w:tcMar>
            <w:hideMark/>
          </w:tcPr>
          <w:p w:rsidR="00913429" w:rsidRDefault="00913429">
            <w:pPr>
              <w:spacing w:after="0" w:line="240" w:lineRule="auto"/>
              <w:rPr>
                <w:rFonts w:eastAsia="Times New Roman"/>
                <w:bCs/>
                <w:noProof/>
                <w:color w:val="000000"/>
                <w:sz w:val="18"/>
                <w:szCs w:val="18"/>
              </w:rPr>
            </w:pPr>
          </w:p>
        </w:tc>
        <w:tc>
          <w:tcPr>
            <w:tcW w:w="202" w:type="pct"/>
            <w:tcBorders>
              <w:top w:val="single" w:sz="8" w:space="0" w:color="DC6900"/>
              <w:left w:val="single" w:sz="8" w:space="0" w:color="DC6900"/>
              <w:bottom w:val="single" w:sz="8" w:space="0" w:color="DC6900"/>
              <w:right w:val="single" w:sz="8" w:space="0" w:color="DC6900"/>
            </w:tcBorders>
            <w:shd w:val="clear" w:color="auto" w:fill="808080"/>
            <w:tcMar>
              <w:top w:w="72" w:type="dxa"/>
              <w:left w:w="144" w:type="dxa"/>
              <w:bottom w:w="72" w:type="dxa"/>
              <w:right w:w="144" w:type="dxa"/>
            </w:tcMar>
            <w:hideMark/>
          </w:tcPr>
          <w:p w:rsidR="00913429" w:rsidRDefault="00913429">
            <w:pPr>
              <w:spacing w:after="0" w:line="240" w:lineRule="auto"/>
              <w:rPr>
                <w:rFonts w:eastAsia="Times New Roman"/>
                <w:bCs/>
                <w:noProof/>
                <w:color w:val="000000"/>
                <w:sz w:val="18"/>
                <w:szCs w:val="18"/>
              </w:rPr>
            </w:pPr>
          </w:p>
        </w:tc>
        <w:tc>
          <w:tcPr>
            <w:tcW w:w="284" w:type="pct"/>
            <w:tcBorders>
              <w:top w:val="single" w:sz="8" w:space="0" w:color="DC6900"/>
              <w:left w:val="single" w:sz="8" w:space="0" w:color="DC6900"/>
              <w:bottom w:val="single" w:sz="8" w:space="0" w:color="DC6900"/>
              <w:right w:val="single" w:sz="8" w:space="0" w:color="DC6900"/>
            </w:tcBorders>
            <w:shd w:val="clear" w:color="auto" w:fill="808080"/>
            <w:tcMar>
              <w:top w:w="72" w:type="dxa"/>
              <w:left w:w="144" w:type="dxa"/>
              <w:bottom w:w="72" w:type="dxa"/>
              <w:right w:w="144" w:type="dxa"/>
            </w:tcMar>
            <w:hideMark/>
          </w:tcPr>
          <w:p w:rsidR="00913429" w:rsidRDefault="00913429">
            <w:pPr>
              <w:spacing w:after="0" w:line="240" w:lineRule="auto"/>
              <w:rPr>
                <w:rFonts w:eastAsia="Times New Roman"/>
                <w:bCs/>
                <w:noProof/>
                <w:color w:val="000000"/>
                <w:sz w:val="18"/>
                <w:szCs w:val="18"/>
              </w:rPr>
            </w:pPr>
          </w:p>
        </w:tc>
      </w:tr>
      <w:tr w:rsidR="00913429">
        <w:trPr>
          <w:trHeight w:val="612"/>
        </w:trPr>
        <w:tc>
          <w:tcPr>
            <w:tcW w:w="369" w:type="pct"/>
            <w:tcBorders>
              <w:top w:val="single" w:sz="8" w:space="0" w:color="DC6900"/>
              <w:left w:val="single" w:sz="8" w:space="0" w:color="DC6900"/>
              <w:bottom w:val="single" w:sz="8" w:space="0" w:color="DC6900"/>
              <w:right w:val="single" w:sz="8" w:space="0" w:color="DC6900"/>
            </w:tcBorders>
            <w:shd w:val="clear" w:color="auto" w:fill="auto"/>
            <w:tcMar>
              <w:top w:w="72" w:type="dxa"/>
              <w:left w:w="113" w:type="dxa"/>
              <w:bottom w:w="72" w:type="dxa"/>
              <w:right w:w="113" w:type="dxa"/>
            </w:tcMar>
            <w:vAlign w:val="center"/>
          </w:tcPr>
          <w:p w:rsidR="00913429" w:rsidRDefault="00E143F0">
            <w:pPr>
              <w:spacing w:after="0" w:line="240" w:lineRule="auto"/>
              <w:jc w:val="center"/>
              <w:rPr>
                <w:rFonts w:eastAsia="Times New Roman"/>
                <w:bCs/>
                <w:noProof/>
                <w:color w:val="000000"/>
                <w:sz w:val="16"/>
                <w:szCs w:val="18"/>
              </w:rPr>
            </w:pPr>
            <w:r>
              <w:rPr>
                <w:rFonts w:eastAsia="Times New Roman"/>
                <w:bCs/>
                <w:noProof/>
                <w:color w:val="000000"/>
                <w:sz w:val="16"/>
                <w:szCs w:val="18"/>
              </w:rPr>
              <w:t>2.3</w:t>
            </w:r>
          </w:p>
        </w:tc>
        <w:tc>
          <w:tcPr>
            <w:tcW w:w="955" w:type="pct"/>
            <w:tcBorders>
              <w:top w:val="single" w:sz="8" w:space="0" w:color="DC6900"/>
              <w:left w:val="single" w:sz="8" w:space="0" w:color="DC6900"/>
              <w:bottom w:val="single" w:sz="8" w:space="0" w:color="DC6900"/>
              <w:right w:val="single" w:sz="8" w:space="0" w:color="DC6900"/>
            </w:tcBorders>
            <w:shd w:val="clear" w:color="auto" w:fill="auto"/>
            <w:tcMar>
              <w:top w:w="15" w:type="dxa"/>
              <w:left w:w="57" w:type="dxa"/>
              <w:bottom w:w="0" w:type="dxa"/>
              <w:right w:w="15" w:type="dxa"/>
            </w:tcMar>
            <w:vAlign w:val="center"/>
          </w:tcPr>
          <w:p w:rsidR="00913429" w:rsidRDefault="00E143F0">
            <w:pPr>
              <w:spacing w:after="0" w:line="240" w:lineRule="auto"/>
              <w:rPr>
                <w:rFonts w:eastAsia="Times New Roman"/>
                <w:bCs/>
                <w:noProof/>
                <w:color w:val="000000"/>
                <w:sz w:val="16"/>
                <w:szCs w:val="18"/>
              </w:rPr>
            </w:pPr>
            <w:r>
              <w:rPr>
                <w:rFonts w:eastAsia="Times New Roman"/>
                <w:bCs/>
                <w:noProof/>
                <w:color w:val="000000"/>
                <w:sz w:val="16"/>
                <w:szCs w:val="18"/>
              </w:rPr>
              <w:t>Desk Research; interviews to new stakeholders; definition of three case studies</w:t>
            </w:r>
          </w:p>
        </w:tc>
        <w:tc>
          <w:tcPr>
            <w:tcW w:w="193" w:type="pct"/>
            <w:tcBorders>
              <w:top w:val="single" w:sz="8" w:space="0" w:color="DC6900"/>
              <w:left w:val="single" w:sz="8" w:space="0" w:color="DC6900"/>
              <w:bottom w:val="single" w:sz="8" w:space="0" w:color="DC6900"/>
              <w:right w:val="single" w:sz="8" w:space="0" w:color="DC6900"/>
            </w:tcBorders>
            <w:shd w:val="clear" w:color="auto" w:fill="auto"/>
            <w:tcMar>
              <w:top w:w="72" w:type="dxa"/>
              <w:left w:w="144" w:type="dxa"/>
              <w:bottom w:w="72" w:type="dxa"/>
              <w:right w:w="144" w:type="dxa"/>
            </w:tcMar>
          </w:tcPr>
          <w:p w:rsidR="00913429" w:rsidRDefault="00913429">
            <w:pPr>
              <w:spacing w:after="0" w:line="240" w:lineRule="auto"/>
              <w:rPr>
                <w:rFonts w:eastAsia="Times New Roman"/>
                <w:bCs/>
                <w:noProof/>
                <w:color w:val="000000"/>
                <w:sz w:val="18"/>
                <w:szCs w:val="18"/>
              </w:rPr>
            </w:pPr>
          </w:p>
        </w:tc>
        <w:tc>
          <w:tcPr>
            <w:tcW w:w="193" w:type="pct"/>
            <w:tcBorders>
              <w:top w:val="single" w:sz="8" w:space="0" w:color="DC6900"/>
              <w:left w:val="single" w:sz="8" w:space="0" w:color="DC6900"/>
              <w:bottom w:val="single" w:sz="8" w:space="0" w:color="DC6900"/>
              <w:right w:val="single" w:sz="8" w:space="0" w:color="DC6900"/>
            </w:tcBorders>
            <w:shd w:val="clear" w:color="auto" w:fill="auto"/>
            <w:tcMar>
              <w:top w:w="72" w:type="dxa"/>
              <w:left w:w="144" w:type="dxa"/>
              <w:bottom w:w="72" w:type="dxa"/>
              <w:right w:w="144" w:type="dxa"/>
            </w:tcMar>
          </w:tcPr>
          <w:p w:rsidR="00913429" w:rsidRDefault="00913429">
            <w:pPr>
              <w:spacing w:after="0" w:line="240" w:lineRule="auto"/>
              <w:rPr>
                <w:rFonts w:eastAsia="Times New Roman"/>
                <w:bCs/>
                <w:noProof/>
                <w:color w:val="000000"/>
                <w:sz w:val="18"/>
                <w:szCs w:val="18"/>
              </w:rPr>
            </w:pPr>
          </w:p>
        </w:tc>
        <w:tc>
          <w:tcPr>
            <w:tcW w:w="193" w:type="pct"/>
            <w:tcBorders>
              <w:top w:val="single" w:sz="8" w:space="0" w:color="DC6900"/>
              <w:left w:val="single" w:sz="8" w:space="0" w:color="DC6900"/>
              <w:bottom w:val="single" w:sz="8" w:space="0" w:color="DC6900"/>
              <w:right w:val="single" w:sz="8" w:space="0" w:color="DC6900"/>
            </w:tcBorders>
            <w:shd w:val="clear" w:color="auto" w:fill="auto"/>
            <w:tcMar>
              <w:top w:w="72" w:type="dxa"/>
              <w:left w:w="144" w:type="dxa"/>
              <w:bottom w:w="72" w:type="dxa"/>
              <w:right w:w="144" w:type="dxa"/>
            </w:tcMar>
          </w:tcPr>
          <w:p w:rsidR="00913429" w:rsidRDefault="00913429">
            <w:pPr>
              <w:spacing w:after="0" w:line="240" w:lineRule="auto"/>
              <w:rPr>
                <w:rFonts w:eastAsia="Times New Roman"/>
                <w:bCs/>
                <w:noProof/>
                <w:color w:val="000000"/>
                <w:sz w:val="18"/>
                <w:szCs w:val="18"/>
              </w:rPr>
            </w:pPr>
          </w:p>
        </w:tc>
        <w:tc>
          <w:tcPr>
            <w:tcW w:w="196" w:type="pct"/>
            <w:tcBorders>
              <w:top w:val="single" w:sz="8" w:space="0" w:color="DC6900"/>
              <w:left w:val="single" w:sz="8" w:space="0" w:color="DC6900"/>
              <w:bottom w:val="single" w:sz="8" w:space="0" w:color="DC6900"/>
              <w:right w:val="single" w:sz="8" w:space="0" w:color="DC6900"/>
            </w:tcBorders>
            <w:shd w:val="clear" w:color="auto" w:fill="auto"/>
            <w:tcMar>
              <w:top w:w="72" w:type="dxa"/>
              <w:left w:w="144" w:type="dxa"/>
              <w:bottom w:w="72" w:type="dxa"/>
              <w:right w:w="144" w:type="dxa"/>
            </w:tcMar>
          </w:tcPr>
          <w:p w:rsidR="00913429" w:rsidRDefault="00913429">
            <w:pPr>
              <w:spacing w:after="0" w:line="240" w:lineRule="auto"/>
              <w:rPr>
                <w:rFonts w:eastAsia="Times New Roman"/>
                <w:bCs/>
                <w:noProof/>
                <w:color w:val="000000"/>
                <w:sz w:val="18"/>
                <w:szCs w:val="18"/>
              </w:rPr>
            </w:pPr>
          </w:p>
        </w:tc>
        <w:tc>
          <w:tcPr>
            <w:tcW w:w="251" w:type="pct"/>
            <w:tcBorders>
              <w:top w:val="single" w:sz="8" w:space="0" w:color="DC6900"/>
              <w:left w:val="single" w:sz="8" w:space="0" w:color="DC6900"/>
              <w:bottom w:val="single" w:sz="8" w:space="0" w:color="DC6900"/>
              <w:right w:val="single" w:sz="8" w:space="0" w:color="DC6900"/>
            </w:tcBorders>
            <w:shd w:val="clear" w:color="auto" w:fill="FFF0CC"/>
            <w:vAlign w:val="center"/>
          </w:tcPr>
          <w:p w:rsidR="00913429" w:rsidRDefault="00913429">
            <w:pPr>
              <w:spacing w:after="0" w:line="240" w:lineRule="auto"/>
              <w:jc w:val="center"/>
              <w:rPr>
                <w:rFonts w:eastAsia="Times New Roman"/>
                <w:b/>
                <w:bCs/>
                <w:noProof/>
                <w:color w:val="000000"/>
                <w:sz w:val="18"/>
                <w:szCs w:val="18"/>
              </w:rPr>
            </w:pPr>
          </w:p>
        </w:tc>
        <w:tc>
          <w:tcPr>
            <w:tcW w:w="227" w:type="pct"/>
            <w:tcBorders>
              <w:top w:val="single" w:sz="8" w:space="0" w:color="DC6900"/>
              <w:left w:val="single" w:sz="8" w:space="0" w:color="DC6900"/>
              <w:bottom w:val="single" w:sz="8" w:space="0" w:color="DC6900"/>
              <w:right w:val="single" w:sz="8" w:space="0" w:color="DC6900"/>
            </w:tcBorders>
            <w:shd w:val="clear" w:color="auto" w:fill="FFF0CC"/>
            <w:vAlign w:val="center"/>
          </w:tcPr>
          <w:p w:rsidR="00913429" w:rsidRDefault="00913429">
            <w:pPr>
              <w:spacing w:after="0" w:line="240" w:lineRule="auto"/>
              <w:jc w:val="center"/>
              <w:rPr>
                <w:rFonts w:eastAsia="Times New Roman"/>
                <w:b/>
                <w:bCs/>
                <w:noProof/>
                <w:color w:val="000000"/>
                <w:sz w:val="18"/>
                <w:szCs w:val="18"/>
              </w:rPr>
            </w:pPr>
          </w:p>
        </w:tc>
        <w:tc>
          <w:tcPr>
            <w:tcW w:w="212" w:type="pct"/>
            <w:tcBorders>
              <w:top w:val="single" w:sz="8" w:space="0" w:color="DC6900"/>
              <w:left w:val="single" w:sz="8" w:space="0" w:color="DC6900"/>
              <w:bottom w:val="single" w:sz="8" w:space="0" w:color="DC6900"/>
              <w:right w:val="single" w:sz="8" w:space="0" w:color="DC6900"/>
            </w:tcBorders>
            <w:shd w:val="clear" w:color="auto" w:fill="FFF0CC"/>
            <w:vAlign w:val="center"/>
          </w:tcPr>
          <w:p w:rsidR="00913429" w:rsidRDefault="00913429">
            <w:pPr>
              <w:spacing w:after="0" w:line="240" w:lineRule="auto"/>
              <w:jc w:val="center"/>
              <w:rPr>
                <w:rFonts w:eastAsia="Times New Roman"/>
                <w:b/>
                <w:bCs/>
                <w:noProof/>
                <w:color w:val="000000"/>
                <w:sz w:val="18"/>
                <w:szCs w:val="18"/>
              </w:rPr>
            </w:pPr>
          </w:p>
        </w:tc>
        <w:tc>
          <w:tcPr>
            <w:tcW w:w="200" w:type="pct"/>
            <w:tcBorders>
              <w:top w:val="single" w:sz="8" w:space="0" w:color="DC6900"/>
              <w:left w:val="single" w:sz="8" w:space="0" w:color="DC6900"/>
              <w:bottom w:val="single" w:sz="8" w:space="0" w:color="DC6900"/>
              <w:right w:val="single" w:sz="8" w:space="0" w:color="DC6900"/>
            </w:tcBorders>
            <w:shd w:val="clear" w:color="auto" w:fill="FFF0CC"/>
            <w:vAlign w:val="center"/>
          </w:tcPr>
          <w:p w:rsidR="00913429" w:rsidRDefault="00913429">
            <w:pPr>
              <w:spacing w:after="0" w:line="240" w:lineRule="auto"/>
              <w:jc w:val="center"/>
              <w:rPr>
                <w:rFonts w:eastAsia="Times New Roman"/>
                <w:b/>
                <w:bCs/>
                <w:noProof/>
                <w:color w:val="000000"/>
                <w:sz w:val="18"/>
                <w:szCs w:val="18"/>
              </w:rPr>
            </w:pPr>
          </w:p>
        </w:tc>
        <w:tc>
          <w:tcPr>
            <w:tcW w:w="189" w:type="pct"/>
            <w:tcBorders>
              <w:top w:val="single" w:sz="8" w:space="0" w:color="DC6900"/>
              <w:left w:val="single" w:sz="8" w:space="0" w:color="DC6900"/>
              <w:bottom w:val="single" w:sz="8" w:space="0" w:color="DC6900"/>
              <w:right w:val="single" w:sz="8" w:space="0" w:color="DC6900"/>
            </w:tcBorders>
            <w:shd w:val="clear" w:color="auto" w:fill="FFF0CC"/>
          </w:tcPr>
          <w:p w:rsidR="00913429" w:rsidRDefault="00913429">
            <w:pPr>
              <w:spacing w:after="0" w:line="240" w:lineRule="auto"/>
              <w:rPr>
                <w:rFonts w:eastAsia="Times New Roman"/>
                <w:b/>
                <w:bCs/>
                <w:noProof/>
                <w:color w:val="000000"/>
                <w:sz w:val="18"/>
                <w:szCs w:val="18"/>
              </w:rPr>
            </w:pPr>
          </w:p>
        </w:tc>
        <w:tc>
          <w:tcPr>
            <w:tcW w:w="189" w:type="pct"/>
            <w:tcBorders>
              <w:top w:val="single" w:sz="8" w:space="0" w:color="DC6900"/>
              <w:left w:val="single" w:sz="8" w:space="0" w:color="DC6900"/>
              <w:bottom w:val="single" w:sz="8" w:space="0" w:color="DC6900"/>
              <w:right w:val="single" w:sz="8" w:space="0" w:color="DC6900"/>
            </w:tcBorders>
            <w:shd w:val="clear" w:color="auto" w:fill="808080"/>
          </w:tcPr>
          <w:p w:rsidR="00913429" w:rsidRDefault="00913429">
            <w:pPr>
              <w:spacing w:after="0" w:line="240" w:lineRule="auto"/>
              <w:rPr>
                <w:rFonts w:eastAsia="Times New Roman"/>
                <w:bCs/>
                <w:noProof/>
                <w:color w:val="000000"/>
                <w:sz w:val="18"/>
                <w:szCs w:val="18"/>
              </w:rPr>
            </w:pPr>
          </w:p>
        </w:tc>
        <w:tc>
          <w:tcPr>
            <w:tcW w:w="189" w:type="pct"/>
            <w:tcBorders>
              <w:top w:val="single" w:sz="8" w:space="0" w:color="DC6900"/>
              <w:left w:val="single" w:sz="8" w:space="0" w:color="DC6900"/>
              <w:bottom w:val="single" w:sz="8" w:space="0" w:color="DC6900"/>
              <w:right w:val="single" w:sz="8" w:space="0" w:color="DC6900"/>
            </w:tcBorders>
            <w:shd w:val="clear" w:color="auto" w:fill="808080"/>
          </w:tcPr>
          <w:p w:rsidR="00913429" w:rsidRDefault="00913429">
            <w:pPr>
              <w:spacing w:after="0" w:line="240" w:lineRule="auto"/>
              <w:rPr>
                <w:rFonts w:eastAsia="Times New Roman"/>
                <w:bCs/>
                <w:noProof/>
                <w:color w:val="000000"/>
                <w:sz w:val="18"/>
                <w:szCs w:val="18"/>
              </w:rPr>
            </w:pPr>
          </w:p>
        </w:tc>
        <w:tc>
          <w:tcPr>
            <w:tcW w:w="190" w:type="pct"/>
            <w:tcBorders>
              <w:top w:val="single" w:sz="8" w:space="0" w:color="DC6900"/>
              <w:left w:val="single" w:sz="8" w:space="0" w:color="DC6900"/>
              <w:bottom w:val="single" w:sz="8" w:space="0" w:color="DC6900"/>
              <w:right w:val="single" w:sz="8" w:space="0" w:color="DC6900"/>
            </w:tcBorders>
            <w:shd w:val="clear" w:color="auto" w:fill="auto"/>
          </w:tcPr>
          <w:p w:rsidR="00913429" w:rsidRDefault="00913429">
            <w:pPr>
              <w:spacing w:after="0" w:line="240" w:lineRule="auto"/>
              <w:rPr>
                <w:rFonts w:eastAsia="Times New Roman"/>
                <w:bCs/>
                <w:noProof/>
                <w:color w:val="000000"/>
                <w:sz w:val="18"/>
                <w:szCs w:val="18"/>
              </w:rPr>
            </w:pPr>
          </w:p>
        </w:tc>
        <w:tc>
          <w:tcPr>
            <w:tcW w:w="189" w:type="pct"/>
            <w:tcBorders>
              <w:top w:val="single" w:sz="8" w:space="0" w:color="DC6900"/>
              <w:left w:val="single" w:sz="8" w:space="0" w:color="DC6900"/>
              <w:bottom w:val="single" w:sz="8" w:space="0" w:color="DC6900"/>
              <w:right w:val="single" w:sz="8" w:space="0" w:color="DC6900"/>
            </w:tcBorders>
            <w:shd w:val="clear" w:color="auto" w:fill="808080"/>
          </w:tcPr>
          <w:p w:rsidR="00913429" w:rsidRDefault="00913429">
            <w:pPr>
              <w:spacing w:after="0" w:line="240" w:lineRule="auto"/>
              <w:rPr>
                <w:rFonts w:eastAsia="Times New Roman"/>
                <w:bCs/>
                <w:noProof/>
                <w:color w:val="000000"/>
                <w:sz w:val="18"/>
                <w:szCs w:val="18"/>
              </w:rPr>
            </w:pPr>
          </w:p>
        </w:tc>
        <w:tc>
          <w:tcPr>
            <w:tcW w:w="189" w:type="pct"/>
            <w:tcBorders>
              <w:top w:val="single" w:sz="8" w:space="0" w:color="DC6900"/>
              <w:left w:val="single" w:sz="8" w:space="0" w:color="DC6900"/>
              <w:bottom w:val="single" w:sz="8" w:space="0" w:color="DC6900"/>
              <w:right w:val="single" w:sz="8" w:space="0" w:color="DC6900"/>
            </w:tcBorders>
            <w:shd w:val="clear" w:color="auto" w:fill="808080"/>
          </w:tcPr>
          <w:p w:rsidR="00913429" w:rsidRDefault="00913429">
            <w:pPr>
              <w:spacing w:after="0" w:line="240" w:lineRule="auto"/>
              <w:rPr>
                <w:rFonts w:eastAsia="Times New Roman"/>
                <w:bCs/>
                <w:noProof/>
                <w:color w:val="000000"/>
                <w:sz w:val="18"/>
                <w:szCs w:val="18"/>
              </w:rPr>
            </w:pPr>
          </w:p>
        </w:tc>
        <w:tc>
          <w:tcPr>
            <w:tcW w:w="190" w:type="pct"/>
            <w:tcBorders>
              <w:top w:val="single" w:sz="8" w:space="0" w:color="DC6900"/>
              <w:left w:val="single" w:sz="8" w:space="0" w:color="DC6900"/>
              <w:bottom w:val="single" w:sz="8" w:space="0" w:color="DC6900"/>
              <w:right w:val="single" w:sz="8" w:space="0" w:color="DC6900"/>
            </w:tcBorders>
            <w:shd w:val="clear" w:color="auto" w:fill="808080"/>
          </w:tcPr>
          <w:p w:rsidR="00913429" w:rsidRDefault="00913429">
            <w:pPr>
              <w:spacing w:after="0" w:line="240" w:lineRule="auto"/>
              <w:rPr>
                <w:rFonts w:eastAsia="Times New Roman"/>
                <w:bCs/>
                <w:noProof/>
                <w:color w:val="000000"/>
                <w:sz w:val="18"/>
                <w:szCs w:val="18"/>
              </w:rPr>
            </w:pPr>
          </w:p>
        </w:tc>
        <w:tc>
          <w:tcPr>
            <w:tcW w:w="200" w:type="pct"/>
            <w:tcBorders>
              <w:top w:val="single" w:sz="8" w:space="0" w:color="DC6900"/>
              <w:left w:val="single" w:sz="8" w:space="0" w:color="DC6900"/>
              <w:bottom w:val="single" w:sz="8" w:space="0" w:color="DC6900"/>
              <w:right w:val="single" w:sz="8" w:space="0" w:color="DC6900"/>
            </w:tcBorders>
            <w:shd w:val="clear" w:color="auto" w:fill="808080"/>
            <w:tcMar>
              <w:top w:w="72" w:type="dxa"/>
              <w:left w:w="144" w:type="dxa"/>
              <w:bottom w:w="72" w:type="dxa"/>
              <w:right w:w="144" w:type="dxa"/>
            </w:tcMar>
          </w:tcPr>
          <w:p w:rsidR="00913429" w:rsidRDefault="00913429">
            <w:pPr>
              <w:spacing w:after="0" w:line="240" w:lineRule="auto"/>
              <w:rPr>
                <w:rFonts w:eastAsia="Times New Roman"/>
                <w:bCs/>
                <w:noProof/>
                <w:color w:val="000000"/>
                <w:sz w:val="18"/>
                <w:szCs w:val="18"/>
              </w:rPr>
            </w:pPr>
          </w:p>
        </w:tc>
        <w:tc>
          <w:tcPr>
            <w:tcW w:w="202" w:type="pct"/>
            <w:tcBorders>
              <w:top w:val="single" w:sz="8" w:space="0" w:color="DC6900"/>
              <w:left w:val="single" w:sz="8" w:space="0" w:color="DC6900"/>
              <w:bottom w:val="single" w:sz="8" w:space="0" w:color="DC6900"/>
              <w:right w:val="single" w:sz="8" w:space="0" w:color="DC6900"/>
            </w:tcBorders>
            <w:shd w:val="clear" w:color="auto" w:fill="808080"/>
            <w:tcMar>
              <w:top w:w="72" w:type="dxa"/>
              <w:left w:w="144" w:type="dxa"/>
              <w:bottom w:w="72" w:type="dxa"/>
              <w:right w:w="144" w:type="dxa"/>
            </w:tcMar>
          </w:tcPr>
          <w:p w:rsidR="00913429" w:rsidRDefault="00913429">
            <w:pPr>
              <w:spacing w:after="0" w:line="240" w:lineRule="auto"/>
              <w:rPr>
                <w:rFonts w:eastAsia="Times New Roman"/>
                <w:bCs/>
                <w:noProof/>
                <w:color w:val="000000"/>
                <w:sz w:val="18"/>
                <w:szCs w:val="18"/>
              </w:rPr>
            </w:pPr>
          </w:p>
        </w:tc>
        <w:tc>
          <w:tcPr>
            <w:tcW w:w="284" w:type="pct"/>
            <w:tcBorders>
              <w:top w:val="single" w:sz="8" w:space="0" w:color="DC6900"/>
              <w:left w:val="single" w:sz="8" w:space="0" w:color="DC6900"/>
              <w:bottom w:val="single" w:sz="8" w:space="0" w:color="DC6900"/>
              <w:right w:val="single" w:sz="8" w:space="0" w:color="DC6900"/>
            </w:tcBorders>
            <w:shd w:val="clear" w:color="auto" w:fill="808080"/>
            <w:tcMar>
              <w:top w:w="72" w:type="dxa"/>
              <w:left w:w="144" w:type="dxa"/>
              <w:bottom w:w="72" w:type="dxa"/>
              <w:right w:w="144" w:type="dxa"/>
            </w:tcMar>
          </w:tcPr>
          <w:p w:rsidR="00913429" w:rsidRDefault="00913429">
            <w:pPr>
              <w:spacing w:after="0" w:line="240" w:lineRule="auto"/>
              <w:rPr>
                <w:rFonts w:eastAsia="Times New Roman"/>
                <w:bCs/>
                <w:noProof/>
                <w:color w:val="000000"/>
                <w:sz w:val="18"/>
                <w:szCs w:val="18"/>
              </w:rPr>
            </w:pPr>
          </w:p>
        </w:tc>
      </w:tr>
    </w:tbl>
    <w:p w:rsidR="00913429" w:rsidRDefault="00913429">
      <w:pPr>
        <w:spacing w:line="276" w:lineRule="auto"/>
        <w:jc w:val="both"/>
        <w:rPr>
          <w:noProof/>
        </w:rPr>
      </w:pPr>
    </w:p>
    <w:p w:rsidR="00913429" w:rsidRDefault="00E143F0">
      <w:pPr>
        <w:spacing w:line="276" w:lineRule="auto"/>
        <w:jc w:val="both"/>
        <w:rPr>
          <w:bCs/>
          <w:i/>
          <w:iCs/>
          <w:noProof/>
          <w:color w:val="DC6900"/>
          <w:sz w:val="24"/>
        </w:rPr>
      </w:pPr>
      <w:r>
        <w:rPr>
          <w:bCs/>
          <w:i/>
          <w:iCs/>
          <w:noProof/>
          <w:color w:val="DC6900"/>
          <w:sz w:val="24"/>
        </w:rPr>
        <w:t>Sub-Task 2.1: Classification and analysis of the impacts of each policy option</w:t>
      </w:r>
    </w:p>
    <w:p w:rsidR="00913429" w:rsidRDefault="00E143F0">
      <w:pPr>
        <w:spacing w:after="120"/>
        <w:jc w:val="both"/>
        <w:rPr>
          <w:noProof/>
        </w:rPr>
      </w:pPr>
      <w:r>
        <w:rPr>
          <w:noProof/>
        </w:rPr>
        <w:t>As agreed with the European Commission DG Connect Team, this activity is currently drived and performed by the Commission and the Consortium is</w:t>
      </w:r>
      <w:r>
        <w:rPr>
          <w:noProof/>
        </w:rPr>
        <w:t xml:space="preserve"> supporting through the evidences gathering and an in depth analysis of the information gathered throw the interviews conducted.</w:t>
      </w:r>
    </w:p>
    <w:p w:rsidR="00913429" w:rsidRDefault="00E143F0">
      <w:pPr>
        <w:spacing w:line="276" w:lineRule="auto"/>
        <w:jc w:val="both"/>
        <w:rPr>
          <w:noProof/>
        </w:rPr>
      </w:pPr>
      <w:r>
        <w:rPr>
          <w:noProof/>
        </w:rPr>
        <w:t>Within this inception report, it has been drafted a previous potential impact analysis for each policy option identified by EC.</w:t>
      </w:r>
    </w:p>
    <w:p w:rsidR="00913429" w:rsidRDefault="00E143F0">
      <w:pPr>
        <w:spacing w:line="276" w:lineRule="auto"/>
        <w:jc w:val="both"/>
        <w:rPr>
          <w:bCs/>
          <w:i/>
          <w:iCs/>
          <w:noProof/>
          <w:color w:val="DC6900"/>
          <w:sz w:val="24"/>
        </w:rPr>
      </w:pPr>
      <w:r>
        <w:rPr>
          <w:bCs/>
          <w:i/>
          <w:iCs/>
          <w:noProof/>
          <w:color w:val="DC6900"/>
          <w:sz w:val="24"/>
        </w:rPr>
        <w:t>Sub-Task 2.2: Comparison of options and elaborating the preferred one</w:t>
      </w:r>
    </w:p>
    <w:p w:rsidR="00913429" w:rsidRDefault="00E143F0">
      <w:pPr>
        <w:jc w:val="both"/>
        <w:rPr>
          <w:noProof/>
        </w:rPr>
      </w:pPr>
      <w:r>
        <w:rPr>
          <w:noProof/>
        </w:rPr>
        <w:t xml:space="preserve">The overall objective of the comparison of options is to provide an overview of the positive and negative impacts of each policy option with regards to the objectives. This comparison, </w:t>
      </w:r>
      <w:r>
        <w:rPr>
          <w:noProof/>
        </w:rPr>
        <w:t>using a multi-criteria analysis, will help us to compare the different policy options in terms of effectiveness, efficiency and coherence concerning the delivery of the policy objectives as well as prepare evidence and recommendations for decision-making.</w:t>
      </w:r>
    </w:p>
    <w:p w:rsidR="00913429" w:rsidRDefault="00E143F0">
      <w:pPr>
        <w:spacing w:after="120"/>
        <w:jc w:val="both"/>
        <w:rPr>
          <w:noProof/>
        </w:rPr>
      </w:pPr>
      <w:r>
        <w:rPr>
          <w:noProof/>
        </w:rPr>
        <w:t>The comparison of policy options is consisting in:</w:t>
      </w:r>
    </w:p>
    <w:p w:rsidR="00913429" w:rsidRDefault="00E143F0">
      <w:pPr>
        <w:numPr>
          <w:ilvl w:val="0"/>
          <w:numId w:val="42"/>
        </w:numPr>
        <w:spacing w:after="0" w:line="259" w:lineRule="auto"/>
        <w:contextualSpacing/>
        <w:jc w:val="both"/>
        <w:rPr>
          <w:rFonts w:eastAsia="Times New Roman"/>
          <w:noProof/>
        </w:rPr>
      </w:pPr>
      <w:r>
        <w:rPr>
          <w:rFonts w:eastAsia="Times New Roman"/>
          <w:noProof/>
        </w:rPr>
        <w:t>Summarising positive and negative impacts for each policy option;</w:t>
      </w:r>
    </w:p>
    <w:p w:rsidR="00913429" w:rsidRDefault="00E143F0">
      <w:pPr>
        <w:numPr>
          <w:ilvl w:val="0"/>
          <w:numId w:val="42"/>
        </w:numPr>
        <w:spacing w:after="160" w:line="259" w:lineRule="auto"/>
        <w:contextualSpacing/>
        <w:jc w:val="both"/>
        <w:rPr>
          <w:rFonts w:eastAsia="Times New Roman"/>
          <w:noProof/>
        </w:rPr>
      </w:pPr>
      <w:r>
        <w:rPr>
          <w:rFonts w:eastAsia="Times New Roman"/>
          <w:noProof/>
        </w:rPr>
        <w:t>Comparing policy options in terms of effectiveness, efficiency and coherence according to the results of task 1;</w:t>
      </w:r>
    </w:p>
    <w:p w:rsidR="00913429" w:rsidRDefault="00E143F0">
      <w:pPr>
        <w:numPr>
          <w:ilvl w:val="0"/>
          <w:numId w:val="42"/>
        </w:numPr>
        <w:spacing w:after="160" w:line="259" w:lineRule="auto"/>
        <w:contextualSpacing/>
        <w:jc w:val="both"/>
        <w:rPr>
          <w:rFonts w:eastAsia="Times New Roman"/>
          <w:noProof/>
        </w:rPr>
      </w:pPr>
      <w:r>
        <w:rPr>
          <w:rFonts w:eastAsia="Times New Roman"/>
          <w:noProof/>
        </w:rPr>
        <w:t xml:space="preserve">Ranking the options by </w:t>
      </w:r>
      <w:r>
        <w:rPr>
          <w:rFonts w:eastAsia="Times New Roman"/>
          <w:noProof/>
        </w:rPr>
        <w:t>order of preference and recommend a preferred option.</w:t>
      </w:r>
    </w:p>
    <w:p w:rsidR="00913429" w:rsidRDefault="00913429">
      <w:pPr>
        <w:contextualSpacing/>
        <w:jc w:val="both"/>
        <w:rPr>
          <w:rFonts w:eastAsia="Times New Roman"/>
          <w:noProof/>
        </w:rPr>
      </w:pPr>
    </w:p>
    <w:p w:rsidR="00913429" w:rsidRDefault="00E143F0">
      <w:pPr>
        <w:spacing w:line="276" w:lineRule="auto"/>
        <w:jc w:val="both"/>
        <w:rPr>
          <w:bCs/>
          <w:i/>
          <w:iCs/>
          <w:noProof/>
          <w:color w:val="DC6900"/>
          <w:sz w:val="24"/>
        </w:rPr>
      </w:pPr>
      <w:r>
        <w:rPr>
          <w:bCs/>
          <w:i/>
          <w:iCs/>
          <w:noProof/>
          <w:color w:val="DC6900"/>
          <w:sz w:val="24"/>
        </w:rPr>
        <w:t>Sub-Task 2.3: Desk Research; interviews to new stakeholders; definition of three case studies</w:t>
      </w:r>
    </w:p>
    <w:p w:rsidR="00913429" w:rsidRDefault="00E143F0">
      <w:pPr>
        <w:spacing w:line="276" w:lineRule="auto"/>
        <w:jc w:val="both"/>
        <w:rPr>
          <w:noProof/>
        </w:rPr>
      </w:pPr>
      <w:r>
        <w:rPr>
          <w:noProof/>
        </w:rPr>
        <w:t>In order to gather more information to be used for the impact assessment, the Consortium has organized a se</w:t>
      </w:r>
      <w:r>
        <w:rPr>
          <w:noProof/>
        </w:rPr>
        <w:t>cond phase of direct interviews and a second online questionnaire specifically designed and structured for Critical Infrastructures (which include organizations coming from transportation, healthcare, energy, finance, telecommunication sectors). Considerin</w:t>
      </w:r>
      <w:r>
        <w:rPr>
          <w:noProof/>
        </w:rPr>
        <w:t>g that the questionnaire has been submitted at the end of July, a complete overview of the results would be consultable in the first week of September. As regards the interviews the main results have been included within the present report.</w:t>
      </w:r>
    </w:p>
    <w:p w:rsidR="00913429" w:rsidRDefault="00E143F0">
      <w:pPr>
        <w:spacing w:line="276" w:lineRule="auto"/>
        <w:jc w:val="both"/>
        <w:rPr>
          <w:noProof/>
        </w:rPr>
      </w:pPr>
      <w:r>
        <w:rPr>
          <w:noProof/>
        </w:rPr>
        <w:t>The report incl</w:t>
      </w:r>
      <w:r>
        <w:rPr>
          <w:noProof/>
        </w:rPr>
        <w:t>udes three case studies specifically defined through the interview conducted and an additional desk research. The case studies regard:</w:t>
      </w:r>
    </w:p>
    <w:p w:rsidR="00913429" w:rsidRDefault="00E143F0">
      <w:pPr>
        <w:numPr>
          <w:ilvl w:val="0"/>
          <w:numId w:val="189"/>
        </w:numPr>
        <w:spacing w:after="160" w:line="276" w:lineRule="auto"/>
        <w:contextualSpacing/>
        <w:jc w:val="both"/>
        <w:rPr>
          <w:noProof/>
        </w:rPr>
      </w:pPr>
      <w:r>
        <w:rPr>
          <w:noProof/>
        </w:rPr>
        <w:t>Smart Meters industry</w:t>
      </w:r>
    </w:p>
    <w:p w:rsidR="00913429" w:rsidRDefault="00E143F0">
      <w:pPr>
        <w:numPr>
          <w:ilvl w:val="0"/>
          <w:numId w:val="189"/>
        </w:numPr>
        <w:spacing w:after="160" w:line="276" w:lineRule="auto"/>
        <w:contextualSpacing/>
        <w:jc w:val="both"/>
        <w:rPr>
          <w:noProof/>
        </w:rPr>
      </w:pPr>
      <w:r>
        <w:rPr>
          <w:noProof/>
        </w:rPr>
        <w:t>Alarm Systems industry</w:t>
      </w:r>
    </w:p>
    <w:p w:rsidR="00913429" w:rsidRDefault="00E143F0">
      <w:pPr>
        <w:numPr>
          <w:ilvl w:val="0"/>
          <w:numId w:val="189"/>
        </w:numPr>
        <w:spacing w:after="160" w:line="259" w:lineRule="auto"/>
        <w:contextualSpacing/>
        <w:jc w:val="both"/>
        <w:rPr>
          <w:rFonts w:eastAsia="Times New Roman"/>
          <w:noProof/>
        </w:rPr>
      </w:pPr>
      <w:r>
        <w:rPr>
          <w:noProof/>
        </w:rPr>
        <w:t>Cloud Computing services</w:t>
      </w:r>
    </w:p>
    <w:p w:rsidR="00913429" w:rsidRDefault="00913429">
      <w:pPr>
        <w:spacing w:before="120" w:after="60" w:line="276" w:lineRule="auto"/>
        <w:contextualSpacing/>
        <w:rPr>
          <w:rFonts w:eastAsia="Times New Roman"/>
          <w:noProof/>
        </w:rPr>
      </w:pPr>
    </w:p>
    <w:p w:rsidR="00913429" w:rsidRDefault="00913429">
      <w:pPr>
        <w:spacing w:before="120" w:after="60" w:line="276" w:lineRule="auto"/>
        <w:ind w:left="720"/>
        <w:contextualSpacing/>
        <w:rPr>
          <w:rFonts w:eastAsia="Times New Roman"/>
          <w:noProof/>
        </w:rPr>
      </w:pPr>
    </w:p>
    <w:p w:rsidR="00913429" w:rsidRDefault="00E143F0">
      <w:pPr>
        <w:keepNext/>
        <w:keepLines/>
        <w:numPr>
          <w:ilvl w:val="2"/>
          <w:numId w:val="187"/>
        </w:numPr>
        <w:tabs>
          <w:tab w:val="left" w:pos="993"/>
        </w:tabs>
        <w:spacing w:after="120" w:line="259" w:lineRule="auto"/>
        <w:ind w:right="-23"/>
        <w:contextualSpacing/>
        <w:outlineLvl w:val="1"/>
        <w:rPr>
          <w:rFonts w:eastAsia="SimHei"/>
          <w:b/>
          <w:iCs/>
          <w:noProof/>
          <w:color w:val="DC6900"/>
          <w:sz w:val="28"/>
          <w:szCs w:val="28"/>
        </w:rPr>
      </w:pPr>
      <w:bookmarkStart w:id="46" w:name="_Toc362950928"/>
      <w:bookmarkStart w:id="47" w:name="_Toc482375234"/>
      <w:bookmarkStart w:id="48" w:name="_Toc485163960"/>
      <w:bookmarkStart w:id="49" w:name="_Toc492396555"/>
      <w:r>
        <w:rPr>
          <w:rFonts w:eastAsia="SimHei"/>
          <w:bCs/>
          <w:i/>
          <w:iCs/>
          <w:noProof/>
          <w:color w:val="DC6900"/>
          <w:sz w:val="24"/>
          <w:szCs w:val="28"/>
        </w:rPr>
        <w:t xml:space="preserve">Task 3: </w:t>
      </w:r>
      <w:bookmarkEnd w:id="46"/>
      <w:r>
        <w:rPr>
          <w:rFonts w:eastAsia="SimHei"/>
          <w:bCs/>
          <w:i/>
          <w:iCs/>
          <w:noProof/>
          <w:color w:val="DC6900"/>
          <w:sz w:val="24"/>
          <w:szCs w:val="28"/>
        </w:rPr>
        <w:t>Other specific tasks</w:t>
      </w:r>
      <w:bookmarkEnd w:id="47"/>
      <w:bookmarkEnd w:id="48"/>
      <w:bookmarkEnd w:id="49"/>
    </w:p>
    <w:p w:rsidR="00913429" w:rsidRDefault="00913429">
      <w:pPr>
        <w:spacing w:after="0"/>
        <w:jc w:val="both"/>
        <w:rPr>
          <w:noProof/>
        </w:rPr>
      </w:pPr>
    </w:p>
    <w:p w:rsidR="00913429" w:rsidRDefault="00E143F0">
      <w:pPr>
        <w:jc w:val="both"/>
        <w:rPr>
          <w:noProof/>
        </w:rPr>
      </w:pPr>
      <w:r>
        <w:rPr>
          <w:noProof/>
        </w:rPr>
        <w:t xml:space="preserve">During this Task 3 </w:t>
      </w:r>
      <w:r>
        <w:rPr>
          <w:noProof/>
        </w:rPr>
        <w:t>we have to provide additional elements/services in order to support the Commission through the following actions:</w:t>
      </w:r>
    </w:p>
    <w:p w:rsidR="00913429" w:rsidRDefault="00E143F0">
      <w:pPr>
        <w:numPr>
          <w:ilvl w:val="0"/>
          <w:numId w:val="43"/>
        </w:numPr>
        <w:spacing w:after="160" w:line="259" w:lineRule="auto"/>
        <w:contextualSpacing/>
        <w:jc w:val="both"/>
        <w:rPr>
          <w:rFonts w:eastAsia="Times New Roman"/>
          <w:noProof/>
        </w:rPr>
      </w:pPr>
      <w:r>
        <w:rPr>
          <w:rFonts w:eastAsia="Times New Roman"/>
          <w:noProof/>
        </w:rPr>
        <w:t>Provide the economic annex referred to in the Better Regulation Toolbox (Tool #8), explaining the analytical models used in preparing the impa</w:t>
      </w:r>
      <w:r>
        <w:rPr>
          <w:rFonts w:eastAsia="Times New Roman"/>
          <w:noProof/>
        </w:rPr>
        <w:t>ct assessment;</w:t>
      </w:r>
    </w:p>
    <w:p w:rsidR="00913429" w:rsidRDefault="00E143F0">
      <w:pPr>
        <w:numPr>
          <w:ilvl w:val="0"/>
          <w:numId w:val="43"/>
        </w:numPr>
        <w:spacing w:after="160" w:line="259" w:lineRule="auto"/>
        <w:contextualSpacing/>
        <w:jc w:val="both"/>
        <w:rPr>
          <w:rFonts w:eastAsia="Times New Roman"/>
          <w:noProof/>
        </w:rPr>
      </w:pPr>
      <w:r>
        <w:rPr>
          <w:rFonts w:eastAsia="Times New Roman"/>
          <w:noProof/>
        </w:rPr>
        <w:t>Assist the Commission in establishing an adequate implementation plan for the preferred policy option;</w:t>
      </w:r>
    </w:p>
    <w:p w:rsidR="00913429" w:rsidRDefault="00E143F0">
      <w:pPr>
        <w:numPr>
          <w:ilvl w:val="0"/>
          <w:numId w:val="43"/>
        </w:numPr>
        <w:spacing w:after="160" w:line="259" w:lineRule="auto"/>
        <w:contextualSpacing/>
        <w:jc w:val="both"/>
        <w:rPr>
          <w:rFonts w:eastAsia="Times New Roman"/>
          <w:noProof/>
        </w:rPr>
      </w:pPr>
      <w:r>
        <w:rPr>
          <w:rFonts w:eastAsia="Times New Roman"/>
          <w:noProof/>
        </w:rPr>
        <w:t>Assist the Commission in the elaboration of the intervention logic linking the identified problems with the problem drivers and the policy</w:t>
      </w:r>
      <w:r>
        <w:rPr>
          <w:rFonts w:eastAsia="Times New Roman"/>
          <w:noProof/>
        </w:rPr>
        <w:t xml:space="preserve"> options and in the drafting of the main charts and tables to be included in the impact assessment;</w:t>
      </w:r>
    </w:p>
    <w:p w:rsidR="00913429" w:rsidRDefault="00E143F0">
      <w:pPr>
        <w:numPr>
          <w:ilvl w:val="0"/>
          <w:numId w:val="43"/>
        </w:numPr>
        <w:spacing w:after="160" w:line="259" w:lineRule="auto"/>
        <w:contextualSpacing/>
        <w:jc w:val="both"/>
        <w:rPr>
          <w:rFonts w:eastAsia="Times New Roman"/>
          <w:noProof/>
        </w:rPr>
      </w:pPr>
      <w:r>
        <w:rPr>
          <w:rFonts w:eastAsia="Times New Roman"/>
          <w:noProof/>
        </w:rPr>
        <w:t>Support in the follow-up of the submission of the impact assessment study to the Regulatory Scrutiny Board (RSB) of the Commission (in particular in helping</w:t>
      </w:r>
      <w:r>
        <w:rPr>
          <w:rFonts w:eastAsia="Times New Roman"/>
          <w:noProof/>
        </w:rPr>
        <w:t xml:space="preserve"> to respond to questions from the RSB).</w:t>
      </w:r>
    </w:p>
    <w:p w:rsidR="00913429" w:rsidRDefault="00913429">
      <w:pPr>
        <w:spacing w:line="276" w:lineRule="auto"/>
        <w:jc w:val="both"/>
        <w:rPr>
          <w:noProof/>
        </w:rPr>
      </w:pPr>
    </w:p>
    <w:p w:rsidR="00913429" w:rsidRDefault="00E143F0">
      <w:pPr>
        <w:spacing w:line="276" w:lineRule="auto"/>
        <w:jc w:val="both"/>
        <w:rPr>
          <w:noProof/>
        </w:rPr>
      </w:pPr>
      <w:r>
        <w:rPr>
          <w:noProof/>
        </w:rPr>
        <w:t>The following sub-tasks:</w:t>
      </w:r>
    </w:p>
    <w:tbl>
      <w:tblPr>
        <w:tblStyle w:val="LightList-Accent121"/>
        <w:tblW w:w="5000" w:type="pct"/>
        <w:tblBorders>
          <w:insideH w:val="single" w:sz="8" w:space="0" w:color="F8981D"/>
        </w:tblBorders>
        <w:tblLook w:val="04A0" w:firstRow="1" w:lastRow="0" w:firstColumn="1" w:lastColumn="0" w:noHBand="0" w:noVBand="1"/>
      </w:tblPr>
      <w:tblGrid>
        <w:gridCol w:w="7289"/>
        <w:gridCol w:w="2545"/>
      </w:tblGrid>
      <w:tr w:rsidR="00913429" w:rsidTr="00913429">
        <w:trPr>
          <w:cnfStyle w:val="100000000000" w:firstRow="1" w:lastRow="0" w:firstColumn="0" w:lastColumn="0" w:oddVBand="0" w:evenVBand="0" w:oddHBand="0" w:evenHBand="0" w:firstRowFirstColumn="0" w:firstRowLastColumn="0" w:lastRowFirstColumn="0" w:lastRowLastColumn="0"/>
          <w:trHeight w:val="42"/>
        </w:trPr>
        <w:tc>
          <w:tcPr>
            <w:cnfStyle w:val="001000000000" w:firstRow="0" w:lastRow="0" w:firstColumn="1" w:lastColumn="0" w:oddVBand="0" w:evenVBand="0" w:oddHBand="0" w:evenHBand="0" w:firstRowFirstColumn="0" w:firstRowLastColumn="0" w:lastRowFirstColumn="0" w:lastRowLastColumn="0"/>
            <w:tcW w:w="3706" w:type="pct"/>
            <w:shd w:val="clear" w:color="auto" w:fill="DC6900"/>
          </w:tcPr>
          <w:p w:rsidR="00913429" w:rsidRDefault="00E143F0">
            <w:pPr>
              <w:suppressAutoHyphens/>
              <w:spacing w:after="0" w:line="240" w:lineRule="auto"/>
              <w:rPr>
                <w:noProof/>
                <w:szCs w:val="18"/>
              </w:rPr>
            </w:pPr>
            <w:r>
              <w:rPr>
                <w:noProof/>
                <w:szCs w:val="18"/>
              </w:rPr>
              <w:t>Task 3: Other specific tasks</w:t>
            </w:r>
          </w:p>
        </w:tc>
        <w:tc>
          <w:tcPr>
            <w:tcW w:w="1294" w:type="pct"/>
            <w:tcBorders>
              <w:bottom w:val="single" w:sz="8" w:space="0" w:color="DC6900"/>
            </w:tcBorders>
            <w:shd w:val="clear" w:color="auto" w:fill="DC6900"/>
          </w:tcPr>
          <w:p w:rsidR="00913429" w:rsidRDefault="00E143F0">
            <w:pPr>
              <w:suppressAutoHyphens/>
              <w:spacing w:after="0" w:line="240" w:lineRule="auto"/>
              <w:cnfStyle w:val="100000000000" w:firstRow="1" w:lastRow="0" w:firstColumn="0" w:lastColumn="0" w:oddVBand="0" w:evenVBand="0" w:oddHBand="0" w:evenHBand="0" w:firstRowFirstColumn="0" w:firstRowLastColumn="0" w:lastRowFirstColumn="0" w:lastRowLastColumn="0"/>
              <w:rPr>
                <w:noProof/>
                <w:szCs w:val="18"/>
              </w:rPr>
            </w:pPr>
            <w:r>
              <w:rPr>
                <w:noProof/>
                <w:szCs w:val="18"/>
              </w:rPr>
              <w:t>Implementation status</w:t>
            </w:r>
          </w:p>
        </w:tc>
      </w:tr>
      <w:tr w:rsidR="00913429" w:rsidTr="00913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6" w:type="pct"/>
            <w:tcBorders>
              <w:right w:val="single" w:sz="8" w:space="0" w:color="DC6900"/>
            </w:tcBorders>
          </w:tcPr>
          <w:p w:rsidR="00913429" w:rsidRDefault="00E143F0">
            <w:pPr>
              <w:spacing w:before="60" w:after="60" w:line="276" w:lineRule="auto"/>
              <w:jc w:val="both"/>
              <w:rPr>
                <w:noProof/>
                <w:szCs w:val="18"/>
              </w:rPr>
            </w:pPr>
            <w:r>
              <w:rPr>
                <w:noProof/>
                <w:szCs w:val="18"/>
              </w:rPr>
              <w:t>Sub-Task 3.1: Economic annex explaining the analytical model</w:t>
            </w:r>
          </w:p>
        </w:tc>
        <w:tc>
          <w:tcPr>
            <w:tcW w:w="1294" w:type="pct"/>
            <w:tcBorders>
              <w:top w:val="single" w:sz="8" w:space="0" w:color="DC6900"/>
              <w:left w:val="single" w:sz="8" w:space="0" w:color="DC6900"/>
              <w:bottom w:val="single" w:sz="8" w:space="0" w:color="DC6900"/>
              <w:right w:val="single" w:sz="8" w:space="0" w:color="DC6900"/>
            </w:tcBorders>
            <w:shd w:val="clear" w:color="auto" w:fill="92D050"/>
            <w:vAlign w:val="center"/>
          </w:tcPr>
          <w:p w:rsidR="00913429" w:rsidRDefault="00E143F0">
            <w:pPr>
              <w:spacing w:after="0" w:line="240" w:lineRule="auto"/>
              <w:jc w:val="center"/>
              <w:cnfStyle w:val="000000100000" w:firstRow="0" w:lastRow="0" w:firstColumn="0" w:lastColumn="0" w:oddVBand="0" w:evenVBand="0" w:oddHBand="1" w:evenHBand="0" w:firstRowFirstColumn="0" w:firstRowLastColumn="0" w:lastRowFirstColumn="0" w:lastRowLastColumn="0"/>
              <w:rPr>
                <w:b/>
                <w:noProof/>
                <w:szCs w:val="18"/>
              </w:rPr>
            </w:pPr>
            <w:r>
              <w:rPr>
                <w:b/>
                <w:noProof/>
                <w:szCs w:val="18"/>
              </w:rPr>
              <w:t>Ongoing</w:t>
            </w:r>
          </w:p>
        </w:tc>
      </w:tr>
      <w:tr w:rsidR="00913429" w:rsidTr="00913429">
        <w:tc>
          <w:tcPr>
            <w:cnfStyle w:val="001000000000" w:firstRow="0" w:lastRow="0" w:firstColumn="1" w:lastColumn="0" w:oddVBand="0" w:evenVBand="0" w:oddHBand="0" w:evenHBand="0" w:firstRowFirstColumn="0" w:firstRowLastColumn="0" w:lastRowFirstColumn="0" w:lastRowLastColumn="0"/>
            <w:tcW w:w="3706" w:type="pct"/>
            <w:tcBorders>
              <w:right w:val="single" w:sz="8" w:space="0" w:color="DC6900"/>
            </w:tcBorders>
          </w:tcPr>
          <w:p w:rsidR="00913429" w:rsidRDefault="00E143F0">
            <w:pPr>
              <w:spacing w:before="60" w:after="60" w:line="276" w:lineRule="auto"/>
              <w:jc w:val="both"/>
              <w:rPr>
                <w:noProof/>
                <w:szCs w:val="18"/>
              </w:rPr>
            </w:pPr>
            <w:r>
              <w:rPr>
                <w:noProof/>
                <w:szCs w:val="18"/>
              </w:rPr>
              <w:t xml:space="preserve">Sub-Task 3.2: Support in answering to specific requests coming from </w:t>
            </w:r>
            <w:r>
              <w:rPr>
                <w:noProof/>
                <w:szCs w:val="18"/>
              </w:rPr>
              <w:t>the Board</w:t>
            </w:r>
          </w:p>
        </w:tc>
        <w:tc>
          <w:tcPr>
            <w:tcW w:w="1294" w:type="pct"/>
            <w:tcBorders>
              <w:top w:val="single" w:sz="8" w:space="0" w:color="DC6900"/>
              <w:left w:val="single" w:sz="8" w:space="0" w:color="DC6900"/>
              <w:bottom w:val="single" w:sz="8" w:space="0" w:color="DC6900"/>
              <w:right w:val="single" w:sz="8" w:space="0" w:color="DC6900"/>
            </w:tcBorders>
            <w:shd w:val="clear" w:color="auto" w:fill="92D050"/>
            <w:vAlign w:val="center"/>
          </w:tcPr>
          <w:p w:rsidR="00913429" w:rsidRDefault="00E143F0">
            <w:pPr>
              <w:spacing w:after="0" w:line="240" w:lineRule="auto"/>
              <w:jc w:val="center"/>
              <w:cnfStyle w:val="000000000000" w:firstRow="0" w:lastRow="0" w:firstColumn="0" w:lastColumn="0" w:oddVBand="0" w:evenVBand="0" w:oddHBand="0" w:evenHBand="0" w:firstRowFirstColumn="0" w:firstRowLastColumn="0" w:lastRowFirstColumn="0" w:lastRowLastColumn="0"/>
              <w:rPr>
                <w:b/>
                <w:noProof/>
                <w:szCs w:val="18"/>
              </w:rPr>
            </w:pPr>
            <w:r>
              <w:rPr>
                <w:b/>
                <w:noProof/>
                <w:szCs w:val="18"/>
              </w:rPr>
              <w:t>Closed</w:t>
            </w:r>
          </w:p>
        </w:tc>
      </w:tr>
      <w:tr w:rsidR="00913429" w:rsidTr="00913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6" w:type="pct"/>
            <w:tcBorders>
              <w:top w:val="none" w:sz="0" w:space="0" w:color="auto"/>
              <w:left w:val="none" w:sz="0" w:space="0" w:color="auto"/>
              <w:bottom w:val="none" w:sz="0" w:space="0" w:color="auto"/>
              <w:right w:val="single" w:sz="8" w:space="0" w:color="DC6900"/>
            </w:tcBorders>
          </w:tcPr>
          <w:p w:rsidR="00913429" w:rsidRDefault="00E143F0">
            <w:pPr>
              <w:spacing w:before="60" w:after="60" w:line="276" w:lineRule="auto"/>
              <w:jc w:val="both"/>
              <w:rPr>
                <w:noProof/>
                <w:szCs w:val="18"/>
              </w:rPr>
            </w:pPr>
            <w:r>
              <w:rPr>
                <w:noProof/>
                <w:szCs w:val="18"/>
              </w:rPr>
              <w:t>Sub-Task 3.3: Elaboration of the intervention logic</w:t>
            </w:r>
          </w:p>
        </w:tc>
        <w:tc>
          <w:tcPr>
            <w:tcW w:w="1294" w:type="pct"/>
            <w:tcBorders>
              <w:top w:val="single" w:sz="8" w:space="0" w:color="DC6900"/>
              <w:left w:val="single" w:sz="8" w:space="0" w:color="DC6900"/>
              <w:bottom w:val="single" w:sz="8" w:space="0" w:color="DC6900"/>
              <w:right w:val="single" w:sz="8" w:space="0" w:color="DC6900"/>
            </w:tcBorders>
            <w:shd w:val="clear" w:color="auto" w:fill="92D050"/>
            <w:vAlign w:val="center"/>
          </w:tcPr>
          <w:p w:rsidR="00913429" w:rsidRDefault="00E143F0">
            <w:pPr>
              <w:spacing w:after="0" w:line="240" w:lineRule="auto"/>
              <w:jc w:val="center"/>
              <w:cnfStyle w:val="000000100000" w:firstRow="0" w:lastRow="0" w:firstColumn="0" w:lastColumn="0" w:oddVBand="0" w:evenVBand="0" w:oddHBand="1" w:evenHBand="0" w:firstRowFirstColumn="0" w:firstRowLastColumn="0" w:lastRowFirstColumn="0" w:lastRowLastColumn="0"/>
              <w:rPr>
                <w:b/>
                <w:noProof/>
                <w:szCs w:val="18"/>
              </w:rPr>
            </w:pPr>
            <w:r>
              <w:rPr>
                <w:b/>
                <w:noProof/>
                <w:szCs w:val="18"/>
              </w:rPr>
              <w:t>Closed</w:t>
            </w:r>
          </w:p>
        </w:tc>
      </w:tr>
      <w:tr w:rsidR="00913429" w:rsidTr="00913429">
        <w:tc>
          <w:tcPr>
            <w:cnfStyle w:val="001000000000" w:firstRow="0" w:lastRow="0" w:firstColumn="1" w:lastColumn="0" w:oddVBand="0" w:evenVBand="0" w:oddHBand="0" w:evenHBand="0" w:firstRowFirstColumn="0" w:firstRowLastColumn="0" w:lastRowFirstColumn="0" w:lastRowLastColumn="0"/>
            <w:tcW w:w="3706" w:type="pct"/>
            <w:tcBorders>
              <w:right w:val="single" w:sz="8" w:space="0" w:color="DC6900"/>
            </w:tcBorders>
          </w:tcPr>
          <w:p w:rsidR="00913429" w:rsidRDefault="00E143F0">
            <w:pPr>
              <w:spacing w:before="60" w:after="60" w:line="276" w:lineRule="auto"/>
              <w:jc w:val="both"/>
              <w:rPr>
                <w:noProof/>
                <w:szCs w:val="18"/>
              </w:rPr>
            </w:pPr>
            <w:r>
              <w:rPr>
                <w:noProof/>
                <w:szCs w:val="18"/>
              </w:rPr>
              <w:t>Sub-Task 3.4: Follow-up of the submission of the IA to the RSB</w:t>
            </w:r>
          </w:p>
        </w:tc>
        <w:tc>
          <w:tcPr>
            <w:tcW w:w="1294" w:type="pct"/>
            <w:tcBorders>
              <w:top w:val="single" w:sz="8" w:space="0" w:color="DC6900"/>
              <w:left w:val="single" w:sz="8" w:space="0" w:color="DC6900"/>
              <w:bottom w:val="single" w:sz="8" w:space="0" w:color="DC6900"/>
              <w:right w:val="single" w:sz="8" w:space="0" w:color="DC6900"/>
            </w:tcBorders>
            <w:shd w:val="clear" w:color="auto" w:fill="92D050"/>
            <w:vAlign w:val="center"/>
          </w:tcPr>
          <w:p w:rsidR="00913429" w:rsidRDefault="00E143F0">
            <w:pPr>
              <w:spacing w:after="0" w:line="240" w:lineRule="auto"/>
              <w:jc w:val="center"/>
              <w:cnfStyle w:val="000000000000" w:firstRow="0" w:lastRow="0" w:firstColumn="0" w:lastColumn="0" w:oddVBand="0" w:evenVBand="0" w:oddHBand="0" w:evenHBand="0" w:firstRowFirstColumn="0" w:firstRowLastColumn="0" w:lastRowFirstColumn="0" w:lastRowLastColumn="0"/>
              <w:rPr>
                <w:b/>
                <w:noProof/>
                <w:szCs w:val="18"/>
              </w:rPr>
            </w:pPr>
            <w:r>
              <w:rPr>
                <w:b/>
                <w:noProof/>
                <w:szCs w:val="18"/>
              </w:rPr>
              <w:t>Ongoing</w:t>
            </w:r>
          </w:p>
        </w:tc>
      </w:tr>
    </w:tbl>
    <w:p w:rsidR="00913429" w:rsidRDefault="00913429">
      <w:pPr>
        <w:spacing w:after="0" w:line="276" w:lineRule="auto"/>
        <w:jc w:val="both"/>
        <w:rPr>
          <w:noProof/>
        </w:rPr>
      </w:pPr>
    </w:p>
    <w:p w:rsidR="00913429" w:rsidRDefault="00E143F0">
      <w:pPr>
        <w:spacing w:line="276" w:lineRule="auto"/>
        <w:jc w:val="both"/>
        <w:rPr>
          <w:noProof/>
        </w:rPr>
      </w:pPr>
      <w:r>
        <w:rPr>
          <w:noProof/>
        </w:rPr>
        <w:t xml:space="preserve">Here below the implementation timetable, referring specifically to project Task 3, dedicated to </w:t>
      </w:r>
      <w:r>
        <w:rPr>
          <w:noProof/>
        </w:rPr>
        <w:t>additional elements/services aimed at supporting and assisting the European Commission:</w:t>
      </w:r>
    </w:p>
    <w:p w:rsidR="00913429" w:rsidRDefault="00E143F0">
      <w:pPr>
        <w:keepNext/>
        <w:tabs>
          <w:tab w:val="left" w:pos="8908"/>
        </w:tabs>
        <w:spacing w:after="120" w:line="240" w:lineRule="auto"/>
        <w:ind w:right="-23"/>
        <w:jc w:val="both"/>
        <w:rPr>
          <w:rFonts w:eastAsia="Times New Roman"/>
          <w:b/>
          <w:i/>
          <w:noProof/>
          <w:color w:val="D06F1A"/>
        </w:rPr>
      </w:pPr>
      <w:r>
        <w:rPr>
          <w:rFonts w:eastAsia="Times New Roman"/>
          <w:b/>
          <w:i/>
          <w:noProof/>
          <w:color w:val="D06F1A"/>
        </w:rPr>
        <w:t>Task 3 Timetable – 15 Weeks</w:t>
      </w:r>
    </w:p>
    <w:tbl>
      <w:tblPr>
        <w:tblW w:w="4946" w:type="pct"/>
        <w:tblCellMar>
          <w:left w:w="0" w:type="dxa"/>
          <w:right w:w="0" w:type="dxa"/>
        </w:tblCellMar>
        <w:tblLook w:val="0420" w:firstRow="1" w:lastRow="0" w:firstColumn="0" w:lastColumn="0" w:noHBand="0" w:noVBand="1"/>
      </w:tblPr>
      <w:tblGrid>
        <w:gridCol w:w="396"/>
        <w:gridCol w:w="953"/>
        <w:gridCol w:w="349"/>
        <w:gridCol w:w="255"/>
        <w:gridCol w:w="297"/>
        <w:gridCol w:w="301"/>
        <w:gridCol w:w="308"/>
        <w:gridCol w:w="307"/>
        <w:gridCol w:w="255"/>
        <w:gridCol w:w="266"/>
        <w:gridCol w:w="266"/>
        <w:gridCol w:w="268"/>
        <w:gridCol w:w="266"/>
        <w:gridCol w:w="266"/>
        <w:gridCol w:w="268"/>
        <w:gridCol w:w="270"/>
        <w:gridCol w:w="270"/>
        <w:gridCol w:w="270"/>
        <w:gridCol w:w="276"/>
        <w:gridCol w:w="280"/>
        <w:gridCol w:w="372"/>
        <w:gridCol w:w="318"/>
        <w:gridCol w:w="318"/>
        <w:gridCol w:w="318"/>
        <w:gridCol w:w="318"/>
        <w:gridCol w:w="318"/>
        <w:gridCol w:w="318"/>
        <w:gridCol w:w="318"/>
        <w:gridCol w:w="318"/>
        <w:gridCol w:w="277"/>
      </w:tblGrid>
      <w:tr w:rsidR="00913429">
        <w:trPr>
          <w:trHeight w:val="20"/>
        </w:trPr>
        <w:tc>
          <w:tcPr>
            <w:tcW w:w="207" w:type="pct"/>
            <w:vMerge w:val="restart"/>
            <w:tcBorders>
              <w:top w:val="single" w:sz="8" w:space="0" w:color="FFFFFF"/>
              <w:left w:val="single" w:sz="8" w:space="0" w:color="DC6900"/>
              <w:right w:val="single" w:sz="8" w:space="0" w:color="DC6900"/>
            </w:tcBorders>
            <w:shd w:val="clear" w:color="auto" w:fill="A32020"/>
            <w:tcMar>
              <w:top w:w="72" w:type="dxa"/>
              <w:left w:w="57" w:type="dxa"/>
              <w:bottom w:w="72" w:type="dxa"/>
              <w:right w:w="57" w:type="dxa"/>
            </w:tcMar>
            <w:vAlign w:val="center"/>
          </w:tcPr>
          <w:p w:rsidR="00913429" w:rsidRDefault="00E143F0">
            <w:pPr>
              <w:spacing w:after="0" w:line="240" w:lineRule="auto"/>
              <w:jc w:val="center"/>
              <w:rPr>
                <w:rFonts w:eastAsia="Times New Roman"/>
                <w:bCs/>
                <w:noProof/>
                <w:color w:val="FFFFFF"/>
                <w:sz w:val="12"/>
                <w:szCs w:val="18"/>
              </w:rPr>
            </w:pPr>
            <w:r>
              <w:rPr>
                <w:rFonts w:eastAsia="Times New Roman"/>
                <w:bCs/>
                <w:noProof/>
                <w:color w:val="FFFFFF"/>
                <w:sz w:val="12"/>
                <w:szCs w:val="18"/>
              </w:rPr>
              <w:t>Sub-Task</w:t>
            </w:r>
          </w:p>
        </w:tc>
        <w:tc>
          <w:tcPr>
            <w:tcW w:w="498" w:type="pct"/>
            <w:vMerge w:val="restart"/>
            <w:tcBorders>
              <w:top w:val="single" w:sz="8" w:space="0" w:color="FFFFFF"/>
              <w:left w:val="single" w:sz="8" w:space="0" w:color="DC6900"/>
              <w:right w:val="single" w:sz="8" w:space="0" w:color="FFFFFF"/>
            </w:tcBorders>
            <w:shd w:val="clear" w:color="auto" w:fill="A32020"/>
            <w:tcMar>
              <w:top w:w="72" w:type="dxa"/>
              <w:left w:w="144" w:type="dxa"/>
              <w:bottom w:w="72" w:type="dxa"/>
              <w:right w:w="144" w:type="dxa"/>
            </w:tcMar>
            <w:vAlign w:val="center"/>
          </w:tcPr>
          <w:p w:rsidR="00913429" w:rsidRDefault="00E143F0">
            <w:pPr>
              <w:spacing w:after="0" w:line="240" w:lineRule="auto"/>
              <w:jc w:val="center"/>
              <w:rPr>
                <w:rFonts w:eastAsia="Times New Roman"/>
                <w:bCs/>
                <w:noProof/>
                <w:color w:val="FFFFFF"/>
                <w:sz w:val="12"/>
                <w:szCs w:val="16"/>
              </w:rPr>
            </w:pPr>
            <w:r>
              <w:rPr>
                <w:rFonts w:eastAsia="Times New Roman"/>
                <w:bCs/>
                <w:noProof/>
                <w:color w:val="FFFFFF"/>
                <w:sz w:val="12"/>
                <w:szCs w:val="16"/>
              </w:rPr>
              <w:t>Description</w:t>
            </w:r>
          </w:p>
        </w:tc>
        <w:tc>
          <w:tcPr>
            <w:tcW w:w="182" w:type="pct"/>
            <w:tcBorders>
              <w:top w:val="single" w:sz="8" w:space="0" w:color="FFFFFF"/>
              <w:left w:val="single" w:sz="8" w:space="0" w:color="FFFFFF"/>
              <w:bottom w:val="single" w:sz="8" w:space="0" w:color="FFFFFF"/>
              <w:right w:val="single" w:sz="8" w:space="0" w:color="FFFFFF"/>
            </w:tcBorders>
            <w:shd w:val="clear" w:color="auto" w:fill="DC6900"/>
            <w:tcMar>
              <w:top w:w="72" w:type="dxa"/>
              <w:left w:w="57" w:type="dxa"/>
              <w:bottom w:w="72" w:type="dxa"/>
              <w:right w:w="57" w:type="dxa"/>
            </w:tcMar>
            <w:vAlign w:val="center"/>
          </w:tcPr>
          <w:p w:rsidR="00913429" w:rsidRDefault="00E143F0">
            <w:pPr>
              <w:spacing w:after="0" w:line="240" w:lineRule="auto"/>
              <w:jc w:val="center"/>
              <w:rPr>
                <w:rFonts w:eastAsia="Times New Roman"/>
                <w:bCs/>
                <w:noProof/>
                <w:color w:val="FFFFFF"/>
                <w:sz w:val="12"/>
                <w:szCs w:val="16"/>
              </w:rPr>
            </w:pPr>
            <w:r>
              <w:rPr>
                <w:rFonts w:eastAsia="Times New Roman"/>
                <w:bCs/>
                <w:noProof/>
                <w:color w:val="FFFFFF"/>
                <w:sz w:val="12"/>
                <w:szCs w:val="16"/>
              </w:rPr>
              <w:t>May</w:t>
            </w:r>
          </w:p>
        </w:tc>
        <w:tc>
          <w:tcPr>
            <w:tcW w:w="606" w:type="pct"/>
            <w:gridSpan w:val="4"/>
            <w:tcBorders>
              <w:top w:val="single" w:sz="8" w:space="0" w:color="FFFFFF"/>
              <w:left w:val="single" w:sz="8" w:space="0" w:color="FFFFFF"/>
              <w:bottom w:val="single" w:sz="8" w:space="0" w:color="FFFFFF"/>
              <w:right w:val="single" w:sz="8" w:space="0" w:color="FFFFFF"/>
            </w:tcBorders>
            <w:shd w:val="clear" w:color="auto" w:fill="DC6900"/>
            <w:vAlign w:val="center"/>
          </w:tcPr>
          <w:p w:rsidR="00913429" w:rsidRDefault="00E143F0">
            <w:pPr>
              <w:spacing w:after="0" w:line="240" w:lineRule="auto"/>
              <w:jc w:val="center"/>
              <w:rPr>
                <w:rFonts w:eastAsia="Times New Roman"/>
                <w:bCs/>
                <w:noProof/>
                <w:color w:val="FFFFFF"/>
                <w:sz w:val="12"/>
                <w:szCs w:val="16"/>
              </w:rPr>
            </w:pPr>
            <w:r>
              <w:rPr>
                <w:rFonts w:eastAsia="Times New Roman"/>
                <w:bCs/>
                <w:noProof/>
                <w:color w:val="FFFFFF"/>
                <w:sz w:val="12"/>
                <w:szCs w:val="16"/>
              </w:rPr>
              <w:t>June</w:t>
            </w:r>
          </w:p>
        </w:tc>
        <w:tc>
          <w:tcPr>
            <w:tcW w:w="569" w:type="pct"/>
            <w:gridSpan w:val="4"/>
            <w:tcBorders>
              <w:top w:val="single" w:sz="8" w:space="0" w:color="FFFFFF"/>
              <w:left w:val="single" w:sz="8" w:space="0" w:color="FFFFFF"/>
              <w:bottom w:val="single" w:sz="8" w:space="0" w:color="FFFFFF"/>
              <w:right w:val="single" w:sz="8" w:space="0" w:color="FFFFFF"/>
            </w:tcBorders>
            <w:shd w:val="clear" w:color="auto" w:fill="DC6900"/>
            <w:tcMar>
              <w:top w:w="72" w:type="dxa"/>
              <w:left w:w="57" w:type="dxa"/>
              <w:bottom w:w="72" w:type="dxa"/>
              <w:right w:w="57" w:type="dxa"/>
            </w:tcMar>
            <w:vAlign w:val="center"/>
          </w:tcPr>
          <w:p w:rsidR="00913429" w:rsidRDefault="00E143F0">
            <w:pPr>
              <w:spacing w:after="0" w:line="240" w:lineRule="auto"/>
              <w:jc w:val="center"/>
              <w:rPr>
                <w:rFonts w:eastAsia="Times New Roman"/>
                <w:bCs/>
                <w:noProof/>
                <w:color w:val="FFFFFF"/>
                <w:sz w:val="12"/>
                <w:szCs w:val="16"/>
              </w:rPr>
            </w:pPr>
            <w:r>
              <w:rPr>
                <w:rFonts w:eastAsia="Times New Roman"/>
                <w:bCs/>
                <w:noProof/>
                <w:color w:val="FFFFFF"/>
                <w:sz w:val="12"/>
                <w:szCs w:val="16"/>
              </w:rPr>
              <w:t>July</w:t>
            </w:r>
          </w:p>
        </w:tc>
        <w:tc>
          <w:tcPr>
            <w:tcW w:w="558" w:type="pct"/>
            <w:gridSpan w:val="4"/>
            <w:tcBorders>
              <w:top w:val="single" w:sz="8" w:space="0" w:color="FFFFFF"/>
              <w:left w:val="single" w:sz="8" w:space="0" w:color="FFFFFF"/>
              <w:bottom w:val="single" w:sz="8" w:space="0" w:color="FFFFFF"/>
              <w:right w:val="single" w:sz="8" w:space="0" w:color="FFFFFF"/>
            </w:tcBorders>
            <w:shd w:val="clear" w:color="auto" w:fill="DC6900"/>
            <w:vAlign w:val="center"/>
          </w:tcPr>
          <w:p w:rsidR="00913429" w:rsidRDefault="00E143F0">
            <w:pPr>
              <w:spacing w:after="0" w:line="240" w:lineRule="auto"/>
              <w:jc w:val="center"/>
              <w:rPr>
                <w:rFonts w:eastAsia="Times New Roman"/>
                <w:bCs/>
                <w:noProof/>
                <w:color w:val="FFFFFF"/>
                <w:sz w:val="12"/>
                <w:szCs w:val="16"/>
              </w:rPr>
            </w:pPr>
            <w:r>
              <w:rPr>
                <w:rFonts w:eastAsia="Times New Roman"/>
                <w:bCs/>
                <w:noProof/>
                <w:color w:val="FFFFFF"/>
                <w:sz w:val="12"/>
                <w:szCs w:val="16"/>
              </w:rPr>
              <w:t>August</w:t>
            </w:r>
          </w:p>
        </w:tc>
        <w:tc>
          <w:tcPr>
            <w:tcW w:w="567" w:type="pct"/>
            <w:gridSpan w:val="4"/>
            <w:tcBorders>
              <w:top w:val="single" w:sz="8" w:space="0" w:color="FFFFFF"/>
              <w:left w:val="single" w:sz="8" w:space="0" w:color="FFFFFF"/>
              <w:bottom w:val="single" w:sz="8" w:space="0" w:color="FFFFFF"/>
              <w:right w:val="single" w:sz="8" w:space="0" w:color="FFFFFF"/>
            </w:tcBorders>
            <w:shd w:val="clear" w:color="auto" w:fill="DC6900"/>
            <w:vAlign w:val="center"/>
          </w:tcPr>
          <w:p w:rsidR="00913429" w:rsidRDefault="00E143F0">
            <w:pPr>
              <w:spacing w:after="0" w:line="240" w:lineRule="auto"/>
              <w:jc w:val="center"/>
              <w:rPr>
                <w:rFonts w:eastAsia="Times New Roman"/>
                <w:bCs/>
                <w:noProof/>
                <w:color w:val="FFFFFF"/>
                <w:sz w:val="12"/>
                <w:szCs w:val="16"/>
              </w:rPr>
            </w:pPr>
            <w:r>
              <w:rPr>
                <w:rFonts w:eastAsia="Times New Roman"/>
                <w:bCs/>
                <w:noProof/>
                <w:color w:val="FFFFFF"/>
                <w:sz w:val="12"/>
                <w:szCs w:val="16"/>
              </w:rPr>
              <w:t>September</w:t>
            </w:r>
          </w:p>
        </w:tc>
        <w:tc>
          <w:tcPr>
            <w:tcW w:w="672" w:type="pct"/>
            <w:gridSpan w:val="4"/>
            <w:tcBorders>
              <w:top w:val="single" w:sz="8" w:space="0" w:color="FFFFFF"/>
              <w:left w:val="single" w:sz="8" w:space="0" w:color="FFFFFF"/>
              <w:bottom w:val="single" w:sz="8" w:space="0" w:color="FFFFFF"/>
              <w:right w:val="single" w:sz="8" w:space="0" w:color="FFFFFF"/>
            </w:tcBorders>
            <w:shd w:val="clear" w:color="auto" w:fill="DC6900"/>
            <w:vAlign w:val="center"/>
          </w:tcPr>
          <w:p w:rsidR="00913429" w:rsidRDefault="00E143F0">
            <w:pPr>
              <w:spacing w:after="0" w:line="240" w:lineRule="auto"/>
              <w:jc w:val="center"/>
              <w:rPr>
                <w:rFonts w:eastAsia="Times New Roman"/>
                <w:bCs/>
                <w:noProof/>
                <w:color w:val="FFFFFF"/>
                <w:sz w:val="12"/>
                <w:szCs w:val="16"/>
              </w:rPr>
            </w:pPr>
            <w:r>
              <w:rPr>
                <w:rFonts w:eastAsia="Times New Roman"/>
                <w:bCs/>
                <w:noProof/>
                <w:color w:val="FFFFFF"/>
                <w:sz w:val="12"/>
                <w:szCs w:val="16"/>
              </w:rPr>
              <w:t>October</w:t>
            </w:r>
          </w:p>
        </w:tc>
        <w:tc>
          <w:tcPr>
            <w:tcW w:w="664" w:type="pct"/>
            <w:gridSpan w:val="4"/>
            <w:tcBorders>
              <w:top w:val="single" w:sz="8" w:space="0" w:color="FFFFFF"/>
              <w:left w:val="single" w:sz="8" w:space="0" w:color="FFFFFF"/>
              <w:bottom w:val="single" w:sz="8" w:space="0" w:color="FFFFFF"/>
              <w:right w:val="single" w:sz="8" w:space="0" w:color="FFFFFF"/>
            </w:tcBorders>
            <w:shd w:val="clear" w:color="auto" w:fill="DC6900"/>
            <w:vAlign w:val="center"/>
          </w:tcPr>
          <w:p w:rsidR="00913429" w:rsidRDefault="00E143F0">
            <w:pPr>
              <w:spacing w:after="0" w:line="240" w:lineRule="auto"/>
              <w:jc w:val="center"/>
              <w:rPr>
                <w:rFonts w:eastAsia="Times New Roman"/>
                <w:bCs/>
                <w:noProof/>
                <w:color w:val="FFFFFF"/>
                <w:sz w:val="12"/>
                <w:szCs w:val="16"/>
              </w:rPr>
            </w:pPr>
            <w:r>
              <w:rPr>
                <w:rFonts w:eastAsia="Times New Roman"/>
                <w:bCs/>
                <w:noProof/>
                <w:color w:val="FFFFFF"/>
                <w:sz w:val="12"/>
                <w:szCs w:val="16"/>
              </w:rPr>
              <w:t>November</w:t>
            </w:r>
          </w:p>
        </w:tc>
        <w:tc>
          <w:tcPr>
            <w:tcW w:w="478" w:type="pct"/>
            <w:gridSpan w:val="3"/>
            <w:tcBorders>
              <w:top w:val="single" w:sz="8" w:space="0" w:color="FFFFFF"/>
              <w:left w:val="single" w:sz="8" w:space="0" w:color="FFFFFF"/>
              <w:bottom w:val="single" w:sz="8" w:space="0" w:color="FFFFFF"/>
              <w:right w:val="single" w:sz="8" w:space="0" w:color="FFFFFF"/>
            </w:tcBorders>
            <w:shd w:val="clear" w:color="auto" w:fill="DC6900"/>
            <w:vAlign w:val="center"/>
          </w:tcPr>
          <w:p w:rsidR="00913429" w:rsidRDefault="00E143F0">
            <w:pPr>
              <w:spacing w:after="0" w:line="240" w:lineRule="auto"/>
              <w:jc w:val="center"/>
              <w:rPr>
                <w:rFonts w:eastAsia="Times New Roman"/>
                <w:bCs/>
                <w:noProof/>
                <w:color w:val="FFFFFF"/>
                <w:sz w:val="12"/>
                <w:szCs w:val="16"/>
              </w:rPr>
            </w:pPr>
            <w:r>
              <w:rPr>
                <w:rFonts w:eastAsia="Times New Roman"/>
                <w:bCs/>
                <w:noProof/>
                <w:color w:val="FFFFFF"/>
                <w:sz w:val="12"/>
                <w:szCs w:val="16"/>
              </w:rPr>
              <w:t>December</w:t>
            </w:r>
          </w:p>
        </w:tc>
      </w:tr>
      <w:tr w:rsidR="00913429">
        <w:trPr>
          <w:trHeight w:val="20"/>
        </w:trPr>
        <w:tc>
          <w:tcPr>
            <w:tcW w:w="207" w:type="pct"/>
            <w:vMerge/>
            <w:tcBorders>
              <w:left w:val="single" w:sz="8" w:space="0" w:color="DC6900"/>
              <w:bottom w:val="single" w:sz="18" w:space="0" w:color="DC6900"/>
              <w:right w:val="single" w:sz="8" w:space="0" w:color="DC6900"/>
            </w:tcBorders>
            <w:shd w:val="clear" w:color="auto" w:fill="A32020"/>
            <w:tcMar>
              <w:top w:w="72" w:type="dxa"/>
              <w:left w:w="57" w:type="dxa"/>
              <w:bottom w:w="72" w:type="dxa"/>
              <w:right w:w="57" w:type="dxa"/>
            </w:tcMar>
            <w:vAlign w:val="center"/>
            <w:hideMark/>
          </w:tcPr>
          <w:p w:rsidR="00913429" w:rsidRDefault="00913429">
            <w:pPr>
              <w:spacing w:after="0" w:line="240" w:lineRule="auto"/>
              <w:jc w:val="center"/>
              <w:rPr>
                <w:rFonts w:eastAsia="Times New Roman"/>
                <w:bCs/>
                <w:noProof/>
                <w:color w:val="FFFFFF"/>
                <w:sz w:val="12"/>
                <w:szCs w:val="18"/>
              </w:rPr>
            </w:pPr>
          </w:p>
        </w:tc>
        <w:tc>
          <w:tcPr>
            <w:tcW w:w="498" w:type="pct"/>
            <w:vMerge/>
            <w:tcBorders>
              <w:left w:val="single" w:sz="8" w:space="0" w:color="DC6900"/>
              <w:bottom w:val="single" w:sz="18" w:space="0" w:color="DC6900"/>
              <w:right w:val="single" w:sz="8" w:space="0" w:color="FFFFFF"/>
            </w:tcBorders>
            <w:shd w:val="clear" w:color="auto" w:fill="A32020"/>
            <w:tcMar>
              <w:top w:w="72" w:type="dxa"/>
              <w:left w:w="144" w:type="dxa"/>
              <w:bottom w:w="72" w:type="dxa"/>
              <w:right w:w="144" w:type="dxa"/>
            </w:tcMar>
            <w:vAlign w:val="center"/>
            <w:hideMark/>
          </w:tcPr>
          <w:p w:rsidR="00913429" w:rsidRDefault="00913429">
            <w:pPr>
              <w:spacing w:after="0" w:line="240" w:lineRule="auto"/>
              <w:jc w:val="center"/>
              <w:rPr>
                <w:rFonts w:eastAsia="Times New Roman"/>
                <w:bCs/>
                <w:noProof/>
                <w:color w:val="FFFFFF"/>
                <w:sz w:val="12"/>
                <w:szCs w:val="16"/>
              </w:rPr>
            </w:pPr>
          </w:p>
        </w:tc>
        <w:tc>
          <w:tcPr>
            <w:tcW w:w="182" w:type="pct"/>
            <w:tcBorders>
              <w:top w:val="single" w:sz="8" w:space="0" w:color="FFFFFF"/>
              <w:left w:val="single" w:sz="8" w:space="0" w:color="FFFFFF"/>
              <w:bottom w:val="single" w:sz="8" w:space="0" w:color="FFFFFF"/>
              <w:right w:val="single" w:sz="8" w:space="0" w:color="FFFFFF"/>
            </w:tcBorders>
            <w:shd w:val="clear" w:color="auto" w:fill="DC6900"/>
            <w:tcMar>
              <w:top w:w="72" w:type="dxa"/>
              <w:left w:w="57" w:type="dxa"/>
              <w:bottom w:w="72" w:type="dxa"/>
              <w:right w:w="57" w:type="dxa"/>
            </w:tcMar>
            <w:vAlign w:val="center"/>
            <w:hideMark/>
          </w:tcPr>
          <w:p w:rsidR="00913429" w:rsidRDefault="00E143F0">
            <w:pPr>
              <w:spacing w:after="0" w:line="240" w:lineRule="auto"/>
              <w:jc w:val="center"/>
              <w:rPr>
                <w:rFonts w:eastAsia="Times New Roman"/>
                <w:bCs/>
                <w:noProof/>
                <w:color w:val="FFFFFF"/>
                <w:sz w:val="12"/>
                <w:szCs w:val="16"/>
              </w:rPr>
            </w:pPr>
            <w:r>
              <w:rPr>
                <w:rFonts w:eastAsia="Times New Roman"/>
                <w:bCs/>
                <w:noProof/>
                <w:color w:val="FFFFFF"/>
                <w:sz w:val="12"/>
                <w:szCs w:val="16"/>
              </w:rPr>
              <w:t>W3</w:t>
            </w:r>
          </w:p>
        </w:tc>
        <w:tc>
          <w:tcPr>
            <w:tcW w:w="133" w:type="pct"/>
            <w:tcBorders>
              <w:top w:val="single" w:sz="8" w:space="0" w:color="FFFFFF"/>
              <w:left w:val="single" w:sz="8" w:space="0" w:color="FFFFFF"/>
              <w:bottom w:val="single" w:sz="8" w:space="0" w:color="FFFFFF"/>
              <w:right w:val="single" w:sz="8" w:space="0" w:color="FFFFFF"/>
            </w:tcBorders>
            <w:shd w:val="clear" w:color="auto" w:fill="DC6900"/>
            <w:vAlign w:val="center"/>
          </w:tcPr>
          <w:p w:rsidR="00913429" w:rsidRDefault="00E143F0">
            <w:pPr>
              <w:spacing w:after="0" w:line="240" w:lineRule="auto"/>
              <w:jc w:val="center"/>
              <w:rPr>
                <w:rFonts w:eastAsia="Times New Roman"/>
                <w:bCs/>
                <w:noProof/>
                <w:color w:val="FFFFFF"/>
                <w:sz w:val="12"/>
                <w:szCs w:val="16"/>
              </w:rPr>
            </w:pPr>
            <w:r>
              <w:rPr>
                <w:rFonts w:eastAsia="Times New Roman"/>
                <w:bCs/>
                <w:noProof/>
                <w:color w:val="FFFFFF"/>
                <w:sz w:val="12"/>
                <w:szCs w:val="16"/>
              </w:rPr>
              <w:t>W4</w:t>
            </w:r>
          </w:p>
        </w:tc>
        <w:tc>
          <w:tcPr>
            <w:tcW w:w="155" w:type="pct"/>
            <w:tcBorders>
              <w:top w:val="single" w:sz="8" w:space="0" w:color="FFFFFF"/>
              <w:left w:val="single" w:sz="8" w:space="0" w:color="FFFFFF"/>
              <w:bottom w:val="single" w:sz="8" w:space="0" w:color="FFFFFF"/>
              <w:right w:val="single" w:sz="8" w:space="0" w:color="FFFFFF"/>
            </w:tcBorders>
            <w:shd w:val="clear" w:color="auto" w:fill="DC6900"/>
            <w:tcMar>
              <w:top w:w="72" w:type="dxa"/>
              <w:left w:w="57" w:type="dxa"/>
              <w:bottom w:w="72" w:type="dxa"/>
              <w:right w:w="57" w:type="dxa"/>
            </w:tcMar>
            <w:vAlign w:val="center"/>
            <w:hideMark/>
          </w:tcPr>
          <w:p w:rsidR="00913429" w:rsidRDefault="00E143F0">
            <w:pPr>
              <w:spacing w:after="0" w:line="240" w:lineRule="auto"/>
              <w:jc w:val="center"/>
              <w:rPr>
                <w:rFonts w:eastAsia="Times New Roman"/>
                <w:bCs/>
                <w:noProof/>
                <w:color w:val="FFFFFF"/>
                <w:sz w:val="12"/>
                <w:szCs w:val="16"/>
              </w:rPr>
            </w:pPr>
            <w:r>
              <w:rPr>
                <w:rFonts w:eastAsia="Times New Roman"/>
                <w:bCs/>
                <w:noProof/>
                <w:color w:val="FFFFFF"/>
                <w:sz w:val="12"/>
                <w:szCs w:val="16"/>
              </w:rPr>
              <w:t>W5</w:t>
            </w:r>
          </w:p>
        </w:tc>
        <w:tc>
          <w:tcPr>
            <w:tcW w:w="157" w:type="pct"/>
            <w:tcBorders>
              <w:top w:val="single" w:sz="8" w:space="0" w:color="FFFFFF"/>
              <w:left w:val="single" w:sz="8" w:space="0" w:color="FFFFFF"/>
              <w:bottom w:val="single" w:sz="8" w:space="0" w:color="FFFFFF"/>
              <w:right w:val="single" w:sz="8" w:space="0" w:color="FFFFFF"/>
            </w:tcBorders>
            <w:shd w:val="clear" w:color="auto" w:fill="DC6900"/>
            <w:tcMar>
              <w:top w:w="72" w:type="dxa"/>
              <w:left w:w="57" w:type="dxa"/>
              <w:bottom w:w="72" w:type="dxa"/>
              <w:right w:w="57" w:type="dxa"/>
            </w:tcMar>
            <w:vAlign w:val="center"/>
            <w:hideMark/>
          </w:tcPr>
          <w:p w:rsidR="00913429" w:rsidRDefault="00E143F0">
            <w:pPr>
              <w:spacing w:after="0" w:line="240" w:lineRule="auto"/>
              <w:jc w:val="center"/>
              <w:rPr>
                <w:rFonts w:eastAsia="Times New Roman"/>
                <w:bCs/>
                <w:noProof/>
                <w:color w:val="FFFFFF"/>
                <w:sz w:val="12"/>
                <w:szCs w:val="16"/>
              </w:rPr>
            </w:pPr>
            <w:r>
              <w:rPr>
                <w:rFonts w:eastAsia="Times New Roman"/>
                <w:bCs/>
                <w:noProof/>
                <w:color w:val="FFFFFF"/>
                <w:sz w:val="12"/>
                <w:szCs w:val="16"/>
              </w:rPr>
              <w:t>W6</w:t>
            </w:r>
          </w:p>
        </w:tc>
        <w:tc>
          <w:tcPr>
            <w:tcW w:w="161" w:type="pct"/>
            <w:tcBorders>
              <w:top w:val="single" w:sz="8" w:space="0" w:color="FFFFFF"/>
              <w:left w:val="single" w:sz="8" w:space="0" w:color="FFFFFF"/>
              <w:bottom w:val="single" w:sz="8" w:space="0" w:color="FFFFFF"/>
              <w:right w:val="single" w:sz="8" w:space="0" w:color="FFFFFF"/>
            </w:tcBorders>
            <w:shd w:val="clear" w:color="auto" w:fill="DC6900"/>
            <w:tcMar>
              <w:top w:w="72" w:type="dxa"/>
              <w:left w:w="57" w:type="dxa"/>
              <w:bottom w:w="72" w:type="dxa"/>
              <w:right w:w="57" w:type="dxa"/>
            </w:tcMar>
            <w:vAlign w:val="center"/>
            <w:hideMark/>
          </w:tcPr>
          <w:p w:rsidR="00913429" w:rsidRDefault="00E143F0">
            <w:pPr>
              <w:spacing w:after="0" w:line="240" w:lineRule="auto"/>
              <w:jc w:val="center"/>
              <w:rPr>
                <w:rFonts w:eastAsia="Times New Roman"/>
                <w:bCs/>
                <w:noProof/>
                <w:color w:val="FFFFFF"/>
                <w:sz w:val="12"/>
                <w:szCs w:val="16"/>
              </w:rPr>
            </w:pPr>
            <w:r>
              <w:rPr>
                <w:rFonts w:eastAsia="Times New Roman"/>
                <w:bCs/>
                <w:noProof/>
                <w:color w:val="FFFFFF"/>
                <w:sz w:val="12"/>
                <w:szCs w:val="16"/>
              </w:rPr>
              <w:t>W7</w:t>
            </w:r>
          </w:p>
        </w:tc>
        <w:tc>
          <w:tcPr>
            <w:tcW w:w="160" w:type="pct"/>
            <w:tcBorders>
              <w:top w:val="single" w:sz="8" w:space="0" w:color="FFFFFF"/>
              <w:left w:val="single" w:sz="8" w:space="0" w:color="FFFFFF"/>
              <w:bottom w:val="single" w:sz="8" w:space="0" w:color="FFFFFF"/>
              <w:right w:val="single" w:sz="8" w:space="0" w:color="FFFFFF"/>
            </w:tcBorders>
            <w:shd w:val="clear" w:color="auto" w:fill="DC6900"/>
            <w:tcMar>
              <w:top w:w="72" w:type="dxa"/>
              <w:left w:w="57" w:type="dxa"/>
              <w:bottom w:w="72" w:type="dxa"/>
              <w:right w:w="57" w:type="dxa"/>
            </w:tcMar>
            <w:vAlign w:val="center"/>
            <w:hideMark/>
          </w:tcPr>
          <w:p w:rsidR="00913429" w:rsidRDefault="00E143F0">
            <w:pPr>
              <w:spacing w:after="0" w:line="240" w:lineRule="auto"/>
              <w:jc w:val="center"/>
              <w:rPr>
                <w:rFonts w:eastAsia="Times New Roman"/>
                <w:bCs/>
                <w:noProof/>
                <w:color w:val="FFFFFF"/>
                <w:sz w:val="12"/>
                <w:szCs w:val="16"/>
              </w:rPr>
            </w:pPr>
            <w:r>
              <w:rPr>
                <w:rFonts w:eastAsia="Times New Roman"/>
                <w:bCs/>
                <w:noProof/>
                <w:color w:val="FFFFFF"/>
                <w:sz w:val="12"/>
                <w:szCs w:val="16"/>
              </w:rPr>
              <w:t>W8</w:t>
            </w:r>
          </w:p>
        </w:tc>
        <w:tc>
          <w:tcPr>
            <w:tcW w:w="133" w:type="pct"/>
            <w:tcBorders>
              <w:top w:val="single" w:sz="8" w:space="0" w:color="FFFFFF"/>
              <w:left w:val="single" w:sz="8" w:space="0" w:color="FFFFFF"/>
              <w:bottom w:val="single" w:sz="8" w:space="0" w:color="FFFFFF"/>
              <w:right w:val="single" w:sz="8" w:space="0" w:color="FFFFFF"/>
            </w:tcBorders>
            <w:shd w:val="clear" w:color="auto" w:fill="DC6900"/>
            <w:vAlign w:val="center"/>
          </w:tcPr>
          <w:p w:rsidR="00913429" w:rsidRDefault="00E143F0">
            <w:pPr>
              <w:spacing w:after="0" w:line="240" w:lineRule="auto"/>
              <w:jc w:val="center"/>
              <w:rPr>
                <w:rFonts w:eastAsia="Times New Roman"/>
                <w:bCs/>
                <w:noProof/>
                <w:color w:val="FFFFFF"/>
                <w:sz w:val="12"/>
                <w:szCs w:val="16"/>
              </w:rPr>
            </w:pPr>
            <w:r>
              <w:rPr>
                <w:rFonts w:eastAsia="Times New Roman"/>
                <w:bCs/>
                <w:noProof/>
                <w:color w:val="FFFFFF"/>
                <w:sz w:val="12"/>
                <w:szCs w:val="16"/>
              </w:rPr>
              <w:t>W9</w:t>
            </w:r>
          </w:p>
        </w:tc>
        <w:tc>
          <w:tcPr>
            <w:tcW w:w="139" w:type="pct"/>
            <w:tcBorders>
              <w:top w:val="single" w:sz="8" w:space="0" w:color="FFFFFF"/>
              <w:left w:val="single" w:sz="8" w:space="0" w:color="FFFFFF"/>
              <w:bottom w:val="single" w:sz="8" w:space="0" w:color="FFFFFF"/>
              <w:right w:val="single" w:sz="8" w:space="0" w:color="FFFFFF"/>
            </w:tcBorders>
            <w:shd w:val="clear" w:color="auto" w:fill="DC6900"/>
            <w:vAlign w:val="center"/>
          </w:tcPr>
          <w:p w:rsidR="00913429" w:rsidRDefault="00E143F0">
            <w:pPr>
              <w:spacing w:after="0" w:line="240" w:lineRule="auto"/>
              <w:jc w:val="center"/>
              <w:rPr>
                <w:rFonts w:eastAsia="Times New Roman"/>
                <w:bCs/>
                <w:noProof/>
                <w:color w:val="FFFFFF"/>
                <w:sz w:val="12"/>
                <w:szCs w:val="16"/>
              </w:rPr>
            </w:pPr>
            <w:r>
              <w:rPr>
                <w:rFonts w:eastAsia="Times New Roman"/>
                <w:bCs/>
                <w:noProof/>
                <w:color w:val="FFFFFF"/>
                <w:sz w:val="12"/>
                <w:szCs w:val="16"/>
              </w:rPr>
              <w:t>W10</w:t>
            </w:r>
          </w:p>
        </w:tc>
        <w:tc>
          <w:tcPr>
            <w:tcW w:w="139" w:type="pct"/>
            <w:tcBorders>
              <w:top w:val="single" w:sz="8" w:space="0" w:color="FFFFFF"/>
              <w:left w:val="single" w:sz="8" w:space="0" w:color="FFFFFF"/>
              <w:bottom w:val="single" w:sz="8" w:space="0" w:color="FFFFFF"/>
              <w:right w:val="single" w:sz="8" w:space="0" w:color="FFFFFF"/>
            </w:tcBorders>
            <w:shd w:val="clear" w:color="auto" w:fill="DC6900"/>
            <w:vAlign w:val="center"/>
          </w:tcPr>
          <w:p w:rsidR="00913429" w:rsidRDefault="00E143F0">
            <w:pPr>
              <w:spacing w:after="0" w:line="240" w:lineRule="auto"/>
              <w:jc w:val="center"/>
              <w:rPr>
                <w:rFonts w:eastAsia="Times New Roman"/>
                <w:bCs/>
                <w:noProof/>
                <w:color w:val="FFFFFF"/>
                <w:sz w:val="12"/>
                <w:szCs w:val="16"/>
              </w:rPr>
            </w:pPr>
            <w:r>
              <w:rPr>
                <w:rFonts w:eastAsia="Times New Roman"/>
                <w:bCs/>
                <w:noProof/>
                <w:color w:val="FFFFFF"/>
                <w:sz w:val="12"/>
                <w:szCs w:val="16"/>
              </w:rPr>
              <w:t>W11</w:t>
            </w:r>
          </w:p>
        </w:tc>
        <w:tc>
          <w:tcPr>
            <w:tcW w:w="140" w:type="pct"/>
            <w:tcBorders>
              <w:top w:val="single" w:sz="8" w:space="0" w:color="FFFFFF"/>
              <w:left w:val="single" w:sz="8" w:space="0" w:color="FFFFFF"/>
              <w:bottom w:val="single" w:sz="8" w:space="0" w:color="FFFFFF"/>
              <w:right w:val="single" w:sz="8" w:space="0" w:color="FFFFFF"/>
            </w:tcBorders>
            <w:shd w:val="clear" w:color="auto" w:fill="DC6900"/>
            <w:vAlign w:val="center"/>
          </w:tcPr>
          <w:p w:rsidR="00913429" w:rsidRDefault="00E143F0">
            <w:pPr>
              <w:spacing w:after="0" w:line="240" w:lineRule="auto"/>
              <w:jc w:val="center"/>
              <w:rPr>
                <w:rFonts w:eastAsia="Times New Roman"/>
                <w:bCs/>
                <w:noProof/>
                <w:color w:val="FFFFFF"/>
                <w:sz w:val="12"/>
                <w:szCs w:val="16"/>
              </w:rPr>
            </w:pPr>
            <w:r>
              <w:rPr>
                <w:rFonts w:eastAsia="Times New Roman"/>
                <w:bCs/>
                <w:noProof/>
                <w:color w:val="FFFFFF"/>
                <w:sz w:val="12"/>
                <w:szCs w:val="16"/>
              </w:rPr>
              <w:t>W12</w:t>
            </w:r>
          </w:p>
        </w:tc>
        <w:tc>
          <w:tcPr>
            <w:tcW w:w="139" w:type="pct"/>
            <w:tcBorders>
              <w:top w:val="single" w:sz="8" w:space="0" w:color="FFFFFF"/>
              <w:left w:val="single" w:sz="8" w:space="0" w:color="FFFFFF"/>
              <w:bottom w:val="single" w:sz="8" w:space="0" w:color="FFFFFF"/>
              <w:right w:val="single" w:sz="8" w:space="0" w:color="FFFFFF"/>
            </w:tcBorders>
            <w:shd w:val="clear" w:color="auto" w:fill="DC6900"/>
            <w:vAlign w:val="center"/>
          </w:tcPr>
          <w:p w:rsidR="00913429" w:rsidRDefault="00E143F0">
            <w:pPr>
              <w:spacing w:after="0" w:line="240" w:lineRule="auto"/>
              <w:jc w:val="center"/>
              <w:rPr>
                <w:rFonts w:eastAsia="Times New Roman"/>
                <w:bCs/>
                <w:noProof/>
                <w:color w:val="FFFFFF"/>
                <w:sz w:val="12"/>
                <w:szCs w:val="16"/>
              </w:rPr>
            </w:pPr>
            <w:r>
              <w:rPr>
                <w:rFonts w:eastAsia="Times New Roman"/>
                <w:bCs/>
                <w:noProof/>
                <w:color w:val="FFFFFF"/>
                <w:sz w:val="12"/>
                <w:szCs w:val="16"/>
              </w:rPr>
              <w:t>W13</w:t>
            </w:r>
          </w:p>
        </w:tc>
        <w:tc>
          <w:tcPr>
            <w:tcW w:w="139" w:type="pct"/>
            <w:tcBorders>
              <w:top w:val="single" w:sz="8" w:space="0" w:color="FFFFFF"/>
              <w:left w:val="single" w:sz="8" w:space="0" w:color="FFFFFF"/>
              <w:bottom w:val="single" w:sz="8" w:space="0" w:color="FFFFFF"/>
              <w:right w:val="single" w:sz="8" w:space="0" w:color="FFFFFF"/>
            </w:tcBorders>
            <w:shd w:val="clear" w:color="auto" w:fill="DC6900"/>
            <w:vAlign w:val="center"/>
          </w:tcPr>
          <w:p w:rsidR="00913429" w:rsidRDefault="00E143F0">
            <w:pPr>
              <w:spacing w:after="0" w:line="240" w:lineRule="auto"/>
              <w:jc w:val="center"/>
              <w:rPr>
                <w:rFonts w:eastAsia="Times New Roman"/>
                <w:bCs/>
                <w:noProof/>
                <w:color w:val="FFFFFF"/>
                <w:sz w:val="12"/>
                <w:szCs w:val="16"/>
              </w:rPr>
            </w:pPr>
            <w:r>
              <w:rPr>
                <w:rFonts w:eastAsia="Times New Roman"/>
                <w:bCs/>
                <w:noProof/>
                <w:color w:val="FFFFFF"/>
                <w:sz w:val="12"/>
                <w:szCs w:val="16"/>
              </w:rPr>
              <w:t>W14</w:t>
            </w:r>
          </w:p>
        </w:tc>
        <w:tc>
          <w:tcPr>
            <w:tcW w:w="140" w:type="pct"/>
            <w:tcBorders>
              <w:top w:val="single" w:sz="8" w:space="0" w:color="FFFFFF"/>
              <w:left w:val="single" w:sz="8" w:space="0" w:color="FFFFFF"/>
              <w:bottom w:val="single" w:sz="8" w:space="0" w:color="FFFFFF"/>
              <w:right w:val="single" w:sz="8" w:space="0" w:color="FFFFFF"/>
            </w:tcBorders>
            <w:shd w:val="clear" w:color="auto" w:fill="DC6900"/>
            <w:vAlign w:val="center"/>
          </w:tcPr>
          <w:p w:rsidR="00913429" w:rsidRDefault="00E143F0">
            <w:pPr>
              <w:spacing w:after="0" w:line="240" w:lineRule="auto"/>
              <w:jc w:val="center"/>
              <w:rPr>
                <w:rFonts w:eastAsia="Times New Roman"/>
                <w:bCs/>
                <w:noProof/>
                <w:color w:val="FFFFFF"/>
                <w:sz w:val="12"/>
                <w:szCs w:val="16"/>
              </w:rPr>
            </w:pPr>
            <w:r>
              <w:rPr>
                <w:rFonts w:eastAsia="Times New Roman"/>
                <w:bCs/>
                <w:noProof/>
                <w:color w:val="FFFFFF"/>
                <w:sz w:val="12"/>
                <w:szCs w:val="16"/>
              </w:rPr>
              <w:t>W15</w:t>
            </w:r>
          </w:p>
        </w:tc>
        <w:tc>
          <w:tcPr>
            <w:tcW w:w="141" w:type="pct"/>
            <w:tcBorders>
              <w:top w:val="single" w:sz="8" w:space="0" w:color="FFFFFF"/>
              <w:left w:val="single" w:sz="8" w:space="0" w:color="FFFFFF"/>
              <w:bottom w:val="single" w:sz="8" w:space="0" w:color="FFFFFF"/>
              <w:right w:val="single" w:sz="8" w:space="0" w:color="FFFFFF"/>
            </w:tcBorders>
            <w:shd w:val="clear" w:color="auto" w:fill="DC6900"/>
            <w:vAlign w:val="center"/>
          </w:tcPr>
          <w:p w:rsidR="00913429" w:rsidRDefault="00E143F0">
            <w:pPr>
              <w:spacing w:after="0" w:line="240" w:lineRule="auto"/>
              <w:jc w:val="center"/>
              <w:rPr>
                <w:rFonts w:eastAsia="Times New Roman"/>
                <w:bCs/>
                <w:noProof/>
                <w:color w:val="FFFFFF"/>
                <w:sz w:val="12"/>
                <w:szCs w:val="16"/>
              </w:rPr>
            </w:pPr>
            <w:r>
              <w:rPr>
                <w:rFonts w:eastAsia="Times New Roman"/>
                <w:bCs/>
                <w:noProof/>
                <w:color w:val="FFFFFF"/>
                <w:sz w:val="12"/>
                <w:szCs w:val="16"/>
              </w:rPr>
              <w:t>W16</w:t>
            </w:r>
          </w:p>
        </w:tc>
        <w:tc>
          <w:tcPr>
            <w:tcW w:w="141" w:type="pct"/>
            <w:tcBorders>
              <w:top w:val="single" w:sz="8" w:space="0" w:color="FFFFFF"/>
              <w:left w:val="single" w:sz="8" w:space="0" w:color="FFFFFF"/>
              <w:bottom w:val="single" w:sz="8" w:space="0" w:color="FFFFFF"/>
              <w:right w:val="single" w:sz="8" w:space="0" w:color="FFFFFF"/>
            </w:tcBorders>
            <w:shd w:val="clear" w:color="auto" w:fill="DC6900"/>
            <w:vAlign w:val="center"/>
          </w:tcPr>
          <w:p w:rsidR="00913429" w:rsidRDefault="00E143F0">
            <w:pPr>
              <w:spacing w:after="0" w:line="240" w:lineRule="auto"/>
              <w:jc w:val="center"/>
              <w:rPr>
                <w:rFonts w:eastAsia="Times New Roman"/>
                <w:bCs/>
                <w:noProof/>
                <w:color w:val="FFFFFF"/>
                <w:sz w:val="12"/>
                <w:szCs w:val="16"/>
              </w:rPr>
            </w:pPr>
            <w:r>
              <w:rPr>
                <w:rFonts w:eastAsia="Times New Roman"/>
                <w:bCs/>
                <w:noProof/>
                <w:color w:val="FFFFFF"/>
                <w:sz w:val="12"/>
                <w:szCs w:val="16"/>
              </w:rPr>
              <w:t>W17</w:t>
            </w:r>
          </w:p>
        </w:tc>
        <w:tc>
          <w:tcPr>
            <w:tcW w:w="141" w:type="pct"/>
            <w:tcBorders>
              <w:top w:val="single" w:sz="8" w:space="0" w:color="FFFFFF"/>
              <w:left w:val="single" w:sz="8" w:space="0" w:color="FFFFFF"/>
              <w:bottom w:val="single" w:sz="8" w:space="0" w:color="FFFFFF"/>
              <w:right w:val="single" w:sz="8" w:space="0" w:color="FFFFFF"/>
            </w:tcBorders>
            <w:shd w:val="clear" w:color="auto" w:fill="DC6900"/>
            <w:vAlign w:val="center"/>
          </w:tcPr>
          <w:p w:rsidR="00913429" w:rsidRDefault="00E143F0">
            <w:pPr>
              <w:spacing w:after="0" w:line="240" w:lineRule="auto"/>
              <w:jc w:val="center"/>
              <w:rPr>
                <w:rFonts w:eastAsia="Times New Roman"/>
                <w:bCs/>
                <w:noProof/>
                <w:color w:val="FFFFFF"/>
                <w:sz w:val="12"/>
                <w:szCs w:val="16"/>
              </w:rPr>
            </w:pPr>
            <w:r>
              <w:rPr>
                <w:rFonts w:eastAsia="Times New Roman"/>
                <w:bCs/>
                <w:noProof/>
                <w:color w:val="FFFFFF"/>
                <w:sz w:val="12"/>
                <w:szCs w:val="16"/>
              </w:rPr>
              <w:t>W18</w:t>
            </w:r>
          </w:p>
        </w:tc>
        <w:tc>
          <w:tcPr>
            <w:tcW w:w="143" w:type="pct"/>
            <w:tcBorders>
              <w:top w:val="single" w:sz="8" w:space="0" w:color="FFFFFF"/>
              <w:left w:val="single" w:sz="8" w:space="0" w:color="FFFFFF"/>
              <w:bottom w:val="single" w:sz="8" w:space="0" w:color="FFFFFF"/>
              <w:right w:val="single" w:sz="8" w:space="0" w:color="FFFFFF"/>
            </w:tcBorders>
            <w:shd w:val="clear" w:color="auto" w:fill="DC6900"/>
            <w:vAlign w:val="center"/>
          </w:tcPr>
          <w:p w:rsidR="00913429" w:rsidRDefault="00E143F0">
            <w:pPr>
              <w:spacing w:after="0" w:line="240" w:lineRule="auto"/>
              <w:jc w:val="center"/>
              <w:rPr>
                <w:rFonts w:eastAsia="Times New Roman"/>
                <w:bCs/>
                <w:noProof/>
                <w:color w:val="FFFFFF"/>
                <w:sz w:val="12"/>
                <w:szCs w:val="16"/>
              </w:rPr>
            </w:pPr>
            <w:r>
              <w:rPr>
                <w:rFonts w:eastAsia="Times New Roman"/>
                <w:bCs/>
                <w:noProof/>
                <w:color w:val="FFFFFF"/>
                <w:sz w:val="12"/>
                <w:szCs w:val="16"/>
              </w:rPr>
              <w:t>W19</w:t>
            </w:r>
          </w:p>
        </w:tc>
        <w:tc>
          <w:tcPr>
            <w:tcW w:w="146" w:type="pct"/>
            <w:tcBorders>
              <w:top w:val="single" w:sz="8" w:space="0" w:color="FFFFFF"/>
              <w:left w:val="single" w:sz="8" w:space="0" w:color="FFFFFF"/>
              <w:bottom w:val="single" w:sz="8" w:space="0" w:color="FFFFFF"/>
              <w:right w:val="single" w:sz="8" w:space="0" w:color="FFFFFF"/>
            </w:tcBorders>
            <w:shd w:val="clear" w:color="auto" w:fill="DC6900"/>
            <w:vAlign w:val="center"/>
          </w:tcPr>
          <w:p w:rsidR="00913429" w:rsidRDefault="00E143F0">
            <w:pPr>
              <w:spacing w:after="0" w:line="240" w:lineRule="auto"/>
              <w:jc w:val="center"/>
              <w:rPr>
                <w:rFonts w:eastAsia="Times New Roman"/>
                <w:bCs/>
                <w:noProof/>
                <w:color w:val="FFFFFF"/>
                <w:sz w:val="12"/>
                <w:szCs w:val="16"/>
              </w:rPr>
            </w:pPr>
            <w:r>
              <w:rPr>
                <w:rFonts w:eastAsia="Times New Roman"/>
                <w:bCs/>
                <w:noProof/>
                <w:color w:val="FFFFFF"/>
                <w:sz w:val="12"/>
                <w:szCs w:val="16"/>
              </w:rPr>
              <w:t>W20</w:t>
            </w:r>
          </w:p>
        </w:tc>
        <w:tc>
          <w:tcPr>
            <w:tcW w:w="194" w:type="pct"/>
            <w:tcBorders>
              <w:top w:val="single" w:sz="8" w:space="0" w:color="FFFFFF"/>
              <w:left w:val="single" w:sz="8" w:space="0" w:color="FFFFFF"/>
              <w:bottom w:val="single" w:sz="8" w:space="0" w:color="FFFFFF"/>
              <w:right w:val="single" w:sz="8" w:space="0" w:color="FFFFFF"/>
            </w:tcBorders>
            <w:shd w:val="clear" w:color="auto" w:fill="DC6900"/>
            <w:tcMar>
              <w:top w:w="72" w:type="dxa"/>
              <w:left w:w="57" w:type="dxa"/>
              <w:bottom w:w="72" w:type="dxa"/>
              <w:right w:w="57" w:type="dxa"/>
            </w:tcMar>
            <w:vAlign w:val="center"/>
            <w:hideMark/>
          </w:tcPr>
          <w:p w:rsidR="00913429" w:rsidRDefault="00E143F0">
            <w:pPr>
              <w:spacing w:after="0" w:line="240" w:lineRule="auto"/>
              <w:jc w:val="center"/>
              <w:rPr>
                <w:rFonts w:eastAsia="Times New Roman"/>
                <w:bCs/>
                <w:noProof/>
                <w:color w:val="FFFFFF"/>
                <w:sz w:val="12"/>
                <w:szCs w:val="16"/>
              </w:rPr>
            </w:pPr>
            <w:r>
              <w:rPr>
                <w:rFonts w:eastAsia="Times New Roman"/>
                <w:bCs/>
                <w:noProof/>
                <w:color w:val="FFFFFF"/>
                <w:sz w:val="12"/>
                <w:szCs w:val="16"/>
              </w:rPr>
              <w:t>W21</w:t>
            </w:r>
          </w:p>
        </w:tc>
        <w:tc>
          <w:tcPr>
            <w:tcW w:w="166" w:type="pct"/>
            <w:tcBorders>
              <w:top w:val="single" w:sz="8" w:space="0" w:color="FFFFFF"/>
              <w:left w:val="single" w:sz="8" w:space="0" w:color="FFFFFF"/>
              <w:bottom w:val="single" w:sz="8" w:space="0" w:color="FFFFFF"/>
              <w:right w:val="single" w:sz="8" w:space="0" w:color="FFFFFF"/>
            </w:tcBorders>
            <w:shd w:val="clear" w:color="auto" w:fill="DC6900"/>
            <w:vAlign w:val="center"/>
          </w:tcPr>
          <w:p w:rsidR="00913429" w:rsidRDefault="00E143F0">
            <w:pPr>
              <w:spacing w:after="0" w:line="240" w:lineRule="auto"/>
              <w:jc w:val="center"/>
              <w:rPr>
                <w:rFonts w:eastAsia="Times New Roman"/>
                <w:bCs/>
                <w:noProof/>
                <w:color w:val="FFFFFF"/>
                <w:sz w:val="12"/>
                <w:szCs w:val="16"/>
              </w:rPr>
            </w:pPr>
            <w:r>
              <w:rPr>
                <w:rFonts w:eastAsia="Times New Roman"/>
                <w:bCs/>
                <w:noProof/>
                <w:color w:val="FFFFFF"/>
                <w:sz w:val="12"/>
                <w:szCs w:val="16"/>
              </w:rPr>
              <w:t>W22</w:t>
            </w:r>
          </w:p>
        </w:tc>
        <w:tc>
          <w:tcPr>
            <w:tcW w:w="166" w:type="pct"/>
            <w:tcBorders>
              <w:top w:val="single" w:sz="8" w:space="0" w:color="FFFFFF"/>
              <w:left w:val="single" w:sz="8" w:space="0" w:color="FFFFFF"/>
              <w:bottom w:val="single" w:sz="8" w:space="0" w:color="FFFFFF"/>
              <w:right w:val="single" w:sz="8" w:space="0" w:color="FFFFFF"/>
            </w:tcBorders>
            <w:shd w:val="clear" w:color="auto" w:fill="DC6900"/>
            <w:vAlign w:val="center"/>
          </w:tcPr>
          <w:p w:rsidR="00913429" w:rsidRDefault="00E143F0">
            <w:pPr>
              <w:spacing w:after="0" w:line="240" w:lineRule="auto"/>
              <w:jc w:val="center"/>
              <w:rPr>
                <w:rFonts w:eastAsia="Times New Roman"/>
                <w:bCs/>
                <w:noProof/>
                <w:color w:val="FFFFFF"/>
                <w:sz w:val="12"/>
                <w:szCs w:val="16"/>
              </w:rPr>
            </w:pPr>
            <w:r>
              <w:rPr>
                <w:rFonts w:eastAsia="Times New Roman"/>
                <w:bCs/>
                <w:noProof/>
                <w:color w:val="FFFFFF"/>
                <w:sz w:val="12"/>
                <w:szCs w:val="16"/>
              </w:rPr>
              <w:t>W23</w:t>
            </w:r>
          </w:p>
        </w:tc>
        <w:tc>
          <w:tcPr>
            <w:tcW w:w="166" w:type="pct"/>
            <w:tcBorders>
              <w:top w:val="single" w:sz="8" w:space="0" w:color="FFFFFF"/>
              <w:left w:val="single" w:sz="8" w:space="0" w:color="FFFFFF"/>
              <w:bottom w:val="single" w:sz="8" w:space="0" w:color="FFFFFF"/>
              <w:right w:val="single" w:sz="8" w:space="0" w:color="FFFFFF"/>
            </w:tcBorders>
            <w:shd w:val="clear" w:color="auto" w:fill="DC6900"/>
            <w:vAlign w:val="center"/>
          </w:tcPr>
          <w:p w:rsidR="00913429" w:rsidRDefault="00E143F0">
            <w:pPr>
              <w:spacing w:after="0" w:line="240" w:lineRule="auto"/>
              <w:jc w:val="center"/>
              <w:rPr>
                <w:rFonts w:eastAsia="Times New Roman"/>
                <w:bCs/>
                <w:noProof/>
                <w:color w:val="FFFFFF"/>
                <w:sz w:val="12"/>
                <w:szCs w:val="16"/>
              </w:rPr>
            </w:pPr>
            <w:r>
              <w:rPr>
                <w:rFonts w:eastAsia="Times New Roman"/>
                <w:bCs/>
                <w:noProof/>
                <w:color w:val="FFFFFF"/>
                <w:sz w:val="12"/>
                <w:szCs w:val="16"/>
              </w:rPr>
              <w:t>W24</w:t>
            </w:r>
          </w:p>
        </w:tc>
        <w:tc>
          <w:tcPr>
            <w:tcW w:w="166" w:type="pct"/>
            <w:tcBorders>
              <w:top w:val="single" w:sz="8" w:space="0" w:color="FFFFFF"/>
              <w:left w:val="single" w:sz="8" w:space="0" w:color="FFFFFF"/>
              <w:bottom w:val="single" w:sz="8" w:space="0" w:color="FFFFFF"/>
              <w:right w:val="single" w:sz="8" w:space="0" w:color="FFFFFF"/>
            </w:tcBorders>
            <w:shd w:val="clear" w:color="auto" w:fill="DC6900"/>
            <w:vAlign w:val="center"/>
          </w:tcPr>
          <w:p w:rsidR="00913429" w:rsidRDefault="00E143F0">
            <w:pPr>
              <w:spacing w:after="0" w:line="240" w:lineRule="auto"/>
              <w:jc w:val="center"/>
              <w:rPr>
                <w:rFonts w:eastAsia="Times New Roman"/>
                <w:bCs/>
                <w:noProof/>
                <w:color w:val="FFFFFF"/>
                <w:sz w:val="12"/>
                <w:szCs w:val="16"/>
              </w:rPr>
            </w:pPr>
            <w:r>
              <w:rPr>
                <w:rFonts w:eastAsia="Times New Roman"/>
                <w:bCs/>
                <w:noProof/>
                <w:color w:val="FFFFFF"/>
                <w:sz w:val="12"/>
                <w:szCs w:val="16"/>
              </w:rPr>
              <w:t>W25</w:t>
            </w:r>
          </w:p>
        </w:tc>
        <w:tc>
          <w:tcPr>
            <w:tcW w:w="166" w:type="pct"/>
            <w:tcBorders>
              <w:top w:val="single" w:sz="8" w:space="0" w:color="FFFFFF"/>
              <w:left w:val="single" w:sz="8" w:space="0" w:color="FFFFFF"/>
              <w:bottom w:val="single" w:sz="8" w:space="0" w:color="FFFFFF"/>
              <w:right w:val="single" w:sz="8" w:space="0" w:color="FFFFFF"/>
            </w:tcBorders>
            <w:shd w:val="clear" w:color="auto" w:fill="DC6900"/>
            <w:vAlign w:val="center"/>
          </w:tcPr>
          <w:p w:rsidR="00913429" w:rsidRDefault="00E143F0">
            <w:pPr>
              <w:spacing w:after="0" w:line="240" w:lineRule="auto"/>
              <w:jc w:val="center"/>
              <w:rPr>
                <w:rFonts w:eastAsia="Times New Roman"/>
                <w:bCs/>
                <w:noProof/>
                <w:color w:val="FFFFFF"/>
                <w:sz w:val="12"/>
                <w:szCs w:val="16"/>
              </w:rPr>
            </w:pPr>
            <w:r>
              <w:rPr>
                <w:rFonts w:eastAsia="Times New Roman"/>
                <w:bCs/>
                <w:noProof/>
                <w:color w:val="FFFFFF"/>
                <w:sz w:val="12"/>
                <w:szCs w:val="16"/>
              </w:rPr>
              <w:t>W26</w:t>
            </w:r>
          </w:p>
        </w:tc>
        <w:tc>
          <w:tcPr>
            <w:tcW w:w="166" w:type="pct"/>
            <w:tcBorders>
              <w:top w:val="single" w:sz="8" w:space="0" w:color="FFFFFF"/>
              <w:left w:val="single" w:sz="8" w:space="0" w:color="FFFFFF"/>
              <w:bottom w:val="single" w:sz="8" w:space="0" w:color="FFFFFF"/>
              <w:right w:val="single" w:sz="8" w:space="0" w:color="FFFFFF"/>
            </w:tcBorders>
            <w:shd w:val="clear" w:color="auto" w:fill="DC6900"/>
            <w:vAlign w:val="center"/>
          </w:tcPr>
          <w:p w:rsidR="00913429" w:rsidRDefault="00E143F0">
            <w:pPr>
              <w:spacing w:after="0" w:line="240" w:lineRule="auto"/>
              <w:jc w:val="center"/>
              <w:rPr>
                <w:rFonts w:eastAsia="Times New Roman"/>
                <w:bCs/>
                <w:noProof/>
                <w:color w:val="FFFFFF"/>
                <w:sz w:val="12"/>
                <w:szCs w:val="16"/>
              </w:rPr>
            </w:pPr>
            <w:r>
              <w:rPr>
                <w:rFonts w:eastAsia="Times New Roman"/>
                <w:bCs/>
                <w:noProof/>
                <w:color w:val="FFFFFF"/>
                <w:sz w:val="12"/>
                <w:szCs w:val="16"/>
              </w:rPr>
              <w:t>W27</w:t>
            </w:r>
          </w:p>
        </w:tc>
        <w:tc>
          <w:tcPr>
            <w:tcW w:w="166" w:type="pct"/>
            <w:tcBorders>
              <w:top w:val="single" w:sz="8" w:space="0" w:color="FFFFFF"/>
              <w:left w:val="single" w:sz="8" w:space="0" w:color="FFFFFF"/>
              <w:bottom w:val="single" w:sz="8" w:space="0" w:color="FFFFFF"/>
              <w:right w:val="single" w:sz="8" w:space="0" w:color="FFFFFF"/>
            </w:tcBorders>
            <w:shd w:val="clear" w:color="auto" w:fill="DC6900"/>
            <w:vAlign w:val="center"/>
          </w:tcPr>
          <w:p w:rsidR="00913429" w:rsidRDefault="00E143F0">
            <w:pPr>
              <w:spacing w:after="0" w:line="240" w:lineRule="auto"/>
              <w:jc w:val="center"/>
              <w:rPr>
                <w:rFonts w:eastAsia="Times New Roman"/>
                <w:bCs/>
                <w:noProof/>
                <w:color w:val="FFFFFF"/>
                <w:sz w:val="12"/>
                <w:szCs w:val="16"/>
              </w:rPr>
            </w:pPr>
            <w:r>
              <w:rPr>
                <w:rFonts w:eastAsia="Times New Roman"/>
                <w:bCs/>
                <w:noProof/>
                <w:color w:val="FFFFFF"/>
                <w:sz w:val="12"/>
                <w:szCs w:val="16"/>
              </w:rPr>
              <w:t>W28</w:t>
            </w:r>
          </w:p>
        </w:tc>
        <w:tc>
          <w:tcPr>
            <w:tcW w:w="166" w:type="pct"/>
            <w:tcBorders>
              <w:top w:val="single" w:sz="8" w:space="0" w:color="FFFFFF"/>
              <w:left w:val="single" w:sz="8" w:space="0" w:color="FFFFFF"/>
              <w:bottom w:val="single" w:sz="8" w:space="0" w:color="FFFFFF"/>
              <w:right w:val="single" w:sz="8" w:space="0" w:color="FFFFFF"/>
            </w:tcBorders>
            <w:shd w:val="clear" w:color="auto" w:fill="DC6900"/>
            <w:vAlign w:val="center"/>
          </w:tcPr>
          <w:p w:rsidR="00913429" w:rsidRDefault="00E143F0">
            <w:pPr>
              <w:spacing w:after="0" w:line="240" w:lineRule="auto"/>
              <w:jc w:val="center"/>
              <w:rPr>
                <w:rFonts w:eastAsia="Times New Roman"/>
                <w:bCs/>
                <w:noProof/>
                <w:color w:val="FFFFFF"/>
                <w:sz w:val="12"/>
                <w:szCs w:val="16"/>
              </w:rPr>
            </w:pPr>
            <w:r>
              <w:rPr>
                <w:rFonts w:eastAsia="Times New Roman"/>
                <w:bCs/>
                <w:noProof/>
                <w:color w:val="FFFFFF"/>
                <w:sz w:val="12"/>
                <w:szCs w:val="16"/>
              </w:rPr>
              <w:t>W29</w:t>
            </w:r>
          </w:p>
        </w:tc>
        <w:tc>
          <w:tcPr>
            <w:tcW w:w="146" w:type="pct"/>
            <w:tcBorders>
              <w:top w:val="single" w:sz="8" w:space="0" w:color="FFFFFF"/>
              <w:left w:val="single" w:sz="8" w:space="0" w:color="FFFFFF"/>
              <w:bottom w:val="single" w:sz="8" w:space="0" w:color="FFFFFF"/>
              <w:right w:val="single" w:sz="8" w:space="0" w:color="FFFFFF"/>
            </w:tcBorders>
            <w:shd w:val="clear" w:color="auto" w:fill="DC6900"/>
            <w:vAlign w:val="center"/>
          </w:tcPr>
          <w:p w:rsidR="00913429" w:rsidRDefault="00E143F0">
            <w:pPr>
              <w:spacing w:after="0" w:line="240" w:lineRule="auto"/>
              <w:jc w:val="center"/>
              <w:rPr>
                <w:rFonts w:eastAsia="Times New Roman"/>
                <w:bCs/>
                <w:noProof/>
                <w:color w:val="FFFFFF"/>
                <w:sz w:val="12"/>
                <w:szCs w:val="16"/>
              </w:rPr>
            </w:pPr>
            <w:r>
              <w:rPr>
                <w:rFonts w:eastAsia="Times New Roman"/>
                <w:bCs/>
                <w:noProof/>
                <w:color w:val="FFFFFF"/>
                <w:sz w:val="12"/>
                <w:szCs w:val="16"/>
              </w:rPr>
              <w:t>W30</w:t>
            </w:r>
          </w:p>
        </w:tc>
      </w:tr>
      <w:tr w:rsidR="00913429">
        <w:trPr>
          <w:trHeight w:val="20"/>
        </w:trPr>
        <w:tc>
          <w:tcPr>
            <w:tcW w:w="207" w:type="pct"/>
            <w:tcBorders>
              <w:top w:val="single" w:sz="8" w:space="0" w:color="DC6900"/>
              <w:left w:val="single" w:sz="8" w:space="0" w:color="FFFFFF"/>
              <w:bottom w:val="single" w:sz="8" w:space="0" w:color="DC6900"/>
              <w:right w:val="single" w:sz="8" w:space="0" w:color="DC6900"/>
            </w:tcBorders>
            <w:shd w:val="clear" w:color="auto" w:fill="auto"/>
            <w:tcMar>
              <w:top w:w="72" w:type="dxa"/>
              <w:left w:w="113" w:type="dxa"/>
              <w:bottom w:w="72" w:type="dxa"/>
              <w:right w:w="113" w:type="dxa"/>
            </w:tcMar>
            <w:hideMark/>
          </w:tcPr>
          <w:p w:rsidR="00913429" w:rsidRDefault="00913429">
            <w:pPr>
              <w:spacing w:after="0" w:line="240" w:lineRule="auto"/>
              <w:rPr>
                <w:rFonts w:eastAsia="Times New Roman"/>
                <w:bCs/>
                <w:noProof/>
                <w:color w:val="000000"/>
                <w:sz w:val="16"/>
                <w:szCs w:val="18"/>
              </w:rPr>
            </w:pPr>
          </w:p>
        </w:tc>
        <w:tc>
          <w:tcPr>
            <w:tcW w:w="498" w:type="pct"/>
            <w:tcBorders>
              <w:top w:val="single" w:sz="8" w:space="0" w:color="DC6900"/>
              <w:left w:val="single" w:sz="8" w:space="0" w:color="DC6900"/>
              <w:bottom w:val="single" w:sz="8" w:space="0" w:color="DC6900"/>
              <w:right w:val="single" w:sz="8" w:space="0" w:color="DC6900"/>
            </w:tcBorders>
            <w:shd w:val="clear" w:color="auto" w:fill="auto"/>
            <w:tcMar>
              <w:top w:w="15" w:type="dxa"/>
              <w:left w:w="57" w:type="dxa"/>
              <w:bottom w:w="0" w:type="dxa"/>
              <w:right w:w="15" w:type="dxa"/>
            </w:tcMar>
            <w:vAlign w:val="center"/>
            <w:hideMark/>
          </w:tcPr>
          <w:p w:rsidR="00913429" w:rsidRDefault="00E143F0">
            <w:pPr>
              <w:spacing w:after="0" w:line="240" w:lineRule="auto"/>
              <w:rPr>
                <w:rFonts w:eastAsia="Times New Roman"/>
                <w:b/>
                <w:bCs/>
                <w:noProof/>
                <w:color w:val="000000"/>
                <w:sz w:val="12"/>
                <w:szCs w:val="18"/>
              </w:rPr>
            </w:pPr>
            <w:r>
              <w:rPr>
                <w:rFonts w:eastAsia="Times New Roman"/>
                <w:b/>
                <w:bCs/>
                <w:noProof/>
                <w:color w:val="000000"/>
                <w:sz w:val="12"/>
                <w:szCs w:val="18"/>
              </w:rPr>
              <w:t>Task 3 – Other specific tasks</w:t>
            </w:r>
          </w:p>
        </w:tc>
        <w:tc>
          <w:tcPr>
            <w:tcW w:w="182" w:type="pct"/>
            <w:tcBorders>
              <w:top w:val="single" w:sz="8" w:space="0" w:color="DC6900"/>
              <w:left w:val="single" w:sz="8" w:space="0" w:color="DC6900"/>
              <w:bottom w:val="single" w:sz="8" w:space="0" w:color="DC6900"/>
              <w:right w:val="single" w:sz="8" w:space="0" w:color="DC6900"/>
            </w:tcBorders>
            <w:shd w:val="clear" w:color="auto" w:fill="D32E4B"/>
            <w:tcMar>
              <w:top w:w="72" w:type="dxa"/>
              <w:left w:w="144" w:type="dxa"/>
              <w:bottom w:w="72" w:type="dxa"/>
              <w:right w:w="144" w:type="dxa"/>
            </w:tcMar>
            <w:hideMark/>
          </w:tcPr>
          <w:p w:rsidR="00913429" w:rsidRDefault="00913429">
            <w:pPr>
              <w:spacing w:after="0" w:line="240" w:lineRule="auto"/>
              <w:rPr>
                <w:rFonts w:eastAsia="Times New Roman"/>
                <w:bCs/>
                <w:noProof/>
                <w:color w:val="000000"/>
                <w:sz w:val="18"/>
                <w:szCs w:val="18"/>
              </w:rPr>
            </w:pPr>
          </w:p>
        </w:tc>
        <w:tc>
          <w:tcPr>
            <w:tcW w:w="133" w:type="pct"/>
            <w:tcBorders>
              <w:top w:val="single" w:sz="8" w:space="0" w:color="DC6900"/>
              <w:left w:val="single" w:sz="8" w:space="0" w:color="DC6900"/>
              <w:bottom w:val="single" w:sz="8" w:space="0" w:color="DC6900"/>
              <w:right w:val="single" w:sz="8" w:space="0" w:color="DC6900"/>
            </w:tcBorders>
            <w:shd w:val="clear" w:color="auto" w:fill="D32E4B"/>
          </w:tcPr>
          <w:p w:rsidR="00913429" w:rsidRDefault="00913429">
            <w:pPr>
              <w:spacing w:after="0" w:line="240" w:lineRule="auto"/>
              <w:rPr>
                <w:rFonts w:eastAsia="Times New Roman"/>
                <w:bCs/>
                <w:noProof/>
                <w:color w:val="000000"/>
                <w:sz w:val="18"/>
                <w:szCs w:val="18"/>
              </w:rPr>
            </w:pPr>
          </w:p>
        </w:tc>
        <w:tc>
          <w:tcPr>
            <w:tcW w:w="155" w:type="pct"/>
            <w:tcBorders>
              <w:top w:val="single" w:sz="8" w:space="0" w:color="DC6900"/>
              <w:left w:val="single" w:sz="8" w:space="0" w:color="DC6900"/>
              <w:bottom w:val="single" w:sz="8" w:space="0" w:color="DC6900"/>
              <w:right w:val="single" w:sz="8" w:space="0" w:color="DC6900"/>
            </w:tcBorders>
            <w:shd w:val="clear" w:color="auto" w:fill="D32E4B"/>
            <w:tcMar>
              <w:top w:w="72" w:type="dxa"/>
              <w:left w:w="144" w:type="dxa"/>
              <w:bottom w:w="72" w:type="dxa"/>
              <w:right w:w="144" w:type="dxa"/>
            </w:tcMar>
            <w:hideMark/>
          </w:tcPr>
          <w:p w:rsidR="00913429" w:rsidRDefault="00913429">
            <w:pPr>
              <w:spacing w:after="0" w:line="240" w:lineRule="auto"/>
              <w:rPr>
                <w:rFonts w:eastAsia="Times New Roman"/>
                <w:bCs/>
                <w:noProof/>
                <w:color w:val="000000"/>
                <w:sz w:val="18"/>
                <w:szCs w:val="18"/>
              </w:rPr>
            </w:pPr>
          </w:p>
        </w:tc>
        <w:tc>
          <w:tcPr>
            <w:tcW w:w="157" w:type="pct"/>
            <w:tcBorders>
              <w:top w:val="single" w:sz="8" w:space="0" w:color="DC6900"/>
              <w:left w:val="single" w:sz="8" w:space="0" w:color="DC6900"/>
              <w:bottom w:val="single" w:sz="8" w:space="0" w:color="DC6900"/>
              <w:right w:val="single" w:sz="8" w:space="0" w:color="DC6900"/>
            </w:tcBorders>
            <w:shd w:val="clear" w:color="auto" w:fill="D32E4B"/>
            <w:tcMar>
              <w:top w:w="72" w:type="dxa"/>
              <w:left w:w="144" w:type="dxa"/>
              <w:bottom w:w="72" w:type="dxa"/>
              <w:right w:w="144" w:type="dxa"/>
            </w:tcMar>
            <w:hideMark/>
          </w:tcPr>
          <w:p w:rsidR="00913429" w:rsidRDefault="00913429">
            <w:pPr>
              <w:spacing w:after="0" w:line="240" w:lineRule="auto"/>
              <w:rPr>
                <w:rFonts w:eastAsia="Times New Roman"/>
                <w:bCs/>
                <w:noProof/>
                <w:color w:val="000000"/>
                <w:sz w:val="18"/>
                <w:szCs w:val="18"/>
              </w:rPr>
            </w:pPr>
          </w:p>
        </w:tc>
        <w:tc>
          <w:tcPr>
            <w:tcW w:w="161" w:type="pct"/>
            <w:tcBorders>
              <w:top w:val="single" w:sz="8" w:space="0" w:color="DC6900"/>
              <w:left w:val="single" w:sz="8" w:space="0" w:color="DC6900"/>
              <w:bottom w:val="single" w:sz="8" w:space="0" w:color="DC6900"/>
              <w:right w:val="single" w:sz="8" w:space="0" w:color="DC6900"/>
            </w:tcBorders>
            <w:shd w:val="clear" w:color="auto" w:fill="D32E4B"/>
            <w:tcMar>
              <w:top w:w="72" w:type="dxa"/>
              <w:left w:w="144" w:type="dxa"/>
              <w:bottom w:w="72" w:type="dxa"/>
              <w:right w:w="144" w:type="dxa"/>
            </w:tcMar>
            <w:hideMark/>
          </w:tcPr>
          <w:p w:rsidR="00913429" w:rsidRDefault="00913429">
            <w:pPr>
              <w:spacing w:after="0" w:line="240" w:lineRule="auto"/>
              <w:rPr>
                <w:rFonts w:eastAsia="Times New Roman"/>
                <w:bCs/>
                <w:noProof/>
                <w:color w:val="000000"/>
                <w:sz w:val="18"/>
                <w:szCs w:val="18"/>
              </w:rPr>
            </w:pPr>
          </w:p>
        </w:tc>
        <w:tc>
          <w:tcPr>
            <w:tcW w:w="160" w:type="pct"/>
            <w:tcBorders>
              <w:top w:val="single" w:sz="8" w:space="0" w:color="DC6900"/>
              <w:left w:val="single" w:sz="8" w:space="0" w:color="DC6900"/>
              <w:bottom w:val="single" w:sz="8" w:space="0" w:color="DC6900"/>
              <w:right w:val="single" w:sz="8" w:space="0" w:color="DC6900"/>
            </w:tcBorders>
            <w:shd w:val="clear" w:color="auto" w:fill="D32E4B"/>
            <w:tcMar>
              <w:top w:w="72" w:type="dxa"/>
              <w:left w:w="144" w:type="dxa"/>
              <w:bottom w:w="72" w:type="dxa"/>
              <w:right w:w="144" w:type="dxa"/>
            </w:tcMar>
            <w:hideMark/>
          </w:tcPr>
          <w:p w:rsidR="00913429" w:rsidRDefault="00913429">
            <w:pPr>
              <w:spacing w:after="0" w:line="240" w:lineRule="auto"/>
              <w:rPr>
                <w:rFonts w:eastAsia="Times New Roman"/>
                <w:bCs/>
                <w:noProof/>
                <w:color w:val="000000"/>
                <w:sz w:val="18"/>
                <w:szCs w:val="18"/>
              </w:rPr>
            </w:pPr>
          </w:p>
        </w:tc>
        <w:tc>
          <w:tcPr>
            <w:tcW w:w="133" w:type="pct"/>
            <w:tcBorders>
              <w:top w:val="single" w:sz="8" w:space="0" w:color="DC6900"/>
              <w:left w:val="single" w:sz="8" w:space="0" w:color="DC6900"/>
              <w:bottom w:val="single" w:sz="8" w:space="0" w:color="DC6900"/>
              <w:right w:val="single" w:sz="8" w:space="0" w:color="DC6900"/>
            </w:tcBorders>
            <w:shd w:val="clear" w:color="auto" w:fill="D32E4B"/>
          </w:tcPr>
          <w:p w:rsidR="00913429" w:rsidRDefault="00913429">
            <w:pPr>
              <w:spacing w:after="0" w:line="240" w:lineRule="auto"/>
              <w:rPr>
                <w:rFonts w:eastAsia="Times New Roman"/>
                <w:bCs/>
                <w:noProof/>
                <w:color w:val="000000"/>
                <w:sz w:val="18"/>
                <w:szCs w:val="18"/>
              </w:rPr>
            </w:pPr>
          </w:p>
        </w:tc>
        <w:tc>
          <w:tcPr>
            <w:tcW w:w="139" w:type="pct"/>
            <w:tcBorders>
              <w:top w:val="single" w:sz="8" w:space="0" w:color="DC6900"/>
              <w:left w:val="single" w:sz="8" w:space="0" w:color="DC6900"/>
              <w:bottom w:val="single" w:sz="8" w:space="0" w:color="DC6900"/>
              <w:right w:val="single" w:sz="8" w:space="0" w:color="DC6900"/>
            </w:tcBorders>
            <w:shd w:val="clear" w:color="auto" w:fill="D32E4B"/>
          </w:tcPr>
          <w:p w:rsidR="00913429" w:rsidRDefault="00913429">
            <w:pPr>
              <w:spacing w:after="0" w:line="240" w:lineRule="auto"/>
              <w:rPr>
                <w:rFonts w:eastAsia="Times New Roman"/>
                <w:bCs/>
                <w:noProof/>
                <w:color w:val="000000"/>
                <w:sz w:val="18"/>
                <w:szCs w:val="18"/>
              </w:rPr>
            </w:pPr>
          </w:p>
        </w:tc>
        <w:tc>
          <w:tcPr>
            <w:tcW w:w="139" w:type="pct"/>
            <w:tcBorders>
              <w:top w:val="single" w:sz="8" w:space="0" w:color="DC6900"/>
              <w:left w:val="single" w:sz="8" w:space="0" w:color="DC6900"/>
              <w:bottom w:val="single" w:sz="8" w:space="0" w:color="DC6900"/>
              <w:right w:val="single" w:sz="8" w:space="0" w:color="DC6900"/>
            </w:tcBorders>
            <w:shd w:val="clear" w:color="auto" w:fill="D32E4B"/>
          </w:tcPr>
          <w:p w:rsidR="00913429" w:rsidRDefault="00913429">
            <w:pPr>
              <w:spacing w:after="0" w:line="240" w:lineRule="auto"/>
              <w:rPr>
                <w:rFonts w:eastAsia="Times New Roman"/>
                <w:bCs/>
                <w:noProof/>
                <w:color w:val="000000"/>
                <w:sz w:val="18"/>
                <w:szCs w:val="18"/>
              </w:rPr>
            </w:pPr>
          </w:p>
        </w:tc>
        <w:tc>
          <w:tcPr>
            <w:tcW w:w="140" w:type="pct"/>
            <w:tcBorders>
              <w:top w:val="single" w:sz="8" w:space="0" w:color="DC6900"/>
              <w:left w:val="single" w:sz="8" w:space="0" w:color="DC6900"/>
              <w:bottom w:val="single" w:sz="8" w:space="0" w:color="DC6900"/>
              <w:right w:val="single" w:sz="8" w:space="0" w:color="DC6900"/>
            </w:tcBorders>
            <w:shd w:val="clear" w:color="auto" w:fill="D32E4B"/>
          </w:tcPr>
          <w:p w:rsidR="00913429" w:rsidRDefault="00913429">
            <w:pPr>
              <w:spacing w:after="0" w:line="240" w:lineRule="auto"/>
              <w:rPr>
                <w:rFonts w:eastAsia="Times New Roman"/>
                <w:bCs/>
                <w:noProof/>
                <w:color w:val="000000"/>
                <w:sz w:val="18"/>
                <w:szCs w:val="18"/>
              </w:rPr>
            </w:pPr>
          </w:p>
        </w:tc>
        <w:tc>
          <w:tcPr>
            <w:tcW w:w="139" w:type="pct"/>
            <w:tcBorders>
              <w:top w:val="single" w:sz="8" w:space="0" w:color="DC6900"/>
              <w:left w:val="single" w:sz="8" w:space="0" w:color="DC6900"/>
              <w:bottom w:val="single" w:sz="8" w:space="0" w:color="DC6900"/>
              <w:right w:val="single" w:sz="8" w:space="0" w:color="DC6900"/>
            </w:tcBorders>
            <w:shd w:val="clear" w:color="auto" w:fill="808080"/>
          </w:tcPr>
          <w:p w:rsidR="00913429" w:rsidRDefault="00913429">
            <w:pPr>
              <w:spacing w:after="0" w:line="240" w:lineRule="auto"/>
              <w:rPr>
                <w:rFonts w:eastAsia="Times New Roman"/>
                <w:bCs/>
                <w:noProof/>
                <w:color w:val="000000"/>
                <w:sz w:val="18"/>
                <w:szCs w:val="18"/>
              </w:rPr>
            </w:pPr>
          </w:p>
        </w:tc>
        <w:tc>
          <w:tcPr>
            <w:tcW w:w="139" w:type="pct"/>
            <w:tcBorders>
              <w:top w:val="single" w:sz="8" w:space="0" w:color="DC6900"/>
              <w:left w:val="single" w:sz="8" w:space="0" w:color="DC6900"/>
              <w:bottom w:val="single" w:sz="8" w:space="0" w:color="DC6900"/>
              <w:right w:val="single" w:sz="8" w:space="0" w:color="DC6900"/>
            </w:tcBorders>
            <w:shd w:val="clear" w:color="auto" w:fill="808080"/>
          </w:tcPr>
          <w:p w:rsidR="00913429" w:rsidRDefault="00913429">
            <w:pPr>
              <w:spacing w:after="0" w:line="240" w:lineRule="auto"/>
              <w:rPr>
                <w:rFonts w:eastAsia="Times New Roman"/>
                <w:bCs/>
                <w:noProof/>
                <w:color w:val="000000"/>
                <w:sz w:val="18"/>
                <w:szCs w:val="18"/>
              </w:rPr>
            </w:pPr>
          </w:p>
        </w:tc>
        <w:tc>
          <w:tcPr>
            <w:tcW w:w="140" w:type="pct"/>
            <w:tcBorders>
              <w:top w:val="single" w:sz="8" w:space="0" w:color="DC6900"/>
              <w:left w:val="single" w:sz="8" w:space="0" w:color="DC6900"/>
              <w:bottom w:val="single" w:sz="8" w:space="0" w:color="DC6900"/>
              <w:right w:val="single" w:sz="8" w:space="0" w:color="DC6900"/>
            </w:tcBorders>
            <w:shd w:val="clear" w:color="auto" w:fill="D32E4B"/>
          </w:tcPr>
          <w:p w:rsidR="00913429" w:rsidRDefault="00913429">
            <w:pPr>
              <w:spacing w:after="0" w:line="240" w:lineRule="auto"/>
              <w:rPr>
                <w:rFonts w:eastAsia="Times New Roman"/>
                <w:bCs/>
                <w:noProof/>
                <w:color w:val="000000"/>
                <w:sz w:val="18"/>
                <w:szCs w:val="18"/>
              </w:rPr>
            </w:pPr>
          </w:p>
        </w:tc>
        <w:tc>
          <w:tcPr>
            <w:tcW w:w="141" w:type="pct"/>
            <w:tcBorders>
              <w:top w:val="single" w:sz="8" w:space="0" w:color="DC6900"/>
              <w:left w:val="single" w:sz="8" w:space="0" w:color="DC6900"/>
              <w:bottom w:val="single" w:sz="8" w:space="0" w:color="DC6900"/>
              <w:right w:val="single" w:sz="8" w:space="0" w:color="DC6900"/>
            </w:tcBorders>
            <w:shd w:val="clear" w:color="auto" w:fill="D32E4B"/>
          </w:tcPr>
          <w:p w:rsidR="00913429" w:rsidRDefault="00913429">
            <w:pPr>
              <w:spacing w:after="0" w:line="240" w:lineRule="auto"/>
              <w:rPr>
                <w:rFonts w:eastAsia="Times New Roman"/>
                <w:bCs/>
                <w:noProof/>
                <w:color w:val="000000"/>
                <w:sz w:val="18"/>
                <w:szCs w:val="18"/>
              </w:rPr>
            </w:pPr>
          </w:p>
        </w:tc>
        <w:tc>
          <w:tcPr>
            <w:tcW w:w="141" w:type="pct"/>
            <w:tcBorders>
              <w:top w:val="single" w:sz="8" w:space="0" w:color="DC6900"/>
              <w:left w:val="single" w:sz="8" w:space="0" w:color="DC6900"/>
              <w:bottom w:val="single" w:sz="8" w:space="0" w:color="DC6900"/>
              <w:right w:val="single" w:sz="8" w:space="0" w:color="DC6900"/>
            </w:tcBorders>
            <w:shd w:val="clear" w:color="auto" w:fill="D32E4B"/>
          </w:tcPr>
          <w:p w:rsidR="00913429" w:rsidRDefault="00913429">
            <w:pPr>
              <w:spacing w:after="0" w:line="240" w:lineRule="auto"/>
              <w:rPr>
                <w:rFonts w:eastAsia="Times New Roman"/>
                <w:bCs/>
                <w:noProof/>
                <w:color w:val="000000"/>
                <w:sz w:val="18"/>
                <w:szCs w:val="18"/>
              </w:rPr>
            </w:pPr>
          </w:p>
        </w:tc>
        <w:tc>
          <w:tcPr>
            <w:tcW w:w="141" w:type="pct"/>
            <w:tcBorders>
              <w:top w:val="single" w:sz="8" w:space="0" w:color="DC6900"/>
              <w:left w:val="single" w:sz="8" w:space="0" w:color="DC6900"/>
              <w:bottom w:val="single" w:sz="8" w:space="0" w:color="DC6900"/>
              <w:right w:val="single" w:sz="8" w:space="0" w:color="DC6900"/>
            </w:tcBorders>
            <w:shd w:val="clear" w:color="auto" w:fill="D32E4B"/>
          </w:tcPr>
          <w:p w:rsidR="00913429" w:rsidRDefault="00913429">
            <w:pPr>
              <w:spacing w:after="0" w:line="240" w:lineRule="auto"/>
              <w:rPr>
                <w:rFonts w:eastAsia="Times New Roman"/>
                <w:bCs/>
                <w:noProof/>
                <w:color w:val="000000"/>
                <w:sz w:val="18"/>
                <w:szCs w:val="18"/>
              </w:rPr>
            </w:pPr>
          </w:p>
        </w:tc>
        <w:tc>
          <w:tcPr>
            <w:tcW w:w="143" w:type="pct"/>
            <w:tcBorders>
              <w:top w:val="single" w:sz="8" w:space="0" w:color="DC6900"/>
              <w:left w:val="single" w:sz="8" w:space="0" w:color="DC6900"/>
              <w:bottom w:val="single" w:sz="8" w:space="0" w:color="DC6900"/>
              <w:right w:val="single" w:sz="8" w:space="0" w:color="DC6900"/>
            </w:tcBorders>
            <w:shd w:val="clear" w:color="auto" w:fill="D32E4B"/>
          </w:tcPr>
          <w:p w:rsidR="00913429" w:rsidRDefault="00913429">
            <w:pPr>
              <w:spacing w:after="0" w:line="240" w:lineRule="auto"/>
              <w:rPr>
                <w:rFonts w:eastAsia="Times New Roman"/>
                <w:bCs/>
                <w:noProof/>
                <w:color w:val="000000"/>
                <w:sz w:val="18"/>
                <w:szCs w:val="18"/>
              </w:rPr>
            </w:pPr>
          </w:p>
        </w:tc>
        <w:tc>
          <w:tcPr>
            <w:tcW w:w="146" w:type="pct"/>
            <w:tcBorders>
              <w:top w:val="single" w:sz="8" w:space="0" w:color="DC6900"/>
              <w:left w:val="single" w:sz="8" w:space="0" w:color="DC6900"/>
              <w:bottom w:val="single" w:sz="8" w:space="0" w:color="DC6900"/>
              <w:right w:val="single" w:sz="8" w:space="0" w:color="DC6900"/>
            </w:tcBorders>
            <w:shd w:val="clear" w:color="auto" w:fill="808080"/>
          </w:tcPr>
          <w:p w:rsidR="00913429" w:rsidRDefault="00913429">
            <w:pPr>
              <w:spacing w:after="0" w:line="240" w:lineRule="auto"/>
              <w:rPr>
                <w:rFonts w:eastAsia="Times New Roman"/>
                <w:bCs/>
                <w:noProof/>
                <w:color w:val="000000"/>
                <w:sz w:val="18"/>
                <w:szCs w:val="18"/>
              </w:rPr>
            </w:pPr>
          </w:p>
        </w:tc>
        <w:tc>
          <w:tcPr>
            <w:tcW w:w="194" w:type="pct"/>
            <w:tcBorders>
              <w:top w:val="single" w:sz="8" w:space="0" w:color="DC6900"/>
              <w:left w:val="single" w:sz="8" w:space="0" w:color="DC6900"/>
              <w:bottom w:val="single" w:sz="8" w:space="0" w:color="DC6900"/>
              <w:right w:val="single" w:sz="8" w:space="0" w:color="DC6900"/>
            </w:tcBorders>
            <w:shd w:val="clear" w:color="auto" w:fill="808080"/>
            <w:tcMar>
              <w:top w:w="72" w:type="dxa"/>
              <w:left w:w="144" w:type="dxa"/>
              <w:bottom w:w="72" w:type="dxa"/>
              <w:right w:w="144" w:type="dxa"/>
            </w:tcMar>
            <w:hideMark/>
          </w:tcPr>
          <w:p w:rsidR="00913429" w:rsidRDefault="00913429">
            <w:pPr>
              <w:spacing w:after="0" w:line="240" w:lineRule="auto"/>
              <w:rPr>
                <w:rFonts w:eastAsia="Times New Roman"/>
                <w:bCs/>
                <w:noProof/>
                <w:color w:val="000000"/>
                <w:sz w:val="18"/>
                <w:szCs w:val="18"/>
              </w:rPr>
            </w:pPr>
          </w:p>
        </w:tc>
        <w:tc>
          <w:tcPr>
            <w:tcW w:w="166" w:type="pct"/>
            <w:tcBorders>
              <w:top w:val="single" w:sz="8" w:space="0" w:color="DC6900"/>
              <w:left w:val="single" w:sz="8" w:space="0" w:color="DC6900"/>
              <w:bottom w:val="single" w:sz="8" w:space="0" w:color="DC6900"/>
              <w:right w:val="single" w:sz="8" w:space="0" w:color="DC6900"/>
            </w:tcBorders>
            <w:shd w:val="clear" w:color="auto" w:fill="808080"/>
          </w:tcPr>
          <w:p w:rsidR="00913429" w:rsidRDefault="00913429">
            <w:pPr>
              <w:spacing w:after="0" w:line="240" w:lineRule="auto"/>
              <w:rPr>
                <w:rFonts w:eastAsia="Times New Roman"/>
                <w:bCs/>
                <w:noProof/>
                <w:color w:val="000000"/>
                <w:sz w:val="18"/>
                <w:szCs w:val="18"/>
              </w:rPr>
            </w:pPr>
          </w:p>
        </w:tc>
        <w:tc>
          <w:tcPr>
            <w:tcW w:w="166" w:type="pct"/>
            <w:tcBorders>
              <w:top w:val="single" w:sz="8" w:space="0" w:color="DC6900"/>
              <w:left w:val="single" w:sz="8" w:space="0" w:color="DC6900"/>
              <w:bottom w:val="single" w:sz="8" w:space="0" w:color="DC6900"/>
              <w:right w:val="single" w:sz="8" w:space="0" w:color="DC6900"/>
            </w:tcBorders>
            <w:shd w:val="clear" w:color="auto" w:fill="808080"/>
          </w:tcPr>
          <w:p w:rsidR="00913429" w:rsidRDefault="00913429">
            <w:pPr>
              <w:spacing w:after="0" w:line="240" w:lineRule="auto"/>
              <w:rPr>
                <w:rFonts w:eastAsia="Times New Roman"/>
                <w:bCs/>
                <w:noProof/>
                <w:color w:val="000000"/>
                <w:sz w:val="18"/>
                <w:szCs w:val="18"/>
              </w:rPr>
            </w:pPr>
          </w:p>
        </w:tc>
        <w:tc>
          <w:tcPr>
            <w:tcW w:w="166" w:type="pct"/>
            <w:tcBorders>
              <w:top w:val="single" w:sz="8" w:space="0" w:color="DC6900"/>
              <w:left w:val="single" w:sz="8" w:space="0" w:color="DC6900"/>
              <w:bottom w:val="single" w:sz="8" w:space="0" w:color="DC6900"/>
              <w:right w:val="single" w:sz="8" w:space="0" w:color="DC6900"/>
            </w:tcBorders>
            <w:shd w:val="clear" w:color="auto" w:fill="808080"/>
          </w:tcPr>
          <w:p w:rsidR="00913429" w:rsidRDefault="00913429">
            <w:pPr>
              <w:spacing w:after="0" w:line="240" w:lineRule="auto"/>
              <w:rPr>
                <w:rFonts w:eastAsia="Times New Roman"/>
                <w:bCs/>
                <w:noProof/>
                <w:color w:val="000000"/>
                <w:sz w:val="18"/>
                <w:szCs w:val="18"/>
              </w:rPr>
            </w:pPr>
          </w:p>
        </w:tc>
        <w:tc>
          <w:tcPr>
            <w:tcW w:w="166" w:type="pct"/>
            <w:tcBorders>
              <w:top w:val="single" w:sz="8" w:space="0" w:color="DC6900"/>
              <w:left w:val="single" w:sz="8" w:space="0" w:color="DC6900"/>
              <w:bottom w:val="single" w:sz="8" w:space="0" w:color="DC6900"/>
              <w:right w:val="single" w:sz="8" w:space="0" w:color="DC6900"/>
            </w:tcBorders>
            <w:shd w:val="clear" w:color="auto" w:fill="808080"/>
          </w:tcPr>
          <w:p w:rsidR="00913429" w:rsidRDefault="00913429">
            <w:pPr>
              <w:spacing w:after="0" w:line="240" w:lineRule="auto"/>
              <w:rPr>
                <w:rFonts w:eastAsia="Times New Roman"/>
                <w:bCs/>
                <w:noProof/>
                <w:color w:val="000000"/>
                <w:sz w:val="18"/>
                <w:szCs w:val="18"/>
              </w:rPr>
            </w:pPr>
          </w:p>
        </w:tc>
        <w:tc>
          <w:tcPr>
            <w:tcW w:w="166" w:type="pct"/>
            <w:tcBorders>
              <w:top w:val="single" w:sz="8" w:space="0" w:color="DC6900"/>
              <w:left w:val="single" w:sz="8" w:space="0" w:color="DC6900"/>
              <w:bottom w:val="single" w:sz="8" w:space="0" w:color="DC6900"/>
              <w:right w:val="single" w:sz="8" w:space="0" w:color="DC6900"/>
            </w:tcBorders>
            <w:shd w:val="clear" w:color="auto" w:fill="808080"/>
          </w:tcPr>
          <w:p w:rsidR="00913429" w:rsidRDefault="00913429">
            <w:pPr>
              <w:spacing w:after="0" w:line="240" w:lineRule="auto"/>
              <w:rPr>
                <w:rFonts w:eastAsia="Times New Roman"/>
                <w:bCs/>
                <w:noProof/>
                <w:color w:val="000000"/>
                <w:sz w:val="18"/>
                <w:szCs w:val="18"/>
              </w:rPr>
            </w:pPr>
          </w:p>
        </w:tc>
        <w:tc>
          <w:tcPr>
            <w:tcW w:w="166" w:type="pct"/>
            <w:tcBorders>
              <w:top w:val="single" w:sz="8" w:space="0" w:color="DC6900"/>
              <w:left w:val="single" w:sz="8" w:space="0" w:color="DC6900"/>
              <w:bottom w:val="single" w:sz="8" w:space="0" w:color="DC6900"/>
              <w:right w:val="single" w:sz="8" w:space="0" w:color="DC6900"/>
            </w:tcBorders>
            <w:shd w:val="clear" w:color="auto" w:fill="808080"/>
          </w:tcPr>
          <w:p w:rsidR="00913429" w:rsidRDefault="00913429">
            <w:pPr>
              <w:spacing w:after="0" w:line="240" w:lineRule="auto"/>
              <w:rPr>
                <w:rFonts w:eastAsia="Times New Roman"/>
                <w:bCs/>
                <w:noProof/>
                <w:color w:val="000000"/>
                <w:sz w:val="18"/>
                <w:szCs w:val="18"/>
              </w:rPr>
            </w:pPr>
          </w:p>
        </w:tc>
        <w:tc>
          <w:tcPr>
            <w:tcW w:w="166" w:type="pct"/>
            <w:tcBorders>
              <w:top w:val="single" w:sz="8" w:space="0" w:color="DC6900"/>
              <w:left w:val="single" w:sz="8" w:space="0" w:color="DC6900"/>
              <w:bottom w:val="single" w:sz="8" w:space="0" w:color="DC6900"/>
              <w:right w:val="single" w:sz="8" w:space="0" w:color="DC6900"/>
            </w:tcBorders>
            <w:shd w:val="clear" w:color="auto" w:fill="808080"/>
          </w:tcPr>
          <w:p w:rsidR="00913429" w:rsidRDefault="00913429">
            <w:pPr>
              <w:spacing w:after="0" w:line="240" w:lineRule="auto"/>
              <w:rPr>
                <w:rFonts w:eastAsia="Times New Roman"/>
                <w:bCs/>
                <w:noProof/>
                <w:color w:val="000000"/>
                <w:sz w:val="18"/>
                <w:szCs w:val="18"/>
              </w:rPr>
            </w:pPr>
          </w:p>
        </w:tc>
        <w:tc>
          <w:tcPr>
            <w:tcW w:w="166" w:type="pct"/>
            <w:tcBorders>
              <w:top w:val="single" w:sz="8" w:space="0" w:color="DC6900"/>
              <w:left w:val="single" w:sz="8" w:space="0" w:color="DC6900"/>
              <w:bottom w:val="single" w:sz="8" w:space="0" w:color="DC6900"/>
              <w:right w:val="single" w:sz="8" w:space="0" w:color="DC6900"/>
            </w:tcBorders>
            <w:shd w:val="clear" w:color="auto" w:fill="808080"/>
          </w:tcPr>
          <w:p w:rsidR="00913429" w:rsidRDefault="00913429">
            <w:pPr>
              <w:spacing w:after="0" w:line="240" w:lineRule="auto"/>
              <w:rPr>
                <w:rFonts w:eastAsia="Times New Roman"/>
                <w:bCs/>
                <w:noProof/>
                <w:color w:val="000000"/>
                <w:sz w:val="18"/>
                <w:szCs w:val="18"/>
              </w:rPr>
            </w:pPr>
          </w:p>
        </w:tc>
        <w:tc>
          <w:tcPr>
            <w:tcW w:w="146" w:type="pct"/>
            <w:tcBorders>
              <w:top w:val="single" w:sz="8" w:space="0" w:color="DC6900"/>
              <w:left w:val="single" w:sz="8" w:space="0" w:color="DC6900"/>
              <w:bottom w:val="single" w:sz="8" w:space="0" w:color="DC6900"/>
              <w:right w:val="single" w:sz="8" w:space="0" w:color="DC6900"/>
            </w:tcBorders>
            <w:shd w:val="clear" w:color="auto" w:fill="808080"/>
          </w:tcPr>
          <w:p w:rsidR="00913429" w:rsidRDefault="00913429">
            <w:pPr>
              <w:spacing w:after="0" w:line="240" w:lineRule="auto"/>
              <w:rPr>
                <w:rFonts w:eastAsia="Times New Roman"/>
                <w:bCs/>
                <w:noProof/>
                <w:color w:val="000000"/>
                <w:sz w:val="18"/>
                <w:szCs w:val="18"/>
              </w:rPr>
            </w:pPr>
          </w:p>
        </w:tc>
      </w:tr>
      <w:tr w:rsidR="00913429">
        <w:trPr>
          <w:trHeight w:val="636"/>
        </w:trPr>
        <w:tc>
          <w:tcPr>
            <w:tcW w:w="207" w:type="pct"/>
            <w:tcBorders>
              <w:top w:val="single" w:sz="8" w:space="0" w:color="DC6900"/>
              <w:left w:val="single" w:sz="8" w:space="0" w:color="DC6900"/>
              <w:bottom w:val="single" w:sz="8" w:space="0" w:color="DC6900"/>
              <w:right w:val="single" w:sz="8" w:space="0" w:color="DC6900"/>
            </w:tcBorders>
            <w:shd w:val="clear" w:color="auto" w:fill="FFFFFF"/>
            <w:tcMar>
              <w:top w:w="72" w:type="dxa"/>
              <w:left w:w="113" w:type="dxa"/>
              <w:bottom w:w="72" w:type="dxa"/>
              <w:right w:w="113" w:type="dxa"/>
            </w:tcMar>
            <w:vAlign w:val="center"/>
          </w:tcPr>
          <w:p w:rsidR="00913429" w:rsidRDefault="00E143F0">
            <w:pPr>
              <w:spacing w:after="0" w:line="240" w:lineRule="auto"/>
              <w:jc w:val="center"/>
              <w:rPr>
                <w:rFonts w:eastAsia="Times New Roman"/>
                <w:bCs/>
                <w:noProof/>
                <w:color w:val="000000"/>
                <w:sz w:val="12"/>
                <w:szCs w:val="18"/>
              </w:rPr>
            </w:pPr>
            <w:r>
              <w:rPr>
                <w:rFonts w:eastAsia="Times New Roman"/>
                <w:bCs/>
                <w:noProof/>
                <w:color w:val="000000"/>
                <w:sz w:val="12"/>
                <w:szCs w:val="18"/>
              </w:rPr>
              <w:t>3.1</w:t>
            </w:r>
          </w:p>
        </w:tc>
        <w:tc>
          <w:tcPr>
            <w:tcW w:w="498" w:type="pct"/>
            <w:tcBorders>
              <w:top w:val="single" w:sz="8" w:space="0" w:color="DC6900"/>
              <w:left w:val="single" w:sz="8" w:space="0" w:color="DC6900"/>
              <w:bottom w:val="single" w:sz="8" w:space="0" w:color="DC6900"/>
              <w:right w:val="single" w:sz="8" w:space="0" w:color="DC6900"/>
            </w:tcBorders>
            <w:shd w:val="clear" w:color="auto" w:fill="FFFFFF"/>
            <w:tcMar>
              <w:top w:w="15" w:type="dxa"/>
              <w:left w:w="57" w:type="dxa"/>
              <w:bottom w:w="0" w:type="dxa"/>
              <w:right w:w="15" w:type="dxa"/>
            </w:tcMar>
            <w:vAlign w:val="center"/>
          </w:tcPr>
          <w:p w:rsidR="00913429" w:rsidRDefault="00E143F0">
            <w:pPr>
              <w:spacing w:after="0" w:line="240" w:lineRule="auto"/>
              <w:rPr>
                <w:rFonts w:eastAsia="Times New Roman"/>
                <w:bCs/>
                <w:noProof/>
                <w:color w:val="000000"/>
                <w:sz w:val="12"/>
                <w:szCs w:val="18"/>
              </w:rPr>
            </w:pPr>
            <w:r>
              <w:rPr>
                <w:rFonts w:eastAsia="Times New Roman"/>
                <w:bCs/>
                <w:noProof/>
                <w:color w:val="000000"/>
                <w:sz w:val="12"/>
                <w:szCs w:val="18"/>
              </w:rPr>
              <w:t>Economic annex explaining the analytical model</w:t>
            </w:r>
          </w:p>
        </w:tc>
        <w:tc>
          <w:tcPr>
            <w:tcW w:w="182" w:type="pct"/>
            <w:tcBorders>
              <w:top w:val="single" w:sz="8" w:space="0" w:color="DC6900"/>
              <w:left w:val="single" w:sz="8" w:space="0" w:color="DC6900"/>
              <w:bottom w:val="single" w:sz="8" w:space="0" w:color="DC6900"/>
              <w:right w:val="single" w:sz="8" w:space="0" w:color="DC6900"/>
            </w:tcBorders>
            <w:shd w:val="clear" w:color="auto" w:fill="auto"/>
            <w:tcMar>
              <w:top w:w="72" w:type="dxa"/>
              <w:left w:w="144" w:type="dxa"/>
              <w:bottom w:w="72" w:type="dxa"/>
              <w:right w:w="144" w:type="dxa"/>
            </w:tcMar>
          </w:tcPr>
          <w:p w:rsidR="00913429" w:rsidRDefault="00913429">
            <w:pPr>
              <w:spacing w:after="0" w:line="240" w:lineRule="auto"/>
              <w:rPr>
                <w:rFonts w:eastAsia="Times New Roman"/>
                <w:bCs/>
                <w:noProof/>
                <w:color w:val="000000"/>
                <w:sz w:val="18"/>
                <w:szCs w:val="18"/>
              </w:rPr>
            </w:pPr>
          </w:p>
        </w:tc>
        <w:tc>
          <w:tcPr>
            <w:tcW w:w="133" w:type="pct"/>
            <w:tcBorders>
              <w:top w:val="single" w:sz="8" w:space="0" w:color="DC6900"/>
              <w:left w:val="single" w:sz="8" w:space="0" w:color="DC6900"/>
              <w:bottom w:val="single" w:sz="8" w:space="0" w:color="DC6900"/>
              <w:right w:val="single" w:sz="8" w:space="0" w:color="DC6900"/>
            </w:tcBorders>
            <w:shd w:val="clear" w:color="auto" w:fill="auto"/>
          </w:tcPr>
          <w:p w:rsidR="00913429" w:rsidRDefault="00913429">
            <w:pPr>
              <w:spacing w:after="0" w:line="240" w:lineRule="auto"/>
              <w:rPr>
                <w:rFonts w:eastAsia="Times New Roman"/>
                <w:bCs/>
                <w:noProof/>
                <w:color w:val="000000"/>
                <w:sz w:val="18"/>
                <w:szCs w:val="18"/>
              </w:rPr>
            </w:pPr>
          </w:p>
        </w:tc>
        <w:tc>
          <w:tcPr>
            <w:tcW w:w="155" w:type="pct"/>
            <w:tcBorders>
              <w:top w:val="single" w:sz="8" w:space="0" w:color="DC6900"/>
              <w:left w:val="single" w:sz="8" w:space="0" w:color="DC6900"/>
              <w:bottom w:val="single" w:sz="8" w:space="0" w:color="DC6900"/>
              <w:right w:val="single" w:sz="8" w:space="0" w:color="DC6900"/>
            </w:tcBorders>
            <w:shd w:val="clear" w:color="auto" w:fill="auto"/>
            <w:tcMar>
              <w:top w:w="72" w:type="dxa"/>
              <w:left w:w="144" w:type="dxa"/>
              <w:bottom w:w="72" w:type="dxa"/>
              <w:right w:w="144" w:type="dxa"/>
            </w:tcMar>
          </w:tcPr>
          <w:p w:rsidR="00913429" w:rsidRDefault="00913429">
            <w:pPr>
              <w:spacing w:after="0" w:line="240" w:lineRule="auto"/>
              <w:rPr>
                <w:rFonts w:eastAsia="Times New Roman"/>
                <w:bCs/>
                <w:noProof/>
                <w:color w:val="000000"/>
                <w:sz w:val="18"/>
                <w:szCs w:val="18"/>
              </w:rPr>
            </w:pPr>
          </w:p>
        </w:tc>
        <w:tc>
          <w:tcPr>
            <w:tcW w:w="157" w:type="pct"/>
            <w:tcBorders>
              <w:top w:val="single" w:sz="8" w:space="0" w:color="DC6900"/>
              <w:left w:val="single" w:sz="8" w:space="0" w:color="DC6900"/>
              <w:bottom w:val="single" w:sz="8" w:space="0" w:color="DC6900"/>
              <w:right w:val="single" w:sz="8" w:space="0" w:color="DC6900"/>
            </w:tcBorders>
            <w:shd w:val="clear" w:color="auto" w:fill="FFF0CC"/>
            <w:tcMar>
              <w:top w:w="72" w:type="dxa"/>
              <w:left w:w="144" w:type="dxa"/>
              <w:bottom w:w="72" w:type="dxa"/>
              <w:right w:w="144" w:type="dxa"/>
            </w:tcMar>
          </w:tcPr>
          <w:p w:rsidR="00913429" w:rsidRDefault="00913429">
            <w:pPr>
              <w:spacing w:after="0" w:line="240" w:lineRule="auto"/>
              <w:rPr>
                <w:rFonts w:eastAsia="Times New Roman"/>
                <w:bCs/>
                <w:noProof/>
                <w:color w:val="000000"/>
                <w:sz w:val="18"/>
                <w:szCs w:val="18"/>
              </w:rPr>
            </w:pPr>
          </w:p>
        </w:tc>
        <w:tc>
          <w:tcPr>
            <w:tcW w:w="161" w:type="pct"/>
            <w:tcBorders>
              <w:top w:val="single" w:sz="8" w:space="0" w:color="DC6900"/>
              <w:left w:val="single" w:sz="8" w:space="0" w:color="DC6900"/>
              <w:bottom w:val="single" w:sz="8" w:space="0" w:color="DC6900"/>
              <w:right w:val="single" w:sz="8" w:space="0" w:color="DC6900"/>
            </w:tcBorders>
            <w:shd w:val="clear" w:color="auto" w:fill="FFF0CC"/>
            <w:tcMar>
              <w:top w:w="72" w:type="dxa"/>
              <w:left w:w="144" w:type="dxa"/>
              <w:bottom w:w="72" w:type="dxa"/>
              <w:right w:w="144" w:type="dxa"/>
            </w:tcMar>
          </w:tcPr>
          <w:p w:rsidR="00913429" w:rsidRDefault="00913429">
            <w:pPr>
              <w:spacing w:after="0" w:line="240" w:lineRule="auto"/>
              <w:rPr>
                <w:rFonts w:eastAsia="Times New Roman"/>
                <w:bCs/>
                <w:noProof/>
                <w:color w:val="000000"/>
                <w:sz w:val="18"/>
                <w:szCs w:val="18"/>
              </w:rPr>
            </w:pPr>
          </w:p>
        </w:tc>
        <w:tc>
          <w:tcPr>
            <w:tcW w:w="160" w:type="pct"/>
            <w:tcBorders>
              <w:top w:val="single" w:sz="8" w:space="0" w:color="DC6900"/>
              <w:left w:val="single" w:sz="8" w:space="0" w:color="DC6900"/>
              <w:bottom w:val="single" w:sz="8" w:space="0" w:color="DC6900"/>
              <w:right w:val="single" w:sz="8" w:space="0" w:color="DC6900"/>
            </w:tcBorders>
            <w:shd w:val="clear" w:color="auto" w:fill="FFF0CC"/>
            <w:tcMar>
              <w:top w:w="72" w:type="dxa"/>
              <w:left w:w="144" w:type="dxa"/>
              <w:bottom w:w="72" w:type="dxa"/>
              <w:right w:w="144" w:type="dxa"/>
            </w:tcMar>
          </w:tcPr>
          <w:p w:rsidR="00913429" w:rsidRDefault="00913429">
            <w:pPr>
              <w:spacing w:after="0" w:line="240" w:lineRule="auto"/>
              <w:rPr>
                <w:rFonts w:eastAsia="Times New Roman"/>
                <w:bCs/>
                <w:noProof/>
                <w:color w:val="000000"/>
                <w:sz w:val="18"/>
                <w:szCs w:val="18"/>
              </w:rPr>
            </w:pPr>
          </w:p>
        </w:tc>
        <w:tc>
          <w:tcPr>
            <w:tcW w:w="133" w:type="pct"/>
            <w:tcBorders>
              <w:top w:val="single" w:sz="8" w:space="0" w:color="DC6900"/>
              <w:left w:val="single" w:sz="8" w:space="0" w:color="DC6900"/>
              <w:bottom w:val="single" w:sz="8" w:space="0" w:color="DC6900"/>
              <w:right w:val="single" w:sz="8" w:space="0" w:color="DC6900"/>
            </w:tcBorders>
            <w:shd w:val="clear" w:color="auto" w:fill="FFF0CC"/>
          </w:tcPr>
          <w:p w:rsidR="00913429" w:rsidRDefault="00913429">
            <w:pPr>
              <w:spacing w:after="0" w:line="240" w:lineRule="auto"/>
              <w:rPr>
                <w:rFonts w:eastAsia="Times New Roman"/>
                <w:bCs/>
                <w:noProof/>
                <w:color w:val="000000"/>
                <w:sz w:val="18"/>
                <w:szCs w:val="18"/>
              </w:rPr>
            </w:pPr>
          </w:p>
        </w:tc>
        <w:tc>
          <w:tcPr>
            <w:tcW w:w="139" w:type="pct"/>
            <w:tcBorders>
              <w:top w:val="single" w:sz="8" w:space="0" w:color="DC6900"/>
              <w:left w:val="single" w:sz="8" w:space="0" w:color="DC6900"/>
              <w:bottom w:val="single" w:sz="8" w:space="0" w:color="DC6900"/>
              <w:right w:val="single" w:sz="8" w:space="0" w:color="DC6900"/>
            </w:tcBorders>
            <w:shd w:val="clear" w:color="auto" w:fill="FFF0CC"/>
          </w:tcPr>
          <w:p w:rsidR="00913429" w:rsidRDefault="00913429">
            <w:pPr>
              <w:spacing w:after="0" w:line="240" w:lineRule="auto"/>
              <w:rPr>
                <w:rFonts w:eastAsia="Times New Roman"/>
                <w:bCs/>
                <w:noProof/>
                <w:color w:val="000000"/>
                <w:sz w:val="18"/>
                <w:szCs w:val="18"/>
              </w:rPr>
            </w:pPr>
          </w:p>
        </w:tc>
        <w:tc>
          <w:tcPr>
            <w:tcW w:w="139" w:type="pct"/>
            <w:tcBorders>
              <w:top w:val="single" w:sz="8" w:space="0" w:color="DC6900"/>
              <w:left w:val="single" w:sz="8" w:space="0" w:color="DC6900"/>
              <w:bottom w:val="single" w:sz="8" w:space="0" w:color="DC6900"/>
              <w:right w:val="single" w:sz="8" w:space="0" w:color="DC6900"/>
            </w:tcBorders>
            <w:shd w:val="clear" w:color="auto" w:fill="FFF0CC"/>
          </w:tcPr>
          <w:p w:rsidR="00913429" w:rsidRDefault="00913429">
            <w:pPr>
              <w:spacing w:after="0" w:line="240" w:lineRule="auto"/>
              <w:rPr>
                <w:rFonts w:eastAsia="Times New Roman"/>
                <w:bCs/>
                <w:noProof/>
                <w:color w:val="000000"/>
                <w:sz w:val="18"/>
                <w:szCs w:val="18"/>
              </w:rPr>
            </w:pPr>
          </w:p>
        </w:tc>
        <w:tc>
          <w:tcPr>
            <w:tcW w:w="140" w:type="pct"/>
            <w:tcBorders>
              <w:top w:val="single" w:sz="8" w:space="0" w:color="DC6900"/>
              <w:left w:val="single" w:sz="8" w:space="0" w:color="DC6900"/>
              <w:bottom w:val="single" w:sz="8" w:space="0" w:color="DC6900"/>
              <w:right w:val="single" w:sz="8" w:space="0" w:color="DC6900"/>
            </w:tcBorders>
            <w:shd w:val="clear" w:color="auto" w:fill="FFF0CC"/>
          </w:tcPr>
          <w:p w:rsidR="00913429" w:rsidRDefault="00913429">
            <w:pPr>
              <w:spacing w:after="0" w:line="240" w:lineRule="auto"/>
              <w:rPr>
                <w:rFonts w:eastAsia="Times New Roman"/>
                <w:bCs/>
                <w:noProof/>
                <w:color w:val="000000"/>
                <w:sz w:val="18"/>
                <w:szCs w:val="18"/>
              </w:rPr>
            </w:pPr>
          </w:p>
        </w:tc>
        <w:tc>
          <w:tcPr>
            <w:tcW w:w="139" w:type="pct"/>
            <w:tcBorders>
              <w:top w:val="single" w:sz="8" w:space="0" w:color="DC6900"/>
              <w:left w:val="single" w:sz="8" w:space="0" w:color="DC6900"/>
              <w:bottom w:val="single" w:sz="8" w:space="0" w:color="DC6900"/>
              <w:right w:val="single" w:sz="8" w:space="0" w:color="DC6900"/>
            </w:tcBorders>
            <w:shd w:val="clear" w:color="auto" w:fill="808080"/>
          </w:tcPr>
          <w:p w:rsidR="00913429" w:rsidRDefault="00913429">
            <w:pPr>
              <w:spacing w:after="0" w:line="240" w:lineRule="auto"/>
              <w:rPr>
                <w:rFonts w:eastAsia="Times New Roman"/>
                <w:bCs/>
                <w:noProof/>
                <w:color w:val="000000"/>
                <w:sz w:val="18"/>
                <w:szCs w:val="18"/>
              </w:rPr>
            </w:pPr>
          </w:p>
        </w:tc>
        <w:tc>
          <w:tcPr>
            <w:tcW w:w="139" w:type="pct"/>
            <w:tcBorders>
              <w:top w:val="single" w:sz="8" w:space="0" w:color="DC6900"/>
              <w:left w:val="single" w:sz="8" w:space="0" w:color="DC6900"/>
              <w:bottom w:val="single" w:sz="8" w:space="0" w:color="DC6900"/>
              <w:right w:val="single" w:sz="8" w:space="0" w:color="DC6900"/>
            </w:tcBorders>
            <w:shd w:val="clear" w:color="auto" w:fill="808080"/>
          </w:tcPr>
          <w:p w:rsidR="00913429" w:rsidRDefault="00913429">
            <w:pPr>
              <w:spacing w:after="0" w:line="240" w:lineRule="auto"/>
              <w:rPr>
                <w:rFonts w:eastAsia="Times New Roman"/>
                <w:bCs/>
                <w:noProof/>
                <w:color w:val="000000"/>
                <w:sz w:val="18"/>
                <w:szCs w:val="18"/>
              </w:rPr>
            </w:pPr>
          </w:p>
        </w:tc>
        <w:tc>
          <w:tcPr>
            <w:tcW w:w="140" w:type="pct"/>
            <w:tcBorders>
              <w:top w:val="single" w:sz="8" w:space="0" w:color="DC6900"/>
              <w:left w:val="single" w:sz="8" w:space="0" w:color="DC6900"/>
              <w:bottom w:val="single" w:sz="8" w:space="0" w:color="DC6900"/>
              <w:right w:val="single" w:sz="8" w:space="0" w:color="DC6900"/>
            </w:tcBorders>
            <w:shd w:val="clear" w:color="auto" w:fill="FFF0CC"/>
          </w:tcPr>
          <w:p w:rsidR="00913429" w:rsidRDefault="00913429">
            <w:pPr>
              <w:spacing w:after="0" w:line="240" w:lineRule="auto"/>
              <w:rPr>
                <w:rFonts w:eastAsia="Times New Roman"/>
                <w:bCs/>
                <w:noProof/>
                <w:color w:val="000000"/>
                <w:sz w:val="18"/>
                <w:szCs w:val="18"/>
              </w:rPr>
            </w:pPr>
          </w:p>
        </w:tc>
        <w:tc>
          <w:tcPr>
            <w:tcW w:w="141" w:type="pct"/>
            <w:tcBorders>
              <w:top w:val="single" w:sz="8" w:space="0" w:color="DC6900"/>
              <w:left w:val="single" w:sz="8" w:space="0" w:color="DC6900"/>
              <w:bottom w:val="single" w:sz="8" w:space="0" w:color="DC6900"/>
              <w:right w:val="single" w:sz="8" w:space="0" w:color="DC6900"/>
            </w:tcBorders>
            <w:shd w:val="clear" w:color="auto" w:fill="FFF0CC"/>
          </w:tcPr>
          <w:p w:rsidR="00913429" w:rsidRDefault="00913429">
            <w:pPr>
              <w:spacing w:after="0" w:line="240" w:lineRule="auto"/>
              <w:rPr>
                <w:rFonts w:eastAsia="Times New Roman"/>
                <w:bCs/>
                <w:noProof/>
                <w:color w:val="000000"/>
                <w:sz w:val="18"/>
                <w:szCs w:val="18"/>
              </w:rPr>
            </w:pPr>
          </w:p>
        </w:tc>
        <w:tc>
          <w:tcPr>
            <w:tcW w:w="141" w:type="pct"/>
            <w:tcBorders>
              <w:top w:val="single" w:sz="8" w:space="0" w:color="DC6900"/>
              <w:left w:val="single" w:sz="8" w:space="0" w:color="DC6900"/>
              <w:bottom w:val="single" w:sz="8" w:space="0" w:color="DC6900"/>
              <w:right w:val="single" w:sz="8" w:space="0" w:color="DC6900"/>
            </w:tcBorders>
            <w:shd w:val="clear" w:color="auto" w:fill="FFF0CC"/>
          </w:tcPr>
          <w:p w:rsidR="00913429" w:rsidRDefault="00913429">
            <w:pPr>
              <w:spacing w:after="0" w:line="240" w:lineRule="auto"/>
              <w:rPr>
                <w:rFonts w:eastAsia="Times New Roman"/>
                <w:bCs/>
                <w:noProof/>
                <w:color w:val="000000"/>
                <w:sz w:val="18"/>
                <w:szCs w:val="18"/>
              </w:rPr>
            </w:pPr>
          </w:p>
        </w:tc>
        <w:tc>
          <w:tcPr>
            <w:tcW w:w="141" w:type="pct"/>
            <w:tcBorders>
              <w:top w:val="single" w:sz="8" w:space="0" w:color="DC6900"/>
              <w:left w:val="single" w:sz="8" w:space="0" w:color="DC6900"/>
              <w:bottom w:val="single" w:sz="8" w:space="0" w:color="DC6900"/>
              <w:right w:val="single" w:sz="8" w:space="0" w:color="DC6900"/>
            </w:tcBorders>
            <w:shd w:val="clear" w:color="auto" w:fill="FFF0CC"/>
          </w:tcPr>
          <w:p w:rsidR="00913429" w:rsidRDefault="00913429">
            <w:pPr>
              <w:spacing w:after="0" w:line="240" w:lineRule="auto"/>
              <w:rPr>
                <w:rFonts w:eastAsia="Times New Roman"/>
                <w:bCs/>
                <w:noProof/>
                <w:color w:val="000000"/>
                <w:sz w:val="18"/>
                <w:szCs w:val="18"/>
              </w:rPr>
            </w:pPr>
          </w:p>
        </w:tc>
        <w:tc>
          <w:tcPr>
            <w:tcW w:w="143" w:type="pct"/>
            <w:tcBorders>
              <w:top w:val="single" w:sz="8" w:space="0" w:color="DC6900"/>
              <w:left w:val="single" w:sz="8" w:space="0" w:color="DC6900"/>
              <w:bottom w:val="single" w:sz="8" w:space="0" w:color="DC6900"/>
              <w:right w:val="single" w:sz="8" w:space="0" w:color="DC6900"/>
            </w:tcBorders>
            <w:shd w:val="clear" w:color="auto" w:fill="FFF0CC"/>
          </w:tcPr>
          <w:p w:rsidR="00913429" w:rsidRDefault="00913429">
            <w:pPr>
              <w:spacing w:after="0" w:line="240" w:lineRule="auto"/>
              <w:rPr>
                <w:rFonts w:eastAsia="Times New Roman"/>
                <w:bCs/>
                <w:noProof/>
                <w:color w:val="000000"/>
                <w:sz w:val="18"/>
                <w:szCs w:val="18"/>
              </w:rPr>
            </w:pPr>
          </w:p>
        </w:tc>
        <w:tc>
          <w:tcPr>
            <w:tcW w:w="146" w:type="pct"/>
            <w:tcBorders>
              <w:top w:val="single" w:sz="8" w:space="0" w:color="DC6900"/>
              <w:left w:val="single" w:sz="8" w:space="0" w:color="DC6900"/>
              <w:bottom w:val="single" w:sz="8" w:space="0" w:color="DC6900"/>
              <w:right w:val="single" w:sz="8" w:space="0" w:color="DC6900"/>
            </w:tcBorders>
            <w:shd w:val="clear" w:color="auto" w:fill="808080"/>
          </w:tcPr>
          <w:p w:rsidR="00913429" w:rsidRDefault="00913429">
            <w:pPr>
              <w:spacing w:after="0" w:line="240" w:lineRule="auto"/>
              <w:rPr>
                <w:rFonts w:eastAsia="Times New Roman"/>
                <w:bCs/>
                <w:noProof/>
                <w:color w:val="000000"/>
                <w:sz w:val="18"/>
                <w:szCs w:val="18"/>
              </w:rPr>
            </w:pPr>
          </w:p>
        </w:tc>
        <w:tc>
          <w:tcPr>
            <w:tcW w:w="194" w:type="pct"/>
            <w:tcBorders>
              <w:top w:val="single" w:sz="8" w:space="0" w:color="DC6900"/>
              <w:left w:val="single" w:sz="8" w:space="0" w:color="DC6900"/>
              <w:bottom w:val="single" w:sz="8" w:space="0" w:color="DC6900"/>
              <w:right w:val="single" w:sz="8" w:space="0" w:color="DC6900"/>
            </w:tcBorders>
            <w:shd w:val="clear" w:color="auto" w:fill="808080"/>
            <w:tcMar>
              <w:top w:w="72" w:type="dxa"/>
              <w:left w:w="144" w:type="dxa"/>
              <w:bottom w:w="72" w:type="dxa"/>
              <w:right w:w="144" w:type="dxa"/>
            </w:tcMar>
          </w:tcPr>
          <w:p w:rsidR="00913429" w:rsidRDefault="00913429">
            <w:pPr>
              <w:spacing w:after="0" w:line="240" w:lineRule="auto"/>
              <w:rPr>
                <w:rFonts w:eastAsia="Times New Roman"/>
                <w:bCs/>
                <w:noProof/>
                <w:color w:val="000000"/>
                <w:sz w:val="18"/>
                <w:szCs w:val="18"/>
              </w:rPr>
            </w:pPr>
          </w:p>
        </w:tc>
        <w:tc>
          <w:tcPr>
            <w:tcW w:w="166" w:type="pct"/>
            <w:tcBorders>
              <w:top w:val="single" w:sz="8" w:space="0" w:color="DC6900"/>
              <w:left w:val="single" w:sz="8" w:space="0" w:color="DC6900"/>
              <w:bottom w:val="single" w:sz="8" w:space="0" w:color="DC6900"/>
              <w:right w:val="single" w:sz="8" w:space="0" w:color="DC6900"/>
            </w:tcBorders>
            <w:shd w:val="clear" w:color="auto" w:fill="808080"/>
          </w:tcPr>
          <w:p w:rsidR="00913429" w:rsidRDefault="00913429">
            <w:pPr>
              <w:spacing w:after="0" w:line="240" w:lineRule="auto"/>
              <w:rPr>
                <w:rFonts w:eastAsia="Times New Roman"/>
                <w:bCs/>
                <w:noProof/>
                <w:color w:val="000000"/>
                <w:sz w:val="18"/>
                <w:szCs w:val="18"/>
              </w:rPr>
            </w:pPr>
          </w:p>
        </w:tc>
        <w:tc>
          <w:tcPr>
            <w:tcW w:w="166" w:type="pct"/>
            <w:tcBorders>
              <w:top w:val="single" w:sz="8" w:space="0" w:color="DC6900"/>
              <w:left w:val="single" w:sz="8" w:space="0" w:color="DC6900"/>
              <w:bottom w:val="single" w:sz="8" w:space="0" w:color="DC6900"/>
              <w:right w:val="single" w:sz="8" w:space="0" w:color="DC6900"/>
            </w:tcBorders>
            <w:shd w:val="clear" w:color="auto" w:fill="808080"/>
          </w:tcPr>
          <w:p w:rsidR="00913429" w:rsidRDefault="00913429">
            <w:pPr>
              <w:spacing w:after="0" w:line="240" w:lineRule="auto"/>
              <w:rPr>
                <w:rFonts w:eastAsia="Times New Roman"/>
                <w:bCs/>
                <w:noProof/>
                <w:color w:val="000000"/>
                <w:sz w:val="18"/>
                <w:szCs w:val="18"/>
              </w:rPr>
            </w:pPr>
          </w:p>
        </w:tc>
        <w:tc>
          <w:tcPr>
            <w:tcW w:w="166" w:type="pct"/>
            <w:tcBorders>
              <w:top w:val="single" w:sz="8" w:space="0" w:color="DC6900"/>
              <w:left w:val="single" w:sz="8" w:space="0" w:color="DC6900"/>
              <w:bottom w:val="single" w:sz="8" w:space="0" w:color="DC6900"/>
              <w:right w:val="single" w:sz="8" w:space="0" w:color="DC6900"/>
            </w:tcBorders>
            <w:shd w:val="clear" w:color="auto" w:fill="808080"/>
          </w:tcPr>
          <w:p w:rsidR="00913429" w:rsidRDefault="00913429">
            <w:pPr>
              <w:spacing w:after="0" w:line="240" w:lineRule="auto"/>
              <w:rPr>
                <w:rFonts w:eastAsia="Times New Roman"/>
                <w:bCs/>
                <w:noProof/>
                <w:color w:val="000000"/>
                <w:sz w:val="18"/>
                <w:szCs w:val="18"/>
              </w:rPr>
            </w:pPr>
          </w:p>
        </w:tc>
        <w:tc>
          <w:tcPr>
            <w:tcW w:w="166" w:type="pct"/>
            <w:tcBorders>
              <w:top w:val="single" w:sz="8" w:space="0" w:color="DC6900"/>
              <w:left w:val="single" w:sz="8" w:space="0" w:color="DC6900"/>
              <w:bottom w:val="single" w:sz="8" w:space="0" w:color="DC6900"/>
              <w:right w:val="single" w:sz="8" w:space="0" w:color="DC6900"/>
            </w:tcBorders>
            <w:shd w:val="clear" w:color="auto" w:fill="808080"/>
          </w:tcPr>
          <w:p w:rsidR="00913429" w:rsidRDefault="00913429">
            <w:pPr>
              <w:spacing w:after="0" w:line="240" w:lineRule="auto"/>
              <w:rPr>
                <w:rFonts w:eastAsia="Times New Roman"/>
                <w:bCs/>
                <w:noProof/>
                <w:color w:val="000000"/>
                <w:sz w:val="18"/>
                <w:szCs w:val="18"/>
              </w:rPr>
            </w:pPr>
          </w:p>
        </w:tc>
        <w:tc>
          <w:tcPr>
            <w:tcW w:w="166" w:type="pct"/>
            <w:tcBorders>
              <w:top w:val="single" w:sz="8" w:space="0" w:color="DC6900"/>
              <w:left w:val="single" w:sz="8" w:space="0" w:color="DC6900"/>
              <w:bottom w:val="single" w:sz="8" w:space="0" w:color="DC6900"/>
              <w:right w:val="single" w:sz="8" w:space="0" w:color="DC6900"/>
            </w:tcBorders>
            <w:shd w:val="clear" w:color="auto" w:fill="808080"/>
          </w:tcPr>
          <w:p w:rsidR="00913429" w:rsidRDefault="00913429">
            <w:pPr>
              <w:spacing w:after="0" w:line="240" w:lineRule="auto"/>
              <w:rPr>
                <w:rFonts w:eastAsia="Times New Roman"/>
                <w:bCs/>
                <w:noProof/>
                <w:color w:val="000000"/>
                <w:sz w:val="18"/>
                <w:szCs w:val="18"/>
              </w:rPr>
            </w:pPr>
          </w:p>
        </w:tc>
        <w:tc>
          <w:tcPr>
            <w:tcW w:w="166" w:type="pct"/>
            <w:tcBorders>
              <w:top w:val="single" w:sz="8" w:space="0" w:color="DC6900"/>
              <w:left w:val="single" w:sz="8" w:space="0" w:color="DC6900"/>
              <w:bottom w:val="single" w:sz="8" w:space="0" w:color="DC6900"/>
              <w:right w:val="single" w:sz="8" w:space="0" w:color="DC6900"/>
            </w:tcBorders>
            <w:shd w:val="clear" w:color="auto" w:fill="808080"/>
          </w:tcPr>
          <w:p w:rsidR="00913429" w:rsidRDefault="00913429">
            <w:pPr>
              <w:spacing w:after="0" w:line="240" w:lineRule="auto"/>
              <w:rPr>
                <w:rFonts w:eastAsia="Times New Roman"/>
                <w:bCs/>
                <w:noProof/>
                <w:color w:val="000000"/>
                <w:sz w:val="18"/>
                <w:szCs w:val="18"/>
              </w:rPr>
            </w:pPr>
          </w:p>
        </w:tc>
        <w:tc>
          <w:tcPr>
            <w:tcW w:w="166" w:type="pct"/>
            <w:tcBorders>
              <w:top w:val="single" w:sz="8" w:space="0" w:color="DC6900"/>
              <w:left w:val="single" w:sz="8" w:space="0" w:color="DC6900"/>
              <w:bottom w:val="single" w:sz="8" w:space="0" w:color="DC6900"/>
              <w:right w:val="single" w:sz="8" w:space="0" w:color="DC6900"/>
            </w:tcBorders>
            <w:shd w:val="clear" w:color="auto" w:fill="808080"/>
          </w:tcPr>
          <w:p w:rsidR="00913429" w:rsidRDefault="00913429">
            <w:pPr>
              <w:spacing w:after="0" w:line="240" w:lineRule="auto"/>
              <w:rPr>
                <w:rFonts w:eastAsia="Times New Roman"/>
                <w:bCs/>
                <w:noProof/>
                <w:color w:val="000000"/>
                <w:sz w:val="18"/>
                <w:szCs w:val="18"/>
              </w:rPr>
            </w:pPr>
          </w:p>
        </w:tc>
        <w:tc>
          <w:tcPr>
            <w:tcW w:w="166" w:type="pct"/>
            <w:tcBorders>
              <w:top w:val="single" w:sz="8" w:space="0" w:color="DC6900"/>
              <w:left w:val="single" w:sz="8" w:space="0" w:color="DC6900"/>
              <w:bottom w:val="single" w:sz="8" w:space="0" w:color="DC6900"/>
              <w:right w:val="single" w:sz="8" w:space="0" w:color="DC6900"/>
            </w:tcBorders>
            <w:shd w:val="clear" w:color="auto" w:fill="808080"/>
          </w:tcPr>
          <w:p w:rsidR="00913429" w:rsidRDefault="00913429">
            <w:pPr>
              <w:spacing w:after="0" w:line="240" w:lineRule="auto"/>
              <w:rPr>
                <w:rFonts w:eastAsia="Times New Roman"/>
                <w:bCs/>
                <w:noProof/>
                <w:color w:val="000000"/>
                <w:sz w:val="18"/>
                <w:szCs w:val="18"/>
              </w:rPr>
            </w:pPr>
          </w:p>
        </w:tc>
        <w:tc>
          <w:tcPr>
            <w:tcW w:w="146" w:type="pct"/>
            <w:tcBorders>
              <w:top w:val="single" w:sz="8" w:space="0" w:color="DC6900"/>
              <w:left w:val="single" w:sz="8" w:space="0" w:color="DC6900"/>
              <w:bottom w:val="single" w:sz="8" w:space="0" w:color="DC6900"/>
              <w:right w:val="single" w:sz="8" w:space="0" w:color="DC6900"/>
            </w:tcBorders>
            <w:shd w:val="clear" w:color="auto" w:fill="808080"/>
          </w:tcPr>
          <w:p w:rsidR="00913429" w:rsidRDefault="00913429">
            <w:pPr>
              <w:spacing w:after="0" w:line="240" w:lineRule="auto"/>
              <w:rPr>
                <w:rFonts w:eastAsia="Times New Roman"/>
                <w:bCs/>
                <w:noProof/>
                <w:color w:val="000000"/>
                <w:sz w:val="18"/>
                <w:szCs w:val="18"/>
              </w:rPr>
            </w:pPr>
          </w:p>
        </w:tc>
      </w:tr>
      <w:tr w:rsidR="00913429">
        <w:trPr>
          <w:trHeight w:val="636"/>
        </w:trPr>
        <w:tc>
          <w:tcPr>
            <w:tcW w:w="207" w:type="pct"/>
            <w:tcBorders>
              <w:top w:val="single" w:sz="8" w:space="0" w:color="DC6900"/>
              <w:left w:val="single" w:sz="8" w:space="0" w:color="DC6900"/>
              <w:bottom w:val="single" w:sz="8" w:space="0" w:color="DC6900"/>
              <w:right w:val="single" w:sz="8" w:space="0" w:color="DC6900"/>
            </w:tcBorders>
            <w:shd w:val="clear" w:color="auto" w:fill="FFFFFF"/>
            <w:tcMar>
              <w:top w:w="72" w:type="dxa"/>
              <w:left w:w="113" w:type="dxa"/>
              <w:bottom w:w="72" w:type="dxa"/>
              <w:right w:w="113" w:type="dxa"/>
            </w:tcMar>
            <w:vAlign w:val="center"/>
          </w:tcPr>
          <w:p w:rsidR="00913429" w:rsidRDefault="00E143F0">
            <w:pPr>
              <w:spacing w:after="0" w:line="240" w:lineRule="auto"/>
              <w:jc w:val="center"/>
              <w:rPr>
                <w:rFonts w:eastAsia="Times New Roman"/>
                <w:bCs/>
                <w:noProof/>
                <w:color w:val="000000"/>
                <w:sz w:val="12"/>
                <w:szCs w:val="18"/>
              </w:rPr>
            </w:pPr>
            <w:r>
              <w:rPr>
                <w:rFonts w:eastAsia="Times New Roman"/>
                <w:bCs/>
                <w:noProof/>
                <w:color w:val="000000"/>
                <w:sz w:val="12"/>
                <w:szCs w:val="18"/>
              </w:rPr>
              <w:t>3.2</w:t>
            </w:r>
          </w:p>
        </w:tc>
        <w:tc>
          <w:tcPr>
            <w:tcW w:w="498" w:type="pct"/>
            <w:tcBorders>
              <w:top w:val="single" w:sz="8" w:space="0" w:color="DC6900"/>
              <w:left w:val="single" w:sz="8" w:space="0" w:color="DC6900"/>
              <w:bottom w:val="single" w:sz="8" w:space="0" w:color="DC6900"/>
              <w:right w:val="single" w:sz="8" w:space="0" w:color="DC6900"/>
            </w:tcBorders>
            <w:shd w:val="clear" w:color="auto" w:fill="FFFFFF"/>
            <w:tcMar>
              <w:top w:w="15" w:type="dxa"/>
              <w:left w:w="57" w:type="dxa"/>
              <w:bottom w:w="0" w:type="dxa"/>
              <w:right w:w="15" w:type="dxa"/>
            </w:tcMar>
            <w:vAlign w:val="center"/>
          </w:tcPr>
          <w:p w:rsidR="00913429" w:rsidRDefault="00E143F0">
            <w:pPr>
              <w:spacing w:after="0" w:line="240" w:lineRule="auto"/>
              <w:rPr>
                <w:rFonts w:eastAsia="Times New Roman"/>
                <w:bCs/>
                <w:noProof/>
                <w:color w:val="000000"/>
                <w:sz w:val="12"/>
                <w:szCs w:val="18"/>
              </w:rPr>
            </w:pPr>
            <w:r>
              <w:rPr>
                <w:rFonts w:eastAsia="Times New Roman"/>
                <w:bCs/>
                <w:noProof/>
                <w:color w:val="000000"/>
                <w:sz w:val="12"/>
                <w:szCs w:val="18"/>
              </w:rPr>
              <w:t>Support in answering to specific request coming from the Board</w:t>
            </w:r>
          </w:p>
        </w:tc>
        <w:tc>
          <w:tcPr>
            <w:tcW w:w="182" w:type="pct"/>
            <w:tcBorders>
              <w:top w:val="single" w:sz="8" w:space="0" w:color="DC6900"/>
              <w:left w:val="single" w:sz="8" w:space="0" w:color="DC6900"/>
              <w:bottom w:val="single" w:sz="8" w:space="0" w:color="DC6900"/>
              <w:right w:val="single" w:sz="8" w:space="0" w:color="DC6900"/>
            </w:tcBorders>
            <w:shd w:val="clear" w:color="auto" w:fill="auto"/>
            <w:tcMar>
              <w:top w:w="72" w:type="dxa"/>
              <w:left w:w="144" w:type="dxa"/>
              <w:bottom w:w="72" w:type="dxa"/>
              <w:right w:w="144" w:type="dxa"/>
            </w:tcMar>
          </w:tcPr>
          <w:p w:rsidR="00913429" w:rsidRDefault="00913429">
            <w:pPr>
              <w:spacing w:after="0" w:line="240" w:lineRule="auto"/>
              <w:rPr>
                <w:rFonts w:eastAsia="Times New Roman"/>
                <w:bCs/>
                <w:noProof/>
                <w:color w:val="000000"/>
                <w:sz w:val="18"/>
                <w:szCs w:val="18"/>
              </w:rPr>
            </w:pPr>
          </w:p>
        </w:tc>
        <w:tc>
          <w:tcPr>
            <w:tcW w:w="133" w:type="pct"/>
            <w:tcBorders>
              <w:top w:val="single" w:sz="8" w:space="0" w:color="DC6900"/>
              <w:left w:val="single" w:sz="8" w:space="0" w:color="DC6900"/>
              <w:bottom w:val="single" w:sz="8" w:space="0" w:color="DC6900"/>
              <w:right w:val="single" w:sz="8" w:space="0" w:color="DC6900"/>
            </w:tcBorders>
            <w:shd w:val="clear" w:color="auto" w:fill="auto"/>
          </w:tcPr>
          <w:p w:rsidR="00913429" w:rsidRDefault="00913429">
            <w:pPr>
              <w:spacing w:after="0" w:line="240" w:lineRule="auto"/>
              <w:rPr>
                <w:rFonts w:eastAsia="Times New Roman"/>
                <w:bCs/>
                <w:noProof/>
                <w:color w:val="000000"/>
                <w:sz w:val="18"/>
                <w:szCs w:val="18"/>
              </w:rPr>
            </w:pPr>
          </w:p>
        </w:tc>
        <w:tc>
          <w:tcPr>
            <w:tcW w:w="155" w:type="pct"/>
            <w:tcBorders>
              <w:top w:val="single" w:sz="8" w:space="0" w:color="DC6900"/>
              <w:left w:val="single" w:sz="8" w:space="0" w:color="DC6900"/>
              <w:bottom w:val="single" w:sz="8" w:space="0" w:color="DC6900"/>
              <w:right w:val="single" w:sz="8" w:space="0" w:color="DC6900"/>
            </w:tcBorders>
            <w:shd w:val="clear" w:color="auto" w:fill="auto"/>
            <w:tcMar>
              <w:top w:w="72" w:type="dxa"/>
              <w:left w:w="144" w:type="dxa"/>
              <w:bottom w:w="72" w:type="dxa"/>
              <w:right w:w="144" w:type="dxa"/>
            </w:tcMar>
          </w:tcPr>
          <w:p w:rsidR="00913429" w:rsidRDefault="00913429">
            <w:pPr>
              <w:spacing w:after="0" w:line="240" w:lineRule="auto"/>
              <w:rPr>
                <w:rFonts w:eastAsia="Times New Roman"/>
                <w:bCs/>
                <w:noProof/>
                <w:color w:val="000000"/>
                <w:sz w:val="18"/>
                <w:szCs w:val="18"/>
              </w:rPr>
            </w:pPr>
          </w:p>
        </w:tc>
        <w:tc>
          <w:tcPr>
            <w:tcW w:w="157" w:type="pct"/>
            <w:tcBorders>
              <w:top w:val="single" w:sz="8" w:space="0" w:color="DC6900"/>
              <w:left w:val="single" w:sz="8" w:space="0" w:color="DC6900"/>
              <w:bottom w:val="single" w:sz="8" w:space="0" w:color="DC6900"/>
              <w:right w:val="single" w:sz="8" w:space="0" w:color="DC6900"/>
            </w:tcBorders>
            <w:shd w:val="clear" w:color="auto" w:fill="auto"/>
            <w:tcMar>
              <w:top w:w="72" w:type="dxa"/>
              <w:left w:w="144" w:type="dxa"/>
              <w:bottom w:w="72" w:type="dxa"/>
              <w:right w:w="144" w:type="dxa"/>
            </w:tcMar>
          </w:tcPr>
          <w:p w:rsidR="00913429" w:rsidRDefault="00913429">
            <w:pPr>
              <w:spacing w:after="0" w:line="240" w:lineRule="auto"/>
              <w:rPr>
                <w:rFonts w:eastAsia="Times New Roman"/>
                <w:bCs/>
                <w:noProof/>
                <w:color w:val="000000"/>
                <w:sz w:val="18"/>
                <w:szCs w:val="18"/>
              </w:rPr>
            </w:pPr>
          </w:p>
        </w:tc>
        <w:tc>
          <w:tcPr>
            <w:tcW w:w="161" w:type="pct"/>
            <w:tcBorders>
              <w:top w:val="single" w:sz="8" w:space="0" w:color="DC6900"/>
              <w:left w:val="single" w:sz="8" w:space="0" w:color="DC6900"/>
              <w:bottom w:val="single" w:sz="8" w:space="0" w:color="DC6900"/>
              <w:right w:val="single" w:sz="8" w:space="0" w:color="DC6900"/>
            </w:tcBorders>
            <w:shd w:val="clear" w:color="auto" w:fill="auto"/>
            <w:tcMar>
              <w:top w:w="72" w:type="dxa"/>
              <w:left w:w="144" w:type="dxa"/>
              <w:bottom w:w="72" w:type="dxa"/>
              <w:right w:w="144" w:type="dxa"/>
            </w:tcMar>
          </w:tcPr>
          <w:p w:rsidR="00913429" w:rsidRDefault="00913429">
            <w:pPr>
              <w:spacing w:after="0" w:line="240" w:lineRule="auto"/>
              <w:rPr>
                <w:rFonts w:eastAsia="Times New Roman"/>
                <w:bCs/>
                <w:noProof/>
                <w:color w:val="000000"/>
                <w:sz w:val="18"/>
                <w:szCs w:val="18"/>
              </w:rPr>
            </w:pPr>
          </w:p>
        </w:tc>
        <w:tc>
          <w:tcPr>
            <w:tcW w:w="160" w:type="pct"/>
            <w:tcBorders>
              <w:top w:val="single" w:sz="8" w:space="0" w:color="DC6900"/>
              <w:left w:val="single" w:sz="8" w:space="0" w:color="DC6900"/>
              <w:bottom w:val="single" w:sz="8" w:space="0" w:color="DC6900"/>
              <w:right w:val="single" w:sz="8" w:space="0" w:color="DC6900"/>
            </w:tcBorders>
            <w:shd w:val="clear" w:color="auto" w:fill="FFF0CC"/>
            <w:tcMar>
              <w:top w:w="72" w:type="dxa"/>
              <w:left w:w="144" w:type="dxa"/>
              <w:bottom w:w="72" w:type="dxa"/>
              <w:right w:w="144" w:type="dxa"/>
            </w:tcMar>
          </w:tcPr>
          <w:p w:rsidR="00913429" w:rsidRDefault="00913429">
            <w:pPr>
              <w:spacing w:after="0" w:line="240" w:lineRule="auto"/>
              <w:rPr>
                <w:rFonts w:eastAsia="Times New Roman"/>
                <w:bCs/>
                <w:noProof/>
                <w:color w:val="000000"/>
                <w:sz w:val="18"/>
                <w:szCs w:val="18"/>
              </w:rPr>
            </w:pPr>
          </w:p>
        </w:tc>
        <w:tc>
          <w:tcPr>
            <w:tcW w:w="133" w:type="pct"/>
            <w:tcBorders>
              <w:top w:val="single" w:sz="8" w:space="0" w:color="DC6900"/>
              <w:left w:val="single" w:sz="8" w:space="0" w:color="DC6900"/>
              <w:bottom w:val="single" w:sz="8" w:space="0" w:color="DC6900"/>
              <w:right w:val="single" w:sz="8" w:space="0" w:color="DC6900"/>
            </w:tcBorders>
            <w:shd w:val="clear" w:color="auto" w:fill="FFF0CC"/>
          </w:tcPr>
          <w:p w:rsidR="00913429" w:rsidRDefault="00913429">
            <w:pPr>
              <w:spacing w:after="0" w:line="240" w:lineRule="auto"/>
              <w:rPr>
                <w:rFonts w:eastAsia="Times New Roman"/>
                <w:bCs/>
                <w:noProof/>
                <w:color w:val="000000"/>
                <w:sz w:val="18"/>
                <w:szCs w:val="18"/>
              </w:rPr>
            </w:pPr>
          </w:p>
        </w:tc>
        <w:tc>
          <w:tcPr>
            <w:tcW w:w="139" w:type="pct"/>
            <w:tcBorders>
              <w:top w:val="single" w:sz="8" w:space="0" w:color="DC6900"/>
              <w:left w:val="single" w:sz="8" w:space="0" w:color="DC6900"/>
              <w:bottom w:val="single" w:sz="8" w:space="0" w:color="DC6900"/>
              <w:right w:val="single" w:sz="8" w:space="0" w:color="DC6900"/>
            </w:tcBorders>
            <w:shd w:val="clear" w:color="auto" w:fill="FFF0CC"/>
          </w:tcPr>
          <w:p w:rsidR="00913429" w:rsidRDefault="00913429">
            <w:pPr>
              <w:spacing w:after="0" w:line="240" w:lineRule="auto"/>
              <w:rPr>
                <w:rFonts w:eastAsia="Times New Roman"/>
                <w:bCs/>
                <w:noProof/>
                <w:color w:val="000000"/>
                <w:sz w:val="18"/>
                <w:szCs w:val="18"/>
              </w:rPr>
            </w:pPr>
          </w:p>
        </w:tc>
        <w:tc>
          <w:tcPr>
            <w:tcW w:w="139" w:type="pct"/>
            <w:tcBorders>
              <w:top w:val="single" w:sz="8" w:space="0" w:color="DC6900"/>
              <w:left w:val="single" w:sz="8" w:space="0" w:color="DC6900"/>
              <w:bottom w:val="single" w:sz="8" w:space="0" w:color="DC6900"/>
              <w:right w:val="single" w:sz="8" w:space="0" w:color="DC6900"/>
            </w:tcBorders>
            <w:shd w:val="clear" w:color="auto" w:fill="FFF0CC"/>
          </w:tcPr>
          <w:p w:rsidR="00913429" w:rsidRDefault="00913429">
            <w:pPr>
              <w:spacing w:after="0" w:line="240" w:lineRule="auto"/>
              <w:rPr>
                <w:rFonts w:eastAsia="Times New Roman"/>
                <w:bCs/>
                <w:noProof/>
                <w:color w:val="000000"/>
                <w:sz w:val="18"/>
                <w:szCs w:val="18"/>
              </w:rPr>
            </w:pPr>
          </w:p>
        </w:tc>
        <w:tc>
          <w:tcPr>
            <w:tcW w:w="140" w:type="pct"/>
            <w:tcBorders>
              <w:top w:val="single" w:sz="8" w:space="0" w:color="DC6900"/>
              <w:left w:val="single" w:sz="8" w:space="0" w:color="DC6900"/>
              <w:bottom w:val="single" w:sz="8" w:space="0" w:color="DC6900"/>
              <w:right w:val="single" w:sz="8" w:space="0" w:color="DC6900"/>
            </w:tcBorders>
            <w:shd w:val="clear" w:color="auto" w:fill="FFF0CC"/>
          </w:tcPr>
          <w:p w:rsidR="00913429" w:rsidRDefault="00913429">
            <w:pPr>
              <w:spacing w:after="0" w:line="240" w:lineRule="auto"/>
              <w:rPr>
                <w:rFonts w:eastAsia="Times New Roman"/>
                <w:bCs/>
                <w:noProof/>
                <w:color w:val="000000"/>
                <w:sz w:val="18"/>
                <w:szCs w:val="18"/>
              </w:rPr>
            </w:pPr>
          </w:p>
        </w:tc>
        <w:tc>
          <w:tcPr>
            <w:tcW w:w="139" w:type="pct"/>
            <w:tcBorders>
              <w:top w:val="single" w:sz="8" w:space="0" w:color="DC6900"/>
              <w:left w:val="single" w:sz="8" w:space="0" w:color="DC6900"/>
              <w:bottom w:val="single" w:sz="8" w:space="0" w:color="DC6900"/>
              <w:right w:val="single" w:sz="8" w:space="0" w:color="DC6900"/>
            </w:tcBorders>
            <w:shd w:val="clear" w:color="auto" w:fill="808080"/>
          </w:tcPr>
          <w:p w:rsidR="00913429" w:rsidRDefault="00913429">
            <w:pPr>
              <w:spacing w:after="0" w:line="240" w:lineRule="auto"/>
              <w:rPr>
                <w:rFonts w:eastAsia="Times New Roman"/>
                <w:bCs/>
                <w:noProof/>
                <w:color w:val="000000"/>
                <w:sz w:val="18"/>
                <w:szCs w:val="18"/>
              </w:rPr>
            </w:pPr>
          </w:p>
        </w:tc>
        <w:tc>
          <w:tcPr>
            <w:tcW w:w="139" w:type="pct"/>
            <w:tcBorders>
              <w:top w:val="single" w:sz="8" w:space="0" w:color="DC6900"/>
              <w:left w:val="single" w:sz="8" w:space="0" w:color="DC6900"/>
              <w:bottom w:val="single" w:sz="8" w:space="0" w:color="DC6900"/>
              <w:right w:val="single" w:sz="8" w:space="0" w:color="DC6900"/>
            </w:tcBorders>
            <w:shd w:val="clear" w:color="auto" w:fill="808080"/>
          </w:tcPr>
          <w:p w:rsidR="00913429" w:rsidRDefault="00913429">
            <w:pPr>
              <w:spacing w:after="0" w:line="240" w:lineRule="auto"/>
              <w:rPr>
                <w:rFonts w:eastAsia="Times New Roman"/>
                <w:bCs/>
                <w:noProof/>
                <w:color w:val="000000"/>
                <w:sz w:val="18"/>
                <w:szCs w:val="18"/>
              </w:rPr>
            </w:pPr>
          </w:p>
        </w:tc>
        <w:tc>
          <w:tcPr>
            <w:tcW w:w="140" w:type="pct"/>
            <w:tcBorders>
              <w:top w:val="single" w:sz="8" w:space="0" w:color="DC6900"/>
              <w:left w:val="single" w:sz="8" w:space="0" w:color="DC6900"/>
              <w:bottom w:val="single" w:sz="8" w:space="0" w:color="DC6900"/>
              <w:right w:val="single" w:sz="8" w:space="0" w:color="DC6900"/>
            </w:tcBorders>
            <w:shd w:val="clear" w:color="auto" w:fill="FFF0CC"/>
          </w:tcPr>
          <w:p w:rsidR="00913429" w:rsidRDefault="00913429">
            <w:pPr>
              <w:spacing w:after="0" w:line="240" w:lineRule="auto"/>
              <w:rPr>
                <w:rFonts w:eastAsia="Times New Roman"/>
                <w:bCs/>
                <w:noProof/>
                <w:color w:val="000000"/>
                <w:sz w:val="18"/>
                <w:szCs w:val="18"/>
              </w:rPr>
            </w:pPr>
          </w:p>
        </w:tc>
        <w:tc>
          <w:tcPr>
            <w:tcW w:w="141" w:type="pct"/>
            <w:tcBorders>
              <w:top w:val="single" w:sz="8" w:space="0" w:color="DC6900"/>
              <w:left w:val="single" w:sz="8" w:space="0" w:color="DC6900"/>
              <w:bottom w:val="single" w:sz="8" w:space="0" w:color="DC6900"/>
              <w:right w:val="single" w:sz="8" w:space="0" w:color="DC6900"/>
            </w:tcBorders>
            <w:shd w:val="clear" w:color="auto" w:fill="auto"/>
          </w:tcPr>
          <w:p w:rsidR="00913429" w:rsidRDefault="00913429">
            <w:pPr>
              <w:spacing w:after="0" w:line="240" w:lineRule="auto"/>
              <w:rPr>
                <w:rFonts w:eastAsia="Times New Roman"/>
                <w:bCs/>
                <w:noProof/>
                <w:color w:val="000000"/>
                <w:sz w:val="18"/>
                <w:szCs w:val="18"/>
              </w:rPr>
            </w:pPr>
          </w:p>
        </w:tc>
        <w:tc>
          <w:tcPr>
            <w:tcW w:w="141" w:type="pct"/>
            <w:tcBorders>
              <w:top w:val="single" w:sz="8" w:space="0" w:color="DC6900"/>
              <w:left w:val="single" w:sz="8" w:space="0" w:color="DC6900"/>
              <w:bottom w:val="single" w:sz="8" w:space="0" w:color="DC6900"/>
              <w:right w:val="single" w:sz="8" w:space="0" w:color="DC6900"/>
            </w:tcBorders>
            <w:shd w:val="clear" w:color="auto" w:fill="auto"/>
          </w:tcPr>
          <w:p w:rsidR="00913429" w:rsidRDefault="00913429">
            <w:pPr>
              <w:spacing w:after="0" w:line="240" w:lineRule="auto"/>
              <w:rPr>
                <w:rFonts w:eastAsia="Times New Roman"/>
                <w:bCs/>
                <w:noProof/>
                <w:color w:val="000000"/>
                <w:sz w:val="18"/>
                <w:szCs w:val="18"/>
              </w:rPr>
            </w:pPr>
          </w:p>
        </w:tc>
        <w:tc>
          <w:tcPr>
            <w:tcW w:w="141" w:type="pct"/>
            <w:tcBorders>
              <w:top w:val="single" w:sz="8" w:space="0" w:color="DC6900"/>
              <w:left w:val="single" w:sz="8" w:space="0" w:color="DC6900"/>
              <w:bottom w:val="single" w:sz="8" w:space="0" w:color="DC6900"/>
              <w:right w:val="single" w:sz="8" w:space="0" w:color="DC6900"/>
            </w:tcBorders>
            <w:shd w:val="clear" w:color="auto" w:fill="auto"/>
          </w:tcPr>
          <w:p w:rsidR="00913429" w:rsidRDefault="00913429">
            <w:pPr>
              <w:spacing w:after="0" w:line="240" w:lineRule="auto"/>
              <w:rPr>
                <w:rFonts w:eastAsia="Times New Roman"/>
                <w:bCs/>
                <w:noProof/>
                <w:color w:val="000000"/>
                <w:sz w:val="18"/>
                <w:szCs w:val="18"/>
              </w:rPr>
            </w:pPr>
          </w:p>
        </w:tc>
        <w:tc>
          <w:tcPr>
            <w:tcW w:w="143" w:type="pct"/>
            <w:tcBorders>
              <w:top w:val="single" w:sz="8" w:space="0" w:color="DC6900"/>
              <w:left w:val="single" w:sz="8" w:space="0" w:color="DC6900"/>
              <w:bottom w:val="single" w:sz="8" w:space="0" w:color="DC6900"/>
              <w:right w:val="single" w:sz="8" w:space="0" w:color="DC6900"/>
            </w:tcBorders>
            <w:shd w:val="clear" w:color="auto" w:fill="auto"/>
          </w:tcPr>
          <w:p w:rsidR="00913429" w:rsidRDefault="00913429">
            <w:pPr>
              <w:spacing w:after="0" w:line="240" w:lineRule="auto"/>
              <w:rPr>
                <w:rFonts w:eastAsia="Times New Roman"/>
                <w:bCs/>
                <w:noProof/>
                <w:color w:val="000000"/>
                <w:sz w:val="18"/>
                <w:szCs w:val="18"/>
              </w:rPr>
            </w:pPr>
          </w:p>
        </w:tc>
        <w:tc>
          <w:tcPr>
            <w:tcW w:w="146" w:type="pct"/>
            <w:tcBorders>
              <w:top w:val="single" w:sz="8" w:space="0" w:color="DC6900"/>
              <w:left w:val="single" w:sz="8" w:space="0" w:color="DC6900"/>
              <w:bottom w:val="single" w:sz="8" w:space="0" w:color="DC6900"/>
              <w:right w:val="single" w:sz="8" w:space="0" w:color="DC6900"/>
            </w:tcBorders>
            <w:shd w:val="clear" w:color="auto" w:fill="808080"/>
          </w:tcPr>
          <w:p w:rsidR="00913429" w:rsidRDefault="00913429">
            <w:pPr>
              <w:spacing w:after="0" w:line="240" w:lineRule="auto"/>
              <w:rPr>
                <w:rFonts w:eastAsia="Times New Roman"/>
                <w:bCs/>
                <w:noProof/>
                <w:color w:val="000000"/>
                <w:sz w:val="18"/>
                <w:szCs w:val="18"/>
              </w:rPr>
            </w:pPr>
          </w:p>
        </w:tc>
        <w:tc>
          <w:tcPr>
            <w:tcW w:w="194" w:type="pct"/>
            <w:tcBorders>
              <w:top w:val="single" w:sz="8" w:space="0" w:color="DC6900"/>
              <w:left w:val="single" w:sz="8" w:space="0" w:color="DC6900"/>
              <w:bottom w:val="single" w:sz="8" w:space="0" w:color="DC6900"/>
              <w:right w:val="single" w:sz="8" w:space="0" w:color="DC6900"/>
            </w:tcBorders>
            <w:shd w:val="clear" w:color="auto" w:fill="808080"/>
            <w:tcMar>
              <w:top w:w="72" w:type="dxa"/>
              <w:left w:w="144" w:type="dxa"/>
              <w:bottom w:w="72" w:type="dxa"/>
              <w:right w:w="144" w:type="dxa"/>
            </w:tcMar>
          </w:tcPr>
          <w:p w:rsidR="00913429" w:rsidRDefault="00913429">
            <w:pPr>
              <w:spacing w:after="0" w:line="240" w:lineRule="auto"/>
              <w:rPr>
                <w:rFonts w:eastAsia="Times New Roman"/>
                <w:bCs/>
                <w:noProof/>
                <w:color w:val="000000"/>
                <w:sz w:val="18"/>
                <w:szCs w:val="18"/>
              </w:rPr>
            </w:pPr>
          </w:p>
        </w:tc>
        <w:tc>
          <w:tcPr>
            <w:tcW w:w="166" w:type="pct"/>
            <w:tcBorders>
              <w:top w:val="single" w:sz="8" w:space="0" w:color="DC6900"/>
              <w:left w:val="single" w:sz="8" w:space="0" w:color="DC6900"/>
              <w:bottom w:val="single" w:sz="8" w:space="0" w:color="DC6900"/>
              <w:right w:val="single" w:sz="8" w:space="0" w:color="DC6900"/>
            </w:tcBorders>
            <w:shd w:val="clear" w:color="auto" w:fill="808080"/>
          </w:tcPr>
          <w:p w:rsidR="00913429" w:rsidRDefault="00913429">
            <w:pPr>
              <w:spacing w:after="0" w:line="240" w:lineRule="auto"/>
              <w:rPr>
                <w:rFonts w:eastAsia="Times New Roman"/>
                <w:bCs/>
                <w:noProof/>
                <w:color w:val="000000"/>
                <w:sz w:val="18"/>
                <w:szCs w:val="18"/>
              </w:rPr>
            </w:pPr>
          </w:p>
        </w:tc>
        <w:tc>
          <w:tcPr>
            <w:tcW w:w="166" w:type="pct"/>
            <w:tcBorders>
              <w:top w:val="single" w:sz="8" w:space="0" w:color="DC6900"/>
              <w:left w:val="single" w:sz="8" w:space="0" w:color="DC6900"/>
              <w:bottom w:val="single" w:sz="8" w:space="0" w:color="DC6900"/>
              <w:right w:val="single" w:sz="8" w:space="0" w:color="DC6900"/>
            </w:tcBorders>
            <w:shd w:val="clear" w:color="auto" w:fill="808080"/>
          </w:tcPr>
          <w:p w:rsidR="00913429" w:rsidRDefault="00913429">
            <w:pPr>
              <w:spacing w:after="0" w:line="240" w:lineRule="auto"/>
              <w:rPr>
                <w:rFonts w:eastAsia="Times New Roman"/>
                <w:bCs/>
                <w:noProof/>
                <w:color w:val="000000"/>
                <w:sz w:val="18"/>
                <w:szCs w:val="18"/>
              </w:rPr>
            </w:pPr>
          </w:p>
        </w:tc>
        <w:tc>
          <w:tcPr>
            <w:tcW w:w="166" w:type="pct"/>
            <w:tcBorders>
              <w:top w:val="single" w:sz="8" w:space="0" w:color="DC6900"/>
              <w:left w:val="single" w:sz="8" w:space="0" w:color="DC6900"/>
              <w:bottom w:val="single" w:sz="8" w:space="0" w:color="DC6900"/>
              <w:right w:val="single" w:sz="8" w:space="0" w:color="DC6900"/>
            </w:tcBorders>
            <w:shd w:val="clear" w:color="auto" w:fill="808080"/>
          </w:tcPr>
          <w:p w:rsidR="00913429" w:rsidRDefault="00913429">
            <w:pPr>
              <w:spacing w:after="0" w:line="240" w:lineRule="auto"/>
              <w:rPr>
                <w:rFonts w:eastAsia="Times New Roman"/>
                <w:bCs/>
                <w:noProof/>
                <w:color w:val="000000"/>
                <w:sz w:val="18"/>
                <w:szCs w:val="18"/>
              </w:rPr>
            </w:pPr>
          </w:p>
        </w:tc>
        <w:tc>
          <w:tcPr>
            <w:tcW w:w="166" w:type="pct"/>
            <w:tcBorders>
              <w:top w:val="single" w:sz="8" w:space="0" w:color="DC6900"/>
              <w:left w:val="single" w:sz="8" w:space="0" w:color="DC6900"/>
              <w:bottom w:val="single" w:sz="8" w:space="0" w:color="DC6900"/>
              <w:right w:val="single" w:sz="8" w:space="0" w:color="DC6900"/>
            </w:tcBorders>
            <w:shd w:val="clear" w:color="auto" w:fill="808080"/>
          </w:tcPr>
          <w:p w:rsidR="00913429" w:rsidRDefault="00913429">
            <w:pPr>
              <w:spacing w:after="0" w:line="240" w:lineRule="auto"/>
              <w:rPr>
                <w:rFonts w:eastAsia="Times New Roman"/>
                <w:bCs/>
                <w:noProof/>
                <w:color w:val="000000"/>
                <w:sz w:val="18"/>
                <w:szCs w:val="18"/>
              </w:rPr>
            </w:pPr>
          </w:p>
        </w:tc>
        <w:tc>
          <w:tcPr>
            <w:tcW w:w="166" w:type="pct"/>
            <w:tcBorders>
              <w:top w:val="single" w:sz="8" w:space="0" w:color="DC6900"/>
              <w:left w:val="single" w:sz="8" w:space="0" w:color="DC6900"/>
              <w:bottom w:val="single" w:sz="8" w:space="0" w:color="DC6900"/>
              <w:right w:val="single" w:sz="8" w:space="0" w:color="DC6900"/>
            </w:tcBorders>
            <w:shd w:val="clear" w:color="auto" w:fill="808080"/>
          </w:tcPr>
          <w:p w:rsidR="00913429" w:rsidRDefault="00913429">
            <w:pPr>
              <w:spacing w:after="0" w:line="240" w:lineRule="auto"/>
              <w:rPr>
                <w:rFonts w:eastAsia="Times New Roman"/>
                <w:bCs/>
                <w:noProof/>
                <w:color w:val="000000"/>
                <w:sz w:val="18"/>
                <w:szCs w:val="18"/>
              </w:rPr>
            </w:pPr>
          </w:p>
        </w:tc>
        <w:tc>
          <w:tcPr>
            <w:tcW w:w="166" w:type="pct"/>
            <w:tcBorders>
              <w:top w:val="single" w:sz="8" w:space="0" w:color="DC6900"/>
              <w:left w:val="single" w:sz="8" w:space="0" w:color="DC6900"/>
              <w:bottom w:val="single" w:sz="8" w:space="0" w:color="DC6900"/>
              <w:right w:val="single" w:sz="8" w:space="0" w:color="DC6900"/>
            </w:tcBorders>
            <w:shd w:val="clear" w:color="auto" w:fill="808080"/>
          </w:tcPr>
          <w:p w:rsidR="00913429" w:rsidRDefault="00913429">
            <w:pPr>
              <w:spacing w:after="0" w:line="240" w:lineRule="auto"/>
              <w:rPr>
                <w:rFonts w:eastAsia="Times New Roman"/>
                <w:bCs/>
                <w:noProof/>
                <w:color w:val="000000"/>
                <w:sz w:val="18"/>
                <w:szCs w:val="18"/>
              </w:rPr>
            </w:pPr>
          </w:p>
        </w:tc>
        <w:tc>
          <w:tcPr>
            <w:tcW w:w="166" w:type="pct"/>
            <w:tcBorders>
              <w:top w:val="single" w:sz="8" w:space="0" w:color="DC6900"/>
              <w:left w:val="single" w:sz="8" w:space="0" w:color="DC6900"/>
              <w:bottom w:val="single" w:sz="8" w:space="0" w:color="DC6900"/>
              <w:right w:val="single" w:sz="8" w:space="0" w:color="DC6900"/>
            </w:tcBorders>
            <w:shd w:val="clear" w:color="auto" w:fill="808080"/>
          </w:tcPr>
          <w:p w:rsidR="00913429" w:rsidRDefault="00913429">
            <w:pPr>
              <w:spacing w:after="0" w:line="240" w:lineRule="auto"/>
              <w:rPr>
                <w:rFonts w:eastAsia="Times New Roman"/>
                <w:bCs/>
                <w:noProof/>
                <w:color w:val="000000"/>
                <w:sz w:val="18"/>
                <w:szCs w:val="18"/>
              </w:rPr>
            </w:pPr>
          </w:p>
        </w:tc>
        <w:tc>
          <w:tcPr>
            <w:tcW w:w="166" w:type="pct"/>
            <w:tcBorders>
              <w:top w:val="single" w:sz="8" w:space="0" w:color="DC6900"/>
              <w:left w:val="single" w:sz="8" w:space="0" w:color="DC6900"/>
              <w:bottom w:val="single" w:sz="8" w:space="0" w:color="DC6900"/>
              <w:right w:val="single" w:sz="8" w:space="0" w:color="DC6900"/>
            </w:tcBorders>
            <w:shd w:val="clear" w:color="auto" w:fill="808080"/>
          </w:tcPr>
          <w:p w:rsidR="00913429" w:rsidRDefault="00913429">
            <w:pPr>
              <w:spacing w:after="0" w:line="240" w:lineRule="auto"/>
              <w:rPr>
                <w:rFonts w:eastAsia="Times New Roman"/>
                <w:bCs/>
                <w:noProof/>
                <w:color w:val="000000"/>
                <w:sz w:val="18"/>
                <w:szCs w:val="18"/>
              </w:rPr>
            </w:pPr>
          </w:p>
        </w:tc>
        <w:tc>
          <w:tcPr>
            <w:tcW w:w="146" w:type="pct"/>
            <w:tcBorders>
              <w:top w:val="single" w:sz="8" w:space="0" w:color="DC6900"/>
              <w:left w:val="single" w:sz="8" w:space="0" w:color="DC6900"/>
              <w:bottom w:val="single" w:sz="8" w:space="0" w:color="DC6900"/>
              <w:right w:val="single" w:sz="8" w:space="0" w:color="DC6900"/>
            </w:tcBorders>
            <w:shd w:val="clear" w:color="auto" w:fill="808080"/>
          </w:tcPr>
          <w:p w:rsidR="00913429" w:rsidRDefault="00913429">
            <w:pPr>
              <w:spacing w:after="0" w:line="240" w:lineRule="auto"/>
              <w:rPr>
                <w:rFonts w:eastAsia="Times New Roman"/>
                <w:bCs/>
                <w:noProof/>
                <w:color w:val="000000"/>
                <w:sz w:val="18"/>
                <w:szCs w:val="18"/>
              </w:rPr>
            </w:pPr>
          </w:p>
        </w:tc>
      </w:tr>
      <w:tr w:rsidR="00913429">
        <w:trPr>
          <w:trHeight w:val="636"/>
        </w:trPr>
        <w:tc>
          <w:tcPr>
            <w:tcW w:w="207" w:type="pct"/>
            <w:tcBorders>
              <w:top w:val="single" w:sz="8" w:space="0" w:color="DC6900"/>
              <w:left w:val="single" w:sz="8" w:space="0" w:color="DC6900"/>
              <w:bottom w:val="single" w:sz="8" w:space="0" w:color="DC6900"/>
              <w:right w:val="single" w:sz="8" w:space="0" w:color="DC6900"/>
            </w:tcBorders>
            <w:shd w:val="clear" w:color="auto" w:fill="FFFFFF"/>
            <w:tcMar>
              <w:top w:w="72" w:type="dxa"/>
              <w:left w:w="113" w:type="dxa"/>
              <w:bottom w:w="72" w:type="dxa"/>
              <w:right w:w="113" w:type="dxa"/>
            </w:tcMar>
            <w:vAlign w:val="center"/>
          </w:tcPr>
          <w:p w:rsidR="00913429" w:rsidRDefault="00E143F0">
            <w:pPr>
              <w:spacing w:after="0" w:line="240" w:lineRule="auto"/>
              <w:jc w:val="center"/>
              <w:rPr>
                <w:rFonts w:eastAsia="Times New Roman"/>
                <w:bCs/>
                <w:noProof/>
                <w:color w:val="000000"/>
                <w:sz w:val="12"/>
                <w:szCs w:val="18"/>
              </w:rPr>
            </w:pPr>
            <w:r>
              <w:rPr>
                <w:rFonts w:eastAsia="Times New Roman"/>
                <w:bCs/>
                <w:noProof/>
                <w:color w:val="000000"/>
                <w:sz w:val="12"/>
                <w:szCs w:val="18"/>
              </w:rPr>
              <w:t>3.3</w:t>
            </w:r>
          </w:p>
        </w:tc>
        <w:tc>
          <w:tcPr>
            <w:tcW w:w="498" w:type="pct"/>
            <w:tcBorders>
              <w:top w:val="single" w:sz="8" w:space="0" w:color="DC6900"/>
              <w:left w:val="single" w:sz="8" w:space="0" w:color="DC6900"/>
              <w:bottom w:val="single" w:sz="8" w:space="0" w:color="DC6900"/>
              <w:right w:val="single" w:sz="8" w:space="0" w:color="DC6900"/>
            </w:tcBorders>
            <w:shd w:val="clear" w:color="auto" w:fill="FFFFFF"/>
            <w:tcMar>
              <w:top w:w="15" w:type="dxa"/>
              <w:left w:w="57" w:type="dxa"/>
              <w:bottom w:w="0" w:type="dxa"/>
              <w:right w:w="15" w:type="dxa"/>
            </w:tcMar>
            <w:vAlign w:val="center"/>
          </w:tcPr>
          <w:p w:rsidR="00913429" w:rsidRDefault="00E143F0">
            <w:pPr>
              <w:spacing w:after="0" w:line="240" w:lineRule="auto"/>
              <w:rPr>
                <w:rFonts w:eastAsia="Times New Roman"/>
                <w:bCs/>
                <w:noProof/>
                <w:color w:val="000000"/>
                <w:sz w:val="12"/>
                <w:szCs w:val="18"/>
              </w:rPr>
            </w:pPr>
            <w:r>
              <w:rPr>
                <w:rFonts w:eastAsia="Times New Roman"/>
                <w:bCs/>
                <w:noProof/>
                <w:color w:val="000000"/>
                <w:sz w:val="12"/>
                <w:szCs w:val="18"/>
              </w:rPr>
              <w:t>Elaboration of the intervention logic</w:t>
            </w:r>
          </w:p>
        </w:tc>
        <w:tc>
          <w:tcPr>
            <w:tcW w:w="182" w:type="pct"/>
            <w:tcBorders>
              <w:top w:val="single" w:sz="8" w:space="0" w:color="DC6900"/>
              <w:left w:val="single" w:sz="8" w:space="0" w:color="DC6900"/>
              <w:bottom w:val="single" w:sz="8" w:space="0" w:color="DC6900"/>
              <w:right w:val="single" w:sz="8" w:space="0" w:color="DC6900"/>
            </w:tcBorders>
            <w:shd w:val="clear" w:color="auto" w:fill="FFF0CC"/>
            <w:tcMar>
              <w:top w:w="72" w:type="dxa"/>
              <w:left w:w="144" w:type="dxa"/>
              <w:bottom w:w="72" w:type="dxa"/>
              <w:right w:w="144" w:type="dxa"/>
            </w:tcMar>
          </w:tcPr>
          <w:p w:rsidR="00913429" w:rsidRDefault="00913429">
            <w:pPr>
              <w:spacing w:after="0" w:line="240" w:lineRule="auto"/>
              <w:rPr>
                <w:rFonts w:eastAsia="Times New Roman"/>
                <w:bCs/>
                <w:noProof/>
                <w:color w:val="000000"/>
                <w:sz w:val="18"/>
                <w:szCs w:val="18"/>
              </w:rPr>
            </w:pPr>
          </w:p>
        </w:tc>
        <w:tc>
          <w:tcPr>
            <w:tcW w:w="133" w:type="pct"/>
            <w:tcBorders>
              <w:top w:val="single" w:sz="8" w:space="0" w:color="DC6900"/>
              <w:left w:val="single" w:sz="8" w:space="0" w:color="DC6900"/>
              <w:bottom w:val="single" w:sz="8" w:space="0" w:color="DC6900"/>
              <w:right w:val="single" w:sz="8" w:space="0" w:color="DC6900"/>
            </w:tcBorders>
            <w:shd w:val="clear" w:color="auto" w:fill="FFF0CC"/>
          </w:tcPr>
          <w:p w:rsidR="00913429" w:rsidRDefault="00913429">
            <w:pPr>
              <w:spacing w:after="0" w:line="240" w:lineRule="auto"/>
              <w:rPr>
                <w:rFonts w:eastAsia="Times New Roman"/>
                <w:bCs/>
                <w:noProof/>
                <w:color w:val="000000"/>
                <w:sz w:val="18"/>
                <w:szCs w:val="18"/>
              </w:rPr>
            </w:pPr>
          </w:p>
        </w:tc>
        <w:tc>
          <w:tcPr>
            <w:tcW w:w="155" w:type="pct"/>
            <w:tcBorders>
              <w:top w:val="single" w:sz="8" w:space="0" w:color="DC6900"/>
              <w:left w:val="single" w:sz="8" w:space="0" w:color="DC6900"/>
              <w:bottom w:val="single" w:sz="8" w:space="0" w:color="DC6900"/>
              <w:right w:val="single" w:sz="8" w:space="0" w:color="DC6900"/>
            </w:tcBorders>
            <w:shd w:val="clear" w:color="auto" w:fill="FFF0CC"/>
            <w:tcMar>
              <w:top w:w="72" w:type="dxa"/>
              <w:left w:w="144" w:type="dxa"/>
              <w:bottom w:w="72" w:type="dxa"/>
              <w:right w:w="144" w:type="dxa"/>
            </w:tcMar>
          </w:tcPr>
          <w:p w:rsidR="00913429" w:rsidRDefault="00913429">
            <w:pPr>
              <w:spacing w:after="0" w:line="240" w:lineRule="auto"/>
              <w:rPr>
                <w:rFonts w:eastAsia="Times New Roman"/>
                <w:bCs/>
                <w:noProof/>
                <w:color w:val="000000"/>
                <w:sz w:val="18"/>
                <w:szCs w:val="18"/>
              </w:rPr>
            </w:pPr>
          </w:p>
        </w:tc>
        <w:tc>
          <w:tcPr>
            <w:tcW w:w="157" w:type="pct"/>
            <w:tcBorders>
              <w:top w:val="single" w:sz="8" w:space="0" w:color="DC6900"/>
              <w:left w:val="single" w:sz="8" w:space="0" w:color="DC6900"/>
              <w:bottom w:val="single" w:sz="8" w:space="0" w:color="DC6900"/>
              <w:right w:val="single" w:sz="8" w:space="0" w:color="DC6900"/>
            </w:tcBorders>
            <w:shd w:val="clear" w:color="auto" w:fill="FFF0CC"/>
            <w:tcMar>
              <w:top w:w="72" w:type="dxa"/>
              <w:left w:w="144" w:type="dxa"/>
              <w:bottom w:w="72" w:type="dxa"/>
              <w:right w:w="144" w:type="dxa"/>
            </w:tcMar>
          </w:tcPr>
          <w:p w:rsidR="00913429" w:rsidRDefault="00913429">
            <w:pPr>
              <w:spacing w:after="0" w:line="240" w:lineRule="auto"/>
              <w:rPr>
                <w:rFonts w:eastAsia="Times New Roman"/>
                <w:bCs/>
                <w:noProof/>
                <w:color w:val="000000"/>
                <w:sz w:val="18"/>
                <w:szCs w:val="18"/>
              </w:rPr>
            </w:pPr>
          </w:p>
        </w:tc>
        <w:tc>
          <w:tcPr>
            <w:tcW w:w="161" w:type="pct"/>
            <w:tcBorders>
              <w:top w:val="single" w:sz="8" w:space="0" w:color="DC6900"/>
              <w:left w:val="single" w:sz="8" w:space="0" w:color="DC6900"/>
              <w:bottom w:val="single" w:sz="8" w:space="0" w:color="DC6900"/>
              <w:right w:val="single" w:sz="8" w:space="0" w:color="DC6900"/>
            </w:tcBorders>
            <w:shd w:val="clear" w:color="auto" w:fill="FFF0CC"/>
            <w:tcMar>
              <w:top w:w="72" w:type="dxa"/>
              <w:left w:w="144" w:type="dxa"/>
              <w:bottom w:w="72" w:type="dxa"/>
              <w:right w:w="144" w:type="dxa"/>
            </w:tcMar>
          </w:tcPr>
          <w:p w:rsidR="00913429" w:rsidRDefault="00913429">
            <w:pPr>
              <w:spacing w:after="0" w:line="240" w:lineRule="auto"/>
              <w:rPr>
                <w:rFonts w:eastAsia="Times New Roman"/>
                <w:bCs/>
                <w:noProof/>
                <w:color w:val="000000"/>
                <w:sz w:val="18"/>
                <w:szCs w:val="18"/>
              </w:rPr>
            </w:pPr>
          </w:p>
        </w:tc>
        <w:tc>
          <w:tcPr>
            <w:tcW w:w="160" w:type="pct"/>
            <w:tcBorders>
              <w:top w:val="single" w:sz="8" w:space="0" w:color="DC6900"/>
              <w:left w:val="single" w:sz="8" w:space="0" w:color="DC6900"/>
              <w:bottom w:val="single" w:sz="8" w:space="0" w:color="DC6900"/>
              <w:right w:val="single" w:sz="8" w:space="0" w:color="DC6900"/>
            </w:tcBorders>
            <w:shd w:val="clear" w:color="auto" w:fill="FFF0CC"/>
            <w:tcMar>
              <w:top w:w="72" w:type="dxa"/>
              <w:left w:w="144" w:type="dxa"/>
              <w:bottom w:w="72" w:type="dxa"/>
              <w:right w:w="144" w:type="dxa"/>
            </w:tcMar>
          </w:tcPr>
          <w:p w:rsidR="00913429" w:rsidRDefault="00913429">
            <w:pPr>
              <w:spacing w:after="0" w:line="240" w:lineRule="auto"/>
              <w:rPr>
                <w:rFonts w:eastAsia="Times New Roman"/>
                <w:bCs/>
                <w:noProof/>
                <w:color w:val="000000"/>
                <w:sz w:val="18"/>
                <w:szCs w:val="18"/>
              </w:rPr>
            </w:pPr>
          </w:p>
        </w:tc>
        <w:tc>
          <w:tcPr>
            <w:tcW w:w="133" w:type="pct"/>
            <w:tcBorders>
              <w:top w:val="single" w:sz="8" w:space="0" w:color="DC6900"/>
              <w:left w:val="single" w:sz="8" w:space="0" w:color="DC6900"/>
              <w:bottom w:val="single" w:sz="8" w:space="0" w:color="DC6900"/>
              <w:right w:val="single" w:sz="8" w:space="0" w:color="DC6900"/>
            </w:tcBorders>
            <w:shd w:val="clear" w:color="auto" w:fill="FFF0CC"/>
          </w:tcPr>
          <w:p w:rsidR="00913429" w:rsidRDefault="00913429">
            <w:pPr>
              <w:spacing w:after="0" w:line="240" w:lineRule="auto"/>
              <w:rPr>
                <w:rFonts w:eastAsia="Times New Roman"/>
                <w:bCs/>
                <w:noProof/>
                <w:color w:val="000000"/>
                <w:sz w:val="18"/>
                <w:szCs w:val="18"/>
              </w:rPr>
            </w:pPr>
          </w:p>
        </w:tc>
        <w:tc>
          <w:tcPr>
            <w:tcW w:w="139" w:type="pct"/>
            <w:tcBorders>
              <w:top w:val="single" w:sz="8" w:space="0" w:color="DC6900"/>
              <w:left w:val="single" w:sz="8" w:space="0" w:color="DC6900"/>
              <w:bottom w:val="single" w:sz="8" w:space="0" w:color="DC6900"/>
              <w:right w:val="single" w:sz="8" w:space="0" w:color="DC6900"/>
            </w:tcBorders>
            <w:shd w:val="clear" w:color="auto" w:fill="FFF0CC"/>
          </w:tcPr>
          <w:p w:rsidR="00913429" w:rsidRDefault="00913429">
            <w:pPr>
              <w:spacing w:after="0" w:line="240" w:lineRule="auto"/>
              <w:rPr>
                <w:rFonts w:eastAsia="Times New Roman"/>
                <w:bCs/>
                <w:noProof/>
                <w:color w:val="000000"/>
                <w:sz w:val="18"/>
                <w:szCs w:val="18"/>
              </w:rPr>
            </w:pPr>
          </w:p>
        </w:tc>
        <w:tc>
          <w:tcPr>
            <w:tcW w:w="139" w:type="pct"/>
            <w:tcBorders>
              <w:top w:val="single" w:sz="8" w:space="0" w:color="DC6900"/>
              <w:left w:val="single" w:sz="8" w:space="0" w:color="DC6900"/>
              <w:bottom w:val="single" w:sz="8" w:space="0" w:color="DC6900"/>
              <w:right w:val="single" w:sz="8" w:space="0" w:color="DC6900"/>
            </w:tcBorders>
            <w:shd w:val="clear" w:color="auto" w:fill="FFF0CC"/>
          </w:tcPr>
          <w:p w:rsidR="00913429" w:rsidRDefault="00913429">
            <w:pPr>
              <w:spacing w:after="0" w:line="240" w:lineRule="auto"/>
              <w:rPr>
                <w:rFonts w:eastAsia="Times New Roman"/>
                <w:bCs/>
                <w:noProof/>
                <w:color w:val="000000"/>
                <w:sz w:val="18"/>
                <w:szCs w:val="18"/>
              </w:rPr>
            </w:pPr>
          </w:p>
        </w:tc>
        <w:tc>
          <w:tcPr>
            <w:tcW w:w="140" w:type="pct"/>
            <w:tcBorders>
              <w:top w:val="single" w:sz="8" w:space="0" w:color="DC6900"/>
              <w:left w:val="single" w:sz="8" w:space="0" w:color="DC6900"/>
              <w:bottom w:val="single" w:sz="8" w:space="0" w:color="DC6900"/>
              <w:right w:val="single" w:sz="8" w:space="0" w:color="DC6900"/>
            </w:tcBorders>
            <w:shd w:val="clear" w:color="auto" w:fill="auto"/>
          </w:tcPr>
          <w:p w:rsidR="00913429" w:rsidRDefault="00913429">
            <w:pPr>
              <w:spacing w:after="0" w:line="240" w:lineRule="auto"/>
              <w:rPr>
                <w:rFonts w:eastAsia="Times New Roman"/>
                <w:bCs/>
                <w:noProof/>
                <w:color w:val="000000"/>
                <w:sz w:val="18"/>
                <w:szCs w:val="18"/>
              </w:rPr>
            </w:pPr>
          </w:p>
        </w:tc>
        <w:tc>
          <w:tcPr>
            <w:tcW w:w="139" w:type="pct"/>
            <w:tcBorders>
              <w:top w:val="single" w:sz="8" w:space="0" w:color="DC6900"/>
              <w:left w:val="single" w:sz="8" w:space="0" w:color="DC6900"/>
              <w:bottom w:val="single" w:sz="8" w:space="0" w:color="DC6900"/>
              <w:right w:val="single" w:sz="8" w:space="0" w:color="DC6900"/>
            </w:tcBorders>
            <w:shd w:val="clear" w:color="auto" w:fill="808080"/>
          </w:tcPr>
          <w:p w:rsidR="00913429" w:rsidRDefault="00913429">
            <w:pPr>
              <w:spacing w:after="0" w:line="240" w:lineRule="auto"/>
              <w:rPr>
                <w:rFonts w:eastAsia="Times New Roman"/>
                <w:bCs/>
                <w:noProof/>
                <w:color w:val="000000"/>
                <w:sz w:val="18"/>
                <w:szCs w:val="18"/>
              </w:rPr>
            </w:pPr>
          </w:p>
        </w:tc>
        <w:tc>
          <w:tcPr>
            <w:tcW w:w="139" w:type="pct"/>
            <w:tcBorders>
              <w:top w:val="single" w:sz="8" w:space="0" w:color="DC6900"/>
              <w:left w:val="single" w:sz="8" w:space="0" w:color="DC6900"/>
              <w:bottom w:val="single" w:sz="8" w:space="0" w:color="DC6900"/>
              <w:right w:val="single" w:sz="8" w:space="0" w:color="DC6900"/>
            </w:tcBorders>
            <w:shd w:val="clear" w:color="auto" w:fill="808080"/>
          </w:tcPr>
          <w:p w:rsidR="00913429" w:rsidRDefault="00913429">
            <w:pPr>
              <w:spacing w:after="0" w:line="240" w:lineRule="auto"/>
              <w:rPr>
                <w:rFonts w:eastAsia="Times New Roman"/>
                <w:bCs/>
                <w:noProof/>
                <w:color w:val="000000"/>
                <w:sz w:val="18"/>
                <w:szCs w:val="18"/>
              </w:rPr>
            </w:pPr>
          </w:p>
        </w:tc>
        <w:tc>
          <w:tcPr>
            <w:tcW w:w="140" w:type="pct"/>
            <w:tcBorders>
              <w:top w:val="single" w:sz="8" w:space="0" w:color="DC6900"/>
              <w:left w:val="single" w:sz="8" w:space="0" w:color="DC6900"/>
              <w:bottom w:val="single" w:sz="8" w:space="0" w:color="DC6900"/>
              <w:right w:val="single" w:sz="8" w:space="0" w:color="DC6900"/>
            </w:tcBorders>
            <w:shd w:val="clear" w:color="auto" w:fill="auto"/>
          </w:tcPr>
          <w:p w:rsidR="00913429" w:rsidRDefault="00913429">
            <w:pPr>
              <w:spacing w:after="0" w:line="240" w:lineRule="auto"/>
              <w:rPr>
                <w:rFonts w:eastAsia="Times New Roman"/>
                <w:bCs/>
                <w:noProof/>
                <w:color w:val="000000"/>
                <w:sz w:val="18"/>
                <w:szCs w:val="18"/>
              </w:rPr>
            </w:pPr>
          </w:p>
        </w:tc>
        <w:tc>
          <w:tcPr>
            <w:tcW w:w="141" w:type="pct"/>
            <w:tcBorders>
              <w:top w:val="single" w:sz="8" w:space="0" w:color="DC6900"/>
              <w:left w:val="single" w:sz="8" w:space="0" w:color="DC6900"/>
              <w:bottom w:val="single" w:sz="8" w:space="0" w:color="DC6900"/>
              <w:right w:val="single" w:sz="8" w:space="0" w:color="DC6900"/>
            </w:tcBorders>
            <w:shd w:val="clear" w:color="auto" w:fill="auto"/>
          </w:tcPr>
          <w:p w:rsidR="00913429" w:rsidRDefault="00913429">
            <w:pPr>
              <w:spacing w:after="0" w:line="240" w:lineRule="auto"/>
              <w:rPr>
                <w:rFonts w:eastAsia="Times New Roman"/>
                <w:bCs/>
                <w:noProof/>
                <w:color w:val="000000"/>
                <w:sz w:val="18"/>
                <w:szCs w:val="18"/>
              </w:rPr>
            </w:pPr>
          </w:p>
        </w:tc>
        <w:tc>
          <w:tcPr>
            <w:tcW w:w="141" w:type="pct"/>
            <w:tcBorders>
              <w:top w:val="single" w:sz="8" w:space="0" w:color="DC6900"/>
              <w:left w:val="single" w:sz="8" w:space="0" w:color="DC6900"/>
              <w:bottom w:val="single" w:sz="8" w:space="0" w:color="DC6900"/>
              <w:right w:val="single" w:sz="8" w:space="0" w:color="DC6900"/>
            </w:tcBorders>
            <w:shd w:val="clear" w:color="auto" w:fill="auto"/>
          </w:tcPr>
          <w:p w:rsidR="00913429" w:rsidRDefault="00913429">
            <w:pPr>
              <w:spacing w:after="0" w:line="240" w:lineRule="auto"/>
              <w:rPr>
                <w:rFonts w:eastAsia="Times New Roman"/>
                <w:bCs/>
                <w:noProof/>
                <w:color w:val="000000"/>
                <w:sz w:val="18"/>
                <w:szCs w:val="18"/>
              </w:rPr>
            </w:pPr>
          </w:p>
        </w:tc>
        <w:tc>
          <w:tcPr>
            <w:tcW w:w="141" w:type="pct"/>
            <w:tcBorders>
              <w:top w:val="single" w:sz="8" w:space="0" w:color="DC6900"/>
              <w:left w:val="single" w:sz="8" w:space="0" w:color="DC6900"/>
              <w:bottom w:val="single" w:sz="8" w:space="0" w:color="DC6900"/>
              <w:right w:val="single" w:sz="8" w:space="0" w:color="DC6900"/>
            </w:tcBorders>
            <w:shd w:val="clear" w:color="auto" w:fill="auto"/>
          </w:tcPr>
          <w:p w:rsidR="00913429" w:rsidRDefault="00913429">
            <w:pPr>
              <w:spacing w:after="0" w:line="240" w:lineRule="auto"/>
              <w:rPr>
                <w:rFonts w:eastAsia="Times New Roman"/>
                <w:bCs/>
                <w:noProof/>
                <w:color w:val="000000"/>
                <w:sz w:val="18"/>
                <w:szCs w:val="18"/>
              </w:rPr>
            </w:pPr>
          </w:p>
        </w:tc>
        <w:tc>
          <w:tcPr>
            <w:tcW w:w="143" w:type="pct"/>
            <w:tcBorders>
              <w:top w:val="single" w:sz="8" w:space="0" w:color="DC6900"/>
              <w:left w:val="single" w:sz="8" w:space="0" w:color="DC6900"/>
              <w:bottom w:val="single" w:sz="8" w:space="0" w:color="DC6900"/>
              <w:right w:val="single" w:sz="8" w:space="0" w:color="DC6900"/>
            </w:tcBorders>
            <w:shd w:val="clear" w:color="auto" w:fill="auto"/>
          </w:tcPr>
          <w:p w:rsidR="00913429" w:rsidRDefault="00913429">
            <w:pPr>
              <w:spacing w:after="0" w:line="240" w:lineRule="auto"/>
              <w:rPr>
                <w:rFonts w:eastAsia="Times New Roman"/>
                <w:bCs/>
                <w:noProof/>
                <w:color w:val="000000"/>
                <w:sz w:val="18"/>
                <w:szCs w:val="18"/>
              </w:rPr>
            </w:pPr>
          </w:p>
        </w:tc>
        <w:tc>
          <w:tcPr>
            <w:tcW w:w="146" w:type="pct"/>
            <w:tcBorders>
              <w:top w:val="single" w:sz="8" w:space="0" w:color="DC6900"/>
              <w:left w:val="single" w:sz="8" w:space="0" w:color="DC6900"/>
              <w:bottom w:val="single" w:sz="8" w:space="0" w:color="DC6900"/>
              <w:right w:val="single" w:sz="8" w:space="0" w:color="DC6900"/>
            </w:tcBorders>
            <w:shd w:val="clear" w:color="auto" w:fill="808080"/>
          </w:tcPr>
          <w:p w:rsidR="00913429" w:rsidRDefault="00913429">
            <w:pPr>
              <w:spacing w:after="0" w:line="240" w:lineRule="auto"/>
              <w:rPr>
                <w:rFonts w:eastAsia="Times New Roman"/>
                <w:bCs/>
                <w:noProof/>
                <w:color w:val="000000"/>
                <w:sz w:val="18"/>
                <w:szCs w:val="18"/>
              </w:rPr>
            </w:pPr>
          </w:p>
        </w:tc>
        <w:tc>
          <w:tcPr>
            <w:tcW w:w="194" w:type="pct"/>
            <w:tcBorders>
              <w:top w:val="single" w:sz="8" w:space="0" w:color="DC6900"/>
              <w:left w:val="single" w:sz="8" w:space="0" w:color="DC6900"/>
              <w:bottom w:val="single" w:sz="8" w:space="0" w:color="DC6900"/>
              <w:right w:val="single" w:sz="8" w:space="0" w:color="DC6900"/>
            </w:tcBorders>
            <w:shd w:val="clear" w:color="auto" w:fill="808080"/>
            <w:tcMar>
              <w:top w:w="72" w:type="dxa"/>
              <w:left w:w="144" w:type="dxa"/>
              <w:bottom w:w="72" w:type="dxa"/>
              <w:right w:w="144" w:type="dxa"/>
            </w:tcMar>
          </w:tcPr>
          <w:p w:rsidR="00913429" w:rsidRDefault="00913429">
            <w:pPr>
              <w:spacing w:after="0" w:line="240" w:lineRule="auto"/>
              <w:rPr>
                <w:rFonts w:eastAsia="Times New Roman"/>
                <w:bCs/>
                <w:noProof/>
                <w:color w:val="000000"/>
                <w:sz w:val="18"/>
                <w:szCs w:val="18"/>
              </w:rPr>
            </w:pPr>
          </w:p>
        </w:tc>
        <w:tc>
          <w:tcPr>
            <w:tcW w:w="166" w:type="pct"/>
            <w:tcBorders>
              <w:top w:val="single" w:sz="8" w:space="0" w:color="DC6900"/>
              <w:left w:val="single" w:sz="8" w:space="0" w:color="DC6900"/>
              <w:bottom w:val="single" w:sz="8" w:space="0" w:color="DC6900"/>
              <w:right w:val="single" w:sz="8" w:space="0" w:color="DC6900"/>
            </w:tcBorders>
            <w:shd w:val="clear" w:color="auto" w:fill="808080"/>
          </w:tcPr>
          <w:p w:rsidR="00913429" w:rsidRDefault="00913429">
            <w:pPr>
              <w:spacing w:after="0" w:line="240" w:lineRule="auto"/>
              <w:rPr>
                <w:rFonts w:eastAsia="Times New Roman"/>
                <w:bCs/>
                <w:noProof/>
                <w:color w:val="000000"/>
                <w:sz w:val="18"/>
                <w:szCs w:val="18"/>
              </w:rPr>
            </w:pPr>
          </w:p>
        </w:tc>
        <w:tc>
          <w:tcPr>
            <w:tcW w:w="166" w:type="pct"/>
            <w:tcBorders>
              <w:top w:val="single" w:sz="8" w:space="0" w:color="DC6900"/>
              <w:left w:val="single" w:sz="8" w:space="0" w:color="DC6900"/>
              <w:bottom w:val="single" w:sz="8" w:space="0" w:color="DC6900"/>
              <w:right w:val="single" w:sz="8" w:space="0" w:color="DC6900"/>
            </w:tcBorders>
            <w:shd w:val="clear" w:color="auto" w:fill="808080"/>
          </w:tcPr>
          <w:p w:rsidR="00913429" w:rsidRDefault="00913429">
            <w:pPr>
              <w:spacing w:after="0" w:line="240" w:lineRule="auto"/>
              <w:rPr>
                <w:rFonts w:eastAsia="Times New Roman"/>
                <w:bCs/>
                <w:noProof/>
                <w:color w:val="000000"/>
                <w:sz w:val="18"/>
                <w:szCs w:val="18"/>
              </w:rPr>
            </w:pPr>
          </w:p>
        </w:tc>
        <w:tc>
          <w:tcPr>
            <w:tcW w:w="166" w:type="pct"/>
            <w:tcBorders>
              <w:top w:val="single" w:sz="8" w:space="0" w:color="DC6900"/>
              <w:left w:val="single" w:sz="8" w:space="0" w:color="DC6900"/>
              <w:bottom w:val="single" w:sz="8" w:space="0" w:color="DC6900"/>
              <w:right w:val="single" w:sz="8" w:space="0" w:color="DC6900"/>
            </w:tcBorders>
            <w:shd w:val="clear" w:color="auto" w:fill="808080"/>
          </w:tcPr>
          <w:p w:rsidR="00913429" w:rsidRDefault="00913429">
            <w:pPr>
              <w:spacing w:after="0" w:line="240" w:lineRule="auto"/>
              <w:rPr>
                <w:rFonts w:eastAsia="Times New Roman"/>
                <w:bCs/>
                <w:noProof/>
                <w:color w:val="000000"/>
                <w:sz w:val="18"/>
                <w:szCs w:val="18"/>
              </w:rPr>
            </w:pPr>
          </w:p>
        </w:tc>
        <w:tc>
          <w:tcPr>
            <w:tcW w:w="166" w:type="pct"/>
            <w:tcBorders>
              <w:top w:val="single" w:sz="8" w:space="0" w:color="DC6900"/>
              <w:left w:val="single" w:sz="8" w:space="0" w:color="DC6900"/>
              <w:bottom w:val="single" w:sz="8" w:space="0" w:color="DC6900"/>
              <w:right w:val="single" w:sz="8" w:space="0" w:color="DC6900"/>
            </w:tcBorders>
            <w:shd w:val="clear" w:color="auto" w:fill="808080"/>
          </w:tcPr>
          <w:p w:rsidR="00913429" w:rsidRDefault="00913429">
            <w:pPr>
              <w:spacing w:after="0" w:line="240" w:lineRule="auto"/>
              <w:rPr>
                <w:rFonts w:eastAsia="Times New Roman"/>
                <w:bCs/>
                <w:noProof/>
                <w:color w:val="000000"/>
                <w:sz w:val="18"/>
                <w:szCs w:val="18"/>
              </w:rPr>
            </w:pPr>
          </w:p>
        </w:tc>
        <w:tc>
          <w:tcPr>
            <w:tcW w:w="166" w:type="pct"/>
            <w:tcBorders>
              <w:top w:val="single" w:sz="8" w:space="0" w:color="DC6900"/>
              <w:left w:val="single" w:sz="8" w:space="0" w:color="DC6900"/>
              <w:bottom w:val="single" w:sz="8" w:space="0" w:color="DC6900"/>
              <w:right w:val="single" w:sz="8" w:space="0" w:color="DC6900"/>
            </w:tcBorders>
            <w:shd w:val="clear" w:color="auto" w:fill="808080"/>
          </w:tcPr>
          <w:p w:rsidR="00913429" w:rsidRDefault="00913429">
            <w:pPr>
              <w:spacing w:after="0" w:line="240" w:lineRule="auto"/>
              <w:rPr>
                <w:rFonts w:eastAsia="Times New Roman"/>
                <w:bCs/>
                <w:noProof/>
                <w:color w:val="000000"/>
                <w:sz w:val="18"/>
                <w:szCs w:val="18"/>
              </w:rPr>
            </w:pPr>
          </w:p>
        </w:tc>
        <w:tc>
          <w:tcPr>
            <w:tcW w:w="166" w:type="pct"/>
            <w:tcBorders>
              <w:top w:val="single" w:sz="8" w:space="0" w:color="DC6900"/>
              <w:left w:val="single" w:sz="8" w:space="0" w:color="DC6900"/>
              <w:bottom w:val="single" w:sz="8" w:space="0" w:color="DC6900"/>
              <w:right w:val="single" w:sz="8" w:space="0" w:color="DC6900"/>
            </w:tcBorders>
            <w:shd w:val="clear" w:color="auto" w:fill="808080"/>
          </w:tcPr>
          <w:p w:rsidR="00913429" w:rsidRDefault="00913429">
            <w:pPr>
              <w:spacing w:after="0" w:line="240" w:lineRule="auto"/>
              <w:rPr>
                <w:rFonts w:eastAsia="Times New Roman"/>
                <w:bCs/>
                <w:noProof/>
                <w:color w:val="000000"/>
                <w:sz w:val="18"/>
                <w:szCs w:val="18"/>
              </w:rPr>
            </w:pPr>
          </w:p>
        </w:tc>
        <w:tc>
          <w:tcPr>
            <w:tcW w:w="166" w:type="pct"/>
            <w:tcBorders>
              <w:top w:val="single" w:sz="8" w:space="0" w:color="DC6900"/>
              <w:left w:val="single" w:sz="8" w:space="0" w:color="DC6900"/>
              <w:bottom w:val="single" w:sz="8" w:space="0" w:color="DC6900"/>
              <w:right w:val="single" w:sz="8" w:space="0" w:color="DC6900"/>
            </w:tcBorders>
            <w:shd w:val="clear" w:color="auto" w:fill="808080"/>
          </w:tcPr>
          <w:p w:rsidR="00913429" w:rsidRDefault="00913429">
            <w:pPr>
              <w:spacing w:after="0" w:line="240" w:lineRule="auto"/>
              <w:rPr>
                <w:rFonts w:eastAsia="Times New Roman"/>
                <w:bCs/>
                <w:noProof/>
                <w:color w:val="000000"/>
                <w:sz w:val="18"/>
                <w:szCs w:val="18"/>
              </w:rPr>
            </w:pPr>
          </w:p>
        </w:tc>
        <w:tc>
          <w:tcPr>
            <w:tcW w:w="166" w:type="pct"/>
            <w:tcBorders>
              <w:top w:val="single" w:sz="8" w:space="0" w:color="DC6900"/>
              <w:left w:val="single" w:sz="8" w:space="0" w:color="DC6900"/>
              <w:bottom w:val="single" w:sz="8" w:space="0" w:color="DC6900"/>
              <w:right w:val="single" w:sz="8" w:space="0" w:color="DC6900"/>
            </w:tcBorders>
            <w:shd w:val="clear" w:color="auto" w:fill="808080"/>
          </w:tcPr>
          <w:p w:rsidR="00913429" w:rsidRDefault="00913429">
            <w:pPr>
              <w:spacing w:after="0" w:line="240" w:lineRule="auto"/>
              <w:rPr>
                <w:rFonts w:eastAsia="Times New Roman"/>
                <w:bCs/>
                <w:noProof/>
                <w:color w:val="000000"/>
                <w:sz w:val="18"/>
                <w:szCs w:val="18"/>
              </w:rPr>
            </w:pPr>
          </w:p>
        </w:tc>
        <w:tc>
          <w:tcPr>
            <w:tcW w:w="146" w:type="pct"/>
            <w:tcBorders>
              <w:top w:val="single" w:sz="8" w:space="0" w:color="DC6900"/>
              <w:left w:val="single" w:sz="8" w:space="0" w:color="DC6900"/>
              <w:bottom w:val="single" w:sz="8" w:space="0" w:color="DC6900"/>
              <w:right w:val="single" w:sz="8" w:space="0" w:color="DC6900"/>
            </w:tcBorders>
            <w:shd w:val="clear" w:color="auto" w:fill="808080"/>
          </w:tcPr>
          <w:p w:rsidR="00913429" w:rsidRDefault="00913429">
            <w:pPr>
              <w:spacing w:after="0" w:line="240" w:lineRule="auto"/>
              <w:rPr>
                <w:rFonts w:eastAsia="Times New Roman"/>
                <w:bCs/>
                <w:noProof/>
                <w:color w:val="000000"/>
                <w:sz w:val="18"/>
                <w:szCs w:val="18"/>
              </w:rPr>
            </w:pPr>
          </w:p>
        </w:tc>
      </w:tr>
      <w:tr w:rsidR="00913429">
        <w:trPr>
          <w:trHeight w:val="636"/>
        </w:trPr>
        <w:tc>
          <w:tcPr>
            <w:tcW w:w="207" w:type="pct"/>
            <w:tcBorders>
              <w:top w:val="single" w:sz="8" w:space="0" w:color="DC6900"/>
              <w:left w:val="single" w:sz="8" w:space="0" w:color="DC6900"/>
              <w:bottom w:val="single" w:sz="8" w:space="0" w:color="DC6900"/>
              <w:right w:val="single" w:sz="8" w:space="0" w:color="DC6900"/>
            </w:tcBorders>
            <w:shd w:val="clear" w:color="auto" w:fill="FFFFFF"/>
            <w:tcMar>
              <w:top w:w="72" w:type="dxa"/>
              <w:left w:w="113" w:type="dxa"/>
              <w:bottom w:w="72" w:type="dxa"/>
              <w:right w:w="113" w:type="dxa"/>
            </w:tcMar>
            <w:vAlign w:val="center"/>
          </w:tcPr>
          <w:p w:rsidR="00913429" w:rsidRDefault="00E143F0">
            <w:pPr>
              <w:spacing w:after="0" w:line="240" w:lineRule="auto"/>
              <w:jc w:val="center"/>
              <w:rPr>
                <w:rFonts w:eastAsia="Times New Roman"/>
                <w:bCs/>
                <w:noProof/>
                <w:color w:val="000000"/>
                <w:sz w:val="12"/>
                <w:szCs w:val="18"/>
              </w:rPr>
            </w:pPr>
            <w:r>
              <w:rPr>
                <w:rFonts w:eastAsia="Times New Roman"/>
                <w:bCs/>
                <w:noProof/>
                <w:color w:val="000000"/>
                <w:sz w:val="12"/>
                <w:szCs w:val="18"/>
              </w:rPr>
              <w:t>3.4</w:t>
            </w:r>
          </w:p>
        </w:tc>
        <w:tc>
          <w:tcPr>
            <w:tcW w:w="498" w:type="pct"/>
            <w:tcBorders>
              <w:top w:val="single" w:sz="8" w:space="0" w:color="DC6900"/>
              <w:left w:val="single" w:sz="8" w:space="0" w:color="DC6900"/>
              <w:bottom w:val="single" w:sz="8" w:space="0" w:color="DC6900"/>
              <w:right w:val="single" w:sz="8" w:space="0" w:color="DC6900"/>
            </w:tcBorders>
            <w:shd w:val="clear" w:color="auto" w:fill="FFFFFF"/>
            <w:tcMar>
              <w:top w:w="15" w:type="dxa"/>
              <w:left w:w="57" w:type="dxa"/>
              <w:bottom w:w="0" w:type="dxa"/>
              <w:right w:w="15" w:type="dxa"/>
            </w:tcMar>
            <w:vAlign w:val="center"/>
          </w:tcPr>
          <w:p w:rsidR="00913429" w:rsidRDefault="00E143F0">
            <w:pPr>
              <w:spacing w:after="0" w:line="240" w:lineRule="auto"/>
              <w:rPr>
                <w:rFonts w:eastAsia="Times New Roman"/>
                <w:bCs/>
                <w:noProof/>
                <w:color w:val="000000"/>
                <w:sz w:val="12"/>
                <w:szCs w:val="18"/>
              </w:rPr>
            </w:pPr>
            <w:r>
              <w:rPr>
                <w:rFonts w:eastAsia="Times New Roman"/>
                <w:bCs/>
                <w:noProof/>
                <w:color w:val="000000"/>
                <w:sz w:val="12"/>
                <w:szCs w:val="18"/>
              </w:rPr>
              <w:t>Follow-up of the submission of the IA to the RSB</w:t>
            </w:r>
          </w:p>
        </w:tc>
        <w:tc>
          <w:tcPr>
            <w:tcW w:w="182" w:type="pct"/>
            <w:tcBorders>
              <w:top w:val="single" w:sz="8" w:space="0" w:color="DC6900"/>
              <w:left w:val="single" w:sz="8" w:space="0" w:color="DC6900"/>
              <w:bottom w:val="single" w:sz="8" w:space="0" w:color="DC6900"/>
              <w:right w:val="single" w:sz="8" w:space="0" w:color="DC6900"/>
            </w:tcBorders>
            <w:shd w:val="clear" w:color="auto" w:fill="auto"/>
            <w:tcMar>
              <w:top w:w="72" w:type="dxa"/>
              <w:left w:w="144" w:type="dxa"/>
              <w:bottom w:w="72" w:type="dxa"/>
              <w:right w:w="144" w:type="dxa"/>
            </w:tcMar>
          </w:tcPr>
          <w:p w:rsidR="00913429" w:rsidRDefault="00913429">
            <w:pPr>
              <w:spacing w:after="0" w:line="240" w:lineRule="auto"/>
              <w:rPr>
                <w:rFonts w:eastAsia="Times New Roman"/>
                <w:bCs/>
                <w:noProof/>
                <w:color w:val="000000"/>
                <w:sz w:val="18"/>
                <w:szCs w:val="18"/>
              </w:rPr>
            </w:pPr>
          </w:p>
        </w:tc>
        <w:tc>
          <w:tcPr>
            <w:tcW w:w="133" w:type="pct"/>
            <w:tcBorders>
              <w:top w:val="single" w:sz="8" w:space="0" w:color="DC6900"/>
              <w:left w:val="single" w:sz="8" w:space="0" w:color="DC6900"/>
              <w:bottom w:val="single" w:sz="8" w:space="0" w:color="DC6900"/>
              <w:right w:val="single" w:sz="8" w:space="0" w:color="DC6900"/>
            </w:tcBorders>
            <w:shd w:val="clear" w:color="auto" w:fill="auto"/>
          </w:tcPr>
          <w:p w:rsidR="00913429" w:rsidRDefault="00913429">
            <w:pPr>
              <w:spacing w:after="0" w:line="240" w:lineRule="auto"/>
              <w:rPr>
                <w:rFonts w:eastAsia="Times New Roman"/>
                <w:bCs/>
                <w:noProof/>
                <w:color w:val="000000"/>
                <w:sz w:val="18"/>
                <w:szCs w:val="18"/>
              </w:rPr>
            </w:pPr>
          </w:p>
        </w:tc>
        <w:tc>
          <w:tcPr>
            <w:tcW w:w="155" w:type="pct"/>
            <w:tcBorders>
              <w:top w:val="single" w:sz="8" w:space="0" w:color="DC6900"/>
              <w:left w:val="single" w:sz="8" w:space="0" w:color="DC6900"/>
              <w:bottom w:val="single" w:sz="8" w:space="0" w:color="DC6900"/>
              <w:right w:val="single" w:sz="8" w:space="0" w:color="DC6900"/>
            </w:tcBorders>
            <w:shd w:val="clear" w:color="auto" w:fill="auto"/>
            <w:tcMar>
              <w:top w:w="72" w:type="dxa"/>
              <w:left w:w="144" w:type="dxa"/>
              <w:bottom w:w="72" w:type="dxa"/>
              <w:right w:w="144" w:type="dxa"/>
            </w:tcMar>
          </w:tcPr>
          <w:p w:rsidR="00913429" w:rsidRDefault="00913429">
            <w:pPr>
              <w:spacing w:after="0" w:line="240" w:lineRule="auto"/>
              <w:rPr>
                <w:rFonts w:eastAsia="Times New Roman"/>
                <w:bCs/>
                <w:noProof/>
                <w:color w:val="000000"/>
                <w:sz w:val="18"/>
                <w:szCs w:val="18"/>
              </w:rPr>
            </w:pPr>
          </w:p>
        </w:tc>
        <w:tc>
          <w:tcPr>
            <w:tcW w:w="157" w:type="pct"/>
            <w:tcBorders>
              <w:top w:val="single" w:sz="8" w:space="0" w:color="DC6900"/>
              <w:left w:val="single" w:sz="8" w:space="0" w:color="DC6900"/>
              <w:bottom w:val="single" w:sz="8" w:space="0" w:color="DC6900"/>
              <w:right w:val="single" w:sz="8" w:space="0" w:color="DC6900"/>
            </w:tcBorders>
            <w:shd w:val="clear" w:color="auto" w:fill="auto"/>
            <w:tcMar>
              <w:top w:w="72" w:type="dxa"/>
              <w:left w:w="144" w:type="dxa"/>
              <w:bottom w:w="72" w:type="dxa"/>
              <w:right w:w="144" w:type="dxa"/>
            </w:tcMar>
          </w:tcPr>
          <w:p w:rsidR="00913429" w:rsidRDefault="00913429">
            <w:pPr>
              <w:spacing w:after="0" w:line="240" w:lineRule="auto"/>
              <w:rPr>
                <w:rFonts w:eastAsia="Times New Roman"/>
                <w:bCs/>
                <w:noProof/>
                <w:color w:val="000000"/>
                <w:sz w:val="18"/>
                <w:szCs w:val="18"/>
              </w:rPr>
            </w:pPr>
          </w:p>
        </w:tc>
        <w:tc>
          <w:tcPr>
            <w:tcW w:w="161" w:type="pct"/>
            <w:tcBorders>
              <w:top w:val="single" w:sz="8" w:space="0" w:color="DC6900"/>
              <w:left w:val="single" w:sz="8" w:space="0" w:color="DC6900"/>
              <w:bottom w:val="single" w:sz="8" w:space="0" w:color="DC6900"/>
              <w:right w:val="single" w:sz="8" w:space="0" w:color="DC6900"/>
            </w:tcBorders>
            <w:shd w:val="clear" w:color="auto" w:fill="auto"/>
            <w:tcMar>
              <w:top w:w="72" w:type="dxa"/>
              <w:left w:w="144" w:type="dxa"/>
              <w:bottom w:w="72" w:type="dxa"/>
              <w:right w:w="144" w:type="dxa"/>
            </w:tcMar>
          </w:tcPr>
          <w:p w:rsidR="00913429" w:rsidRDefault="00913429">
            <w:pPr>
              <w:spacing w:after="0" w:line="240" w:lineRule="auto"/>
              <w:rPr>
                <w:rFonts w:eastAsia="Times New Roman"/>
                <w:bCs/>
                <w:noProof/>
                <w:color w:val="000000"/>
                <w:sz w:val="18"/>
                <w:szCs w:val="18"/>
              </w:rPr>
            </w:pPr>
          </w:p>
        </w:tc>
        <w:tc>
          <w:tcPr>
            <w:tcW w:w="160" w:type="pct"/>
            <w:tcBorders>
              <w:top w:val="single" w:sz="8" w:space="0" w:color="DC6900"/>
              <w:left w:val="single" w:sz="8" w:space="0" w:color="DC6900"/>
              <w:bottom w:val="single" w:sz="8" w:space="0" w:color="DC6900"/>
              <w:right w:val="single" w:sz="8" w:space="0" w:color="DC6900"/>
            </w:tcBorders>
            <w:shd w:val="clear" w:color="auto" w:fill="auto"/>
            <w:tcMar>
              <w:top w:w="72" w:type="dxa"/>
              <w:left w:w="144" w:type="dxa"/>
              <w:bottom w:w="72" w:type="dxa"/>
              <w:right w:w="144" w:type="dxa"/>
            </w:tcMar>
          </w:tcPr>
          <w:p w:rsidR="00913429" w:rsidRDefault="00913429">
            <w:pPr>
              <w:spacing w:after="0" w:line="240" w:lineRule="auto"/>
              <w:rPr>
                <w:rFonts w:eastAsia="Times New Roman"/>
                <w:bCs/>
                <w:noProof/>
                <w:color w:val="000000"/>
                <w:sz w:val="18"/>
                <w:szCs w:val="18"/>
              </w:rPr>
            </w:pPr>
          </w:p>
        </w:tc>
        <w:tc>
          <w:tcPr>
            <w:tcW w:w="133" w:type="pct"/>
            <w:tcBorders>
              <w:top w:val="single" w:sz="8" w:space="0" w:color="DC6900"/>
              <w:left w:val="single" w:sz="8" w:space="0" w:color="DC6900"/>
              <w:bottom w:val="single" w:sz="8" w:space="0" w:color="DC6900"/>
              <w:right w:val="single" w:sz="8" w:space="0" w:color="DC6900"/>
            </w:tcBorders>
            <w:shd w:val="clear" w:color="auto" w:fill="auto"/>
          </w:tcPr>
          <w:p w:rsidR="00913429" w:rsidRDefault="00913429">
            <w:pPr>
              <w:spacing w:after="0" w:line="240" w:lineRule="auto"/>
              <w:rPr>
                <w:rFonts w:eastAsia="Times New Roman"/>
                <w:bCs/>
                <w:noProof/>
                <w:color w:val="000000"/>
                <w:sz w:val="18"/>
                <w:szCs w:val="18"/>
              </w:rPr>
            </w:pPr>
          </w:p>
        </w:tc>
        <w:tc>
          <w:tcPr>
            <w:tcW w:w="139" w:type="pct"/>
            <w:tcBorders>
              <w:top w:val="single" w:sz="8" w:space="0" w:color="DC6900"/>
              <w:left w:val="single" w:sz="8" w:space="0" w:color="DC6900"/>
              <w:bottom w:val="single" w:sz="8" w:space="0" w:color="DC6900"/>
              <w:right w:val="single" w:sz="8" w:space="0" w:color="DC6900"/>
            </w:tcBorders>
            <w:shd w:val="clear" w:color="auto" w:fill="FFF0CC"/>
          </w:tcPr>
          <w:p w:rsidR="00913429" w:rsidRDefault="00913429">
            <w:pPr>
              <w:spacing w:after="0" w:line="240" w:lineRule="auto"/>
              <w:rPr>
                <w:rFonts w:eastAsia="Times New Roman"/>
                <w:bCs/>
                <w:noProof/>
                <w:color w:val="000000"/>
                <w:sz w:val="18"/>
                <w:szCs w:val="18"/>
              </w:rPr>
            </w:pPr>
          </w:p>
        </w:tc>
        <w:tc>
          <w:tcPr>
            <w:tcW w:w="139" w:type="pct"/>
            <w:tcBorders>
              <w:top w:val="single" w:sz="8" w:space="0" w:color="DC6900"/>
              <w:left w:val="single" w:sz="8" w:space="0" w:color="DC6900"/>
              <w:bottom w:val="single" w:sz="8" w:space="0" w:color="DC6900"/>
              <w:right w:val="single" w:sz="8" w:space="0" w:color="DC6900"/>
            </w:tcBorders>
            <w:shd w:val="clear" w:color="auto" w:fill="FFF0CC"/>
          </w:tcPr>
          <w:p w:rsidR="00913429" w:rsidRDefault="00913429">
            <w:pPr>
              <w:spacing w:after="0" w:line="240" w:lineRule="auto"/>
              <w:rPr>
                <w:rFonts w:eastAsia="Times New Roman"/>
                <w:bCs/>
                <w:noProof/>
                <w:color w:val="000000"/>
                <w:sz w:val="18"/>
                <w:szCs w:val="18"/>
              </w:rPr>
            </w:pPr>
          </w:p>
        </w:tc>
        <w:tc>
          <w:tcPr>
            <w:tcW w:w="140" w:type="pct"/>
            <w:tcBorders>
              <w:top w:val="single" w:sz="8" w:space="0" w:color="DC6900"/>
              <w:left w:val="single" w:sz="8" w:space="0" w:color="DC6900"/>
              <w:bottom w:val="single" w:sz="8" w:space="0" w:color="DC6900"/>
              <w:right w:val="single" w:sz="8" w:space="0" w:color="DC6900"/>
            </w:tcBorders>
            <w:shd w:val="clear" w:color="auto" w:fill="FFF0CC"/>
          </w:tcPr>
          <w:p w:rsidR="00913429" w:rsidRDefault="00913429">
            <w:pPr>
              <w:spacing w:after="0" w:line="240" w:lineRule="auto"/>
              <w:rPr>
                <w:rFonts w:eastAsia="Times New Roman"/>
                <w:bCs/>
                <w:noProof/>
                <w:color w:val="000000"/>
                <w:sz w:val="18"/>
                <w:szCs w:val="18"/>
              </w:rPr>
            </w:pPr>
          </w:p>
        </w:tc>
        <w:tc>
          <w:tcPr>
            <w:tcW w:w="139" w:type="pct"/>
            <w:tcBorders>
              <w:top w:val="single" w:sz="8" w:space="0" w:color="DC6900"/>
              <w:left w:val="single" w:sz="8" w:space="0" w:color="DC6900"/>
              <w:bottom w:val="single" w:sz="8" w:space="0" w:color="DC6900"/>
              <w:right w:val="single" w:sz="8" w:space="0" w:color="DC6900"/>
            </w:tcBorders>
            <w:shd w:val="clear" w:color="auto" w:fill="808080"/>
          </w:tcPr>
          <w:p w:rsidR="00913429" w:rsidRDefault="00913429">
            <w:pPr>
              <w:spacing w:after="0" w:line="240" w:lineRule="auto"/>
              <w:rPr>
                <w:rFonts w:eastAsia="Times New Roman"/>
                <w:bCs/>
                <w:noProof/>
                <w:color w:val="000000"/>
                <w:sz w:val="18"/>
                <w:szCs w:val="18"/>
              </w:rPr>
            </w:pPr>
          </w:p>
        </w:tc>
        <w:tc>
          <w:tcPr>
            <w:tcW w:w="139" w:type="pct"/>
            <w:tcBorders>
              <w:top w:val="single" w:sz="8" w:space="0" w:color="DC6900"/>
              <w:left w:val="single" w:sz="8" w:space="0" w:color="DC6900"/>
              <w:bottom w:val="single" w:sz="8" w:space="0" w:color="DC6900"/>
              <w:right w:val="single" w:sz="8" w:space="0" w:color="DC6900"/>
            </w:tcBorders>
            <w:shd w:val="clear" w:color="auto" w:fill="808080"/>
          </w:tcPr>
          <w:p w:rsidR="00913429" w:rsidRDefault="00913429">
            <w:pPr>
              <w:spacing w:after="0" w:line="240" w:lineRule="auto"/>
              <w:rPr>
                <w:rFonts w:eastAsia="Times New Roman"/>
                <w:bCs/>
                <w:noProof/>
                <w:color w:val="000000"/>
                <w:sz w:val="18"/>
                <w:szCs w:val="18"/>
              </w:rPr>
            </w:pPr>
          </w:p>
        </w:tc>
        <w:tc>
          <w:tcPr>
            <w:tcW w:w="140" w:type="pct"/>
            <w:tcBorders>
              <w:top w:val="single" w:sz="8" w:space="0" w:color="DC6900"/>
              <w:left w:val="single" w:sz="8" w:space="0" w:color="DC6900"/>
              <w:bottom w:val="single" w:sz="8" w:space="0" w:color="DC6900"/>
              <w:right w:val="single" w:sz="8" w:space="0" w:color="DC6900"/>
            </w:tcBorders>
            <w:shd w:val="clear" w:color="auto" w:fill="FFF0CC"/>
          </w:tcPr>
          <w:p w:rsidR="00913429" w:rsidRDefault="00913429">
            <w:pPr>
              <w:spacing w:after="0" w:line="240" w:lineRule="auto"/>
              <w:rPr>
                <w:rFonts w:eastAsia="Times New Roman"/>
                <w:bCs/>
                <w:noProof/>
                <w:color w:val="000000"/>
                <w:sz w:val="18"/>
                <w:szCs w:val="18"/>
              </w:rPr>
            </w:pPr>
          </w:p>
        </w:tc>
        <w:tc>
          <w:tcPr>
            <w:tcW w:w="141" w:type="pct"/>
            <w:tcBorders>
              <w:top w:val="single" w:sz="8" w:space="0" w:color="DC6900"/>
              <w:left w:val="single" w:sz="8" w:space="0" w:color="DC6900"/>
              <w:bottom w:val="single" w:sz="8" w:space="0" w:color="DC6900"/>
              <w:right w:val="single" w:sz="8" w:space="0" w:color="DC6900"/>
            </w:tcBorders>
            <w:shd w:val="clear" w:color="auto" w:fill="FFF0CC"/>
          </w:tcPr>
          <w:p w:rsidR="00913429" w:rsidRDefault="00913429">
            <w:pPr>
              <w:spacing w:after="0" w:line="240" w:lineRule="auto"/>
              <w:rPr>
                <w:rFonts w:eastAsia="Times New Roman"/>
                <w:bCs/>
                <w:noProof/>
                <w:color w:val="000000"/>
                <w:sz w:val="18"/>
                <w:szCs w:val="18"/>
              </w:rPr>
            </w:pPr>
          </w:p>
        </w:tc>
        <w:tc>
          <w:tcPr>
            <w:tcW w:w="141" w:type="pct"/>
            <w:tcBorders>
              <w:top w:val="single" w:sz="8" w:space="0" w:color="DC6900"/>
              <w:left w:val="single" w:sz="8" w:space="0" w:color="DC6900"/>
              <w:bottom w:val="single" w:sz="8" w:space="0" w:color="DC6900"/>
              <w:right w:val="single" w:sz="8" w:space="0" w:color="DC6900"/>
            </w:tcBorders>
            <w:shd w:val="clear" w:color="auto" w:fill="FFF0CC"/>
          </w:tcPr>
          <w:p w:rsidR="00913429" w:rsidRDefault="00913429">
            <w:pPr>
              <w:spacing w:after="0" w:line="240" w:lineRule="auto"/>
              <w:rPr>
                <w:rFonts w:eastAsia="Times New Roman"/>
                <w:bCs/>
                <w:noProof/>
                <w:color w:val="000000"/>
                <w:sz w:val="18"/>
                <w:szCs w:val="18"/>
              </w:rPr>
            </w:pPr>
          </w:p>
        </w:tc>
        <w:tc>
          <w:tcPr>
            <w:tcW w:w="141" w:type="pct"/>
            <w:tcBorders>
              <w:top w:val="single" w:sz="8" w:space="0" w:color="DC6900"/>
              <w:left w:val="single" w:sz="8" w:space="0" w:color="DC6900"/>
              <w:bottom w:val="single" w:sz="8" w:space="0" w:color="DC6900"/>
              <w:right w:val="single" w:sz="8" w:space="0" w:color="DC6900"/>
            </w:tcBorders>
            <w:shd w:val="clear" w:color="auto" w:fill="FFF0CC"/>
          </w:tcPr>
          <w:p w:rsidR="00913429" w:rsidRDefault="00913429">
            <w:pPr>
              <w:spacing w:after="0" w:line="240" w:lineRule="auto"/>
              <w:rPr>
                <w:rFonts w:eastAsia="Times New Roman"/>
                <w:bCs/>
                <w:noProof/>
                <w:color w:val="000000"/>
                <w:sz w:val="18"/>
                <w:szCs w:val="18"/>
              </w:rPr>
            </w:pPr>
          </w:p>
        </w:tc>
        <w:tc>
          <w:tcPr>
            <w:tcW w:w="143" w:type="pct"/>
            <w:tcBorders>
              <w:top w:val="single" w:sz="8" w:space="0" w:color="DC6900"/>
              <w:left w:val="single" w:sz="8" w:space="0" w:color="DC6900"/>
              <w:bottom w:val="single" w:sz="8" w:space="0" w:color="DC6900"/>
              <w:right w:val="single" w:sz="8" w:space="0" w:color="DC6900"/>
            </w:tcBorders>
            <w:shd w:val="clear" w:color="auto" w:fill="FFF0CC"/>
          </w:tcPr>
          <w:p w:rsidR="00913429" w:rsidRDefault="00913429">
            <w:pPr>
              <w:spacing w:after="0" w:line="240" w:lineRule="auto"/>
              <w:rPr>
                <w:rFonts w:eastAsia="Times New Roman"/>
                <w:bCs/>
                <w:noProof/>
                <w:color w:val="000000"/>
                <w:sz w:val="18"/>
                <w:szCs w:val="18"/>
              </w:rPr>
            </w:pPr>
          </w:p>
        </w:tc>
        <w:tc>
          <w:tcPr>
            <w:tcW w:w="146" w:type="pct"/>
            <w:tcBorders>
              <w:top w:val="single" w:sz="8" w:space="0" w:color="DC6900"/>
              <w:left w:val="single" w:sz="8" w:space="0" w:color="DC6900"/>
              <w:bottom w:val="single" w:sz="8" w:space="0" w:color="DC6900"/>
              <w:right w:val="single" w:sz="8" w:space="0" w:color="DC6900"/>
            </w:tcBorders>
            <w:shd w:val="clear" w:color="auto" w:fill="808080"/>
          </w:tcPr>
          <w:p w:rsidR="00913429" w:rsidRDefault="00913429">
            <w:pPr>
              <w:spacing w:after="0" w:line="240" w:lineRule="auto"/>
              <w:rPr>
                <w:rFonts w:eastAsia="Times New Roman"/>
                <w:bCs/>
                <w:noProof/>
                <w:color w:val="000000"/>
                <w:sz w:val="18"/>
                <w:szCs w:val="18"/>
              </w:rPr>
            </w:pPr>
          </w:p>
        </w:tc>
        <w:tc>
          <w:tcPr>
            <w:tcW w:w="194" w:type="pct"/>
            <w:tcBorders>
              <w:top w:val="single" w:sz="8" w:space="0" w:color="DC6900"/>
              <w:left w:val="single" w:sz="8" w:space="0" w:color="DC6900"/>
              <w:bottom w:val="single" w:sz="8" w:space="0" w:color="DC6900"/>
              <w:right w:val="single" w:sz="8" w:space="0" w:color="DC6900"/>
            </w:tcBorders>
            <w:shd w:val="clear" w:color="auto" w:fill="808080"/>
            <w:tcMar>
              <w:top w:w="72" w:type="dxa"/>
              <w:left w:w="144" w:type="dxa"/>
              <w:bottom w:w="72" w:type="dxa"/>
              <w:right w:w="144" w:type="dxa"/>
            </w:tcMar>
          </w:tcPr>
          <w:p w:rsidR="00913429" w:rsidRDefault="00913429">
            <w:pPr>
              <w:spacing w:after="0" w:line="240" w:lineRule="auto"/>
              <w:rPr>
                <w:rFonts w:eastAsia="Times New Roman"/>
                <w:bCs/>
                <w:noProof/>
                <w:color w:val="000000"/>
                <w:sz w:val="18"/>
                <w:szCs w:val="18"/>
              </w:rPr>
            </w:pPr>
          </w:p>
        </w:tc>
        <w:tc>
          <w:tcPr>
            <w:tcW w:w="166" w:type="pct"/>
            <w:tcBorders>
              <w:top w:val="single" w:sz="8" w:space="0" w:color="DC6900"/>
              <w:left w:val="single" w:sz="8" w:space="0" w:color="DC6900"/>
              <w:bottom w:val="single" w:sz="8" w:space="0" w:color="DC6900"/>
              <w:right w:val="single" w:sz="8" w:space="0" w:color="DC6900"/>
            </w:tcBorders>
            <w:shd w:val="clear" w:color="auto" w:fill="808080"/>
          </w:tcPr>
          <w:p w:rsidR="00913429" w:rsidRDefault="00913429">
            <w:pPr>
              <w:spacing w:after="0" w:line="240" w:lineRule="auto"/>
              <w:rPr>
                <w:rFonts w:eastAsia="Times New Roman"/>
                <w:bCs/>
                <w:noProof/>
                <w:color w:val="000000"/>
                <w:sz w:val="18"/>
                <w:szCs w:val="18"/>
              </w:rPr>
            </w:pPr>
          </w:p>
        </w:tc>
        <w:tc>
          <w:tcPr>
            <w:tcW w:w="166" w:type="pct"/>
            <w:tcBorders>
              <w:top w:val="single" w:sz="8" w:space="0" w:color="DC6900"/>
              <w:left w:val="single" w:sz="8" w:space="0" w:color="DC6900"/>
              <w:bottom w:val="single" w:sz="8" w:space="0" w:color="DC6900"/>
              <w:right w:val="single" w:sz="8" w:space="0" w:color="DC6900"/>
            </w:tcBorders>
            <w:shd w:val="clear" w:color="auto" w:fill="808080"/>
          </w:tcPr>
          <w:p w:rsidR="00913429" w:rsidRDefault="00913429">
            <w:pPr>
              <w:spacing w:after="0" w:line="240" w:lineRule="auto"/>
              <w:rPr>
                <w:rFonts w:eastAsia="Times New Roman"/>
                <w:bCs/>
                <w:noProof/>
                <w:color w:val="000000"/>
                <w:sz w:val="18"/>
                <w:szCs w:val="18"/>
              </w:rPr>
            </w:pPr>
          </w:p>
        </w:tc>
        <w:tc>
          <w:tcPr>
            <w:tcW w:w="166" w:type="pct"/>
            <w:tcBorders>
              <w:top w:val="single" w:sz="8" w:space="0" w:color="DC6900"/>
              <w:left w:val="single" w:sz="8" w:space="0" w:color="DC6900"/>
              <w:bottom w:val="single" w:sz="8" w:space="0" w:color="DC6900"/>
              <w:right w:val="single" w:sz="8" w:space="0" w:color="DC6900"/>
            </w:tcBorders>
            <w:shd w:val="clear" w:color="auto" w:fill="808080"/>
          </w:tcPr>
          <w:p w:rsidR="00913429" w:rsidRDefault="00913429">
            <w:pPr>
              <w:spacing w:after="0" w:line="240" w:lineRule="auto"/>
              <w:rPr>
                <w:rFonts w:eastAsia="Times New Roman"/>
                <w:bCs/>
                <w:noProof/>
                <w:color w:val="000000"/>
                <w:sz w:val="18"/>
                <w:szCs w:val="18"/>
              </w:rPr>
            </w:pPr>
          </w:p>
        </w:tc>
        <w:tc>
          <w:tcPr>
            <w:tcW w:w="166" w:type="pct"/>
            <w:tcBorders>
              <w:top w:val="single" w:sz="8" w:space="0" w:color="DC6900"/>
              <w:left w:val="single" w:sz="8" w:space="0" w:color="DC6900"/>
              <w:bottom w:val="single" w:sz="8" w:space="0" w:color="DC6900"/>
              <w:right w:val="single" w:sz="8" w:space="0" w:color="DC6900"/>
            </w:tcBorders>
            <w:shd w:val="clear" w:color="auto" w:fill="808080"/>
          </w:tcPr>
          <w:p w:rsidR="00913429" w:rsidRDefault="00913429">
            <w:pPr>
              <w:spacing w:after="0" w:line="240" w:lineRule="auto"/>
              <w:rPr>
                <w:rFonts w:eastAsia="Times New Roman"/>
                <w:bCs/>
                <w:noProof/>
                <w:color w:val="000000"/>
                <w:sz w:val="18"/>
                <w:szCs w:val="18"/>
              </w:rPr>
            </w:pPr>
          </w:p>
        </w:tc>
        <w:tc>
          <w:tcPr>
            <w:tcW w:w="166" w:type="pct"/>
            <w:tcBorders>
              <w:top w:val="single" w:sz="8" w:space="0" w:color="DC6900"/>
              <w:left w:val="single" w:sz="8" w:space="0" w:color="DC6900"/>
              <w:bottom w:val="single" w:sz="8" w:space="0" w:color="DC6900"/>
              <w:right w:val="single" w:sz="8" w:space="0" w:color="DC6900"/>
            </w:tcBorders>
            <w:shd w:val="clear" w:color="auto" w:fill="808080"/>
          </w:tcPr>
          <w:p w:rsidR="00913429" w:rsidRDefault="00913429">
            <w:pPr>
              <w:spacing w:after="0" w:line="240" w:lineRule="auto"/>
              <w:rPr>
                <w:rFonts w:eastAsia="Times New Roman"/>
                <w:bCs/>
                <w:noProof/>
                <w:color w:val="000000"/>
                <w:sz w:val="18"/>
                <w:szCs w:val="18"/>
              </w:rPr>
            </w:pPr>
          </w:p>
        </w:tc>
        <w:tc>
          <w:tcPr>
            <w:tcW w:w="166" w:type="pct"/>
            <w:tcBorders>
              <w:top w:val="single" w:sz="8" w:space="0" w:color="DC6900"/>
              <w:left w:val="single" w:sz="8" w:space="0" w:color="DC6900"/>
              <w:bottom w:val="single" w:sz="8" w:space="0" w:color="DC6900"/>
              <w:right w:val="single" w:sz="8" w:space="0" w:color="DC6900"/>
            </w:tcBorders>
            <w:shd w:val="clear" w:color="auto" w:fill="808080"/>
          </w:tcPr>
          <w:p w:rsidR="00913429" w:rsidRDefault="00913429">
            <w:pPr>
              <w:spacing w:after="0" w:line="240" w:lineRule="auto"/>
              <w:rPr>
                <w:rFonts w:eastAsia="Times New Roman"/>
                <w:bCs/>
                <w:noProof/>
                <w:color w:val="000000"/>
                <w:sz w:val="18"/>
                <w:szCs w:val="18"/>
              </w:rPr>
            </w:pPr>
          </w:p>
        </w:tc>
        <w:tc>
          <w:tcPr>
            <w:tcW w:w="166" w:type="pct"/>
            <w:tcBorders>
              <w:top w:val="single" w:sz="8" w:space="0" w:color="DC6900"/>
              <w:left w:val="single" w:sz="8" w:space="0" w:color="DC6900"/>
              <w:bottom w:val="single" w:sz="8" w:space="0" w:color="DC6900"/>
              <w:right w:val="single" w:sz="8" w:space="0" w:color="DC6900"/>
            </w:tcBorders>
            <w:shd w:val="clear" w:color="auto" w:fill="808080"/>
          </w:tcPr>
          <w:p w:rsidR="00913429" w:rsidRDefault="00913429">
            <w:pPr>
              <w:spacing w:after="0" w:line="240" w:lineRule="auto"/>
              <w:rPr>
                <w:rFonts w:eastAsia="Times New Roman"/>
                <w:bCs/>
                <w:noProof/>
                <w:color w:val="000000"/>
                <w:sz w:val="18"/>
                <w:szCs w:val="18"/>
              </w:rPr>
            </w:pPr>
          </w:p>
        </w:tc>
        <w:tc>
          <w:tcPr>
            <w:tcW w:w="166" w:type="pct"/>
            <w:tcBorders>
              <w:top w:val="single" w:sz="8" w:space="0" w:color="DC6900"/>
              <w:left w:val="single" w:sz="8" w:space="0" w:color="DC6900"/>
              <w:bottom w:val="single" w:sz="8" w:space="0" w:color="DC6900"/>
              <w:right w:val="single" w:sz="8" w:space="0" w:color="DC6900"/>
            </w:tcBorders>
            <w:shd w:val="clear" w:color="auto" w:fill="808080"/>
          </w:tcPr>
          <w:p w:rsidR="00913429" w:rsidRDefault="00913429">
            <w:pPr>
              <w:spacing w:after="0" w:line="240" w:lineRule="auto"/>
              <w:rPr>
                <w:rFonts w:eastAsia="Times New Roman"/>
                <w:bCs/>
                <w:noProof/>
                <w:color w:val="000000"/>
                <w:sz w:val="18"/>
                <w:szCs w:val="18"/>
              </w:rPr>
            </w:pPr>
          </w:p>
        </w:tc>
        <w:tc>
          <w:tcPr>
            <w:tcW w:w="146" w:type="pct"/>
            <w:tcBorders>
              <w:top w:val="single" w:sz="8" w:space="0" w:color="DC6900"/>
              <w:left w:val="single" w:sz="8" w:space="0" w:color="DC6900"/>
              <w:bottom w:val="single" w:sz="8" w:space="0" w:color="DC6900"/>
              <w:right w:val="single" w:sz="8" w:space="0" w:color="DC6900"/>
            </w:tcBorders>
            <w:shd w:val="clear" w:color="auto" w:fill="808080"/>
          </w:tcPr>
          <w:p w:rsidR="00913429" w:rsidRDefault="00913429">
            <w:pPr>
              <w:spacing w:after="0" w:line="240" w:lineRule="auto"/>
              <w:rPr>
                <w:rFonts w:eastAsia="Times New Roman"/>
                <w:bCs/>
                <w:noProof/>
                <w:color w:val="000000"/>
                <w:sz w:val="18"/>
                <w:szCs w:val="18"/>
              </w:rPr>
            </w:pPr>
          </w:p>
        </w:tc>
      </w:tr>
    </w:tbl>
    <w:p w:rsidR="00913429" w:rsidRDefault="00913429">
      <w:pPr>
        <w:spacing w:after="120" w:line="360" w:lineRule="auto"/>
        <w:jc w:val="both"/>
        <w:rPr>
          <w:bCs/>
          <w:i/>
          <w:iCs/>
          <w:noProof/>
          <w:color w:val="DC6900"/>
          <w:sz w:val="24"/>
        </w:rPr>
      </w:pPr>
    </w:p>
    <w:p w:rsidR="00913429" w:rsidRDefault="00E143F0">
      <w:pPr>
        <w:spacing w:after="120" w:line="360" w:lineRule="auto"/>
        <w:jc w:val="both"/>
        <w:rPr>
          <w:bCs/>
          <w:i/>
          <w:iCs/>
          <w:noProof/>
          <w:color w:val="DC6900"/>
          <w:sz w:val="24"/>
        </w:rPr>
      </w:pPr>
      <w:r>
        <w:rPr>
          <w:bCs/>
          <w:i/>
          <w:iCs/>
          <w:noProof/>
          <w:color w:val="DC6900"/>
          <w:sz w:val="24"/>
        </w:rPr>
        <w:t>Sub-Task 3.1: Economic annex explaining the analytical model</w:t>
      </w:r>
    </w:p>
    <w:p w:rsidR="00913429" w:rsidRDefault="00E143F0">
      <w:pPr>
        <w:shd w:val="clear" w:color="auto" w:fill="FFFFFF"/>
        <w:jc w:val="both"/>
        <w:rPr>
          <w:rFonts w:eastAsia="Times New Roman" w:cs="Arial"/>
          <w:noProof/>
          <w:lang w:eastAsia="it-IT"/>
        </w:rPr>
      </w:pPr>
      <w:r>
        <w:rPr>
          <w:rFonts w:eastAsia="Times New Roman" w:cs="Arial"/>
          <w:noProof/>
          <w:lang w:eastAsia="it-IT"/>
        </w:rPr>
        <w:t>With specific reference to the economic impacts, in the present subtask we a</w:t>
      </w:r>
      <w:r>
        <w:rPr>
          <w:rFonts w:eastAsia="Times New Roman" w:cs="Arial"/>
          <w:noProof/>
          <w:lang w:eastAsia="it-IT"/>
        </w:rPr>
        <w:t>re developing an economic annex to the impact assessment report with detailed explanations on the analytical models used in preparing the impact assessment.</w:t>
      </w:r>
    </w:p>
    <w:p w:rsidR="00913429" w:rsidRDefault="00E143F0">
      <w:pPr>
        <w:shd w:val="clear" w:color="auto" w:fill="FFFFFF"/>
        <w:jc w:val="both"/>
        <w:rPr>
          <w:rFonts w:eastAsia="Times New Roman" w:cs="Arial"/>
          <w:noProof/>
          <w:lang w:eastAsia="it-IT"/>
        </w:rPr>
      </w:pPr>
      <w:r>
        <w:rPr>
          <w:rFonts w:eastAsia="Times New Roman" w:cs="Arial"/>
          <w:noProof/>
          <w:lang w:eastAsia="it-IT"/>
        </w:rPr>
        <w:t>More precisely, for each of the analytical model used we are defining an explanation box with techn</w:t>
      </w:r>
      <w:r>
        <w:rPr>
          <w:rFonts w:eastAsia="Times New Roman" w:cs="Arial"/>
          <w:noProof/>
          <w:lang w:eastAsia="it-IT"/>
        </w:rPr>
        <w:t>ical explanations (in accordance with the ToR - Section 5.1 “Deliverables”) containing, at least, the following main information about the model:</w:t>
      </w:r>
    </w:p>
    <w:p w:rsidR="00913429" w:rsidRDefault="00E143F0">
      <w:pPr>
        <w:numPr>
          <w:ilvl w:val="0"/>
          <w:numId w:val="44"/>
        </w:numPr>
        <w:shd w:val="clear" w:color="auto" w:fill="FFFFFF"/>
        <w:spacing w:after="160" w:line="259" w:lineRule="auto"/>
        <w:contextualSpacing/>
        <w:jc w:val="both"/>
        <w:rPr>
          <w:rFonts w:eastAsia="Times New Roman" w:cs="Arial"/>
          <w:b/>
          <w:noProof/>
          <w:lang w:eastAsia="it-IT"/>
        </w:rPr>
      </w:pPr>
      <w:r>
        <w:rPr>
          <w:rFonts w:eastAsia="Times New Roman" w:cs="Arial"/>
          <w:noProof/>
          <w:lang w:eastAsia="it-IT"/>
        </w:rPr>
        <w:t>a brief description of the model;</w:t>
      </w:r>
    </w:p>
    <w:p w:rsidR="00913429" w:rsidRDefault="00E143F0">
      <w:pPr>
        <w:numPr>
          <w:ilvl w:val="0"/>
          <w:numId w:val="44"/>
        </w:numPr>
        <w:shd w:val="clear" w:color="auto" w:fill="FFFFFF"/>
        <w:spacing w:after="160" w:line="259" w:lineRule="auto"/>
        <w:contextualSpacing/>
        <w:jc w:val="both"/>
        <w:rPr>
          <w:rFonts w:eastAsia="Times New Roman" w:cs="Arial"/>
          <w:b/>
          <w:noProof/>
          <w:lang w:eastAsia="it-IT"/>
        </w:rPr>
      </w:pPr>
      <w:r>
        <w:rPr>
          <w:rFonts w:eastAsia="Times New Roman" w:cs="Arial"/>
          <w:noProof/>
          <w:lang w:eastAsia="it-IT"/>
        </w:rPr>
        <w:t>the model developer and nature (public/private/open source) of the model;</w:t>
      </w:r>
    </w:p>
    <w:p w:rsidR="00913429" w:rsidRDefault="00E143F0">
      <w:pPr>
        <w:numPr>
          <w:ilvl w:val="0"/>
          <w:numId w:val="44"/>
        </w:numPr>
        <w:shd w:val="clear" w:color="auto" w:fill="FFFFFF"/>
        <w:spacing w:after="160" w:line="259" w:lineRule="auto"/>
        <w:contextualSpacing/>
        <w:jc w:val="both"/>
        <w:rPr>
          <w:rFonts w:eastAsia="Times New Roman" w:cs="Arial"/>
          <w:b/>
          <w:noProof/>
          <w:lang w:eastAsia="it-IT"/>
        </w:rPr>
      </w:pPr>
      <w:r>
        <w:rPr>
          <w:rFonts w:eastAsia="Times New Roman" w:cs="Arial"/>
          <w:noProof/>
          <w:lang w:eastAsia="it-IT"/>
        </w:rPr>
        <w:t>mo</w:t>
      </w:r>
      <w:r>
        <w:rPr>
          <w:rFonts w:eastAsia="Times New Roman" w:cs="Arial"/>
          <w:noProof/>
          <w:lang w:eastAsia="it-IT"/>
        </w:rPr>
        <w:t>del structure and modelling approach with any key assumptions, limitations and simplifications;</w:t>
      </w:r>
    </w:p>
    <w:p w:rsidR="00913429" w:rsidRDefault="00E143F0">
      <w:pPr>
        <w:numPr>
          <w:ilvl w:val="0"/>
          <w:numId w:val="44"/>
        </w:numPr>
        <w:shd w:val="clear" w:color="auto" w:fill="FFFFFF"/>
        <w:spacing w:after="160" w:line="259" w:lineRule="auto"/>
        <w:contextualSpacing/>
        <w:jc w:val="both"/>
        <w:rPr>
          <w:rFonts w:eastAsia="Times New Roman" w:cs="Arial"/>
          <w:b/>
          <w:noProof/>
          <w:lang w:eastAsia="it-IT"/>
        </w:rPr>
      </w:pPr>
      <w:r>
        <w:rPr>
          <w:rFonts w:eastAsia="Times New Roman" w:cs="Arial"/>
          <w:noProof/>
          <w:lang w:eastAsia="it-IT"/>
        </w:rPr>
        <w:t>intended field of application and appropriateness for the specific impact assessment study;</w:t>
      </w:r>
    </w:p>
    <w:p w:rsidR="00913429" w:rsidRDefault="00E143F0">
      <w:pPr>
        <w:numPr>
          <w:ilvl w:val="0"/>
          <w:numId w:val="44"/>
        </w:numPr>
        <w:shd w:val="clear" w:color="auto" w:fill="FFFFFF"/>
        <w:spacing w:after="160" w:line="259" w:lineRule="auto"/>
        <w:contextualSpacing/>
        <w:jc w:val="both"/>
        <w:rPr>
          <w:rFonts w:eastAsia="Times New Roman" w:cs="Arial"/>
          <w:b/>
          <w:noProof/>
          <w:lang w:eastAsia="it-IT"/>
        </w:rPr>
      </w:pPr>
      <w:r>
        <w:rPr>
          <w:rFonts w:eastAsia="Times New Roman" w:cs="Arial"/>
          <w:noProof/>
          <w:lang w:eastAsia="it-IT"/>
        </w:rPr>
        <w:t>model validation and peer review with relevant references;</w:t>
      </w:r>
    </w:p>
    <w:p w:rsidR="00913429" w:rsidRDefault="00E143F0">
      <w:pPr>
        <w:numPr>
          <w:ilvl w:val="0"/>
          <w:numId w:val="44"/>
        </w:numPr>
        <w:shd w:val="clear" w:color="auto" w:fill="FFFFFF"/>
        <w:spacing w:after="160" w:line="259" w:lineRule="auto"/>
        <w:contextualSpacing/>
        <w:jc w:val="both"/>
        <w:rPr>
          <w:rFonts w:eastAsia="Times New Roman" w:cs="Arial"/>
          <w:b/>
          <w:noProof/>
          <w:lang w:eastAsia="it-IT"/>
        </w:rPr>
      </w:pPr>
      <w:r>
        <w:rPr>
          <w:rFonts w:eastAsia="Times New Roman" w:cs="Arial"/>
          <w:noProof/>
          <w:lang w:eastAsia="it-IT"/>
        </w:rPr>
        <w:t>the exten</w:t>
      </w:r>
      <w:r>
        <w:rPr>
          <w:rFonts w:eastAsia="Times New Roman" w:cs="Arial"/>
          <w:noProof/>
          <w:lang w:eastAsia="it-IT"/>
        </w:rPr>
        <w:t>t to which the content of the model and input data have been discussed with external experts;</w:t>
      </w:r>
    </w:p>
    <w:p w:rsidR="00913429" w:rsidRDefault="00E143F0">
      <w:pPr>
        <w:numPr>
          <w:ilvl w:val="0"/>
          <w:numId w:val="44"/>
        </w:numPr>
        <w:shd w:val="clear" w:color="auto" w:fill="FFFFFF"/>
        <w:spacing w:after="160" w:line="259" w:lineRule="auto"/>
        <w:contextualSpacing/>
        <w:jc w:val="both"/>
        <w:rPr>
          <w:rFonts w:eastAsia="Times New Roman" w:cs="Arial"/>
          <w:b/>
          <w:noProof/>
          <w:lang w:eastAsia="it-IT"/>
        </w:rPr>
      </w:pPr>
      <w:r>
        <w:rPr>
          <w:rFonts w:eastAsia="Times New Roman" w:cs="Arial"/>
          <w:noProof/>
          <w:lang w:eastAsia="it-IT"/>
        </w:rPr>
        <w:t>explanation of the likely uncertainty in the model results and the likely robustness of model results to changes in underlying assumptions or data inputs;</w:t>
      </w:r>
    </w:p>
    <w:p w:rsidR="00913429" w:rsidRDefault="00E143F0">
      <w:pPr>
        <w:numPr>
          <w:ilvl w:val="0"/>
          <w:numId w:val="44"/>
        </w:numPr>
        <w:shd w:val="clear" w:color="auto" w:fill="FFFFFF"/>
        <w:spacing w:after="160" w:line="259" w:lineRule="auto"/>
        <w:contextualSpacing/>
        <w:jc w:val="both"/>
        <w:rPr>
          <w:rFonts w:eastAsia="Times New Roman" w:cs="Arial"/>
          <w:b/>
          <w:noProof/>
          <w:lang w:eastAsia="it-IT"/>
        </w:rPr>
      </w:pPr>
      <w:r>
        <w:rPr>
          <w:rFonts w:eastAsia="Times New Roman" w:cs="Arial"/>
          <w:noProof/>
          <w:lang w:eastAsia="it-IT"/>
        </w:rPr>
        <w:t>explana</w:t>
      </w:r>
      <w:r>
        <w:rPr>
          <w:rFonts w:eastAsia="Times New Roman" w:cs="Arial"/>
          <w:noProof/>
          <w:lang w:eastAsia="it-IT"/>
        </w:rPr>
        <w:t>tion as to how uncertainty has been addressed or minimised in the modelling exercise with respect to the policy conclusions;</w:t>
      </w:r>
    </w:p>
    <w:p w:rsidR="00913429" w:rsidRDefault="00E143F0">
      <w:pPr>
        <w:numPr>
          <w:ilvl w:val="0"/>
          <w:numId w:val="44"/>
        </w:numPr>
        <w:shd w:val="clear" w:color="auto" w:fill="FFFFFF"/>
        <w:spacing w:after="160" w:line="259" w:lineRule="auto"/>
        <w:contextualSpacing/>
        <w:jc w:val="both"/>
        <w:rPr>
          <w:rFonts w:eastAsia="Times New Roman" w:cs="Arial"/>
          <w:b/>
          <w:noProof/>
          <w:lang w:eastAsia="it-IT"/>
        </w:rPr>
      </w:pPr>
      <w:r>
        <w:rPr>
          <w:rFonts w:eastAsia="Times New Roman" w:cs="Arial"/>
          <w:noProof/>
          <w:lang w:eastAsia="it-IT"/>
        </w:rPr>
        <w:t>the steps taken to assure the quality of the modelling results presented in the IA;</w:t>
      </w:r>
    </w:p>
    <w:p w:rsidR="00913429" w:rsidRDefault="00E143F0">
      <w:pPr>
        <w:numPr>
          <w:ilvl w:val="0"/>
          <w:numId w:val="44"/>
        </w:numPr>
        <w:shd w:val="clear" w:color="auto" w:fill="FFFFFF"/>
        <w:spacing w:after="160" w:line="259" w:lineRule="auto"/>
        <w:contextualSpacing/>
        <w:jc w:val="both"/>
        <w:rPr>
          <w:rFonts w:eastAsia="Times New Roman" w:cs="Arial"/>
          <w:b/>
          <w:noProof/>
          <w:lang w:eastAsia="it-IT"/>
        </w:rPr>
      </w:pPr>
      <w:r>
        <w:rPr>
          <w:rFonts w:eastAsia="Times New Roman" w:cs="Arial"/>
          <w:noProof/>
          <w:lang w:eastAsia="it-IT"/>
        </w:rPr>
        <w:t xml:space="preserve">a concise description of the baseline(s) used </w:t>
      </w:r>
      <w:r>
        <w:rPr>
          <w:rFonts w:eastAsia="Times New Roman" w:cs="Arial"/>
          <w:noProof/>
          <w:lang w:eastAsia="it-IT"/>
        </w:rPr>
        <w:t>in the modelling exercise in terms of the key assumptions, key sources of macroeconomic and socio-economic data, the policies and measures the baseline contains and any assumptions about these policies and measures.</w:t>
      </w:r>
    </w:p>
    <w:p w:rsidR="00913429" w:rsidRDefault="00913429">
      <w:pPr>
        <w:shd w:val="clear" w:color="auto" w:fill="FFFFFF"/>
        <w:spacing w:after="160" w:line="259" w:lineRule="auto"/>
        <w:contextualSpacing/>
        <w:jc w:val="both"/>
        <w:rPr>
          <w:rFonts w:eastAsia="Times New Roman" w:cs="Arial"/>
          <w:noProof/>
          <w:lang w:eastAsia="it-IT"/>
        </w:rPr>
      </w:pPr>
    </w:p>
    <w:p w:rsidR="00913429" w:rsidRDefault="00913429">
      <w:pPr>
        <w:shd w:val="clear" w:color="auto" w:fill="FFFFFF"/>
        <w:spacing w:after="160" w:line="259" w:lineRule="auto"/>
        <w:contextualSpacing/>
        <w:jc w:val="both"/>
        <w:rPr>
          <w:rFonts w:eastAsia="Times New Roman" w:cs="Arial"/>
          <w:noProof/>
          <w:lang w:eastAsia="it-IT"/>
        </w:rPr>
      </w:pPr>
    </w:p>
    <w:p w:rsidR="00913429" w:rsidRDefault="00913429">
      <w:pPr>
        <w:shd w:val="clear" w:color="auto" w:fill="FFFFFF"/>
        <w:spacing w:after="160" w:line="259" w:lineRule="auto"/>
        <w:contextualSpacing/>
        <w:jc w:val="both"/>
        <w:rPr>
          <w:rFonts w:eastAsia="Times New Roman" w:cs="Arial"/>
          <w:noProof/>
          <w:lang w:eastAsia="it-IT"/>
        </w:rPr>
      </w:pPr>
    </w:p>
    <w:p w:rsidR="00913429" w:rsidRDefault="00913429">
      <w:pPr>
        <w:shd w:val="clear" w:color="auto" w:fill="FFFFFF"/>
        <w:spacing w:after="160" w:line="259" w:lineRule="auto"/>
        <w:contextualSpacing/>
        <w:jc w:val="both"/>
        <w:rPr>
          <w:rFonts w:eastAsia="Times New Roman" w:cs="Arial"/>
          <w:b/>
          <w:noProof/>
          <w:lang w:eastAsia="it-IT"/>
        </w:rPr>
      </w:pPr>
    </w:p>
    <w:p w:rsidR="00913429" w:rsidRDefault="00913429">
      <w:pPr>
        <w:shd w:val="clear" w:color="auto" w:fill="FFFFFF"/>
        <w:ind w:left="720"/>
        <w:contextualSpacing/>
        <w:jc w:val="both"/>
        <w:rPr>
          <w:rFonts w:eastAsia="Times New Roman" w:cs="Arial"/>
          <w:b/>
          <w:noProof/>
          <w:color w:val="FF0000"/>
          <w:lang w:eastAsia="it-IT"/>
        </w:rPr>
      </w:pPr>
    </w:p>
    <w:p w:rsidR="00913429" w:rsidRDefault="00E143F0">
      <w:pPr>
        <w:spacing w:after="120" w:line="360" w:lineRule="auto"/>
        <w:jc w:val="both"/>
        <w:rPr>
          <w:bCs/>
          <w:i/>
          <w:iCs/>
          <w:noProof/>
          <w:color w:val="DC6900"/>
          <w:sz w:val="24"/>
        </w:rPr>
      </w:pPr>
      <w:r>
        <w:rPr>
          <w:bCs/>
          <w:i/>
          <w:iCs/>
          <w:noProof/>
          <w:color w:val="DC6900"/>
          <w:sz w:val="24"/>
        </w:rPr>
        <w:t xml:space="preserve">Sub-Task 3.2: Support in answering </w:t>
      </w:r>
      <w:r>
        <w:rPr>
          <w:bCs/>
          <w:i/>
          <w:iCs/>
          <w:noProof/>
          <w:color w:val="DC6900"/>
          <w:sz w:val="24"/>
        </w:rPr>
        <w:t>to specific request coming from the Board</w:t>
      </w:r>
    </w:p>
    <w:p w:rsidR="00913429" w:rsidRDefault="00E143F0">
      <w:pPr>
        <w:autoSpaceDE w:val="0"/>
        <w:autoSpaceDN w:val="0"/>
        <w:adjustRightInd w:val="0"/>
        <w:jc w:val="both"/>
        <w:rPr>
          <w:rFonts w:eastAsia="Calibri" w:cs="Georgia"/>
          <w:noProof/>
          <w:color w:val="000000"/>
        </w:rPr>
      </w:pPr>
      <w:r>
        <w:rPr>
          <w:rFonts w:eastAsia="Calibri" w:cs="Georgia"/>
          <w:noProof/>
          <w:color w:val="000000"/>
        </w:rPr>
        <w:t>In order to assist DG CNECT in answering to the Board comments and requests, we have supported the team in respond to the main comments received. To achieve this purpose the Consortium contacted again some of the m</w:t>
      </w:r>
      <w:r>
        <w:rPr>
          <w:rFonts w:eastAsia="Calibri" w:cs="Georgia"/>
          <w:noProof/>
          <w:color w:val="000000"/>
        </w:rPr>
        <w:t>ain stakeholders and add information through desk research activity.</w:t>
      </w:r>
    </w:p>
    <w:p w:rsidR="00913429" w:rsidRDefault="00E143F0">
      <w:pPr>
        <w:spacing w:after="120" w:line="360" w:lineRule="auto"/>
        <w:jc w:val="both"/>
        <w:rPr>
          <w:bCs/>
          <w:i/>
          <w:iCs/>
          <w:noProof/>
          <w:color w:val="DC6900"/>
          <w:sz w:val="24"/>
        </w:rPr>
      </w:pPr>
      <w:r>
        <w:rPr>
          <w:bCs/>
          <w:i/>
          <w:iCs/>
          <w:noProof/>
          <w:color w:val="DC6900"/>
          <w:sz w:val="24"/>
        </w:rPr>
        <w:t>Sub-Task 3.3: Elaboration of the intervention logic</w:t>
      </w:r>
    </w:p>
    <w:p w:rsidR="00913429" w:rsidRDefault="00E143F0">
      <w:pPr>
        <w:spacing w:after="120" w:line="240" w:lineRule="auto"/>
        <w:jc w:val="both"/>
        <w:rPr>
          <w:rFonts w:eastAsia="Times New Roman" w:cs="Arial"/>
          <w:noProof/>
          <w:color w:val="000000"/>
          <w:lang w:eastAsia="it-IT"/>
        </w:rPr>
      </w:pPr>
      <w:r>
        <w:rPr>
          <w:rFonts w:eastAsia="Times New Roman" w:cs="Arial"/>
          <w:noProof/>
          <w:color w:val="000000"/>
          <w:lang w:eastAsia="it-IT"/>
        </w:rPr>
        <w:t>Underlying causes (or "drivers") of the problems identified in the task 1 “Evidence Gathering and Analysis”, the present subtask suppor</w:t>
      </w:r>
      <w:r>
        <w:rPr>
          <w:rFonts w:eastAsia="Times New Roman" w:cs="Arial"/>
          <w:noProof/>
          <w:color w:val="000000"/>
          <w:lang w:eastAsia="it-IT"/>
        </w:rPr>
        <w:t>ted in the elaboration of the “intervention logic” as the link between problem-drivers and policy options.</w:t>
      </w:r>
    </w:p>
    <w:p w:rsidR="00913429" w:rsidRDefault="00E143F0">
      <w:pPr>
        <w:spacing w:after="120" w:line="240" w:lineRule="auto"/>
        <w:jc w:val="both"/>
        <w:rPr>
          <w:rFonts w:eastAsia="Times New Roman" w:cs="Arial"/>
          <w:noProof/>
          <w:color w:val="000000"/>
          <w:lang w:eastAsia="it-IT"/>
        </w:rPr>
      </w:pPr>
      <w:r>
        <w:rPr>
          <w:rFonts w:eastAsia="Times New Roman" w:cs="Arial"/>
          <w:noProof/>
          <w:color w:val="000000"/>
          <w:lang w:eastAsia="it-IT"/>
        </w:rPr>
        <w:t>The intervention logic model that we have developed to justify the public policy action is a method used to explain of what the intervention - the po</w:t>
      </w:r>
      <w:r>
        <w:rPr>
          <w:rFonts w:eastAsia="Times New Roman" w:cs="Arial"/>
          <w:noProof/>
          <w:color w:val="000000"/>
          <w:lang w:eastAsia="it-IT"/>
        </w:rPr>
        <w:t xml:space="preserve">licy proposals - is meant to achieve (the objectives) and how it is supposed to achieve it (the tools). The intervention logic regroups all the activities, expected effects and assumptions of an intervention. It also presents in a clear way how the policy </w:t>
      </w:r>
      <w:r>
        <w:rPr>
          <w:rFonts w:eastAsia="Times New Roman" w:cs="Arial"/>
          <w:noProof/>
          <w:color w:val="000000"/>
          <w:lang w:eastAsia="it-IT"/>
        </w:rPr>
        <w:t xml:space="preserve">will lead to the intended effects in the present and future context. </w:t>
      </w:r>
    </w:p>
    <w:p w:rsidR="00913429" w:rsidRDefault="00E143F0">
      <w:pPr>
        <w:spacing w:line="240" w:lineRule="auto"/>
        <w:jc w:val="both"/>
        <w:rPr>
          <w:rFonts w:eastAsia="Times New Roman" w:cs="Arial"/>
          <w:noProof/>
          <w:color w:val="000000"/>
          <w:lang w:eastAsia="it-IT"/>
        </w:rPr>
      </w:pPr>
      <w:r>
        <w:rPr>
          <w:rFonts w:eastAsia="Times New Roman" w:cs="Arial"/>
          <w:noProof/>
          <w:color w:val="000000"/>
          <w:lang w:eastAsia="it-IT"/>
        </w:rPr>
        <w:t>Developing the intervention logic, we have taken into account that it may evolve over time according to the political, economic or social context. This implies that the intervention logi</w:t>
      </w:r>
      <w:r>
        <w:rPr>
          <w:rFonts w:eastAsia="Times New Roman" w:cs="Arial"/>
          <w:noProof/>
          <w:color w:val="000000"/>
          <w:lang w:eastAsia="it-IT"/>
        </w:rPr>
        <w:t>c model may need to be reconstructed several times, for successive periods to fit in with developing events.</w:t>
      </w:r>
    </w:p>
    <w:p w:rsidR="00913429" w:rsidRDefault="00E143F0">
      <w:pPr>
        <w:autoSpaceDE w:val="0"/>
        <w:autoSpaceDN w:val="0"/>
        <w:adjustRightInd w:val="0"/>
        <w:contextualSpacing/>
        <w:jc w:val="both"/>
        <w:rPr>
          <w:rFonts w:eastAsia="Calibri" w:cs="Georgia"/>
          <w:noProof/>
          <w:color w:val="000000"/>
        </w:rPr>
      </w:pPr>
      <w:r>
        <w:rPr>
          <w:rFonts w:eastAsia="Calibri" w:cs="Georgia"/>
          <w:noProof/>
          <w:color w:val="000000"/>
        </w:rPr>
        <w:t>During this sub-task, the intervention logic has been detailed for the policy option that results as the preferred option considering the ranking.</w:t>
      </w:r>
    </w:p>
    <w:p w:rsidR="00913429" w:rsidRDefault="00913429">
      <w:pPr>
        <w:autoSpaceDE w:val="0"/>
        <w:autoSpaceDN w:val="0"/>
        <w:adjustRightInd w:val="0"/>
        <w:contextualSpacing/>
        <w:jc w:val="both"/>
        <w:rPr>
          <w:rFonts w:eastAsia="Calibri" w:cs="Georgia"/>
          <w:noProof/>
          <w:color w:val="000000"/>
        </w:rPr>
      </w:pPr>
    </w:p>
    <w:p w:rsidR="00913429" w:rsidRDefault="00E143F0">
      <w:pPr>
        <w:spacing w:after="120" w:line="360" w:lineRule="auto"/>
        <w:jc w:val="both"/>
        <w:rPr>
          <w:bCs/>
          <w:i/>
          <w:iCs/>
          <w:noProof/>
          <w:color w:val="DC6900"/>
          <w:sz w:val="24"/>
        </w:rPr>
      </w:pPr>
      <w:r>
        <w:rPr>
          <w:bCs/>
          <w:i/>
          <w:iCs/>
          <w:noProof/>
          <w:color w:val="DC6900"/>
          <w:sz w:val="24"/>
        </w:rPr>
        <w:t>Sub-Task 3.4: Follow-up of the submission of the IA to the RSB</w:t>
      </w:r>
    </w:p>
    <w:p w:rsidR="00913429" w:rsidRDefault="00E143F0">
      <w:pPr>
        <w:shd w:val="clear" w:color="auto" w:fill="FFFFFF"/>
        <w:spacing w:after="120"/>
        <w:jc w:val="both"/>
        <w:rPr>
          <w:rFonts w:eastAsia="Times New Roman" w:cs="Arial"/>
          <w:noProof/>
          <w:color w:val="000000"/>
          <w:lang w:eastAsia="it-IT"/>
        </w:rPr>
      </w:pPr>
      <w:r>
        <w:rPr>
          <w:rFonts w:eastAsia="Times New Roman" w:cs="Arial"/>
          <w:noProof/>
          <w:color w:val="000000"/>
          <w:lang w:eastAsia="it-IT"/>
        </w:rPr>
        <w:t>After the draft Impact Assessment has been produced, the Regulatory Scrutiny Board (RSB) will scrutiny it in order to assess the quality and provide recommendations on how this draft report sh</w:t>
      </w:r>
      <w:r>
        <w:rPr>
          <w:rFonts w:eastAsia="Times New Roman" w:cs="Arial"/>
          <w:noProof/>
          <w:color w:val="000000"/>
          <w:lang w:eastAsia="it-IT"/>
        </w:rPr>
        <w:t>ould be improved by the Commission services. As part of the Commission’s renewed commitment to better regulation, a new Scrutiny Board has been established, replacing the Impact Assessment Board, with the aim of strengthening the existing system of quality</w:t>
      </w:r>
      <w:r>
        <w:rPr>
          <w:rFonts w:eastAsia="Times New Roman" w:cs="Arial"/>
          <w:noProof/>
          <w:color w:val="000000"/>
          <w:lang w:eastAsia="it-IT"/>
        </w:rPr>
        <w:t xml:space="preserve"> control.</w:t>
      </w:r>
    </w:p>
    <w:p w:rsidR="00913429" w:rsidRDefault="00E143F0">
      <w:pPr>
        <w:shd w:val="clear" w:color="auto" w:fill="FFFFFF"/>
        <w:jc w:val="both"/>
        <w:rPr>
          <w:rFonts w:eastAsia="Times New Roman" w:cs="Arial"/>
          <w:noProof/>
          <w:color w:val="000000"/>
          <w:lang w:eastAsia="it-IT"/>
        </w:rPr>
      </w:pPr>
      <w:r>
        <w:rPr>
          <w:rFonts w:eastAsia="Times New Roman" w:cs="Arial"/>
          <w:noProof/>
          <w:color w:val="000000"/>
          <w:lang w:eastAsia="it-IT"/>
        </w:rPr>
        <w:t>The new Regulatory Scrutiny Board will scrutinize the quality of all impact assessments, major evaluations and fitness checks of existing legislation and issue opinions on the draft of the related reports in line with the relevant guidelines. Acc</w:t>
      </w:r>
      <w:r>
        <w:rPr>
          <w:rFonts w:eastAsia="Times New Roman" w:cs="Arial"/>
          <w:noProof/>
          <w:color w:val="000000"/>
          <w:lang w:eastAsia="it-IT"/>
        </w:rPr>
        <w:t xml:space="preserve">ording to the Commission’s Working Methods 2014-2019 any impact assessment should be accompanied by a positive Board opinion before an initiative can proceed. </w:t>
      </w:r>
    </w:p>
    <w:p w:rsidR="00913429" w:rsidRDefault="00E143F0">
      <w:pPr>
        <w:shd w:val="clear" w:color="auto" w:fill="FFFFFF"/>
        <w:jc w:val="both"/>
        <w:rPr>
          <w:rFonts w:eastAsia="Times New Roman" w:cs="Arial"/>
          <w:noProof/>
          <w:color w:val="000000"/>
          <w:lang w:eastAsia="it-IT"/>
        </w:rPr>
      </w:pPr>
      <w:r>
        <w:rPr>
          <w:rFonts w:eastAsia="Times New Roman" w:cs="Arial"/>
          <w:noProof/>
          <w:color w:val="000000"/>
          <w:lang w:eastAsia="it-IT"/>
        </w:rPr>
        <w:t xml:space="preserve">Our support in this task will consist in helping to respond to RSB questions concerning the </w:t>
      </w:r>
      <w:r>
        <w:rPr>
          <w:rFonts w:eastAsia="Times New Roman" w:cs="Arial"/>
          <w:noProof/>
          <w:color w:val="000000"/>
          <w:lang w:eastAsia="it-IT"/>
        </w:rPr>
        <w:t>impact assessment study already submitted and in supporting the commission services in the follow of the RSB recommendations considering that the activities have to be finalized within the end of September.</w:t>
      </w:r>
    </w:p>
    <w:p w:rsidR="00913429" w:rsidRDefault="00E143F0">
      <w:pPr>
        <w:keepNext/>
        <w:keepLines/>
        <w:numPr>
          <w:ilvl w:val="2"/>
          <w:numId w:val="187"/>
        </w:numPr>
        <w:tabs>
          <w:tab w:val="left" w:pos="993"/>
        </w:tabs>
        <w:spacing w:after="120" w:line="259" w:lineRule="auto"/>
        <w:ind w:right="-23"/>
        <w:contextualSpacing/>
        <w:outlineLvl w:val="1"/>
        <w:rPr>
          <w:rFonts w:eastAsia="SimHei"/>
          <w:b/>
          <w:iCs/>
          <w:noProof/>
          <w:color w:val="DC6900"/>
          <w:sz w:val="28"/>
          <w:szCs w:val="28"/>
        </w:rPr>
      </w:pPr>
      <w:bookmarkStart w:id="50" w:name="_Toc362950925"/>
      <w:bookmarkStart w:id="51" w:name="_Toc482375235"/>
      <w:bookmarkStart w:id="52" w:name="_Toc485163961"/>
      <w:bookmarkStart w:id="53" w:name="_Toc492396556"/>
      <w:r>
        <w:rPr>
          <w:rFonts w:eastAsia="SimHei"/>
          <w:bCs/>
          <w:i/>
          <w:iCs/>
          <w:noProof/>
          <w:color w:val="DC6900"/>
          <w:sz w:val="24"/>
          <w:szCs w:val="28"/>
        </w:rPr>
        <w:t>Task 0: Project Management</w:t>
      </w:r>
      <w:bookmarkEnd w:id="50"/>
      <w:bookmarkEnd w:id="51"/>
      <w:bookmarkEnd w:id="52"/>
      <w:bookmarkEnd w:id="53"/>
    </w:p>
    <w:p w:rsidR="00913429" w:rsidRDefault="00913429">
      <w:pPr>
        <w:spacing w:after="0" w:line="276" w:lineRule="auto"/>
        <w:jc w:val="both"/>
        <w:rPr>
          <w:noProof/>
        </w:rPr>
      </w:pPr>
    </w:p>
    <w:p w:rsidR="00913429" w:rsidRDefault="00E143F0">
      <w:pPr>
        <w:spacing w:line="276" w:lineRule="auto"/>
        <w:jc w:val="both"/>
        <w:rPr>
          <w:noProof/>
        </w:rPr>
      </w:pPr>
      <w:r>
        <w:rPr>
          <w:noProof/>
        </w:rPr>
        <w:t xml:space="preserve">This Task is focused </w:t>
      </w:r>
      <w:r>
        <w:rPr>
          <w:noProof/>
        </w:rPr>
        <w:t>on the provision of ongoing project management services throughout the duration of the project. In detail, project management activities are involving the following three Sub-Tasks, together with the production of most of the foreseen project Deliverables:</w:t>
      </w:r>
    </w:p>
    <w:p w:rsidR="00913429" w:rsidRDefault="00E143F0">
      <w:pPr>
        <w:numPr>
          <w:ilvl w:val="0"/>
          <w:numId w:val="31"/>
        </w:numPr>
        <w:adjustRightInd w:val="0"/>
        <w:spacing w:after="0" w:line="240" w:lineRule="auto"/>
        <w:textAlignment w:val="baseline"/>
        <w:rPr>
          <w:noProof/>
        </w:rPr>
      </w:pPr>
      <w:r>
        <w:rPr>
          <w:b/>
          <w:noProof/>
        </w:rPr>
        <w:t>Sub-Task 0.1</w:t>
      </w:r>
      <w:r>
        <w:rPr>
          <w:noProof/>
        </w:rPr>
        <w:t>: Organisation and management of project meetings</w:t>
      </w:r>
    </w:p>
    <w:p w:rsidR="00913429" w:rsidRDefault="00E143F0">
      <w:pPr>
        <w:numPr>
          <w:ilvl w:val="0"/>
          <w:numId w:val="31"/>
        </w:numPr>
        <w:adjustRightInd w:val="0"/>
        <w:spacing w:after="0" w:line="240" w:lineRule="auto"/>
        <w:textAlignment w:val="baseline"/>
        <w:rPr>
          <w:noProof/>
        </w:rPr>
      </w:pPr>
      <w:r>
        <w:rPr>
          <w:b/>
          <w:noProof/>
        </w:rPr>
        <w:t>Sub-Task 0.2</w:t>
      </w:r>
      <w:r>
        <w:rPr>
          <w:noProof/>
        </w:rPr>
        <w:t>: Submission of deliverables and quality control</w:t>
      </w:r>
    </w:p>
    <w:p w:rsidR="00913429" w:rsidRDefault="00E143F0">
      <w:pPr>
        <w:numPr>
          <w:ilvl w:val="0"/>
          <w:numId w:val="31"/>
        </w:numPr>
        <w:adjustRightInd w:val="0"/>
        <w:spacing w:after="0" w:line="240" w:lineRule="auto"/>
        <w:textAlignment w:val="baseline"/>
        <w:rPr>
          <w:noProof/>
        </w:rPr>
      </w:pPr>
      <w:r>
        <w:rPr>
          <w:b/>
          <w:noProof/>
        </w:rPr>
        <w:t>Sub-Task 0.3</w:t>
      </w:r>
      <w:r>
        <w:rPr>
          <w:noProof/>
        </w:rPr>
        <w:t>: Regular reporting to the EC</w:t>
      </w:r>
    </w:p>
    <w:p w:rsidR="00913429" w:rsidRDefault="00913429">
      <w:pPr>
        <w:adjustRightInd w:val="0"/>
        <w:spacing w:after="0" w:line="240" w:lineRule="auto"/>
        <w:textAlignment w:val="baseline"/>
        <w:rPr>
          <w:rFonts w:eastAsia="Times New Roman"/>
          <w:bCs/>
          <w:noProof/>
          <w:color w:val="000000"/>
          <w:sz w:val="21"/>
          <w:szCs w:val="24"/>
        </w:rPr>
      </w:pPr>
    </w:p>
    <w:p w:rsidR="00913429" w:rsidRDefault="00E143F0">
      <w:pPr>
        <w:adjustRightInd w:val="0"/>
        <w:spacing w:line="240" w:lineRule="auto"/>
        <w:textAlignment w:val="baseline"/>
        <w:rPr>
          <w:noProof/>
        </w:rPr>
      </w:pPr>
      <w:r>
        <w:rPr>
          <w:noProof/>
        </w:rPr>
        <w:t>Here below the implementation timetable, referring specifically to project Task 0, dedica</w:t>
      </w:r>
      <w:r>
        <w:rPr>
          <w:noProof/>
        </w:rPr>
        <w:t>ted to project management and coordination activities:</w:t>
      </w:r>
    </w:p>
    <w:p w:rsidR="00913429" w:rsidRDefault="00913429">
      <w:pPr>
        <w:adjustRightInd w:val="0"/>
        <w:spacing w:line="240" w:lineRule="auto"/>
        <w:textAlignment w:val="baseline"/>
        <w:rPr>
          <w:noProof/>
        </w:rPr>
      </w:pPr>
    </w:p>
    <w:p w:rsidR="00913429" w:rsidRDefault="00E143F0">
      <w:pPr>
        <w:keepNext/>
        <w:tabs>
          <w:tab w:val="left" w:pos="8908"/>
        </w:tabs>
        <w:spacing w:line="240" w:lineRule="auto"/>
        <w:jc w:val="both"/>
        <w:rPr>
          <w:rFonts w:eastAsia="Times New Roman"/>
          <w:b/>
          <w:i/>
          <w:noProof/>
          <w:color w:val="D06F1A"/>
        </w:rPr>
      </w:pPr>
      <w:r>
        <w:rPr>
          <w:rFonts w:eastAsia="Times New Roman"/>
          <w:b/>
          <w:i/>
          <w:noProof/>
          <w:color w:val="D06F1A"/>
        </w:rPr>
        <w:t xml:space="preserve">Task 0 New timetable 1 – First 15 Weeks </w:t>
      </w:r>
    </w:p>
    <w:tbl>
      <w:tblPr>
        <w:tblW w:w="5000" w:type="pct"/>
        <w:tblCellMar>
          <w:left w:w="0" w:type="dxa"/>
          <w:right w:w="0" w:type="dxa"/>
        </w:tblCellMar>
        <w:tblLook w:val="0420" w:firstRow="1" w:lastRow="0" w:firstColumn="0" w:lastColumn="0" w:noHBand="0" w:noVBand="1"/>
      </w:tblPr>
      <w:tblGrid>
        <w:gridCol w:w="711"/>
        <w:gridCol w:w="1583"/>
        <w:gridCol w:w="662"/>
        <w:gridCol w:w="428"/>
        <w:gridCol w:w="424"/>
        <w:gridCol w:w="432"/>
        <w:gridCol w:w="517"/>
        <w:gridCol w:w="655"/>
        <w:gridCol w:w="618"/>
        <w:gridCol w:w="653"/>
        <w:gridCol w:w="424"/>
        <w:gridCol w:w="432"/>
        <w:gridCol w:w="424"/>
        <w:gridCol w:w="434"/>
        <w:gridCol w:w="426"/>
        <w:gridCol w:w="434"/>
        <w:gridCol w:w="428"/>
      </w:tblGrid>
      <w:tr w:rsidR="00913429">
        <w:trPr>
          <w:trHeight w:val="20"/>
        </w:trPr>
        <w:tc>
          <w:tcPr>
            <w:tcW w:w="367" w:type="pct"/>
            <w:vMerge w:val="restart"/>
            <w:tcBorders>
              <w:top w:val="single" w:sz="8" w:space="0" w:color="FFFFFF"/>
              <w:left w:val="single" w:sz="8" w:space="0" w:color="DC6900"/>
              <w:right w:val="single" w:sz="8" w:space="0" w:color="DC6900"/>
            </w:tcBorders>
            <w:shd w:val="clear" w:color="auto" w:fill="A32020"/>
            <w:tcMar>
              <w:top w:w="72" w:type="dxa"/>
              <w:left w:w="57" w:type="dxa"/>
              <w:bottom w:w="72" w:type="dxa"/>
              <w:right w:w="57" w:type="dxa"/>
            </w:tcMar>
            <w:vAlign w:val="center"/>
          </w:tcPr>
          <w:p w:rsidR="00913429" w:rsidRDefault="00E143F0">
            <w:pPr>
              <w:spacing w:after="0" w:line="240" w:lineRule="auto"/>
              <w:jc w:val="center"/>
              <w:rPr>
                <w:rFonts w:eastAsia="Times New Roman"/>
                <w:bCs/>
                <w:noProof/>
                <w:color w:val="FFFFFF"/>
                <w:sz w:val="12"/>
                <w:szCs w:val="18"/>
              </w:rPr>
            </w:pPr>
            <w:r>
              <w:rPr>
                <w:rFonts w:eastAsia="Times New Roman"/>
                <w:bCs/>
                <w:noProof/>
                <w:color w:val="FFFFFF"/>
                <w:sz w:val="12"/>
                <w:szCs w:val="18"/>
              </w:rPr>
              <w:t>Sub-Task</w:t>
            </w:r>
          </w:p>
        </w:tc>
        <w:tc>
          <w:tcPr>
            <w:tcW w:w="817" w:type="pct"/>
            <w:vMerge w:val="restart"/>
            <w:tcBorders>
              <w:top w:val="single" w:sz="8" w:space="0" w:color="FFFFFF"/>
              <w:left w:val="single" w:sz="8" w:space="0" w:color="DC6900"/>
              <w:right w:val="single" w:sz="8" w:space="0" w:color="FFFFFF"/>
            </w:tcBorders>
            <w:shd w:val="clear" w:color="auto" w:fill="A32020"/>
            <w:tcMar>
              <w:top w:w="72" w:type="dxa"/>
              <w:left w:w="144" w:type="dxa"/>
              <w:bottom w:w="72" w:type="dxa"/>
              <w:right w:w="144" w:type="dxa"/>
            </w:tcMar>
            <w:vAlign w:val="center"/>
          </w:tcPr>
          <w:p w:rsidR="00913429" w:rsidRDefault="00E143F0">
            <w:pPr>
              <w:spacing w:after="0" w:line="240" w:lineRule="auto"/>
              <w:jc w:val="center"/>
              <w:rPr>
                <w:rFonts w:eastAsia="Times New Roman"/>
                <w:bCs/>
                <w:noProof/>
                <w:color w:val="FFFFFF"/>
                <w:sz w:val="12"/>
                <w:szCs w:val="16"/>
              </w:rPr>
            </w:pPr>
            <w:r>
              <w:rPr>
                <w:rFonts w:eastAsia="Times New Roman"/>
                <w:bCs/>
                <w:noProof/>
                <w:color w:val="FFFFFF"/>
                <w:sz w:val="12"/>
                <w:szCs w:val="16"/>
              </w:rPr>
              <w:t>Description</w:t>
            </w:r>
          </w:p>
        </w:tc>
        <w:tc>
          <w:tcPr>
            <w:tcW w:w="782" w:type="pct"/>
            <w:gridSpan w:val="3"/>
            <w:tcBorders>
              <w:top w:val="single" w:sz="8" w:space="0" w:color="FFFFFF"/>
              <w:left w:val="single" w:sz="8" w:space="0" w:color="FFFFFF"/>
              <w:bottom w:val="single" w:sz="8" w:space="0" w:color="FFFFFF"/>
              <w:right w:val="single" w:sz="8" w:space="0" w:color="FFFFFF"/>
            </w:tcBorders>
            <w:shd w:val="clear" w:color="auto" w:fill="DC6900"/>
            <w:tcMar>
              <w:top w:w="72" w:type="dxa"/>
              <w:left w:w="57" w:type="dxa"/>
              <w:bottom w:w="72" w:type="dxa"/>
              <w:right w:w="57" w:type="dxa"/>
            </w:tcMar>
            <w:vAlign w:val="center"/>
          </w:tcPr>
          <w:p w:rsidR="00913429" w:rsidRDefault="00E143F0">
            <w:pPr>
              <w:spacing w:after="0" w:line="240" w:lineRule="auto"/>
              <w:jc w:val="center"/>
              <w:rPr>
                <w:rFonts w:eastAsia="Times New Roman"/>
                <w:bCs/>
                <w:noProof/>
                <w:color w:val="FFFFFF"/>
                <w:sz w:val="12"/>
                <w:szCs w:val="16"/>
              </w:rPr>
            </w:pPr>
            <w:r>
              <w:rPr>
                <w:rFonts w:eastAsia="Times New Roman"/>
                <w:bCs/>
                <w:noProof/>
                <w:color w:val="FFFFFF"/>
                <w:sz w:val="12"/>
                <w:szCs w:val="16"/>
              </w:rPr>
              <w:t>May</w:t>
            </w:r>
          </w:p>
        </w:tc>
        <w:tc>
          <w:tcPr>
            <w:tcW w:w="1147" w:type="pct"/>
            <w:gridSpan w:val="4"/>
            <w:tcBorders>
              <w:top w:val="single" w:sz="8" w:space="0" w:color="FFFFFF"/>
              <w:left w:val="single" w:sz="8" w:space="0" w:color="FFFFFF"/>
              <w:bottom w:val="single" w:sz="8" w:space="0" w:color="FFFFFF"/>
              <w:right w:val="single" w:sz="8" w:space="0" w:color="FFFFFF"/>
            </w:tcBorders>
            <w:shd w:val="clear" w:color="auto" w:fill="DC6900"/>
            <w:vAlign w:val="center"/>
          </w:tcPr>
          <w:p w:rsidR="00913429" w:rsidRDefault="00E143F0">
            <w:pPr>
              <w:spacing w:after="0" w:line="240" w:lineRule="auto"/>
              <w:jc w:val="center"/>
              <w:rPr>
                <w:rFonts w:eastAsia="Times New Roman"/>
                <w:bCs/>
                <w:noProof/>
                <w:color w:val="FFFFFF"/>
                <w:sz w:val="12"/>
                <w:szCs w:val="16"/>
              </w:rPr>
            </w:pPr>
            <w:r>
              <w:rPr>
                <w:rFonts w:eastAsia="Times New Roman"/>
                <w:bCs/>
                <w:noProof/>
                <w:color w:val="FFFFFF"/>
                <w:sz w:val="12"/>
                <w:szCs w:val="16"/>
              </w:rPr>
              <w:t>June</w:t>
            </w:r>
          </w:p>
        </w:tc>
        <w:tc>
          <w:tcPr>
            <w:tcW w:w="998" w:type="pct"/>
            <w:gridSpan w:val="4"/>
            <w:tcBorders>
              <w:top w:val="single" w:sz="8" w:space="0" w:color="FFFFFF"/>
              <w:left w:val="single" w:sz="8" w:space="0" w:color="FFFFFF"/>
              <w:bottom w:val="single" w:sz="8" w:space="0" w:color="FFFFFF"/>
              <w:right w:val="single" w:sz="8" w:space="0" w:color="FFFFFF"/>
            </w:tcBorders>
            <w:shd w:val="clear" w:color="auto" w:fill="DC6900"/>
            <w:tcMar>
              <w:top w:w="72" w:type="dxa"/>
              <w:left w:w="57" w:type="dxa"/>
              <w:bottom w:w="72" w:type="dxa"/>
              <w:right w:w="57" w:type="dxa"/>
            </w:tcMar>
            <w:vAlign w:val="center"/>
          </w:tcPr>
          <w:p w:rsidR="00913429" w:rsidRDefault="00E143F0">
            <w:pPr>
              <w:spacing w:after="0" w:line="240" w:lineRule="auto"/>
              <w:jc w:val="center"/>
              <w:rPr>
                <w:rFonts w:eastAsia="Times New Roman"/>
                <w:bCs/>
                <w:noProof/>
                <w:color w:val="FFFFFF"/>
                <w:sz w:val="12"/>
                <w:szCs w:val="16"/>
              </w:rPr>
            </w:pPr>
            <w:r>
              <w:rPr>
                <w:rFonts w:eastAsia="Times New Roman"/>
                <w:bCs/>
                <w:noProof/>
                <w:color w:val="FFFFFF"/>
                <w:sz w:val="12"/>
                <w:szCs w:val="16"/>
              </w:rPr>
              <w:t>July</w:t>
            </w:r>
          </w:p>
        </w:tc>
        <w:tc>
          <w:tcPr>
            <w:tcW w:w="889" w:type="pct"/>
            <w:gridSpan w:val="4"/>
            <w:tcBorders>
              <w:top w:val="single" w:sz="8" w:space="0" w:color="FFFFFF"/>
              <w:left w:val="single" w:sz="8" w:space="0" w:color="FFFFFF"/>
              <w:bottom w:val="single" w:sz="8" w:space="0" w:color="FFFFFF"/>
              <w:right w:val="single" w:sz="8" w:space="0" w:color="FFFFFF"/>
            </w:tcBorders>
            <w:shd w:val="clear" w:color="auto" w:fill="DC6900"/>
            <w:vAlign w:val="center"/>
          </w:tcPr>
          <w:p w:rsidR="00913429" w:rsidRDefault="00E143F0">
            <w:pPr>
              <w:spacing w:after="0" w:line="240" w:lineRule="auto"/>
              <w:jc w:val="center"/>
              <w:rPr>
                <w:rFonts w:eastAsia="Times New Roman"/>
                <w:bCs/>
                <w:noProof/>
                <w:color w:val="FFFFFF"/>
                <w:sz w:val="12"/>
                <w:szCs w:val="16"/>
              </w:rPr>
            </w:pPr>
            <w:r>
              <w:rPr>
                <w:rFonts w:eastAsia="Times New Roman"/>
                <w:bCs/>
                <w:noProof/>
                <w:color w:val="FFFFFF"/>
                <w:sz w:val="12"/>
                <w:szCs w:val="16"/>
              </w:rPr>
              <w:t>August</w:t>
            </w:r>
          </w:p>
        </w:tc>
      </w:tr>
      <w:tr w:rsidR="00913429">
        <w:trPr>
          <w:trHeight w:val="20"/>
        </w:trPr>
        <w:tc>
          <w:tcPr>
            <w:tcW w:w="367" w:type="pct"/>
            <w:vMerge/>
            <w:tcBorders>
              <w:left w:val="single" w:sz="8" w:space="0" w:color="DC6900"/>
              <w:bottom w:val="single" w:sz="18" w:space="0" w:color="DC6900"/>
              <w:right w:val="single" w:sz="8" w:space="0" w:color="DC6900"/>
            </w:tcBorders>
            <w:shd w:val="clear" w:color="auto" w:fill="A32020"/>
            <w:tcMar>
              <w:top w:w="72" w:type="dxa"/>
              <w:left w:w="57" w:type="dxa"/>
              <w:bottom w:w="72" w:type="dxa"/>
              <w:right w:w="57" w:type="dxa"/>
            </w:tcMar>
            <w:vAlign w:val="center"/>
            <w:hideMark/>
          </w:tcPr>
          <w:p w:rsidR="00913429" w:rsidRDefault="00913429">
            <w:pPr>
              <w:spacing w:after="0" w:line="240" w:lineRule="auto"/>
              <w:jc w:val="center"/>
              <w:rPr>
                <w:rFonts w:eastAsia="Times New Roman"/>
                <w:bCs/>
                <w:noProof/>
                <w:color w:val="FFFFFF"/>
                <w:sz w:val="12"/>
                <w:szCs w:val="18"/>
              </w:rPr>
            </w:pPr>
          </w:p>
        </w:tc>
        <w:tc>
          <w:tcPr>
            <w:tcW w:w="817" w:type="pct"/>
            <w:vMerge/>
            <w:tcBorders>
              <w:left w:val="single" w:sz="8" w:space="0" w:color="DC6900"/>
              <w:bottom w:val="single" w:sz="18" w:space="0" w:color="DC6900"/>
              <w:right w:val="single" w:sz="8" w:space="0" w:color="FFFFFF"/>
            </w:tcBorders>
            <w:shd w:val="clear" w:color="auto" w:fill="A32020"/>
            <w:tcMar>
              <w:top w:w="72" w:type="dxa"/>
              <w:left w:w="144" w:type="dxa"/>
              <w:bottom w:w="72" w:type="dxa"/>
              <w:right w:w="144" w:type="dxa"/>
            </w:tcMar>
            <w:vAlign w:val="center"/>
            <w:hideMark/>
          </w:tcPr>
          <w:p w:rsidR="00913429" w:rsidRDefault="00913429">
            <w:pPr>
              <w:spacing w:after="0" w:line="240" w:lineRule="auto"/>
              <w:jc w:val="center"/>
              <w:rPr>
                <w:rFonts w:eastAsia="Times New Roman"/>
                <w:bCs/>
                <w:noProof/>
                <w:color w:val="FFFFFF"/>
                <w:sz w:val="12"/>
                <w:szCs w:val="16"/>
              </w:rPr>
            </w:pPr>
          </w:p>
        </w:tc>
        <w:tc>
          <w:tcPr>
            <w:tcW w:w="342" w:type="pct"/>
            <w:tcBorders>
              <w:top w:val="single" w:sz="8" w:space="0" w:color="FFFFFF"/>
              <w:left w:val="single" w:sz="8" w:space="0" w:color="FFFFFF"/>
              <w:bottom w:val="single" w:sz="8" w:space="0" w:color="FFFFFF"/>
              <w:right w:val="single" w:sz="8" w:space="0" w:color="FFFFFF"/>
            </w:tcBorders>
            <w:shd w:val="clear" w:color="auto" w:fill="DC6900"/>
            <w:tcMar>
              <w:top w:w="72" w:type="dxa"/>
              <w:left w:w="57" w:type="dxa"/>
              <w:bottom w:w="72" w:type="dxa"/>
              <w:right w:w="57" w:type="dxa"/>
            </w:tcMar>
            <w:vAlign w:val="center"/>
            <w:hideMark/>
          </w:tcPr>
          <w:p w:rsidR="00913429" w:rsidRDefault="00E143F0">
            <w:pPr>
              <w:spacing w:after="0" w:line="240" w:lineRule="auto"/>
              <w:jc w:val="center"/>
              <w:rPr>
                <w:rFonts w:eastAsia="Times New Roman"/>
                <w:bCs/>
                <w:noProof/>
                <w:color w:val="FFFFFF"/>
                <w:sz w:val="12"/>
                <w:szCs w:val="16"/>
              </w:rPr>
            </w:pPr>
            <w:r>
              <w:rPr>
                <w:rFonts w:eastAsia="Times New Roman"/>
                <w:bCs/>
                <w:noProof/>
                <w:color w:val="FFFFFF"/>
                <w:sz w:val="12"/>
                <w:szCs w:val="16"/>
              </w:rPr>
              <w:t>W1</w:t>
            </w:r>
          </w:p>
        </w:tc>
        <w:tc>
          <w:tcPr>
            <w:tcW w:w="221" w:type="pct"/>
            <w:tcBorders>
              <w:top w:val="single" w:sz="8" w:space="0" w:color="FFFFFF"/>
              <w:left w:val="single" w:sz="8" w:space="0" w:color="FFFFFF"/>
              <w:bottom w:val="single" w:sz="8" w:space="0" w:color="FFFFFF"/>
              <w:right w:val="single" w:sz="8" w:space="0" w:color="FFFFFF"/>
            </w:tcBorders>
            <w:shd w:val="clear" w:color="auto" w:fill="DC6900"/>
            <w:vAlign w:val="center"/>
          </w:tcPr>
          <w:p w:rsidR="00913429" w:rsidRDefault="00E143F0">
            <w:pPr>
              <w:spacing w:after="0" w:line="240" w:lineRule="auto"/>
              <w:jc w:val="center"/>
              <w:rPr>
                <w:rFonts w:eastAsia="Times New Roman"/>
                <w:bCs/>
                <w:noProof/>
                <w:color w:val="FFFFFF"/>
                <w:sz w:val="12"/>
                <w:szCs w:val="16"/>
              </w:rPr>
            </w:pPr>
            <w:r>
              <w:rPr>
                <w:rFonts w:eastAsia="Times New Roman"/>
                <w:bCs/>
                <w:noProof/>
                <w:color w:val="FFFFFF"/>
                <w:sz w:val="12"/>
                <w:szCs w:val="16"/>
              </w:rPr>
              <w:t>W2</w:t>
            </w:r>
          </w:p>
        </w:tc>
        <w:tc>
          <w:tcPr>
            <w:tcW w:w="219" w:type="pct"/>
            <w:tcBorders>
              <w:top w:val="single" w:sz="8" w:space="0" w:color="FFFFFF"/>
              <w:left w:val="single" w:sz="8" w:space="0" w:color="FFFFFF"/>
              <w:bottom w:val="single" w:sz="8" w:space="0" w:color="FFFFFF"/>
              <w:right w:val="single" w:sz="8" w:space="0" w:color="FFFFFF"/>
            </w:tcBorders>
            <w:shd w:val="clear" w:color="auto" w:fill="DC6900"/>
            <w:vAlign w:val="center"/>
          </w:tcPr>
          <w:p w:rsidR="00913429" w:rsidRDefault="00E143F0">
            <w:pPr>
              <w:spacing w:after="0" w:line="240" w:lineRule="auto"/>
              <w:jc w:val="center"/>
              <w:rPr>
                <w:rFonts w:eastAsia="Times New Roman"/>
                <w:bCs/>
                <w:noProof/>
                <w:color w:val="FFFFFF"/>
                <w:sz w:val="12"/>
                <w:szCs w:val="16"/>
              </w:rPr>
            </w:pPr>
            <w:r>
              <w:rPr>
                <w:rFonts w:eastAsia="Times New Roman"/>
                <w:bCs/>
                <w:noProof/>
                <w:color w:val="FFFFFF"/>
                <w:sz w:val="12"/>
                <w:szCs w:val="16"/>
              </w:rPr>
              <w:t>W3</w:t>
            </w:r>
          </w:p>
        </w:tc>
        <w:tc>
          <w:tcPr>
            <w:tcW w:w="223" w:type="pct"/>
            <w:tcBorders>
              <w:top w:val="single" w:sz="8" w:space="0" w:color="FFFFFF"/>
              <w:left w:val="single" w:sz="8" w:space="0" w:color="FFFFFF"/>
              <w:bottom w:val="single" w:sz="8" w:space="0" w:color="FFFFFF"/>
              <w:right w:val="single" w:sz="8" w:space="0" w:color="FFFFFF"/>
            </w:tcBorders>
            <w:shd w:val="clear" w:color="auto" w:fill="DC6900"/>
            <w:vAlign w:val="center"/>
          </w:tcPr>
          <w:p w:rsidR="00913429" w:rsidRDefault="00E143F0">
            <w:pPr>
              <w:spacing w:after="0" w:line="240" w:lineRule="auto"/>
              <w:jc w:val="center"/>
              <w:rPr>
                <w:rFonts w:eastAsia="Times New Roman"/>
                <w:bCs/>
                <w:noProof/>
                <w:color w:val="FFFFFF"/>
                <w:sz w:val="12"/>
                <w:szCs w:val="16"/>
              </w:rPr>
            </w:pPr>
            <w:r>
              <w:rPr>
                <w:rFonts w:eastAsia="Times New Roman"/>
                <w:bCs/>
                <w:noProof/>
                <w:color w:val="FFFFFF"/>
                <w:sz w:val="12"/>
                <w:szCs w:val="16"/>
              </w:rPr>
              <w:t>W4</w:t>
            </w:r>
          </w:p>
        </w:tc>
        <w:tc>
          <w:tcPr>
            <w:tcW w:w="267" w:type="pct"/>
            <w:tcBorders>
              <w:top w:val="single" w:sz="8" w:space="0" w:color="FFFFFF"/>
              <w:left w:val="single" w:sz="8" w:space="0" w:color="FFFFFF"/>
              <w:bottom w:val="single" w:sz="8" w:space="0" w:color="FFFFFF"/>
              <w:right w:val="single" w:sz="8" w:space="0" w:color="FFFFFF"/>
            </w:tcBorders>
            <w:shd w:val="clear" w:color="auto" w:fill="DC6900"/>
            <w:tcMar>
              <w:top w:w="72" w:type="dxa"/>
              <w:left w:w="57" w:type="dxa"/>
              <w:bottom w:w="72" w:type="dxa"/>
              <w:right w:w="57" w:type="dxa"/>
            </w:tcMar>
            <w:vAlign w:val="center"/>
            <w:hideMark/>
          </w:tcPr>
          <w:p w:rsidR="00913429" w:rsidRDefault="00E143F0">
            <w:pPr>
              <w:spacing w:after="0" w:line="240" w:lineRule="auto"/>
              <w:jc w:val="center"/>
              <w:rPr>
                <w:rFonts w:eastAsia="Times New Roman"/>
                <w:bCs/>
                <w:noProof/>
                <w:color w:val="FFFFFF"/>
                <w:sz w:val="12"/>
                <w:szCs w:val="16"/>
              </w:rPr>
            </w:pPr>
            <w:r>
              <w:rPr>
                <w:rFonts w:eastAsia="Times New Roman"/>
                <w:bCs/>
                <w:noProof/>
                <w:color w:val="FFFFFF"/>
                <w:sz w:val="12"/>
                <w:szCs w:val="16"/>
              </w:rPr>
              <w:t>W5</w:t>
            </w:r>
          </w:p>
        </w:tc>
        <w:tc>
          <w:tcPr>
            <w:tcW w:w="338" w:type="pct"/>
            <w:tcBorders>
              <w:top w:val="single" w:sz="8" w:space="0" w:color="FFFFFF"/>
              <w:left w:val="single" w:sz="8" w:space="0" w:color="FFFFFF"/>
              <w:bottom w:val="single" w:sz="8" w:space="0" w:color="FFFFFF"/>
              <w:right w:val="single" w:sz="8" w:space="0" w:color="FFFFFF"/>
            </w:tcBorders>
            <w:shd w:val="clear" w:color="auto" w:fill="DC6900"/>
            <w:tcMar>
              <w:top w:w="72" w:type="dxa"/>
              <w:left w:w="57" w:type="dxa"/>
              <w:bottom w:w="72" w:type="dxa"/>
              <w:right w:w="57" w:type="dxa"/>
            </w:tcMar>
            <w:vAlign w:val="center"/>
            <w:hideMark/>
          </w:tcPr>
          <w:p w:rsidR="00913429" w:rsidRDefault="00E143F0">
            <w:pPr>
              <w:spacing w:after="0" w:line="240" w:lineRule="auto"/>
              <w:jc w:val="center"/>
              <w:rPr>
                <w:rFonts w:eastAsia="Times New Roman"/>
                <w:bCs/>
                <w:noProof/>
                <w:color w:val="FFFFFF"/>
                <w:sz w:val="12"/>
                <w:szCs w:val="16"/>
              </w:rPr>
            </w:pPr>
            <w:r>
              <w:rPr>
                <w:rFonts w:eastAsia="Times New Roman"/>
                <w:bCs/>
                <w:noProof/>
                <w:color w:val="FFFFFF"/>
                <w:sz w:val="12"/>
                <w:szCs w:val="16"/>
              </w:rPr>
              <w:t>W6</w:t>
            </w:r>
          </w:p>
        </w:tc>
        <w:tc>
          <w:tcPr>
            <w:tcW w:w="319" w:type="pct"/>
            <w:tcBorders>
              <w:top w:val="single" w:sz="8" w:space="0" w:color="FFFFFF"/>
              <w:left w:val="single" w:sz="8" w:space="0" w:color="FFFFFF"/>
              <w:bottom w:val="single" w:sz="8" w:space="0" w:color="FFFFFF"/>
              <w:right w:val="single" w:sz="8" w:space="0" w:color="FFFFFF"/>
            </w:tcBorders>
            <w:shd w:val="clear" w:color="auto" w:fill="DC6900"/>
            <w:tcMar>
              <w:top w:w="72" w:type="dxa"/>
              <w:left w:w="57" w:type="dxa"/>
              <w:bottom w:w="72" w:type="dxa"/>
              <w:right w:w="57" w:type="dxa"/>
            </w:tcMar>
            <w:vAlign w:val="center"/>
            <w:hideMark/>
          </w:tcPr>
          <w:p w:rsidR="00913429" w:rsidRDefault="00E143F0">
            <w:pPr>
              <w:spacing w:after="0" w:line="240" w:lineRule="auto"/>
              <w:jc w:val="center"/>
              <w:rPr>
                <w:rFonts w:eastAsia="Times New Roman"/>
                <w:bCs/>
                <w:noProof/>
                <w:color w:val="FFFFFF"/>
                <w:sz w:val="12"/>
                <w:szCs w:val="16"/>
              </w:rPr>
            </w:pPr>
            <w:r>
              <w:rPr>
                <w:rFonts w:eastAsia="Times New Roman"/>
                <w:bCs/>
                <w:noProof/>
                <w:color w:val="FFFFFF"/>
                <w:sz w:val="12"/>
                <w:szCs w:val="16"/>
              </w:rPr>
              <w:t>W7</w:t>
            </w:r>
          </w:p>
        </w:tc>
        <w:tc>
          <w:tcPr>
            <w:tcW w:w="337" w:type="pct"/>
            <w:tcBorders>
              <w:top w:val="single" w:sz="8" w:space="0" w:color="FFFFFF"/>
              <w:left w:val="single" w:sz="8" w:space="0" w:color="FFFFFF"/>
              <w:bottom w:val="single" w:sz="8" w:space="0" w:color="FFFFFF"/>
              <w:right w:val="single" w:sz="8" w:space="0" w:color="FFFFFF"/>
            </w:tcBorders>
            <w:shd w:val="clear" w:color="auto" w:fill="DC6900"/>
            <w:tcMar>
              <w:top w:w="72" w:type="dxa"/>
              <w:left w:w="57" w:type="dxa"/>
              <w:bottom w:w="72" w:type="dxa"/>
              <w:right w:w="57" w:type="dxa"/>
            </w:tcMar>
            <w:vAlign w:val="center"/>
            <w:hideMark/>
          </w:tcPr>
          <w:p w:rsidR="00913429" w:rsidRDefault="00E143F0">
            <w:pPr>
              <w:spacing w:after="0" w:line="240" w:lineRule="auto"/>
              <w:jc w:val="center"/>
              <w:rPr>
                <w:rFonts w:eastAsia="Times New Roman"/>
                <w:bCs/>
                <w:noProof/>
                <w:color w:val="FFFFFF"/>
                <w:sz w:val="12"/>
                <w:szCs w:val="16"/>
              </w:rPr>
            </w:pPr>
            <w:r>
              <w:rPr>
                <w:rFonts w:eastAsia="Times New Roman"/>
                <w:bCs/>
                <w:noProof/>
                <w:color w:val="FFFFFF"/>
                <w:sz w:val="12"/>
                <w:szCs w:val="16"/>
              </w:rPr>
              <w:t>W8</w:t>
            </w:r>
          </w:p>
        </w:tc>
        <w:tc>
          <w:tcPr>
            <w:tcW w:w="219" w:type="pct"/>
            <w:tcBorders>
              <w:top w:val="single" w:sz="8" w:space="0" w:color="FFFFFF"/>
              <w:left w:val="single" w:sz="8" w:space="0" w:color="FFFFFF"/>
              <w:bottom w:val="single" w:sz="8" w:space="0" w:color="FFFFFF"/>
              <w:right w:val="single" w:sz="8" w:space="0" w:color="FFFFFF"/>
            </w:tcBorders>
            <w:shd w:val="clear" w:color="auto" w:fill="DC6900"/>
            <w:vAlign w:val="center"/>
          </w:tcPr>
          <w:p w:rsidR="00913429" w:rsidRDefault="00E143F0">
            <w:pPr>
              <w:spacing w:after="0" w:line="240" w:lineRule="auto"/>
              <w:jc w:val="center"/>
              <w:rPr>
                <w:rFonts w:eastAsia="Times New Roman"/>
                <w:bCs/>
                <w:noProof/>
                <w:color w:val="FFFFFF"/>
                <w:sz w:val="12"/>
                <w:szCs w:val="16"/>
              </w:rPr>
            </w:pPr>
            <w:r>
              <w:rPr>
                <w:rFonts w:eastAsia="Times New Roman"/>
                <w:bCs/>
                <w:noProof/>
                <w:color w:val="FFFFFF"/>
                <w:sz w:val="12"/>
                <w:szCs w:val="16"/>
              </w:rPr>
              <w:t>W9</w:t>
            </w:r>
          </w:p>
        </w:tc>
        <w:tc>
          <w:tcPr>
            <w:tcW w:w="223" w:type="pct"/>
            <w:tcBorders>
              <w:top w:val="single" w:sz="8" w:space="0" w:color="FFFFFF"/>
              <w:left w:val="single" w:sz="8" w:space="0" w:color="FFFFFF"/>
              <w:bottom w:val="single" w:sz="8" w:space="0" w:color="FFFFFF"/>
              <w:right w:val="single" w:sz="8" w:space="0" w:color="FFFFFF"/>
            </w:tcBorders>
            <w:shd w:val="clear" w:color="auto" w:fill="DC6900"/>
            <w:vAlign w:val="center"/>
          </w:tcPr>
          <w:p w:rsidR="00913429" w:rsidRDefault="00E143F0">
            <w:pPr>
              <w:spacing w:after="0" w:line="240" w:lineRule="auto"/>
              <w:jc w:val="center"/>
              <w:rPr>
                <w:rFonts w:eastAsia="Times New Roman"/>
                <w:bCs/>
                <w:noProof/>
                <w:color w:val="FFFFFF"/>
                <w:sz w:val="12"/>
                <w:szCs w:val="16"/>
              </w:rPr>
            </w:pPr>
            <w:r>
              <w:rPr>
                <w:rFonts w:eastAsia="Times New Roman"/>
                <w:bCs/>
                <w:noProof/>
                <w:color w:val="FFFFFF"/>
                <w:sz w:val="12"/>
                <w:szCs w:val="16"/>
              </w:rPr>
              <w:t>W10</w:t>
            </w:r>
          </w:p>
        </w:tc>
        <w:tc>
          <w:tcPr>
            <w:tcW w:w="219" w:type="pct"/>
            <w:tcBorders>
              <w:top w:val="single" w:sz="8" w:space="0" w:color="FFFFFF"/>
              <w:left w:val="single" w:sz="8" w:space="0" w:color="FFFFFF"/>
              <w:bottom w:val="single" w:sz="8" w:space="0" w:color="FFFFFF"/>
              <w:right w:val="single" w:sz="8" w:space="0" w:color="FFFFFF"/>
            </w:tcBorders>
            <w:shd w:val="clear" w:color="auto" w:fill="DC6900"/>
            <w:vAlign w:val="center"/>
          </w:tcPr>
          <w:p w:rsidR="00913429" w:rsidRDefault="00E143F0">
            <w:pPr>
              <w:spacing w:after="0" w:line="240" w:lineRule="auto"/>
              <w:jc w:val="center"/>
              <w:rPr>
                <w:rFonts w:eastAsia="Times New Roman"/>
                <w:bCs/>
                <w:noProof/>
                <w:color w:val="FFFFFF"/>
                <w:sz w:val="12"/>
                <w:szCs w:val="16"/>
              </w:rPr>
            </w:pPr>
            <w:r>
              <w:rPr>
                <w:rFonts w:eastAsia="Times New Roman"/>
                <w:bCs/>
                <w:noProof/>
                <w:color w:val="FFFFFF"/>
                <w:sz w:val="12"/>
                <w:szCs w:val="16"/>
              </w:rPr>
              <w:t>W11</w:t>
            </w:r>
          </w:p>
        </w:tc>
        <w:tc>
          <w:tcPr>
            <w:tcW w:w="224" w:type="pct"/>
            <w:tcBorders>
              <w:top w:val="single" w:sz="8" w:space="0" w:color="FFFFFF"/>
              <w:left w:val="single" w:sz="8" w:space="0" w:color="FFFFFF"/>
              <w:bottom w:val="single" w:sz="8" w:space="0" w:color="FFFFFF"/>
              <w:right w:val="single" w:sz="8" w:space="0" w:color="FFFFFF"/>
            </w:tcBorders>
            <w:shd w:val="clear" w:color="auto" w:fill="DC6900"/>
            <w:vAlign w:val="center"/>
          </w:tcPr>
          <w:p w:rsidR="00913429" w:rsidRDefault="00E143F0">
            <w:pPr>
              <w:spacing w:after="0" w:line="240" w:lineRule="auto"/>
              <w:jc w:val="center"/>
              <w:rPr>
                <w:rFonts w:eastAsia="Times New Roman"/>
                <w:bCs/>
                <w:noProof/>
                <w:color w:val="FFFFFF"/>
                <w:sz w:val="12"/>
                <w:szCs w:val="16"/>
              </w:rPr>
            </w:pPr>
            <w:r>
              <w:rPr>
                <w:rFonts w:eastAsia="Times New Roman"/>
                <w:bCs/>
                <w:noProof/>
                <w:color w:val="FFFFFF"/>
                <w:sz w:val="12"/>
                <w:szCs w:val="16"/>
              </w:rPr>
              <w:t>W12</w:t>
            </w:r>
          </w:p>
        </w:tc>
        <w:tc>
          <w:tcPr>
            <w:tcW w:w="220" w:type="pct"/>
            <w:tcBorders>
              <w:top w:val="single" w:sz="8" w:space="0" w:color="FFFFFF"/>
              <w:left w:val="single" w:sz="8" w:space="0" w:color="FFFFFF"/>
              <w:bottom w:val="single" w:sz="8" w:space="0" w:color="FFFFFF"/>
              <w:right w:val="single" w:sz="8" w:space="0" w:color="FFFFFF"/>
            </w:tcBorders>
            <w:shd w:val="clear" w:color="auto" w:fill="DC6900"/>
            <w:vAlign w:val="center"/>
          </w:tcPr>
          <w:p w:rsidR="00913429" w:rsidRDefault="00E143F0">
            <w:pPr>
              <w:spacing w:after="0" w:line="240" w:lineRule="auto"/>
              <w:jc w:val="center"/>
              <w:rPr>
                <w:rFonts w:eastAsia="Times New Roman"/>
                <w:bCs/>
                <w:noProof/>
                <w:color w:val="FFFFFF"/>
                <w:sz w:val="12"/>
                <w:szCs w:val="16"/>
              </w:rPr>
            </w:pPr>
            <w:r>
              <w:rPr>
                <w:rFonts w:eastAsia="Times New Roman"/>
                <w:bCs/>
                <w:noProof/>
                <w:color w:val="FFFFFF"/>
                <w:sz w:val="12"/>
                <w:szCs w:val="16"/>
              </w:rPr>
              <w:t>W13</w:t>
            </w:r>
          </w:p>
        </w:tc>
        <w:tc>
          <w:tcPr>
            <w:tcW w:w="224" w:type="pct"/>
            <w:tcBorders>
              <w:top w:val="single" w:sz="8" w:space="0" w:color="FFFFFF"/>
              <w:left w:val="single" w:sz="8" w:space="0" w:color="FFFFFF"/>
              <w:bottom w:val="single" w:sz="8" w:space="0" w:color="FFFFFF"/>
              <w:right w:val="single" w:sz="8" w:space="0" w:color="FFFFFF"/>
            </w:tcBorders>
            <w:shd w:val="clear" w:color="auto" w:fill="DC6900"/>
            <w:vAlign w:val="center"/>
          </w:tcPr>
          <w:p w:rsidR="00913429" w:rsidRDefault="00E143F0">
            <w:pPr>
              <w:spacing w:after="0" w:line="240" w:lineRule="auto"/>
              <w:jc w:val="center"/>
              <w:rPr>
                <w:rFonts w:eastAsia="Times New Roman"/>
                <w:bCs/>
                <w:noProof/>
                <w:color w:val="FFFFFF"/>
                <w:sz w:val="12"/>
                <w:szCs w:val="16"/>
              </w:rPr>
            </w:pPr>
            <w:r>
              <w:rPr>
                <w:rFonts w:eastAsia="Times New Roman"/>
                <w:bCs/>
                <w:noProof/>
                <w:color w:val="FFFFFF"/>
                <w:sz w:val="12"/>
                <w:szCs w:val="16"/>
              </w:rPr>
              <w:t>W14</w:t>
            </w:r>
          </w:p>
        </w:tc>
        <w:tc>
          <w:tcPr>
            <w:tcW w:w="221" w:type="pct"/>
            <w:tcBorders>
              <w:top w:val="single" w:sz="8" w:space="0" w:color="FFFFFF"/>
              <w:left w:val="single" w:sz="8" w:space="0" w:color="FFFFFF"/>
              <w:bottom w:val="single" w:sz="8" w:space="0" w:color="FFFFFF"/>
              <w:right w:val="single" w:sz="8" w:space="0" w:color="FFFFFF"/>
            </w:tcBorders>
            <w:shd w:val="clear" w:color="auto" w:fill="DC6900"/>
            <w:vAlign w:val="center"/>
          </w:tcPr>
          <w:p w:rsidR="00913429" w:rsidRDefault="00E143F0">
            <w:pPr>
              <w:spacing w:after="0" w:line="240" w:lineRule="auto"/>
              <w:jc w:val="center"/>
              <w:rPr>
                <w:rFonts w:eastAsia="Times New Roman"/>
                <w:bCs/>
                <w:noProof/>
                <w:color w:val="FFFFFF"/>
                <w:sz w:val="12"/>
                <w:szCs w:val="16"/>
              </w:rPr>
            </w:pPr>
            <w:r>
              <w:rPr>
                <w:rFonts w:eastAsia="Times New Roman"/>
                <w:bCs/>
                <w:noProof/>
                <w:color w:val="FFFFFF"/>
                <w:sz w:val="12"/>
                <w:szCs w:val="16"/>
              </w:rPr>
              <w:t>W15</w:t>
            </w:r>
          </w:p>
        </w:tc>
      </w:tr>
      <w:tr w:rsidR="00913429">
        <w:trPr>
          <w:trHeight w:val="20"/>
        </w:trPr>
        <w:tc>
          <w:tcPr>
            <w:tcW w:w="367" w:type="pct"/>
            <w:tcBorders>
              <w:top w:val="single" w:sz="8" w:space="0" w:color="DC6900"/>
              <w:left w:val="single" w:sz="8" w:space="0" w:color="FFFFFF"/>
              <w:bottom w:val="single" w:sz="8" w:space="0" w:color="DC6900"/>
              <w:right w:val="single" w:sz="8" w:space="0" w:color="DC6900"/>
            </w:tcBorders>
            <w:shd w:val="clear" w:color="auto" w:fill="auto"/>
            <w:tcMar>
              <w:top w:w="72" w:type="dxa"/>
              <w:left w:w="113" w:type="dxa"/>
              <w:bottom w:w="72" w:type="dxa"/>
              <w:right w:w="113" w:type="dxa"/>
            </w:tcMar>
            <w:hideMark/>
          </w:tcPr>
          <w:p w:rsidR="00913429" w:rsidRDefault="00913429">
            <w:pPr>
              <w:spacing w:after="0" w:line="240" w:lineRule="auto"/>
              <w:rPr>
                <w:rFonts w:eastAsia="Times New Roman"/>
                <w:bCs/>
                <w:noProof/>
                <w:color w:val="000000"/>
                <w:sz w:val="12"/>
                <w:szCs w:val="18"/>
              </w:rPr>
            </w:pPr>
          </w:p>
        </w:tc>
        <w:tc>
          <w:tcPr>
            <w:tcW w:w="817" w:type="pct"/>
            <w:tcBorders>
              <w:top w:val="single" w:sz="8" w:space="0" w:color="DC6900"/>
              <w:left w:val="single" w:sz="8" w:space="0" w:color="DC6900"/>
              <w:bottom w:val="single" w:sz="8" w:space="0" w:color="DC6900"/>
              <w:right w:val="single" w:sz="8" w:space="0" w:color="DC6900"/>
            </w:tcBorders>
            <w:shd w:val="clear" w:color="auto" w:fill="auto"/>
            <w:tcMar>
              <w:top w:w="15" w:type="dxa"/>
              <w:left w:w="57" w:type="dxa"/>
              <w:bottom w:w="0" w:type="dxa"/>
              <w:right w:w="15" w:type="dxa"/>
            </w:tcMar>
            <w:vAlign w:val="center"/>
            <w:hideMark/>
          </w:tcPr>
          <w:p w:rsidR="00913429" w:rsidRDefault="00E143F0">
            <w:pPr>
              <w:spacing w:after="0" w:line="240" w:lineRule="auto"/>
              <w:rPr>
                <w:rFonts w:eastAsia="Times New Roman"/>
                <w:b/>
                <w:bCs/>
                <w:noProof/>
                <w:color w:val="000000"/>
                <w:sz w:val="12"/>
                <w:szCs w:val="18"/>
              </w:rPr>
            </w:pPr>
            <w:r>
              <w:rPr>
                <w:rFonts w:eastAsia="Times New Roman"/>
                <w:b/>
                <w:bCs/>
                <w:noProof/>
                <w:color w:val="000000"/>
                <w:sz w:val="12"/>
                <w:szCs w:val="18"/>
              </w:rPr>
              <w:t>Task 0 – Other specific tasks</w:t>
            </w:r>
          </w:p>
        </w:tc>
        <w:tc>
          <w:tcPr>
            <w:tcW w:w="342" w:type="pct"/>
            <w:tcBorders>
              <w:top w:val="single" w:sz="8" w:space="0" w:color="DC6900"/>
              <w:left w:val="single" w:sz="8" w:space="0" w:color="DC6900"/>
              <w:bottom w:val="single" w:sz="8" w:space="0" w:color="DC6900"/>
              <w:right w:val="single" w:sz="8" w:space="0" w:color="DC6900"/>
            </w:tcBorders>
            <w:shd w:val="clear" w:color="auto" w:fill="D32E4B"/>
            <w:tcMar>
              <w:top w:w="72" w:type="dxa"/>
              <w:left w:w="144" w:type="dxa"/>
              <w:bottom w:w="72" w:type="dxa"/>
              <w:right w:w="144" w:type="dxa"/>
            </w:tcMar>
            <w:hideMark/>
          </w:tcPr>
          <w:p w:rsidR="00913429" w:rsidRDefault="00913429">
            <w:pPr>
              <w:spacing w:after="0" w:line="240" w:lineRule="auto"/>
              <w:rPr>
                <w:rFonts w:eastAsia="Times New Roman"/>
                <w:bCs/>
                <w:noProof/>
                <w:color w:val="000000"/>
                <w:sz w:val="18"/>
                <w:szCs w:val="18"/>
              </w:rPr>
            </w:pPr>
          </w:p>
        </w:tc>
        <w:tc>
          <w:tcPr>
            <w:tcW w:w="221" w:type="pct"/>
            <w:tcBorders>
              <w:top w:val="single" w:sz="8" w:space="0" w:color="DC6900"/>
              <w:left w:val="single" w:sz="8" w:space="0" w:color="DC6900"/>
              <w:bottom w:val="single" w:sz="8" w:space="0" w:color="DC6900"/>
              <w:right w:val="single" w:sz="8" w:space="0" w:color="DC6900"/>
            </w:tcBorders>
            <w:shd w:val="clear" w:color="auto" w:fill="D32E4B"/>
          </w:tcPr>
          <w:p w:rsidR="00913429" w:rsidRDefault="00913429">
            <w:pPr>
              <w:spacing w:after="0" w:line="240" w:lineRule="auto"/>
              <w:rPr>
                <w:rFonts w:eastAsia="Times New Roman"/>
                <w:bCs/>
                <w:noProof/>
                <w:color w:val="000000"/>
                <w:sz w:val="18"/>
                <w:szCs w:val="18"/>
              </w:rPr>
            </w:pPr>
          </w:p>
        </w:tc>
        <w:tc>
          <w:tcPr>
            <w:tcW w:w="219" w:type="pct"/>
            <w:tcBorders>
              <w:top w:val="single" w:sz="8" w:space="0" w:color="DC6900"/>
              <w:left w:val="single" w:sz="8" w:space="0" w:color="DC6900"/>
              <w:bottom w:val="single" w:sz="8" w:space="0" w:color="DC6900"/>
              <w:right w:val="single" w:sz="8" w:space="0" w:color="DC6900"/>
            </w:tcBorders>
            <w:shd w:val="clear" w:color="auto" w:fill="D32E4B"/>
          </w:tcPr>
          <w:p w:rsidR="00913429" w:rsidRDefault="00913429">
            <w:pPr>
              <w:spacing w:after="0" w:line="240" w:lineRule="auto"/>
              <w:rPr>
                <w:rFonts w:eastAsia="Times New Roman"/>
                <w:bCs/>
                <w:noProof/>
                <w:color w:val="000000"/>
                <w:sz w:val="18"/>
                <w:szCs w:val="18"/>
              </w:rPr>
            </w:pPr>
          </w:p>
        </w:tc>
        <w:tc>
          <w:tcPr>
            <w:tcW w:w="223" w:type="pct"/>
            <w:tcBorders>
              <w:top w:val="single" w:sz="8" w:space="0" w:color="DC6900"/>
              <w:left w:val="single" w:sz="8" w:space="0" w:color="DC6900"/>
              <w:bottom w:val="single" w:sz="8" w:space="0" w:color="DC6900"/>
              <w:right w:val="single" w:sz="8" w:space="0" w:color="DC6900"/>
            </w:tcBorders>
            <w:shd w:val="clear" w:color="auto" w:fill="D32E4B"/>
          </w:tcPr>
          <w:p w:rsidR="00913429" w:rsidRDefault="00913429">
            <w:pPr>
              <w:spacing w:after="0" w:line="240" w:lineRule="auto"/>
              <w:rPr>
                <w:rFonts w:eastAsia="Times New Roman"/>
                <w:bCs/>
                <w:noProof/>
                <w:color w:val="000000"/>
                <w:sz w:val="18"/>
                <w:szCs w:val="18"/>
              </w:rPr>
            </w:pPr>
          </w:p>
        </w:tc>
        <w:tc>
          <w:tcPr>
            <w:tcW w:w="267" w:type="pct"/>
            <w:tcBorders>
              <w:top w:val="single" w:sz="8" w:space="0" w:color="DC6900"/>
              <w:left w:val="single" w:sz="8" w:space="0" w:color="DC6900"/>
              <w:bottom w:val="single" w:sz="8" w:space="0" w:color="DC6900"/>
              <w:right w:val="single" w:sz="8" w:space="0" w:color="DC6900"/>
            </w:tcBorders>
            <w:shd w:val="clear" w:color="auto" w:fill="D32E4B"/>
            <w:tcMar>
              <w:top w:w="72" w:type="dxa"/>
              <w:left w:w="144" w:type="dxa"/>
              <w:bottom w:w="72" w:type="dxa"/>
              <w:right w:w="144" w:type="dxa"/>
            </w:tcMar>
            <w:hideMark/>
          </w:tcPr>
          <w:p w:rsidR="00913429" w:rsidRDefault="00913429">
            <w:pPr>
              <w:spacing w:after="0" w:line="240" w:lineRule="auto"/>
              <w:rPr>
                <w:rFonts w:eastAsia="Times New Roman"/>
                <w:bCs/>
                <w:noProof/>
                <w:color w:val="000000"/>
                <w:sz w:val="18"/>
                <w:szCs w:val="18"/>
              </w:rPr>
            </w:pPr>
          </w:p>
        </w:tc>
        <w:tc>
          <w:tcPr>
            <w:tcW w:w="338" w:type="pct"/>
            <w:tcBorders>
              <w:top w:val="single" w:sz="8" w:space="0" w:color="DC6900"/>
              <w:left w:val="single" w:sz="8" w:space="0" w:color="DC6900"/>
              <w:bottom w:val="single" w:sz="8" w:space="0" w:color="DC6900"/>
              <w:right w:val="single" w:sz="8" w:space="0" w:color="DC6900"/>
            </w:tcBorders>
            <w:shd w:val="clear" w:color="auto" w:fill="D32E4B"/>
            <w:tcMar>
              <w:top w:w="72" w:type="dxa"/>
              <w:left w:w="144" w:type="dxa"/>
              <w:bottom w:w="72" w:type="dxa"/>
              <w:right w:w="144" w:type="dxa"/>
            </w:tcMar>
            <w:hideMark/>
          </w:tcPr>
          <w:p w:rsidR="00913429" w:rsidRDefault="00913429">
            <w:pPr>
              <w:spacing w:after="0" w:line="240" w:lineRule="auto"/>
              <w:rPr>
                <w:rFonts w:eastAsia="Times New Roman"/>
                <w:bCs/>
                <w:noProof/>
                <w:color w:val="000000"/>
                <w:sz w:val="18"/>
                <w:szCs w:val="18"/>
              </w:rPr>
            </w:pPr>
          </w:p>
        </w:tc>
        <w:tc>
          <w:tcPr>
            <w:tcW w:w="319" w:type="pct"/>
            <w:tcBorders>
              <w:top w:val="single" w:sz="8" w:space="0" w:color="DC6900"/>
              <w:left w:val="single" w:sz="8" w:space="0" w:color="DC6900"/>
              <w:bottom w:val="single" w:sz="8" w:space="0" w:color="DC6900"/>
              <w:right w:val="single" w:sz="8" w:space="0" w:color="DC6900"/>
            </w:tcBorders>
            <w:shd w:val="clear" w:color="auto" w:fill="D32E4B"/>
            <w:tcMar>
              <w:top w:w="72" w:type="dxa"/>
              <w:left w:w="144" w:type="dxa"/>
              <w:bottom w:w="72" w:type="dxa"/>
              <w:right w:w="144" w:type="dxa"/>
            </w:tcMar>
            <w:hideMark/>
          </w:tcPr>
          <w:p w:rsidR="00913429" w:rsidRDefault="00913429">
            <w:pPr>
              <w:spacing w:after="0" w:line="240" w:lineRule="auto"/>
              <w:rPr>
                <w:rFonts w:eastAsia="Times New Roman"/>
                <w:bCs/>
                <w:noProof/>
                <w:color w:val="000000"/>
                <w:sz w:val="18"/>
                <w:szCs w:val="18"/>
              </w:rPr>
            </w:pPr>
          </w:p>
        </w:tc>
        <w:tc>
          <w:tcPr>
            <w:tcW w:w="337" w:type="pct"/>
            <w:tcBorders>
              <w:top w:val="single" w:sz="8" w:space="0" w:color="DC6900"/>
              <w:left w:val="single" w:sz="8" w:space="0" w:color="DC6900"/>
              <w:bottom w:val="single" w:sz="8" w:space="0" w:color="DC6900"/>
              <w:right w:val="single" w:sz="8" w:space="0" w:color="DC6900"/>
            </w:tcBorders>
            <w:shd w:val="clear" w:color="auto" w:fill="D32E4B"/>
            <w:tcMar>
              <w:top w:w="72" w:type="dxa"/>
              <w:left w:w="144" w:type="dxa"/>
              <w:bottom w:w="72" w:type="dxa"/>
              <w:right w:w="144" w:type="dxa"/>
            </w:tcMar>
            <w:hideMark/>
          </w:tcPr>
          <w:p w:rsidR="00913429" w:rsidRDefault="00913429">
            <w:pPr>
              <w:spacing w:after="0" w:line="240" w:lineRule="auto"/>
              <w:rPr>
                <w:rFonts w:eastAsia="Times New Roman"/>
                <w:bCs/>
                <w:noProof/>
                <w:color w:val="000000"/>
                <w:sz w:val="18"/>
                <w:szCs w:val="18"/>
              </w:rPr>
            </w:pPr>
          </w:p>
        </w:tc>
        <w:tc>
          <w:tcPr>
            <w:tcW w:w="219" w:type="pct"/>
            <w:tcBorders>
              <w:top w:val="single" w:sz="8" w:space="0" w:color="DC6900"/>
              <w:left w:val="single" w:sz="8" w:space="0" w:color="DC6900"/>
              <w:bottom w:val="single" w:sz="8" w:space="0" w:color="DC6900"/>
              <w:right w:val="single" w:sz="8" w:space="0" w:color="DC6900"/>
            </w:tcBorders>
            <w:shd w:val="clear" w:color="auto" w:fill="D32E4B"/>
          </w:tcPr>
          <w:p w:rsidR="00913429" w:rsidRDefault="00913429">
            <w:pPr>
              <w:spacing w:after="0" w:line="240" w:lineRule="auto"/>
              <w:rPr>
                <w:rFonts w:eastAsia="Times New Roman"/>
                <w:bCs/>
                <w:noProof/>
                <w:color w:val="000000"/>
                <w:sz w:val="18"/>
                <w:szCs w:val="18"/>
              </w:rPr>
            </w:pPr>
          </w:p>
        </w:tc>
        <w:tc>
          <w:tcPr>
            <w:tcW w:w="223" w:type="pct"/>
            <w:tcBorders>
              <w:top w:val="single" w:sz="8" w:space="0" w:color="DC6900"/>
              <w:left w:val="single" w:sz="8" w:space="0" w:color="DC6900"/>
              <w:bottom w:val="single" w:sz="8" w:space="0" w:color="DC6900"/>
              <w:right w:val="single" w:sz="8" w:space="0" w:color="DC6900"/>
            </w:tcBorders>
            <w:shd w:val="clear" w:color="auto" w:fill="D32E4B"/>
          </w:tcPr>
          <w:p w:rsidR="00913429" w:rsidRDefault="00913429">
            <w:pPr>
              <w:spacing w:after="0" w:line="240" w:lineRule="auto"/>
              <w:rPr>
                <w:rFonts w:eastAsia="Times New Roman"/>
                <w:bCs/>
                <w:noProof/>
                <w:color w:val="000000"/>
                <w:sz w:val="18"/>
                <w:szCs w:val="18"/>
              </w:rPr>
            </w:pPr>
          </w:p>
        </w:tc>
        <w:tc>
          <w:tcPr>
            <w:tcW w:w="219" w:type="pct"/>
            <w:tcBorders>
              <w:top w:val="single" w:sz="8" w:space="0" w:color="DC6900"/>
              <w:left w:val="single" w:sz="8" w:space="0" w:color="DC6900"/>
              <w:bottom w:val="single" w:sz="8" w:space="0" w:color="DC6900"/>
              <w:right w:val="single" w:sz="8" w:space="0" w:color="DC6900"/>
            </w:tcBorders>
            <w:shd w:val="clear" w:color="auto" w:fill="D32E4B"/>
          </w:tcPr>
          <w:p w:rsidR="00913429" w:rsidRDefault="00913429">
            <w:pPr>
              <w:spacing w:after="0" w:line="240" w:lineRule="auto"/>
              <w:rPr>
                <w:rFonts w:eastAsia="Times New Roman"/>
                <w:bCs/>
                <w:noProof/>
                <w:color w:val="000000"/>
                <w:sz w:val="18"/>
                <w:szCs w:val="18"/>
              </w:rPr>
            </w:pPr>
          </w:p>
        </w:tc>
        <w:tc>
          <w:tcPr>
            <w:tcW w:w="224" w:type="pct"/>
            <w:tcBorders>
              <w:top w:val="single" w:sz="8" w:space="0" w:color="DC6900"/>
              <w:left w:val="single" w:sz="8" w:space="0" w:color="DC6900"/>
              <w:bottom w:val="single" w:sz="8" w:space="0" w:color="DC6900"/>
              <w:right w:val="single" w:sz="8" w:space="0" w:color="DC6900"/>
            </w:tcBorders>
            <w:shd w:val="clear" w:color="auto" w:fill="D32E4B"/>
          </w:tcPr>
          <w:p w:rsidR="00913429" w:rsidRDefault="00913429">
            <w:pPr>
              <w:spacing w:after="0" w:line="240" w:lineRule="auto"/>
              <w:rPr>
                <w:rFonts w:eastAsia="Times New Roman"/>
                <w:bCs/>
                <w:noProof/>
                <w:color w:val="000000"/>
                <w:sz w:val="18"/>
                <w:szCs w:val="18"/>
              </w:rPr>
            </w:pPr>
          </w:p>
        </w:tc>
        <w:tc>
          <w:tcPr>
            <w:tcW w:w="220" w:type="pct"/>
            <w:tcBorders>
              <w:top w:val="single" w:sz="8" w:space="0" w:color="DC6900"/>
              <w:left w:val="single" w:sz="8" w:space="0" w:color="DC6900"/>
              <w:bottom w:val="single" w:sz="8" w:space="0" w:color="DC6900"/>
              <w:right w:val="single" w:sz="8" w:space="0" w:color="DC6900"/>
            </w:tcBorders>
            <w:shd w:val="clear" w:color="auto" w:fill="D32E4B"/>
          </w:tcPr>
          <w:p w:rsidR="00913429" w:rsidRDefault="00913429">
            <w:pPr>
              <w:spacing w:after="0" w:line="240" w:lineRule="auto"/>
              <w:rPr>
                <w:rFonts w:eastAsia="Times New Roman"/>
                <w:bCs/>
                <w:noProof/>
                <w:color w:val="000000"/>
                <w:sz w:val="18"/>
                <w:szCs w:val="18"/>
              </w:rPr>
            </w:pPr>
          </w:p>
        </w:tc>
        <w:tc>
          <w:tcPr>
            <w:tcW w:w="224" w:type="pct"/>
            <w:tcBorders>
              <w:top w:val="single" w:sz="8" w:space="0" w:color="DC6900"/>
              <w:left w:val="single" w:sz="8" w:space="0" w:color="DC6900"/>
              <w:bottom w:val="single" w:sz="8" w:space="0" w:color="DC6900"/>
              <w:right w:val="single" w:sz="8" w:space="0" w:color="DC6900"/>
            </w:tcBorders>
            <w:shd w:val="clear" w:color="auto" w:fill="D32E4B"/>
          </w:tcPr>
          <w:p w:rsidR="00913429" w:rsidRDefault="00913429">
            <w:pPr>
              <w:spacing w:after="0" w:line="240" w:lineRule="auto"/>
              <w:rPr>
                <w:rFonts w:eastAsia="Times New Roman"/>
                <w:bCs/>
                <w:noProof/>
                <w:color w:val="000000"/>
                <w:sz w:val="18"/>
                <w:szCs w:val="18"/>
              </w:rPr>
            </w:pPr>
          </w:p>
        </w:tc>
        <w:tc>
          <w:tcPr>
            <w:tcW w:w="221" w:type="pct"/>
            <w:tcBorders>
              <w:top w:val="single" w:sz="8" w:space="0" w:color="DC6900"/>
              <w:left w:val="single" w:sz="8" w:space="0" w:color="DC6900"/>
              <w:bottom w:val="single" w:sz="8" w:space="0" w:color="DC6900"/>
              <w:right w:val="single" w:sz="8" w:space="0" w:color="DC6900"/>
            </w:tcBorders>
            <w:shd w:val="clear" w:color="auto" w:fill="D32E4B"/>
          </w:tcPr>
          <w:p w:rsidR="00913429" w:rsidRDefault="00913429">
            <w:pPr>
              <w:spacing w:after="0" w:line="240" w:lineRule="auto"/>
              <w:rPr>
                <w:rFonts w:eastAsia="Times New Roman"/>
                <w:bCs/>
                <w:noProof/>
                <w:color w:val="000000"/>
                <w:sz w:val="18"/>
                <w:szCs w:val="18"/>
              </w:rPr>
            </w:pPr>
          </w:p>
        </w:tc>
      </w:tr>
      <w:tr w:rsidR="00913429">
        <w:trPr>
          <w:trHeight w:val="340"/>
        </w:trPr>
        <w:tc>
          <w:tcPr>
            <w:tcW w:w="367" w:type="pct"/>
            <w:tcBorders>
              <w:top w:val="single" w:sz="8" w:space="0" w:color="DC6900"/>
              <w:left w:val="single" w:sz="8" w:space="0" w:color="DC6900"/>
              <w:bottom w:val="single" w:sz="8" w:space="0" w:color="DC6900"/>
              <w:right w:val="single" w:sz="8" w:space="0" w:color="DC6900"/>
            </w:tcBorders>
            <w:shd w:val="clear" w:color="auto" w:fill="FFFFFF"/>
            <w:tcMar>
              <w:top w:w="72" w:type="dxa"/>
              <w:left w:w="113" w:type="dxa"/>
              <w:bottom w:w="72" w:type="dxa"/>
              <w:right w:w="113" w:type="dxa"/>
            </w:tcMar>
            <w:vAlign w:val="center"/>
          </w:tcPr>
          <w:p w:rsidR="00913429" w:rsidRDefault="00E143F0">
            <w:pPr>
              <w:spacing w:after="0" w:line="240" w:lineRule="auto"/>
              <w:jc w:val="center"/>
              <w:rPr>
                <w:rFonts w:eastAsia="Times New Roman"/>
                <w:bCs/>
                <w:noProof/>
                <w:color w:val="000000"/>
                <w:sz w:val="12"/>
                <w:szCs w:val="18"/>
              </w:rPr>
            </w:pPr>
            <w:r>
              <w:rPr>
                <w:rFonts w:eastAsia="Times New Roman"/>
                <w:bCs/>
                <w:noProof/>
                <w:color w:val="000000"/>
                <w:sz w:val="12"/>
                <w:szCs w:val="18"/>
              </w:rPr>
              <w:t>0.1</w:t>
            </w:r>
          </w:p>
        </w:tc>
        <w:tc>
          <w:tcPr>
            <w:tcW w:w="817" w:type="pct"/>
            <w:tcBorders>
              <w:top w:val="single" w:sz="8" w:space="0" w:color="DC6900"/>
              <w:left w:val="single" w:sz="8" w:space="0" w:color="DC6900"/>
              <w:bottom w:val="single" w:sz="8" w:space="0" w:color="DC6900"/>
              <w:right w:val="single" w:sz="8" w:space="0" w:color="DC6900"/>
            </w:tcBorders>
            <w:shd w:val="clear" w:color="auto" w:fill="FFFFFF"/>
            <w:tcMar>
              <w:top w:w="15" w:type="dxa"/>
              <w:left w:w="57" w:type="dxa"/>
              <w:bottom w:w="0" w:type="dxa"/>
              <w:right w:w="15" w:type="dxa"/>
            </w:tcMar>
            <w:vAlign w:val="center"/>
          </w:tcPr>
          <w:p w:rsidR="00913429" w:rsidRDefault="00E143F0">
            <w:pPr>
              <w:spacing w:after="0" w:line="240" w:lineRule="auto"/>
              <w:rPr>
                <w:rFonts w:eastAsia="Times New Roman"/>
                <w:bCs/>
                <w:noProof/>
                <w:color w:val="000000"/>
                <w:sz w:val="12"/>
                <w:szCs w:val="18"/>
              </w:rPr>
            </w:pPr>
            <w:r>
              <w:rPr>
                <w:rFonts w:eastAsia="Times New Roman"/>
                <w:bCs/>
                <w:noProof/>
                <w:color w:val="000000"/>
                <w:sz w:val="12"/>
                <w:szCs w:val="18"/>
              </w:rPr>
              <w:t>Organisation and management of project meetings</w:t>
            </w:r>
          </w:p>
        </w:tc>
        <w:tc>
          <w:tcPr>
            <w:tcW w:w="342" w:type="pct"/>
            <w:tcBorders>
              <w:top w:val="single" w:sz="8" w:space="0" w:color="DC6900"/>
              <w:left w:val="single" w:sz="8" w:space="0" w:color="DC6900"/>
              <w:bottom w:val="single" w:sz="8" w:space="0" w:color="DC6900"/>
              <w:right w:val="single" w:sz="8" w:space="0" w:color="DC6900"/>
            </w:tcBorders>
            <w:shd w:val="clear" w:color="auto" w:fill="FFF0CC"/>
            <w:tcMar>
              <w:top w:w="72" w:type="dxa"/>
              <w:left w:w="144" w:type="dxa"/>
              <w:bottom w:w="72" w:type="dxa"/>
              <w:right w:w="144" w:type="dxa"/>
            </w:tcMar>
            <w:vAlign w:val="center"/>
          </w:tcPr>
          <w:p w:rsidR="00913429" w:rsidRDefault="00E143F0">
            <w:pPr>
              <w:spacing w:after="0" w:line="240" w:lineRule="auto"/>
              <w:rPr>
                <w:rFonts w:eastAsia="Times New Roman"/>
                <w:bCs/>
                <w:noProof/>
                <w:color w:val="000000"/>
                <w:sz w:val="18"/>
                <w:szCs w:val="18"/>
              </w:rPr>
            </w:pPr>
            <w:r>
              <w:rPr>
                <w:rFonts w:eastAsia="Times New Roman" w:cs="Arial"/>
                <w:b/>
                <w:bCs/>
                <w:noProof/>
                <w:color w:val="000000"/>
                <w:kern w:val="24"/>
                <w:sz w:val="14"/>
                <w:szCs w:val="14"/>
                <w:lang w:eastAsia="it-IT"/>
              </w:rPr>
              <w:t>IM</w:t>
            </w:r>
          </w:p>
        </w:tc>
        <w:tc>
          <w:tcPr>
            <w:tcW w:w="221" w:type="pct"/>
            <w:tcBorders>
              <w:top w:val="single" w:sz="8" w:space="0" w:color="DC6900"/>
              <w:left w:val="single" w:sz="8" w:space="0" w:color="DC6900"/>
              <w:bottom w:val="single" w:sz="8" w:space="0" w:color="DC6900"/>
              <w:right w:val="single" w:sz="8" w:space="0" w:color="DC6900"/>
            </w:tcBorders>
            <w:shd w:val="clear" w:color="auto" w:fill="auto"/>
            <w:vAlign w:val="center"/>
          </w:tcPr>
          <w:p w:rsidR="00913429" w:rsidRDefault="00913429">
            <w:pPr>
              <w:spacing w:after="0" w:line="240" w:lineRule="auto"/>
              <w:rPr>
                <w:rFonts w:eastAsia="Times New Roman"/>
                <w:bCs/>
                <w:noProof/>
                <w:color w:val="000000"/>
                <w:sz w:val="18"/>
                <w:szCs w:val="18"/>
              </w:rPr>
            </w:pPr>
          </w:p>
        </w:tc>
        <w:tc>
          <w:tcPr>
            <w:tcW w:w="219" w:type="pct"/>
            <w:tcBorders>
              <w:top w:val="single" w:sz="8" w:space="0" w:color="DC6900"/>
              <w:left w:val="single" w:sz="8" w:space="0" w:color="DC6900"/>
              <w:bottom w:val="single" w:sz="8" w:space="0" w:color="DC6900"/>
              <w:right w:val="single" w:sz="8" w:space="0" w:color="DC6900"/>
            </w:tcBorders>
            <w:shd w:val="clear" w:color="auto" w:fill="auto"/>
            <w:vAlign w:val="center"/>
          </w:tcPr>
          <w:p w:rsidR="00913429" w:rsidRDefault="00913429">
            <w:pPr>
              <w:spacing w:after="0" w:line="240" w:lineRule="auto"/>
              <w:rPr>
                <w:rFonts w:eastAsia="Times New Roman"/>
                <w:bCs/>
                <w:noProof/>
                <w:color w:val="000000"/>
                <w:sz w:val="18"/>
                <w:szCs w:val="18"/>
              </w:rPr>
            </w:pPr>
          </w:p>
        </w:tc>
        <w:tc>
          <w:tcPr>
            <w:tcW w:w="223" w:type="pct"/>
            <w:tcBorders>
              <w:top w:val="single" w:sz="8" w:space="0" w:color="DC6900"/>
              <w:left w:val="single" w:sz="8" w:space="0" w:color="DC6900"/>
              <w:bottom w:val="single" w:sz="8" w:space="0" w:color="DC6900"/>
              <w:right w:val="single" w:sz="8" w:space="0" w:color="DC6900"/>
            </w:tcBorders>
            <w:shd w:val="clear" w:color="auto" w:fill="auto"/>
            <w:vAlign w:val="center"/>
          </w:tcPr>
          <w:p w:rsidR="00913429" w:rsidRDefault="00913429">
            <w:pPr>
              <w:spacing w:after="0" w:line="240" w:lineRule="auto"/>
              <w:rPr>
                <w:rFonts w:eastAsia="Times New Roman"/>
                <w:bCs/>
                <w:noProof/>
                <w:color w:val="000000"/>
                <w:sz w:val="18"/>
                <w:szCs w:val="18"/>
              </w:rPr>
            </w:pPr>
          </w:p>
        </w:tc>
        <w:tc>
          <w:tcPr>
            <w:tcW w:w="267" w:type="pct"/>
            <w:tcBorders>
              <w:top w:val="single" w:sz="8" w:space="0" w:color="DC6900"/>
              <w:left w:val="single" w:sz="8" w:space="0" w:color="DC6900"/>
              <w:bottom w:val="single" w:sz="8" w:space="0" w:color="DC6900"/>
              <w:right w:val="single" w:sz="8" w:space="0" w:color="DC6900"/>
            </w:tcBorders>
            <w:shd w:val="clear" w:color="auto" w:fill="auto"/>
            <w:tcMar>
              <w:top w:w="72" w:type="dxa"/>
              <w:left w:w="144" w:type="dxa"/>
              <w:bottom w:w="72" w:type="dxa"/>
              <w:right w:w="144" w:type="dxa"/>
            </w:tcMar>
            <w:vAlign w:val="center"/>
          </w:tcPr>
          <w:p w:rsidR="00913429" w:rsidRDefault="00913429">
            <w:pPr>
              <w:spacing w:after="0" w:line="240" w:lineRule="auto"/>
              <w:rPr>
                <w:rFonts w:eastAsia="Times New Roman"/>
                <w:bCs/>
                <w:noProof/>
                <w:color w:val="000000"/>
                <w:sz w:val="18"/>
                <w:szCs w:val="18"/>
              </w:rPr>
            </w:pPr>
          </w:p>
        </w:tc>
        <w:tc>
          <w:tcPr>
            <w:tcW w:w="338" w:type="pct"/>
            <w:tcBorders>
              <w:top w:val="single" w:sz="8" w:space="0" w:color="DC6900"/>
              <w:left w:val="single" w:sz="8" w:space="0" w:color="DC6900"/>
              <w:bottom w:val="single" w:sz="8" w:space="0" w:color="DC6900"/>
              <w:right w:val="single" w:sz="8" w:space="0" w:color="DC6900"/>
            </w:tcBorders>
            <w:shd w:val="clear" w:color="auto" w:fill="auto"/>
            <w:tcMar>
              <w:top w:w="72" w:type="dxa"/>
              <w:left w:w="144" w:type="dxa"/>
              <w:bottom w:w="72" w:type="dxa"/>
              <w:right w:w="144" w:type="dxa"/>
            </w:tcMar>
            <w:vAlign w:val="center"/>
          </w:tcPr>
          <w:p w:rsidR="00913429" w:rsidRDefault="00913429">
            <w:pPr>
              <w:spacing w:after="0" w:line="240" w:lineRule="auto"/>
              <w:rPr>
                <w:rFonts w:eastAsia="Times New Roman"/>
                <w:bCs/>
                <w:noProof/>
                <w:color w:val="000000"/>
                <w:sz w:val="18"/>
                <w:szCs w:val="18"/>
              </w:rPr>
            </w:pPr>
          </w:p>
        </w:tc>
        <w:tc>
          <w:tcPr>
            <w:tcW w:w="319" w:type="pct"/>
            <w:tcBorders>
              <w:top w:val="single" w:sz="8" w:space="0" w:color="DC6900"/>
              <w:left w:val="single" w:sz="8" w:space="0" w:color="DC6900"/>
              <w:bottom w:val="single" w:sz="8" w:space="0" w:color="DC6900"/>
              <w:right w:val="single" w:sz="8" w:space="0" w:color="000000"/>
            </w:tcBorders>
            <w:shd w:val="clear" w:color="auto" w:fill="FFF0CC"/>
            <w:tcMar>
              <w:top w:w="72" w:type="dxa"/>
              <w:left w:w="144" w:type="dxa"/>
              <w:bottom w:w="72" w:type="dxa"/>
              <w:right w:w="144" w:type="dxa"/>
            </w:tcMar>
            <w:vAlign w:val="center"/>
          </w:tcPr>
          <w:p w:rsidR="00913429" w:rsidRDefault="00E143F0">
            <w:pPr>
              <w:spacing w:after="0" w:line="240" w:lineRule="auto"/>
              <w:rPr>
                <w:rFonts w:eastAsia="Times New Roman"/>
                <w:bCs/>
                <w:noProof/>
                <w:color w:val="000000"/>
                <w:sz w:val="18"/>
                <w:szCs w:val="18"/>
              </w:rPr>
            </w:pPr>
            <w:r>
              <w:rPr>
                <w:rFonts w:eastAsia="Times New Roman" w:cs="Arial"/>
                <w:b/>
                <w:bCs/>
                <w:noProof/>
                <w:color w:val="000000"/>
                <w:kern w:val="24"/>
                <w:sz w:val="14"/>
                <w:szCs w:val="14"/>
                <w:lang w:eastAsia="it-IT"/>
              </w:rPr>
              <w:t>FIM</w:t>
            </w:r>
          </w:p>
        </w:tc>
        <w:tc>
          <w:tcPr>
            <w:tcW w:w="337" w:type="pct"/>
            <w:tcBorders>
              <w:top w:val="single" w:sz="8" w:space="0" w:color="DC6900"/>
              <w:left w:val="single" w:sz="8" w:space="0" w:color="000000"/>
              <w:bottom w:val="single" w:sz="8" w:space="0" w:color="DC6900"/>
              <w:right w:val="single" w:sz="8" w:space="0" w:color="DC6900"/>
            </w:tcBorders>
            <w:shd w:val="clear" w:color="auto" w:fill="auto"/>
            <w:tcMar>
              <w:top w:w="72" w:type="dxa"/>
              <w:left w:w="144" w:type="dxa"/>
              <w:bottom w:w="72" w:type="dxa"/>
              <w:right w:w="144" w:type="dxa"/>
            </w:tcMar>
            <w:vAlign w:val="center"/>
          </w:tcPr>
          <w:p w:rsidR="00913429" w:rsidRDefault="00913429">
            <w:pPr>
              <w:spacing w:after="0" w:line="240" w:lineRule="auto"/>
              <w:rPr>
                <w:rFonts w:eastAsia="Times New Roman"/>
                <w:bCs/>
                <w:noProof/>
                <w:color w:val="000000"/>
                <w:sz w:val="18"/>
                <w:szCs w:val="18"/>
              </w:rPr>
            </w:pPr>
          </w:p>
        </w:tc>
        <w:tc>
          <w:tcPr>
            <w:tcW w:w="219" w:type="pct"/>
            <w:tcBorders>
              <w:top w:val="single" w:sz="8" w:space="0" w:color="DC6900"/>
              <w:left w:val="single" w:sz="8" w:space="0" w:color="DC6900"/>
              <w:bottom w:val="single" w:sz="8" w:space="0" w:color="DC6900"/>
              <w:right w:val="single" w:sz="8" w:space="0" w:color="DC6900"/>
            </w:tcBorders>
            <w:shd w:val="clear" w:color="auto" w:fill="auto"/>
            <w:vAlign w:val="center"/>
          </w:tcPr>
          <w:p w:rsidR="00913429" w:rsidRDefault="00913429">
            <w:pPr>
              <w:spacing w:after="0" w:line="240" w:lineRule="auto"/>
              <w:rPr>
                <w:rFonts w:eastAsia="Times New Roman"/>
                <w:bCs/>
                <w:noProof/>
                <w:color w:val="000000"/>
                <w:sz w:val="18"/>
                <w:szCs w:val="18"/>
              </w:rPr>
            </w:pPr>
          </w:p>
        </w:tc>
        <w:tc>
          <w:tcPr>
            <w:tcW w:w="223" w:type="pct"/>
            <w:tcBorders>
              <w:top w:val="single" w:sz="8" w:space="0" w:color="DC6900"/>
              <w:left w:val="single" w:sz="8" w:space="0" w:color="DC6900"/>
              <w:bottom w:val="single" w:sz="8" w:space="0" w:color="DC6900"/>
              <w:right w:val="single" w:sz="8" w:space="0" w:color="DC6900"/>
            </w:tcBorders>
            <w:shd w:val="clear" w:color="auto" w:fill="auto"/>
            <w:vAlign w:val="center"/>
          </w:tcPr>
          <w:p w:rsidR="00913429" w:rsidRDefault="00913429">
            <w:pPr>
              <w:spacing w:after="0" w:line="240" w:lineRule="auto"/>
              <w:rPr>
                <w:rFonts w:eastAsia="Times New Roman"/>
                <w:bCs/>
                <w:noProof/>
                <w:color w:val="000000"/>
                <w:sz w:val="18"/>
                <w:szCs w:val="18"/>
              </w:rPr>
            </w:pPr>
          </w:p>
        </w:tc>
        <w:tc>
          <w:tcPr>
            <w:tcW w:w="219" w:type="pct"/>
            <w:tcBorders>
              <w:top w:val="single" w:sz="8" w:space="0" w:color="DC6900"/>
              <w:left w:val="single" w:sz="8" w:space="0" w:color="DC6900"/>
              <w:bottom w:val="single" w:sz="8" w:space="0" w:color="DC6900"/>
              <w:right w:val="single" w:sz="8" w:space="0" w:color="DC6900"/>
            </w:tcBorders>
            <w:shd w:val="clear" w:color="auto" w:fill="auto"/>
            <w:vAlign w:val="center"/>
          </w:tcPr>
          <w:p w:rsidR="00913429" w:rsidRDefault="00913429">
            <w:pPr>
              <w:spacing w:after="0" w:line="240" w:lineRule="auto"/>
              <w:rPr>
                <w:rFonts w:eastAsia="Times New Roman"/>
                <w:bCs/>
                <w:noProof/>
                <w:color w:val="000000"/>
                <w:sz w:val="18"/>
                <w:szCs w:val="18"/>
              </w:rPr>
            </w:pPr>
          </w:p>
        </w:tc>
        <w:tc>
          <w:tcPr>
            <w:tcW w:w="224" w:type="pct"/>
            <w:tcBorders>
              <w:top w:val="single" w:sz="8" w:space="0" w:color="DC6900"/>
              <w:left w:val="single" w:sz="8" w:space="0" w:color="DC6900"/>
              <w:bottom w:val="single" w:sz="8" w:space="0" w:color="DC6900"/>
              <w:right w:val="single" w:sz="8" w:space="0" w:color="DC6900"/>
            </w:tcBorders>
            <w:shd w:val="clear" w:color="auto" w:fill="auto"/>
            <w:vAlign w:val="center"/>
          </w:tcPr>
          <w:p w:rsidR="00913429" w:rsidRDefault="00913429">
            <w:pPr>
              <w:spacing w:after="0" w:line="240" w:lineRule="auto"/>
              <w:rPr>
                <w:rFonts w:eastAsia="Times New Roman"/>
                <w:bCs/>
                <w:noProof/>
                <w:color w:val="000000"/>
                <w:sz w:val="18"/>
                <w:szCs w:val="18"/>
              </w:rPr>
            </w:pPr>
          </w:p>
        </w:tc>
        <w:tc>
          <w:tcPr>
            <w:tcW w:w="220" w:type="pct"/>
            <w:tcBorders>
              <w:top w:val="single" w:sz="8" w:space="0" w:color="DC6900"/>
              <w:left w:val="single" w:sz="8" w:space="0" w:color="DC6900"/>
              <w:bottom w:val="single" w:sz="8" w:space="0" w:color="DC6900"/>
              <w:right w:val="single" w:sz="8" w:space="0" w:color="000000"/>
            </w:tcBorders>
            <w:shd w:val="clear" w:color="auto" w:fill="808080"/>
            <w:vAlign w:val="center"/>
          </w:tcPr>
          <w:p w:rsidR="00913429" w:rsidRDefault="00913429">
            <w:pPr>
              <w:spacing w:after="0" w:line="240" w:lineRule="auto"/>
              <w:rPr>
                <w:rFonts w:eastAsia="Times New Roman"/>
                <w:bCs/>
                <w:noProof/>
                <w:color w:val="000000"/>
                <w:sz w:val="18"/>
                <w:szCs w:val="18"/>
              </w:rPr>
            </w:pPr>
          </w:p>
        </w:tc>
        <w:tc>
          <w:tcPr>
            <w:tcW w:w="224" w:type="pct"/>
            <w:tcBorders>
              <w:top w:val="single" w:sz="8" w:space="0" w:color="DC6900"/>
              <w:left w:val="single" w:sz="8" w:space="0" w:color="000000"/>
              <w:bottom w:val="single" w:sz="8" w:space="0" w:color="DC6900"/>
              <w:right w:val="single" w:sz="8" w:space="0" w:color="DC6900"/>
            </w:tcBorders>
            <w:shd w:val="clear" w:color="auto" w:fill="808080"/>
            <w:vAlign w:val="center"/>
          </w:tcPr>
          <w:p w:rsidR="00913429" w:rsidRDefault="00913429">
            <w:pPr>
              <w:spacing w:after="0" w:line="240" w:lineRule="auto"/>
              <w:rPr>
                <w:rFonts w:eastAsia="Times New Roman"/>
                <w:bCs/>
                <w:noProof/>
                <w:color w:val="000000"/>
                <w:sz w:val="18"/>
                <w:szCs w:val="18"/>
              </w:rPr>
            </w:pPr>
          </w:p>
        </w:tc>
        <w:tc>
          <w:tcPr>
            <w:tcW w:w="221" w:type="pct"/>
            <w:tcBorders>
              <w:top w:val="single" w:sz="8" w:space="0" w:color="DC6900"/>
              <w:left w:val="single" w:sz="8" w:space="0" w:color="DC6900"/>
              <w:bottom w:val="single" w:sz="8" w:space="0" w:color="DC6900"/>
              <w:right w:val="single" w:sz="8" w:space="0" w:color="DC6900"/>
            </w:tcBorders>
            <w:shd w:val="clear" w:color="auto" w:fill="auto"/>
            <w:vAlign w:val="center"/>
          </w:tcPr>
          <w:p w:rsidR="00913429" w:rsidRDefault="00913429">
            <w:pPr>
              <w:spacing w:after="0" w:line="240" w:lineRule="auto"/>
              <w:rPr>
                <w:rFonts w:eastAsia="Times New Roman"/>
                <w:bCs/>
                <w:noProof/>
                <w:color w:val="000000"/>
                <w:sz w:val="18"/>
                <w:szCs w:val="18"/>
              </w:rPr>
            </w:pPr>
          </w:p>
        </w:tc>
      </w:tr>
      <w:tr w:rsidR="00913429">
        <w:trPr>
          <w:trHeight w:val="340"/>
        </w:trPr>
        <w:tc>
          <w:tcPr>
            <w:tcW w:w="367" w:type="pct"/>
            <w:tcBorders>
              <w:top w:val="single" w:sz="8" w:space="0" w:color="DC6900"/>
              <w:left w:val="single" w:sz="8" w:space="0" w:color="DC6900"/>
              <w:bottom w:val="single" w:sz="8" w:space="0" w:color="DC6900"/>
              <w:right w:val="single" w:sz="8" w:space="0" w:color="DC6900"/>
            </w:tcBorders>
            <w:shd w:val="clear" w:color="auto" w:fill="FFFFFF"/>
            <w:tcMar>
              <w:top w:w="72" w:type="dxa"/>
              <w:left w:w="113" w:type="dxa"/>
              <w:bottom w:w="72" w:type="dxa"/>
              <w:right w:w="113" w:type="dxa"/>
            </w:tcMar>
            <w:vAlign w:val="center"/>
          </w:tcPr>
          <w:p w:rsidR="00913429" w:rsidRDefault="00E143F0">
            <w:pPr>
              <w:spacing w:after="0" w:line="240" w:lineRule="auto"/>
              <w:jc w:val="center"/>
              <w:rPr>
                <w:rFonts w:eastAsia="Times New Roman"/>
                <w:bCs/>
                <w:noProof/>
                <w:color w:val="000000"/>
                <w:sz w:val="12"/>
                <w:szCs w:val="18"/>
              </w:rPr>
            </w:pPr>
            <w:r>
              <w:rPr>
                <w:rFonts w:eastAsia="Times New Roman"/>
                <w:bCs/>
                <w:noProof/>
                <w:color w:val="000000"/>
                <w:sz w:val="12"/>
                <w:szCs w:val="18"/>
              </w:rPr>
              <w:t>0.2</w:t>
            </w:r>
          </w:p>
        </w:tc>
        <w:tc>
          <w:tcPr>
            <w:tcW w:w="817" w:type="pct"/>
            <w:tcBorders>
              <w:top w:val="single" w:sz="8" w:space="0" w:color="DC6900"/>
              <w:left w:val="single" w:sz="8" w:space="0" w:color="DC6900"/>
              <w:bottom w:val="single" w:sz="8" w:space="0" w:color="DC6900"/>
              <w:right w:val="single" w:sz="8" w:space="0" w:color="DC6900"/>
            </w:tcBorders>
            <w:shd w:val="clear" w:color="auto" w:fill="FFFFFF"/>
            <w:tcMar>
              <w:top w:w="15" w:type="dxa"/>
              <w:left w:w="57" w:type="dxa"/>
              <w:bottom w:w="0" w:type="dxa"/>
              <w:right w:w="15" w:type="dxa"/>
            </w:tcMar>
            <w:vAlign w:val="center"/>
          </w:tcPr>
          <w:p w:rsidR="00913429" w:rsidRDefault="00E143F0">
            <w:pPr>
              <w:spacing w:after="0" w:line="240" w:lineRule="auto"/>
              <w:rPr>
                <w:rFonts w:eastAsia="Times New Roman"/>
                <w:bCs/>
                <w:noProof/>
                <w:color w:val="000000"/>
                <w:sz w:val="12"/>
                <w:szCs w:val="18"/>
              </w:rPr>
            </w:pPr>
            <w:r>
              <w:rPr>
                <w:rFonts w:eastAsia="Times New Roman"/>
                <w:bCs/>
                <w:noProof/>
                <w:color w:val="000000"/>
                <w:sz w:val="12"/>
                <w:szCs w:val="18"/>
              </w:rPr>
              <w:t>Submission of deliverables and quality control</w:t>
            </w:r>
          </w:p>
        </w:tc>
        <w:tc>
          <w:tcPr>
            <w:tcW w:w="342" w:type="pct"/>
            <w:tcBorders>
              <w:top w:val="single" w:sz="8" w:space="0" w:color="DC6900"/>
              <w:left w:val="single" w:sz="8" w:space="0" w:color="DC6900"/>
              <w:bottom w:val="single" w:sz="8" w:space="0" w:color="DC6900"/>
              <w:right w:val="single" w:sz="8" w:space="0" w:color="DC6900"/>
            </w:tcBorders>
            <w:shd w:val="clear" w:color="auto" w:fill="FFF0CC"/>
            <w:tcMar>
              <w:top w:w="72" w:type="dxa"/>
              <w:left w:w="144" w:type="dxa"/>
              <w:bottom w:w="72" w:type="dxa"/>
              <w:right w:w="144" w:type="dxa"/>
            </w:tcMar>
            <w:vAlign w:val="center"/>
          </w:tcPr>
          <w:p w:rsidR="00913429" w:rsidRDefault="00E143F0">
            <w:pPr>
              <w:spacing w:after="0" w:line="240" w:lineRule="auto"/>
              <w:rPr>
                <w:rFonts w:eastAsia="Times New Roman"/>
                <w:bCs/>
                <w:noProof/>
                <w:color w:val="000000"/>
                <w:sz w:val="18"/>
                <w:szCs w:val="18"/>
              </w:rPr>
            </w:pPr>
            <w:r>
              <w:rPr>
                <w:rFonts w:eastAsia="Times New Roman" w:cs="Arial"/>
                <w:b/>
                <w:bCs/>
                <w:noProof/>
                <w:color w:val="000000"/>
                <w:kern w:val="24"/>
                <w:sz w:val="14"/>
                <w:szCs w:val="14"/>
                <w:lang w:eastAsia="it-IT"/>
              </w:rPr>
              <w:t>IRd</w:t>
            </w:r>
          </w:p>
        </w:tc>
        <w:tc>
          <w:tcPr>
            <w:tcW w:w="221" w:type="pct"/>
            <w:tcBorders>
              <w:top w:val="single" w:sz="8" w:space="0" w:color="DC6900"/>
              <w:left w:val="single" w:sz="8" w:space="0" w:color="DC6900"/>
              <w:bottom w:val="single" w:sz="8" w:space="0" w:color="DC6900"/>
              <w:right w:val="single" w:sz="8" w:space="0" w:color="DC6900"/>
            </w:tcBorders>
            <w:shd w:val="clear" w:color="auto" w:fill="FFF0CC"/>
            <w:vAlign w:val="center"/>
          </w:tcPr>
          <w:p w:rsidR="00913429" w:rsidRDefault="00E143F0">
            <w:pPr>
              <w:spacing w:after="0" w:line="240" w:lineRule="auto"/>
              <w:jc w:val="center"/>
              <w:rPr>
                <w:rFonts w:eastAsia="Times New Roman"/>
                <w:bCs/>
                <w:noProof/>
                <w:color w:val="000000"/>
                <w:sz w:val="18"/>
                <w:szCs w:val="18"/>
              </w:rPr>
            </w:pPr>
            <w:r>
              <w:rPr>
                <w:rFonts w:eastAsia="Times New Roman" w:cs="Arial"/>
                <w:b/>
                <w:bCs/>
                <w:noProof/>
                <w:color w:val="000000"/>
                <w:kern w:val="24"/>
                <w:sz w:val="14"/>
                <w:szCs w:val="14"/>
                <w:lang w:eastAsia="it-IT"/>
              </w:rPr>
              <w:t>IRf</w:t>
            </w:r>
          </w:p>
        </w:tc>
        <w:tc>
          <w:tcPr>
            <w:tcW w:w="219" w:type="pct"/>
            <w:tcBorders>
              <w:top w:val="single" w:sz="8" w:space="0" w:color="DC6900"/>
              <w:left w:val="single" w:sz="8" w:space="0" w:color="DC6900"/>
              <w:bottom w:val="single" w:sz="8" w:space="0" w:color="DC6900"/>
              <w:right w:val="single" w:sz="8" w:space="0" w:color="DC6900"/>
            </w:tcBorders>
            <w:shd w:val="clear" w:color="auto" w:fill="FFF0CC"/>
            <w:vAlign w:val="center"/>
          </w:tcPr>
          <w:p w:rsidR="00913429" w:rsidRDefault="00913429">
            <w:pPr>
              <w:spacing w:after="0" w:line="240" w:lineRule="auto"/>
              <w:jc w:val="center"/>
              <w:rPr>
                <w:rFonts w:eastAsia="Times New Roman"/>
                <w:bCs/>
                <w:noProof/>
                <w:color w:val="000000"/>
                <w:sz w:val="18"/>
                <w:szCs w:val="18"/>
              </w:rPr>
            </w:pPr>
          </w:p>
        </w:tc>
        <w:tc>
          <w:tcPr>
            <w:tcW w:w="223" w:type="pct"/>
            <w:tcBorders>
              <w:top w:val="single" w:sz="8" w:space="0" w:color="DC6900"/>
              <w:left w:val="single" w:sz="8" w:space="0" w:color="DC6900"/>
              <w:bottom w:val="single" w:sz="8" w:space="0" w:color="DC6900"/>
              <w:right w:val="single" w:sz="8" w:space="0" w:color="DC6900"/>
            </w:tcBorders>
            <w:shd w:val="clear" w:color="auto" w:fill="FFF0CC"/>
            <w:vAlign w:val="center"/>
          </w:tcPr>
          <w:p w:rsidR="00913429" w:rsidRDefault="00913429">
            <w:pPr>
              <w:spacing w:after="0" w:line="240" w:lineRule="auto"/>
              <w:jc w:val="center"/>
              <w:rPr>
                <w:rFonts w:eastAsia="Times New Roman"/>
                <w:bCs/>
                <w:noProof/>
                <w:color w:val="000000"/>
                <w:sz w:val="18"/>
                <w:szCs w:val="18"/>
              </w:rPr>
            </w:pPr>
          </w:p>
        </w:tc>
        <w:tc>
          <w:tcPr>
            <w:tcW w:w="267" w:type="pct"/>
            <w:tcBorders>
              <w:top w:val="single" w:sz="8" w:space="0" w:color="DC6900"/>
              <w:left w:val="single" w:sz="8" w:space="0" w:color="DC6900"/>
              <w:bottom w:val="single" w:sz="8" w:space="0" w:color="DC6900"/>
              <w:right w:val="single" w:sz="8" w:space="0" w:color="DC6900"/>
            </w:tcBorders>
            <w:shd w:val="clear" w:color="auto" w:fill="FFF0CC"/>
            <w:tcMar>
              <w:top w:w="72" w:type="dxa"/>
              <w:left w:w="144" w:type="dxa"/>
              <w:bottom w:w="72" w:type="dxa"/>
              <w:right w:w="144" w:type="dxa"/>
            </w:tcMar>
            <w:vAlign w:val="center"/>
          </w:tcPr>
          <w:p w:rsidR="00913429" w:rsidRDefault="00913429">
            <w:pPr>
              <w:spacing w:after="0" w:line="240" w:lineRule="auto"/>
              <w:jc w:val="center"/>
              <w:rPr>
                <w:rFonts w:eastAsia="Times New Roman"/>
                <w:bCs/>
                <w:noProof/>
                <w:color w:val="000000"/>
                <w:sz w:val="18"/>
                <w:szCs w:val="18"/>
              </w:rPr>
            </w:pPr>
          </w:p>
        </w:tc>
        <w:tc>
          <w:tcPr>
            <w:tcW w:w="338" w:type="pct"/>
            <w:tcBorders>
              <w:top w:val="single" w:sz="8" w:space="0" w:color="DC6900"/>
              <w:left w:val="single" w:sz="8" w:space="0" w:color="DC6900"/>
              <w:bottom w:val="single" w:sz="8" w:space="0" w:color="DC6900"/>
              <w:right w:val="single" w:sz="8" w:space="0" w:color="DC6900"/>
            </w:tcBorders>
            <w:shd w:val="clear" w:color="auto" w:fill="FFF0CC"/>
            <w:tcMar>
              <w:top w:w="72" w:type="dxa"/>
              <w:left w:w="144" w:type="dxa"/>
              <w:bottom w:w="72" w:type="dxa"/>
              <w:right w:w="144" w:type="dxa"/>
            </w:tcMar>
            <w:vAlign w:val="center"/>
          </w:tcPr>
          <w:p w:rsidR="00913429" w:rsidRDefault="00E143F0">
            <w:pPr>
              <w:spacing w:after="0" w:line="240" w:lineRule="auto"/>
              <w:jc w:val="center"/>
              <w:rPr>
                <w:rFonts w:eastAsia="Times New Roman"/>
                <w:bCs/>
                <w:noProof/>
                <w:color w:val="000000"/>
                <w:sz w:val="18"/>
                <w:szCs w:val="18"/>
              </w:rPr>
            </w:pPr>
            <w:r>
              <w:rPr>
                <w:rFonts w:eastAsia="Times New Roman" w:cs="Arial"/>
                <w:b/>
                <w:bCs/>
                <w:noProof/>
                <w:color w:val="000000"/>
                <w:kern w:val="24"/>
                <w:sz w:val="14"/>
                <w:szCs w:val="14"/>
                <w:lang w:eastAsia="it-IT"/>
              </w:rPr>
              <w:t>FIRd</w:t>
            </w:r>
          </w:p>
        </w:tc>
        <w:tc>
          <w:tcPr>
            <w:tcW w:w="319" w:type="pct"/>
            <w:tcBorders>
              <w:top w:val="single" w:sz="8" w:space="0" w:color="DC6900"/>
              <w:left w:val="single" w:sz="8" w:space="0" w:color="DC6900"/>
              <w:bottom w:val="single" w:sz="8" w:space="0" w:color="DC6900"/>
              <w:right w:val="single" w:sz="8" w:space="0" w:color="000000"/>
            </w:tcBorders>
            <w:shd w:val="clear" w:color="auto" w:fill="FFF0CC"/>
            <w:tcMar>
              <w:top w:w="72" w:type="dxa"/>
              <w:left w:w="144" w:type="dxa"/>
              <w:bottom w:w="72" w:type="dxa"/>
              <w:right w:w="144" w:type="dxa"/>
            </w:tcMar>
            <w:vAlign w:val="center"/>
          </w:tcPr>
          <w:p w:rsidR="00913429" w:rsidRDefault="00E143F0">
            <w:pPr>
              <w:spacing w:after="0" w:line="240" w:lineRule="auto"/>
              <w:jc w:val="center"/>
              <w:rPr>
                <w:rFonts w:eastAsia="Times New Roman"/>
                <w:bCs/>
                <w:noProof/>
                <w:color w:val="000000"/>
                <w:sz w:val="18"/>
                <w:szCs w:val="18"/>
              </w:rPr>
            </w:pPr>
            <w:r>
              <w:rPr>
                <w:rFonts w:eastAsia="Times New Roman" w:cs="Arial"/>
                <w:b/>
                <w:bCs/>
                <w:noProof/>
                <w:color w:val="000000"/>
                <w:kern w:val="24"/>
                <w:sz w:val="14"/>
                <w:szCs w:val="14"/>
                <w:lang w:eastAsia="it-IT"/>
              </w:rPr>
              <w:t>FIRf</w:t>
            </w:r>
          </w:p>
        </w:tc>
        <w:tc>
          <w:tcPr>
            <w:tcW w:w="337" w:type="pct"/>
            <w:tcBorders>
              <w:top w:val="single" w:sz="8" w:space="0" w:color="DC6900"/>
              <w:left w:val="single" w:sz="8" w:space="0" w:color="000000"/>
              <w:bottom w:val="single" w:sz="8" w:space="0" w:color="DC6900"/>
              <w:right w:val="single" w:sz="8" w:space="0" w:color="DC6900"/>
            </w:tcBorders>
            <w:shd w:val="clear" w:color="auto" w:fill="FFF0CC"/>
            <w:tcMar>
              <w:top w:w="72" w:type="dxa"/>
              <w:left w:w="144" w:type="dxa"/>
              <w:bottom w:w="72" w:type="dxa"/>
              <w:right w:w="144" w:type="dxa"/>
            </w:tcMar>
            <w:vAlign w:val="center"/>
          </w:tcPr>
          <w:p w:rsidR="00913429" w:rsidRDefault="00E143F0">
            <w:pPr>
              <w:spacing w:after="0" w:line="240" w:lineRule="auto"/>
              <w:jc w:val="center"/>
              <w:rPr>
                <w:rFonts w:eastAsia="Times New Roman"/>
                <w:bCs/>
                <w:noProof/>
                <w:color w:val="000000"/>
                <w:sz w:val="18"/>
                <w:szCs w:val="18"/>
              </w:rPr>
            </w:pPr>
            <w:r>
              <w:rPr>
                <w:rFonts w:eastAsia="Times New Roman" w:cs="Arial"/>
                <w:b/>
                <w:bCs/>
                <w:noProof/>
                <w:color w:val="000000"/>
                <w:kern w:val="24"/>
                <w:sz w:val="14"/>
                <w:szCs w:val="14"/>
                <w:lang w:eastAsia="it-IT"/>
              </w:rPr>
              <w:t>SIRd</w:t>
            </w:r>
          </w:p>
        </w:tc>
        <w:tc>
          <w:tcPr>
            <w:tcW w:w="219" w:type="pct"/>
            <w:tcBorders>
              <w:top w:val="single" w:sz="8" w:space="0" w:color="DC6900"/>
              <w:left w:val="single" w:sz="8" w:space="0" w:color="DC6900"/>
              <w:bottom w:val="single" w:sz="8" w:space="0" w:color="DC6900"/>
              <w:right w:val="single" w:sz="8" w:space="0" w:color="DC6900"/>
            </w:tcBorders>
            <w:shd w:val="clear" w:color="auto" w:fill="FFF0CC"/>
            <w:vAlign w:val="center"/>
          </w:tcPr>
          <w:p w:rsidR="00913429" w:rsidRDefault="00E143F0">
            <w:pPr>
              <w:spacing w:after="0" w:line="240" w:lineRule="auto"/>
              <w:jc w:val="center"/>
              <w:rPr>
                <w:rFonts w:eastAsia="Times New Roman"/>
                <w:bCs/>
                <w:noProof/>
                <w:color w:val="000000"/>
                <w:sz w:val="18"/>
                <w:szCs w:val="18"/>
              </w:rPr>
            </w:pPr>
            <w:r>
              <w:rPr>
                <w:rFonts w:eastAsia="Times New Roman" w:cs="Arial"/>
                <w:b/>
                <w:bCs/>
                <w:noProof/>
                <w:color w:val="000000"/>
                <w:kern w:val="24"/>
                <w:sz w:val="14"/>
                <w:szCs w:val="14"/>
                <w:lang w:eastAsia="it-IT"/>
              </w:rPr>
              <w:t>SIRf</w:t>
            </w:r>
          </w:p>
        </w:tc>
        <w:tc>
          <w:tcPr>
            <w:tcW w:w="223" w:type="pct"/>
            <w:tcBorders>
              <w:top w:val="single" w:sz="8" w:space="0" w:color="DC6900"/>
              <w:left w:val="single" w:sz="8" w:space="0" w:color="DC6900"/>
              <w:bottom w:val="single" w:sz="8" w:space="0" w:color="DC6900"/>
              <w:right w:val="single" w:sz="8" w:space="0" w:color="DC6900"/>
            </w:tcBorders>
            <w:shd w:val="clear" w:color="auto" w:fill="FFF0CC"/>
            <w:vAlign w:val="center"/>
          </w:tcPr>
          <w:p w:rsidR="00913429" w:rsidRDefault="00E143F0">
            <w:pPr>
              <w:spacing w:after="0" w:line="240" w:lineRule="auto"/>
              <w:jc w:val="center"/>
              <w:rPr>
                <w:rFonts w:eastAsia="Times New Roman"/>
                <w:bCs/>
                <w:noProof/>
                <w:color w:val="000000"/>
                <w:sz w:val="18"/>
                <w:szCs w:val="18"/>
              </w:rPr>
            </w:pPr>
            <w:r>
              <w:rPr>
                <w:rFonts w:eastAsia="Times New Roman" w:cs="Arial"/>
                <w:b/>
                <w:bCs/>
                <w:noProof/>
                <w:color w:val="000000"/>
                <w:kern w:val="24"/>
                <w:sz w:val="14"/>
                <w:szCs w:val="14"/>
                <w:lang w:eastAsia="it-IT"/>
              </w:rPr>
              <w:t>FRd</w:t>
            </w:r>
          </w:p>
        </w:tc>
        <w:tc>
          <w:tcPr>
            <w:tcW w:w="219" w:type="pct"/>
            <w:tcBorders>
              <w:top w:val="single" w:sz="8" w:space="0" w:color="DC6900"/>
              <w:left w:val="single" w:sz="8" w:space="0" w:color="DC6900"/>
              <w:bottom w:val="single" w:sz="8" w:space="0" w:color="DC6900"/>
              <w:right w:val="single" w:sz="8" w:space="0" w:color="DC6900"/>
            </w:tcBorders>
            <w:shd w:val="clear" w:color="auto" w:fill="FFF0CC"/>
            <w:vAlign w:val="center"/>
          </w:tcPr>
          <w:p w:rsidR="00913429" w:rsidRDefault="00E143F0">
            <w:pPr>
              <w:spacing w:after="0" w:line="240" w:lineRule="auto"/>
              <w:jc w:val="center"/>
              <w:rPr>
                <w:rFonts w:eastAsia="Times New Roman"/>
                <w:bCs/>
                <w:noProof/>
                <w:color w:val="000000"/>
                <w:sz w:val="18"/>
                <w:szCs w:val="18"/>
              </w:rPr>
            </w:pPr>
            <w:r>
              <w:rPr>
                <w:rFonts w:eastAsia="Times New Roman" w:cs="Arial"/>
                <w:b/>
                <w:bCs/>
                <w:noProof/>
                <w:color w:val="000000"/>
                <w:kern w:val="24"/>
                <w:sz w:val="14"/>
                <w:szCs w:val="14"/>
                <w:lang w:eastAsia="it-IT"/>
              </w:rPr>
              <w:t>FRF</w:t>
            </w:r>
          </w:p>
        </w:tc>
        <w:tc>
          <w:tcPr>
            <w:tcW w:w="224" w:type="pct"/>
            <w:tcBorders>
              <w:top w:val="single" w:sz="8" w:space="0" w:color="DC6900"/>
              <w:left w:val="single" w:sz="8" w:space="0" w:color="DC6900"/>
              <w:bottom w:val="single" w:sz="8" w:space="0" w:color="DC6900"/>
              <w:right w:val="single" w:sz="8" w:space="0" w:color="DC6900"/>
            </w:tcBorders>
            <w:shd w:val="clear" w:color="auto" w:fill="FFF0CC"/>
            <w:vAlign w:val="center"/>
          </w:tcPr>
          <w:p w:rsidR="00913429" w:rsidRDefault="00913429">
            <w:pPr>
              <w:spacing w:after="0" w:line="240" w:lineRule="auto"/>
              <w:rPr>
                <w:rFonts w:eastAsia="Times New Roman"/>
                <w:bCs/>
                <w:noProof/>
                <w:color w:val="000000"/>
                <w:sz w:val="18"/>
                <w:szCs w:val="18"/>
              </w:rPr>
            </w:pPr>
          </w:p>
        </w:tc>
        <w:tc>
          <w:tcPr>
            <w:tcW w:w="220" w:type="pct"/>
            <w:tcBorders>
              <w:top w:val="single" w:sz="8" w:space="0" w:color="DC6900"/>
              <w:left w:val="single" w:sz="8" w:space="0" w:color="DC6900"/>
              <w:bottom w:val="single" w:sz="8" w:space="0" w:color="DC6900"/>
              <w:right w:val="single" w:sz="8" w:space="0" w:color="000000"/>
            </w:tcBorders>
            <w:shd w:val="clear" w:color="auto" w:fill="808080"/>
            <w:vAlign w:val="center"/>
          </w:tcPr>
          <w:p w:rsidR="00913429" w:rsidRDefault="00913429">
            <w:pPr>
              <w:spacing w:after="0" w:line="240" w:lineRule="auto"/>
              <w:rPr>
                <w:rFonts w:eastAsia="Times New Roman"/>
                <w:bCs/>
                <w:noProof/>
                <w:color w:val="000000"/>
                <w:sz w:val="18"/>
                <w:szCs w:val="18"/>
              </w:rPr>
            </w:pPr>
          </w:p>
        </w:tc>
        <w:tc>
          <w:tcPr>
            <w:tcW w:w="224" w:type="pct"/>
            <w:tcBorders>
              <w:top w:val="single" w:sz="8" w:space="0" w:color="DC6900"/>
              <w:left w:val="single" w:sz="8" w:space="0" w:color="000000"/>
              <w:bottom w:val="single" w:sz="8" w:space="0" w:color="DC6900"/>
              <w:right w:val="single" w:sz="8" w:space="0" w:color="DC6900"/>
            </w:tcBorders>
            <w:shd w:val="clear" w:color="auto" w:fill="808080"/>
            <w:vAlign w:val="center"/>
          </w:tcPr>
          <w:p w:rsidR="00913429" w:rsidRDefault="00913429">
            <w:pPr>
              <w:spacing w:after="0" w:line="240" w:lineRule="auto"/>
              <w:rPr>
                <w:rFonts w:eastAsia="Times New Roman"/>
                <w:bCs/>
                <w:noProof/>
                <w:color w:val="000000"/>
                <w:sz w:val="18"/>
                <w:szCs w:val="18"/>
              </w:rPr>
            </w:pPr>
          </w:p>
        </w:tc>
        <w:tc>
          <w:tcPr>
            <w:tcW w:w="221" w:type="pct"/>
            <w:tcBorders>
              <w:top w:val="single" w:sz="8" w:space="0" w:color="DC6900"/>
              <w:left w:val="single" w:sz="8" w:space="0" w:color="DC6900"/>
              <w:bottom w:val="single" w:sz="8" w:space="0" w:color="DC6900"/>
              <w:right w:val="single" w:sz="8" w:space="0" w:color="DC6900"/>
            </w:tcBorders>
            <w:shd w:val="clear" w:color="auto" w:fill="FFF0CC"/>
            <w:vAlign w:val="center"/>
          </w:tcPr>
          <w:p w:rsidR="00913429" w:rsidRDefault="00913429">
            <w:pPr>
              <w:spacing w:after="0" w:line="240" w:lineRule="auto"/>
              <w:rPr>
                <w:rFonts w:eastAsia="Times New Roman"/>
                <w:bCs/>
                <w:noProof/>
                <w:color w:val="000000"/>
                <w:sz w:val="18"/>
                <w:szCs w:val="18"/>
              </w:rPr>
            </w:pPr>
          </w:p>
        </w:tc>
      </w:tr>
      <w:tr w:rsidR="00913429">
        <w:trPr>
          <w:trHeight w:val="340"/>
        </w:trPr>
        <w:tc>
          <w:tcPr>
            <w:tcW w:w="367" w:type="pct"/>
            <w:tcBorders>
              <w:top w:val="single" w:sz="8" w:space="0" w:color="DC6900"/>
              <w:left w:val="single" w:sz="8" w:space="0" w:color="DC6900"/>
              <w:bottom w:val="single" w:sz="8" w:space="0" w:color="DC6900"/>
              <w:right w:val="single" w:sz="8" w:space="0" w:color="DC6900"/>
            </w:tcBorders>
            <w:shd w:val="clear" w:color="auto" w:fill="FFFFFF"/>
            <w:tcMar>
              <w:top w:w="72" w:type="dxa"/>
              <w:left w:w="113" w:type="dxa"/>
              <w:bottom w:w="72" w:type="dxa"/>
              <w:right w:w="113" w:type="dxa"/>
            </w:tcMar>
            <w:vAlign w:val="center"/>
          </w:tcPr>
          <w:p w:rsidR="00913429" w:rsidRDefault="00E143F0">
            <w:pPr>
              <w:spacing w:after="0" w:line="240" w:lineRule="auto"/>
              <w:jc w:val="center"/>
              <w:rPr>
                <w:rFonts w:eastAsia="Times New Roman"/>
                <w:bCs/>
                <w:noProof/>
                <w:color w:val="000000"/>
                <w:sz w:val="12"/>
                <w:szCs w:val="18"/>
              </w:rPr>
            </w:pPr>
            <w:r>
              <w:rPr>
                <w:rFonts w:eastAsia="Times New Roman"/>
                <w:bCs/>
                <w:noProof/>
                <w:color w:val="000000"/>
                <w:sz w:val="12"/>
                <w:szCs w:val="18"/>
              </w:rPr>
              <w:t>0.3</w:t>
            </w:r>
          </w:p>
        </w:tc>
        <w:tc>
          <w:tcPr>
            <w:tcW w:w="817" w:type="pct"/>
            <w:tcBorders>
              <w:top w:val="single" w:sz="8" w:space="0" w:color="DC6900"/>
              <w:left w:val="single" w:sz="8" w:space="0" w:color="DC6900"/>
              <w:bottom w:val="single" w:sz="8" w:space="0" w:color="DC6900"/>
              <w:right w:val="single" w:sz="8" w:space="0" w:color="DC6900"/>
            </w:tcBorders>
            <w:shd w:val="clear" w:color="auto" w:fill="FFFFFF"/>
            <w:tcMar>
              <w:top w:w="15" w:type="dxa"/>
              <w:left w:w="57" w:type="dxa"/>
              <w:bottom w:w="0" w:type="dxa"/>
              <w:right w:w="15" w:type="dxa"/>
            </w:tcMar>
            <w:vAlign w:val="center"/>
          </w:tcPr>
          <w:p w:rsidR="00913429" w:rsidRDefault="00E143F0">
            <w:pPr>
              <w:spacing w:after="0" w:line="240" w:lineRule="auto"/>
              <w:rPr>
                <w:rFonts w:eastAsia="Times New Roman"/>
                <w:bCs/>
                <w:noProof/>
                <w:color w:val="000000"/>
                <w:sz w:val="12"/>
                <w:szCs w:val="18"/>
              </w:rPr>
            </w:pPr>
            <w:r>
              <w:rPr>
                <w:rFonts w:eastAsia="Times New Roman"/>
                <w:bCs/>
                <w:noProof/>
                <w:color w:val="000000"/>
                <w:sz w:val="12"/>
                <w:szCs w:val="18"/>
              </w:rPr>
              <w:t>Regular reporting to the EC</w:t>
            </w:r>
          </w:p>
        </w:tc>
        <w:tc>
          <w:tcPr>
            <w:tcW w:w="342" w:type="pct"/>
            <w:tcBorders>
              <w:top w:val="single" w:sz="8" w:space="0" w:color="DC6900"/>
              <w:left w:val="single" w:sz="8" w:space="0" w:color="DC6900"/>
              <w:bottom w:val="single" w:sz="8" w:space="0" w:color="DC6900"/>
              <w:right w:val="single" w:sz="8" w:space="0" w:color="DC6900"/>
            </w:tcBorders>
            <w:shd w:val="clear" w:color="auto" w:fill="FFF0CC"/>
            <w:tcMar>
              <w:top w:w="72" w:type="dxa"/>
              <w:left w:w="144" w:type="dxa"/>
              <w:bottom w:w="72" w:type="dxa"/>
              <w:right w:w="144" w:type="dxa"/>
            </w:tcMar>
            <w:vAlign w:val="center"/>
          </w:tcPr>
          <w:p w:rsidR="00913429" w:rsidRDefault="00913429">
            <w:pPr>
              <w:spacing w:after="0" w:line="240" w:lineRule="auto"/>
              <w:rPr>
                <w:rFonts w:eastAsia="Times New Roman"/>
                <w:bCs/>
                <w:noProof/>
                <w:color w:val="000000"/>
                <w:sz w:val="18"/>
                <w:szCs w:val="18"/>
              </w:rPr>
            </w:pPr>
          </w:p>
        </w:tc>
        <w:tc>
          <w:tcPr>
            <w:tcW w:w="221" w:type="pct"/>
            <w:tcBorders>
              <w:top w:val="single" w:sz="8" w:space="0" w:color="DC6900"/>
              <w:left w:val="single" w:sz="8" w:space="0" w:color="DC6900"/>
              <w:bottom w:val="single" w:sz="8" w:space="0" w:color="DC6900"/>
              <w:right w:val="single" w:sz="8" w:space="0" w:color="DC6900"/>
            </w:tcBorders>
            <w:shd w:val="clear" w:color="auto" w:fill="auto"/>
            <w:vAlign w:val="center"/>
          </w:tcPr>
          <w:p w:rsidR="00913429" w:rsidRDefault="00913429">
            <w:pPr>
              <w:spacing w:after="0" w:line="240" w:lineRule="auto"/>
              <w:rPr>
                <w:rFonts w:eastAsia="Times New Roman"/>
                <w:bCs/>
                <w:noProof/>
                <w:color w:val="000000"/>
                <w:sz w:val="18"/>
                <w:szCs w:val="18"/>
              </w:rPr>
            </w:pPr>
          </w:p>
        </w:tc>
        <w:tc>
          <w:tcPr>
            <w:tcW w:w="219" w:type="pct"/>
            <w:tcBorders>
              <w:top w:val="single" w:sz="8" w:space="0" w:color="DC6900"/>
              <w:left w:val="single" w:sz="8" w:space="0" w:color="DC6900"/>
              <w:bottom w:val="single" w:sz="8" w:space="0" w:color="DC6900"/>
              <w:right w:val="single" w:sz="8" w:space="0" w:color="DC6900"/>
            </w:tcBorders>
            <w:shd w:val="clear" w:color="auto" w:fill="FFF0CC"/>
            <w:vAlign w:val="center"/>
          </w:tcPr>
          <w:p w:rsidR="00913429" w:rsidRDefault="00913429">
            <w:pPr>
              <w:spacing w:after="0" w:line="240" w:lineRule="auto"/>
              <w:rPr>
                <w:rFonts w:eastAsia="Times New Roman"/>
                <w:bCs/>
                <w:noProof/>
                <w:color w:val="000000"/>
                <w:sz w:val="18"/>
                <w:szCs w:val="18"/>
              </w:rPr>
            </w:pPr>
          </w:p>
        </w:tc>
        <w:tc>
          <w:tcPr>
            <w:tcW w:w="223" w:type="pct"/>
            <w:tcBorders>
              <w:top w:val="single" w:sz="8" w:space="0" w:color="DC6900"/>
              <w:left w:val="single" w:sz="8" w:space="0" w:color="DC6900"/>
              <w:bottom w:val="single" w:sz="8" w:space="0" w:color="DC6900"/>
              <w:right w:val="single" w:sz="8" w:space="0" w:color="DC6900"/>
            </w:tcBorders>
            <w:shd w:val="clear" w:color="auto" w:fill="FFF0CC"/>
            <w:vAlign w:val="center"/>
          </w:tcPr>
          <w:p w:rsidR="00913429" w:rsidRDefault="00913429">
            <w:pPr>
              <w:spacing w:after="0" w:line="240" w:lineRule="auto"/>
              <w:rPr>
                <w:rFonts w:eastAsia="Times New Roman"/>
                <w:bCs/>
                <w:noProof/>
                <w:color w:val="000000"/>
                <w:sz w:val="18"/>
                <w:szCs w:val="18"/>
              </w:rPr>
            </w:pPr>
          </w:p>
        </w:tc>
        <w:tc>
          <w:tcPr>
            <w:tcW w:w="267" w:type="pct"/>
            <w:tcBorders>
              <w:top w:val="single" w:sz="8" w:space="0" w:color="DC6900"/>
              <w:left w:val="single" w:sz="8" w:space="0" w:color="DC6900"/>
              <w:bottom w:val="single" w:sz="8" w:space="0" w:color="DC6900"/>
              <w:right w:val="single" w:sz="8" w:space="0" w:color="DC6900"/>
            </w:tcBorders>
            <w:shd w:val="clear" w:color="auto" w:fill="auto"/>
            <w:tcMar>
              <w:top w:w="72" w:type="dxa"/>
              <w:left w:w="144" w:type="dxa"/>
              <w:bottom w:w="72" w:type="dxa"/>
              <w:right w:w="144" w:type="dxa"/>
            </w:tcMar>
            <w:vAlign w:val="center"/>
          </w:tcPr>
          <w:p w:rsidR="00913429" w:rsidRDefault="00913429">
            <w:pPr>
              <w:spacing w:after="0" w:line="240" w:lineRule="auto"/>
              <w:rPr>
                <w:rFonts w:eastAsia="Times New Roman"/>
                <w:bCs/>
                <w:noProof/>
                <w:color w:val="000000"/>
                <w:sz w:val="18"/>
                <w:szCs w:val="18"/>
              </w:rPr>
            </w:pPr>
          </w:p>
        </w:tc>
        <w:tc>
          <w:tcPr>
            <w:tcW w:w="338" w:type="pct"/>
            <w:tcBorders>
              <w:top w:val="single" w:sz="8" w:space="0" w:color="DC6900"/>
              <w:left w:val="single" w:sz="8" w:space="0" w:color="DC6900"/>
              <w:bottom w:val="single" w:sz="8" w:space="0" w:color="DC6900"/>
              <w:right w:val="single" w:sz="8" w:space="0" w:color="DC6900"/>
            </w:tcBorders>
            <w:shd w:val="clear" w:color="auto" w:fill="auto"/>
            <w:tcMar>
              <w:top w:w="72" w:type="dxa"/>
              <w:left w:w="144" w:type="dxa"/>
              <w:bottom w:w="72" w:type="dxa"/>
              <w:right w:w="144" w:type="dxa"/>
            </w:tcMar>
            <w:vAlign w:val="center"/>
          </w:tcPr>
          <w:p w:rsidR="00913429" w:rsidRDefault="00913429">
            <w:pPr>
              <w:spacing w:after="0" w:line="240" w:lineRule="auto"/>
              <w:rPr>
                <w:rFonts w:eastAsia="Times New Roman"/>
                <w:bCs/>
                <w:noProof/>
                <w:color w:val="000000"/>
                <w:sz w:val="18"/>
                <w:szCs w:val="18"/>
              </w:rPr>
            </w:pPr>
          </w:p>
        </w:tc>
        <w:tc>
          <w:tcPr>
            <w:tcW w:w="319" w:type="pct"/>
            <w:tcBorders>
              <w:top w:val="single" w:sz="8" w:space="0" w:color="DC6900"/>
              <w:left w:val="single" w:sz="8" w:space="0" w:color="DC6900"/>
              <w:bottom w:val="single" w:sz="8" w:space="0" w:color="DC6900"/>
              <w:right w:val="single" w:sz="8" w:space="0" w:color="000000"/>
            </w:tcBorders>
            <w:shd w:val="clear" w:color="auto" w:fill="FFF0CC"/>
            <w:tcMar>
              <w:top w:w="72" w:type="dxa"/>
              <w:left w:w="144" w:type="dxa"/>
              <w:bottom w:w="72" w:type="dxa"/>
              <w:right w:w="144" w:type="dxa"/>
            </w:tcMar>
            <w:vAlign w:val="center"/>
          </w:tcPr>
          <w:p w:rsidR="00913429" w:rsidRDefault="00913429">
            <w:pPr>
              <w:spacing w:after="0" w:line="240" w:lineRule="auto"/>
              <w:rPr>
                <w:rFonts w:eastAsia="Times New Roman"/>
                <w:bCs/>
                <w:noProof/>
                <w:color w:val="000000"/>
                <w:sz w:val="18"/>
                <w:szCs w:val="18"/>
              </w:rPr>
            </w:pPr>
          </w:p>
        </w:tc>
        <w:tc>
          <w:tcPr>
            <w:tcW w:w="337" w:type="pct"/>
            <w:tcBorders>
              <w:top w:val="single" w:sz="8" w:space="0" w:color="DC6900"/>
              <w:left w:val="single" w:sz="8" w:space="0" w:color="000000"/>
              <w:bottom w:val="single" w:sz="8" w:space="0" w:color="DC6900"/>
              <w:right w:val="single" w:sz="8" w:space="0" w:color="DC6900"/>
            </w:tcBorders>
            <w:shd w:val="clear" w:color="auto" w:fill="auto"/>
            <w:tcMar>
              <w:top w:w="72" w:type="dxa"/>
              <w:left w:w="144" w:type="dxa"/>
              <w:bottom w:w="72" w:type="dxa"/>
              <w:right w:w="144" w:type="dxa"/>
            </w:tcMar>
            <w:vAlign w:val="center"/>
          </w:tcPr>
          <w:p w:rsidR="00913429" w:rsidRDefault="00913429">
            <w:pPr>
              <w:spacing w:after="0" w:line="240" w:lineRule="auto"/>
              <w:rPr>
                <w:rFonts w:eastAsia="Times New Roman"/>
                <w:bCs/>
                <w:noProof/>
                <w:color w:val="000000"/>
                <w:sz w:val="18"/>
                <w:szCs w:val="18"/>
              </w:rPr>
            </w:pPr>
          </w:p>
        </w:tc>
        <w:tc>
          <w:tcPr>
            <w:tcW w:w="219" w:type="pct"/>
            <w:tcBorders>
              <w:top w:val="single" w:sz="8" w:space="0" w:color="DC6900"/>
              <w:left w:val="single" w:sz="8" w:space="0" w:color="DC6900"/>
              <w:bottom w:val="single" w:sz="8" w:space="0" w:color="DC6900"/>
              <w:right w:val="single" w:sz="8" w:space="0" w:color="DC6900"/>
            </w:tcBorders>
            <w:shd w:val="clear" w:color="auto" w:fill="auto"/>
            <w:vAlign w:val="center"/>
          </w:tcPr>
          <w:p w:rsidR="00913429" w:rsidRDefault="00913429">
            <w:pPr>
              <w:spacing w:after="0" w:line="240" w:lineRule="auto"/>
              <w:rPr>
                <w:rFonts w:eastAsia="Times New Roman"/>
                <w:bCs/>
                <w:noProof/>
                <w:color w:val="000000"/>
                <w:sz w:val="18"/>
                <w:szCs w:val="18"/>
              </w:rPr>
            </w:pPr>
          </w:p>
        </w:tc>
        <w:tc>
          <w:tcPr>
            <w:tcW w:w="223" w:type="pct"/>
            <w:tcBorders>
              <w:top w:val="single" w:sz="8" w:space="0" w:color="DC6900"/>
              <w:left w:val="single" w:sz="8" w:space="0" w:color="DC6900"/>
              <w:bottom w:val="single" w:sz="8" w:space="0" w:color="DC6900"/>
              <w:right w:val="single" w:sz="8" w:space="0" w:color="DC6900"/>
            </w:tcBorders>
            <w:shd w:val="clear" w:color="auto" w:fill="auto"/>
            <w:vAlign w:val="center"/>
          </w:tcPr>
          <w:p w:rsidR="00913429" w:rsidRDefault="00913429">
            <w:pPr>
              <w:spacing w:after="0" w:line="240" w:lineRule="auto"/>
              <w:rPr>
                <w:rFonts w:eastAsia="Times New Roman"/>
                <w:bCs/>
                <w:noProof/>
                <w:color w:val="000000"/>
                <w:sz w:val="18"/>
                <w:szCs w:val="18"/>
              </w:rPr>
            </w:pPr>
          </w:p>
        </w:tc>
        <w:tc>
          <w:tcPr>
            <w:tcW w:w="219" w:type="pct"/>
            <w:tcBorders>
              <w:top w:val="single" w:sz="8" w:space="0" w:color="DC6900"/>
              <w:left w:val="single" w:sz="8" w:space="0" w:color="DC6900"/>
              <w:bottom w:val="single" w:sz="8" w:space="0" w:color="DC6900"/>
              <w:right w:val="single" w:sz="8" w:space="0" w:color="DC6900"/>
            </w:tcBorders>
            <w:shd w:val="clear" w:color="auto" w:fill="FFF0CC"/>
            <w:vAlign w:val="center"/>
          </w:tcPr>
          <w:p w:rsidR="00913429" w:rsidRDefault="00913429">
            <w:pPr>
              <w:spacing w:after="0" w:line="240" w:lineRule="auto"/>
              <w:rPr>
                <w:rFonts w:eastAsia="Times New Roman"/>
                <w:bCs/>
                <w:noProof/>
                <w:color w:val="000000"/>
                <w:sz w:val="18"/>
                <w:szCs w:val="18"/>
              </w:rPr>
            </w:pPr>
          </w:p>
        </w:tc>
        <w:tc>
          <w:tcPr>
            <w:tcW w:w="224" w:type="pct"/>
            <w:tcBorders>
              <w:top w:val="single" w:sz="8" w:space="0" w:color="DC6900"/>
              <w:left w:val="single" w:sz="8" w:space="0" w:color="DC6900"/>
              <w:bottom w:val="single" w:sz="8" w:space="0" w:color="DC6900"/>
              <w:right w:val="single" w:sz="8" w:space="0" w:color="DC6900"/>
            </w:tcBorders>
            <w:shd w:val="clear" w:color="auto" w:fill="auto"/>
            <w:vAlign w:val="center"/>
          </w:tcPr>
          <w:p w:rsidR="00913429" w:rsidRDefault="00913429">
            <w:pPr>
              <w:spacing w:after="0" w:line="240" w:lineRule="auto"/>
              <w:rPr>
                <w:rFonts w:eastAsia="Times New Roman"/>
                <w:bCs/>
                <w:noProof/>
                <w:color w:val="000000"/>
                <w:sz w:val="18"/>
                <w:szCs w:val="18"/>
              </w:rPr>
            </w:pPr>
          </w:p>
        </w:tc>
        <w:tc>
          <w:tcPr>
            <w:tcW w:w="220" w:type="pct"/>
            <w:tcBorders>
              <w:top w:val="single" w:sz="8" w:space="0" w:color="DC6900"/>
              <w:left w:val="single" w:sz="8" w:space="0" w:color="DC6900"/>
              <w:bottom w:val="single" w:sz="8" w:space="0" w:color="DC6900"/>
              <w:right w:val="single" w:sz="8" w:space="0" w:color="000000"/>
            </w:tcBorders>
            <w:shd w:val="clear" w:color="auto" w:fill="808080"/>
            <w:vAlign w:val="center"/>
          </w:tcPr>
          <w:p w:rsidR="00913429" w:rsidRDefault="00913429">
            <w:pPr>
              <w:spacing w:after="0" w:line="240" w:lineRule="auto"/>
              <w:rPr>
                <w:rFonts w:eastAsia="Times New Roman"/>
                <w:bCs/>
                <w:noProof/>
                <w:color w:val="000000"/>
                <w:sz w:val="18"/>
                <w:szCs w:val="18"/>
              </w:rPr>
            </w:pPr>
          </w:p>
        </w:tc>
        <w:tc>
          <w:tcPr>
            <w:tcW w:w="224" w:type="pct"/>
            <w:tcBorders>
              <w:top w:val="single" w:sz="8" w:space="0" w:color="DC6900"/>
              <w:left w:val="single" w:sz="8" w:space="0" w:color="000000"/>
              <w:bottom w:val="single" w:sz="8" w:space="0" w:color="DC6900"/>
              <w:right w:val="single" w:sz="8" w:space="0" w:color="DC6900"/>
            </w:tcBorders>
            <w:shd w:val="clear" w:color="auto" w:fill="808080"/>
            <w:vAlign w:val="center"/>
          </w:tcPr>
          <w:p w:rsidR="00913429" w:rsidRDefault="00913429">
            <w:pPr>
              <w:spacing w:after="0" w:line="240" w:lineRule="auto"/>
              <w:rPr>
                <w:rFonts w:eastAsia="Times New Roman"/>
                <w:bCs/>
                <w:noProof/>
                <w:color w:val="000000"/>
                <w:sz w:val="18"/>
                <w:szCs w:val="18"/>
              </w:rPr>
            </w:pPr>
          </w:p>
        </w:tc>
        <w:tc>
          <w:tcPr>
            <w:tcW w:w="221" w:type="pct"/>
            <w:tcBorders>
              <w:top w:val="single" w:sz="8" w:space="0" w:color="DC6900"/>
              <w:left w:val="single" w:sz="8" w:space="0" w:color="DC6900"/>
              <w:bottom w:val="single" w:sz="8" w:space="0" w:color="DC6900"/>
              <w:right w:val="single" w:sz="8" w:space="0" w:color="DC6900"/>
            </w:tcBorders>
            <w:shd w:val="clear" w:color="auto" w:fill="auto"/>
            <w:vAlign w:val="center"/>
          </w:tcPr>
          <w:p w:rsidR="00913429" w:rsidRDefault="00913429">
            <w:pPr>
              <w:spacing w:after="0" w:line="240" w:lineRule="auto"/>
              <w:rPr>
                <w:rFonts w:eastAsia="Times New Roman"/>
                <w:bCs/>
                <w:noProof/>
                <w:color w:val="000000"/>
                <w:sz w:val="18"/>
                <w:szCs w:val="18"/>
              </w:rPr>
            </w:pPr>
          </w:p>
        </w:tc>
      </w:tr>
    </w:tbl>
    <w:p w:rsidR="00913429" w:rsidRDefault="00913429">
      <w:pPr>
        <w:rPr>
          <w:noProof/>
        </w:rPr>
      </w:pPr>
    </w:p>
    <w:p w:rsidR="00913429" w:rsidRDefault="00E143F0">
      <w:pPr>
        <w:keepNext/>
        <w:tabs>
          <w:tab w:val="left" w:pos="8908"/>
        </w:tabs>
        <w:spacing w:line="240" w:lineRule="auto"/>
        <w:jc w:val="both"/>
        <w:rPr>
          <w:rFonts w:eastAsia="Times New Roman"/>
          <w:b/>
          <w:i/>
          <w:noProof/>
          <w:color w:val="D06F1A"/>
        </w:rPr>
      </w:pPr>
      <w:r>
        <w:rPr>
          <w:rFonts w:eastAsia="Times New Roman"/>
          <w:b/>
          <w:i/>
          <w:noProof/>
          <w:color w:val="D06F1A"/>
        </w:rPr>
        <w:t xml:space="preserve">Task 0 New timetable 2 – Second 15 Weeks </w:t>
      </w:r>
    </w:p>
    <w:tbl>
      <w:tblPr>
        <w:tblW w:w="5000" w:type="pct"/>
        <w:tblCellMar>
          <w:left w:w="0" w:type="dxa"/>
          <w:right w:w="0" w:type="dxa"/>
        </w:tblCellMar>
        <w:tblLook w:val="0420" w:firstRow="1" w:lastRow="0" w:firstColumn="0" w:lastColumn="0" w:noHBand="0" w:noVBand="1"/>
      </w:tblPr>
      <w:tblGrid>
        <w:gridCol w:w="709"/>
        <w:gridCol w:w="3460"/>
        <w:gridCol w:w="927"/>
        <w:gridCol w:w="926"/>
        <w:gridCol w:w="926"/>
        <w:gridCol w:w="932"/>
        <w:gridCol w:w="926"/>
        <w:gridCol w:w="926"/>
      </w:tblGrid>
      <w:tr w:rsidR="00913429">
        <w:trPr>
          <w:trHeight w:val="20"/>
        </w:trPr>
        <w:tc>
          <w:tcPr>
            <w:tcW w:w="364" w:type="pct"/>
            <w:vMerge w:val="restart"/>
            <w:tcBorders>
              <w:top w:val="single" w:sz="8" w:space="0" w:color="FFFFFF"/>
              <w:left w:val="single" w:sz="8" w:space="0" w:color="DC6900"/>
              <w:right w:val="single" w:sz="8" w:space="0" w:color="DC6900"/>
            </w:tcBorders>
            <w:shd w:val="clear" w:color="auto" w:fill="A32020"/>
            <w:tcMar>
              <w:top w:w="72" w:type="dxa"/>
              <w:left w:w="57" w:type="dxa"/>
              <w:bottom w:w="72" w:type="dxa"/>
              <w:right w:w="57" w:type="dxa"/>
            </w:tcMar>
            <w:vAlign w:val="center"/>
          </w:tcPr>
          <w:p w:rsidR="00913429" w:rsidRDefault="00E143F0">
            <w:pPr>
              <w:spacing w:after="0" w:line="240" w:lineRule="auto"/>
              <w:jc w:val="center"/>
              <w:rPr>
                <w:rFonts w:eastAsia="Times New Roman"/>
                <w:bCs/>
                <w:noProof/>
                <w:color w:val="FFFFFF"/>
                <w:sz w:val="12"/>
                <w:szCs w:val="18"/>
              </w:rPr>
            </w:pPr>
            <w:r>
              <w:rPr>
                <w:rFonts w:eastAsia="Times New Roman"/>
                <w:bCs/>
                <w:noProof/>
                <w:color w:val="FFFFFF"/>
                <w:sz w:val="12"/>
                <w:szCs w:val="18"/>
              </w:rPr>
              <w:t>Sub-Task</w:t>
            </w:r>
          </w:p>
        </w:tc>
        <w:tc>
          <w:tcPr>
            <w:tcW w:w="1777" w:type="pct"/>
            <w:vMerge w:val="restart"/>
            <w:tcBorders>
              <w:top w:val="single" w:sz="8" w:space="0" w:color="FFFFFF"/>
              <w:left w:val="single" w:sz="8" w:space="0" w:color="DC6900"/>
              <w:right w:val="single" w:sz="8" w:space="0" w:color="FFFFFF"/>
            </w:tcBorders>
            <w:shd w:val="clear" w:color="auto" w:fill="A32020"/>
            <w:tcMar>
              <w:top w:w="72" w:type="dxa"/>
              <w:left w:w="144" w:type="dxa"/>
              <w:bottom w:w="72" w:type="dxa"/>
              <w:right w:w="144" w:type="dxa"/>
            </w:tcMar>
            <w:vAlign w:val="center"/>
          </w:tcPr>
          <w:p w:rsidR="00913429" w:rsidRDefault="00E143F0">
            <w:pPr>
              <w:spacing w:after="0" w:line="240" w:lineRule="auto"/>
              <w:jc w:val="center"/>
              <w:rPr>
                <w:rFonts w:eastAsia="Times New Roman"/>
                <w:bCs/>
                <w:noProof/>
                <w:color w:val="FFFFFF"/>
                <w:sz w:val="12"/>
                <w:szCs w:val="16"/>
              </w:rPr>
            </w:pPr>
            <w:r>
              <w:rPr>
                <w:rFonts w:eastAsia="Times New Roman"/>
                <w:bCs/>
                <w:noProof/>
                <w:color w:val="FFFFFF"/>
                <w:sz w:val="12"/>
                <w:szCs w:val="16"/>
              </w:rPr>
              <w:t>Description</w:t>
            </w:r>
          </w:p>
        </w:tc>
        <w:tc>
          <w:tcPr>
            <w:tcW w:w="1907" w:type="pct"/>
            <w:gridSpan w:val="4"/>
            <w:tcBorders>
              <w:top w:val="single" w:sz="8" w:space="0" w:color="FFFFFF"/>
              <w:left w:val="single" w:sz="8" w:space="0" w:color="FFFFFF"/>
              <w:bottom w:val="single" w:sz="8" w:space="0" w:color="FFFFFF"/>
              <w:right w:val="single" w:sz="8" w:space="0" w:color="FFFFFF"/>
            </w:tcBorders>
            <w:shd w:val="clear" w:color="auto" w:fill="DC6900"/>
            <w:tcMar>
              <w:top w:w="72" w:type="dxa"/>
              <w:left w:w="57" w:type="dxa"/>
              <w:bottom w:w="72" w:type="dxa"/>
              <w:right w:w="57" w:type="dxa"/>
            </w:tcMar>
            <w:vAlign w:val="center"/>
          </w:tcPr>
          <w:p w:rsidR="00913429" w:rsidRDefault="00E143F0">
            <w:pPr>
              <w:spacing w:after="0" w:line="240" w:lineRule="auto"/>
              <w:jc w:val="center"/>
              <w:rPr>
                <w:rFonts w:eastAsia="Times New Roman"/>
                <w:bCs/>
                <w:noProof/>
                <w:color w:val="FFFFFF"/>
                <w:sz w:val="12"/>
                <w:szCs w:val="16"/>
              </w:rPr>
            </w:pPr>
            <w:r>
              <w:rPr>
                <w:rFonts w:eastAsia="Times New Roman"/>
                <w:bCs/>
                <w:noProof/>
                <w:color w:val="FFFFFF"/>
                <w:sz w:val="12"/>
                <w:szCs w:val="16"/>
              </w:rPr>
              <w:t>September</w:t>
            </w:r>
          </w:p>
        </w:tc>
        <w:tc>
          <w:tcPr>
            <w:tcW w:w="952" w:type="pct"/>
            <w:gridSpan w:val="2"/>
            <w:tcBorders>
              <w:top w:val="single" w:sz="8" w:space="0" w:color="FFFFFF"/>
              <w:left w:val="single" w:sz="8" w:space="0" w:color="FFFFFF"/>
              <w:bottom w:val="single" w:sz="8" w:space="0" w:color="FFFFFF"/>
              <w:right w:val="single" w:sz="8" w:space="0" w:color="FFFFFF"/>
            </w:tcBorders>
            <w:shd w:val="clear" w:color="auto" w:fill="DC6900"/>
            <w:tcMar>
              <w:top w:w="72" w:type="dxa"/>
              <w:left w:w="57" w:type="dxa"/>
              <w:bottom w:w="72" w:type="dxa"/>
              <w:right w:w="57" w:type="dxa"/>
            </w:tcMar>
            <w:vAlign w:val="center"/>
          </w:tcPr>
          <w:p w:rsidR="00913429" w:rsidRDefault="00E143F0">
            <w:pPr>
              <w:spacing w:after="0" w:line="240" w:lineRule="auto"/>
              <w:jc w:val="center"/>
              <w:rPr>
                <w:rFonts w:eastAsia="Times New Roman"/>
                <w:bCs/>
                <w:noProof/>
                <w:color w:val="FFFFFF"/>
                <w:sz w:val="12"/>
                <w:szCs w:val="16"/>
              </w:rPr>
            </w:pPr>
            <w:r>
              <w:rPr>
                <w:rFonts w:eastAsia="Times New Roman"/>
                <w:bCs/>
                <w:noProof/>
                <w:color w:val="FFFFFF"/>
                <w:sz w:val="12"/>
                <w:szCs w:val="16"/>
              </w:rPr>
              <w:t>October</w:t>
            </w:r>
          </w:p>
        </w:tc>
      </w:tr>
      <w:tr w:rsidR="00913429">
        <w:trPr>
          <w:trHeight w:val="20"/>
        </w:trPr>
        <w:tc>
          <w:tcPr>
            <w:tcW w:w="364" w:type="pct"/>
            <w:vMerge/>
            <w:tcBorders>
              <w:left w:val="single" w:sz="8" w:space="0" w:color="DC6900"/>
              <w:bottom w:val="single" w:sz="18" w:space="0" w:color="DC6900"/>
              <w:right w:val="single" w:sz="8" w:space="0" w:color="DC6900"/>
            </w:tcBorders>
            <w:shd w:val="clear" w:color="auto" w:fill="A32020"/>
            <w:tcMar>
              <w:top w:w="72" w:type="dxa"/>
              <w:left w:w="57" w:type="dxa"/>
              <w:bottom w:w="72" w:type="dxa"/>
              <w:right w:w="57" w:type="dxa"/>
            </w:tcMar>
            <w:vAlign w:val="center"/>
            <w:hideMark/>
          </w:tcPr>
          <w:p w:rsidR="00913429" w:rsidRDefault="00913429">
            <w:pPr>
              <w:spacing w:after="0" w:line="240" w:lineRule="auto"/>
              <w:jc w:val="center"/>
              <w:rPr>
                <w:rFonts w:eastAsia="Times New Roman"/>
                <w:bCs/>
                <w:noProof/>
                <w:color w:val="FFFFFF"/>
                <w:sz w:val="12"/>
                <w:szCs w:val="18"/>
              </w:rPr>
            </w:pPr>
          </w:p>
        </w:tc>
        <w:tc>
          <w:tcPr>
            <w:tcW w:w="1777" w:type="pct"/>
            <w:vMerge/>
            <w:tcBorders>
              <w:left w:val="single" w:sz="8" w:space="0" w:color="DC6900"/>
              <w:bottom w:val="single" w:sz="18" w:space="0" w:color="DC6900"/>
              <w:right w:val="single" w:sz="8" w:space="0" w:color="FFFFFF"/>
            </w:tcBorders>
            <w:shd w:val="clear" w:color="auto" w:fill="A32020"/>
            <w:tcMar>
              <w:top w:w="72" w:type="dxa"/>
              <w:left w:w="144" w:type="dxa"/>
              <w:bottom w:w="72" w:type="dxa"/>
              <w:right w:w="144" w:type="dxa"/>
            </w:tcMar>
            <w:vAlign w:val="center"/>
            <w:hideMark/>
          </w:tcPr>
          <w:p w:rsidR="00913429" w:rsidRDefault="00913429">
            <w:pPr>
              <w:spacing w:after="0" w:line="240" w:lineRule="auto"/>
              <w:jc w:val="center"/>
              <w:rPr>
                <w:rFonts w:eastAsia="Times New Roman"/>
                <w:bCs/>
                <w:noProof/>
                <w:color w:val="FFFFFF"/>
                <w:sz w:val="12"/>
                <w:szCs w:val="16"/>
              </w:rPr>
            </w:pPr>
          </w:p>
        </w:tc>
        <w:tc>
          <w:tcPr>
            <w:tcW w:w="476" w:type="pct"/>
            <w:tcBorders>
              <w:top w:val="single" w:sz="8" w:space="0" w:color="FFFFFF"/>
              <w:left w:val="single" w:sz="8" w:space="0" w:color="FFFFFF"/>
              <w:bottom w:val="single" w:sz="8" w:space="0" w:color="FFFFFF"/>
              <w:right w:val="single" w:sz="8" w:space="0" w:color="FFFFFF"/>
            </w:tcBorders>
            <w:shd w:val="clear" w:color="auto" w:fill="DC6900"/>
            <w:tcMar>
              <w:top w:w="72" w:type="dxa"/>
              <w:left w:w="57" w:type="dxa"/>
              <w:bottom w:w="72" w:type="dxa"/>
              <w:right w:w="57" w:type="dxa"/>
            </w:tcMar>
            <w:vAlign w:val="center"/>
            <w:hideMark/>
          </w:tcPr>
          <w:p w:rsidR="00913429" w:rsidRDefault="00E143F0">
            <w:pPr>
              <w:spacing w:after="0" w:line="240" w:lineRule="auto"/>
              <w:jc w:val="center"/>
              <w:rPr>
                <w:rFonts w:eastAsia="Times New Roman"/>
                <w:bCs/>
                <w:noProof/>
                <w:color w:val="FFFFFF"/>
                <w:sz w:val="12"/>
                <w:szCs w:val="16"/>
              </w:rPr>
            </w:pPr>
            <w:r>
              <w:rPr>
                <w:rFonts w:eastAsia="Times New Roman"/>
                <w:bCs/>
                <w:noProof/>
                <w:color w:val="FFFFFF"/>
                <w:sz w:val="12"/>
                <w:szCs w:val="16"/>
              </w:rPr>
              <w:t>W16</w:t>
            </w:r>
          </w:p>
        </w:tc>
        <w:tc>
          <w:tcPr>
            <w:tcW w:w="476" w:type="pct"/>
            <w:tcBorders>
              <w:top w:val="single" w:sz="8" w:space="0" w:color="FFFFFF"/>
              <w:left w:val="single" w:sz="8" w:space="0" w:color="FFFFFF"/>
              <w:bottom w:val="single" w:sz="8" w:space="0" w:color="FFFFFF"/>
              <w:right w:val="single" w:sz="8" w:space="0" w:color="FFFFFF"/>
            </w:tcBorders>
            <w:shd w:val="clear" w:color="auto" w:fill="DC6900"/>
            <w:vAlign w:val="center"/>
          </w:tcPr>
          <w:p w:rsidR="00913429" w:rsidRDefault="00E143F0">
            <w:pPr>
              <w:spacing w:after="0" w:line="240" w:lineRule="auto"/>
              <w:jc w:val="center"/>
              <w:rPr>
                <w:rFonts w:eastAsia="Times New Roman"/>
                <w:bCs/>
                <w:noProof/>
                <w:color w:val="FFFFFF"/>
                <w:sz w:val="12"/>
                <w:szCs w:val="16"/>
              </w:rPr>
            </w:pPr>
            <w:r>
              <w:rPr>
                <w:rFonts w:eastAsia="Times New Roman"/>
                <w:bCs/>
                <w:noProof/>
                <w:color w:val="FFFFFF"/>
                <w:sz w:val="12"/>
                <w:szCs w:val="16"/>
              </w:rPr>
              <w:t>W17</w:t>
            </w:r>
          </w:p>
        </w:tc>
        <w:tc>
          <w:tcPr>
            <w:tcW w:w="476" w:type="pct"/>
            <w:tcBorders>
              <w:top w:val="single" w:sz="8" w:space="0" w:color="FFFFFF"/>
              <w:left w:val="single" w:sz="8" w:space="0" w:color="FFFFFF"/>
              <w:bottom w:val="single" w:sz="8" w:space="0" w:color="FFFFFF"/>
              <w:right w:val="single" w:sz="8" w:space="0" w:color="FFFFFF"/>
            </w:tcBorders>
            <w:shd w:val="clear" w:color="auto" w:fill="DC6900"/>
            <w:vAlign w:val="center"/>
          </w:tcPr>
          <w:p w:rsidR="00913429" w:rsidRDefault="00E143F0">
            <w:pPr>
              <w:spacing w:after="0" w:line="240" w:lineRule="auto"/>
              <w:jc w:val="center"/>
              <w:rPr>
                <w:rFonts w:eastAsia="Times New Roman"/>
                <w:bCs/>
                <w:noProof/>
                <w:color w:val="FFFFFF"/>
                <w:sz w:val="12"/>
                <w:szCs w:val="16"/>
              </w:rPr>
            </w:pPr>
            <w:r>
              <w:rPr>
                <w:rFonts w:eastAsia="Times New Roman"/>
                <w:bCs/>
                <w:noProof/>
                <w:color w:val="FFFFFF"/>
                <w:sz w:val="12"/>
                <w:szCs w:val="16"/>
              </w:rPr>
              <w:t>W18</w:t>
            </w:r>
          </w:p>
        </w:tc>
        <w:tc>
          <w:tcPr>
            <w:tcW w:w="479" w:type="pct"/>
            <w:tcBorders>
              <w:top w:val="single" w:sz="8" w:space="0" w:color="FFFFFF"/>
              <w:left w:val="single" w:sz="8" w:space="0" w:color="FFFFFF"/>
              <w:bottom w:val="single" w:sz="8" w:space="0" w:color="FFFFFF"/>
              <w:right w:val="single" w:sz="8" w:space="0" w:color="FFFFFF"/>
            </w:tcBorders>
            <w:shd w:val="clear" w:color="auto" w:fill="DC6900"/>
            <w:vAlign w:val="center"/>
          </w:tcPr>
          <w:p w:rsidR="00913429" w:rsidRDefault="00E143F0">
            <w:pPr>
              <w:spacing w:after="0" w:line="240" w:lineRule="auto"/>
              <w:jc w:val="center"/>
              <w:rPr>
                <w:rFonts w:eastAsia="Times New Roman"/>
                <w:bCs/>
                <w:noProof/>
                <w:color w:val="FFFFFF"/>
                <w:sz w:val="12"/>
                <w:szCs w:val="16"/>
              </w:rPr>
            </w:pPr>
            <w:r>
              <w:rPr>
                <w:rFonts w:eastAsia="Times New Roman"/>
                <w:bCs/>
                <w:noProof/>
                <w:color w:val="FFFFFF"/>
                <w:sz w:val="12"/>
                <w:szCs w:val="16"/>
              </w:rPr>
              <w:t>W19</w:t>
            </w:r>
          </w:p>
        </w:tc>
        <w:tc>
          <w:tcPr>
            <w:tcW w:w="476" w:type="pct"/>
            <w:tcBorders>
              <w:top w:val="single" w:sz="8" w:space="0" w:color="FFFFFF"/>
              <w:left w:val="single" w:sz="8" w:space="0" w:color="FFFFFF"/>
              <w:bottom w:val="single" w:sz="8" w:space="0" w:color="FFFFFF"/>
              <w:right w:val="single" w:sz="8" w:space="0" w:color="FFFFFF"/>
            </w:tcBorders>
            <w:shd w:val="clear" w:color="auto" w:fill="DC6900"/>
            <w:tcMar>
              <w:top w:w="72" w:type="dxa"/>
              <w:left w:w="57" w:type="dxa"/>
              <w:bottom w:w="72" w:type="dxa"/>
              <w:right w:w="57" w:type="dxa"/>
            </w:tcMar>
            <w:vAlign w:val="center"/>
            <w:hideMark/>
          </w:tcPr>
          <w:p w:rsidR="00913429" w:rsidRDefault="00E143F0">
            <w:pPr>
              <w:spacing w:after="0" w:line="240" w:lineRule="auto"/>
              <w:jc w:val="center"/>
              <w:rPr>
                <w:rFonts w:eastAsia="Times New Roman"/>
                <w:bCs/>
                <w:noProof/>
                <w:color w:val="FFFFFF"/>
                <w:sz w:val="12"/>
                <w:szCs w:val="16"/>
              </w:rPr>
            </w:pPr>
            <w:r>
              <w:rPr>
                <w:rFonts w:eastAsia="Times New Roman"/>
                <w:bCs/>
                <w:noProof/>
                <w:color w:val="FFFFFF"/>
                <w:sz w:val="12"/>
                <w:szCs w:val="16"/>
              </w:rPr>
              <w:t>W20</w:t>
            </w:r>
          </w:p>
        </w:tc>
        <w:tc>
          <w:tcPr>
            <w:tcW w:w="476" w:type="pct"/>
            <w:tcBorders>
              <w:top w:val="single" w:sz="8" w:space="0" w:color="FFFFFF"/>
              <w:left w:val="single" w:sz="8" w:space="0" w:color="FFFFFF"/>
              <w:bottom w:val="single" w:sz="8" w:space="0" w:color="FFFFFF"/>
              <w:right w:val="single" w:sz="8" w:space="0" w:color="FFFFFF"/>
            </w:tcBorders>
            <w:shd w:val="clear" w:color="auto" w:fill="DC6900"/>
            <w:tcMar>
              <w:top w:w="72" w:type="dxa"/>
              <w:left w:w="57" w:type="dxa"/>
              <w:bottom w:w="72" w:type="dxa"/>
              <w:right w:w="57" w:type="dxa"/>
            </w:tcMar>
            <w:vAlign w:val="center"/>
            <w:hideMark/>
          </w:tcPr>
          <w:p w:rsidR="00913429" w:rsidRDefault="00E143F0">
            <w:pPr>
              <w:spacing w:after="0" w:line="240" w:lineRule="auto"/>
              <w:jc w:val="center"/>
              <w:rPr>
                <w:rFonts w:eastAsia="Times New Roman"/>
                <w:bCs/>
                <w:noProof/>
                <w:color w:val="FFFFFF"/>
                <w:sz w:val="12"/>
                <w:szCs w:val="16"/>
              </w:rPr>
            </w:pPr>
            <w:r>
              <w:rPr>
                <w:rFonts w:eastAsia="Times New Roman"/>
                <w:bCs/>
                <w:noProof/>
                <w:color w:val="FFFFFF"/>
                <w:sz w:val="12"/>
                <w:szCs w:val="16"/>
              </w:rPr>
              <w:t>W21</w:t>
            </w:r>
          </w:p>
        </w:tc>
      </w:tr>
      <w:tr w:rsidR="00913429">
        <w:trPr>
          <w:trHeight w:val="20"/>
        </w:trPr>
        <w:tc>
          <w:tcPr>
            <w:tcW w:w="364" w:type="pct"/>
            <w:tcBorders>
              <w:top w:val="single" w:sz="8" w:space="0" w:color="DC6900"/>
              <w:left w:val="single" w:sz="8" w:space="0" w:color="FFFFFF"/>
              <w:bottom w:val="single" w:sz="8" w:space="0" w:color="DC6900"/>
              <w:right w:val="single" w:sz="8" w:space="0" w:color="DC6900"/>
            </w:tcBorders>
            <w:shd w:val="clear" w:color="auto" w:fill="auto"/>
            <w:tcMar>
              <w:top w:w="72" w:type="dxa"/>
              <w:left w:w="113" w:type="dxa"/>
              <w:bottom w:w="72" w:type="dxa"/>
              <w:right w:w="113" w:type="dxa"/>
            </w:tcMar>
            <w:hideMark/>
          </w:tcPr>
          <w:p w:rsidR="00913429" w:rsidRDefault="00913429">
            <w:pPr>
              <w:spacing w:after="0" w:line="240" w:lineRule="auto"/>
              <w:rPr>
                <w:rFonts w:eastAsia="Times New Roman"/>
                <w:bCs/>
                <w:noProof/>
                <w:color w:val="000000"/>
                <w:sz w:val="12"/>
                <w:szCs w:val="18"/>
              </w:rPr>
            </w:pPr>
          </w:p>
        </w:tc>
        <w:tc>
          <w:tcPr>
            <w:tcW w:w="1777" w:type="pct"/>
            <w:tcBorders>
              <w:top w:val="single" w:sz="8" w:space="0" w:color="DC6900"/>
              <w:left w:val="single" w:sz="8" w:space="0" w:color="DC6900"/>
              <w:bottom w:val="single" w:sz="8" w:space="0" w:color="DC6900"/>
              <w:right w:val="single" w:sz="8" w:space="0" w:color="DC6900"/>
            </w:tcBorders>
            <w:shd w:val="clear" w:color="auto" w:fill="auto"/>
            <w:tcMar>
              <w:top w:w="15" w:type="dxa"/>
              <w:left w:w="57" w:type="dxa"/>
              <w:bottom w:w="0" w:type="dxa"/>
              <w:right w:w="15" w:type="dxa"/>
            </w:tcMar>
            <w:vAlign w:val="center"/>
            <w:hideMark/>
          </w:tcPr>
          <w:p w:rsidR="00913429" w:rsidRDefault="00E143F0">
            <w:pPr>
              <w:spacing w:after="0" w:line="240" w:lineRule="auto"/>
              <w:rPr>
                <w:rFonts w:eastAsia="Times New Roman"/>
                <w:b/>
                <w:bCs/>
                <w:noProof/>
                <w:color w:val="000000"/>
                <w:sz w:val="12"/>
                <w:szCs w:val="18"/>
              </w:rPr>
            </w:pPr>
            <w:r>
              <w:rPr>
                <w:rFonts w:eastAsia="Times New Roman"/>
                <w:b/>
                <w:bCs/>
                <w:noProof/>
                <w:color w:val="000000"/>
                <w:sz w:val="12"/>
                <w:szCs w:val="18"/>
              </w:rPr>
              <w:t xml:space="preserve">Task 0 – Other </w:t>
            </w:r>
            <w:r>
              <w:rPr>
                <w:rFonts w:eastAsia="Times New Roman"/>
                <w:b/>
                <w:bCs/>
                <w:noProof/>
                <w:color w:val="000000"/>
                <w:sz w:val="12"/>
                <w:szCs w:val="18"/>
              </w:rPr>
              <w:t>specific tasks</w:t>
            </w:r>
          </w:p>
        </w:tc>
        <w:tc>
          <w:tcPr>
            <w:tcW w:w="476" w:type="pct"/>
            <w:tcBorders>
              <w:top w:val="single" w:sz="8" w:space="0" w:color="DC6900"/>
              <w:left w:val="single" w:sz="8" w:space="0" w:color="DC6900"/>
              <w:bottom w:val="single" w:sz="8" w:space="0" w:color="DC6900"/>
              <w:right w:val="single" w:sz="8" w:space="0" w:color="DC6900"/>
            </w:tcBorders>
            <w:shd w:val="clear" w:color="auto" w:fill="D32E4B"/>
            <w:tcMar>
              <w:top w:w="72" w:type="dxa"/>
              <w:left w:w="144" w:type="dxa"/>
              <w:bottom w:w="72" w:type="dxa"/>
              <w:right w:w="144" w:type="dxa"/>
            </w:tcMar>
            <w:hideMark/>
          </w:tcPr>
          <w:p w:rsidR="00913429" w:rsidRDefault="00913429">
            <w:pPr>
              <w:spacing w:after="0" w:line="240" w:lineRule="auto"/>
              <w:rPr>
                <w:rFonts w:eastAsia="Times New Roman"/>
                <w:bCs/>
                <w:noProof/>
                <w:color w:val="000000"/>
                <w:sz w:val="18"/>
                <w:szCs w:val="18"/>
              </w:rPr>
            </w:pPr>
          </w:p>
        </w:tc>
        <w:tc>
          <w:tcPr>
            <w:tcW w:w="476" w:type="pct"/>
            <w:tcBorders>
              <w:top w:val="single" w:sz="8" w:space="0" w:color="DC6900"/>
              <w:left w:val="single" w:sz="8" w:space="0" w:color="DC6900"/>
              <w:bottom w:val="single" w:sz="8" w:space="0" w:color="DC6900"/>
              <w:right w:val="single" w:sz="8" w:space="0" w:color="DC6900"/>
            </w:tcBorders>
            <w:shd w:val="clear" w:color="auto" w:fill="D32E4B"/>
          </w:tcPr>
          <w:p w:rsidR="00913429" w:rsidRDefault="00913429">
            <w:pPr>
              <w:spacing w:after="0" w:line="240" w:lineRule="auto"/>
              <w:rPr>
                <w:rFonts w:eastAsia="Times New Roman"/>
                <w:bCs/>
                <w:noProof/>
                <w:color w:val="000000"/>
                <w:sz w:val="18"/>
                <w:szCs w:val="18"/>
              </w:rPr>
            </w:pPr>
          </w:p>
        </w:tc>
        <w:tc>
          <w:tcPr>
            <w:tcW w:w="476" w:type="pct"/>
            <w:tcBorders>
              <w:top w:val="single" w:sz="8" w:space="0" w:color="DC6900"/>
              <w:left w:val="single" w:sz="8" w:space="0" w:color="DC6900"/>
              <w:bottom w:val="single" w:sz="8" w:space="0" w:color="DC6900"/>
              <w:right w:val="single" w:sz="8" w:space="0" w:color="DC6900"/>
            </w:tcBorders>
            <w:shd w:val="clear" w:color="auto" w:fill="D32E4B"/>
          </w:tcPr>
          <w:p w:rsidR="00913429" w:rsidRDefault="00913429">
            <w:pPr>
              <w:spacing w:after="0" w:line="240" w:lineRule="auto"/>
              <w:rPr>
                <w:rFonts w:eastAsia="Times New Roman"/>
                <w:bCs/>
                <w:noProof/>
                <w:color w:val="000000"/>
                <w:sz w:val="18"/>
                <w:szCs w:val="18"/>
              </w:rPr>
            </w:pPr>
          </w:p>
        </w:tc>
        <w:tc>
          <w:tcPr>
            <w:tcW w:w="479" w:type="pct"/>
            <w:tcBorders>
              <w:top w:val="single" w:sz="8" w:space="0" w:color="DC6900"/>
              <w:left w:val="single" w:sz="8" w:space="0" w:color="DC6900"/>
              <w:bottom w:val="single" w:sz="8" w:space="0" w:color="DC6900"/>
              <w:right w:val="single" w:sz="8" w:space="0" w:color="DC6900"/>
            </w:tcBorders>
            <w:shd w:val="clear" w:color="auto" w:fill="D32E4B"/>
          </w:tcPr>
          <w:p w:rsidR="00913429" w:rsidRDefault="00913429">
            <w:pPr>
              <w:spacing w:after="0" w:line="240" w:lineRule="auto"/>
              <w:rPr>
                <w:rFonts w:eastAsia="Times New Roman"/>
                <w:bCs/>
                <w:noProof/>
                <w:color w:val="000000"/>
                <w:sz w:val="18"/>
                <w:szCs w:val="18"/>
              </w:rPr>
            </w:pPr>
          </w:p>
        </w:tc>
        <w:tc>
          <w:tcPr>
            <w:tcW w:w="476" w:type="pct"/>
            <w:tcBorders>
              <w:top w:val="single" w:sz="8" w:space="0" w:color="DC6900"/>
              <w:left w:val="single" w:sz="8" w:space="0" w:color="DC6900"/>
              <w:bottom w:val="single" w:sz="8" w:space="0" w:color="DC6900"/>
              <w:right w:val="single" w:sz="8" w:space="0" w:color="DC6900"/>
            </w:tcBorders>
            <w:shd w:val="clear" w:color="auto" w:fill="D32E4B"/>
            <w:tcMar>
              <w:top w:w="72" w:type="dxa"/>
              <w:left w:w="144" w:type="dxa"/>
              <w:bottom w:w="72" w:type="dxa"/>
              <w:right w:w="144" w:type="dxa"/>
            </w:tcMar>
            <w:hideMark/>
          </w:tcPr>
          <w:p w:rsidR="00913429" w:rsidRDefault="00913429">
            <w:pPr>
              <w:spacing w:after="0" w:line="240" w:lineRule="auto"/>
              <w:rPr>
                <w:rFonts w:eastAsia="Times New Roman"/>
                <w:bCs/>
                <w:noProof/>
                <w:color w:val="000000"/>
                <w:sz w:val="18"/>
                <w:szCs w:val="18"/>
              </w:rPr>
            </w:pPr>
          </w:p>
        </w:tc>
        <w:tc>
          <w:tcPr>
            <w:tcW w:w="476" w:type="pct"/>
            <w:tcBorders>
              <w:top w:val="single" w:sz="8" w:space="0" w:color="DC6900"/>
              <w:left w:val="single" w:sz="8" w:space="0" w:color="DC6900"/>
              <w:bottom w:val="single" w:sz="8" w:space="0" w:color="DC6900"/>
              <w:right w:val="single" w:sz="8" w:space="0" w:color="DC6900"/>
            </w:tcBorders>
            <w:shd w:val="clear" w:color="auto" w:fill="D32E4B"/>
            <w:tcMar>
              <w:top w:w="72" w:type="dxa"/>
              <w:left w:w="144" w:type="dxa"/>
              <w:bottom w:w="72" w:type="dxa"/>
              <w:right w:w="144" w:type="dxa"/>
            </w:tcMar>
            <w:hideMark/>
          </w:tcPr>
          <w:p w:rsidR="00913429" w:rsidRDefault="00913429">
            <w:pPr>
              <w:spacing w:after="0" w:line="240" w:lineRule="auto"/>
              <w:rPr>
                <w:rFonts w:eastAsia="Times New Roman"/>
                <w:bCs/>
                <w:noProof/>
                <w:color w:val="000000"/>
                <w:sz w:val="18"/>
                <w:szCs w:val="18"/>
              </w:rPr>
            </w:pPr>
          </w:p>
        </w:tc>
      </w:tr>
      <w:tr w:rsidR="00913429">
        <w:trPr>
          <w:trHeight w:val="340"/>
        </w:trPr>
        <w:tc>
          <w:tcPr>
            <w:tcW w:w="364" w:type="pct"/>
            <w:tcBorders>
              <w:top w:val="single" w:sz="8" w:space="0" w:color="DC6900"/>
              <w:left w:val="single" w:sz="8" w:space="0" w:color="DC6900"/>
              <w:bottom w:val="single" w:sz="8" w:space="0" w:color="DC6900"/>
              <w:right w:val="single" w:sz="8" w:space="0" w:color="DC6900"/>
            </w:tcBorders>
            <w:shd w:val="clear" w:color="auto" w:fill="FFFFFF"/>
            <w:tcMar>
              <w:top w:w="72" w:type="dxa"/>
              <w:left w:w="113" w:type="dxa"/>
              <w:bottom w:w="72" w:type="dxa"/>
              <w:right w:w="113" w:type="dxa"/>
            </w:tcMar>
            <w:vAlign w:val="center"/>
          </w:tcPr>
          <w:p w:rsidR="00913429" w:rsidRDefault="00E143F0">
            <w:pPr>
              <w:spacing w:after="0" w:line="240" w:lineRule="auto"/>
              <w:jc w:val="center"/>
              <w:rPr>
                <w:rFonts w:eastAsia="Times New Roman"/>
                <w:bCs/>
                <w:noProof/>
                <w:color w:val="000000"/>
                <w:sz w:val="12"/>
                <w:szCs w:val="18"/>
              </w:rPr>
            </w:pPr>
            <w:r>
              <w:rPr>
                <w:rFonts w:eastAsia="Times New Roman"/>
                <w:bCs/>
                <w:noProof/>
                <w:color w:val="000000"/>
                <w:sz w:val="12"/>
                <w:szCs w:val="18"/>
              </w:rPr>
              <w:t>0.1</w:t>
            </w:r>
          </w:p>
        </w:tc>
        <w:tc>
          <w:tcPr>
            <w:tcW w:w="1777" w:type="pct"/>
            <w:tcBorders>
              <w:top w:val="single" w:sz="8" w:space="0" w:color="DC6900"/>
              <w:left w:val="single" w:sz="8" w:space="0" w:color="DC6900"/>
              <w:bottom w:val="single" w:sz="8" w:space="0" w:color="DC6900"/>
              <w:right w:val="single" w:sz="8" w:space="0" w:color="DC6900"/>
            </w:tcBorders>
            <w:shd w:val="clear" w:color="auto" w:fill="FFFFFF"/>
            <w:tcMar>
              <w:top w:w="15" w:type="dxa"/>
              <w:left w:w="57" w:type="dxa"/>
              <w:bottom w:w="0" w:type="dxa"/>
              <w:right w:w="15" w:type="dxa"/>
            </w:tcMar>
            <w:vAlign w:val="center"/>
          </w:tcPr>
          <w:p w:rsidR="00913429" w:rsidRDefault="00E143F0">
            <w:pPr>
              <w:spacing w:after="0" w:line="240" w:lineRule="auto"/>
              <w:rPr>
                <w:rFonts w:eastAsia="Times New Roman"/>
                <w:bCs/>
                <w:noProof/>
                <w:color w:val="000000"/>
                <w:sz w:val="12"/>
                <w:szCs w:val="18"/>
              </w:rPr>
            </w:pPr>
            <w:r>
              <w:rPr>
                <w:rFonts w:eastAsia="Times New Roman"/>
                <w:bCs/>
                <w:noProof/>
                <w:color w:val="000000"/>
                <w:sz w:val="12"/>
                <w:szCs w:val="18"/>
              </w:rPr>
              <w:t>Organisation and management of project meetings</w:t>
            </w:r>
          </w:p>
        </w:tc>
        <w:tc>
          <w:tcPr>
            <w:tcW w:w="476" w:type="pct"/>
            <w:tcBorders>
              <w:top w:val="single" w:sz="8" w:space="0" w:color="DC6900"/>
              <w:left w:val="single" w:sz="8" w:space="0" w:color="DC6900"/>
              <w:bottom w:val="single" w:sz="8" w:space="0" w:color="DC6900"/>
              <w:right w:val="single" w:sz="8" w:space="0" w:color="DC6900"/>
            </w:tcBorders>
            <w:shd w:val="clear" w:color="auto" w:fill="auto"/>
            <w:tcMar>
              <w:top w:w="72" w:type="dxa"/>
              <w:left w:w="144" w:type="dxa"/>
              <w:bottom w:w="72" w:type="dxa"/>
              <w:right w:w="144" w:type="dxa"/>
            </w:tcMar>
            <w:vAlign w:val="center"/>
          </w:tcPr>
          <w:p w:rsidR="00913429" w:rsidRDefault="00913429">
            <w:pPr>
              <w:spacing w:after="0" w:line="240" w:lineRule="auto"/>
              <w:rPr>
                <w:rFonts w:eastAsia="Times New Roman"/>
                <w:bCs/>
                <w:noProof/>
                <w:color w:val="000000"/>
                <w:sz w:val="18"/>
                <w:szCs w:val="18"/>
              </w:rPr>
            </w:pPr>
          </w:p>
        </w:tc>
        <w:tc>
          <w:tcPr>
            <w:tcW w:w="476" w:type="pct"/>
            <w:tcBorders>
              <w:top w:val="single" w:sz="8" w:space="0" w:color="DC6900"/>
              <w:left w:val="single" w:sz="8" w:space="0" w:color="DC6900"/>
              <w:bottom w:val="single" w:sz="8" w:space="0" w:color="DC6900"/>
              <w:right w:val="single" w:sz="8" w:space="0" w:color="DC6900"/>
            </w:tcBorders>
            <w:shd w:val="clear" w:color="auto" w:fill="auto"/>
            <w:vAlign w:val="center"/>
          </w:tcPr>
          <w:p w:rsidR="00913429" w:rsidRDefault="00913429">
            <w:pPr>
              <w:spacing w:after="0" w:line="240" w:lineRule="auto"/>
              <w:rPr>
                <w:rFonts w:eastAsia="Times New Roman"/>
                <w:bCs/>
                <w:noProof/>
                <w:color w:val="000000"/>
                <w:sz w:val="18"/>
                <w:szCs w:val="18"/>
              </w:rPr>
            </w:pPr>
          </w:p>
        </w:tc>
        <w:tc>
          <w:tcPr>
            <w:tcW w:w="476" w:type="pct"/>
            <w:tcBorders>
              <w:top w:val="single" w:sz="8" w:space="0" w:color="DC6900"/>
              <w:left w:val="single" w:sz="8" w:space="0" w:color="DC6900"/>
              <w:bottom w:val="single" w:sz="8" w:space="0" w:color="DC6900"/>
              <w:right w:val="single" w:sz="8" w:space="0" w:color="DC6900"/>
            </w:tcBorders>
            <w:shd w:val="clear" w:color="auto" w:fill="auto"/>
            <w:vAlign w:val="center"/>
          </w:tcPr>
          <w:p w:rsidR="00913429" w:rsidRDefault="00913429">
            <w:pPr>
              <w:spacing w:after="0" w:line="240" w:lineRule="auto"/>
              <w:rPr>
                <w:rFonts w:eastAsia="Times New Roman"/>
                <w:bCs/>
                <w:noProof/>
                <w:color w:val="000000"/>
                <w:sz w:val="18"/>
                <w:szCs w:val="18"/>
              </w:rPr>
            </w:pPr>
          </w:p>
        </w:tc>
        <w:tc>
          <w:tcPr>
            <w:tcW w:w="479" w:type="pct"/>
            <w:tcBorders>
              <w:top w:val="single" w:sz="8" w:space="0" w:color="DC6900"/>
              <w:left w:val="single" w:sz="8" w:space="0" w:color="DC6900"/>
              <w:bottom w:val="single" w:sz="8" w:space="0" w:color="DC6900"/>
              <w:right w:val="single" w:sz="8" w:space="0" w:color="DC6900"/>
            </w:tcBorders>
            <w:shd w:val="clear" w:color="auto" w:fill="auto"/>
            <w:vAlign w:val="center"/>
          </w:tcPr>
          <w:p w:rsidR="00913429" w:rsidRDefault="00913429">
            <w:pPr>
              <w:spacing w:after="0" w:line="240" w:lineRule="auto"/>
              <w:rPr>
                <w:rFonts w:eastAsia="Times New Roman"/>
                <w:bCs/>
                <w:noProof/>
                <w:color w:val="000000"/>
                <w:sz w:val="18"/>
                <w:szCs w:val="18"/>
              </w:rPr>
            </w:pPr>
          </w:p>
        </w:tc>
        <w:tc>
          <w:tcPr>
            <w:tcW w:w="476" w:type="pct"/>
            <w:tcBorders>
              <w:top w:val="single" w:sz="8" w:space="0" w:color="DC6900"/>
              <w:left w:val="single" w:sz="8" w:space="0" w:color="DC6900"/>
              <w:bottom w:val="single" w:sz="8" w:space="0" w:color="DC6900"/>
              <w:right w:val="single" w:sz="8" w:space="0" w:color="000000"/>
            </w:tcBorders>
            <w:shd w:val="clear" w:color="auto" w:fill="808080"/>
            <w:tcMar>
              <w:top w:w="72" w:type="dxa"/>
              <w:left w:w="144" w:type="dxa"/>
              <w:bottom w:w="72" w:type="dxa"/>
              <w:right w:w="144" w:type="dxa"/>
            </w:tcMar>
            <w:vAlign w:val="center"/>
          </w:tcPr>
          <w:p w:rsidR="00913429" w:rsidRDefault="00913429">
            <w:pPr>
              <w:spacing w:after="0" w:line="240" w:lineRule="auto"/>
              <w:rPr>
                <w:rFonts w:eastAsia="Times New Roman"/>
                <w:bCs/>
                <w:noProof/>
                <w:color w:val="000000"/>
                <w:sz w:val="18"/>
                <w:szCs w:val="18"/>
              </w:rPr>
            </w:pPr>
          </w:p>
        </w:tc>
        <w:tc>
          <w:tcPr>
            <w:tcW w:w="476" w:type="pct"/>
            <w:tcBorders>
              <w:top w:val="single" w:sz="8" w:space="0" w:color="DC6900"/>
              <w:left w:val="single" w:sz="8" w:space="0" w:color="000000"/>
              <w:bottom w:val="single" w:sz="8" w:space="0" w:color="DC6900"/>
              <w:right w:val="single" w:sz="8" w:space="0" w:color="DC6900"/>
            </w:tcBorders>
            <w:shd w:val="clear" w:color="auto" w:fill="808080"/>
            <w:tcMar>
              <w:top w:w="72" w:type="dxa"/>
              <w:left w:w="144" w:type="dxa"/>
              <w:bottom w:w="72" w:type="dxa"/>
              <w:right w:w="144" w:type="dxa"/>
            </w:tcMar>
            <w:vAlign w:val="center"/>
          </w:tcPr>
          <w:p w:rsidR="00913429" w:rsidRDefault="00913429">
            <w:pPr>
              <w:spacing w:after="0" w:line="240" w:lineRule="auto"/>
              <w:rPr>
                <w:rFonts w:eastAsia="Times New Roman"/>
                <w:bCs/>
                <w:noProof/>
                <w:color w:val="000000"/>
                <w:sz w:val="18"/>
                <w:szCs w:val="18"/>
              </w:rPr>
            </w:pPr>
          </w:p>
        </w:tc>
      </w:tr>
      <w:tr w:rsidR="00913429">
        <w:trPr>
          <w:trHeight w:val="340"/>
        </w:trPr>
        <w:tc>
          <w:tcPr>
            <w:tcW w:w="364" w:type="pct"/>
            <w:tcBorders>
              <w:top w:val="single" w:sz="8" w:space="0" w:color="DC6900"/>
              <w:left w:val="single" w:sz="8" w:space="0" w:color="DC6900"/>
              <w:bottom w:val="single" w:sz="8" w:space="0" w:color="DC6900"/>
              <w:right w:val="single" w:sz="8" w:space="0" w:color="DC6900"/>
            </w:tcBorders>
            <w:shd w:val="clear" w:color="auto" w:fill="FFFFFF"/>
            <w:tcMar>
              <w:top w:w="72" w:type="dxa"/>
              <w:left w:w="113" w:type="dxa"/>
              <w:bottom w:w="72" w:type="dxa"/>
              <w:right w:w="113" w:type="dxa"/>
            </w:tcMar>
            <w:vAlign w:val="center"/>
          </w:tcPr>
          <w:p w:rsidR="00913429" w:rsidRDefault="00E143F0">
            <w:pPr>
              <w:spacing w:after="0" w:line="240" w:lineRule="auto"/>
              <w:jc w:val="center"/>
              <w:rPr>
                <w:rFonts w:eastAsia="Times New Roman"/>
                <w:bCs/>
                <w:noProof/>
                <w:color w:val="000000"/>
                <w:sz w:val="12"/>
                <w:szCs w:val="18"/>
              </w:rPr>
            </w:pPr>
            <w:r>
              <w:rPr>
                <w:rFonts w:eastAsia="Times New Roman"/>
                <w:bCs/>
                <w:noProof/>
                <w:color w:val="000000"/>
                <w:sz w:val="12"/>
                <w:szCs w:val="18"/>
              </w:rPr>
              <w:t>0.2</w:t>
            </w:r>
          </w:p>
        </w:tc>
        <w:tc>
          <w:tcPr>
            <w:tcW w:w="1777" w:type="pct"/>
            <w:tcBorders>
              <w:top w:val="single" w:sz="8" w:space="0" w:color="DC6900"/>
              <w:left w:val="single" w:sz="8" w:space="0" w:color="DC6900"/>
              <w:bottom w:val="single" w:sz="8" w:space="0" w:color="DC6900"/>
              <w:right w:val="single" w:sz="8" w:space="0" w:color="DC6900"/>
            </w:tcBorders>
            <w:shd w:val="clear" w:color="auto" w:fill="FFFFFF"/>
            <w:tcMar>
              <w:top w:w="15" w:type="dxa"/>
              <w:left w:w="57" w:type="dxa"/>
              <w:bottom w:w="0" w:type="dxa"/>
              <w:right w:w="15" w:type="dxa"/>
            </w:tcMar>
            <w:vAlign w:val="center"/>
          </w:tcPr>
          <w:p w:rsidR="00913429" w:rsidRDefault="00E143F0">
            <w:pPr>
              <w:spacing w:after="0" w:line="240" w:lineRule="auto"/>
              <w:rPr>
                <w:rFonts w:eastAsia="Times New Roman"/>
                <w:bCs/>
                <w:noProof/>
                <w:color w:val="000000"/>
                <w:sz w:val="12"/>
                <w:szCs w:val="18"/>
              </w:rPr>
            </w:pPr>
            <w:r>
              <w:rPr>
                <w:rFonts w:eastAsia="Times New Roman"/>
                <w:bCs/>
                <w:noProof/>
                <w:color w:val="000000"/>
                <w:sz w:val="12"/>
                <w:szCs w:val="18"/>
              </w:rPr>
              <w:t>Submission of deliverables and quality control</w:t>
            </w:r>
          </w:p>
        </w:tc>
        <w:tc>
          <w:tcPr>
            <w:tcW w:w="476" w:type="pct"/>
            <w:tcBorders>
              <w:top w:val="single" w:sz="8" w:space="0" w:color="DC6900"/>
              <w:left w:val="single" w:sz="8" w:space="0" w:color="DC6900"/>
              <w:bottom w:val="single" w:sz="8" w:space="0" w:color="DC6900"/>
              <w:right w:val="single" w:sz="8" w:space="0" w:color="DC6900"/>
            </w:tcBorders>
            <w:shd w:val="clear" w:color="auto" w:fill="FFF0CC"/>
            <w:tcMar>
              <w:top w:w="72" w:type="dxa"/>
              <w:left w:w="144" w:type="dxa"/>
              <w:bottom w:w="72" w:type="dxa"/>
              <w:right w:w="144" w:type="dxa"/>
            </w:tcMar>
            <w:vAlign w:val="center"/>
          </w:tcPr>
          <w:p w:rsidR="00913429" w:rsidRDefault="00913429">
            <w:pPr>
              <w:spacing w:after="0" w:line="240" w:lineRule="auto"/>
              <w:rPr>
                <w:rFonts w:eastAsia="Times New Roman"/>
                <w:bCs/>
                <w:noProof/>
                <w:color w:val="000000"/>
                <w:sz w:val="18"/>
                <w:szCs w:val="18"/>
              </w:rPr>
            </w:pPr>
          </w:p>
        </w:tc>
        <w:tc>
          <w:tcPr>
            <w:tcW w:w="476" w:type="pct"/>
            <w:tcBorders>
              <w:top w:val="single" w:sz="8" w:space="0" w:color="DC6900"/>
              <w:left w:val="single" w:sz="8" w:space="0" w:color="DC6900"/>
              <w:bottom w:val="single" w:sz="8" w:space="0" w:color="DC6900"/>
              <w:right w:val="single" w:sz="8" w:space="0" w:color="DC6900"/>
            </w:tcBorders>
            <w:shd w:val="clear" w:color="auto" w:fill="FFF0CC"/>
            <w:vAlign w:val="center"/>
          </w:tcPr>
          <w:p w:rsidR="00913429" w:rsidRDefault="00913429">
            <w:pPr>
              <w:spacing w:after="0" w:line="240" w:lineRule="auto"/>
              <w:rPr>
                <w:rFonts w:eastAsia="Times New Roman"/>
                <w:bCs/>
                <w:noProof/>
                <w:color w:val="000000"/>
                <w:sz w:val="18"/>
                <w:szCs w:val="18"/>
              </w:rPr>
            </w:pPr>
          </w:p>
        </w:tc>
        <w:tc>
          <w:tcPr>
            <w:tcW w:w="476" w:type="pct"/>
            <w:tcBorders>
              <w:top w:val="single" w:sz="8" w:space="0" w:color="DC6900"/>
              <w:left w:val="single" w:sz="8" w:space="0" w:color="DC6900"/>
              <w:bottom w:val="single" w:sz="8" w:space="0" w:color="DC6900"/>
              <w:right w:val="single" w:sz="8" w:space="0" w:color="DC6900"/>
            </w:tcBorders>
            <w:shd w:val="clear" w:color="auto" w:fill="FFF0CC"/>
            <w:vAlign w:val="center"/>
          </w:tcPr>
          <w:p w:rsidR="00913429" w:rsidRDefault="00913429">
            <w:pPr>
              <w:spacing w:after="0" w:line="240" w:lineRule="auto"/>
              <w:rPr>
                <w:rFonts w:eastAsia="Times New Roman"/>
                <w:bCs/>
                <w:noProof/>
                <w:color w:val="000000"/>
                <w:sz w:val="18"/>
                <w:szCs w:val="18"/>
              </w:rPr>
            </w:pPr>
          </w:p>
        </w:tc>
        <w:tc>
          <w:tcPr>
            <w:tcW w:w="479" w:type="pct"/>
            <w:tcBorders>
              <w:top w:val="single" w:sz="8" w:space="0" w:color="DC6900"/>
              <w:left w:val="single" w:sz="8" w:space="0" w:color="DC6900"/>
              <w:bottom w:val="single" w:sz="8" w:space="0" w:color="DC6900"/>
              <w:right w:val="single" w:sz="8" w:space="0" w:color="DC6900"/>
            </w:tcBorders>
            <w:shd w:val="clear" w:color="auto" w:fill="FFF0CC"/>
            <w:vAlign w:val="center"/>
          </w:tcPr>
          <w:p w:rsidR="00913429" w:rsidRDefault="00913429">
            <w:pPr>
              <w:spacing w:after="0" w:line="240" w:lineRule="auto"/>
              <w:rPr>
                <w:rFonts w:eastAsia="Times New Roman"/>
                <w:bCs/>
                <w:noProof/>
                <w:color w:val="000000"/>
                <w:sz w:val="18"/>
                <w:szCs w:val="18"/>
              </w:rPr>
            </w:pPr>
          </w:p>
        </w:tc>
        <w:tc>
          <w:tcPr>
            <w:tcW w:w="476" w:type="pct"/>
            <w:tcBorders>
              <w:top w:val="single" w:sz="8" w:space="0" w:color="DC6900"/>
              <w:left w:val="single" w:sz="8" w:space="0" w:color="DC6900"/>
              <w:bottom w:val="single" w:sz="8" w:space="0" w:color="DC6900"/>
              <w:right w:val="single" w:sz="8" w:space="0" w:color="000000"/>
            </w:tcBorders>
            <w:shd w:val="clear" w:color="auto" w:fill="808080"/>
            <w:tcMar>
              <w:top w:w="72" w:type="dxa"/>
              <w:left w:w="144" w:type="dxa"/>
              <w:bottom w:w="72" w:type="dxa"/>
              <w:right w:w="144" w:type="dxa"/>
            </w:tcMar>
            <w:vAlign w:val="center"/>
          </w:tcPr>
          <w:p w:rsidR="00913429" w:rsidRDefault="00913429">
            <w:pPr>
              <w:spacing w:after="0" w:line="240" w:lineRule="auto"/>
              <w:rPr>
                <w:rFonts w:eastAsia="Times New Roman"/>
                <w:bCs/>
                <w:noProof/>
                <w:color w:val="000000"/>
                <w:sz w:val="18"/>
                <w:szCs w:val="18"/>
              </w:rPr>
            </w:pPr>
          </w:p>
        </w:tc>
        <w:tc>
          <w:tcPr>
            <w:tcW w:w="476" w:type="pct"/>
            <w:tcBorders>
              <w:top w:val="single" w:sz="8" w:space="0" w:color="DC6900"/>
              <w:left w:val="single" w:sz="8" w:space="0" w:color="000000"/>
              <w:bottom w:val="single" w:sz="8" w:space="0" w:color="DC6900"/>
              <w:right w:val="single" w:sz="8" w:space="0" w:color="DC6900"/>
            </w:tcBorders>
            <w:shd w:val="clear" w:color="auto" w:fill="808080"/>
            <w:tcMar>
              <w:top w:w="72" w:type="dxa"/>
              <w:left w:w="144" w:type="dxa"/>
              <w:bottom w:w="72" w:type="dxa"/>
              <w:right w:w="144" w:type="dxa"/>
            </w:tcMar>
            <w:vAlign w:val="center"/>
          </w:tcPr>
          <w:p w:rsidR="00913429" w:rsidRDefault="00913429">
            <w:pPr>
              <w:spacing w:after="0" w:line="240" w:lineRule="auto"/>
              <w:rPr>
                <w:rFonts w:eastAsia="Times New Roman"/>
                <w:bCs/>
                <w:noProof/>
                <w:color w:val="000000"/>
                <w:sz w:val="18"/>
                <w:szCs w:val="18"/>
              </w:rPr>
            </w:pPr>
          </w:p>
        </w:tc>
      </w:tr>
      <w:tr w:rsidR="00913429">
        <w:trPr>
          <w:trHeight w:val="340"/>
        </w:trPr>
        <w:tc>
          <w:tcPr>
            <w:tcW w:w="364" w:type="pct"/>
            <w:tcBorders>
              <w:top w:val="single" w:sz="8" w:space="0" w:color="DC6900"/>
              <w:left w:val="single" w:sz="8" w:space="0" w:color="DC6900"/>
              <w:bottom w:val="single" w:sz="8" w:space="0" w:color="DC6900"/>
              <w:right w:val="single" w:sz="8" w:space="0" w:color="DC6900"/>
            </w:tcBorders>
            <w:shd w:val="clear" w:color="auto" w:fill="FFFFFF"/>
            <w:tcMar>
              <w:top w:w="72" w:type="dxa"/>
              <w:left w:w="113" w:type="dxa"/>
              <w:bottom w:w="72" w:type="dxa"/>
              <w:right w:w="113" w:type="dxa"/>
            </w:tcMar>
            <w:vAlign w:val="center"/>
          </w:tcPr>
          <w:p w:rsidR="00913429" w:rsidRDefault="00E143F0">
            <w:pPr>
              <w:spacing w:after="0" w:line="240" w:lineRule="auto"/>
              <w:jc w:val="center"/>
              <w:rPr>
                <w:rFonts w:eastAsia="Times New Roman"/>
                <w:bCs/>
                <w:noProof/>
                <w:color w:val="000000"/>
                <w:sz w:val="12"/>
                <w:szCs w:val="18"/>
              </w:rPr>
            </w:pPr>
            <w:r>
              <w:rPr>
                <w:rFonts w:eastAsia="Times New Roman"/>
                <w:bCs/>
                <w:noProof/>
                <w:color w:val="000000"/>
                <w:sz w:val="12"/>
                <w:szCs w:val="18"/>
              </w:rPr>
              <w:t>0.3</w:t>
            </w:r>
          </w:p>
        </w:tc>
        <w:tc>
          <w:tcPr>
            <w:tcW w:w="1777" w:type="pct"/>
            <w:tcBorders>
              <w:top w:val="single" w:sz="8" w:space="0" w:color="DC6900"/>
              <w:left w:val="single" w:sz="8" w:space="0" w:color="DC6900"/>
              <w:bottom w:val="single" w:sz="8" w:space="0" w:color="DC6900"/>
              <w:right w:val="single" w:sz="8" w:space="0" w:color="DC6900"/>
            </w:tcBorders>
            <w:shd w:val="clear" w:color="auto" w:fill="FFFFFF"/>
            <w:tcMar>
              <w:top w:w="15" w:type="dxa"/>
              <w:left w:w="57" w:type="dxa"/>
              <w:bottom w:w="0" w:type="dxa"/>
              <w:right w:w="15" w:type="dxa"/>
            </w:tcMar>
            <w:vAlign w:val="center"/>
          </w:tcPr>
          <w:p w:rsidR="00913429" w:rsidRDefault="00E143F0">
            <w:pPr>
              <w:spacing w:after="0" w:line="240" w:lineRule="auto"/>
              <w:rPr>
                <w:rFonts w:eastAsia="Times New Roman"/>
                <w:bCs/>
                <w:noProof/>
                <w:color w:val="000000"/>
                <w:sz w:val="12"/>
                <w:szCs w:val="18"/>
              </w:rPr>
            </w:pPr>
            <w:r>
              <w:rPr>
                <w:rFonts w:eastAsia="Times New Roman"/>
                <w:bCs/>
                <w:noProof/>
                <w:color w:val="000000"/>
                <w:sz w:val="12"/>
                <w:szCs w:val="18"/>
              </w:rPr>
              <w:t>Regular reporting to the EC</w:t>
            </w:r>
          </w:p>
        </w:tc>
        <w:tc>
          <w:tcPr>
            <w:tcW w:w="476" w:type="pct"/>
            <w:tcBorders>
              <w:top w:val="single" w:sz="8" w:space="0" w:color="DC6900"/>
              <w:left w:val="single" w:sz="8" w:space="0" w:color="DC6900"/>
              <w:bottom w:val="single" w:sz="8" w:space="0" w:color="DC6900"/>
              <w:right w:val="single" w:sz="8" w:space="0" w:color="DC6900"/>
            </w:tcBorders>
            <w:shd w:val="clear" w:color="auto" w:fill="auto"/>
            <w:tcMar>
              <w:top w:w="72" w:type="dxa"/>
              <w:left w:w="144" w:type="dxa"/>
              <w:bottom w:w="72" w:type="dxa"/>
              <w:right w:w="144" w:type="dxa"/>
            </w:tcMar>
            <w:vAlign w:val="center"/>
          </w:tcPr>
          <w:p w:rsidR="00913429" w:rsidRDefault="00913429">
            <w:pPr>
              <w:spacing w:after="0" w:line="240" w:lineRule="auto"/>
              <w:rPr>
                <w:rFonts w:eastAsia="Times New Roman"/>
                <w:bCs/>
                <w:noProof/>
                <w:color w:val="000000"/>
                <w:sz w:val="18"/>
                <w:szCs w:val="18"/>
              </w:rPr>
            </w:pPr>
          </w:p>
        </w:tc>
        <w:tc>
          <w:tcPr>
            <w:tcW w:w="476" w:type="pct"/>
            <w:tcBorders>
              <w:top w:val="single" w:sz="8" w:space="0" w:color="DC6900"/>
              <w:left w:val="single" w:sz="8" w:space="0" w:color="DC6900"/>
              <w:bottom w:val="single" w:sz="8" w:space="0" w:color="DC6900"/>
              <w:right w:val="single" w:sz="8" w:space="0" w:color="DC6900"/>
            </w:tcBorders>
            <w:shd w:val="clear" w:color="auto" w:fill="FFF0CC"/>
            <w:vAlign w:val="center"/>
          </w:tcPr>
          <w:p w:rsidR="00913429" w:rsidRDefault="00913429">
            <w:pPr>
              <w:spacing w:after="0" w:line="240" w:lineRule="auto"/>
              <w:rPr>
                <w:rFonts w:eastAsia="Times New Roman"/>
                <w:bCs/>
                <w:noProof/>
                <w:color w:val="000000"/>
                <w:sz w:val="18"/>
                <w:szCs w:val="18"/>
              </w:rPr>
            </w:pPr>
          </w:p>
        </w:tc>
        <w:tc>
          <w:tcPr>
            <w:tcW w:w="476" w:type="pct"/>
            <w:tcBorders>
              <w:top w:val="single" w:sz="8" w:space="0" w:color="DC6900"/>
              <w:left w:val="single" w:sz="8" w:space="0" w:color="DC6900"/>
              <w:bottom w:val="single" w:sz="8" w:space="0" w:color="DC6900"/>
              <w:right w:val="single" w:sz="8" w:space="0" w:color="DC6900"/>
            </w:tcBorders>
            <w:shd w:val="clear" w:color="auto" w:fill="FFF0CC"/>
            <w:vAlign w:val="center"/>
          </w:tcPr>
          <w:p w:rsidR="00913429" w:rsidRDefault="00913429">
            <w:pPr>
              <w:spacing w:after="0" w:line="240" w:lineRule="auto"/>
              <w:rPr>
                <w:rFonts w:eastAsia="Times New Roman"/>
                <w:bCs/>
                <w:noProof/>
                <w:color w:val="000000"/>
                <w:sz w:val="18"/>
                <w:szCs w:val="18"/>
              </w:rPr>
            </w:pPr>
          </w:p>
        </w:tc>
        <w:tc>
          <w:tcPr>
            <w:tcW w:w="479" w:type="pct"/>
            <w:tcBorders>
              <w:top w:val="single" w:sz="8" w:space="0" w:color="DC6900"/>
              <w:left w:val="single" w:sz="8" w:space="0" w:color="DC6900"/>
              <w:bottom w:val="single" w:sz="8" w:space="0" w:color="DC6900"/>
              <w:right w:val="single" w:sz="8" w:space="0" w:color="DC6900"/>
            </w:tcBorders>
            <w:shd w:val="clear" w:color="auto" w:fill="auto"/>
            <w:vAlign w:val="center"/>
          </w:tcPr>
          <w:p w:rsidR="00913429" w:rsidRDefault="00913429">
            <w:pPr>
              <w:spacing w:after="0" w:line="240" w:lineRule="auto"/>
              <w:rPr>
                <w:rFonts w:eastAsia="Times New Roman"/>
                <w:bCs/>
                <w:noProof/>
                <w:color w:val="000000"/>
                <w:sz w:val="18"/>
                <w:szCs w:val="18"/>
              </w:rPr>
            </w:pPr>
          </w:p>
        </w:tc>
        <w:tc>
          <w:tcPr>
            <w:tcW w:w="476" w:type="pct"/>
            <w:tcBorders>
              <w:top w:val="single" w:sz="8" w:space="0" w:color="DC6900"/>
              <w:left w:val="single" w:sz="8" w:space="0" w:color="DC6900"/>
              <w:bottom w:val="single" w:sz="8" w:space="0" w:color="DC6900"/>
              <w:right w:val="single" w:sz="8" w:space="0" w:color="000000"/>
            </w:tcBorders>
            <w:shd w:val="clear" w:color="auto" w:fill="808080"/>
            <w:tcMar>
              <w:top w:w="72" w:type="dxa"/>
              <w:left w:w="144" w:type="dxa"/>
              <w:bottom w:w="72" w:type="dxa"/>
              <w:right w:w="144" w:type="dxa"/>
            </w:tcMar>
            <w:vAlign w:val="center"/>
          </w:tcPr>
          <w:p w:rsidR="00913429" w:rsidRDefault="00913429">
            <w:pPr>
              <w:spacing w:after="0" w:line="240" w:lineRule="auto"/>
              <w:rPr>
                <w:rFonts w:eastAsia="Times New Roman"/>
                <w:bCs/>
                <w:noProof/>
                <w:color w:val="000000"/>
                <w:sz w:val="18"/>
                <w:szCs w:val="18"/>
              </w:rPr>
            </w:pPr>
          </w:p>
        </w:tc>
        <w:tc>
          <w:tcPr>
            <w:tcW w:w="476" w:type="pct"/>
            <w:tcBorders>
              <w:top w:val="single" w:sz="8" w:space="0" w:color="DC6900"/>
              <w:left w:val="single" w:sz="8" w:space="0" w:color="000000"/>
              <w:bottom w:val="single" w:sz="8" w:space="0" w:color="DC6900"/>
              <w:right w:val="single" w:sz="8" w:space="0" w:color="DC6900"/>
            </w:tcBorders>
            <w:shd w:val="clear" w:color="auto" w:fill="808080"/>
            <w:tcMar>
              <w:top w:w="72" w:type="dxa"/>
              <w:left w:w="144" w:type="dxa"/>
              <w:bottom w:w="72" w:type="dxa"/>
              <w:right w:w="144" w:type="dxa"/>
            </w:tcMar>
            <w:vAlign w:val="center"/>
          </w:tcPr>
          <w:p w:rsidR="00913429" w:rsidRDefault="00913429">
            <w:pPr>
              <w:spacing w:after="0" w:line="240" w:lineRule="auto"/>
              <w:rPr>
                <w:rFonts w:eastAsia="Times New Roman"/>
                <w:bCs/>
                <w:noProof/>
                <w:color w:val="000000"/>
                <w:sz w:val="18"/>
                <w:szCs w:val="18"/>
              </w:rPr>
            </w:pPr>
          </w:p>
        </w:tc>
      </w:tr>
    </w:tbl>
    <w:p w:rsidR="00913429" w:rsidRDefault="00913429">
      <w:pPr>
        <w:rPr>
          <w:noProof/>
        </w:rPr>
      </w:pPr>
    </w:p>
    <w:p w:rsidR="00913429" w:rsidRDefault="00E143F0">
      <w:pPr>
        <w:rPr>
          <w:bCs/>
          <w:i/>
          <w:iCs/>
          <w:noProof/>
          <w:color w:val="DC6900"/>
          <w:sz w:val="24"/>
        </w:rPr>
      </w:pPr>
      <w:bookmarkStart w:id="54" w:name="_Toc348910897"/>
      <w:bookmarkStart w:id="55" w:name="_Toc349142327"/>
      <w:bookmarkStart w:id="56" w:name="_Toc349505233"/>
      <w:bookmarkStart w:id="57" w:name="_Toc349635607"/>
      <w:r>
        <w:rPr>
          <w:bCs/>
          <w:i/>
          <w:iCs/>
          <w:noProof/>
          <w:color w:val="DC6900"/>
          <w:sz w:val="24"/>
        </w:rPr>
        <w:t xml:space="preserve">Sub-Task 0.1: </w:t>
      </w:r>
      <w:bookmarkEnd w:id="54"/>
      <w:bookmarkEnd w:id="55"/>
      <w:bookmarkEnd w:id="56"/>
      <w:bookmarkEnd w:id="57"/>
      <w:r>
        <w:rPr>
          <w:bCs/>
          <w:i/>
          <w:iCs/>
          <w:noProof/>
          <w:color w:val="DC6900"/>
          <w:sz w:val="24"/>
        </w:rPr>
        <w:t>Organisation and management of project meetings</w:t>
      </w:r>
    </w:p>
    <w:p w:rsidR="00913429" w:rsidRDefault="00E143F0">
      <w:pPr>
        <w:spacing w:before="60" w:after="60" w:line="276" w:lineRule="auto"/>
        <w:jc w:val="both"/>
        <w:rPr>
          <w:noProof/>
        </w:rPr>
      </w:pPr>
      <w:r>
        <w:rPr>
          <w:noProof/>
        </w:rPr>
        <w:t xml:space="preserve">The kick-off </w:t>
      </w:r>
      <w:r>
        <w:rPr>
          <w:noProof/>
        </w:rPr>
        <w:t>meeting took place in Brussels on the 17</w:t>
      </w:r>
      <w:r>
        <w:rPr>
          <w:noProof/>
          <w:vertAlign w:val="superscript"/>
        </w:rPr>
        <w:t>th</w:t>
      </w:r>
      <w:r>
        <w:rPr>
          <w:noProof/>
        </w:rPr>
        <w:t xml:space="preserve"> of May 2017. Furthermore, in order to ensure frequent communication with EC Team throughout the entire project, conference calls have been scheduled during the first weeks with EC Project Manager in order to discu</w:t>
      </w:r>
      <w:r>
        <w:rPr>
          <w:noProof/>
        </w:rPr>
        <w:t>ss project activities, progress on deliverables and any other key issues.</w:t>
      </w:r>
    </w:p>
    <w:p w:rsidR="00913429" w:rsidRDefault="00E143F0">
      <w:pPr>
        <w:spacing w:before="60" w:after="120" w:line="276" w:lineRule="auto"/>
        <w:jc w:val="both"/>
        <w:rPr>
          <w:noProof/>
        </w:rPr>
      </w:pPr>
      <w:r>
        <w:rPr>
          <w:noProof/>
        </w:rPr>
        <w:t>The main project Reports already presented, include the Inception report (D1), delivered at the beginning of engagement activities (on the 19</w:t>
      </w:r>
      <w:r>
        <w:rPr>
          <w:noProof/>
          <w:vertAlign w:val="superscript"/>
        </w:rPr>
        <w:t>th</w:t>
      </w:r>
      <w:r>
        <w:rPr>
          <w:noProof/>
        </w:rPr>
        <w:t xml:space="preserve"> of May).</w:t>
      </w:r>
    </w:p>
    <w:p w:rsidR="00913429" w:rsidRDefault="00E143F0">
      <w:pPr>
        <w:rPr>
          <w:bCs/>
          <w:i/>
          <w:iCs/>
          <w:noProof/>
          <w:color w:val="DC6900"/>
          <w:sz w:val="24"/>
        </w:rPr>
      </w:pPr>
      <w:bookmarkStart w:id="58" w:name="_Toc348910898"/>
      <w:bookmarkStart w:id="59" w:name="_Toc349142328"/>
      <w:bookmarkStart w:id="60" w:name="_Toc349505234"/>
      <w:bookmarkStart w:id="61" w:name="_Toc349635608"/>
      <w:r>
        <w:rPr>
          <w:bCs/>
          <w:i/>
          <w:iCs/>
          <w:noProof/>
          <w:color w:val="DC6900"/>
          <w:sz w:val="24"/>
        </w:rPr>
        <w:t xml:space="preserve">Sub-Task 0.2: </w:t>
      </w:r>
      <w:bookmarkEnd w:id="58"/>
      <w:bookmarkEnd w:id="59"/>
      <w:bookmarkEnd w:id="60"/>
      <w:bookmarkEnd w:id="61"/>
      <w:r>
        <w:rPr>
          <w:bCs/>
          <w:i/>
          <w:iCs/>
          <w:noProof/>
          <w:color w:val="DC6900"/>
          <w:sz w:val="24"/>
        </w:rPr>
        <w:t xml:space="preserve">Submission of </w:t>
      </w:r>
      <w:r>
        <w:rPr>
          <w:bCs/>
          <w:i/>
          <w:iCs/>
          <w:noProof/>
          <w:color w:val="DC6900"/>
          <w:sz w:val="24"/>
        </w:rPr>
        <w:t>deliverables and quality control</w:t>
      </w:r>
    </w:p>
    <w:p w:rsidR="00913429" w:rsidRDefault="00E143F0">
      <w:pPr>
        <w:jc w:val="both"/>
        <w:rPr>
          <w:noProof/>
        </w:rPr>
      </w:pPr>
      <w:r>
        <w:rPr>
          <w:noProof/>
        </w:rPr>
        <w:t>All deliverables are going through a rigorous quality review process covering both scientific excellence and standard of English. Feedback received during Project Meetings has been and will be considered and the reports dul</w:t>
      </w:r>
      <w:r>
        <w:rPr>
          <w:noProof/>
        </w:rPr>
        <w:t xml:space="preserve">y amended.  </w:t>
      </w:r>
    </w:p>
    <w:p w:rsidR="00913429" w:rsidRDefault="00E143F0">
      <w:pPr>
        <w:rPr>
          <w:bCs/>
          <w:i/>
          <w:iCs/>
          <w:noProof/>
          <w:color w:val="DC6900"/>
          <w:sz w:val="24"/>
        </w:rPr>
      </w:pPr>
      <w:r>
        <w:rPr>
          <w:bCs/>
          <w:i/>
          <w:iCs/>
          <w:noProof/>
          <w:color w:val="DC6900"/>
          <w:sz w:val="24"/>
        </w:rPr>
        <w:t>Sub-Task 0.3: Regular reporting to the EC</w:t>
      </w:r>
    </w:p>
    <w:p w:rsidR="00913429" w:rsidRDefault="00E143F0">
      <w:pPr>
        <w:jc w:val="both"/>
        <w:rPr>
          <w:noProof/>
        </w:rPr>
      </w:pPr>
      <w:r>
        <w:rPr>
          <w:noProof/>
        </w:rPr>
        <w:t>The Team Manager will lead regular reporting on behalf of the entire team to the Commission, primarily through day-to-day email exchange as well as regular project status report via conference calls.</w:t>
      </w:r>
    </w:p>
    <w:p w:rsidR="00913429" w:rsidRDefault="00E143F0">
      <w:pPr>
        <w:spacing w:line="276" w:lineRule="auto"/>
        <w:jc w:val="both"/>
        <w:rPr>
          <w:bCs/>
          <w:i/>
          <w:iCs/>
          <w:noProof/>
          <w:color w:val="DC6900"/>
          <w:sz w:val="24"/>
        </w:rPr>
      </w:pPr>
      <w:r>
        <w:rPr>
          <w:bCs/>
          <w:i/>
          <w:iCs/>
          <w:noProof/>
          <w:color w:val="DC6900"/>
          <w:sz w:val="24"/>
        </w:rPr>
        <w:t>M</w:t>
      </w:r>
      <w:r>
        <w:rPr>
          <w:bCs/>
          <w:i/>
          <w:iCs/>
          <w:noProof/>
          <w:color w:val="DC6900"/>
          <w:sz w:val="24"/>
        </w:rPr>
        <w:t>eetings and Reports</w:t>
      </w:r>
    </w:p>
    <w:p w:rsidR="00913429" w:rsidRDefault="00E143F0">
      <w:pPr>
        <w:spacing w:line="276" w:lineRule="auto"/>
        <w:jc w:val="both"/>
        <w:rPr>
          <w:bCs/>
          <w:iCs/>
          <w:noProof/>
        </w:rPr>
      </w:pPr>
      <w:r>
        <w:rPr>
          <w:bCs/>
          <w:iCs/>
          <w:noProof/>
        </w:rPr>
        <w:t>A number of meetings are foreseen to ensure discussions on the most important project issues. Meetings will be relevant to each deliverable.</w:t>
      </w:r>
    </w:p>
    <w:p w:rsidR="00913429" w:rsidRDefault="00E143F0">
      <w:pPr>
        <w:spacing w:line="276" w:lineRule="auto"/>
        <w:jc w:val="both"/>
        <w:rPr>
          <w:noProof/>
          <w:szCs w:val="22"/>
        </w:rPr>
      </w:pPr>
      <w:r>
        <w:rPr>
          <w:noProof/>
        </w:rPr>
        <w:t>The main project Reports already presented, include the Inception report (D1), delivered at the</w:t>
      </w:r>
      <w:r>
        <w:rPr>
          <w:noProof/>
        </w:rPr>
        <w:t xml:space="preserve"> beginning of engagement activities and the First Interim Report (D2), the Second Interim Report (D3) and the present and Final Report. The final study report summarizes how activities were undertaken and the extent to which they coincided with tasks as pl</w:t>
      </w:r>
      <w:r>
        <w:rPr>
          <w:noProof/>
        </w:rPr>
        <w:t>anned. Key issues and how they were met will be included. The Final study report will show key conclusions and all information gathered so far.</w:t>
      </w:r>
    </w:p>
    <w:p w:rsidR="00913429" w:rsidRDefault="00E143F0">
      <w:pPr>
        <w:spacing w:after="0" w:line="240" w:lineRule="auto"/>
        <w:rPr>
          <w:rFonts w:eastAsia="Times New Roman"/>
          <w:noProof/>
        </w:rPr>
      </w:pPr>
      <w:r>
        <w:rPr>
          <w:rFonts w:eastAsia="Times New Roman"/>
          <w:noProof/>
        </w:rPr>
        <w:br w:type="page"/>
      </w:r>
    </w:p>
    <w:p w:rsidR="00913429" w:rsidRDefault="00E143F0">
      <w:pPr>
        <w:pStyle w:val="Heading1"/>
        <w:numPr>
          <w:ilvl w:val="0"/>
          <w:numId w:val="74"/>
        </w:numPr>
        <w:spacing w:after="360"/>
        <w:rPr>
          <w:noProof/>
        </w:rPr>
      </w:pPr>
      <w:bookmarkStart w:id="62" w:name="_Toc492396557"/>
      <w:bookmarkEnd w:id="3"/>
      <w:r>
        <w:rPr>
          <w:noProof/>
        </w:rPr>
        <w:t>Annex</w:t>
      </w:r>
      <w:bookmarkEnd w:id="62"/>
    </w:p>
    <w:p w:rsidR="00913429" w:rsidRDefault="00E143F0">
      <w:pPr>
        <w:keepNext/>
        <w:keepLines/>
        <w:tabs>
          <w:tab w:val="left" w:pos="993"/>
        </w:tabs>
        <w:spacing w:after="120"/>
        <w:ind w:left="360" w:right="-23"/>
        <w:outlineLvl w:val="1"/>
        <w:rPr>
          <w:rFonts w:eastAsia="SimHei"/>
          <w:b/>
          <w:bCs/>
          <w:i/>
          <w:noProof/>
          <w:color w:val="DC6900"/>
          <w:sz w:val="32"/>
          <w:szCs w:val="26"/>
        </w:rPr>
      </w:pPr>
      <w:bookmarkStart w:id="63" w:name="_Toc492396558"/>
      <w:r>
        <w:rPr>
          <w:rFonts w:eastAsia="SimHei"/>
          <w:b/>
          <w:bCs/>
          <w:i/>
          <w:noProof/>
          <w:color w:val="DC6900"/>
          <w:sz w:val="32"/>
          <w:szCs w:val="26"/>
        </w:rPr>
        <w:t>7.1 Minutes of the interviews</w:t>
      </w:r>
      <w:bookmarkEnd w:id="63"/>
    </w:p>
    <w:p w:rsidR="00913429" w:rsidRDefault="00913429">
      <w:pPr>
        <w:jc w:val="both"/>
        <w:rPr>
          <w:rFonts w:eastAsia="Times New Roman" w:cs="Tahoma"/>
          <w:b/>
          <w:noProof/>
          <w:color w:val="000000" w:themeColor="text1"/>
          <w:sz w:val="28"/>
          <w:szCs w:val="26"/>
          <w:lang w:eastAsia="it-IT"/>
        </w:rPr>
      </w:pPr>
    </w:p>
    <w:p w:rsidR="00913429" w:rsidRDefault="00E143F0">
      <w:pPr>
        <w:jc w:val="right"/>
        <w:rPr>
          <w:rFonts w:eastAsia="Times New Roman" w:cs="Tahoma"/>
          <w:b/>
          <w:i/>
          <w:noProof/>
          <w:color w:val="000000" w:themeColor="text1"/>
          <w:sz w:val="28"/>
          <w:szCs w:val="26"/>
          <w:lang w:eastAsia="it-IT"/>
        </w:rPr>
      </w:pPr>
      <w:r>
        <w:rPr>
          <w:rFonts w:eastAsia="Times New Roman" w:cs="Tahoma"/>
          <w:b/>
          <w:i/>
          <w:noProof/>
          <w:color w:val="000000" w:themeColor="text1"/>
          <w:sz w:val="28"/>
          <w:szCs w:val="26"/>
          <w:lang w:eastAsia="it-IT"/>
        </w:rPr>
        <w:t>June 7, 2017</w:t>
      </w:r>
    </w:p>
    <w:p w:rsidR="00913429" w:rsidRDefault="00E143F0">
      <w:pPr>
        <w:pStyle w:val="Heading4"/>
        <w:spacing w:after="240"/>
        <w:rPr>
          <w:noProof/>
        </w:rPr>
      </w:pPr>
      <w:r>
        <w:rPr>
          <w:noProof/>
        </w:rPr>
        <w:t xml:space="preserve">Interviews results from representative of a National ICT </w:t>
      </w:r>
      <w:r>
        <w:rPr>
          <w:noProof/>
        </w:rPr>
        <w:t>Certification Authority</w:t>
      </w:r>
    </w:p>
    <w:p w:rsidR="00913429" w:rsidRDefault="00E143F0">
      <w:pPr>
        <w:pStyle w:val="ListParagraph"/>
        <w:numPr>
          <w:ilvl w:val="0"/>
          <w:numId w:val="75"/>
        </w:numPr>
        <w:spacing w:before="0" w:after="160" w:line="259" w:lineRule="auto"/>
        <w:jc w:val="both"/>
        <w:rPr>
          <w:b/>
          <w:noProof/>
          <w:color w:val="000000" w:themeColor="text1"/>
          <w:sz w:val="22"/>
          <w:szCs w:val="22"/>
          <w:lang w:val="en-GB"/>
        </w:rPr>
      </w:pPr>
      <w:r>
        <w:rPr>
          <w:b/>
          <w:noProof/>
          <w:color w:val="000000" w:themeColor="text1"/>
          <w:sz w:val="22"/>
          <w:szCs w:val="22"/>
          <w:lang w:val="en-GB"/>
        </w:rPr>
        <w:t xml:space="preserve">Do you know EU cases where an ICT product/service is requested or recommended to be equipped with a given security certificate in order to enter the market of a given MS? </w:t>
      </w:r>
    </w:p>
    <w:p w:rsidR="00913429" w:rsidRDefault="00E143F0">
      <w:pPr>
        <w:ind w:left="357"/>
        <w:jc w:val="both"/>
        <w:rPr>
          <w:noProof/>
          <w:color w:val="000000" w:themeColor="text1"/>
        </w:rPr>
      </w:pPr>
      <w:r>
        <w:rPr>
          <w:noProof/>
          <w:color w:val="000000" w:themeColor="text1"/>
        </w:rPr>
        <w:t xml:space="preserve">In all EU MSs, a security certification is requested in the </w:t>
      </w:r>
      <w:r>
        <w:rPr>
          <w:noProof/>
          <w:color w:val="000000" w:themeColor="text1"/>
        </w:rPr>
        <w:t>digital signature context, namely for secure signature/seal devices as defined in EIDAS regulation</w:t>
      </w:r>
      <w:r>
        <w:rPr>
          <w:rStyle w:val="FootnoteReference"/>
          <w:noProof/>
          <w:color w:val="000000" w:themeColor="text1"/>
        </w:rPr>
        <w:footnoteReference w:id="6"/>
      </w:r>
      <w:r>
        <w:rPr>
          <w:noProof/>
          <w:color w:val="000000" w:themeColor="text1"/>
        </w:rPr>
        <w:t>. As specified in EIDAS secondary legislation</w:t>
      </w:r>
      <w:r>
        <w:rPr>
          <w:rStyle w:val="FootnoteReference"/>
          <w:noProof/>
          <w:color w:val="000000" w:themeColor="text1"/>
        </w:rPr>
        <w:footnoteReference w:id="7"/>
      </w:r>
      <w:r>
        <w:rPr>
          <w:noProof/>
          <w:color w:val="000000" w:themeColor="text1"/>
        </w:rPr>
        <w:t>, this is a security certification according to "Common Criteria EAL 4+” with given Protection Profiles. The co</w:t>
      </w:r>
      <w:r>
        <w:rPr>
          <w:noProof/>
          <w:color w:val="000000" w:themeColor="text1"/>
        </w:rPr>
        <w:t>rresponding duration and cost are in the order of 18 months and 100K euros. Notice that, in Italy, a procedure has been established to cover cases where the Protection Profiles mentioned before cannot be used. The Italian procedure is still based on Common</w:t>
      </w:r>
      <w:r>
        <w:rPr>
          <w:noProof/>
          <w:color w:val="000000" w:themeColor="text1"/>
        </w:rPr>
        <w:t xml:space="preserve"> Criteria EAL4+ as well.</w:t>
      </w:r>
    </w:p>
    <w:p w:rsidR="00913429" w:rsidRDefault="00913429">
      <w:pPr>
        <w:pStyle w:val="ListParagraph"/>
        <w:ind w:left="0"/>
        <w:rPr>
          <w:noProof/>
          <w:color w:val="000000" w:themeColor="text1"/>
          <w:sz w:val="22"/>
          <w:szCs w:val="22"/>
          <w:lang w:val="en-GB"/>
        </w:rPr>
      </w:pPr>
    </w:p>
    <w:p w:rsidR="00913429" w:rsidRDefault="00E143F0">
      <w:pPr>
        <w:pStyle w:val="ListParagraph"/>
        <w:numPr>
          <w:ilvl w:val="0"/>
          <w:numId w:val="82"/>
        </w:numPr>
        <w:spacing w:before="0" w:after="160" w:line="259" w:lineRule="auto"/>
        <w:ind w:left="360"/>
        <w:jc w:val="both"/>
        <w:rPr>
          <w:b/>
          <w:noProof/>
          <w:color w:val="000000" w:themeColor="text1"/>
          <w:sz w:val="22"/>
          <w:szCs w:val="22"/>
          <w:lang w:val="en-GB"/>
        </w:rPr>
      </w:pPr>
      <w:r>
        <w:rPr>
          <w:b/>
          <w:noProof/>
          <w:color w:val="000000" w:themeColor="text1"/>
          <w:sz w:val="22"/>
          <w:szCs w:val="22"/>
          <w:lang w:val="en-GB"/>
        </w:rPr>
        <w:t xml:space="preserve">Do you know cases in the EU, where national approaches for the security certification of any ICT products/services have been/are being established? </w:t>
      </w:r>
    </w:p>
    <w:p w:rsidR="00913429" w:rsidRDefault="00E143F0">
      <w:pPr>
        <w:ind w:left="357"/>
        <w:jc w:val="both"/>
        <w:rPr>
          <w:noProof/>
          <w:color w:val="000000" w:themeColor="text1"/>
        </w:rPr>
      </w:pPr>
      <w:r>
        <w:rPr>
          <w:noProof/>
          <w:color w:val="000000" w:themeColor="text1"/>
        </w:rPr>
        <w:t>Yes. In Italy, based on the national decree DPCM 17 February 2017</w:t>
      </w:r>
      <w:r>
        <w:rPr>
          <w:rStyle w:val="FootnoteReference"/>
          <w:noProof/>
          <w:color w:val="000000" w:themeColor="text1"/>
        </w:rPr>
        <w:footnoteReference w:id="8"/>
      </w:r>
      <w:r>
        <w:rPr>
          <w:noProof/>
          <w:color w:val="000000" w:themeColor="text1"/>
        </w:rPr>
        <w:t xml:space="preserve">, it should be </w:t>
      </w:r>
      <w:r>
        <w:rPr>
          <w:noProof/>
          <w:color w:val="000000" w:themeColor="text1"/>
        </w:rPr>
        <w:t>established a National evaluation and certification centre for verifying security and non-vulnerability conditions for products, devices and systems for networks, services and critical infrastructures.</w:t>
      </w:r>
    </w:p>
    <w:p w:rsidR="00913429" w:rsidRDefault="00913429">
      <w:pPr>
        <w:pStyle w:val="ListParagraph"/>
        <w:ind w:left="0"/>
        <w:jc w:val="both"/>
        <w:rPr>
          <w:b/>
          <w:noProof/>
          <w:color w:val="000000" w:themeColor="text1"/>
          <w:sz w:val="22"/>
          <w:szCs w:val="22"/>
          <w:lang w:val="en-GB"/>
        </w:rPr>
      </w:pPr>
    </w:p>
    <w:p w:rsidR="00913429" w:rsidRDefault="00E143F0">
      <w:pPr>
        <w:pStyle w:val="ListParagraph"/>
        <w:numPr>
          <w:ilvl w:val="0"/>
          <w:numId w:val="83"/>
        </w:numPr>
        <w:spacing w:before="0" w:after="160" w:line="259" w:lineRule="auto"/>
        <w:ind w:left="360"/>
        <w:jc w:val="both"/>
        <w:rPr>
          <w:b/>
          <w:noProof/>
          <w:color w:val="000000" w:themeColor="text1"/>
          <w:sz w:val="22"/>
          <w:szCs w:val="22"/>
          <w:lang w:val="en-GB"/>
        </w:rPr>
      </w:pPr>
      <w:r>
        <w:rPr>
          <w:b/>
          <w:noProof/>
          <w:color w:val="000000" w:themeColor="text1"/>
          <w:sz w:val="22"/>
          <w:szCs w:val="22"/>
          <w:lang w:val="en-GB"/>
        </w:rPr>
        <w:t>Do you know EU cases, where a customer is not provide</w:t>
      </w:r>
      <w:r>
        <w:rPr>
          <w:b/>
          <w:noProof/>
          <w:color w:val="000000" w:themeColor="text1"/>
          <w:sz w:val="22"/>
          <w:szCs w:val="22"/>
          <w:lang w:val="en-GB"/>
        </w:rPr>
        <w:t xml:space="preserve">d with enough/reliable information about the security properties of any ICT products/services? </w:t>
      </w:r>
    </w:p>
    <w:p w:rsidR="00913429" w:rsidRDefault="00E143F0">
      <w:pPr>
        <w:ind w:left="360"/>
        <w:jc w:val="both"/>
        <w:rPr>
          <w:noProof/>
          <w:color w:val="000000" w:themeColor="text1"/>
        </w:rPr>
      </w:pPr>
      <w:r>
        <w:rPr>
          <w:noProof/>
          <w:color w:val="000000" w:themeColor="text1"/>
        </w:rPr>
        <w:t>Yes. The provided information is usually not reliable enough. Notice that, to improve the situation, a security certification is a necessary but not a sufficien</w:t>
      </w:r>
      <w:r>
        <w:rPr>
          <w:noProof/>
          <w:color w:val="000000" w:themeColor="text1"/>
        </w:rPr>
        <w:t>t condition. A significant solution would be to have a security certification against security requirements established by super partes bodies and possibly recommended by statutory authorities.</w:t>
      </w:r>
    </w:p>
    <w:p w:rsidR="00913429" w:rsidRDefault="00913429">
      <w:pPr>
        <w:pStyle w:val="ListParagraph"/>
        <w:ind w:left="0"/>
        <w:jc w:val="both"/>
        <w:rPr>
          <w:b/>
          <w:noProof/>
          <w:color w:val="000000" w:themeColor="text1"/>
          <w:sz w:val="22"/>
          <w:szCs w:val="22"/>
          <w:lang w:val="en-GB"/>
        </w:rPr>
      </w:pPr>
    </w:p>
    <w:p w:rsidR="00913429" w:rsidRDefault="00913429">
      <w:pPr>
        <w:pStyle w:val="ListParagraph"/>
        <w:ind w:left="0"/>
        <w:jc w:val="both"/>
        <w:rPr>
          <w:b/>
          <w:noProof/>
          <w:color w:val="000000" w:themeColor="text1"/>
          <w:sz w:val="22"/>
          <w:szCs w:val="22"/>
          <w:lang w:val="en-GB"/>
        </w:rPr>
      </w:pPr>
    </w:p>
    <w:p w:rsidR="00913429" w:rsidRDefault="00E143F0">
      <w:pPr>
        <w:pStyle w:val="ListParagraph"/>
        <w:numPr>
          <w:ilvl w:val="0"/>
          <w:numId w:val="83"/>
        </w:numPr>
        <w:spacing w:before="0" w:after="160" w:line="259" w:lineRule="auto"/>
        <w:ind w:left="360"/>
        <w:jc w:val="both"/>
        <w:rPr>
          <w:b/>
          <w:noProof/>
          <w:color w:val="000000" w:themeColor="text1"/>
          <w:sz w:val="22"/>
          <w:szCs w:val="22"/>
          <w:lang w:val="en-GB"/>
        </w:rPr>
      </w:pPr>
      <w:r>
        <w:rPr>
          <w:b/>
          <w:noProof/>
          <w:color w:val="000000" w:themeColor="text1"/>
          <w:sz w:val="22"/>
          <w:szCs w:val="22"/>
          <w:lang w:val="en-GB"/>
        </w:rPr>
        <w:t>Do you think a mutual recognition agreement of certification</w:t>
      </w:r>
      <w:r>
        <w:rPr>
          <w:b/>
          <w:noProof/>
          <w:color w:val="000000" w:themeColor="text1"/>
          <w:sz w:val="22"/>
          <w:szCs w:val="22"/>
          <w:lang w:val="en-GB"/>
        </w:rPr>
        <w:t xml:space="preserve"> schemes existing in different countries may have a positive impact on industry costs?</w:t>
      </w:r>
    </w:p>
    <w:p w:rsidR="00913429" w:rsidRDefault="00E143F0">
      <w:pPr>
        <w:ind w:left="360"/>
        <w:jc w:val="both"/>
        <w:rPr>
          <w:noProof/>
          <w:color w:val="000000" w:themeColor="text1"/>
        </w:rPr>
      </w:pPr>
      <w:r>
        <w:rPr>
          <w:noProof/>
          <w:color w:val="000000" w:themeColor="text1"/>
        </w:rPr>
        <w:t>Yes. Clearly, a recognition agreement would eliminate the need and cost of re-certification in the domain covered by the agreement.</w:t>
      </w:r>
    </w:p>
    <w:p w:rsidR="00913429" w:rsidRDefault="00E143F0">
      <w:pPr>
        <w:numPr>
          <w:ilvl w:val="0"/>
          <w:numId w:val="83"/>
        </w:numPr>
        <w:spacing w:after="120" w:line="259" w:lineRule="auto"/>
        <w:ind w:left="360"/>
        <w:jc w:val="both"/>
        <w:rPr>
          <w:b/>
          <w:noProof/>
          <w:color w:val="000000" w:themeColor="text1"/>
        </w:rPr>
      </w:pPr>
      <w:r>
        <w:rPr>
          <w:b/>
          <w:noProof/>
          <w:color w:val="000000" w:themeColor="text1"/>
        </w:rPr>
        <w:t>In the context of the possible creati</w:t>
      </w:r>
      <w:r>
        <w:rPr>
          <w:b/>
          <w:noProof/>
          <w:color w:val="000000" w:themeColor="text1"/>
        </w:rPr>
        <w:t>on of a European ICT security certification Framework, building on existing ICT certification mechanism, such as SOG-IS MRA, what do you think are the estimation of costs needed to run a European Certification Board?</w:t>
      </w:r>
    </w:p>
    <w:p w:rsidR="00913429" w:rsidRDefault="00E143F0">
      <w:pPr>
        <w:ind w:left="360"/>
        <w:jc w:val="both"/>
        <w:rPr>
          <w:noProof/>
          <w:color w:val="000000" w:themeColor="text1"/>
        </w:rPr>
      </w:pPr>
      <w:r>
        <w:rPr>
          <w:noProof/>
          <w:color w:val="000000" w:themeColor="text1"/>
        </w:rPr>
        <w:t>I expect not negligible costs. At least</w:t>
      </w:r>
      <w:r>
        <w:rPr>
          <w:noProof/>
          <w:color w:val="000000" w:themeColor="text1"/>
        </w:rPr>
        <w:t>, the following costs should be considered: costs to produce/maintain the relevant competencies in the Framework (e.g., security specification, evaluation, certification), costs to call/launch ad hoc projects on relevant security requirements and correspon</w:t>
      </w:r>
      <w:r>
        <w:rPr>
          <w:noProof/>
          <w:color w:val="000000" w:themeColor="text1"/>
        </w:rPr>
        <w:t>ding security certification requirements, and costs for logistics.</w:t>
      </w:r>
    </w:p>
    <w:p w:rsidR="00913429" w:rsidRDefault="00E143F0">
      <w:pPr>
        <w:spacing w:after="0" w:line="240" w:lineRule="auto"/>
        <w:rPr>
          <w:noProof/>
          <w:color w:val="000000" w:themeColor="text1"/>
        </w:rPr>
      </w:pPr>
      <w:r>
        <w:rPr>
          <w:noProof/>
          <w:color w:val="000000" w:themeColor="text1"/>
        </w:rPr>
        <w:br w:type="page"/>
      </w:r>
    </w:p>
    <w:p w:rsidR="00913429" w:rsidRDefault="00E143F0">
      <w:pPr>
        <w:jc w:val="right"/>
        <w:rPr>
          <w:rFonts w:eastAsia="Times New Roman" w:cs="Tahoma"/>
          <w:b/>
          <w:i/>
          <w:noProof/>
          <w:color w:val="000000" w:themeColor="text1"/>
          <w:sz w:val="28"/>
          <w:szCs w:val="26"/>
          <w:lang w:eastAsia="it-IT"/>
        </w:rPr>
      </w:pPr>
      <w:r>
        <w:rPr>
          <w:rFonts w:eastAsia="Times New Roman" w:cs="Tahoma"/>
          <w:b/>
          <w:i/>
          <w:noProof/>
          <w:color w:val="000000" w:themeColor="text1"/>
          <w:sz w:val="28"/>
          <w:szCs w:val="26"/>
          <w:lang w:eastAsia="it-IT"/>
        </w:rPr>
        <w:t>June 7, 2017</w:t>
      </w:r>
    </w:p>
    <w:p w:rsidR="00913429" w:rsidRDefault="00E143F0">
      <w:pPr>
        <w:pStyle w:val="Heading4"/>
        <w:rPr>
          <w:noProof/>
        </w:rPr>
      </w:pPr>
      <w:r>
        <w:rPr>
          <w:noProof/>
        </w:rPr>
        <w:t>Interviews results from representative of a National ICT Certification Authority</w:t>
      </w:r>
    </w:p>
    <w:p w:rsidR="00913429" w:rsidRDefault="00913429">
      <w:pPr>
        <w:rPr>
          <w:noProof/>
          <w:color w:val="000000" w:themeColor="text1"/>
        </w:rPr>
      </w:pPr>
    </w:p>
    <w:p w:rsidR="00913429" w:rsidRDefault="00E143F0">
      <w:pPr>
        <w:pStyle w:val="ListParagraph"/>
        <w:numPr>
          <w:ilvl w:val="0"/>
          <w:numId w:val="84"/>
        </w:numPr>
        <w:spacing w:before="0" w:after="160" w:line="259" w:lineRule="auto"/>
        <w:jc w:val="both"/>
        <w:rPr>
          <w:b/>
          <w:noProof/>
          <w:color w:val="000000" w:themeColor="text1"/>
          <w:sz w:val="22"/>
          <w:szCs w:val="22"/>
          <w:lang w:val="en-GB"/>
        </w:rPr>
      </w:pPr>
      <w:r>
        <w:rPr>
          <w:b/>
          <w:noProof/>
          <w:color w:val="000000" w:themeColor="text1"/>
          <w:sz w:val="22"/>
          <w:szCs w:val="22"/>
          <w:lang w:val="en-GB"/>
        </w:rPr>
        <w:t>Do you know EU cases where an ICT product/service is requested or recommended to be equipped</w:t>
      </w:r>
      <w:r>
        <w:rPr>
          <w:b/>
          <w:noProof/>
          <w:color w:val="000000" w:themeColor="text1"/>
          <w:sz w:val="22"/>
          <w:szCs w:val="22"/>
          <w:lang w:val="en-GB"/>
        </w:rPr>
        <w:t xml:space="preserve"> with a given security certificate in order to enter the market of a given MS? </w:t>
      </w:r>
    </w:p>
    <w:p w:rsidR="00913429" w:rsidRDefault="00E143F0">
      <w:pPr>
        <w:ind w:left="360"/>
        <w:jc w:val="both"/>
        <w:rPr>
          <w:noProof/>
          <w:color w:val="000000" w:themeColor="text1"/>
        </w:rPr>
      </w:pPr>
      <w:r>
        <w:rPr>
          <w:noProof/>
          <w:color w:val="000000" w:themeColor="text1"/>
        </w:rPr>
        <w:t>Yes. In Italy, a security certification is requested for secure signature/seal devices. In fact, due to EIDAS</w:t>
      </w:r>
      <w:r>
        <w:rPr>
          <w:rStyle w:val="FootnoteReference"/>
          <w:noProof/>
          <w:color w:val="000000" w:themeColor="text1"/>
        </w:rPr>
        <w:footnoteReference w:id="9"/>
      </w:r>
      <w:r>
        <w:rPr>
          <w:noProof/>
          <w:color w:val="000000" w:themeColor="text1"/>
        </w:rPr>
        <w:t xml:space="preserve">, this applies to all EU countries. As specified in rules for </w:t>
      </w:r>
      <w:r>
        <w:rPr>
          <w:noProof/>
          <w:color w:val="000000" w:themeColor="text1"/>
        </w:rPr>
        <w:t>EIDAS implementation</w:t>
      </w:r>
      <w:r>
        <w:rPr>
          <w:rStyle w:val="FootnoteReference"/>
          <w:noProof/>
          <w:color w:val="000000" w:themeColor="text1"/>
        </w:rPr>
        <w:footnoteReference w:id="10"/>
      </w:r>
      <w:r>
        <w:rPr>
          <w:noProof/>
          <w:color w:val="000000" w:themeColor="text1"/>
        </w:rPr>
        <w:t>, the security certification has to be executed according to “Common Criteria EAL 4+” with given Protection Profiles. Duration and cost can be estimated in about 12 months and in the range of 50K-100K euros.</w:t>
      </w:r>
    </w:p>
    <w:p w:rsidR="00913429" w:rsidRDefault="00E143F0">
      <w:pPr>
        <w:ind w:left="360"/>
        <w:jc w:val="both"/>
        <w:rPr>
          <w:noProof/>
          <w:color w:val="000000" w:themeColor="text1"/>
        </w:rPr>
      </w:pPr>
      <w:r>
        <w:rPr>
          <w:noProof/>
          <w:color w:val="000000" w:themeColor="text1"/>
        </w:rPr>
        <w:t>There is also a second exam</w:t>
      </w:r>
      <w:r>
        <w:rPr>
          <w:noProof/>
          <w:color w:val="000000" w:themeColor="text1"/>
        </w:rPr>
        <w:t>ple. In Italy, a public local authority (Provincia di Trento), in a public procurement procedure</w:t>
      </w:r>
      <w:r>
        <w:rPr>
          <w:rStyle w:val="FootnoteReference"/>
          <w:noProof/>
          <w:color w:val="000000" w:themeColor="text1"/>
        </w:rPr>
        <w:footnoteReference w:id="11"/>
      </w:r>
      <w:r>
        <w:rPr>
          <w:noProof/>
          <w:color w:val="000000" w:themeColor="text1"/>
        </w:rPr>
        <w:t xml:space="preserve"> has recommended the security certification of a video surveillance system according to Common Criteria (low assurance, i.e., EAL 1). Duration and costs of thi</w:t>
      </w:r>
      <w:r>
        <w:rPr>
          <w:noProof/>
          <w:color w:val="000000" w:themeColor="text1"/>
        </w:rPr>
        <w:t>s security certification can be estimated in about 6 months and 20K euros.</w:t>
      </w:r>
    </w:p>
    <w:p w:rsidR="00913429" w:rsidRDefault="00913429">
      <w:pPr>
        <w:pStyle w:val="ListParagraph"/>
        <w:ind w:left="0"/>
        <w:jc w:val="right"/>
        <w:rPr>
          <w:noProof/>
          <w:color w:val="000000" w:themeColor="text1"/>
          <w:sz w:val="22"/>
          <w:szCs w:val="22"/>
          <w:lang w:val="en-GB"/>
        </w:rPr>
      </w:pPr>
    </w:p>
    <w:p w:rsidR="00913429" w:rsidRDefault="00E143F0">
      <w:pPr>
        <w:pStyle w:val="ListParagraph"/>
        <w:numPr>
          <w:ilvl w:val="0"/>
          <w:numId w:val="85"/>
        </w:numPr>
        <w:spacing w:before="0" w:after="160" w:line="259" w:lineRule="auto"/>
        <w:ind w:left="360"/>
        <w:jc w:val="both"/>
        <w:rPr>
          <w:b/>
          <w:noProof/>
          <w:color w:val="000000" w:themeColor="text1"/>
          <w:sz w:val="22"/>
          <w:szCs w:val="22"/>
          <w:lang w:val="en-GB"/>
        </w:rPr>
      </w:pPr>
      <w:r>
        <w:rPr>
          <w:b/>
          <w:noProof/>
          <w:color w:val="000000" w:themeColor="text1"/>
          <w:sz w:val="22"/>
          <w:szCs w:val="22"/>
          <w:lang w:val="en-GB"/>
        </w:rPr>
        <w:t xml:space="preserve">Do you know cases in the EU, where national approaches for the security certification of any ICT products/services have been/are being established? </w:t>
      </w:r>
    </w:p>
    <w:p w:rsidR="00913429" w:rsidRDefault="00E143F0">
      <w:pPr>
        <w:ind w:left="284"/>
        <w:jc w:val="both"/>
        <w:rPr>
          <w:noProof/>
          <w:color w:val="000000" w:themeColor="text1"/>
        </w:rPr>
      </w:pPr>
      <w:r>
        <w:rPr>
          <w:noProof/>
          <w:color w:val="000000" w:themeColor="text1"/>
        </w:rPr>
        <w:t xml:space="preserve">Yes. In UK, an approach known </w:t>
      </w:r>
      <w:r>
        <w:rPr>
          <w:noProof/>
          <w:color w:val="000000" w:themeColor="text1"/>
        </w:rPr>
        <w:t>as CPA (Commercial Product Assurance) has been established for COTS products to be used in low risk environments. This approach has been derived by the Common Criteria (for low assurance certification).</w:t>
      </w:r>
    </w:p>
    <w:p w:rsidR="00913429" w:rsidRDefault="00E143F0">
      <w:pPr>
        <w:ind w:left="284"/>
        <w:jc w:val="both"/>
        <w:rPr>
          <w:noProof/>
          <w:color w:val="000000" w:themeColor="text1"/>
        </w:rPr>
      </w:pPr>
      <w:r>
        <w:rPr>
          <w:noProof/>
          <w:color w:val="000000" w:themeColor="text1"/>
        </w:rPr>
        <w:t>Moreover, in France, an approach known as CSPN (Certi</w:t>
      </w:r>
      <w:r>
        <w:rPr>
          <w:noProof/>
          <w:color w:val="000000" w:themeColor="text1"/>
        </w:rPr>
        <w:t>fication de Sècuritè de Premier Niveau) has been established.</w:t>
      </w:r>
    </w:p>
    <w:p w:rsidR="00913429" w:rsidRDefault="00E143F0">
      <w:pPr>
        <w:ind w:left="284"/>
        <w:jc w:val="both"/>
        <w:rPr>
          <w:b/>
          <w:noProof/>
          <w:color w:val="000000" w:themeColor="text1"/>
          <w:sz w:val="22"/>
          <w:szCs w:val="22"/>
        </w:rPr>
      </w:pPr>
      <w:r>
        <w:rPr>
          <w:noProof/>
          <w:color w:val="000000" w:themeColor="text1"/>
        </w:rPr>
        <w:t>This is a black box testing approach for low assurance certification requirements and the evaluation/certification process has limited duration and costs.</w:t>
      </w:r>
    </w:p>
    <w:p w:rsidR="00913429" w:rsidRDefault="00913429">
      <w:pPr>
        <w:pStyle w:val="ListParagraph"/>
        <w:ind w:left="0"/>
        <w:jc w:val="both"/>
        <w:rPr>
          <w:b/>
          <w:noProof/>
          <w:color w:val="000000" w:themeColor="text1"/>
          <w:sz w:val="22"/>
          <w:szCs w:val="22"/>
          <w:lang w:val="en-GB"/>
        </w:rPr>
      </w:pPr>
    </w:p>
    <w:p w:rsidR="00913429" w:rsidRDefault="00E143F0">
      <w:pPr>
        <w:pStyle w:val="ListParagraph"/>
        <w:numPr>
          <w:ilvl w:val="0"/>
          <w:numId w:val="86"/>
        </w:numPr>
        <w:spacing w:before="0" w:after="160" w:line="259" w:lineRule="auto"/>
        <w:ind w:left="360"/>
        <w:jc w:val="both"/>
        <w:rPr>
          <w:b/>
          <w:noProof/>
          <w:color w:val="000000" w:themeColor="text1"/>
          <w:sz w:val="22"/>
          <w:szCs w:val="22"/>
          <w:lang w:val="en-GB"/>
        </w:rPr>
      </w:pPr>
      <w:r>
        <w:rPr>
          <w:b/>
          <w:noProof/>
          <w:color w:val="000000" w:themeColor="text1"/>
          <w:sz w:val="22"/>
          <w:szCs w:val="22"/>
          <w:lang w:val="en-GB"/>
        </w:rPr>
        <w:t>Do you know EU cases, where a customer</w:t>
      </w:r>
      <w:r>
        <w:rPr>
          <w:b/>
          <w:noProof/>
          <w:color w:val="000000" w:themeColor="text1"/>
          <w:sz w:val="22"/>
          <w:szCs w:val="22"/>
          <w:lang w:val="en-GB"/>
        </w:rPr>
        <w:t xml:space="preserve"> is not provided with enough/reliable information about the security properties of any ICT products/services? </w:t>
      </w:r>
    </w:p>
    <w:p w:rsidR="00913429" w:rsidRDefault="00913429">
      <w:pPr>
        <w:pStyle w:val="ListParagraph"/>
        <w:ind w:left="360"/>
        <w:jc w:val="both"/>
        <w:rPr>
          <w:i/>
          <w:noProof/>
          <w:color w:val="000000" w:themeColor="text1"/>
          <w:sz w:val="22"/>
          <w:szCs w:val="22"/>
          <w:lang w:val="en-GB"/>
        </w:rPr>
      </w:pPr>
    </w:p>
    <w:p w:rsidR="00913429" w:rsidRDefault="00E143F0">
      <w:pPr>
        <w:pStyle w:val="ListParagraph"/>
        <w:ind w:left="360"/>
        <w:jc w:val="both"/>
        <w:rPr>
          <w:noProof/>
          <w:color w:val="000000" w:themeColor="text1"/>
          <w:sz w:val="22"/>
          <w:szCs w:val="22"/>
          <w:lang w:val="en-GB"/>
        </w:rPr>
      </w:pPr>
      <w:r>
        <w:rPr>
          <w:noProof/>
          <w:color w:val="000000" w:themeColor="text1"/>
          <w:sz w:val="22"/>
          <w:szCs w:val="22"/>
          <w:lang w:val="en-GB"/>
        </w:rPr>
        <w:t>Yes. In fact, for many products of large diffusion (e.g., the smart phones), no information is provided about the relevant ICT security properti</w:t>
      </w:r>
      <w:r>
        <w:rPr>
          <w:noProof/>
          <w:color w:val="000000" w:themeColor="text1"/>
          <w:sz w:val="22"/>
          <w:szCs w:val="22"/>
          <w:lang w:val="en-GB"/>
        </w:rPr>
        <w:t>es, and the user is left alone with many questions and no answer. A security certificate would improve the situation making some significant information available, and reliable as well.</w:t>
      </w:r>
    </w:p>
    <w:p w:rsidR="00913429" w:rsidRDefault="00913429">
      <w:pPr>
        <w:pStyle w:val="ListParagraph"/>
        <w:ind w:left="0"/>
        <w:jc w:val="both"/>
        <w:rPr>
          <w:b/>
          <w:noProof/>
          <w:color w:val="000000" w:themeColor="text1"/>
          <w:sz w:val="22"/>
          <w:szCs w:val="22"/>
          <w:lang w:val="en-GB"/>
        </w:rPr>
      </w:pPr>
    </w:p>
    <w:p w:rsidR="00913429" w:rsidRDefault="00913429">
      <w:pPr>
        <w:pStyle w:val="ListParagraph"/>
        <w:ind w:left="0"/>
        <w:jc w:val="both"/>
        <w:rPr>
          <w:b/>
          <w:noProof/>
          <w:color w:val="000000" w:themeColor="text1"/>
          <w:sz w:val="22"/>
          <w:szCs w:val="22"/>
          <w:lang w:val="en-GB"/>
        </w:rPr>
      </w:pPr>
    </w:p>
    <w:p w:rsidR="00913429" w:rsidRDefault="00E143F0">
      <w:pPr>
        <w:pStyle w:val="ListParagraph"/>
        <w:numPr>
          <w:ilvl w:val="0"/>
          <w:numId w:val="86"/>
        </w:numPr>
        <w:spacing w:before="0" w:after="160" w:line="259" w:lineRule="auto"/>
        <w:ind w:left="360"/>
        <w:jc w:val="both"/>
        <w:rPr>
          <w:b/>
          <w:noProof/>
          <w:color w:val="000000" w:themeColor="text1"/>
          <w:sz w:val="22"/>
          <w:szCs w:val="22"/>
          <w:lang w:val="en-GB"/>
        </w:rPr>
      </w:pPr>
      <w:r>
        <w:rPr>
          <w:b/>
          <w:noProof/>
          <w:color w:val="000000" w:themeColor="text1"/>
          <w:sz w:val="22"/>
          <w:szCs w:val="22"/>
          <w:lang w:val="en-GB"/>
        </w:rPr>
        <w:t>Do you think a mutual recognition agreement of certification schemes</w:t>
      </w:r>
      <w:r>
        <w:rPr>
          <w:b/>
          <w:noProof/>
          <w:color w:val="000000" w:themeColor="text1"/>
          <w:sz w:val="22"/>
          <w:szCs w:val="22"/>
          <w:lang w:val="en-GB"/>
        </w:rPr>
        <w:t xml:space="preserve"> existing in different countries may have a positive impact on industry costs?</w:t>
      </w:r>
    </w:p>
    <w:p w:rsidR="00913429" w:rsidRDefault="00E143F0">
      <w:pPr>
        <w:spacing w:after="360"/>
        <w:ind w:left="357"/>
        <w:jc w:val="both"/>
        <w:rPr>
          <w:noProof/>
          <w:color w:val="000000" w:themeColor="text1"/>
        </w:rPr>
      </w:pPr>
      <w:r>
        <w:rPr>
          <w:noProof/>
          <w:color w:val="000000" w:themeColor="text1"/>
        </w:rPr>
        <w:t>Yes. As in similar cases, the mutual recognition agreement would eliminate the cost of certification duplication, at least within the validity (range of products, set of countri</w:t>
      </w:r>
      <w:r>
        <w:rPr>
          <w:noProof/>
          <w:color w:val="000000" w:themeColor="text1"/>
        </w:rPr>
        <w:t>es, etc.) of the relevant agreement.</w:t>
      </w:r>
    </w:p>
    <w:p w:rsidR="00913429" w:rsidRDefault="00E143F0">
      <w:pPr>
        <w:numPr>
          <w:ilvl w:val="0"/>
          <w:numId w:val="86"/>
        </w:numPr>
        <w:spacing w:after="120" w:line="259" w:lineRule="auto"/>
        <w:ind w:left="360"/>
        <w:jc w:val="both"/>
        <w:rPr>
          <w:b/>
          <w:noProof/>
          <w:color w:val="000000" w:themeColor="text1"/>
        </w:rPr>
      </w:pPr>
      <w:r>
        <w:rPr>
          <w:b/>
          <w:noProof/>
          <w:color w:val="000000" w:themeColor="text1"/>
        </w:rPr>
        <w:t>In the context of the possible creation of a European ICT security certification Framework, building on existing ICT certification mechanism, such as SOG-IS MRA, what do you think are the estimation of costs needed to r</w:t>
      </w:r>
      <w:r>
        <w:rPr>
          <w:b/>
          <w:noProof/>
          <w:color w:val="000000" w:themeColor="text1"/>
        </w:rPr>
        <w:t>un a European Certification Board?</w:t>
      </w:r>
    </w:p>
    <w:p w:rsidR="00913429" w:rsidRDefault="00E143F0">
      <w:pPr>
        <w:ind w:left="360"/>
        <w:jc w:val="both"/>
        <w:rPr>
          <w:noProof/>
          <w:color w:val="000000" w:themeColor="text1"/>
        </w:rPr>
      </w:pPr>
      <w:r>
        <w:rPr>
          <w:noProof/>
          <w:color w:val="000000" w:themeColor="text1"/>
        </w:rPr>
        <w:t xml:space="preserve">I would estimate medium costs. At least in the case where already available structures (e.g., EU Agencies), tools (e.g., SOGIS-MRA), and standards (e.g., Common Criteria) were exploited to the maximum extent. Costs could </w:t>
      </w:r>
      <w:r>
        <w:rPr>
          <w:noProof/>
          <w:color w:val="000000" w:themeColor="text1"/>
        </w:rPr>
        <w:t>be in fact reduced to those needed to coordinate and/or extend pre-existing structures and/or tools and/or standards.</w:t>
      </w:r>
    </w:p>
    <w:p w:rsidR="00913429" w:rsidRDefault="00E143F0">
      <w:pPr>
        <w:jc w:val="center"/>
        <w:rPr>
          <w:rFonts w:eastAsia="Times New Roman" w:cs="Tahoma"/>
          <w:b/>
          <w:noProof/>
          <w:color w:val="000000" w:themeColor="text1"/>
          <w:sz w:val="32"/>
          <w:szCs w:val="26"/>
          <w:lang w:eastAsia="it-IT"/>
        </w:rPr>
      </w:pPr>
      <w:r>
        <w:rPr>
          <w:noProof/>
        </w:rPr>
        <w:br w:type="page"/>
      </w:r>
    </w:p>
    <w:p w:rsidR="00913429" w:rsidRDefault="00E143F0">
      <w:pPr>
        <w:jc w:val="right"/>
        <w:rPr>
          <w:rFonts w:eastAsia="Times New Roman" w:cs="Tahoma"/>
          <w:b/>
          <w:i/>
          <w:noProof/>
          <w:color w:val="000000" w:themeColor="text1"/>
          <w:sz w:val="28"/>
          <w:szCs w:val="26"/>
          <w:lang w:eastAsia="it-IT"/>
        </w:rPr>
      </w:pPr>
      <w:r>
        <w:rPr>
          <w:rFonts w:eastAsia="Times New Roman" w:cs="Tahoma"/>
          <w:b/>
          <w:i/>
          <w:noProof/>
          <w:color w:val="000000" w:themeColor="text1"/>
          <w:sz w:val="28"/>
          <w:szCs w:val="26"/>
          <w:lang w:eastAsia="it-IT"/>
        </w:rPr>
        <w:t>June 7, 2017</w:t>
      </w:r>
    </w:p>
    <w:p w:rsidR="00913429" w:rsidRDefault="00913429">
      <w:pPr>
        <w:rPr>
          <w:b/>
          <w:i/>
          <w:noProof/>
          <w:color w:val="000000" w:themeColor="text1"/>
        </w:rPr>
      </w:pPr>
    </w:p>
    <w:p w:rsidR="00913429" w:rsidRDefault="00E143F0">
      <w:pPr>
        <w:pStyle w:val="Heading4"/>
        <w:rPr>
          <w:noProof/>
        </w:rPr>
      </w:pPr>
      <w:r>
        <w:rPr>
          <w:noProof/>
        </w:rPr>
        <w:t>Interviews results from representative of a National ICT Certification Authority</w:t>
      </w:r>
    </w:p>
    <w:p w:rsidR="00913429" w:rsidRDefault="00913429">
      <w:pPr>
        <w:rPr>
          <w:noProof/>
          <w:color w:val="000000" w:themeColor="text1"/>
        </w:rPr>
      </w:pPr>
    </w:p>
    <w:p w:rsidR="00913429" w:rsidRDefault="00E143F0">
      <w:pPr>
        <w:pStyle w:val="ListParagraph"/>
        <w:numPr>
          <w:ilvl w:val="0"/>
          <w:numId w:val="87"/>
        </w:numPr>
        <w:spacing w:before="0" w:after="160" w:line="259" w:lineRule="auto"/>
        <w:jc w:val="both"/>
        <w:rPr>
          <w:b/>
          <w:noProof/>
          <w:color w:val="000000" w:themeColor="text1"/>
          <w:sz w:val="22"/>
          <w:szCs w:val="22"/>
          <w:lang w:val="en-GB"/>
        </w:rPr>
      </w:pPr>
      <w:r>
        <w:rPr>
          <w:b/>
          <w:noProof/>
          <w:color w:val="000000" w:themeColor="text1"/>
          <w:sz w:val="22"/>
          <w:szCs w:val="22"/>
          <w:lang w:val="en-GB"/>
        </w:rPr>
        <w:t xml:space="preserve">Do you know EU cases where an ICT product/service is requested or recommended to be equipped with a given security certificate in order to enter the market of a given MS? </w:t>
      </w:r>
    </w:p>
    <w:p w:rsidR="00913429" w:rsidRDefault="00E143F0">
      <w:pPr>
        <w:ind w:left="360"/>
        <w:jc w:val="both"/>
        <w:rPr>
          <w:noProof/>
          <w:color w:val="000000" w:themeColor="text1"/>
        </w:rPr>
      </w:pPr>
      <w:r>
        <w:rPr>
          <w:noProof/>
          <w:color w:val="000000" w:themeColor="text1"/>
        </w:rPr>
        <w:t>Yes. A security certification is requested in the EU digital signature context. Acco</w:t>
      </w:r>
      <w:r>
        <w:rPr>
          <w:noProof/>
          <w:color w:val="000000" w:themeColor="text1"/>
        </w:rPr>
        <w:t>rding to EIDAS</w:t>
      </w:r>
      <w:r>
        <w:rPr>
          <w:rStyle w:val="FootnoteReference"/>
          <w:noProof/>
          <w:color w:val="000000" w:themeColor="text1"/>
        </w:rPr>
        <w:footnoteReference w:id="12"/>
      </w:r>
      <w:r>
        <w:rPr>
          <w:noProof/>
          <w:color w:val="000000" w:themeColor="text1"/>
        </w:rPr>
        <w:t xml:space="preserve"> and the corresponding technical rules</w:t>
      </w:r>
      <w:r>
        <w:rPr>
          <w:rStyle w:val="FootnoteReference"/>
          <w:noProof/>
          <w:color w:val="000000" w:themeColor="text1"/>
        </w:rPr>
        <w:footnoteReference w:id="13"/>
      </w:r>
      <w:r>
        <w:rPr>
          <w:noProof/>
          <w:color w:val="000000" w:themeColor="text1"/>
        </w:rPr>
        <w:t>, a secure signature/seal device has to be certified according to Common Criteria EAL 4+ with given Protection Profiles. Duration and cost of this security certification depend on the type of secure sig</w:t>
      </w:r>
      <w:r>
        <w:rPr>
          <w:noProof/>
          <w:color w:val="000000" w:themeColor="text1"/>
        </w:rPr>
        <w:t>nature device (either smart card or HSM- Hardware Security Module) and on the maturity of the security certification market. My estimates hold for countries where the relevant market is consolidated</w:t>
      </w:r>
      <w:r>
        <w:rPr>
          <w:rStyle w:val="FootnoteReference"/>
          <w:noProof/>
          <w:color w:val="000000" w:themeColor="text1"/>
        </w:rPr>
        <w:footnoteReference w:id="14"/>
      </w:r>
      <w:r>
        <w:rPr>
          <w:noProof/>
          <w:color w:val="000000" w:themeColor="text1"/>
        </w:rPr>
        <w:t>. For the smart card type, the duration of the evaluation</w:t>
      </w:r>
      <w:r>
        <w:rPr>
          <w:noProof/>
          <w:color w:val="000000" w:themeColor="text1"/>
        </w:rPr>
        <w:t>/certification process is of some months; whereas, for the HSM type, the duration is of some years.</w:t>
      </w:r>
    </w:p>
    <w:p w:rsidR="00913429" w:rsidRDefault="00E143F0">
      <w:pPr>
        <w:ind w:left="357"/>
        <w:jc w:val="both"/>
        <w:rPr>
          <w:noProof/>
          <w:color w:val="000000" w:themeColor="text1"/>
        </w:rPr>
      </w:pPr>
      <w:r>
        <w:rPr>
          <w:noProof/>
          <w:color w:val="000000" w:themeColor="text1"/>
        </w:rPr>
        <w:t>Another example is available for Italy, where, in a public procurement procedure defined by Provincia di Trento (Italian local authority), a video surveilla</w:t>
      </w:r>
      <w:r>
        <w:rPr>
          <w:noProof/>
          <w:color w:val="000000" w:themeColor="text1"/>
        </w:rPr>
        <w:t>nce system has been recommended to be provided along with a Common Criteria - Low Assurance security certification</w:t>
      </w:r>
      <w:r>
        <w:rPr>
          <w:noProof/>
          <w:color w:val="000000" w:themeColor="text1"/>
          <w:vertAlign w:val="superscript"/>
        </w:rPr>
        <w:t>1</w:t>
      </w:r>
      <w:r>
        <w:rPr>
          <w:noProof/>
          <w:color w:val="000000" w:themeColor="text1"/>
        </w:rPr>
        <w:t>.</w:t>
      </w:r>
    </w:p>
    <w:p w:rsidR="00913429" w:rsidRDefault="00913429">
      <w:pPr>
        <w:spacing w:after="120" w:line="259" w:lineRule="auto"/>
        <w:jc w:val="both"/>
        <w:rPr>
          <w:i/>
          <w:noProof/>
          <w:color w:val="000000" w:themeColor="text1"/>
          <w:szCs w:val="22"/>
        </w:rPr>
      </w:pPr>
    </w:p>
    <w:p w:rsidR="00913429" w:rsidRDefault="00E143F0">
      <w:pPr>
        <w:pStyle w:val="ListParagraph"/>
        <w:numPr>
          <w:ilvl w:val="0"/>
          <w:numId w:val="87"/>
        </w:numPr>
        <w:spacing w:before="0" w:after="160" w:line="259" w:lineRule="auto"/>
        <w:jc w:val="both"/>
        <w:rPr>
          <w:b/>
          <w:noProof/>
          <w:color w:val="000000" w:themeColor="text1"/>
          <w:sz w:val="22"/>
          <w:szCs w:val="22"/>
          <w:lang w:val="en-GB"/>
        </w:rPr>
      </w:pPr>
      <w:r>
        <w:rPr>
          <w:b/>
          <w:noProof/>
          <w:color w:val="000000" w:themeColor="text1"/>
          <w:sz w:val="22"/>
          <w:szCs w:val="22"/>
          <w:lang w:val="en-GB"/>
        </w:rPr>
        <w:t xml:space="preserve">Do you know EU cases where an ICT product/service vendor due to requested or recommended additional security certifications (see previous </w:t>
      </w:r>
      <w:r>
        <w:rPr>
          <w:b/>
          <w:noProof/>
          <w:color w:val="000000" w:themeColor="text1"/>
          <w:sz w:val="22"/>
          <w:szCs w:val="22"/>
          <w:lang w:val="en-GB"/>
        </w:rPr>
        <w:t>question) in order to enter the market of another MS, has given up in entering that market?</w:t>
      </w:r>
    </w:p>
    <w:p w:rsidR="00913429" w:rsidRDefault="00E143F0">
      <w:pPr>
        <w:ind w:left="360"/>
        <w:jc w:val="both"/>
        <w:rPr>
          <w:noProof/>
          <w:color w:val="000000" w:themeColor="text1"/>
        </w:rPr>
      </w:pPr>
      <w:r>
        <w:rPr>
          <w:noProof/>
          <w:color w:val="000000" w:themeColor="text1"/>
        </w:rPr>
        <w:t>As concern questions 2, 3 and 4, relevant cases were possible before the establishment of EIDAS regulation</w:t>
      </w:r>
    </w:p>
    <w:p w:rsidR="00913429" w:rsidRDefault="00E143F0">
      <w:pPr>
        <w:pStyle w:val="ListParagraph"/>
        <w:numPr>
          <w:ilvl w:val="0"/>
          <w:numId w:val="87"/>
        </w:numPr>
        <w:spacing w:before="0" w:after="160" w:line="259" w:lineRule="auto"/>
        <w:jc w:val="both"/>
        <w:rPr>
          <w:b/>
          <w:noProof/>
          <w:color w:val="000000" w:themeColor="text1"/>
          <w:sz w:val="22"/>
          <w:szCs w:val="22"/>
          <w:lang w:val="en-GB"/>
        </w:rPr>
      </w:pPr>
      <w:r>
        <w:rPr>
          <w:b/>
          <w:noProof/>
          <w:color w:val="000000" w:themeColor="text1"/>
          <w:sz w:val="22"/>
          <w:szCs w:val="22"/>
          <w:lang w:val="en-GB"/>
        </w:rPr>
        <w:t>Do you know EU cases, where a customer is not provided wi</w:t>
      </w:r>
      <w:r>
        <w:rPr>
          <w:b/>
          <w:noProof/>
          <w:color w:val="000000" w:themeColor="text1"/>
          <w:sz w:val="22"/>
          <w:szCs w:val="22"/>
          <w:lang w:val="en-GB"/>
        </w:rPr>
        <w:t xml:space="preserve">th enough/reliable information about the security properties of any ICT products/services? </w:t>
      </w:r>
    </w:p>
    <w:p w:rsidR="00913429" w:rsidRDefault="00E143F0">
      <w:pPr>
        <w:ind w:left="360"/>
        <w:jc w:val="both"/>
        <w:rPr>
          <w:noProof/>
          <w:color w:val="000000" w:themeColor="text1"/>
        </w:rPr>
      </w:pPr>
      <w:r>
        <w:rPr>
          <w:noProof/>
          <w:color w:val="000000" w:themeColor="text1"/>
        </w:rPr>
        <w:t>Yes. The typical case is that the relevant information is not provided at all. In fact, in EU, we are very far from the case where, as far as ICT security is concer</w:t>
      </w:r>
      <w:r>
        <w:rPr>
          <w:noProof/>
          <w:color w:val="000000" w:themeColor="text1"/>
        </w:rPr>
        <w:t>ned, a product is provided along with a set of reference information for the customers which allow to understand, e.g., how the product can be/cannot be used. The current concept of product information to be provided to a product user do not cover at all t</w:t>
      </w:r>
      <w:r>
        <w:rPr>
          <w:noProof/>
          <w:color w:val="000000" w:themeColor="text1"/>
        </w:rPr>
        <w:t>he ICT security domain.</w:t>
      </w:r>
    </w:p>
    <w:p w:rsidR="00913429" w:rsidRDefault="00913429">
      <w:pPr>
        <w:pStyle w:val="ListParagraph"/>
        <w:ind w:left="0"/>
        <w:jc w:val="both"/>
        <w:rPr>
          <w:b/>
          <w:noProof/>
          <w:color w:val="000000" w:themeColor="text1"/>
          <w:sz w:val="22"/>
          <w:szCs w:val="22"/>
          <w:lang w:val="en-GB"/>
        </w:rPr>
      </w:pPr>
    </w:p>
    <w:p w:rsidR="00913429" w:rsidRDefault="00E143F0">
      <w:pPr>
        <w:pStyle w:val="ListParagraph"/>
        <w:numPr>
          <w:ilvl w:val="0"/>
          <w:numId w:val="87"/>
        </w:numPr>
        <w:spacing w:before="0" w:after="160" w:line="259" w:lineRule="auto"/>
        <w:jc w:val="both"/>
        <w:rPr>
          <w:b/>
          <w:noProof/>
          <w:color w:val="000000" w:themeColor="text1"/>
          <w:sz w:val="22"/>
          <w:szCs w:val="22"/>
          <w:lang w:val="en-GB"/>
        </w:rPr>
      </w:pPr>
      <w:r>
        <w:rPr>
          <w:b/>
          <w:noProof/>
          <w:color w:val="000000" w:themeColor="text1"/>
          <w:sz w:val="22"/>
          <w:szCs w:val="22"/>
          <w:lang w:val="en-GB"/>
        </w:rPr>
        <w:t>Do you think a mutual recognition agreement of certification schemes existing in different countries may have a positive impact on industry costs?</w:t>
      </w:r>
    </w:p>
    <w:p w:rsidR="00913429" w:rsidRDefault="00E143F0">
      <w:pPr>
        <w:ind w:left="360"/>
        <w:jc w:val="both"/>
        <w:rPr>
          <w:noProof/>
          <w:color w:val="000000" w:themeColor="text1"/>
        </w:rPr>
      </w:pPr>
      <w:r>
        <w:rPr>
          <w:noProof/>
          <w:color w:val="000000" w:themeColor="text1"/>
        </w:rPr>
        <w:t>Yes. At least in the countries and for the products (positively) affected by the agr</w:t>
      </w:r>
      <w:r>
        <w:rPr>
          <w:noProof/>
          <w:color w:val="000000" w:themeColor="text1"/>
        </w:rPr>
        <w:t>eement, multiple security certifications would no longer be needed.</w:t>
      </w:r>
    </w:p>
    <w:p w:rsidR="00913429" w:rsidRDefault="00E143F0">
      <w:pPr>
        <w:numPr>
          <w:ilvl w:val="0"/>
          <w:numId w:val="87"/>
        </w:numPr>
        <w:spacing w:after="120" w:line="259" w:lineRule="auto"/>
        <w:jc w:val="both"/>
        <w:rPr>
          <w:b/>
          <w:noProof/>
          <w:color w:val="000000" w:themeColor="text1"/>
        </w:rPr>
      </w:pPr>
      <w:r>
        <w:rPr>
          <w:b/>
          <w:noProof/>
          <w:color w:val="000000" w:themeColor="text1"/>
        </w:rPr>
        <w:t xml:space="preserve">In the context of the possible creation of a European ICT security certification Framework, building on existing ICT certification mechanism, such as SOG-IS MRA, what do you think are the </w:t>
      </w:r>
      <w:r>
        <w:rPr>
          <w:b/>
          <w:noProof/>
          <w:color w:val="000000" w:themeColor="text1"/>
        </w:rPr>
        <w:t>estimation of costs needed to run a European Certification Board?</w:t>
      </w:r>
    </w:p>
    <w:p w:rsidR="00913429" w:rsidRDefault="00E143F0">
      <w:pPr>
        <w:ind w:left="360"/>
        <w:jc w:val="both"/>
        <w:rPr>
          <w:noProof/>
          <w:color w:val="000000" w:themeColor="text1"/>
        </w:rPr>
      </w:pPr>
      <w:r>
        <w:rPr>
          <w:noProof/>
          <w:color w:val="000000" w:themeColor="text1"/>
        </w:rPr>
        <w:t>I would expect low costs, since already available structures/components (e.g., EU Agencies) could be exploited for the Framework realisation. I'd suggest the Framework to consider the possib</w:t>
      </w:r>
      <w:r>
        <w:rPr>
          <w:noProof/>
          <w:color w:val="000000" w:themeColor="text1"/>
        </w:rPr>
        <w:t>le infeasibility to take a unique approach (e.g., unique evaluation/ certification criteria) to security certification. In fact, based also on the operating context, ICT products/services usually have large variability in terms of severity of security requ</w:t>
      </w:r>
      <w:r>
        <w:rPr>
          <w:noProof/>
          <w:color w:val="000000" w:themeColor="text1"/>
        </w:rPr>
        <w:t>irements severity and assurance level of the corresponding certification processes, and this is probably better addressed by several suitable solutions.</w:t>
      </w:r>
    </w:p>
    <w:p w:rsidR="00913429" w:rsidRDefault="00E143F0">
      <w:pPr>
        <w:spacing w:after="0" w:line="240" w:lineRule="auto"/>
        <w:rPr>
          <w:noProof/>
          <w:color w:val="000000" w:themeColor="text1"/>
        </w:rPr>
      </w:pPr>
      <w:r>
        <w:rPr>
          <w:noProof/>
          <w:color w:val="000000" w:themeColor="text1"/>
        </w:rPr>
        <w:br w:type="page"/>
      </w:r>
    </w:p>
    <w:p w:rsidR="00913429" w:rsidRDefault="00E143F0">
      <w:pPr>
        <w:jc w:val="right"/>
        <w:rPr>
          <w:rFonts w:eastAsia="Times New Roman" w:cs="Tahoma"/>
          <w:b/>
          <w:i/>
          <w:noProof/>
          <w:color w:val="000000" w:themeColor="text1"/>
          <w:sz w:val="28"/>
          <w:szCs w:val="26"/>
          <w:lang w:eastAsia="it-IT"/>
        </w:rPr>
      </w:pPr>
      <w:r>
        <w:rPr>
          <w:rFonts w:eastAsia="Times New Roman" w:cs="Tahoma"/>
          <w:b/>
          <w:i/>
          <w:noProof/>
          <w:color w:val="000000" w:themeColor="text1"/>
          <w:sz w:val="28"/>
          <w:szCs w:val="26"/>
          <w:lang w:eastAsia="it-IT"/>
        </w:rPr>
        <w:t>June 8, 2017</w:t>
      </w:r>
    </w:p>
    <w:p w:rsidR="00913429" w:rsidRDefault="00E143F0">
      <w:pPr>
        <w:pStyle w:val="Heading4"/>
        <w:rPr>
          <w:noProof/>
        </w:rPr>
      </w:pPr>
      <w:r>
        <w:rPr>
          <w:noProof/>
        </w:rPr>
        <w:t>Interviews results from representative of a National ICT Certification Authority</w:t>
      </w:r>
    </w:p>
    <w:p w:rsidR="00913429" w:rsidRDefault="00913429">
      <w:pPr>
        <w:pStyle w:val="BodyText"/>
        <w:rPr>
          <w:noProof/>
        </w:rPr>
      </w:pPr>
    </w:p>
    <w:p w:rsidR="00913429" w:rsidRDefault="00E143F0">
      <w:pPr>
        <w:pStyle w:val="ListParagraph"/>
        <w:numPr>
          <w:ilvl w:val="0"/>
          <w:numId w:val="95"/>
        </w:numPr>
        <w:jc w:val="both"/>
        <w:rPr>
          <w:noProof/>
          <w:sz w:val="22"/>
          <w:lang w:val="en-GB"/>
        </w:rPr>
      </w:pPr>
      <w:r>
        <w:rPr>
          <w:b/>
          <w:noProof/>
          <w:color w:val="000000" w:themeColor="text1"/>
          <w:sz w:val="22"/>
          <w:lang w:val="en-GB"/>
        </w:rPr>
        <w:t xml:space="preserve">Do you know EU cases where an ICT product/service is requested or recommended to be equipped with a given security certificate in order to enter the market of a given MS? </w:t>
      </w:r>
    </w:p>
    <w:p w:rsidR="00913429" w:rsidRDefault="00913429">
      <w:pPr>
        <w:pStyle w:val="ListParagraph"/>
        <w:ind w:left="360"/>
        <w:jc w:val="both"/>
        <w:rPr>
          <w:noProof/>
          <w:lang w:val="en-GB"/>
        </w:rPr>
      </w:pPr>
    </w:p>
    <w:p w:rsidR="00913429" w:rsidRDefault="00E143F0">
      <w:pPr>
        <w:pStyle w:val="ListParagraph"/>
        <w:ind w:left="360"/>
        <w:jc w:val="both"/>
        <w:rPr>
          <w:noProof/>
          <w:lang w:val="en-GB"/>
        </w:rPr>
      </w:pPr>
      <w:r>
        <w:rPr>
          <w:noProof/>
          <w:lang w:val="en-GB"/>
        </w:rPr>
        <w:t>The interviewed is aware of cases where an ICT product service is requested or reco</w:t>
      </w:r>
      <w:r>
        <w:rPr>
          <w:noProof/>
          <w:lang w:val="en-GB"/>
        </w:rPr>
        <w:t>mmended to be equipped with a given security certificate in order to enter the market of a given Member State: the interviewed provided examples where a Common Criteria certification is EU-wide requested (e.g. the case of digital tachographs) and where the</w:t>
      </w:r>
      <w:r>
        <w:rPr>
          <w:noProof/>
          <w:lang w:val="en-GB"/>
        </w:rPr>
        <w:t xml:space="preserve"> same certification is requested (e.g. the case of the electronic Identification Authentication and Signature, eIDAS, regulation).</w:t>
      </w:r>
    </w:p>
    <w:p w:rsidR="00913429" w:rsidRDefault="00E143F0">
      <w:pPr>
        <w:pStyle w:val="ListParagraph"/>
        <w:ind w:left="360"/>
        <w:jc w:val="both"/>
        <w:rPr>
          <w:noProof/>
          <w:lang w:val="en-GB"/>
        </w:rPr>
      </w:pPr>
      <w:r>
        <w:rPr>
          <w:noProof/>
          <w:lang w:val="en-GB"/>
        </w:rPr>
        <w:t>The duration of such certification is around 6 months and the costs can be estimated between 50 and 100 thousands Euro.</w:t>
      </w:r>
    </w:p>
    <w:p w:rsidR="00913429" w:rsidRDefault="00913429">
      <w:pPr>
        <w:pStyle w:val="ListParagraph"/>
        <w:ind w:left="360"/>
        <w:jc w:val="both"/>
        <w:rPr>
          <w:noProof/>
          <w:lang w:val="en-GB"/>
        </w:rPr>
      </w:pPr>
    </w:p>
    <w:p w:rsidR="00913429" w:rsidRDefault="00E143F0">
      <w:pPr>
        <w:pStyle w:val="ListParagraph"/>
        <w:numPr>
          <w:ilvl w:val="0"/>
          <w:numId w:val="95"/>
        </w:numPr>
        <w:jc w:val="both"/>
        <w:rPr>
          <w:noProof/>
          <w:lang w:val="en-GB"/>
        </w:rPr>
      </w:pPr>
      <w:r>
        <w:rPr>
          <w:b/>
          <w:noProof/>
          <w:color w:val="000000" w:themeColor="text1"/>
          <w:sz w:val="22"/>
          <w:lang w:val="en-GB"/>
        </w:rPr>
        <w:t>Do y</w:t>
      </w:r>
      <w:r>
        <w:rPr>
          <w:b/>
          <w:noProof/>
          <w:color w:val="000000" w:themeColor="text1"/>
          <w:sz w:val="22"/>
          <w:lang w:val="en-GB"/>
        </w:rPr>
        <w:t>ou know EU cases where an ICT product/service which is equipped with some certificate security certificate is requested or recommended (e.g., preferred within public procurement) to get additional security certificates in order to enter the market of any M</w:t>
      </w:r>
      <w:r>
        <w:rPr>
          <w:b/>
          <w:noProof/>
          <w:color w:val="000000" w:themeColor="text1"/>
          <w:sz w:val="22"/>
          <w:lang w:val="en-GB"/>
        </w:rPr>
        <w:t>S</w:t>
      </w:r>
      <w:r>
        <w:rPr>
          <w:b/>
          <w:noProof/>
          <w:lang w:val="en-GB"/>
        </w:rPr>
        <w:t>?</w:t>
      </w:r>
      <w:r>
        <w:rPr>
          <w:noProof/>
          <w:lang w:val="en-GB"/>
        </w:rPr>
        <w:t xml:space="preserve"> </w:t>
      </w:r>
    </w:p>
    <w:p w:rsidR="00913429" w:rsidRDefault="00913429">
      <w:pPr>
        <w:pStyle w:val="ListParagraph"/>
        <w:ind w:left="360"/>
        <w:jc w:val="both"/>
        <w:rPr>
          <w:noProof/>
          <w:lang w:val="en-GB"/>
        </w:rPr>
      </w:pPr>
    </w:p>
    <w:p w:rsidR="00913429" w:rsidRDefault="00E143F0">
      <w:pPr>
        <w:pStyle w:val="ListParagraph"/>
        <w:ind w:left="360"/>
        <w:jc w:val="both"/>
        <w:rPr>
          <w:noProof/>
          <w:lang w:val="en-GB"/>
        </w:rPr>
      </w:pPr>
      <w:r>
        <w:rPr>
          <w:noProof/>
          <w:lang w:val="en-GB"/>
        </w:rPr>
        <w:t>The interviewed provided information of the smart meter case where the product is requested to get additional security certificates in order to enter at least the German market. In order to provide information to the fragmentation, the interviewed exp</w:t>
      </w:r>
      <w:r>
        <w:rPr>
          <w:noProof/>
          <w:lang w:val="en-GB"/>
        </w:rPr>
        <w:t>lained the health card example in Germany where a certification of the health cards is required by the National Approach; unfortunately the interviewed was not aware of the cost of the certification for the cases of smart meter and health card.</w:t>
      </w:r>
    </w:p>
    <w:p w:rsidR="00913429" w:rsidRDefault="00913429">
      <w:pPr>
        <w:pStyle w:val="ListParagraph"/>
        <w:ind w:left="360"/>
        <w:jc w:val="both"/>
        <w:rPr>
          <w:noProof/>
          <w:lang w:val="en-GB"/>
        </w:rPr>
      </w:pPr>
    </w:p>
    <w:p w:rsidR="00913429" w:rsidRDefault="00E143F0">
      <w:pPr>
        <w:pStyle w:val="ListParagraph"/>
        <w:numPr>
          <w:ilvl w:val="0"/>
          <w:numId w:val="95"/>
        </w:numPr>
        <w:jc w:val="both"/>
        <w:rPr>
          <w:noProof/>
          <w:lang w:val="en-GB"/>
        </w:rPr>
      </w:pPr>
      <w:r>
        <w:rPr>
          <w:b/>
          <w:noProof/>
          <w:color w:val="000000" w:themeColor="text1"/>
          <w:sz w:val="22"/>
          <w:lang w:val="en-GB"/>
        </w:rPr>
        <w:t>Do you kno</w:t>
      </w:r>
      <w:r>
        <w:rPr>
          <w:b/>
          <w:noProof/>
          <w:color w:val="000000" w:themeColor="text1"/>
          <w:sz w:val="22"/>
          <w:lang w:val="en-GB"/>
        </w:rPr>
        <w:t xml:space="preserve">w cases in the EU, where different certification approach from two different countries are deemed equivalent to establish the security of a same product (through Mutual Recognition Agreements)? </w:t>
      </w:r>
    </w:p>
    <w:p w:rsidR="00913429" w:rsidRDefault="00913429">
      <w:pPr>
        <w:pStyle w:val="ListParagraph"/>
        <w:ind w:left="360"/>
        <w:jc w:val="both"/>
        <w:rPr>
          <w:noProof/>
          <w:lang w:val="en-GB"/>
        </w:rPr>
      </w:pPr>
    </w:p>
    <w:p w:rsidR="00913429" w:rsidRDefault="00E143F0">
      <w:pPr>
        <w:pStyle w:val="ListParagraph"/>
        <w:ind w:left="360"/>
        <w:jc w:val="both"/>
        <w:rPr>
          <w:noProof/>
          <w:lang w:val="en-GB"/>
        </w:rPr>
      </w:pPr>
      <w:r>
        <w:rPr>
          <w:noProof/>
          <w:lang w:val="en-GB"/>
        </w:rPr>
        <w:t xml:space="preserve">Regarding the approach of a mutual recognition arrangement, </w:t>
      </w:r>
      <w:r>
        <w:rPr>
          <w:noProof/>
          <w:lang w:val="en-GB"/>
        </w:rPr>
        <w:t>the position of the interviewed is that such approach will have positive impact on the costs of industry. On the other hand, regarding the possibility to establish a European certification framework, the interviewed commented that costs are still not predi</w:t>
      </w:r>
      <w:r>
        <w:rPr>
          <w:noProof/>
          <w:lang w:val="en-GB"/>
        </w:rPr>
        <w:t xml:space="preserve">ctable because it depends on the tasks and on the mandate of the European Certification Board in charge of managing the framework. </w:t>
      </w:r>
    </w:p>
    <w:p w:rsidR="00913429" w:rsidRDefault="00913429">
      <w:pPr>
        <w:rPr>
          <w:rFonts w:eastAsia="Times New Roman" w:cs="Tahoma"/>
          <w:b/>
          <w:i/>
          <w:noProof/>
          <w:color w:val="000000" w:themeColor="text1"/>
          <w:sz w:val="28"/>
          <w:szCs w:val="26"/>
          <w:lang w:eastAsia="it-IT"/>
        </w:rPr>
      </w:pPr>
    </w:p>
    <w:p w:rsidR="00913429" w:rsidRDefault="00913429">
      <w:pPr>
        <w:jc w:val="right"/>
        <w:rPr>
          <w:rFonts w:eastAsia="Times New Roman" w:cs="Tahoma"/>
          <w:b/>
          <w:i/>
          <w:noProof/>
          <w:color w:val="000000" w:themeColor="text1"/>
          <w:sz w:val="28"/>
          <w:szCs w:val="26"/>
          <w:lang w:eastAsia="it-IT"/>
        </w:rPr>
      </w:pPr>
    </w:p>
    <w:p w:rsidR="00913429" w:rsidRDefault="00E143F0">
      <w:pPr>
        <w:spacing w:after="0" w:line="240" w:lineRule="auto"/>
        <w:rPr>
          <w:rFonts w:eastAsia="Times New Roman" w:cs="Tahoma"/>
          <w:b/>
          <w:i/>
          <w:noProof/>
          <w:color w:val="000000" w:themeColor="text1"/>
          <w:sz w:val="28"/>
          <w:szCs w:val="26"/>
          <w:lang w:eastAsia="it-IT"/>
        </w:rPr>
      </w:pPr>
      <w:r>
        <w:rPr>
          <w:rFonts w:eastAsia="Times New Roman" w:cs="Tahoma"/>
          <w:b/>
          <w:i/>
          <w:noProof/>
          <w:color w:val="000000" w:themeColor="text1"/>
          <w:sz w:val="28"/>
          <w:szCs w:val="26"/>
          <w:lang w:eastAsia="it-IT"/>
        </w:rPr>
        <w:br w:type="page"/>
      </w:r>
    </w:p>
    <w:p w:rsidR="00913429" w:rsidRDefault="00E143F0">
      <w:pPr>
        <w:jc w:val="right"/>
        <w:rPr>
          <w:rFonts w:eastAsia="Times New Roman" w:cs="Tahoma"/>
          <w:b/>
          <w:i/>
          <w:noProof/>
          <w:color w:val="000000" w:themeColor="text1"/>
          <w:sz w:val="28"/>
          <w:szCs w:val="26"/>
          <w:lang w:eastAsia="it-IT"/>
        </w:rPr>
      </w:pPr>
      <w:r>
        <w:rPr>
          <w:rFonts w:eastAsia="Times New Roman" w:cs="Tahoma"/>
          <w:b/>
          <w:i/>
          <w:noProof/>
          <w:color w:val="000000" w:themeColor="text1"/>
          <w:sz w:val="28"/>
          <w:szCs w:val="26"/>
          <w:lang w:eastAsia="it-IT"/>
        </w:rPr>
        <w:t>June 8, 2017</w:t>
      </w:r>
    </w:p>
    <w:p w:rsidR="00913429" w:rsidRDefault="00E143F0">
      <w:pPr>
        <w:pStyle w:val="Heading4"/>
        <w:spacing w:after="240"/>
        <w:rPr>
          <w:noProof/>
        </w:rPr>
      </w:pPr>
      <w:r>
        <w:rPr>
          <w:noProof/>
        </w:rPr>
        <w:t>Combined answers from two interviewees from a National ICT Certification Authority</w:t>
      </w:r>
    </w:p>
    <w:p w:rsidR="00913429" w:rsidRDefault="00E143F0">
      <w:pPr>
        <w:numPr>
          <w:ilvl w:val="0"/>
          <w:numId w:val="91"/>
        </w:numPr>
        <w:jc w:val="both"/>
        <w:rPr>
          <w:rFonts w:eastAsia="Times New Roman"/>
          <w:b/>
          <w:noProof/>
          <w:sz w:val="22"/>
        </w:rPr>
      </w:pPr>
      <w:r>
        <w:rPr>
          <w:rFonts w:eastAsia="Times New Roman"/>
          <w:b/>
          <w:noProof/>
          <w:sz w:val="22"/>
        </w:rPr>
        <w:t>Do you know EU cases whe</w:t>
      </w:r>
      <w:r>
        <w:rPr>
          <w:rFonts w:eastAsia="Times New Roman"/>
          <w:b/>
          <w:noProof/>
          <w:sz w:val="22"/>
        </w:rPr>
        <w:t>re an ICT product/service is requested or recommended to be equipped with a given security certificate in order to enter the market of a given MS?</w:t>
      </w:r>
    </w:p>
    <w:p w:rsidR="00913429" w:rsidRDefault="00E143F0">
      <w:pPr>
        <w:ind w:left="360"/>
        <w:jc w:val="both"/>
        <w:rPr>
          <w:noProof/>
        </w:rPr>
      </w:pPr>
      <w:r>
        <w:rPr>
          <w:noProof/>
        </w:rPr>
        <w:t>The interviewed provided several cases where there is a requirement on certification of an ICT product.</w:t>
      </w:r>
    </w:p>
    <w:p w:rsidR="00913429" w:rsidRDefault="00E143F0">
      <w:pPr>
        <w:ind w:left="360"/>
        <w:jc w:val="both"/>
        <w:rPr>
          <w:noProof/>
        </w:rPr>
      </w:pPr>
      <w:r>
        <w:rPr>
          <w:noProof/>
        </w:rPr>
        <w:t xml:space="preserve">Regarding the Hardware Security Module (HSM), a product that falls in this category has to be certified against the common criteria standard in order to access to the French market. HSM common criteria certification can last 6 to 9 months and the cost can </w:t>
      </w:r>
      <w:r>
        <w:rPr>
          <w:noProof/>
        </w:rPr>
        <w:t>be estimated on around 200k euros.</w:t>
      </w:r>
    </w:p>
    <w:p w:rsidR="00913429" w:rsidRDefault="00E143F0">
      <w:pPr>
        <w:ind w:left="360"/>
        <w:jc w:val="both"/>
        <w:rPr>
          <w:noProof/>
        </w:rPr>
      </w:pPr>
      <w:r>
        <w:rPr>
          <w:noProof/>
        </w:rPr>
        <w:t>Another example where common criteria certificate is required, in the EU, is the Secure Signature Creation Devices (SSCD):  like the previous example, a certification process can last 6 to 9 month and the cost can be esti</w:t>
      </w:r>
      <w:r>
        <w:rPr>
          <w:noProof/>
        </w:rPr>
        <w:t>mated in around 200k euros.</w:t>
      </w:r>
    </w:p>
    <w:p w:rsidR="00913429" w:rsidRDefault="00E143F0">
      <w:pPr>
        <w:ind w:left="360"/>
        <w:jc w:val="both"/>
        <w:rPr>
          <w:noProof/>
        </w:rPr>
      </w:pPr>
      <w:r>
        <w:rPr>
          <w:noProof/>
        </w:rPr>
        <w:t xml:space="preserve">The interviewed provided then information on the case of detection sensors where a qualification against the French national approach CSPN is required by national law. In this case, the duration of the qualification is 2 months </w:t>
      </w:r>
      <w:r>
        <w:rPr>
          <w:noProof/>
        </w:rPr>
        <w:t>and the costs is around 35k euros.</w:t>
      </w:r>
    </w:p>
    <w:p w:rsidR="00913429" w:rsidRDefault="00E143F0">
      <w:pPr>
        <w:ind w:left="360"/>
        <w:jc w:val="both"/>
        <w:rPr>
          <w:noProof/>
        </w:rPr>
      </w:pPr>
      <w:r>
        <w:rPr>
          <w:noProof/>
        </w:rPr>
        <w:t>Regarding network devices related to the creation and management of VPNs (Virtual Private Networks), requirements are defined in France and in the EU on certification based respectively on a national approval (which is Co</w:t>
      </w:r>
      <w:r>
        <w:rPr>
          <w:noProof/>
        </w:rPr>
        <w:t>mmon Criteria based), and on a EU approval process: the French national approval process for VPNs will last from 6 to 9 month and the costs are estimated around 80k euros. The EU approval process is free of charge and takes 2 months to be completed.</w:t>
      </w:r>
    </w:p>
    <w:p w:rsidR="00913429" w:rsidRDefault="00E143F0">
      <w:pPr>
        <w:numPr>
          <w:ilvl w:val="0"/>
          <w:numId w:val="91"/>
        </w:numPr>
        <w:jc w:val="both"/>
        <w:rPr>
          <w:rFonts w:eastAsia="Times New Roman"/>
          <w:b/>
          <w:noProof/>
          <w:sz w:val="22"/>
        </w:rPr>
      </w:pPr>
      <w:r>
        <w:rPr>
          <w:rFonts w:eastAsia="Times New Roman"/>
          <w:b/>
          <w:noProof/>
          <w:sz w:val="22"/>
        </w:rPr>
        <w:t>Can yo</w:t>
      </w:r>
      <w:r>
        <w:rPr>
          <w:rFonts w:eastAsia="Times New Roman"/>
          <w:b/>
          <w:noProof/>
          <w:sz w:val="22"/>
        </w:rPr>
        <w:t>u provide a case where the certification of an ICT components component is accepted in one country but it was not accepted in another EU country as another certification was required? In that case, did the company undertake a second certification or did it</w:t>
      </w:r>
      <w:r>
        <w:rPr>
          <w:rFonts w:eastAsia="Times New Roman"/>
          <w:b/>
          <w:noProof/>
          <w:sz w:val="22"/>
        </w:rPr>
        <w:t xml:space="preserve"> restrain itself from entering the market of that second country?</w:t>
      </w:r>
    </w:p>
    <w:p w:rsidR="00913429" w:rsidRDefault="00E143F0">
      <w:pPr>
        <w:ind w:left="360"/>
        <w:jc w:val="both"/>
        <w:rPr>
          <w:noProof/>
        </w:rPr>
      </w:pPr>
      <w:r>
        <w:rPr>
          <w:noProof/>
        </w:rPr>
        <w:t>With reference to the previous examples, the interviewed noted that for HSM an initial certification of the crypto module is requested (FIPS), and the SOGIS members, via CEN, request for add</w:t>
      </w:r>
      <w:r>
        <w:rPr>
          <w:noProof/>
        </w:rPr>
        <w:t xml:space="preserve">itional Common Criteria certificates with related vulnerability analysis. </w:t>
      </w:r>
    </w:p>
    <w:p w:rsidR="00913429" w:rsidRDefault="00E143F0">
      <w:pPr>
        <w:ind w:left="360"/>
        <w:jc w:val="both"/>
        <w:rPr>
          <w:noProof/>
        </w:rPr>
      </w:pPr>
      <w:r>
        <w:rPr>
          <w:noProof/>
        </w:rPr>
        <w:t>For SSCD products, there are examples in SOGIS Member States where, if the original common criteria certification is not sufficient for national needs, the product has to undergo ag</w:t>
      </w:r>
      <w:r>
        <w:rPr>
          <w:noProof/>
        </w:rPr>
        <w:t xml:space="preserve">ain the certification process. </w:t>
      </w:r>
    </w:p>
    <w:p w:rsidR="00913429" w:rsidRDefault="00E143F0">
      <w:pPr>
        <w:ind w:left="360"/>
        <w:jc w:val="both"/>
        <w:rPr>
          <w:noProof/>
        </w:rPr>
      </w:pPr>
      <w:r>
        <w:rPr>
          <w:noProof/>
        </w:rPr>
        <w:t>VPNs related network products are a good example to demonstrate that in absence of an EU common certification approach, some national schemes may have the need to define their own framework requesting another certificate: ev</w:t>
      </w:r>
      <w:r>
        <w:rPr>
          <w:noProof/>
        </w:rPr>
        <w:t>en if the product is certified against a “collaborative” protection profile, cPP (meaning that the PP has been harmonized between  International Mutual Recognition Arrangement members), and even if the product is certified against the FIPS requirements, th</w:t>
      </w:r>
      <w:r>
        <w:rPr>
          <w:noProof/>
        </w:rPr>
        <w:t xml:space="preserve">e additional certification CSPN (and in some cases a completely new common criteria evaluation) is required to access to the French market. </w:t>
      </w:r>
    </w:p>
    <w:p w:rsidR="00913429" w:rsidRDefault="00E143F0">
      <w:pPr>
        <w:ind w:left="360"/>
        <w:jc w:val="both"/>
        <w:rPr>
          <w:noProof/>
        </w:rPr>
      </w:pPr>
      <w:r>
        <w:rPr>
          <w:noProof/>
        </w:rPr>
        <w:t xml:space="preserve">Other example can be provided for other ICT products like Firewall. </w:t>
      </w:r>
    </w:p>
    <w:p w:rsidR="00913429" w:rsidRDefault="00E143F0">
      <w:pPr>
        <w:pStyle w:val="ListParagraph"/>
        <w:numPr>
          <w:ilvl w:val="0"/>
          <w:numId w:val="92"/>
        </w:numPr>
        <w:spacing w:before="0" w:after="200" w:line="276" w:lineRule="auto"/>
        <w:ind w:left="360"/>
        <w:jc w:val="both"/>
        <w:rPr>
          <w:b/>
          <w:noProof/>
          <w:sz w:val="22"/>
          <w:lang w:val="en-GB"/>
        </w:rPr>
      </w:pPr>
      <w:r>
        <w:rPr>
          <w:b/>
          <w:noProof/>
          <w:sz w:val="22"/>
          <w:lang w:val="en-GB"/>
        </w:rPr>
        <w:t>National certification approaches</w:t>
      </w:r>
    </w:p>
    <w:p w:rsidR="00913429" w:rsidRDefault="00E143F0">
      <w:pPr>
        <w:ind w:left="360"/>
        <w:jc w:val="both"/>
        <w:rPr>
          <w:noProof/>
        </w:rPr>
      </w:pPr>
      <w:r>
        <w:rPr>
          <w:noProof/>
        </w:rPr>
        <w:t>The intervie</w:t>
      </w:r>
      <w:r>
        <w:rPr>
          <w:noProof/>
        </w:rPr>
        <w:t>wed confirmed that some vendors of HSM, SSCD or other EU regulated products, after completing the certification process in non EU countries (e.g. USA, but there are also examples of products certified in UK and Sweden), quit the common criteria certificati</w:t>
      </w:r>
      <w:r>
        <w:rPr>
          <w:noProof/>
        </w:rPr>
        <w:t>on required in the EU because, in most of the cases, evidences required at security level for the evaluation process cannot be made available outside the country of origin.</w:t>
      </w:r>
    </w:p>
    <w:p w:rsidR="00913429" w:rsidRDefault="00E143F0">
      <w:pPr>
        <w:ind w:left="360"/>
        <w:jc w:val="both"/>
        <w:rPr>
          <w:noProof/>
        </w:rPr>
      </w:pPr>
      <w:r>
        <w:rPr>
          <w:noProof/>
        </w:rPr>
        <w:t>The interviewed provided examples of national approaches for low-level assurance wi</w:t>
      </w:r>
      <w:r>
        <w:rPr>
          <w:noProof/>
        </w:rPr>
        <w:t>th the CSPN in France, and the parallel approaches in Germany and Netherlands. The interviewed commented that alternative certification programs have been established to complement existing ones, in order to allow more entries into certification (case of C</w:t>
      </w:r>
      <w:r>
        <w:rPr>
          <w:noProof/>
        </w:rPr>
        <w:t>SPN), or to fill the gap of non-existing certification solutions.</w:t>
      </w:r>
    </w:p>
    <w:p w:rsidR="00913429" w:rsidRDefault="00E143F0">
      <w:pPr>
        <w:numPr>
          <w:ilvl w:val="0"/>
          <w:numId w:val="92"/>
        </w:numPr>
        <w:ind w:left="360"/>
        <w:jc w:val="both"/>
        <w:rPr>
          <w:rFonts w:eastAsia="Times New Roman"/>
          <w:b/>
          <w:noProof/>
          <w:sz w:val="22"/>
        </w:rPr>
      </w:pPr>
      <w:r>
        <w:rPr>
          <w:rFonts w:eastAsia="Times New Roman"/>
          <w:b/>
          <w:noProof/>
          <w:sz w:val="22"/>
        </w:rPr>
        <w:t>Do you know cases in the EU, where different certification approach from two different countries are deemed equivalent to establish the security of a same product (through Mutual Recognition</w:t>
      </w:r>
      <w:r>
        <w:rPr>
          <w:rFonts w:eastAsia="Times New Roman"/>
          <w:b/>
          <w:noProof/>
          <w:sz w:val="22"/>
        </w:rPr>
        <w:t xml:space="preserve"> Agreements)? </w:t>
      </w:r>
    </w:p>
    <w:p w:rsidR="00913429" w:rsidRDefault="00E143F0">
      <w:pPr>
        <w:ind w:left="426"/>
        <w:jc w:val="both"/>
        <w:rPr>
          <w:noProof/>
        </w:rPr>
      </w:pPr>
      <w:r>
        <w:rPr>
          <w:noProof/>
        </w:rPr>
        <w:t>The interviewed thinks that a mutual recognition agreement of certification schemes existing in different countries have indeed a positive impact on industry costs. Based on the SOG-IS MRA, France can for example certify an e-passport applic</w:t>
      </w:r>
      <w:r>
        <w:rPr>
          <w:noProof/>
        </w:rPr>
        <w:t>ation on a chip that was certified in another SOG-IS qualified member by just composing on the chip certificate. It applies as well for all smart card based products.</w:t>
      </w:r>
    </w:p>
    <w:p w:rsidR="00913429" w:rsidRDefault="00E143F0">
      <w:pPr>
        <w:ind w:left="426"/>
        <w:jc w:val="both"/>
        <w:rPr>
          <w:noProof/>
        </w:rPr>
      </w:pPr>
      <w:r>
        <w:rPr>
          <w:noProof/>
        </w:rPr>
        <w:t>For eIDAS, any SOG-IS certificate on a HSM or SSCD will be considered as immediately vali</w:t>
      </w:r>
      <w:r>
        <w:rPr>
          <w:noProof/>
        </w:rPr>
        <w:t>d for French procurement, as it probably is for all SOG-IS MRA members.</w:t>
      </w:r>
    </w:p>
    <w:p w:rsidR="00913429" w:rsidRDefault="00E143F0">
      <w:pPr>
        <w:ind w:left="426"/>
        <w:jc w:val="both"/>
        <w:rPr>
          <w:noProof/>
        </w:rPr>
      </w:pPr>
      <w:r>
        <w:rPr>
          <w:noProof/>
        </w:rPr>
        <w:t>A very quick estimation of manpower needed to run an European Certification board is not that obvious, however if we consider the existing SOG-IS MRA and EU Authorities (ENISA, JRC), w</w:t>
      </w:r>
      <w:r>
        <w:rPr>
          <w:noProof/>
        </w:rPr>
        <w:t>e could suggest that a permanent secretariat of 3 to 5 people could support the MSs to:</w:t>
      </w:r>
    </w:p>
    <w:p w:rsidR="00913429" w:rsidRDefault="00E143F0">
      <w:pPr>
        <w:numPr>
          <w:ilvl w:val="0"/>
          <w:numId w:val="76"/>
        </w:numPr>
        <w:spacing w:after="160" w:line="256" w:lineRule="auto"/>
        <w:ind w:left="426" w:firstLine="0"/>
        <w:jc w:val="both"/>
        <w:rPr>
          <w:noProof/>
        </w:rPr>
      </w:pPr>
      <w:r>
        <w:rPr>
          <w:noProof/>
        </w:rPr>
        <w:t>Organize the appropriate exchanges of strategies to address the certification needs in the EU and establish roadmaps</w:t>
      </w:r>
    </w:p>
    <w:p w:rsidR="00913429" w:rsidRDefault="00E143F0">
      <w:pPr>
        <w:numPr>
          <w:ilvl w:val="0"/>
          <w:numId w:val="76"/>
        </w:numPr>
        <w:spacing w:after="160" w:line="256" w:lineRule="auto"/>
        <w:ind w:left="426" w:firstLine="0"/>
        <w:jc w:val="both"/>
        <w:rPr>
          <w:noProof/>
        </w:rPr>
      </w:pPr>
      <w:r>
        <w:rPr>
          <w:noProof/>
        </w:rPr>
        <w:t>Approve the certification methods considered applic</w:t>
      </w:r>
      <w:r>
        <w:rPr>
          <w:noProof/>
        </w:rPr>
        <w:t>able for EU certification and recognized by all MSs</w:t>
      </w:r>
    </w:p>
    <w:p w:rsidR="00913429" w:rsidRDefault="00E143F0">
      <w:pPr>
        <w:numPr>
          <w:ilvl w:val="0"/>
          <w:numId w:val="76"/>
        </w:numPr>
        <w:spacing w:after="160" w:line="256" w:lineRule="auto"/>
        <w:ind w:left="426" w:firstLine="0"/>
        <w:jc w:val="both"/>
        <w:rPr>
          <w:noProof/>
        </w:rPr>
      </w:pPr>
      <w:r>
        <w:rPr>
          <w:noProof/>
        </w:rPr>
        <w:t xml:space="preserve">Offer a front office for new certification needs expressed by vertical sectors </w:t>
      </w:r>
    </w:p>
    <w:p w:rsidR="00913429" w:rsidRDefault="00E143F0">
      <w:pPr>
        <w:numPr>
          <w:ilvl w:val="0"/>
          <w:numId w:val="76"/>
        </w:numPr>
        <w:spacing w:line="256" w:lineRule="auto"/>
        <w:ind w:left="426" w:firstLine="0"/>
        <w:jc w:val="both"/>
        <w:rPr>
          <w:noProof/>
        </w:rPr>
      </w:pPr>
      <w:r>
        <w:rPr>
          <w:noProof/>
        </w:rPr>
        <w:t>Publish certificates and promote certification activities</w:t>
      </w:r>
    </w:p>
    <w:p w:rsidR="00913429" w:rsidRDefault="00E143F0">
      <w:pPr>
        <w:numPr>
          <w:ilvl w:val="0"/>
          <w:numId w:val="92"/>
        </w:numPr>
        <w:tabs>
          <w:tab w:val="num" w:pos="0"/>
        </w:tabs>
        <w:ind w:left="360"/>
        <w:jc w:val="both"/>
        <w:rPr>
          <w:rFonts w:eastAsia="Times New Roman"/>
          <w:b/>
          <w:noProof/>
          <w:sz w:val="22"/>
        </w:rPr>
      </w:pPr>
      <w:r>
        <w:rPr>
          <w:rFonts w:eastAsia="Times New Roman"/>
          <w:b/>
          <w:noProof/>
          <w:sz w:val="22"/>
        </w:rPr>
        <w:t xml:space="preserve">Do you know EU cases, where a customer is not provided with enough/reliable information about the security properties of any ICT products/services? </w:t>
      </w:r>
    </w:p>
    <w:p w:rsidR="00913429" w:rsidRDefault="00E143F0">
      <w:pPr>
        <w:ind w:left="360"/>
        <w:jc w:val="both"/>
        <w:rPr>
          <w:noProof/>
        </w:rPr>
      </w:pPr>
      <w:r>
        <w:rPr>
          <w:noProof/>
        </w:rPr>
        <w:t xml:space="preserve">Unless a product or service has been certified, interviewed answered that there is no proper evidence that </w:t>
      </w:r>
      <w:r>
        <w:rPr>
          <w:noProof/>
        </w:rPr>
        <w:t>a product or service is secure enough for its customer.</w:t>
      </w:r>
    </w:p>
    <w:p w:rsidR="00913429" w:rsidRDefault="00E143F0">
      <w:pPr>
        <w:ind w:left="360"/>
        <w:jc w:val="both"/>
        <w:rPr>
          <w:noProof/>
        </w:rPr>
      </w:pPr>
      <w:r>
        <w:rPr>
          <w:noProof/>
        </w:rPr>
        <w:t>Only a certification allows to deliver a certification report that identifies the assessed security level and associated documentation (user guidance, especially) to customers (who have to carefully e</w:t>
      </w:r>
      <w:r>
        <w:rPr>
          <w:noProof/>
        </w:rPr>
        <w:t xml:space="preserve">xamine these evidence to make sure the product/service is adequate to their security needs). </w:t>
      </w:r>
    </w:p>
    <w:p w:rsidR="00913429" w:rsidRDefault="00E143F0">
      <w:pPr>
        <w:numPr>
          <w:ilvl w:val="0"/>
          <w:numId w:val="92"/>
        </w:numPr>
        <w:ind w:left="360"/>
        <w:jc w:val="both"/>
        <w:rPr>
          <w:rFonts w:eastAsia="Times New Roman"/>
          <w:b/>
          <w:noProof/>
          <w:sz w:val="22"/>
        </w:rPr>
      </w:pPr>
      <w:r>
        <w:rPr>
          <w:rFonts w:eastAsia="Times New Roman"/>
          <w:b/>
          <w:noProof/>
          <w:sz w:val="22"/>
        </w:rPr>
        <w:t>Do you think a mutual recognition agreement of certification schemes existing in different countries may have a positive impact on industry costs?</w:t>
      </w:r>
    </w:p>
    <w:p w:rsidR="00913429" w:rsidRDefault="00E143F0">
      <w:pPr>
        <w:ind w:left="360"/>
        <w:jc w:val="both"/>
        <w:rPr>
          <w:noProof/>
        </w:rPr>
      </w:pPr>
      <w:r>
        <w:rPr>
          <w:noProof/>
        </w:rPr>
        <w:t>Therefore, ther</w:t>
      </w:r>
      <w:r>
        <w:rPr>
          <w:noProof/>
        </w:rPr>
        <w:t>e is an urgent need to establish a proper EU framework that will analyse, select and improve, where necessary, the acceptable approaches for EU wide certification, and will rationalize the certification decisions for both MSs and industry.</w:t>
      </w:r>
    </w:p>
    <w:p w:rsidR="00913429" w:rsidRDefault="00E143F0">
      <w:pPr>
        <w:ind w:left="360"/>
        <w:jc w:val="both"/>
        <w:rPr>
          <w:noProof/>
        </w:rPr>
      </w:pPr>
      <w:r>
        <w:rPr>
          <w:noProof/>
        </w:rPr>
        <w:t>Harmonizing will</w:t>
      </w:r>
      <w:r>
        <w:rPr>
          <w:noProof/>
        </w:rPr>
        <w:t xml:space="preserve"> only be possible through technical exchanges between the MSs schemes, which obviously relies on open certification approaches.</w:t>
      </w:r>
    </w:p>
    <w:p w:rsidR="00913429" w:rsidRDefault="00E143F0">
      <w:pPr>
        <w:spacing w:after="0" w:line="240" w:lineRule="auto"/>
        <w:rPr>
          <w:noProof/>
        </w:rPr>
      </w:pPr>
      <w:r>
        <w:rPr>
          <w:noProof/>
        </w:rPr>
        <w:br w:type="page"/>
      </w:r>
    </w:p>
    <w:p w:rsidR="00913429" w:rsidRDefault="00E143F0">
      <w:pPr>
        <w:tabs>
          <w:tab w:val="center" w:pos="4819"/>
          <w:tab w:val="left" w:pos="6499"/>
        </w:tabs>
        <w:jc w:val="right"/>
        <w:rPr>
          <w:rFonts w:eastAsia="Times New Roman" w:cs="Tahoma"/>
          <w:b/>
          <w:i/>
          <w:noProof/>
          <w:color w:val="000000"/>
          <w:sz w:val="28"/>
          <w:szCs w:val="26"/>
          <w:lang w:eastAsia="it-IT"/>
        </w:rPr>
      </w:pPr>
      <w:r>
        <w:rPr>
          <w:rFonts w:eastAsia="Times New Roman" w:cs="Tahoma"/>
          <w:b/>
          <w:i/>
          <w:noProof/>
          <w:color w:val="000000"/>
          <w:sz w:val="28"/>
          <w:szCs w:val="26"/>
          <w:lang w:eastAsia="it-IT"/>
        </w:rPr>
        <w:t>June 9, 2017</w:t>
      </w:r>
    </w:p>
    <w:p w:rsidR="00913429" w:rsidRDefault="00E143F0">
      <w:pPr>
        <w:pStyle w:val="Heading4"/>
        <w:rPr>
          <w:noProof/>
        </w:rPr>
      </w:pPr>
      <w:r>
        <w:rPr>
          <w:noProof/>
        </w:rPr>
        <w:t>Interviews results from representative of</w:t>
      </w:r>
      <w:r>
        <w:rPr>
          <w:b/>
          <w:noProof/>
        </w:rPr>
        <w:t xml:space="preserve"> </w:t>
      </w:r>
      <w:r>
        <w:rPr>
          <w:noProof/>
        </w:rPr>
        <w:t xml:space="preserve">a Semi-conductors industry </w:t>
      </w:r>
    </w:p>
    <w:p w:rsidR="00913429" w:rsidRDefault="00913429">
      <w:pPr>
        <w:spacing w:after="0" w:line="240" w:lineRule="auto"/>
        <w:jc w:val="right"/>
        <w:rPr>
          <w:b/>
          <w:noProof/>
          <w:color w:val="000000"/>
        </w:rPr>
      </w:pPr>
    </w:p>
    <w:p w:rsidR="00913429" w:rsidRDefault="00E143F0">
      <w:pPr>
        <w:pStyle w:val="ListParagraph"/>
        <w:numPr>
          <w:ilvl w:val="0"/>
          <w:numId w:val="88"/>
        </w:numPr>
        <w:spacing w:before="0" w:after="160" w:line="259" w:lineRule="auto"/>
        <w:jc w:val="both"/>
        <w:rPr>
          <w:b/>
          <w:noProof/>
          <w:color w:val="000000"/>
          <w:sz w:val="22"/>
          <w:lang w:val="en-GB"/>
        </w:rPr>
      </w:pPr>
      <w:r>
        <w:rPr>
          <w:b/>
          <w:noProof/>
          <w:color w:val="000000"/>
          <w:sz w:val="22"/>
          <w:lang w:val="en-GB"/>
        </w:rPr>
        <w:t xml:space="preserve">Do you know EU cases where an ICT </w:t>
      </w:r>
      <w:r>
        <w:rPr>
          <w:b/>
          <w:noProof/>
          <w:color w:val="000000"/>
          <w:sz w:val="22"/>
          <w:lang w:val="en-GB"/>
        </w:rPr>
        <w:t>product/service is requested or recommended to be equipped with a given security certificate in order to enter the market of a given MS?</w:t>
      </w:r>
    </w:p>
    <w:p w:rsidR="00913429" w:rsidRDefault="00E143F0">
      <w:pPr>
        <w:pStyle w:val="ListParagraph"/>
        <w:ind w:left="360"/>
        <w:jc w:val="both"/>
        <w:rPr>
          <w:b/>
          <w:noProof/>
          <w:color w:val="000000"/>
          <w:sz w:val="22"/>
          <w:lang w:val="en-GB"/>
        </w:rPr>
      </w:pPr>
      <w:r>
        <w:rPr>
          <w:b/>
          <w:noProof/>
          <w:color w:val="000000"/>
          <w:sz w:val="22"/>
          <w:lang w:val="en-GB"/>
        </w:rPr>
        <w:t xml:space="preserve"> </w:t>
      </w:r>
    </w:p>
    <w:p w:rsidR="00913429" w:rsidRDefault="00E143F0">
      <w:pPr>
        <w:pStyle w:val="ListParagraph"/>
        <w:spacing w:after="0"/>
        <w:ind w:left="357"/>
        <w:jc w:val="both"/>
        <w:rPr>
          <w:noProof/>
          <w:color w:val="000000"/>
          <w:lang w:val="en-GB"/>
        </w:rPr>
      </w:pPr>
      <w:r>
        <w:rPr>
          <w:noProof/>
          <w:color w:val="000000"/>
          <w:lang w:val="en-GB"/>
        </w:rPr>
        <w:t>An illustration of present certificates needed for ICT products is the Italian passport, which has a chip certified f</w:t>
      </w:r>
      <w:r>
        <w:rPr>
          <w:noProof/>
          <w:color w:val="000000"/>
          <w:lang w:val="en-GB"/>
        </w:rPr>
        <w:t xml:space="preserve">or example in Netherlands, produced in Germany and approved by the national statement of Polygraph of Italy. </w:t>
      </w:r>
    </w:p>
    <w:p w:rsidR="00913429" w:rsidRDefault="00913429">
      <w:pPr>
        <w:pStyle w:val="ListParagraph"/>
        <w:spacing w:after="0"/>
        <w:ind w:left="357"/>
        <w:jc w:val="both"/>
        <w:rPr>
          <w:noProof/>
          <w:color w:val="000000"/>
          <w:lang w:val="en-GB"/>
        </w:rPr>
      </w:pPr>
    </w:p>
    <w:p w:rsidR="00913429" w:rsidRDefault="00E143F0">
      <w:pPr>
        <w:pStyle w:val="ListParagraph"/>
        <w:spacing w:after="0"/>
        <w:ind w:left="357"/>
        <w:jc w:val="both"/>
        <w:rPr>
          <w:noProof/>
          <w:color w:val="000000"/>
          <w:lang w:val="en-GB"/>
        </w:rPr>
      </w:pPr>
      <w:r>
        <w:rPr>
          <w:noProof/>
          <w:color w:val="000000"/>
          <w:lang w:val="en-GB"/>
        </w:rPr>
        <w:t xml:space="preserve">Another example given was related to the banking sector and especially for the bankcards. All bankcards in Europe must be certified in two ways: </w:t>
      </w:r>
      <w:r>
        <w:rPr>
          <w:noProof/>
          <w:color w:val="000000"/>
          <w:lang w:val="en-GB"/>
        </w:rPr>
        <w:t>credit cards or debit cards.</w:t>
      </w:r>
    </w:p>
    <w:p w:rsidR="00913429" w:rsidRDefault="00E143F0">
      <w:pPr>
        <w:pStyle w:val="ListParagraph"/>
        <w:spacing w:after="0"/>
        <w:ind w:left="357"/>
        <w:jc w:val="both"/>
        <w:rPr>
          <w:noProof/>
          <w:color w:val="000000"/>
          <w:lang w:val="en-GB"/>
        </w:rPr>
      </w:pPr>
      <w:r>
        <w:rPr>
          <w:noProof/>
          <w:color w:val="000000"/>
          <w:lang w:val="en-GB"/>
        </w:rPr>
        <w:t>Passports, bankcards and many documents must be certified under European Regulation but there are also National Regulation to be considered that could require additional certification. For instance, in Italy there is the CNS (C</w:t>
      </w:r>
      <w:r>
        <w:rPr>
          <w:noProof/>
          <w:color w:val="000000"/>
          <w:lang w:val="en-GB"/>
        </w:rPr>
        <w:t>arta Nazionale dei Servizi) Card that is certified under the Italian Government. In Germany there is a similar program called Telematik-Infrastruktur. Another example of ICT products that must be certified are all cards reader for hospitals.</w:t>
      </w:r>
    </w:p>
    <w:p w:rsidR="00913429" w:rsidRDefault="00913429">
      <w:pPr>
        <w:pStyle w:val="ListParagraph"/>
        <w:spacing w:after="0"/>
        <w:ind w:left="357"/>
        <w:jc w:val="both"/>
        <w:rPr>
          <w:noProof/>
          <w:color w:val="000000"/>
          <w:lang w:val="en-GB"/>
        </w:rPr>
      </w:pPr>
    </w:p>
    <w:p w:rsidR="00913429" w:rsidRDefault="00E143F0">
      <w:pPr>
        <w:pStyle w:val="ListParagraph"/>
        <w:spacing w:after="0"/>
        <w:ind w:left="357"/>
        <w:jc w:val="both"/>
        <w:rPr>
          <w:noProof/>
          <w:color w:val="000000"/>
          <w:lang w:val="en-GB"/>
        </w:rPr>
      </w:pPr>
      <w:r>
        <w:rPr>
          <w:noProof/>
          <w:color w:val="000000"/>
          <w:lang w:val="en-GB"/>
        </w:rPr>
        <w:t>All laptops u</w:t>
      </w:r>
      <w:r>
        <w:rPr>
          <w:noProof/>
          <w:color w:val="000000"/>
          <w:lang w:val="en-GB"/>
        </w:rPr>
        <w:t>sing Microsoft, Office, Windows software needs TPM (Trusted Platform Module) which is the name of the requirement for building a microchip which aims at guaranteeing the encryption of the email of personal computers and laptops. All pc, laptops must have c</w:t>
      </w:r>
      <w:r>
        <w:rPr>
          <w:noProof/>
          <w:color w:val="000000"/>
          <w:lang w:val="en-GB"/>
        </w:rPr>
        <w:t>ertified microchips and the certification is uniquely recognized worldwide. The chip of a laptop could be produced in Germany and the motherboards produced in China but all components must be certified.</w:t>
      </w:r>
    </w:p>
    <w:p w:rsidR="00913429" w:rsidRDefault="00913429">
      <w:pPr>
        <w:pStyle w:val="ListParagraph"/>
        <w:spacing w:after="0"/>
        <w:ind w:left="644"/>
        <w:jc w:val="both"/>
        <w:rPr>
          <w:noProof/>
          <w:color w:val="000000"/>
          <w:sz w:val="22"/>
          <w:lang w:val="en-GB"/>
        </w:rPr>
      </w:pPr>
    </w:p>
    <w:p w:rsidR="00913429" w:rsidRDefault="00E143F0">
      <w:pPr>
        <w:numPr>
          <w:ilvl w:val="0"/>
          <w:numId w:val="88"/>
        </w:numPr>
        <w:spacing w:after="160" w:line="259" w:lineRule="auto"/>
        <w:contextualSpacing/>
        <w:jc w:val="both"/>
        <w:rPr>
          <w:b/>
          <w:noProof/>
          <w:color w:val="000000"/>
          <w:sz w:val="22"/>
        </w:rPr>
      </w:pPr>
      <w:r>
        <w:rPr>
          <w:b/>
          <w:noProof/>
          <w:color w:val="000000"/>
          <w:sz w:val="22"/>
        </w:rPr>
        <w:t>Do you know EU cases where an ICT product/service wh</w:t>
      </w:r>
      <w:r>
        <w:rPr>
          <w:b/>
          <w:noProof/>
          <w:color w:val="000000"/>
          <w:sz w:val="22"/>
        </w:rPr>
        <w:t>ich is equipped with some certificate security certificate is requested or recommended (e.g., preferred within public procurement) to get additional security certificates in order to enter the market of any MS?</w:t>
      </w:r>
    </w:p>
    <w:p w:rsidR="00913429" w:rsidRDefault="00E143F0">
      <w:pPr>
        <w:pStyle w:val="ListParagraph"/>
        <w:spacing w:after="0"/>
        <w:ind w:left="357"/>
        <w:jc w:val="both"/>
        <w:rPr>
          <w:noProof/>
          <w:color w:val="000000"/>
          <w:lang w:val="en-GB"/>
        </w:rPr>
      </w:pPr>
      <w:r>
        <w:rPr>
          <w:noProof/>
          <w:color w:val="000000"/>
          <w:lang w:val="en-GB"/>
        </w:rPr>
        <w:t>One problem of fragmentation for ICT Certific</w:t>
      </w:r>
      <w:r>
        <w:rPr>
          <w:noProof/>
          <w:color w:val="000000"/>
          <w:lang w:val="en-GB"/>
        </w:rPr>
        <w:t xml:space="preserve">ation is that one product needs to be certified more times for each single component: the hardware of one product needs one dedicated certification, the software integrated of the same product needs another certification and, for example, the chip a third </w:t>
      </w:r>
      <w:r>
        <w:rPr>
          <w:noProof/>
          <w:color w:val="000000"/>
          <w:lang w:val="en-GB"/>
        </w:rPr>
        <w:t>one. This is a real problem for the semi-conductor industry.</w:t>
      </w:r>
    </w:p>
    <w:p w:rsidR="00913429" w:rsidRDefault="00913429">
      <w:pPr>
        <w:pStyle w:val="ListParagraph"/>
        <w:spacing w:after="0"/>
        <w:ind w:left="357"/>
        <w:jc w:val="both"/>
        <w:rPr>
          <w:noProof/>
          <w:lang w:val="en-GB"/>
        </w:rPr>
      </w:pPr>
    </w:p>
    <w:p w:rsidR="00913429" w:rsidRDefault="00E143F0">
      <w:pPr>
        <w:pStyle w:val="ListParagraph"/>
        <w:spacing w:after="0"/>
        <w:ind w:left="357"/>
        <w:jc w:val="both"/>
        <w:rPr>
          <w:noProof/>
          <w:color w:val="000000"/>
          <w:lang w:val="en-GB"/>
        </w:rPr>
      </w:pPr>
      <w:r>
        <w:rPr>
          <w:noProof/>
          <w:color w:val="000000"/>
          <w:lang w:val="en-GB"/>
        </w:rPr>
        <w:t>Fragmentation is related to the existence of multiple national and sectorial certification schemes not mutually recognized especially in reference to National programs and regulations. The Itali</w:t>
      </w:r>
      <w:r>
        <w:rPr>
          <w:noProof/>
          <w:color w:val="000000"/>
          <w:lang w:val="en-GB"/>
        </w:rPr>
        <w:t xml:space="preserve">an health care cards are completely different from French health care cards, because they have different data, different functions and different type of certifications. </w:t>
      </w:r>
    </w:p>
    <w:p w:rsidR="00913429" w:rsidRDefault="00913429">
      <w:pPr>
        <w:pStyle w:val="ListParagraph"/>
        <w:spacing w:after="0"/>
        <w:ind w:left="0"/>
        <w:jc w:val="both"/>
        <w:rPr>
          <w:noProof/>
          <w:color w:val="000000"/>
          <w:sz w:val="22"/>
          <w:lang w:val="en-GB"/>
        </w:rPr>
      </w:pPr>
    </w:p>
    <w:p w:rsidR="00913429" w:rsidRDefault="00E143F0">
      <w:pPr>
        <w:numPr>
          <w:ilvl w:val="0"/>
          <w:numId w:val="88"/>
        </w:numPr>
        <w:spacing w:after="160" w:line="259" w:lineRule="auto"/>
        <w:contextualSpacing/>
        <w:jc w:val="both"/>
        <w:rPr>
          <w:b/>
          <w:noProof/>
          <w:color w:val="000000"/>
          <w:sz w:val="22"/>
        </w:rPr>
      </w:pPr>
      <w:r>
        <w:rPr>
          <w:b/>
          <w:noProof/>
          <w:color w:val="000000"/>
          <w:sz w:val="22"/>
        </w:rPr>
        <w:t>Do you know EU cases where an ICT product/service that has been requested or recommen</w:t>
      </w:r>
      <w:r>
        <w:rPr>
          <w:b/>
          <w:noProof/>
          <w:color w:val="000000"/>
          <w:sz w:val="22"/>
        </w:rPr>
        <w:t>ded to be equipped with additional security certifications (see previous question) in order to enter the market of another MS, has actually gone through the certification process?</w:t>
      </w:r>
    </w:p>
    <w:p w:rsidR="00913429" w:rsidRDefault="00913429">
      <w:pPr>
        <w:pStyle w:val="ListParagraph"/>
        <w:spacing w:after="0"/>
        <w:ind w:left="0"/>
        <w:jc w:val="both"/>
        <w:rPr>
          <w:noProof/>
          <w:color w:val="000000"/>
          <w:sz w:val="22"/>
          <w:lang w:val="en-GB"/>
        </w:rPr>
      </w:pPr>
    </w:p>
    <w:p w:rsidR="00913429" w:rsidRDefault="00E143F0">
      <w:pPr>
        <w:pStyle w:val="ListParagraph"/>
        <w:spacing w:after="0"/>
        <w:ind w:left="357"/>
        <w:jc w:val="both"/>
        <w:rPr>
          <w:noProof/>
          <w:color w:val="000000"/>
          <w:lang w:val="en-GB"/>
        </w:rPr>
      </w:pPr>
      <w:r>
        <w:rPr>
          <w:noProof/>
          <w:color w:val="000000"/>
          <w:lang w:val="en-GB"/>
        </w:rPr>
        <w:t>For example, Taxi cards have to be certified within individual National spe</w:t>
      </w:r>
      <w:r>
        <w:rPr>
          <w:noProof/>
          <w:color w:val="000000"/>
          <w:lang w:val="en-GB"/>
        </w:rPr>
        <w:t>cific programs (one example is the Dutch program) but in Italy there is no such a program established. Within the Member State there are too many National programs which are not harmonized. The fragmentation exists in terms of specific products and specifi</w:t>
      </w:r>
      <w:r>
        <w:rPr>
          <w:noProof/>
          <w:color w:val="000000"/>
          <w:lang w:val="en-GB"/>
        </w:rPr>
        <w:t>c regulation of member states.</w:t>
      </w:r>
    </w:p>
    <w:p w:rsidR="00913429" w:rsidRDefault="00E143F0">
      <w:pPr>
        <w:pStyle w:val="ListParagraph"/>
        <w:spacing w:after="0"/>
        <w:ind w:left="357"/>
        <w:jc w:val="both"/>
        <w:rPr>
          <w:noProof/>
          <w:color w:val="000000"/>
          <w:lang w:val="en-GB"/>
        </w:rPr>
      </w:pPr>
      <w:r>
        <w:rPr>
          <w:noProof/>
          <w:color w:val="000000"/>
          <w:lang w:val="en-GB"/>
        </w:rPr>
        <w:t>Software, Hardware and chip are certified with different levels of certification according to EAL Common Criteria.</w:t>
      </w:r>
    </w:p>
    <w:p w:rsidR="00913429" w:rsidRDefault="00913429">
      <w:pPr>
        <w:pStyle w:val="ListParagraph"/>
        <w:spacing w:after="0"/>
        <w:ind w:left="0"/>
        <w:jc w:val="both"/>
        <w:rPr>
          <w:noProof/>
          <w:color w:val="000000"/>
          <w:sz w:val="22"/>
          <w:lang w:val="en-GB"/>
        </w:rPr>
      </w:pPr>
    </w:p>
    <w:p w:rsidR="00913429" w:rsidRDefault="00E143F0">
      <w:pPr>
        <w:numPr>
          <w:ilvl w:val="0"/>
          <w:numId w:val="88"/>
        </w:numPr>
        <w:spacing w:after="160" w:line="259" w:lineRule="auto"/>
        <w:contextualSpacing/>
        <w:jc w:val="both"/>
        <w:rPr>
          <w:b/>
          <w:noProof/>
          <w:color w:val="000000"/>
          <w:sz w:val="22"/>
        </w:rPr>
      </w:pPr>
      <w:r>
        <w:rPr>
          <w:b/>
          <w:noProof/>
          <w:color w:val="000000"/>
          <w:sz w:val="22"/>
        </w:rPr>
        <w:t>Do you know EU cases, where a customer is not provided with enough/reliable information about the security pr</w:t>
      </w:r>
      <w:r>
        <w:rPr>
          <w:b/>
          <w:noProof/>
          <w:color w:val="000000"/>
          <w:sz w:val="22"/>
        </w:rPr>
        <w:t xml:space="preserve">operties of any ICT products/services? </w:t>
      </w:r>
    </w:p>
    <w:p w:rsidR="00913429" w:rsidRDefault="00E143F0">
      <w:pPr>
        <w:pStyle w:val="ListParagraph"/>
        <w:spacing w:after="0"/>
        <w:ind w:left="357"/>
        <w:jc w:val="both"/>
        <w:rPr>
          <w:noProof/>
          <w:color w:val="000000"/>
          <w:lang w:val="en-GB"/>
        </w:rPr>
      </w:pPr>
      <w:r>
        <w:rPr>
          <w:noProof/>
          <w:color w:val="000000"/>
          <w:lang w:val="en-GB"/>
        </w:rPr>
        <w:t xml:space="preserve">It is paramount to distinguish customers from users when trying to assess whether there is an information asymmetry with behavioural impacts. The final consumer is not well informed on the security properties of ICT </w:t>
      </w:r>
      <w:r>
        <w:rPr>
          <w:noProof/>
          <w:color w:val="000000"/>
          <w:lang w:val="en-GB"/>
        </w:rPr>
        <w:t>products/services, this is due to a lack of awareness through labelling. From the point of view of industry and government customers, the information in labelling schemes is likely to have an impact on its behaviour and purchases.</w:t>
      </w:r>
    </w:p>
    <w:p w:rsidR="00913429" w:rsidRDefault="00913429">
      <w:pPr>
        <w:pStyle w:val="ListParagraph"/>
        <w:spacing w:after="0"/>
        <w:ind w:left="357"/>
        <w:jc w:val="both"/>
        <w:rPr>
          <w:noProof/>
          <w:color w:val="000000"/>
          <w:lang w:val="en-GB"/>
        </w:rPr>
      </w:pPr>
    </w:p>
    <w:p w:rsidR="00913429" w:rsidRDefault="00E143F0">
      <w:pPr>
        <w:pStyle w:val="ListParagraph"/>
        <w:spacing w:after="0"/>
        <w:ind w:left="357"/>
        <w:jc w:val="both"/>
        <w:rPr>
          <w:noProof/>
          <w:color w:val="000000"/>
          <w:lang w:val="en-GB"/>
        </w:rPr>
      </w:pPr>
      <w:r>
        <w:rPr>
          <w:noProof/>
          <w:color w:val="000000"/>
          <w:lang w:val="en-GB"/>
        </w:rPr>
        <w:t xml:space="preserve">An example can be found </w:t>
      </w:r>
      <w:r>
        <w:rPr>
          <w:noProof/>
          <w:color w:val="000000"/>
          <w:lang w:val="en-GB"/>
        </w:rPr>
        <w:t>in cable TV that need to be connected to a router for internet connections, these products do not respond to specific security requirements and are vulnerable to hacker attacks. On the other hand, consumers are not aware of this kind of deficiencies, so th</w:t>
      </w:r>
      <w:r>
        <w:rPr>
          <w:noProof/>
          <w:color w:val="000000"/>
          <w:lang w:val="en-GB"/>
        </w:rPr>
        <w:t>ey continue buying products without considering security requirements.</w:t>
      </w:r>
    </w:p>
    <w:p w:rsidR="00913429" w:rsidRDefault="00913429">
      <w:pPr>
        <w:rPr>
          <w:noProof/>
          <w:sz w:val="22"/>
        </w:rPr>
      </w:pPr>
    </w:p>
    <w:p w:rsidR="00913429" w:rsidRDefault="00E143F0">
      <w:pPr>
        <w:numPr>
          <w:ilvl w:val="0"/>
          <w:numId w:val="88"/>
        </w:numPr>
        <w:spacing w:after="120" w:line="259" w:lineRule="auto"/>
        <w:contextualSpacing/>
        <w:jc w:val="both"/>
        <w:rPr>
          <w:b/>
          <w:noProof/>
          <w:color w:val="000000"/>
          <w:sz w:val="22"/>
        </w:rPr>
      </w:pPr>
      <w:r>
        <w:rPr>
          <w:b/>
          <w:noProof/>
          <w:color w:val="000000"/>
          <w:sz w:val="22"/>
        </w:rPr>
        <w:t>Do you think a mutual recognition agreement of certification schemes existing in different countries may have a positive impact on industry costs?</w:t>
      </w:r>
    </w:p>
    <w:p w:rsidR="00913429" w:rsidRDefault="00913429">
      <w:pPr>
        <w:spacing w:after="120"/>
        <w:contextualSpacing/>
        <w:jc w:val="both"/>
        <w:rPr>
          <w:b/>
          <w:noProof/>
          <w:color w:val="000000"/>
        </w:rPr>
      </w:pPr>
    </w:p>
    <w:p w:rsidR="00913429" w:rsidRDefault="00E143F0">
      <w:pPr>
        <w:ind w:left="357"/>
        <w:rPr>
          <w:noProof/>
        </w:rPr>
      </w:pPr>
      <w:r>
        <w:rPr>
          <w:noProof/>
          <w:color w:val="000000"/>
        </w:rPr>
        <w:t xml:space="preserve">Benefits of Mutual recognition </w:t>
      </w:r>
      <w:r>
        <w:rPr>
          <w:noProof/>
          <w:color w:val="000000"/>
        </w:rPr>
        <w:t>agreement within Member States comes from more than 20 years of experience.</w:t>
      </w:r>
    </w:p>
    <w:p w:rsidR="00913429" w:rsidRDefault="00E143F0">
      <w:pPr>
        <w:numPr>
          <w:ilvl w:val="0"/>
          <w:numId w:val="88"/>
        </w:numPr>
        <w:spacing w:after="160" w:line="259" w:lineRule="auto"/>
        <w:rPr>
          <w:b/>
          <w:noProof/>
          <w:color w:val="000000"/>
          <w:sz w:val="22"/>
        </w:rPr>
      </w:pPr>
      <w:r>
        <w:rPr>
          <w:b/>
          <w:noProof/>
          <w:color w:val="000000"/>
          <w:sz w:val="22"/>
        </w:rPr>
        <w:t>Do you think that the extension of the SOG-IS MRA to all Member States could be a viable policy options?</w:t>
      </w:r>
    </w:p>
    <w:p w:rsidR="00913429" w:rsidRDefault="00E143F0">
      <w:pPr>
        <w:ind w:left="357"/>
        <w:jc w:val="both"/>
        <w:rPr>
          <w:noProof/>
          <w:color w:val="000000"/>
        </w:rPr>
      </w:pPr>
      <w:r>
        <w:rPr>
          <w:noProof/>
          <w:color w:val="000000"/>
        </w:rPr>
        <w:t>The extension of SOG-IS agreement to all MS is not a valid policy option th</w:t>
      </w:r>
      <w:r>
        <w:rPr>
          <w:noProof/>
          <w:color w:val="000000"/>
        </w:rPr>
        <w:t>at must be considered because there are Member States which are too small and do not have a Certification Authority. Not all countries have the ability to join the SOG-IS agreement.</w:t>
      </w:r>
    </w:p>
    <w:p w:rsidR="00913429" w:rsidRDefault="00E143F0">
      <w:pPr>
        <w:spacing w:after="0" w:line="240" w:lineRule="auto"/>
        <w:rPr>
          <w:noProof/>
          <w:color w:val="000000"/>
        </w:rPr>
      </w:pPr>
      <w:r>
        <w:rPr>
          <w:noProof/>
          <w:color w:val="000000"/>
        </w:rPr>
        <w:br w:type="page"/>
      </w:r>
    </w:p>
    <w:p w:rsidR="00913429" w:rsidRDefault="00E143F0">
      <w:pPr>
        <w:jc w:val="right"/>
        <w:rPr>
          <w:rFonts w:eastAsia="Times New Roman" w:cs="Tahoma"/>
          <w:b/>
          <w:i/>
          <w:noProof/>
          <w:color w:val="000000" w:themeColor="text1"/>
          <w:sz w:val="28"/>
          <w:szCs w:val="26"/>
          <w:lang w:eastAsia="it-IT"/>
        </w:rPr>
      </w:pPr>
      <w:r>
        <w:rPr>
          <w:rFonts w:eastAsia="Times New Roman" w:cs="Tahoma"/>
          <w:b/>
          <w:i/>
          <w:noProof/>
          <w:color w:val="000000" w:themeColor="text1"/>
          <w:sz w:val="28"/>
          <w:szCs w:val="26"/>
          <w:lang w:eastAsia="it-IT"/>
        </w:rPr>
        <w:t>June 12, 2017</w:t>
      </w:r>
    </w:p>
    <w:p w:rsidR="00913429" w:rsidRDefault="00E143F0">
      <w:pPr>
        <w:pStyle w:val="Heading4"/>
        <w:spacing w:after="240"/>
        <w:rPr>
          <w:noProof/>
        </w:rPr>
      </w:pPr>
      <w:r>
        <w:rPr>
          <w:noProof/>
        </w:rPr>
        <w:t>Combined answers from two interviewees from Smart Metering</w:t>
      </w:r>
      <w:r>
        <w:rPr>
          <w:noProof/>
        </w:rPr>
        <w:t xml:space="preserve"> Industry</w:t>
      </w:r>
    </w:p>
    <w:p w:rsidR="00913429" w:rsidRDefault="00E143F0">
      <w:pPr>
        <w:numPr>
          <w:ilvl w:val="0"/>
          <w:numId w:val="89"/>
        </w:numPr>
        <w:spacing w:after="0" w:line="240" w:lineRule="auto"/>
        <w:ind w:left="284"/>
        <w:contextualSpacing/>
        <w:jc w:val="both"/>
        <w:rPr>
          <w:rFonts w:eastAsia="Times New Roman" w:cs="Tahoma"/>
          <w:b/>
          <w:noProof/>
          <w:sz w:val="22"/>
          <w:szCs w:val="26"/>
          <w:lang w:eastAsia="it-IT"/>
        </w:rPr>
      </w:pPr>
      <w:r>
        <w:rPr>
          <w:rFonts w:eastAsia="Times New Roman" w:cs="Tahoma"/>
          <w:b/>
          <w:noProof/>
          <w:sz w:val="22"/>
          <w:szCs w:val="26"/>
          <w:lang w:eastAsia="it-IT"/>
        </w:rPr>
        <w:t>Do you know EU cases where an ICT product/service which is equipped with some certificate security certificate is requested or recommended (e.g., preferred within public procurement) to get additional security certificates in order to enter the m</w:t>
      </w:r>
      <w:r>
        <w:rPr>
          <w:rFonts w:eastAsia="Times New Roman" w:cs="Tahoma"/>
          <w:b/>
          <w:noProof/>
          <w:sz w:val="22"/>
          <w:szCs w:val="26"/>
          <w:lang w:eastAsia="it-IT"/>
        </w:rPr>
        <w:t xml:space="preserve">arket of any MS? </w:t>
      </w:r>
    </w:p>
    <w:p w:rsidR="00913429" w:rsidRDefault="00913429">
      <w:pPr>
        <w:spacing w:after="0" w:line="240" w:lineRule="auto"/>
        <w:ind w:left="284"/>
        <w:contextualSpacing/>
        <w:jc w:val="both"/>
        <w:rPr>
          <w:rFonts w:eastAsia="Times New Roman" w:cs="Tahoma"/>
          <w:b/>
          <w:noProof/>
          <w:szCs w:val="26"/>
          <w:lang w:eastAsia="it-IT"/>
        </w:rPr>
      </w:pPr>
    </w:p>
    <w:p w:rsidR="00913429" w:rsidRDefault="00E143F0">
      <w:pPr>
        <w:spacing w:after="0" w:line="240" w:lineRule="auto"/>
        <w:ind w:left="284"/>
        <w:contextualSpacing/>
        <w:jc w:val="both"/>
        <w:rPr>
          <w:rFonts w:eastAsia="Calibri"/>
          <w:noProof/>
          <w:color w:val="000000"/>
          <w:szCs w:val="22"/>
        </w:rPr>
      </w:pPr>
      <w:r>
        <w:rPr>
          <w:rFonts w:eastAsia="Calibri"/>
          <w:noProof/>
          <w:color w:val="000000"/>
          <w:szCs w:val="22"/>
        </w:rPr>
        <w:t>The fragmentation meant as the existence of multiple national and sectorial certification schemes not mutually recognized exists especially talking about National specific programs. There are currently three certification that are ongoin</w:t>
      </w:r>
      <w:r>
        <w:rPr>
          <w:rFonts w:eastAsia="Calibri"/>
          <w:noProof/>
          <w:color w:val="000000"/>
          <w:szCs w:val="22"/>
        </w:rPr>
        <w:t>g: one in UK, one in France and one in Germany. Our company currently knows this three different certification scheme and do not knows if other initiatives are ongoing. There are at least three Member State that request different certifications and they do</w:t>
      </w:r>
      <w:r>
        <w:rPr>
          <w:rFonts w:eastAsia="Calibri"/>
          <w:noProof/>
          <w:color w:val="000000"/>
          <w:szCs w:val="22"/>
        </w:rPr>
        <w:t xml:space="preserve"> not accept each other certificates, so for each country it is request a different certification.</w:t>
      </w:r>
    </w:p>
    <w:p w:rsidR="00913429" w:rsidRDefault="00E143F0">
      <w:pPr>
        <w:spacing w:after="0"/>
        <w:ind w:left="283"/>
        <w:jc w:val="both"/>
        <w:rPr>
          <w:rFonts w:eastAsia="Calibri"/>
          <w:noProof/>
          <w:color w:val="000000"/>
          <w:szCs w:val="22"/>
        </w:rPr>
      </w:pPr>
      <w:r>
        <w:rPr>
          <w:rFonts w:eastAsia="Calibri"/>
          <w:noProof/>
          <w:color w:val="000000"/>
          <w:szCs w:val="22"/>
        </w:rPr>
        <w:t>All the three Countries (France, UK, and Germany) have their own scheme: in the UK is called CPA (Commercial Product Assurance) that it is a scheme that is ap</w:t>
      </w:r>
      <w:r>
        <w:rPr>
          <w:rFonts w:eastAsia="Calibri"/>
          <w:noProof/>
          <w:color w:val="000000"/>
          <w:szCs w:val="22"/>
        </w:rPr>
        <w:t>plied for smart-meters but also for other products. In France it is request the CSPN (Certification de Sécurité de Premier Niveau) certification scheme and in Germany there is a certification scheme based on Common Criteria. Another kind of fragmentation i</w:t>
      </w:r>
      <w:r>
        <w:rPr>
          <w:rFonts w:eastAsia="Calibri"/>
          <w:noProof/>
          <w:color w:val="000000"/>
          <w:szCs w:val="22"/>
        </w:rPr>
        <w:t>s then also happening on the evaluation side. There are only limited number of Conformity Assessment Body that are able to certify against the requirements of different schemes. In this way, a certain kind of market entry barrier is created.</w:t>
      </w:r>
    </w:p>
    <w:p w:rsidR="00913429" w:rsidRDefault="00913429">
      <w:pPr>
        <w:spacing w:after="0"/>
        <w:jc w:val="both"/>
        <w:rPr>
          <w:rFonts w:eastAsia="Calibri"/>
          <w:noProof/>
          <w:color w:val="000000"/>
          <w:sz w:val="22"/>
          <w:szCs w:val="22"/>
        </w:rPr>
      </w:pPr>
    </w:p>
    <w:p w:rsidR="00913429" w:rsidRDefault="00E143F0">
      <w:pPr>
        <w:numPr>
          <w:ilvl w:val="0"/>
          <w:numId w:val="89"/>
        </w:numPr>
        <w:spacing w:after="0"/>
        <w:jc w:val="both"/>
        <w:rPr>
          <w:rFonts w:eastAsia="Times New Roman" w:cs="Tahoma"/>
          <w:b/>
          <w:noProof/>
          <w:sz w:val="22"/>
          <w:szCs w:val="26"/>
          <w:lang w:eastAsia="it-IT"/>
        </w:rPr>
      </w:pPr>
      <w:r>
        <w:rPr>
          <w:rFonts w:eastAsia="Times New Roman" w:cs="Tahoma"/>
          <w:b/>
          <w:noProof/>
          <w:sz w:val="22"/>
          <w:szCs w:val="26"/>
          <w:lang w:eastAsia="it-IT"/>
        </w:rPr>
        <w:t xml:space="preserve">Do you see </w:t>
      </w:r>
      <w:r>
        <w:rPr>
          <w:rFonts w:eastAsia="Times New Roman" w:cs="Tahoma"/>
          <w:b/>
          <w:noProof/>
          <w:sz w:val="22"/>
          <w:szCs w:val="26"/>
          <w:lang w:eastAsia="it-IT"/>
        </w:rPr>
        <w:t>the emergence of multiple national or sectorial certification schemes as a likely scenario in the future, especially in view of the growing cybersecurity risks?</w:t>
      </w:r>
    </w:p>
    <w:p w:rsidR="00913429" w:rsidRDefault="00913429">
      <w:pPr>
        <w:spacing w:after="0"/>
        <w:ind w:left="283"/>
        <w:jc w:val="both"/>
        <w:rPr>
          <w:rFonts w:eastAsia="Times New Roman" w:cs="Tahoma"/>
          <w:b/>
          <w:noProof/>
          <w:szCs w:val="26"/>
          <w:lang w:eastAsia="it-IT"/>
        </w:rPr>
      </w:pPr>
    </w:p>
    <w:p w:rsidR="00913429" w:rsidRDefault="00E143F0">
      <w:pPr>
        <w:spacing w:after="0"/>
        <w:ind w:left="283"/>
        <w:jc w:val="both"/>
        <w:rPr>
          <w:rFonts w:eastAsia="Calibri"/>
          <w:noProof/>
          <w:color w:val="000000"/>
          <w:sz w:val="22"/>
          <w:szCs w:val="22"/>
        </w:rPr>
      </w:pPr>
      <w:r>
        <w:rPr>
          <w:rFonts w:eastAsia="Calibri"/>
          <w:noProof/>
          <w:color w:val="000000"/>
          <w:szCs w:val="22"/>
        </w:rPr>
        <w:t>If MS continue to do not accept each other Certification schemes, each MS will continue to imp</w:t>
      </w:r>
      <w:r>
        <w:rPr>
          <w:rFonts w:eastAsia="Calibri"/>
          <w:noProof/>
          <w:color w:val="000000"/>
          <w:szCs w:val="22"/>
        </w:rPr>
        <w:t>rove its own Certification scheme. Our company started many activities with DG CNECT in order to prevent a situation with 27 different national certification schemes in Europe</w:t>
      </w:r>
      <w:r>
        <w:rPr>
          <w:rFonts w:eastAsia="Calibri"/>
          <w:noProof/>
          <w:color w:val="000000"/>
          <w:sz w:val="22"/>
          <w:szCs w:val="22"/>
        </w:rPr>
        <w:t xml:space="preserve">. </w:t>
      </w:r>
    </w:p>
    <w:p w:rsidR="00913429" w:rsidRDefault="00913429">
      <w:pPr>
        <w:jc w:val="both"/>
        <w:rPr>
          <w:rFonts w:eastAsia="Times New Roman" w:cs="Tahoma"/>
          <w:b/>
          <w:noProof/>
          <w:sz w:val="22"/>
          <w:szCs w:val="26"/>
          <w:lang w:eastAsia="it-IT"/>
        </w:rPr>
      </w:pPr>
    </w:p>
    <w:p w:rsidR="00913429" w:rsidRDefault="00E143F0">
      <w:pPr>
        <w:numPr>
          <w:ilvl w:val="0"/>
          <w:numId w:val="90"/>
        </w:numPr>
        <w:ind w:left="360"/>
        <w:jc w:val="both"/>
        <w:rPr>
          <w:rFonts w:eastAsia="Times New Roman" w:cs="Tahoma"/>
          <w:b/>
          <w:noProof/>
          <w:sz w:val="22"/>
          <w:szCs w:val="26"/>
          <w:lang w:eastAsia="it-IT"/>
        </w:rPr>
      </w:pPr>
      <w:r>
        <w:rPr>
          <w:rFonts w:eastAsia="Times New Roman" w:cs="Tahoma"/>
          <w:b/>
          <w:noProof/>
          <w:sz w:val="22"/>
          <w:szCs w:val="26"/>
          <w:lang w:eastAsia="it-IT"/>
        </w:rPr>
        <w:t xml:space="preserve">Do you think the extension of the SOG-IS to all member states represents a </w:t>
      </w:r>
      <w:r>
        <w:rPr>
          <w:rFonts w:eastAsia="Times New Roman" w:cs="Tahoma"/>
          <w:b/>
          <w:noProof/>
          <w:sz w:val="22"/>
          <w:szCs w:val="26"/>
          <w:lang w:eastAsia="it-IT"/>
        </w:rPr>
        <w:t>valuable policy option? Can you please elaborate what do you think are the criticalities and positive aspects?</w:t>
      </w:r>
    </w:p>
    <w:p w:rsidR="00913429" w:rsidRDefault="00E143F0">
      <w:pPr>
        <w:ind w:left="360"/>
        <w:jc w:val="both"/>
        <w:rPr>
          <w:rFonts w:eastAsia="Times New Roman" w:cs="Tahoma"/>
          <w:b/>
          <w:noProof/>
          <w:szCs w:val="26"/>
          <w:lang w:eastAsia="it-IT"/>
        </w:rPr>
      </w:pPr>
      <w:r>
        <w:rPr>
          <w:rFonts w:eastAsia="Calibri"/>
          <w:noProof/>
          <w:color w:val="000000"/>
          <w:szCs w:val="22"/>
        </w:rPr>
        <w:t>In Germany, smart-meters needs to be certified against EAL-4. It is not very easy to evaluate again smart-meters for example in France or somewhe</w:t>
      </w:r>
      <w:r>
        <w:rPr>
          <w:rFonts w:eastAsia="Calibri"/>
          <w:noProof/>
          <w:color w:val="000000"/>
          <w:szCs w:val="22"/>
        </w:rPr>
        <w:t>re abroad. The competition is limited. Moreover, Smart-meter industry is beginner in security. A European certification scheme beyond the SOG-IS, would be great and it would increase the competition. Actually, the processes, the procedures and the burocrac</w:t>
      </w:r>
      <w:r>
        <w:rPr>
          <w:rFonts w:eastAsia="Calibri"/>
          <w:noProof/>
          <w:color w:val="000000"/>
          <w:szCs w:val="22"/>
        </w:rPr>
        <w:t>y for certification is too much for smart-meters industry and security industry.</w:t>
      </w:r>
    </w:p>
    <w:p w:rsidR="00913429" w:rsidRDefault="00E143F0">
      <w:pPr>
        <w:numPr>
          <w:ilvl w:val="0"/>
          <w:numId w:val="90"/>
        </w:numPr>
        <w:ind w:left="360"/>
        <w:jc w:val="both"/>
        <w:rPr>
          <w:rFonts w:eastAsia="Times New Roman" w:cs="Tahoma"/>
          <w:noProof/>
          <w:sz w:val="22"/>
          <w:szCs w:val="26"/>
          <w:lang w:eastAsia="it-IT"/>
        </w:rPr>
      </w:pPr>
      <w:r>
        <w:rPr>
          <w:rFonts w:eastAsia="Times New Roman" w:cs="Tahoma"/>
          <w:b/>
          <w:noProof/>
          <w:sz w:val="22"/>
          <w:szCs w:val="26"/>
          <w:lang w:eastAsia="it-IT"/>
        </w:rPr>
        <w:t>What do you think in this context would be the difference between the SMEs and the Large Sized Enterprises? Do you think that the size of the Company may impact its ability to</w:t>
      </w:r>
      <w:r>
        <w:rPr>
          <w:rFonts w:eastAsia="Times New Roman" w:cs="Tahoma"/>
          <w:b/>
          <w:noProof/>
          <w:sz w:val="22"/>
          <w:szCs w:val="26"/>
          <w:lang w:eastAsia="it-IT"/>
        </w:rPr>
        <w:t xml:space="preserve"> access in another market and then having additional certification?</w:t>
      </w:r>
    </w:p>
    <w:p w:rsidR="00913429" w:rsidRDefault="00E143F0">
      <w:pPr>
        <w:ind w:left="360"/>
        <w:jc w:val="both"/>
        <w:rPr>
          <w:rFonts w:eastAsia="Times New Roman" w:cs="Tahoma"/>
          <w:noProof/>
          <w:szCs w:val="26"/>
          <w:lang w:eastAsia="it-IT"/>
        </w:rPr>
      </w:pPr>
      <w:r>
        <w:rPr>
          <w:rFonts w:eastAsia="Times New Roman" w:cs="Tahoma"/>
          <w:noProof/>
          <w:szCs w:val="26"/>
          <w:lang w:eastAsia="it-IT"/>
        </w:rPr>
        <w:t>The cost of certification is about 1 million and the SMEs are out of this gain. In Germany, only one of the biggest smart-metering companies is starting a certification and all the other c</w:t>
      </w:r>
      <w:r>
        <w:rPr>
          <w:rFonts w:eastAsia="Times New Roman" w:cs="Tahoma"/>
          <w:noProof/>
          <w:szCs w:val="26"/>
          <w:lang w:eastAsia="it-IT"/>
        </w:rPr>
        <w:t xml:space="preserve">ompanies are present only in the German market. </w:t>
      </w:r>
    </w:p>
    <w:p w:rsidR="00913429" w:rsidRDefault="00E143F0">
      <w:pPr>
        <w:numPr>
          <w:ilvl w:val="0"/>
          <w:numId w:val="90"/>
        </w:numPr>
        <w:ind w:left="360"/>
        <w:jc w:val="both"/>
        <w:rPr>
          <w:rFonts w:eastAsia="Times New Roman" w:cs="Tahoma"/>
          <w:noProof/>
          <w:sz w:val="22"/>
          <w:szCs w:val="26"/>
          <w:lang w:eastAsia="it-IT"/>
        </w:rPr>
      </w:pPr>
      <w:r>
        <w:rPr>
          <w:rFonts w:eastAsia="Times New Roman" w:cs="Tahoma"/>
          <w:b/>
          <w:noProof/>
          <w:sz w:val="22"/>
          <w:szCs w:val="26"/>
          <w:lang w:eastAsia="it-IT"/>
        </w:rPr>
        <w:t>Do you think that the processes and tools used for ICT security certification should be sufficiently flexible and take into account different levels of assurances according to market needs (e.g. more stringe</w:t>
      </w:r>
      <w:r>
        <w:rPr>
          <w:rFonts w:eastAsia="Times New Roman" w:cs="Tahoma"/>
          <w:b/>
          <w:noProof/>
          <w:sz w:val="22"/>
          <w:szCs w:val="26"/>
          <w:lang w:eastAsia="it-IT"/>
        </w:rPr>
        <w:t>nt testing/assessment standards for more sensitive products/applications and less stringent for less sensitive products/applications)?</w:t>
      </w:r>
    </w:p>
    <w:p w:rsidR="00913429" w:rsidRDefault="00E143F0">
      <w:pPr>
        <w:ind w:left="360"/>
        <w:jc w:val="both"/>
        <w:rPr>
          <w:rFonts w:eastAsia="Times New Roman" w:cs="Tahoma"/>
          <w:noProof/>
          <w:szCs w:val="26"/>
          <w:lang w:eastAsia="it-IT"/>
        </w:rPr>
      </w:pPr>
      <w:r>
        <w:rPr>
          <w:rFonts w:eastAsia="Times New Roman" w:cs="Tahoma"/>
          <w:noProof/>
          <w:szCs w:val="26"/>
          <w:lang w:eastAsia="it-IT"/>
        </w:rPr>
        <w:t>It would be great to have one methodology on how you affect the risk, how you define security requirements and how you go</w:t>
      </w:r>
      <w:r>
        <w:rPr>
          <w:rFonts w:eastAsia="Times New Roman" w:cs="Tahoma"/>
          <w:noProof/>
          <w:szCs w:val="26"/>
          <w:lang w:eastAsia="it-IT"/>
        </w:rPr>
        <w:t xml:space="preserve"> through certification and a recognition across Europe. It is very important to have flexibility in certification scheme, determine on the risk connected to the product evaluated and the risk connected to the location of the product.  </w:t>
      </w:r>
    </w:p>
    <w:p w:rsidR="00913429" w:rsidRDefault="00E143F0">
      <w:pPr>
        <w:pStyle w:val="ListParagraph"/>
        <w:numPr>
          <w:ilvl w:val="0"/>
          <w:numId w:val="93"/>
        </w:numPr>
        <w:ind w:left="360"/>
        <w:jc w:val="both"/>
        <w:rPr>
          <w:rFonts w:cs="Tahoma"/>
          <w:b/>
          <w:noProof/>
          <w:sz w:val="22"/>
          <w:szCs w:val="26"/>
          <w:lang w:val="en-GB" w:eastAsia="it-IT"/>
        </w:rPr>
      </w:pPr>
      <w:r>
        <w:rPr>
          <w:rFonts w:cs="Tahoma"/>
          <w:b/>
          <w:noProof/>
          <w:sz w:val="22"/>
          <w:szCs w:val="26"/>
          <w:lang w:val="en-GB" w:eastAsia="it-IT"/>
        </w:rPr>
        <w:t>Do you have an estim</w:t>
      </w:r>
      <w:r>
        <w:rPr>
          <w:rFonts w:cs="Tahoma"/>
          <w:b/>
          <w:noProof/>
          <w:sz w:val="22"/>
          <w:szCs w:val="26"/>
          <w:lang w:val="en-GB" w:eastAsia="it-IT"/>
        </w:rPr>
        <w:t>ate about cost and direction of these certifications?</w:t>
      </w:r>
    </w:p>
    <w:p w:rsidR="00913429" w:rsidRDefault="00E143F0">
      <w:pPr>
        <w:spacing w:after="0"/>
        <w:ind w:left="283"/>
        <w:jc w:val="both"/>
        <w:rPr>
          <w:rFonts w:eastAsia="Calibri"/>
          <w:noProof/>
          <w:color w:val="000000"/>
          <w:szCs w:val="22"/>
        </w:rPr>
      </w:pPr>
      <w:r>
        <w:rPr>
          <w:rFonts w:eastAsia="Calibri"/>
          <w:noProof/>
          <w:color w:val="000000"/>
          <w:szCs w:val="22"/>
        </w:rPr>
        <w:t xml:space="preserve">Looking at the German scheme, the cost of certification is very expansive. The cost of certification is about 1 million euro and the SMEs are out of this gain. For BSI “Smart Meter Gateway” certificate </w:t>
      </w:r>
      <w:r>
        <w:rPr>
          <w:rFonts w:eastAsia="Calibri"/>
          <w:noProof/>
          <w:color w:val="000000"/>
          <w:szCs w:val="22"/>
        </w:rPr>
        <w:t xml:space="preserve">the cost is much more than one million. Our company also checked with meters manufacturers the price for smart meters certification and in UK is almost 150K euro. In Germany, only one of the biggest smart-metering companies is starting a certification and </w:t>
      </w:r>
      <w:r>
        <w:rPr>
          <w:rFonts w:eastAsia="Calibri"/>
          <w:noProof/>
          <w:color w:val="000000"/>
          <w:szCs w:val="22"/>
        </w:rPr>
        <w:t>all the other companies are present only in the German market. In France, the cost of certification is something between Germany and UK. The cost it is similar to the UK, so it is about 150K euro or more. In terms of cost, it is also important to note that</w:t>
      </w:r>
      <w:r>
        <w:rPr>
          <w:rFonts w:eastAsia="Calibri"/>
          <w:noProof/>
          <w:color w:val="000000"/>
          <w:szCs w:val="22"/>
        </w:rPr>
        <w:t xml:space="preserve"> the evaluation processes are different between MS.</w:t>
      </w:r>
    </w:p>
    <w:p w:rsidR="00913429" w:rsidRDefault="00913429">
      <w:pPr>
        <w:jc w:val="both"/>
        <w:rPr>
          <w:rFonts w:eastAsia="Times New Roman" w:cs="Tahoma"/>
          <w:b/>
          <w:noProof/>
          <w:sz w:val="22"/>
          <w:szCs w:val="26"/>
          <w:lang w:eastAsia="it-IT"/>
        </w:rPr>
      </w:pPr>
    </w:p>
    <w:p w:rsidR="00913429" w:rsidRDefault="00E143F0">
      <w:pPr>
        <w:numPr>
          <w:ilvl w:val="0"/>
          <w:numId w:val="93"/>
        </w:numPr>
        <w:ind w:left="360"/>
        <w:jc w:val="both"/>
        <w:rPr>
          <w:rFonts w:eastAsia="Times New Roman" w:cs="Tahoma"/>
          <w:noProof/>
          <w:sz w:val="22"/>
          <w:szCs w:val="26"/>
          <w:lang w:eastAsia="it-IT"/>
        </w:rPr>
      </w:pPr>
      <w:r>
        <w:rPr>
          <w:rFonts w:eastAsia="Times New Roman" w:cs="Tahoma"/>
          <w:b/>
          <w:noProof/>
          <w:sz w:val="22"/>
          <w:szCs w:val="26"/>
          <w:lang w:eastAsia="it-IT"/>
        </w:rPr>
        <w:t xml:space="preserve">Can you provide a case where a customer/user is not provided with enough/reliable information about the security properties of any ICT products/services? What is the problem for consumers: that </w:t>
      </w:r>
      <w:r>
        <w:rPr>
          <w:rFonts w:eastAsia="Times New Roman" w:cs="Tahoma"/>
          <w:b/>
          <w:noProof/>
          <w:sz w:val="22"/>
          <w:szCs w:val="26"/>
          <w:lang w:eastAsia="it-IT"/>
        </w:rPr>
        <w:t>information 1) is not is not provided at all 2) is not reliable 3) is not enough</w:t>
      </w:r>
    </w:p>
    <w:p w:rsidR="00913429" w:rsidRDefault="00E143F0">
      <w:pPr>
        <w:ind w:left="360"/>
        <w:jc w:val="both"/>
        <w:rPr>
          <w:rFonts w:eastAsia="Times New Roman" w:cs="Tahoma"/>
          <w:noProof/>
          <w:szCs w:val="26"/>
          <w:lang w:eastAsia="it-IT"/>
        </w:rPr>
      </w:pPr>
      <w:r>
        <w:rPr>
          <w:rFonts w:eastAsia="Times New Roman" w:cs="Tahoma"/>
          <w:noProof/>
          <w:szCs w:val="26"/>
          <w:lang w:eastAsia="it-IT"/>
        </w:rPr>
        <w:t>Concerning the Labelling topic, the representative of the Smart meter industry underlined that it is fundamental to distinguish the kind of customer. The suppliers buy million</w:t>
      </w:r>
      <w:r>
        <w:rPr>
          <w:rFonts w:eastAsia="Times New Roman" w:cs="Tahoma"/>
          <w:noProof/>
          <w:szCs w:val="26"/>
          <w:lang w:eastAsia="it-IT"/>
        </w:rPr>
        <w:t>s of meters and they have good understanding of security specifications of the products. For Business-to-Business products, the labelling aspect is not much relevant. On the other side, the public opinion is more concentrate on privacy issues (e.g. persona</w:t>
      </w:r>
      <w:r>
        <w:rPr>
          <w:rFonts w:eastAsia="Times New Roman" w:cs="Tahoma"/>
          <w:noProof/>
          <w:szCs w:val="26"/>
          <w:lang w:eastAsia="it-IT"/>
        </w:rPr>
        <w:t>l data) and the transparency of data collected by smart-meters. In UK, smart-meters have a display connected to the meters and consumers can simply read data on this display. The consumer decision to buy a product is more on the utility of the product than</w:t>
      </w:r>
      <w:r>
        <w:rPr>
          <w:rFonts w:eastAsia="Times New Roman" w:cs="Tahoma"/>
          <w:noProof/>
          <w:szCs w:val="26"/>
          <w:lang w:eastAsia="it-IT"/>
        </w:rPr>
        <w:t xml:space="preserve"> security aspects. It is important to differentiate which devices needs to be certified and which devices needs to be labelled.</w:t>
      </w:r>
    </w:p>
    <w:p w:rsidR="00913429" w:rsidRDefault="00E143F0">
      <w:pPr>
        <w:ind w:left="360"/>
        <w:jc w:val="both"/>
        <w:rPr>
          <w:rFonts w:eastAsia="Times New Roman" w:cs="Tahoma"/>
          <w:b/>
          <w:noProof/>
          <w:sz w:val="22"/>
          <w:szCs w:val="26"/>
          <w:lang w:eastAsia="it-IT"/>
        </w:rPr>
      </w:pPr>
      <w:r>
        <w:rPr>
          <w:rFonts w:eastAsia="Times New Roman" w:cs="Tahoma"/>
          <w:b/>
          <w:noProof/>
          <w:sz w:val="22"/>
          <w:szCs w:val="26"/>
          <w:lang w:eastAsia="it-IT"/>
        </w:rPr>
        <w:t>Additional Remark</w:t>
      </w:r>
    </w:p>
    <w:p w:rsidR="00913429" w:rsidRDefault="00E143F0">
      <w:pPr>
        <w:ind w:left="360"/>
        <w:jc w:val="both"/>
        <w:rPr>
          <w:rFonts w:eastAsia="Times New Roman" w:cs="Tahoma"/>
          <w:noProof/>
          <w:szCs w:val="26"/>
          <w:lang w:eastAsia="it-IT"/>
        </w:rPr>
      </w:pPr>
      <w:r>
        <w:rPr>
          <w:rFonts w:eastAsia="Times New Roman" w:cs="Tahoma"/>
          <w:noProof/>
          <w:szCs w:val="26"/>
          <w:lang w:eastAsia="it-IT"/>
        </w:rPr>
        <w:t>Working with ENISA, it would be important to understand and harmonize the security language of the energy sect</w:t>
      </w:r>
      <w:r>
        <w:rPr>
          <w:rFonts w:eastAsia="Times New Roman" w:cs="Tahoma"/>
          <w:noProof/>
          <w:szCs w:val="26"/>
          <w:lang w:eastAsia="it-IT"/>
        </w:rPr>
        <w:t>or, in order to understand each other, both energy and smart-meters sectors. It is important to combine the approach of DG CNECT with the approach of DG ENERGY.</w:t>
      </w:r>
    </w:p>
    <w:p w:rsidR="00913429" w:rsidRDefault="00E143F0">
      <w:pPr>
        <w:spacing w:after="0" w:line="240" w:lineRule="auto"/>
        <w:rPr>
          <w:rFonts w:eastAsia="Times New Roman" w:cs="Tahoma"/>
          <w:noProof/>
          <w:sz w:val="22"/>
          <w:szCs w:val="26"/>
          <w:lang w:eastAsia="it-IT"/>
        </w:rPr>
      </w:pPr>
      <w:r>
        <w:rPr>
          <w:rFonts w:eastAsia="Times New Roman" w:cs="Tahoma"/>
          <w:noProof/>
          <w:sz w:val="22"/>
          <w:szCs w:val="26"/>
          <w:lang w:eastAsia="it-IT"/>
        </w:rPr>
        <w:br w:type="page"/>
      </w:r>
    </w:p>
    <w:p w:rsidR="00913429" w:rsidRDefault="00E143F0">
      <w:pPr>
        <w:tabs>
          <w:tab w:val="center" w:pos="4819"/>
          <w:tab w:val="left" w:pos="6499"/>
        </w:tabs>
        <w:jc w:val="right"/>
        <w:rPr>
          <w:rFonts w:cs="Tahoma"/>
          <w:b/>
          <w:i/>
          <w:noProof/>
          <w:color w:val="000000"/>
          <w:sz w:val="28"/>
          <w:szCs w:val="26"/>
          <w:lang w:eastAsia="it-IT"/>
        </w:rPr>
      </w:pPr>
      <w:r>
        <w:rPr>
          <w:rFonts w:cs="Tahoma"/>
          <w:b/>
          <w:i/>
          <w:noProof/>
          <w:color w:val="000000"/>
          <w:sz w:val="28"/>
          <w:szCs w:val="26"/>
          <w:lang w:eastAsia="it-IT"/>
        </w:rPr>
        <w:tab/>
        <w:t>June 15th, 2017</w:t>
      </w:r>
    </w:p>
    <w:p w:rsidR="00913429" w:rsidRDefault="00E143F0">
      <w:pPr>
        <w:pStyle w:val="Heading4"/>
        <w:rPr>
          <w:noProof/>
        </w:rPr>
      </w:pPr>
      <w:r>
        <w:rPr>
          <w:noProof/>
        </w:rPr>
        <w:t>Interviews results from representative of</w:t>
      </w:r>
      <w:r>
        <w:rPr>
          <w:b/>
          <w:noProof/>
        </w:rPr>
        <w:t xml:space="preserve"> </w:t>
      </w:r>
      <w:r>
        <w:rPr>
          <w:noProof/>
        </w:rPr>
        <w:t xml:space="preserve">Smart meters industry </w:t>
      </w:r>
    </w:p>
    <w:p w:rsidR="00913429" w:rsidRDefault="00913429">
      <w:pPr>
        <w:spacing w:after="0" w:line="240" w:lineRule="auto"/>
        <w:jc w:val="right"/>
        <w:rPr>
          <w:b/>
          <w:noProof/>
          <w:color w:val="000000"/>
        </w:rPr>
      </w:pPr>
    </w:p>
    <w:p w:rsidR="00913429" w:rsidRDefault="00E143F0">
      <w:pPr>
        <w:pStyle w:val="ListParagraph"/>
        <w:numPr>
          <w:ilvl w:val="0"/>
          <w:numId w:val="94"/>
        </w:numPr>
        <w:spacing w:before="0" w:after="160" w:line="259" w:lineRule="auto"/>
        <w:jc w:val="both"/>
        <w:rPr>
          <w:b/>
          <w:noProof/>
          <w:color w:val="000000"/>
          <w:sz w:val="22"/>
          <w:szCs w:val="22"/>
          <w:lang w:val="en-GB"/>
        </w:rPr>
      </w:pPr>
      <w:r>
        <w:rPr>
          <w:b/>
          <w:noProof/>
          <w:color w:val="000000"/>
          <w:sz w:val="22"/>
          <w:szCs w:val="22"/>
          <w:lang w:val="en-GB"/>
        </w:rPr>
        <w:t xml:space="preserve">Can you </w:t>
      </w:r>
      <w:r>
        <w:rPr>
          <w:b/>
          <w:noProof/>
          <w:color w:val="000000"/>
          <w:sz w:val="22"/>
          <w:szCs w:val="22"/>
          <w:lang w:val="en-GB"/>
        </w:rPr>
        <w:t>provide a case where the certification of an ICT component is accepted in one country but it was not accepted in another EU country as another certification was required? In that case did the company undertake a second certification or did it restrain itse</w:t>
      </w:r>
      <w:r>
        <w:rPr>
          <w:b/>
          <w:noProof/>
          <w:color w:val="000000"/>
          <w:sz w:val="22"/>
          <w:szCs w:val="22"/>
          <w:lang w:val="en-GB"/>
        </w:rPr>
        <w:t>lf from entering the market of that second country?</w:t>
      </w:r>
    </w:p>
    <w:p w:rsidR="00913429" w:rsidRDefault="00913429">
      <w:pPr>
        <w:pStyle w:val="ListParagraph"/>
        <w:spacing w:after="0"/>
        <w:ind w:left="360"/>
        <w:jc w:val="both"/>
        <w:rPr>
          <w:noProof/>
          <w:color w:val="000000"/>
          <w:sz w:val="22"/>
          <w:szCs w:val="22"/>
          <w:lang w:val="en-GB"/>
        </w:rPr>
      </w:pPr>
    </w:p>
    <w:p w:rsidR="00913429" w:rsidRDefault="00E143F0">
      <w:pPr>
        <w:pStyle w:val="ListParagraph"/>
        <w:spacing w:after="0"/>
        <w:ind w:left="360"/>
        <w:jc w:val="both"/>
        <w:rPr>
          <w:rFonts w:cs="Tahoma"/>
          <w:noProof/>
          <w:szCs w:val="22"/>
          <w:lang w:val="en-GB" w:eastAsia="it-IT"/>
        </w:rPr>
      </w:pPr>
      <w:r>
        <w:rPr>
          <w:rFonts w:cs="Tahoma"/>
          <w:noProof/>
          <w:szCs w:val="22"/>
          <w:lang w:val="en-GB" w:eastAsia="it-IT"/>
        </w:rPr>
        <w:t xml:space="preserve">We need to distinguish between ICT and ICS (Industrial Control System) products, since the two categories have different requirements and currently this is not so clear to the certification environment. </w:t>
      </w:r>
      <w:r>
        <w:rPr>
          <w:rFonts w:cs="Tahoma"/>
          <w:noProof/>
          <w:szCs w:val="22"/>
          <w:lang w:val="en-GB" w:eastAsia="it-IT"/>
        </w:rPr>
        <w:t>In France exists the CSPN certification (a kind of light common criteria), which is a low level assurance approach, initially used for ICT products but now moving in covering also ICS and critical infrastructure products.</w:t>
      </w:r>
    </w:p>
    <w:p w:rsidR="00913429" w:rsidRDefault="00E143F0">
      <w:pPr>
        <w:pStyle w:val="ListParagraph"/>
        <w:spacing w:after="0"/>
        <w:ind w:left="360"/>
        <w:jc w:val="both"/>
        <w:rPr>
          <w:rFonts w:cs="Tahoma"/>
          <w:noProof/>
          <w:szCs w:val="22"/>
          <w:lang w:val="en-GB" w:eastAsia="it-IT"/>
        </w:rPr>
      </w:pPr>
      <w:r>
        <w:rPr>
          <w:rFonts w:cs="Tahoma"/>
          <w:noProof/>
          <w:szCs w:val="22"/>
          <w:lang w:val="en-GB" w:eastAsia="it-IT"/>
        </w:rPr>
        <w:t xml:space="preserve">Relating to product to be used in </w:t>
      </w:r>
      <w:r>
        <w:rPr>
          <w:rFonts w:cs="Tahoma"/>
          <w:noProof/>
          <w:szCs w:val="22"/>
          <w:lang w:val="en-GB" w:eastAsia="it-IT"/>
        </w:rPr>
        <w:t xml:space="preserve">critical infrastructure, we are not aware of any other request for products certification in other EU countries. </w:t>
      </w:r>
    </w:p>
    <w:p w:rsidR="00913429" w:rsidRDefault="00E143F0">
      <w:pPr>
        <w:pStyle w:val="ListParagraph"/>
        <w:spacing w:after="0"/>
        <w:ind w:left="360"/>
        <w:jc w:val="both"/>
        <w:rPr>
          <w:rFonts w:cs="Tahoma"/>
          <w:noProof/>
          <w:szCs w:val="22"/>
          <w:lang w:val="en-GB" w:eastAsia="it-IT"/>
        </w:rPr>
      </w:pPr>
      <w:r>
        <w:rPr>
          <w:rFonts w:cs="Tahoma"/>
          <w:noProof/>
          <w:szCs w:val="22"/>
          <w:lang w:val="en-GB" w:eastAsia="it-IT"/>
        </w:rPr>
        <w:t>In our product range, we have not seen any overlapping in product certification relating to activities in other countries. Not even in the fie</w:t>
      </w:r>
      <w:r>
        <w:rPr>
          <w:rFonts w:cs="Tahoma"/>
          <w:noProof/>
          <w:szCs w:val="22"/>
          <w:lang w:val="en-GB" w:eastAsia="it-IT"/>
        </w:rPr>
        <w:t xml:space="preserve">ld electrical infrastructure used by the military world. </w:t>
      </w:r>
    </w:p>
    <w:p w:rsidR="00913429" w:rsidRDefault="00E143F0">
      <w:pPr>
        <w:pStyle w:val="ListParagraph"/>
        <w:spacing w:after="0"/>
        <w:ind w:left="360"/>
        <w:jc w:val="both"/>
        <w:rPr>
          <w:rFonts w:cs="Tahoma"/>
          <w:noProof/>
          <w:szCs w:val="22"/>
          <w:lang w:val="en-GB" w:eastAsia="it-IT"/>
        </w:rPr>
      </w:pPr>
      <w:r>
        <w:rPr>
          <w:rFonts w:cs="Tahoma"/>
          <w:noProof/>
          <w:szCs w:val="22"/>
          <w:lang w:val="en-GB" w:eastAsia="it-IT"/>
        </w:rPr>
        <w:t>We are not aware of cases where a vendor renounced to certificate its products in other countries due to different certification requirements for the same product.</w:t>
      </w:r>
    </w:p>
    <w:p w:rsidR="00913429" w:rsidRDefault="00E143F0">
      <w:pPr>
        <w:pStyle w:val="ListParagraph"/>
        <w:ind w:left="360"/>
        <w:jc w:val="both"/>
        <w:rPr>
          <w:rFonts w:cs="Tahoma"/>
          <w:noProof/>
          <w:szCs w:val="22"/>
          <w:lang w:val="en-GB" w:eastAsia="it-IT"/>
        </w:rPr>
      </w:pPr>
      <w:r>
        <w:rPr>
          <w:rFonts w:cs="Tahoma"/>
          <w:noProof/>
          <w:szCs w:val="22"/>
          <w:lang w:val="en-GB" w:eastAsia="it-IT"/>
        </w:rPr>
        <w:t>We are aware that, in Germany, BSI</w:t>
      </w:r>
      <w:r>
        <w:rPr>
          <w:rFonts w:cs="Tahoma"/>
          <w:noProof/>
          <w:szCs w:val="22"/>
          <w:lang w:val="en-GB" w:eastAsia="it-IT"/>
        </w:rPr>
        <w:t xml:space="preserve"> is investigating on a low-level assurance framework which is in line with the French CSPN approach.</w:t>
      </w:r>
    </w:p>
    <w:p w:rsidR="00913429" w:rsidRDefault="00913429">
      <w:pPr>
        <w:pStyle w:val="ListParagraph"/>
        <w:spacing w:after="0"/>
        <w:ind w:left="360"/>
        <w:jc w:val="both"/>
        <w:rPr>
          <w:noProof/>
          <w:color w:val="000000"/>
          <w:sz w:val="22"/>
          <w:szCs w:val="22"/>
          <w:lang w:val="en-GB"/>
        </w:rPr>
      </w:pPr>
    </w:p>
    <w:p w:rsidR="00913429" w:rsidRDefault="00E143F0">
      <w:pPr>
        <w:pStyle w:val="ListParagraph"/>
        <w:spacing w:after="0"/>
        <w:ind w:left="357"/>
        <w:jc w:val="both"/>
        <w:rPr>
          <w:b/>
          <w:noProof/>
          <w:color w:val="000000"/>
          <w:sz w:val="22"/>
          <w:szCs w:val="22"/>
          <w:lang w:val="en-GB"/>
        </w:rPr>
      </w:pPr>
      <w:r>
        <w:rPr>
          <w:b/>
          <w:noProof/>
          <w:color w:val="000000"/>
          <w:sz w:val="22"/>
          <w:szCs w:val="22"/>
          <w:lang w:val="en-GB"/>
        </w:rPr>
        <w:t>(Additional question) Based on your experience, what is your view of costs and durations of certification processes?</w:t>
      </w:r>
    </w:p>
    <w:p w:rsidR="00913429" w:rsidRDefault="00913429">
      <w:pPr>
        <w:pStyle w:val="ListParagraph"/>
        <w:spacing w:after="0"/>
        <w:ind w:left="360"/>
        <w:jc w:val="both"/>
        <w:rPr>
          <w:noProof/>
          <w:color w:val="000000"/>
          <w:sz w:val="22"/>
          <w:szCs w:val="22"/>
          <w:lang w:val="en-GB"/>
        </w:rPr>
      </w:pPr>
    </w:p>
    <w:p w:rsidR="00913429" w:rsidRDefault="00E143F0">
      <w:pPr>
        <w:pStyle w:val="ListParagraph"/>
        <w:spacing w:after="0"/>
        <w:ind w:left="360"/>
        <w:jc w:val="both"/>
        <w:rPr>
          <w:noProof/>
          <w:color w:val="000000"/>
          <w:szCs w:val="22"/>
          <w:lang w:val="en-GB"/>
        </w:rPr>
      </w:pPr>
      <w:r>
        <w:rPr>
          <w:noProof/>
          <w:color w:val="000000"/>
          <w:szCs w:val="22"/>
          <w:lang w:val="en-GB"/>
        </w:rPr>
        <w:t>The French Certification Authority d</w:t>
      </w:r>
      <w:r>
        <w:rPr>
          <w:noProof/>
          <w:color w:val="000000"/>
          <w:szCs w:val="22"/>
          <w:lang w:val="en-GB"/>
        </w:rPr>
        <w:t>efined the framework CSPN which a light version of common criteria. CSPN certification costs about 50k euros and the duration is around 6 months. Behind these costs, there are a number of activities to be performed by the vendor to fulfil CSPN requirements</w:t>
      </w:r>
      <w:r>
        <w:rPr>
          <w:noProof/>
          <w:color w:val="000000"/>
          <w:szCs w:val="22"/>
          <w:lang w:val="en-GB"/>
        </w:rPr>
        <w:t xml:space="preserve"> and such activities are estimated to cost around 300k euros. </w:t>
      </w:r>
    </w:p>
    <w:p w:rsidR="00913429" w:rsidRDefault="00E143F0">
      <w:pPr>
        <w:pStyle w:val="ListParagraph"/>
        <w:spacing w:after="0"/>
        <w:ind w:left="360"/>
        <w:jc w:val="both"/>
        <w:rPr>
          <w:noProof/>
          <w:color w:val="000000"/>
          <w:szCs w:val="22"/>
          <w:lang w:val="en-GB"/>
        </w:rPr>
      </w:pPr>
      <w:r>
        <w:rPr>
          <w:noProof/>
          <w:color w:val="000000"/>
          <w:szCs w:val="22"/>
          <w:lang w:val="en-GB"/>
        </w:rPr>
        <w:t>France has in place other types of certification framework (for COMSEC and for system integrators). It is very important to apply international standard to harmonize requirements between Member</w:t>
      </w:r>
      <w:r>
        <w:rPr>
          <w:noProof/>
          <w:color w:val="000000"/>
          <w:szCs w:val="22"/>
          <w:lang w:val="en-GB"/>
        </w:rPr>
        <w:t>s States and to give the vendor the opportunity to be competitive at international level. In the ICS world, we are aligned with the standard ISO 15443.</w:t>
      </w:r>
    </w:p>
    <w:p w:rsidR="00913429" w:rsidRDefault="00E143F0">
      <w:pPr>
        <w:pStyle w:val="ListParagraph"/>
        <w:spacing w:after="0"/>
        <w:ind w:left="360"/>
        <w:jc w:val="both"/>
        <w:rPr>
          <w:noProof/>
          <w:color w:val="000000"/>
          <w:szCs w:val="22"/>
          <w:lang w:val="en-GB"/>
        </w:rPr>
      </w:pPr>
      <w:r>
        <w:rPr>
          <w:noProof/>
          <w:color w:val="000000"/>
          <w:szCs w:val="22"/>
          <w:lang w:val="en-GB"/>
        </w:rPr>
        <w:t>We are a European and international industry. We have to follow different certification approaches in di</w:t>
      </w:r>
      <w:r>
        <w:rPr>
          <w:noProof/>
          <w:color w:val="000000"/>
          <w:szCs w:val="22"/>
          <w:lang w:val="en-GB"/>
        </w:rPr>
        <w:t>fferent countries. Common Criteria are much more expensive for us: just as an example, the cost of a Common Criteria certification is not less than 500k euros. We do not feel that the Common Criteria approach is the good solution, at least for ICS.</w:t>
      </w:r>
    </w:p>
    <w:p w:rsidR="00913429" w:rsidRDefault="00913429">
      <w:pPr>
        <w:pStyle w:val="ListParagraph"/>
        <w:ind w:left="0"/>
        <w:jc w:val="both"/>
        <w:rPr>
          <w:b/>
          <w:noProof/>
          <w:color w:val="000000"/>
          <w:sz w:val="22"/>
          <w:szCs w:val="22"/>
          <w:lang w:val="en-GB"/>
        </w:rPr>
      </w:pPr>
    </w:p>
    <w:p w:rsidR="00913429" w:rsidRDefault="00E143F0">
      <w:pPr>
        <w:pStyle w:val="ListParagraph"/>
        <w:spacing w:after="0"/>
        <w:ind w:left="357"/>
        <w:jc w:val="both"/>
        <w:rPr>
          <w:b/>
          <w:noProof/>
          <w:color w:val="000000"/>
          <w:sz w:val="22"/>
          <w:szCs w:val="22"/>
          <w:lang w:val="en-GB"/>
        </w:rPr>
      </w:pPr>
      <w:r>
        <w:rPr>
          <w:b/>
          <w:noProof/>
          <w:color w:val="000000"/>
          <w:sz w:val="22"/>
          <w:szCs w:val="22"/>
          <w:lang w:val="en-GB"/>
        </w:rPr>
        <w:t>(Addit</w:t>
      </w:r>
      <w:r>
        <w:rPr>
          <w:b/>
          <w:noProof/>
          <w:color w:val="000000"/>
          <w:sz w:val="22"/>
          <w:szCs w:val="22"/>
          <w:lang w:val="en-GB"/>
        </w:rPr>
        <w:t>ional question) As for security certification, do you proceed on voluntary basis or on a request/recommendation basis?</w:t>
      </w:r>
    </w:p>
    <w:p w:rsidR="00913429" w:rsidRDefault="00913429">
      <w:pPr>
        <w:pStyle w:val="ListParagraph"/>
        <w:spacing w:after="0"/>
        <w:ind w:left="357"/>
        <w:jc w:val="both"/>
        <w:rPr>
          <w:noProof/>
          <w:color w:val="000000"/>
          <w:sz w:val="22"/>
          <w:szCs w:val="22"/>
          <w:lang w:val="en-GB"/>
        </w:rPr>
      </w:pPr>
    </w:p>
    <w:p w:rsidR="00913429" w:rsidRDefault="00E143F0">
      <w:pPr>
        <w:pStyle w:val="ListParagraph"/>
        <w:spacing w:after="0"/>
        <w:ind w:left="357"/>
        <w:jc w:val="both"/>
        <w:rPr>
          <w:noProof/>
          <w:color w:val="000000"/>
          <w:szCs w:val="22"/>
          <w:lang w:val="en-GB"/>
        </w:rPr>
      </w:pPr>
      <w:r>
        <w:rPr>
          <w:noProof/>
          <w:color w:val="000000"/>
          <w:szCs w:val="22"/>
          <w:lang w:val="en-GB"/>
        </w:rPr>
        <w:t>We think that certification is a driver to improve the level of security, and this applies not only in Europe. There are also requiremen</w:t>
      </w:r>
      <w:r>
        <w:rPr>
          <w:noProof/>
          <w:color w:val="000000"/>
          <w:szCs w:val="22"/>
          <w:lang w:val="en-GB"/>
        </w:rPr>
        <w:t>ts like the French one to apply to CSPN. However, the choice to undergo the certification of a product is of course market driven.</w:t>
      </w:r>
    </w:p>
    <w:p w:rsidR="00913429" w:rsidRDefault="00913429">
      <w:pPr>
        <w:pStyle w:val="ListParagraph"/>
        <w:spacing w:after="0"/>
        <w:ind w:left="360"/>
        <w:jc w:val="both"/>
        <w:rPr>
          <w:noProof/>
          <w:color w:val="000000"/>
          <w:sz w:val="22"/>
          <w:szCs w:val="22"/>
          <w:lang w:val="en-GB"/>
        </w:rPr>
      </w:pPr>
    </w:p>
    <w:p w:rsidR="00913429" w:rsidRDefault="00E143F0">
      <w:pPr>
        <w:pStyle w:val="ListParagraph"/>
        <w:numPr>
          <w:ilvl w:val="0"/>
          <w:numId w:val="94"/>
        </w:numPr>
        <w:spacing w:before="0" w:after="160" w:line="259" w:lineRule="auto"/>
        <w:jc w:val="both"/>
        <w:rPr>
          <w:b/>
          <w:noProof/>
          <w:color w:val="000000"/>
          <w:sz w:val="22"/>
          <w:szCs w:val="22"/>
          <w:lang w:val="en-GB"/>
        </w:rPr>
      </w:pPr>
      <w:r>
        <w:rPr>
          <w:b/>
          <w:noProof/>
          <w:color w:val="000000"/>
          <w:sz w:val="22"/>
          <w:szCs w:val="22"/>
          <w:lang w:val="en-GB"/>
        </w:rPr>
        <w:t xml:space="preserve">Do you think that the processes and tools used for ICT security certification should be sufficiently flexible and take into </w:t>
      </w:r>
      <w:r>
        <w:rPr>
          <w:b/>
          <w:noProof/>
          <w:color w:val="000000"/>
          <w:sz w:val="22"/>
          <w:szCs w:val="22"/>
          <w:lang w:val="en-GB"/>
        </w:rPr>
        <w:t>account different levels of assurances according to market needs (e.g. more stringent testing/assessment standards for more sensitive products/applications and less stringent for less sensitive products/applications)?</w:t>
      </w:r>
    </w:p>
    <w:p w:rsidR="00913429" w:rsidRDefault="00E143F0">
      <w:pPr>
        <w:pStyle w:val="ListParagraph"/>
        <w:ind w:left="360"/>
        <w:jc w:val="both"/>
        <w:rPr>
          <w:b/>
          <w:noProof/>
          <w:color w:val="000000"/>
          <w:sz w:val="22"/>
          <w:szCs w:val="22"/>
          <w:lang w:val="en-GB"/>
        </w:rPr>
      </w:pPr>
      <w:r>
        <w:rPr>
          <w:b/>
          <w:noProof/>
          <w:color w:val="000000"/>
          <w:sz w:val="22"/>
          <w:szCs w:val="22"/>
          <w:lang w:val="en-GB"/>
        </w:rPr>
        <w:t xml:space="preserve"> </w:t>
      </w:r>
    </w:p>
    <w:p w:rsidR="00913429" w:rsidRDefault="00E143F0">
      <w:pPr>
        <w:pStyle w:val="ListParagraph"/>
        <w:spacing w:after="0"/>
        <w:ind w:left="357"/>
        <w:jc w:val="both"/>
        <w:rPr>
          <w:noProof/>
          <w:color w:val="000000"/>
          <w:szCs w:val="22"/>
          <w:lang w:val="en-GB"/>
        </w:rPr>
      </w:pPr>
      <w:r>
        <w:rPr>
          <w:noProof/>
          <w:color w:val="000000"/>
          <w:szCs w:val="22"/>
          <w:lang w:val="en-GB"/>
        </w:rPr>
        <w:t>Devices that are more critical shoul</w:t>
      </w:r>
      <w:r>
        <w:rPr>
          <w:noProof/>
          <w:color w:val="000000"/>
          <w:szCs w:val="22"/>
          <w:lang w:val="en-GB"/>
        </w:rPr>
        <w:t>d have a higher level of security. Definitively some products have a very low risk. On top of some certifications, it would be good to consider self-declaration: in some area, there is a high attention on vulnerability assessment approaches. For me it is m</w:t>
      </w:r>
      <w:r>
        <w:rPr>
          <w:noProof/>
          <w:color w:val="000000"/>
          <w:szCs w:val="22"/>
          <w:lang w:val="en-GB"/>
        </w:rPr>
        <w:t>uch more important to have certification based on procedures in charge to the user managing the critical infrastructure. A certification has also to be considered in a system model: if the product is not used or configured in a secure way, there are vulner</w:t>
      </w:r>
      <w:r>
        <w:rPr>
          <w:noProof/>
          <w:color w:val="000000"/>
          <w:szCs w:val="22"/>
          <w:lang w:val="en-GB"/>
        </w:rPr>
        <w:t>abilities in charge of the critical infrastructure owner. We need a sort of way to certify requirements and we need to be able to specify which components are more critical and need a higher security assurance than others. One way to do that could be the s</w:t>
      </w:r>
      <w:r>
        <w:rPr>
          <w:noProof/>
          <w:color w:val="000000"/>
          <w:szCs w:val="22"/>
          <w:lang w:val="en-GB"/>
        </w:rPr>
        <w:t>elf-declaration approach.</w:t>
      </w:r>
    </w:p>
    <w:p w:rsidR="00913429" w:rsidRDefault="00913429">
      <w:pPr>
        <w:pStyle w:val="ListParagraph"/>
        <w:spacing w:after="0"/>
        <w:ind w:left="644"/>
        <w:jc w:val="both"/>
        <w:rPr>
          <w:noProof/>
          <w:color w:val="000000"/>
          <w:sz w:val="22"/>
          <w:szCs w:val="22"/>
          <w:lang w:val="en-GB"/>
        </w:rPr>
      </w:pPr>
    </w:p>
    <w:p w:rsidR="00913429" w:rsidRDefault="00E143F0">
      <w:pPr>
        <w:pStyle w:val="ListParagraph"/>
        <w:numPr>
          <w:ilvl w:val="0"/>
          <w:numId w:val="94"/>
        </w:numPr>
        <w:spacing w:before="0" w:after="160" w:line="259" w:lineRule="auto"/>
        <w:jc w:val="both"/>
        <w:rPr>
          <w:b/>
          <w:noProof/>
          <w:color w:val="000000"/>
          <w:sz w:val="22"/>
          <w:szCs w:val="22"/>
          <w:lang w:val="en-GB"/>
        </w:rPr>
      </w:pPr>
      <w:r>
        <w:rPr>
          <w:b/>
          <w:noProof/>
          <w:color w:val="000000"/>
          <w:sz w:val="22"/>
          <w:szCs w:val="22"/>
          <w:lang w:val="en-GB"/>
        </w:rPr>
        <w:t xml:space="preserve">Can you provide a case where a customer/user is not provided with enough/reliable information about the security properties of any ICT products/services? What is the problem for consumers: that information 1) is not is not </w:t>
      </w:r>
      <w:r>
        <w:rPr>
          <w:b/>
          <w:noProof/>
          <w:color w:val="000000"/>
          <w:sz w:val="22"/>
          <w:szCs w:val="22"/>
          <w:lang w:val="en-GB"/>
        </w:rPr>
        <w:t>provided at all 2) is not reliable 3) is not enough</w:t>
      </w:r>
    </w:p>
    <w:p w:rsidR="00913429" w:rsidRDefault="00913429">
      <w:pPr>
        <w:pStyle w:val="ListParagraph"/>
        <w:ind w:left="360"/>
        <w:jc w:val="both"/>
        <w:rPr>
          <w:noProof/>
          <w:color w:val="000000"/>
          <w:sz w:val="22"/>
          <w:szCs w:val="22"/>
          <w:lang w:val="en-GB"/>
        </w:rPr>
      </w:pPr>
    </w:p>
    <w:p w:rsidR="00913429" w:rsidRDefault="00E143F0">
      <w:pPr>
        <w:pStyle w:val="ListParagraph"/>
        <w:ind w:left="360"/>
        <w:jc w:val="both"/>
        <w:rPr>
          <w:noProof/>
          <w:color w:val="000000"/>
          <w:szCs w:val="22"/>
          <w:lang w:val="en-GB"/>
        </w:rPr>
      </w:pPr>
      <w:r>
        <w:rPr>
          <w:noProof/>
          <w:color w:val="000000"/>
          <w:szCs w:val="22"/>
          <w:lang w:val="en-GB"/>
        </w:rPr>
        <w:t xml:space="preserve">I do think that information provided to customer is not enough at least for critical infrastructure owners. Today we, as vendors, have in place cyber security programs to fulfil the information needs of </w:t>
      </w:r>
      <w:r>
        <w:rPr>
          <w:noProof/>
          <w:color w:val="000000"/>
          <w:szCs w:val="22"/>
          <w:lang w:val="en-GB"/>
        </w:rPr>
        <w:t>critical infrastructure operators.</w:t>
      </w:r>
    </w:p>
    <w:p w:rsidR="00913429" w:rsidRDefault="00913429">
      <w:pPr>
        <w:contextualSpacing/>
        <w:jc w:val="both"/>
        <w:rPr>
          <w:b/>
          <w:noProof/>
          <w:color w:val="000000"/>
          <w:sz w:val="22"/>
          <w:szCs w:val="22"/>
        </w:rPr>
      </w:pPr>
    </w:p>
    <w:p w:rsidR="00913429" w:rsidRDefault="00E143F0">
      <w:pPr>
        <w:numPr>
          <w:ilvl w:val="0"/>
          <w:numId w:val="94"/>
        </w:numPr>
        <w:spacing w:after="160" w:line="259" w:lineRule="auto"/>
        <w:contextualSpacing/>
        <w:jc w:val="both"/>
        <w:rPr>
          <w:b/>
          <w:noProof/>
          <w:color w:val="000000"/>
          <w:sz w:val="22"/>
          <w:szCs w:val="22"/>
        </w:rPr>
      </w:pPr>
      <w:r>
        <w:rPr>
          <w:b/>
          <w:noProof/>
          <w:color w:val="000000"/>
          <w:sz w:val="22"/>
          <w:szCs w:val="22"/>
        </w:rPr>
        <w:t>Would you be in favour of the introduction of a common label signalling that the products have been certified within a certification scheme in accordance with EU rules?</w:t>
      </w:r>
    </w:p>
    <w:p w:rsidR="00913429" w:rsidRDefault="00E143F0">
      <w:pPr>
        <w:pStyle w:val="ListParagraph"/>
        <w:spacing w:after="0"/>
        <w:ind w:left="357"/>
        <w:jc w:val="both"/>
        <w:rPr>
          <w:noProof/>
          <w:color w:val="000000"/>
          <w:szCs w:val="22"/>
          <w:lang w:val="en-GB"/>
        </w:rPr>
      </w:pPr>
      <w:r>
        <w:rPr>
          <w:noProof/>
          <w:color w:val="000000"/>
          <w:szCs w:val="22"/>
          <w:lang w:val="en-GB"/>
        </w:rPr>
        <w:t>I definitely think that, even with the label, the c</w:t>
      </w:r>
      <w:r>
        <w:rPr>
          <w:noProof/>
          <w:color w:val="000000"/>
          <w:szCs w:val="22"/>
          <w:lang w:val="en-GB"/>
        </w:rPr>
        <w:t>ustomers need to understand what the label means and there is the need for some information behind. I mean there should be a transparent information about how this process of certification has been carried on.</w:t>
      </w:r>
    </w:p>
    <w:p w:rsidR="00913429" w:rsidRDefault="00913429">
      <w:pPr>
        <w:pStyle w:val="ListParagraph"/>
        <w:spacing w:after="0"/>
        <w:ind w:left="0"/>
        <w:jc w:val="both"/>
        <w:rPr>
          <w:noProof/>
          <w:color w:val="000000"/>
          <w:sz w:val="22"/>
          <w:szCs w:val="22"/>
          <w:lang w:val="en-GB"/>
        </w:rPr>
      </w:pPr>
    </w:p>
    <w:p w:rsidR="00913429" w:rsidRDefault="00E143F0">
      <w:pPr>
        <w:numPr>
          <w:ilvl w:val="0"/>
          <w:numId w:val="94"/>
        </w:numPr>
        <w:spacing w:after="160" w:line="259" w:lineRule="auto"/>
        <w:contextualSpacing/>
        <w:jc w:val="both"/>
        <w:rPr>
          <w:b/>
          <w:noProof/>
          <w:color w:val="000000"/>
          <w:sz w:val="22"/>
          <w:szCs w:val="22"/>
        </w:rPr>
      </w:pPr>
      <w:r>
        <w:rPr>
          <w:b/>
          <w:noProof/>
          <w:color w:val="000000"/>
          <w:sz w:val="22"/>
          <w:szCs w:val="22"/>
        </w:rPr>
        <w:t xml:space="preserve">Do you think a mutual recognition agreement of certification schemes existing in different countries may have a positive impact on industry costs? </w:t>
      </w:r>
    </w:p>
    <w:p w:rsidR="00913429" w:rsidRDefault="00E143F0">
      <w:pPr>
        <w:pStyle w:val="ListParagraph"/>
        <w:ind w:left="360"/>
        <w:jc w:val="both"/>
        <w:rPr>
          <w:noProof/>
          <w:color w:val="000000"/>
          <w:szCs w:val="22"/>
          <w:lang w:val="en-GB"/>
        </w:rPr>
      </w:pPr>
      <w:r>
        <w:rPr>
          <w:noProof/>
          <w:color w:val="000000"/>
          <w:szCs w:val="22"/>
          <w:lang w:val="en-GB"/>
        </w:rPr>
        <w:t>We agree that a certification recognised between member states is required. We prefer to have a certificatio</w:t>
      </w:r>
      <w:r>
        <w:rPr>
          <w:noProof/>
          <w:color w:val="000000"/>
          <w:szCs w:val="22"/>
          <w:lang w:val="en-GB"/>
        </w:rPr>
        <w:t>n that is done in one country and is recognized in others Member States. We also prefer to refer to international standard to remain competitive at international level.</w:t>
      </w:r>
    </w:p>
    <w:p w:rsidR="00913429" w:rsidRDefault="00913429">
      <w:pPr>
        <w:contextualSpacing/>
        <w:jc w:val="both"/>
        <w:rPr>
          <w:b/>
          <w:noProof/>
          <w:color w:val="000000"/>
          <w:sz w:val="22"/>
          <w:szCs w:val="22"/>
        </w:rPr>
      </w:pPr>
    </w:p>
    <w:p w:rsidR="00913429" w:rsidRDefault="00E143F0">
      <w:pPr>
        <w:numPr>
          <w:ilvl w:val="0"/>
          <w:numId w:val="94"/>
        </w:numPr>
        <w:spacing w:after="160" w:line="259" w:lineRule="auto"/>
        <w:contextualSpacing/>
        <w:jc w:val="both"/>
        <w:rPr>
          <w:b/>
          <w:noProof/>
          <w:color w:val="000000"/>
          <w:sz w:val="22"/>
          <w:szCs w:val="22"/>
        </w:rPr>
      </w:pPr>
      <w:r>
        <w:rPr>
          <w:b/>
          <w:noProof/>
          <w:color w:val="000000"/>
          <w:sz w:val="22"/>
          <w:szCs w:val="22"/>
        </w:rPr>
        <w:t>Do you think the extension of the SOG-IS to all member states represents a valuable po</w:t>
      </w:r>
      <w:r>
        <w:rPr>
          <w:b/>
          <w:noProof/>
          <w:color w:val="000000"/>
          <w:sz w:val="22"/>
          <w:szCs w:val="22"/>
        </w:rPr>
        <w:t>licy option? Can you please elaborate what do you think are the criticalities and positive aspects</w:t>
      </w:r>
    </w:p>
    <w:p w:rsidR="00913429" w:rsidRDefault="00913429">
      <w:pPr>
        <w:ind w:left="360"/>
        <w:contextualSpacing/>
        <w:jc w:val="both"/>
        <w:rPr>
          <w:noProof/>
          <w:color w:val="000000"/>
          <w:sz w:val="22"/>
          <w:szCs w:val="22"/>
        </w:rPr>
      </w:pPr>
    </w:p>
    <w:p w:rsidR="00913429" w:rsidRDefault="00E143F0">
      <w:pPr>
        <w:ind w:left="360"/>
        <w:contextualSpacing/>
        <w:jc w:val="both"/>
        <w:rPr>
          <w:noProof/>
          <w:color w:val="000000"/>
          <w:szCs w:val="22"/>
        </w:rPr>
      </w:pPr>
      <w:r>
        <w:rPr>
          <w:noProof/>
          <w:color w:val="000000"/>
          <w:szCs w:val="22"/>
        </w:rPr>
        <w:t xml:space="preserve">We feel that Common Criteria and SOGIS are not the right solution for ICS at the moment. Common Criteria costs 500k and lasts more than one year. This is a </w:t>
      </w:r>
      <w:r>
        <w:rPr>
          <w:noProof/>
          <w:color w:val="000000"/>
          <w:szCs w:val="22"/>
        </w:rPr>
        <w:t>problem for a vendor. Common Criteria is a good approach for some kinds of components and products. In situations where the lifecycle of a product is more than 20 years, we have to find approaches at a system level based on procedures and self-declaration.</w:t>
      </w:r>
      <w:r>
        <w:rPr>
          <w:noProof/>
          <w:color w:val="000000"/>
          <w:szCs w:val="22"/>
        </w:rPr>
        <w:t xml:space="preserve"> ISO 15443 is an example of standard that we think is adequate for ICS context. </w:t>
      </w:r>
    </w:p>
    <w:p w:rsidR="00913429" w:rsidRDefault="00913429">
      <w:pPr>
        <w:ind w:left="360"/>
        <w:contextualSpacing/>
        <w:jc w:val="both"/>
        <w:rPr>
          <w:b/>
          <w:noProof/>
          <w:color w:val="000000"/>
          <w:sz w:val="22"/>
          <w:szCs w:val="22"/>
        </w:rPr>
      </w:pPr>
    </w:p>
    <w:p w:rsidR="00913429" w:rsidRDefault="00E143F0">
      <w:pPr>
        <w:numPr>
          <w:ilvl w:val="0"/>
          <w:numId w:val="94"/>
        </w:numPr>
        <w:spacing w:after="160" w:line="259" w:lineRule="auto"/>
        <w:contextualSpacing/>
        <w:jc w:val="both"/>
        <w:rPr>
          <w:b/>
          <w:noProof/>
          <w:color w:val="000000"/>
          <w:sz w:val="22"/>
          <w:szCs w:val="22"/>
        </w:rPr>
      </w:pPr>
      <w:r>
        <w:rPr>
          <w:b/>
          <w:noProof/>
          <w:color w:val="000000"/>
          <w:sz w:val="22"/>
          <w:szCs w:val="22"/>
        </w:rPr>
        <w:t>Concerning an EU wide certification framework, do you think it would have a positive impact on costs for your industry? Can you please elaborate what do you think are the cri</w:t>
      </w:r>
      <w:r>
        <w:rPr>
          <w:b/>
          <w:noProof/>
          <w:color w:val="000000"/>
          <w:sz w:val="22"/>
          <w:szCs w:val="22"/>
        </w:rPr>
        <w:t>ticalities and positive aspects?</w:t>
      </w:r>
    </w:p>
    <w:p w:rsidR="00913429" w:rsidRDefault="00913429">
      <w:pPr>
        <w:ind w:left="360"/>
        <w:contextualSpacing/>
        <w:jc w:val="both"/>
        <w:rPr>
          <w:noProof/>
          <w:color w:val="000000"/>
          <w:sz w:val="22"/>
          <w:szCs w:val="22"/>
        </w:rPr>
      </w:pPr>
    </w:p>
    <w:p w:rsidR="00913429" w:rsidRDefault="00E143F0">
      <w:pPr>
        <w:ind w:left="360"/>
        <w:contextualSpacing/>
        <w:jc w:val="both"/>
        <w:rPr>
          <w:noProof/>
          <w:color w:val="000000"/>
          <w:szCs w:val="22"/>
        </w:rPr>
      </w:pPr>
      <w:r>
        <w:rPr>
          <w:noProof/>
          <w:color w:val="000000"/>
          <w:szCs w:val="22"/>
        </w:rPr>
        <w:t>In ICS context, we think that other levels of the system have to be certified as well, not only the product level. We need to make sure that the certification takes into account the different actors involved in the whole p</w:t>
      </w:r>
      <w:r>
        <w:rPr>
          <w:noProof/>
          <w:color w:val="000000"/>
          <w:szCs w:val="22"/>
        </w:rPr>
        <w:t>rocess. Some nations may have different needs on ICS and ICT requirements too. The application of a specific international standard has be debated, not only the framework. For non-critical devices, we also find that the solution could rely on a self-declar</w:t>
      </w:r>
      <w:r>
        <w:rPr>
          <w:noProof/>
          <w:color w:val="000000"/>
          <w:szCs w:val="22"/>
        </w:rPr>
        <w:t xml:space="preserve">ation process. </w:t>
      </w:r>
    </w:p>
    <w:p w:rsidR="00913429" w:rsidRDefault="00913429">
      <w:pPr>
        <w:ind w:left="360"/>
        <w:contextualSpacing/>
        <w:jc w:val="both"/>
        <w:rPr>
          <w:b/>
          <w:noProof/>
          <w:color w:val="000000"/>
          <w:sz w:val="22"/>
          <w:szCs w:val="22"/>
        </w:rPr>
      </w:pPr>
    </w:p>
    <w:p w:rsidR="00913429" w:rsidRDefault="00E143F0">
      <w:pPr>
        <w:numPr>
          <w:ilvl w:val="0"/>
          <w:numId w:val="94"/>
        </w:numPr>
        <w:spacing w:after="160" w:line="259" w:lineRule="auto"/>
        <w:contextualSpacing/>
        <w:jc w:val="both"/>
        <w:rPr>
          <w:b/>
          <w:noProof/>
          <w:color w:val="000000"/>
          <w:sz w:val="22"/>
          <w:szCs w:val="22"/>
        </w:rPr>
      </w:pPr>
      <w:r>
        <w:rPr>
          <w:b/>
          <w:noProof/>
          <w:color w:val="000000"/>
          <w:sz w:val="22"/>
          <w:szCs w:val="22"/>
        </w:rPr>
        <w:t>In your opinion, what role the EU Agencies (such as ENISA) might have in the management and the operational tasks of an EU wide cybersecurity certification scheme?</w:t>
      </w:r>
    </w:p>
    <w:p w:rsidR="00913429" w:rsidRDefault="00E143F0">
      <w:pPr>
        <w:pStyle w:val="ListParagraph"/>
        <w:ind w:left="360"/>
        <w:jc w:val="both"/>
        <w:rPr>
          <w:noProof/>
          <w:color w:val="000000"/>
          <w:szCs w:val="22"/>
          <w:lang w:val="en-GB"/>
        </w:rPr>
      </w:pPr>
      <w:r>
        <w:rPr>
          <w:noProof/>
          <w:color w:val="000000"/>
          <w:szCs w:val="22"/>
          <w:lang w:val="en-GB"/>
        </w:rPr>
        <w:t>I think ENISA could play a role within industry to help to understand the c</w:t>
      </w:r>
      <w:r>
        <w:rPr>
          <w:noProof/>
          <w:color w:val="000000"/>
          <w:szCs w:val="22"/>
          <w:lang w:val="en-GB"/>
        </w:rPr>
        <w:t>oncerns of the different national agencies. ENISA can play a key a role to harmonize Members States’ Agencies on definition of national requirements and assurance, and assuring that the solution meets the needs of industry.  ENISA should also cooperate wit</w:t>
      </w:r>
      <w:r>
        <w:rPr>
          <w:noProof/>
          <w:color w:val="000000"/>
          <w:szCs w:val="22"/>
          <w:lang w:val="en-GB"/>
        </w:rPr>
        <w:t>h standardization institutes.</w:t>
      </w:r>
    </w:p>
    <w:p w:rsidR="00913429" w:rsidRDefault="00913429">
      <w:pPr>
        <w:pStyle w:val="ListParagraph"/>
        <w:ind w:left="360"/>
        <w:jc w:val="both"/>
        <w:rPr>
          <w:noProof/>
          <w:color w:val="000000"/>
          <w:sz w:val="22"/>
          <w:szCs w:val="22"/>
          <w:lang w:val="en-GB"/>
        </w:rPr>
      </w:pPr>
    </w:p>
    <w:p w:rsidR="00913429" w:rsidRDefault="00E143F0">
      <w:pPr>
        <w:pStyle w:val="ListParagraph"/>
        <w:ind w:left="360"/>
        <w:rPr>
          <w:noProof/>
          <w:color w:val="000000"/>
          <w:sz w:val="22"/>
          <w:szCs w:val="22"/>
          <w:lang w:val="en-GB"/>
        </w:rPr>
      </w:pPr>
      <w:r>
        <w:rPr>
          <w:b/>
          <w:noProof/>
          <w:color w:val="000000"/>
          <w:sz w:val="22"/>
          <w:szCs w:val="22"/>
          <w:lang w:val="en-GB"/>
        </w:rPr>
        <w:t>(Additional question) Would your company be willing to actively contribute to the realization of the said EU framework?</w:t>
      </w:r>
      <w:r>
        <w:rPr>
          <w:noProof/>
          <w:color w:val="000000"/>
          <w:sz w:val="22"/>
          <w:szCs w:val="22"/>
          <w:lang w:val="en-GB"/>
        </w:rPr>
        <w:br/>
      </w:r>
    </w:p>
    <w:p w:rsidR="00913429" w:rsidRDefault="00E143F0">
      <w:pPr>
        <w:pStyle w:val="ListParagraph"/>
        <w:ind w:left="360"/>
        <w:jc w:val="both"/>
        <w:rPr>
          <w:noProof/>
          <w:color w:val="000000"/>
          <w:szCs w:val="22"/>
          <w:lang w:val="en-GB"/>
        </w:rPr>
      </w:pPr>
      <w:r>
        <w:rPr>
          <w:noProof/>
          <w:color w:val="000000"/>
          <w:szCs w:val="22"/>
          <w:lang w:val="en-GB"/>
        </w:rPr>
        <w:t>Industry would be available to contribute to the realization of the EU Framework.  We are involved in cyber security taskforces and industry experts from these taskforces would be happy to participate. We also produced a policy paper that shows the positio</w:t>
      </w:r>
      <w:r>
        <w:rPr>
          <w:noProof/>
          <w:color w:val="000000"/>
          <w:szCs w:val="22"/>
          <w:lang w:val="en-GB"/>
        </w:rPr>
        <w:t xml:space="preserve">n of pan-European vendors about relevant requirements. </w:t>
      </w:r>
    </w:p>
    <w:p w:rsidR="00913429" w:rsidRDefault="00E143F0">
      <w:pPr>
        <w:spacing w:after="0" w:line="240" w:lineRule="auto"/>
        <w:rPr>
          <w:rFonts w:eastAsia="Times New Roman" w:cs="Tahoma"/>
          <w:noProof/>
          <w:sz w:val="22"/>
          <w:szCs w:val="26"/>
          <w:lang w:eastAsia="it-IT"/>
        </w:rPr>
      </w:pPr>
      <w:r>
        <w:rPr>
          <w:rFonts w:eastAsia="Times New Roman" w:cs="Tahoma"/>
          <w:noProof/>
          <w:sz w:val="22"/>
          <w:szCs w:val="26"/>
          <w:lang w:eastAsia="it-IT"/>
        </w:rPr>
        <w:br w:type="page"/>
      </w:r>
    </w:p>
    <w:p w:rsidR="00913429" w:rsidRDefault="00E143F0">
      <w:pPr>
        <w:tabs>
          <w:tab w:val="center" w:pos="4819"/>
          <w:tab w:val="left" w:pos="6499"/>
        </w:tabs>
        <w:jc w:val="right"/>
        <w:rPr>
          <w:rFonts w:cs="Tahoma"/>
          <w:b/>
          <w:i/>
          <w:noProof/>
          <w:color w:val="000000"/>
          <w:sz w:val="28"/>
          <w:szCs w:val="26"/>
          <w:lang w:eastAsia="it-IT"/>
        </w:rPr>
      </w:pPr>
      <w:r>
        <w:rPr>
          <w:rFonts w:cs="Tahoma"/>
          <w:b/>
          <w:i/>
          <w:noProof/>
          <w:color w:val="000000"/>
          <w:sz w:val="28"/>
          <w:szCs w:val="26"/>
          <w:lang w:eastAsia="it-IT"/>
        </w:rPr>
        <w:t>June 19</w:t>
      </w:r>
      <w:r>
        <w:rPr>
          <w:rFonts w:cs="Tahoma"/>
          <w:b/>
          <w:i/>
          <w:noProof/>
          <w:color w:val="000000"/>
          <w:sz w:val="28"/>
          <w:szCs w:val="26"/>
          <w:vertAlign w:val="superscript"/>
          <w:lang w:eastAsia="it-IT"/>
        </w:rPr>
        <w:t>th</w:t>
      </w:r>
      <w:r>
        <w:rPr>
          <w:rFonts w:cs="Tahoma"/>
          <w:b/>
          <w:i/>
          <w:noProof/>
          <w:color w:val="000000"/>
          <w:sz w:val="28"/>
          <w:szCs w:val="26"/>
          <w:lang w:eastAsia="it-IT"/>
        </w:rPr>
        <w:t>, 2017</w:t>
      </w:r>
    </w:p>
    <w:p w:rsidR="00913429" w:rsidRDefault="00E143F0">
      <w:pPr>
        <w:pStyle w:val="Heading4"/>
        <w:rPr>
          <w:noProof/>
        </w:rPr>
      </w:pPr>
      <w:r>
        <w:rPr>
          <w:noProof/>
        </w:rPr>
        <w:t>Interviews results from representatives of</w:t>
      </w:r>
      <w:r>
        <w:rPr>
          <w:b/>
          <w:noProof/>
        </w:rPr>
        <w:t xml:space="preserve"> </w:t>
      </w:r>
      <w:r>
        <w:rPr>
          <w:noProof/>
        </w:rPr>
        <w:t>Conformity Assessment Body</w:t>
      </w:r>
    </w:p>
    <w:p w:rsidR="00913429" w:rsidRDefault="00913429">
      <w:pPr>
        <w:pStyle w:val="ListParagraph"/>
        <w:spacing w:before="0" w:after="160" w:line="259" w:lineRule="auto"/>
        <w:ind w:left="360"/>
        <w:jc w:val="both"/>
        <w:rPr>
          <w:b/>
          <w:noProof/>
          <w:lang w:val="en-GB"/>
        </w:rPr>
      </w:pPr>
    </w:p>
    <w:p w:rsidR="00913429" w:rsidRDefault="00E143F0">
      <w:pPr>
        <w:pStyle w:val="ListParagraph"/>
        <w:numPr>
          <w:ilvl w:val="0"/>
          <w:numId w:val="100"/>
        </w:numPr>
        <w:spacing w:before="0" w:after="160" w:line="259" w:lineRule="auto"/>
        <w:jc w:val="both"/>
        <w:rPr>
          <w:b/>
          <w:noProof/>
          <w:lang w:val="en-GB"/>
        </w:rPr>
      </w:pPr>
      <w:r>
        <w:rPr>
          <w:b/>
          <w:noProof/>
          <w:lang w:val="en-GB"/>
        </w:rPr>
        <w:t xml:space="preserve">Can you provide a case where the certification of an ICT component is accepted in one country but it was not </w:t>
      </w:r>
      <w:r>
        <w:rPr>
          <w:b/>
          <w:noProof/>
          <w:lang w:val="en-GB"/>
        </w:rPr>
        <w:t>accepted in another EU country as another certification was required? In that case, did the company undertake a second certification or did it restrain itself from entering the market of that second country?</w:t>
      </w:r>
    </w:p>
    <w:p w:rsidR="00913429" w:rsidRDefault="00913429">
      <w:pPr>
        <w:pStyle w:val="ListParagraph"/>
        <w:spacing w:after="0"/>
        <w:ind w:left="360"/>
        <w:jc w:val="both"/>
        <w:rPr>
          <w:noProof/>
          <w:lang w:val="en-GB"/>
        </w:rPr>
      </w:pPr>
    </w:p>
    <w:p w:rsidR="00913429" w:rsidRDefault="00E143F0">
      <w:pPr>
        <w:pStyle w:val="ListParagraph"/>
        <w:spacing w:after="0"/>
        <w:ind w:left="360"/>
        <w:jc w:val="both"/>
        <w:rPr>
          <w:noProof/>
          <w:lang w:val="en-GB"/>
        </w:rPr>
      </w:pPr>
      <w:r>
        <w:rPr>
          <w:noProof/>
          <w:lang w:val="en-GB"/>
        </w:rPr>
        <w:t>My organization has in fact certified some prod</w:t>
      </w:r>
      <w:r>
        <w:rPr>
          <w:noProof/>
          <w:lang w:val="en-GB"/>
        </w:rPr>
        <w:t>ucts with vendors who have been successively requested to re-certify the same products. This was needed to enter the market of another country. Notice that the problem is not the recognition of certificates (Common Criteria), but the suitability of a certi</w:t>
      </w:r>
      <w:r>
        <w:rPr>
          <w:noProof/>
          <w:lang w:val="en-GB"/>
        </w:rPr>
        <w:t xml:space="preserve">ficate against country specific requirements (e.g., assurance level (Common Criteria EAL) and/or security requirements (Common Criteria SFRs). Vendors expect certificates to be valid for all customers, but most of the times this is not the case because of </w:t>
      </w:r>
      <w:r>
        <w:rPr>
          <w:noProof/>
          <w:lang w:val="en-GB"/>
        </w:rPr>
        <w:t>country specific requirements.  This applies especially for governmental customers. Most of the problems arise from the semantics and the content of certificates (Common Criteria) and not from the lack of certificate recognition.</w:t>
      </w:r>
    </w:p>
    <w:p w:rsidR="00913429" w:rsidRDefault="00E143F0">
      <w:pPr>
        <w:pStyle w:val="ListParagraph"/>
        <w:spacing w:after="0"/>
        <w:ind w:left="360"/>
        <w:jc w:val="both"/>
        <w:rPr>
          <w:noProof/>
          <w:lang w:val="en-GB"/>
        </w:rPr>
      </w:pPr>
      <w:r>
        <w:rPr>
          <w:noProof/>
          <w:lang w:val="en-GB"/>
        </w:rPr>
        <w:t>There are cases where a ve</w:t>
      </w:r>
      <w:r>
        <w:rPr>
          <w:noProof/>
          <w:lang w:val="en-GB"/>
        </w:rPr>
        <w:t>ndor, having already certified its product, has applied for a second certification to enter the market of the requesting country.</w:t>
      </w:r>
    </w:p>
    <w:p w:rsidR="00913429" w:rsidRDefault="00E143F0">
      <w:pPr>
        <w:pStyle w:val="ListParagraph"/>
        <w:spacing w:after="0"/>
        <w:ind w:left="360"/>
        <w:jc w:val="both"/>
        <w:rPr>
          <w:noProof/>
          <w:lang w:val="en-GB"/>
        </w:rPr>
      </w:pPr>
      <w:r>
        <w:rPr>
          <w:noProof/>
          <w:lang w:val="en-GB"/>
        </w:rPr>
        <w:t>I do not know about cases where a vendor renounced to apply for a second certification.</w:t>
      </w:r>
    </w:p>
    <w:p w:rsidR="00913429" w:rsidRDefault="00913429">
      <w:pPr>
        <w:pStyle w:val="ListParagraph"/>
        <w:spacing w:after="0"/>
        <w:ind w:left="360"/>
        <w:jc w:val="both"/>
        <w:rPr>
          <w:noProof/>
          <w:lang w:val="en-GB"/>
        </w:rPr>
      </w:pPr>
    </w:p>
    <w:p w:rsidR="00913429" w:rsidRDefault="00E143F0">
      <w:pPr>
        <w:pStyle w:val="ListParagraph"/>
        <w:numPr>
          <w:ilvl w:val="0"/>
          <w:numId w:val="100"/>
        </w:numPr>
        <w:spacing w:before="0" w:after="160" w:line="259" w:lineRule="auto"/>
        <w:jc w:val="both"/>
        <w:rPr>
          <w:b/>
          <w:noProof/>
          <w:lang w:val="en-GB"/>
        </w:rPr>
      </w:pPr>
      <w:r>
        <w:rPr>
          <w:b/>
          <w:noProof/>
          <w:lang w:val="en-GB"/>
        </w:rPr>
        <w:t>Do you think that the processes and t</w:t>
      </w:r>
      <w:r>
        <w:rPr>
          <w:b/>
          <w:noProof/>
          <w:lang w:val="en-GB"/>
        </w:rPr>
        <w:t>ools used for ICT security certification should be sufficiently flexible and take into account different levels of assurances according to market needs (e.g. more stringent testing/assessment standards for more sensitive products/applications and less stri</w:t>
      </w:r>
      <w:r>
        <w:rPr>
          <w:b/>
          <w:noProof/>
          <w:lang w:val="en-GB"/>
        </w:rPr>
        <w:t>ngent for less sensitive products/applications)?</w:t>
      </w:r>
    </w:p>
    <w:p w:rsidR="00913429" w:rsidRDefault="00E143F0">
      <w:pPr>
        <w:pStyle w:val="ListParagraph"/>
        <w:ind w:left="360"/>
        <w:jc w:val="both"/>
        <w:rPr>
          <w:b/>
          <w:noProof/>
          <w:lang w:val="en-GB"/>
        </w:rPr>
      </w:pPr>
      <w:r>
        <w:rPr>
          <w:b/>
          <w:noProof/>
          <w:lang w:val="en-GB"/>
        </w:rPr>
        <w:t xml:space="preserve"> </w:t>
      </w:r>
    </w:p>
    <w:p w:rsidR="00913429" w:rsidRDefault="00E143F0">
      <w:pPr>
        <w:pStyle w:val="ListParagraph"/>
        <w:spacing w:after="0"/>
        <w:ind w:left="357"/>
        <w:jc w:val="both"/>
        <w:rPr>
          <w:noProof/>
          <w:lang w:val="en-GB"/>
        </w:rPr>
      </w:pPr>
      <w:r>
        <w:rPr>
          <w:noProof/>
          <w:lang w:val="en-GB"/>
        </w:rPr>
        <w:t>In some cases, end users are addressed with wrong needs and the concept of a single view on assurance is not useful at all (an example is the mandatory usage of cPP (collaborative Protection Profile) withi</w:t>
      </w:r>
      <w:r>
        <w:rPr>
          <w:noProof/>
          <w:lang w:val="en-GB"/>
        </w:rPr>
        <w:t>n CCRA to get certificate recognition for assurance level greater than EAL2). Certification has to be very flexible to provide what the market is asking for. ISO 15408 (Common Criteria, in fact) has sufficient room for flexibility.</w:t>
      </w:r>
    </w:p>
    <w:p w:rsidR="00913429" w:rsidRDefault="00913429">
      <w:pPr>
        <w:pStyle w:val="ListParagraph"/>
        <w:spacing w:after="0"/>
        <w:ind w:left="357"/>
        <w:jc w:val="both"/>
        <w:rPr>
          <w:noProof/>
          <w:lang w:val="en-GB"/>
        </w:rPr>
      </w:pPr>
    </w:p>
    <w:p w:rsidR="00913429" w:rsidRDefault="00E143F0">
      <w:pPr>
        <w:pStyle w:val="ListParagraph"/>
        <w:numPr>
          <w:ilvl w:val="0"/>
          <w:numId w:val="100"/>
        </w:numPr>
        <w:spacing w:before="0" w:after="160" w:line="259" w:lineRule="auto"/>
        <w:jc w:val="both"/>
        <w:rPr>
          <w:b/>
          <w:noProof/>
          <w:lang w:val="en-GB"/>
        </w:rPr>
      </w:pPr>
      <w:r>
        <w:rPr>
          <w:b/>
          <w:noProof/>
          <w:lang w:val="en-GB"/>
        </w:rPr>
        <w:t>Are you aware of nation</w:t>
      </w:r>
      <w:r>
        <w:rPr>
          <w:b/>
          <w:noProof/>
          <w:lang w:val="en-GB"/>
        </w:rPr>
        <w:t xml:space="preserve">al approach to security certification of some products which are being established in some MS? Do you expect new approaches established in the near future? </w:t>
      </w:r>
    </w:p>
    <w:p w:rsidR="00913429" w:rsidRDefault="00913429">
      <w:pPr>
        <w:pStyle w:val="ListParagraph"/>
        <w:jc w:val="both"/>
        <w:rPr>
          <w:noProof/>
          <w:lang w:val="en-GB"/>
        </w:rPr>
      </w:pPr>
    </w:p>
    <w:p w:rsidR="00913429" w:rsidRDefault="00E143F0">
      <w:pPr>
        <w:pStyle w:val="ListParagraph"/>
        <w:spacing w:after="0"/>
        <w:ind w:left="357"/>
        <w:jc w:val="both"/>
        <w:rPr>
          <w:noProof/>
          <w:lang w:val="en-GB"/>
        </w:rPr>
      </w:pPr>
      <w:r>
        <w:rPr>
          <w:noProof/>
          <w:lang w:val="en-GB"/>
        </w:rPr>
        <w:t>No.</w:t>
      </w:r>
    </w:p>
    <w:p w:rsidR="00913429" w:rsidRDefault="00913429">
      <w:pPr>
        <w:pStyle w:val="ListParagraph"/>
        <w:spacing w:after="0"/>
        <w:ind w:left="644"/>
        <w:jc w:val="both"/>
        <w:rPr>
          <w:noProof/>
          <w:lang w:val="en-GB"/>
        </w:rPr>
      </w:pPr>
    </w:p>
    <w:p w:rsidR="00913429" w:rsidRDefault="00E143F0">
      <w:pPr>
        <w:pStyle w:val="ListParagraph"/>
        <w:numPr>
          <w:ilvl w:val="0"/>
          <w:numId w:val="100"/>
        </w:numPr>
        <w:spacing w:before="0" w:after="160" w:line="259" w:lineRule="auto"/>
        <w:jc w:val="both"/>
        <w:rPr>
          <w:b/>
          <w:noProof/>
          <w:lang w:val="en-GB"/>
        </w:rPr>
      </w:pPr>
      <w:r>
        <w:rPr>
          <w:b/>
          <w:noProof/>
          <w:lang w:val="en-GB"/>
        </w:rPr>
        <w:t>Can you provide a case where a customer/user is not provided with enough/reliable information</w:t>
      </w:r>
      <w:r>
        <w:rPr>
          <w:b/>
          <w:noProof/>
          <w:lang w:val="en-GB"/>
        </w:rPr>
        <w:t xml:space="preserve"> about the security properties of any ICT products/services? What is the problem for consumers: that information 1) is not is not provided at all 2) is not reliable 3) is not enough</w:t>
      </w:r>
    </w:p>
    <w:p w:rsidR="00913429" w:rsidRDefault="00913429">
      <w:pPr>
        <w:pStyle w:val="ListParagraph"/>
        <w:ind w:left="360"/>
        <w:jc w:val="both"/>
        <w:rPr>
          <w:noProof/>
          <w:lang w:val="en-GB"/>
        </w:rPr>
      </w:pPr>
    </w:p>
    <w:p w:rsidR="00913429" w:rsidRDefault="00E143F0">
      <w:pPr>
        <w:pStyle w:val="ListParagraph"/>
        <w:ind w:left="360"/>
        <w:jc w:val="both"/>
        <w:rPr>
          <w:noProof/>
          <w:lang w:val="en-GB"/>
        </w:rPr>
      </w:pPr>
      <w:r>
        <w:rPr>
          <w:noProof/>
          <w:lang w:val="en-GB"/>
        </w:rPr>
        <w:t>I think there is a general lack of understanding of the security properti</w:t>
      </w:r>
      <w:r>
        <w:rPr>
          <w:noProof/>
          <w:lang w:val="en-GB"/>
        </w:rPr>
        <w:t>es of a product from the user/customer. The information is not really provided.</w:t>
      </w:r>
    </w:p>
    <w:p w:rsidR="00913429" w:rsidRDefault="00E143F0">
      <w:pPr>
        <w:pStyle w:val="ListParagraph"/>
        <w:numPr>
          <w:ilvl w:val="0"/>
          <w:numId w:val="100"/>
        </w:numPr>
        <w:spacing w:before="0" w:after="160" w:line="259" w:lineRule="auto"/>
        <w:jc w:val="both"/>
        <w:rPr>
          <w:b/>
          <w:noProof/>
          <w:lang w:val="en-GB"/>
        </w:rPr>
      </w:pPr>
      <w:r>
        <w:rPr>
          <w:b/>
          <w:noProof/>
          <w:lang w:val="en-GB"/>
        </w:rPr>
        <w:t>Assume a labelling framework where a product can be security labelled after a successful security certification. Would this approach improve the situation?</w:t>
      </w:r>
    </w:p>
    <w:p w:rsidR="00913429" w:rsidRDefault="00913429">
      <w:pPr>
        <w:pStyle w:val="ListParagraph"/>
        <w:ind w:left="360"/>
        <w:jc w:val="both"/>
        <w:rPr>
          <w:noProof/>
          <w:lang w:val="en-GB"/>
        </w:rPr>
      </w:pPr>
    </w:p>
    <w:p w:rsidR="00913429" w:rsidRDefault="00E143F0">
      <w:pPr>
        <w:pStyle w:val="ListParagraph"/>
        <w:ind w:left="360"/>
        <w:jc w:val="both"/>
        <w:rPr>
          <w:noProof/>
          <w:lang w:val="en-GB"/>
        </w:rPr>
      </w:pPr>
      <w:r>
        <w:rPr>
          <w:noProof/>
          <w:lang w:val="en-GB"/>
        </w:rPr>
        <w:t>The problem with su</w:t>
      </w:r>
      <w:r>
        <w:rPr>
          <w:noProof/>
          <w:lang w:val="en-GB"/>
        </w:rPr>
        <w:t>ch a label is that it could lead to more confusion. If the label is too simple, the user could misunderstand the corresponding information. If the label is too complex, the user could be unable to understand the corresponding information. To be useful, the</w:t>
      </w:r>
      <w:r>
        <w:rPr>
          <w:noProof/>
          <w:lang w:val="en-GB"/>
        </w:rPr>
        <w:t xml:space="preserve"> label should be well balanced.</w:t>
      </w:r>
    </w:p>
    <w:p w:rsidR="00913429" w:rsidRDefault="00913429">
      <w:pPr>
        <w:pStyle w:val="ListParagraph"/>
        <w:spacing w:after="0"/>
        <w:ind w:left="0"/>
        <w:jc w:val="both"/>
        <w:rPr>
          <w:noProof/>
          <w:lang w:val="en-GB"/>
        </w:rPr>
      </w:pPr>
    </w:p>
    <w:p w:rsidR="00913429" w:rsidRDefault="00E143F0">
      <w:pPr>
        <w:numPr>
          <w:ilvl w:val="0"/>
          <w:numId w:val="100"/>
        </w:numPr>
        <w:spacing w:after="160" w:line="259" w:lineRule="auto"/>
        <w:contextualSpacing/>
        <w:jc w:val="both"/>
        <w:rPr>
          <w:b/>
          <w:noProof/>
        </w:rPr>
      </w:pPr>
      <w:r>
        <w:rPr>
          <w:b/>
          <w:noProof/>
        </w:rPr>
        <w:t xml:space="preserve">Do you think a mutual recognition agreement of certification schemes existing in different countries may have a positive impact on industry costs? </w:t>
      </w:r>
    </w:p>
    <w:p w:rsidR="00913429" w:rsidRDefault="00E143F0">
      <w:pPr>
        <w:pStyle w:val="ListParagraph"/>
        <w:ind w:left="360"/>
        <w:jc w:val="both"/>
        <w:rPr>
          <w:noProof/>
          <w:lang w:val="en-GB"/>
        </w:rPr>
      </w:pPr>
      <w:r>
        <w:rPr>
          <w:noProof/>
          <w:lang w:val="en-GB"/>
        </w:rPr>
        <w:t>I think we definitively need a pan European solution to security certificat</w:t>
      </w:r>
      <w:r>
        <w:rPr>
          <w:noProof/>
          <w:lang w:val="en-GB"/>
        </w:rPr>
        <w:t>ion in view of a single market. This solution could be in the form of MRA or of a European legislation. MRA are slow and difficult to manage, and they could in fact be ruled (or more or less controlled) by some nations only. I would prefer a European legis</w:t>
      </w:r>
      <w:r>
        <w:rPr>
          <w:noProof/>
          <w:lang w:val="en-GB"/>
        </w:rPr>
        <w:t>lation applied to all member states.</w:t>
      </w:r>
    </w:p>
    <w:p w:rsidR="00913429" w:rsidRDefault="00913429">
      <w:pPr>
        <w:contextualSpacing/>
        <w:jc w:val="both"/>
        <w:rPr>
          <w:b/>
          <w:noProof/>
        </w:rPr>
      </w:pPr>
    </w:p>
    <w:p w:rsidR="00913429" w:rsidRDefault="00E143F0">
      <w:pPr>
        <w:numPr>
          <w:ilvl w:val="0"/>
          <w:numId w:val="100"/>
        </w:numPr>
        <w:spacing w:after="160" w:line="259" w:lineRule="auto"/>
        <w:contextualSpacing/>
        <w:jc w:val="both"/>
        <w:rPr>
          <w:b/>
          <w:noProof/>
        </w:rPr>
      </w:pPr>
      <w:r>
        <w:rPr>
          <w:b/>
          <w:noProof/>
        </w:rPr>
        <w:t>Do you think the extension of the SOG-IS to all member states represents a valuable policy option? Can you please elaborate what do you think are the criticalities and positive aspects</w:t>
      </w:r>
    </w:p>
    <w:p w:rsidR="00913429" w:rsidRDefault="00913429">
      <w:pPr>
        <w:ind w:left="360"/>
        <w:contextualSpacing/>
        <w:jc w:val="both"/>
        <w:rPr>
          <w:noProof/>
        </w:rPr>
      </w:pPr>
    </w:p>
    <w:p w:rsidR="00913429" w:rsidRDefault="00E143F0">
      <w:pPr>
        <w:ind w:left="360"/>
        <w:contextualSpacing/>
        <w:jc w:val="both"/>
        <w:rPr>
          <w:noProof/>
        </w:rPr>
      </w:pPr>
      <w:r>
        <w:rPr>
          <w:noProof/>
        </w:rPr>
        <w:t>The fact that the SOG-IS does no</w:t>
      </w:r>
      <w:r>
        <w:rPr>
          <w:noProof/>
        </w:rPr>
        <w:t>t include all member states is a real problem: it is a must to expand SOG-IS to all members states.</w:t>
      </w:r>
    </w:p>
    <w:p w:rsidR="00913429" w:rsidRDefault="00913429">
      <w:pPr>
        <w:ind w:left="360"/>
        <w:contextualSpacing/>
        <w:jc w:val="both"/>
        <w:rPr>
          <w:b/>
          <w:noProof/>
        </w:rPr>
      </w:pPr>
    </w:p>
    <w:p w:rsidR="00913429" w:rsidRDefault="00E143F0">
      <w:pPr>
        <w:numPr>
          <w:ilvl w:val="0"/>
          <w:numId w:val="100"/>
        </w:numPr>
        <w:spacing w:after="160" w:line="259" w:lineRule="auto"/>
        <w:contextualSpacing/>
        <w:jc w:val="both"/>
        <w:rPr>
          <w:b/>
          <w:noProof/>
        </w:rPr>
      </w:pPr>
      <w:r>
        <w:rPr>
          <w:b/>
          <w:noProof/>
        </w:rPr>
        <w:t>Concerning an EU wide certification framework, do you think it would have a positive impact on costs for your industry (ITSEF)? Can you please elaborate wh</w:t>
      </w:r>
      <w:r>
        <w:rPr>
          <w:b/>
          <w:noProof/>
        </w:rPr>
        <w:t>at do you think are the criticalities and positive aspects?</w:t>
      </w:r>
    </w:p>
    <w:p w:rsidR="00913429" w:rsidRDefault="00913429">
      <w:pPr>
        <w:ind w:left="360"/>
        <w:contextualSpacing/>
        <w:jc w:val="both"/>
        <w:rPr>
          <w:noProof/>
        </w:rPr>
      </w:pPr>
    </w:p>
    <w:p w:rsidR="00913429" w:rsidRDefault="00E143F0">
      <w:pPr>
        <w:ind w:left="360"/>
        <w:contextualSpacing/>
        <w:jc w:val="both"/>
        <w:rPr>
          <w:noProof/>
        </w:rPr>
      </w:pPr>
      <w:r>
        <w:rPr>
          <w:noProof/>
        </w:rPr>
        <w:t>I think we need that: as an ITSEF, the framework is fundamental to my organisation. Note that 80% of our customers come from countries outside Europe. The rest are national vendors: certification in Europe is too much based on national reference (vendors i</w:t>
      </w:r>
      <w:r>
        <w:rPr>
          <w:noProof/>
        </w:rPr>
        <w:t xml:space="preserve">n one country certify in that country). In general, there is no single market in EU. </w:t>
      </w:r>
    </w:p>
    <w:p w:rsidR="00913429" w:rsidRDefault="00913429">
      <w:pPr>
        <w:ind w:left="360"/>
        <w:contextualSpacing/>
        <w:jc w:val="both"/>
        <w:rPr>
          <w:b/>
          <w:noProof/>
        </w:rPr>
      </w:pPr>
    </w:p>
    <w:p w:rsidR="00913429" w:rsidRDefault="00E143F0">
      <w:pPr>
        <w:numPr>
          <w:ilvl w:val="0"/>
          <w:numId w:val="100"/>
        </w:numPr>
        <w:spacing w:after="160" w:line="259" w:lineRule="auto"/>
        <w:contextualSpacing/>
        <w:jc w:val="both"/>
        <w:rPr>
          <w:b/>
          <w:noProof/>
        </w:rPr>
      </w:pPr>
      <w:r>
        <w:rPr>
          <w:b/>
          <w:noProof/>
        </w:rPr>
        <w:t>In your opinion, what role the EU Agencies (such as ENISA) might have in the management and the operational tasks of an EU wide cybersecurity certification scheme?</w:t>
      </w:r>
    </w:p>
    <w:p w:rsidR="00913429" w:rsidRDefault="00E143F0">
      <w:pPr>
        <w:pStyle w:val="ListParagraph"/>
        <w:ind w:left="360"/>
        <w:jc w:val="both"/>
        <w:rPr>
          <w:noProof/>
          <w:lang w:val="en-GB"/>
        </w:rPr>
      </w:pPr>
      <w:r>
        <w:rPr>
          <w:noProof/>
          <w:lang w:val="en-GB"/>
        </w:rPr>
        <w:t>Current schemes, which are governmental, do not really have resources and capabilities to suitably certify according to the current market requests. EU certification framework need to consider capabilities and to open the door to private certification acti</w:t>
      </w:r>
      <w:r>
        <w:rPr>
          <w:noProof/>
          <w:lang w:val="en-GB"/>
        </w:rPr>
        <w:t>vities. There is room for European Agencies (like ENISA) but there is also the need to find a role for private certification bodies and companies. I do not think a successful design can be done with just certification bodies:  the EU certification framewor</w:t>
      </w:r>
      <w:r>
        <w:rPr>
          <w:noProof/>
          <w:lang w:val="en-GB"/>
        </w:rPr>
        <w:t>k has to open other realities such as ENISA, representatives from industry, etc.</w:t>
      </w:r>
    </w:p>
    <w:p w:rsidR="00913429" w:rsidRDefault="00913429">
      <w:pPr>
        <w:pStyle w:val="ListParagraph"/>
        <w:ind w:left="360"/>
        <w:jc w:val="both"/>
        <w:rPr>
          <w:noProof/>
          <w:lang w:val="en-GB"/>
        </w:rPr>
      </w:pPr>
    </w:p>
    <w:p w:rsidR="00913429" w:rsidRDefault="00E143F0">
      <w:pPr>
        <w:spacing w:after="0" w:line="240" w:lineRule="auto"/>
        <w:rPr>
          <w:noProof/>
        </w:rPr>
      </w:pPr>
      <w:r>
        <w:rPr>
          <w:noProof/>
        </w:rPr>
        <w:br w:type="page"/>
      </w:r>
    </w:p>
    <w:p w:rsidR="00913429" w:rsidRDefault="00E143F0">
      <w:pPr>
        <w:tabs>
          <w:tab w:val="center" w:pos="4819"/>
          <w:tab w:val="left" w:pos="6499"/>
        </w:tabs>
        <w:jc w:val="right"/>
        <w:rPr>
          <w:rFonts w:cs="Tahoma"/>
          <w:b/>
          <w:i/>
          <w:noProof/>
          <w:color w:val="000000"/>
          <w:sz w:val="28"/>
          <w:szCs w:val="26"/>
          <w:lang w:eastAsia="it-IT"/>
        </w:rPr>
      </w:pPr>
      <w:r>
        <w:rPr>
          <w:rFonts w:cs="Tahoma"/>
          <w:b/>
          <w:i/>
          <w:noProof/>
          <w:color w:val="000000"/>
          <w:sz w:val="28"/>
          <w:szCs w:val="26"/>
          <w:lang w:eastAsia="it-IT"/>
        </w:rPr>
        <w:t>13</w:t>
      </w:r>
      <w:r>
        <w:rPr>
          <w:rFonts w:cs="Tahoma"/>
          <w:b/>
          <w:i/>
          <w:noProof/>
          <w:color w:val="000000"/>
          <w:sz w:val="28"/>
          <w:szCs w:val="26"/>
          <w:vertAlign w:val="superscript"/>
          <w:lang w:eastAsia="it-IT"/>
        </w:rPr>
        <w:t>th</w:t>
      </w:r>
      <w:r>
        <w:rPr>
          <w:rFonts w:cs="Tahoma"/>
          <w:b/>
          <w:i/>
          <w:noProof/>
          <w:color w:val="000000"/>
          <w:sz w:val="28"/>
          <w:szCs w:val="26"/>
          <w:lang w:eastAsia="it-IT"/>
        </w:rPr>
        <w:t xml:space="preserve"> July 2017</w:t>
      </w:r>
    </w:p>
    <w:p w:rsidR="00913429" w:rsidRDefault="00E143F0">
      <w:pPr>
        <w:pStyle w:val="Heading4"/>
        <w:spacing w:after="240"/>
        <w:rPr>
          <w:noProof/>
        </w:rPr>
      </w:pPr>
      <w:r>
        <w:rPr>
          <w:noProof/>
        </w:rPr>
        <w:t>Combined answers from two interviewees from Smart Metering Industry</w:t>
      </w:r>
    </w:p>
    <w:p w:rsidR="00913429" w:rsidRDefault="00E143F0">
      <w:pPr>
        <w:pStyle w:val="ListParagraph"/>
        <w:numPr>
          <w:ilvl w:val="0"/>
          <w:numId w:val="158"/>
        </w:numPr>
        <w:spacing w:before="0" w:after="160" w:line="259" w:lineRule="auto"/>
        <w:jc w:val="both"/>
        <w:rPr>
          <w:b/>
          <w:noProof/>
          <w:lang w:val="en-GB"/>
        </w:rPr>
      </w:pPr>
      <w:r>
        <w:rPr>
          <w:b/>
          <w:noProof/>
          <w:lang w:val="en-GB"/>
        </w:rPr>
        <w:t>Based on your knowledge, is the smart meters industry a highly regulated sector? Across M</w:t>
      </w:r>
      <w:r>
        <w:rPr>
          <w:b/>
          <w:noProof/>
          <w:lang w:val="en-GB"/>
        </w:rPr>
        <w:t>ember States, are there existing security provisions and standards indeed override the need for labels and certification?</w:t>
      </w:r>
    </w:p>
    <w:p w:rsidR="00913429" w:rsidRDefault="00913429">
      <w:pPr>
        <w:pStyle w:val="ListParagraph"/>
        <w:spacing w:before="0" w:after="160" w:line="259" w:lineRule="auto"/>
        <w:ind w:left="360"/>
        <w:jc w:val="both"/>
        <w:rPr>
          <w:b/>
          <w:noProof/>
          <w:lang w:val="en-GB"/>
        </w:rPr>
      </w:pPr>
    </w:p>
    <w:p w:rsidR="00913429" w:rsidRDefault="00E143F0">
      <w:pPr>
        <w:pStyle w:val="ListParagraph"/>
        <w:spacing w:before="0" w:after="160" w:line="259" w:lineRule="auto"/>
        <w:ind w:left="360"/>
        <w:jc w:val="both"/>
        <w:rPr>
          <w:noProof/>
        </w:rPr>
      </w:pPr>
      <w:r>
        <w:rPr>
          <w:noProof/>
          <w:lang w:val="en-GB"/>
        </w:rPr>
        <w:t>We will both answer to this question. In the current situation there are few countries that are asking for a security certificate tha</w:t>
      </w:r>
      <w:r>
        <w:rPr>
          <w:noProof/>
          <w:lang w:val="en-GB"/>
        </w:rPr>
        <w:t>t are UK, Germany and France. Their process of certification is based on national requirements that they started to write. In the UK they are called security objectives. Based on these requirements and objectives they defined a security certification appro</w:t>
      </w:r>
      <w:r>
        <w:rPr>
          <w:noProof/>
          <w:lang w:val="en-GB"/>
        </w:rPr>
        <w:t>ach at a national level. So far, I haven’t seen any reference to any international standards because these standards are still quite high level and very general. They are not suited for a certification. That’s why there are national definitions based on wh</w:t>
      </w:r>
      <w:r>
        <w:rPr>
          <w:noProof/>
          <w:lang w:val="en-GB"/>
        </w:rPr>
        <w:t xml:space="preserve">ich national certification takes place. It’s mainly that you have to repeat three times different methodologies to prove that you have secured your device, which means that you’ll have to face three times more costs. </w:t>
      </w:r>
      <w:r>
        <w:rPr>
          <w:noProof/>
        </w:rPr>
        <w:t>This is not possible.</w:t>
      </w:r>
    </w:p>
    <w:p w:rsidR="00913429" w:rsidRDefault="00913429">
      <w:pPr>
        <w:pStyle w:val="ListParagraph"/>
        <w:spacing w:before="0" w:after="160" w:line="259" w:lineRule="auto"/>
        <w:ind w:left="360"/>
        <w:jc w:val="both"/>
        <w:rPr>
          <w:rFonts w:asciiTheme="majorHAnsi" w:hAnsiTheme="majorHAnsi" w:cs="Helv"/>
          <w:noProof/>
          <w:color w:val="000000"/>
        </w:rPr>
      </w:pPr>
    </w:p>
    <w:p w:rsidR="00913429" w:rsidRDefault="00E143F0">
      <w:pPr>
        <w:pStyle w:val="ListParagraph"/>
        <w:numPr>
          <w:ilvl w:val="0"/>
          <w:numId w:val="160"/>
        </w:numPr>
        <w:jc w:val="both"/>
        <w:rPr>
          <w:b/>
          <w:noProof/>
          <w:lang w:val="en-GB"/>
        </w:rPr>
      </w:pPr>
      <w:r>
        <w:rPr>
          <w:b/>
          <w:noProof/>
          <w:lang w:val="en-GB"/>
        </w:rPr>
        <w:t>If France, Germa</w:t>
      </w:r>
      <w:r>
        <w:rPr>
          <w:b/>
          <w:noProof/>
          <w:lang w:val="en-GB"/>
        </w:rPr>
        <w:t>ny and UK did not introduce the national requirements, what would smart meters operators be required to do</w:t>
      </w:r>
      <w:r>
        <w:rPr>
          <w:noProof/>
          <w:lang w:val="en-GB"/>
        </w:rPr>
        <w:t xml:space="preserve"> </w:t>
      </w:r>
      <w:r>
        <w:rPr>
          <w:b/>
          <w:noProof/>
          <w:lang w:val="en-GB"/>
        </w:rPr>
        <w:t xml:space="preserve">as security measures? </w:t>
      </w:r>
    </w:p>
    <w:p w:rsidR="00913429" w:rsidRDefault="00913429">
      <w:pPr>
        <w:pStyle w:val="ListParagraph"/>
        <w:ind w:left="360"/>
        <w:jc w:val="both"/>
        <w:rPr>
          <w:b/>
          <w:noProof/>
          <w:lang w:val="en-GB"/>
        </w:rPr>
      </w:pPr>
    </w:p>
    <w:p w:rsidR="00913429" w:rsidRDefault="00E143F0">
      <w:pPr>
        <w:pStyle w:val="ListParagraph"/>
        <w:ind w:left="360"/>
        <w:jc w:val="both"/>
        <w:rPr>
          <w:noProof/>
          <w:lang w:val="en-GB"/>
        </w:rPr>
      </w:pPr>
      <w:r>
        <w:rPr>
          <w:noProof/>
          <w:lang w:val="en-GB"/>
        </w:rPr>
        <w:t>The motivation for the industries to invest and to innovate on this topic is limited because of the market structure. Another</w:t>
      </w:r>
      <w:r>
        <w:rPr>
          <w:noProof/>
          <w:lang w:val="en-GB"/>
        </w:rPr>
        <w:t xml:space="preserve"> thing is that the liability for damages for operators in different countries is not even when they comply with the legal environment.  I would like to stretch that the three methodologies that France, Germany and UK use are all standards, which is not a p</w:t>
      </w:r>
      <w:r>
        <w:rPr>
          <w:noProof/>
          <w:lang w:val="en-GB"/>
        </w:rPr>
        <w:t>roblem. The problem is that there are too many standards. Another problem is a problem of European accordance of minimum requirements of documentations and tests results, for the same functionality and in the same language, ready and accepted by the differ</w:t>
      </w:r>
      <w:r>
        <w:rPr>
          <w:noProof/>
          <w:lang w:val="en-GB"/>
        </w:rPr>
        <w:t xml:space="preserve">ent authorities of different countries. This is an important message that should pass to the Commission. </w:t>
      </w:r>
    </w:p>
    <w:p w:rsidR="00913429" w:rsidRDefault="00913429">
      <w:pPr>
        <w:pStyle w:val="ListParagraph"/>
        <w:ind w:left="360"/>
        <w:jc w:val="both"/>
        <w:rPr>
          <w:noProof/>
          <w:lang w:val="en-GB"/>
        </w:rPr>
      </w:pPr>
    </w:p>
    <w:p w:rsidR="00913429" w:rsidRDefault="00E143F0">
      <w:pPr>
        <w:pStyle w:val="ListParagraph"/>
        <w:numPr>
          <w:ilvl w:val="0"/>
          <w:numId w:val="160"/>
        </w:numPr>
        <w:jc w:val="both"/>
        <w:rPr>
          <w:noProof/>
          <w:lang w:val="en-GB"/>
        </w:rPr>
      </w:pPr>
      <w:r>
        <w:rPr>
          <w:b/>
          <w:noProof/>
          <w:lang w:val="en-GB"/>
        </w:rPr>
        <w:t xml:space="preserve">So, the introduction of these three different strandards made operators to go through other tests three more times, by adding more costs? </w:t>
      </w:r>
    </w:p>
    <w:p w:rsidR="00913429" w:rsidRDefault="00913429">
      <w:pPr>
        <w:pStyle w:val="ListParagraph"/>
        <w:ind w:left="360"/>
        <w:jc w:val="both"/>
        <w:rPr>
          <w:b/>
          <w:noProof/>
          <w:lang w:val="en-GB"/>
        </w:rPr>
      </w:pPr>
    </w:p>
    <w:p w:rsidR="00913429" w:rsidRDefault="00E143F0">
      <w:pPr>
        <w:pStyle w:val="ListParagraph"/>
        <w:ind w:left="360"/>
        <w:jc w:val="both"/>
        <w:rPr>
          <w:noProof/>
          <w:lang w:val="en-GB"/>
        </w:rPr>
      </w:pPr>
      <w:r>
        <w:rPr>
          <w:noProof/>
          <w:lang w:val="en-GB"/>
        </w:rPr>
        <w:t xml:space="preserve">Yes, It </w:t>
      </w:r>
      <w:r>
        <w:rPr>
          <w:noProof/>
          <w:lang w:val="en-GB"/>
        </w:rPr>
        <w:t>also block the innovation. The additional costs could be invested in other innovations.</w:t>
      </w:r>
    </w:p>
    <w:p w:rsidR="00913429" w:rsidRDefault="00913429">
      <w:pPr>
        <w:pStyle w:val="ListParagraph"/>
        <w:ind w:left="360"/>
        <w:jc w:val="both"/>
        <w:rPr>
          <w:noProof/>
          <w:lang w:val="en-GB"/>
        </w:rPr>
      </w:pPr>
    </w:p>
    <w:p w:rsidR="00913429" w:rsidRDefault="00E143F0">
      <w:pPr>
        <w:pStyle w:val="ListParagraph"/>
        <w:numPr>
          <w:ilvl w:val="0"/>
          <w:numId w:val="160"/>
        </w:numPr>
        <w:jc w:val="both"/>
        <w:rPr>
          <w:b/>
          <w:noProof/>
        </w:rPr>
      </w:pPr>
      <w:r>
        <w:rPr>
          <w:b/>
          <w:noProof/>
          <w:lang w:val="en-GB"/>
        </w:rPr>
        <w:t>We talked about the different standards from Germany, France and UK before and it was said in the previous interview that the costs for the German certification is app</w:t>
      </w:r>
      <w:r>
        <w:rPr>
          <w:b/>
          <w:noProof/>
          <w:lang w:val="en-GB"/>
        </w:rPr>
        <w:t xml:space="preserve">roximately one million. </w:t>
      </w:r>
      <w:r>
        <w:rPr>
          <w:b/>
          <w:noProof/>
        </w:rPr>
        <w:t>Is that correct?</w:t>
      </w:r>
    </w:p>
    <w:p w:rsidR="00913429" w:rsidRDefault="00913429">
      <w:pPr>
        <w:pStyle w:val="ListParagraph"/>
        <w:ind w:left="360"/>
        <w:jc w:val="both"/>
        <w:rPr>
          <w:b/>
          <w:noProof/>
        </w:rPr>
      </w:pPr>
    </w:p>
    <w:p w:rsidR="00913429" w:rsidRDefault="00E143F0">
      <w:pPr>
        <w:pStyle w:val="ListParagraph"/>
        <w:ind w:left="360"/>
        <w:jc w:val="both"/>
        <w:rPr>
          <w:noProof/>
          <w:lang w:val="en-GB"/>
        </w:rPr>
      </w:pPr>
      <w:r>
        <w:rPr>
          <w:noProof/>
          <w:lang w:val="en-GB"/>
        </w:rPr>
        <w:t xml:space="preserve">Yes, and it would include the indirect cost, which is the non existent market. Companies invested for six years and they do not have anything back so far. </w:t>
      </w:r>
    </w:p>
    <w:p w:rsidR="00913429" w:rsidRDefault="00913429">
      <w:pPr>
        <w:pStyle w:val="ListParagraph"/>
        <w:ind w:left="360"/>
        <w:jc w:val="both"/>
        <w:rPr>
          <w:noProof/>
          <w:lang w:val="en-GB"/>
        </w:rPr>
      </w:pPr>
    </w:p>
    <w:p w:rsidR="00913429" w:rsidRDefault="00E143F0">
      <w:pPr>
        <w:pStyle w:val="ListParagraph"/>
        <w:numPr>
          <w:ilvl w:val="0"/>
          <w:numId w:val="160"/>
        </w:numPr>
        <w:jc w:val="both"/>
        <w:rPr>
          <w:b/>
          <w:noProof/>
        </w:rPr>
      </w:pPr>
      <w:r>
        <w:rPr>
          <w:b/>
          <w:noProof/>
          <w:lang w:val="en-GB"/>
        </w:rPr>
        <w:t>For France and Uk, it was said that it could reach almost</w:t>
      </w:r>
      <w:r>
        <w:rPr>
          <w:b/>
          <w:noProof/>
          <w:lang w:val="en-GB"/>
        </w:rPr>
        <w:t xml:space="preserve"> 150 thousand euros. </w:t>
      </w:r>
      <w:r>
        <w:rPr>
          <w:b/>
          <w:noProof/>
        </w:rPr>
        <w:t>Is it right?</w:t>
      </w:r>
    </w:p>
    <w:p w:rsidR="00913429" w:rsidRDefault="00913429">
      <w:pPr>
        <w:pStyle w:val="ListParagraph"/>
        <w:ind w:left="360"/>
        <w:jc w:val="both"/>
        <w:rPr>
          <w:b/>
          <w:noProof/>
        </w:rPr>
      </w:pPr>
    </w:p>
    <w:p w:rsidR="00913429" w:rsidRDefault="00E143F0">
      <w:pPr>
        <w:pStyle w:val="ListParagraph"/>
        <w:ind w:left="360"/>
        <w:jc w:val="both"/>
        <w:rPr>
          <w:noProof/>
          <w:lang w:val="en-GB"/>
        </w:rPr>
      </w:pPr>
      <w:r>
        <w:rPr>
          <w:noProof/>
          <w:lang w:val="en-GB"/>
        </w:rPr>
        <w:t>Yes, it was in the Smart Meter sector. We received these information from the meters manufacturers so it’s specific for the Smart Meter Certification. This information is related to the Uk. For France it should be a simil</w:t>
      </w:r>
      <w:r>
        <w:rPr>
          <w:noProof/>
          <w:lang w:val="en-GB"/>
        </w:rPr>
        <w:t>ar range, around 15o thousand euros for one certificate.</w:t>
      </w:r>
    </w:p>
    <w:p w:rsidR="00913429" w:rsidRDefault="00913429">
      <w:pPr>
        <w:pStyle w:val="ListParagraph"/>
        <w:ind w:left="360"/>
        <w:jc w:val="both"/>
        <w:rPr>
          <w:b/>
          <w:noProof/>
          <w:lang w:val="en-GB"/>
        </w:rPr>
      </w:pPr>
    </w:p>
    <w:p w:rsidR="00913429" w:rsidRDefault="00E143F0">
      <w:pPr>
        <w:pStyle w:val="ListParagraph"/>
        <w:numPr>
          <w:ilvl w:val="0"/>
          <w:numId w:val="160"/>
        </w:numPr>
        <w:jc w:val="both"/>
        <w:rPr>
          <w:b/>
          <w:noProof/>
          <w:lang w:val="en-GB"/>
        </w:rPr>
      </w:pPr>
      <w:r>
        <w:rPr>
          <w:b/>
          <w:noProof/>
          <w:lang w:val="en-GB"/>
        </w:rPr>
        <w:t xml:space="preserve">For which reasons is there such a wide range of costs? Are there big differences between these Smart Meter industries? Is it related to the different approaches in these three countries? </w:t>
      </w:r>
    </w:p>
    <w:p w:rsidR="00913429" w:rsidRDefault="00913429">
      <w:pPr>
        <w:pStyle w:val="ListParagraph"/>
        <w:ind w:left="360"/>
        <w:jc w:val="both"/>
        <w:rPr>
          <w:b/>
          <w:noProof/>
          <w:lang w:val="en-GB"/>
        </w:rPr>
      </w:pPr>
    </w:p>
    <w:p w:rsidR="00913429" w:rsidRDefault="00E143F0">
      <w:pPr>
        <w:pStyle w:val="ListParagraph"/>
        <w:ind w:left="360"/>
        <w:jc w:val="both"/>
        <w:rPr>
          <w:noProof/>
          <w:lang w:val="en-GB"/>
        </w:rPr>
      </w:pPr>
      <w:r>
        <w:rPr>
          <w:noProof/>
          <w:lang w:val="en-GB"/>
        </w:rPr>
        <w:t>The approach in France is for instance more focused on testing in a fixed time: given the products and the deadline for certification, all the security tests have to be completed during that time. At the end of the fixed time, you receive a report on wheth</w:t>
      </w:r>
      <w:r>
        <w:rPr>
          <w:noProof/>
          <w:lang w:val="en-GB"/>
        </w:rPr>
        <w:t>er it is working fine or not. In the German approach, they have a higher level of certification. The standards are the same but they have higher levels of tests for the certification. How thoroughly you can test the device is the difference. The Germans ar</w:t>
      </w:r>
      <w:r>
        <w:rPr>
          <w:noProof/>
          <w:lang w:val="en-GB"/>
        </w:rPr>
        <w:t xml:space="preserve">e using the Common Criteria as standard. They started in 2011 to use these security certification standards as requirements. They also added requirements for privacy and security as well as other processes to maintain these standards during the lifecycle. </w:t>
      </w:r>
      <w:r>
        <w:rPr>
          <w:noProof/>
          <w:lang w:val="en-GB"/>
        </w:rPr>
        <w:t xml:space="preserve">The testing methodology is end to end: for instance for software coding you need to have your own site, where only authorized coders and cleaners can enter the room. On the other hand in UK and in France they put just a security assessment on one product, </w:t>
      </w:r>
      <w:r>
        <w:rPr>
          <w:noProof/>
          <w:lang w:val="en-GB"/>
        </w:rPr>
        <w:t>while in Germany the whole infrastructure need to be tested and certified. The basic functionalities and requirements are the same but it doesn’t mean that at other levels the German certification might be more efficient. There are in fact different archit</w:t>
      </w:r>
      <w:r>
        <w:rPr>
          <w:noProof/>
          <w:lang w:val="en-GB"/>
        </w:rPr>
        <w:t xml:space="preserve">ectures for different smart meters. For instance, the French ones won’t work in Germany. The data and the controlling is different. Same is for Uk. However the basic function requirements are the same. </w:t>
      </w:r>
    </w:p>
    <w:p w:rsidR="00913429" w:rsidRDefault="00913429">
      <w:pPr>
        <w:pStyle w:val="ListParagraph"/>
        <w:ind w:left="360"/>
        <w:jc w:val="both"/>
        <w:rPr>
          <w:rFonts w:asciiTheme="majorHAnsi" w:hAnsiTheme="majorHAnsi" w:cs="Helv"/>
          <w:noProof/>
          <w:color w:val="000000"/>
          <w:lang w:val="en-GB"/>
        </w:rPr>
      </w:pPr>
    </w:p>
    <w:p w:rsidR="00913429" w:rsidRDefault="00E143F0">
      <w:pPr>
        <w:pStyle w:val="ListParagraph"/>
        <w:numPr>
          <w:ilvl w:val="0"/>
          <w:numId w:val="160"/>
        </w:numPr>
        <w:jc w:val="both"/>
        <w:rPr>
          <w:b/>
          <w:noProof/>
          <w:lang w:val="en-GB"/>
        </w:rPr>
      </w:pPr>
      <w:r>
        <w:rPr>
          <w:b/>
          <w:noProof/>
          <w:lang w:val="en-GB"/>
        </w:rPr>
        <w:t xml:space="preserve">Would the higher costs for certification in Germany </w:t>
      </w:r>
      <w:r>
        <w:rPr>
          <w:b/>
          <w:noProof/>
          <w:lang w:val="en-GB"/>
        </w:rPr>
        <w:t xml:space="preserve">be a barrier to the market for small and medium industries? If the architectures are different, wouldn’t a European certification framework also require different standards? </w:t>
      </w:r>
    </w:p>
    <w:p w:rsidR="00913429" w:rsidRDefault="00913429">
      <w:pPr>
        <w:pStyle w:val="ListParagraph"/>
        <w:ind w:left="360"/>
        <w:jc w:val="both"/>
        <w:rPr>
          <w:b/>
          <w:noProof/>
          <w:lang w:val="en-GB"/>
        </w:rPr>
      </w:pPr>
    </w:p>
    <w:p w:rsidR="00913429" w:rsidRDefault="00E143F0">
      <w:pPr>
        <w:pStyle w:val="ListParagraph"/>
        <w:ind w:left="360"/>
        <w:jc w:val="both"/>
        <w:rPr>
          <w:noProof/>
          <w:lang w:val="en-GB"/>
        </w:rPr>
      </w:pPr>
      <w:r>
        <w:rPr>
          <w:noProof/>
          <w:lang w:val="en-GB"/>
        </w:rPr>
        <w:t>There is clearly a difference in  attitude in different countries. There will be</w:t>
      </w:r>
      <w:r>
        <w:rPr>
          <w:noProof/>
          <w:lang w:val="en-GB"/>
        </w:rPr>
        <w:t xml:space="preserve"> for sure some countries that believe that their approach is better than any other one. They will have different architecture and different security measures like in Germany. What would be interesting is to see how the market would respond to this. German </w:t>
      </w:r>
      <w:r>
        <w:rPr>
          <w:noProof/>
          <w:lang w:val="en-GB"/>
        </w:rPr>
        <w:t>Manufacurers will probably follow this standard but other European producers will probably prefer other countries. It is our expectation however that the majority of the European States would agree with the European approach for certification. They will ac</w:t>
      </w:r>
      <w:r>
        <w:rPr>
          <w:noProof/>
          <w:lang w:val="en-GB"/>
        </w:rPr>
        <w:t>cept certifications made by other European countries. If a particular Member State would require additional test, they should be able to demand it. The basic requirements on security are very similar in all the European countries. If we say that 80% of the</w:t>
      </w:r>
      <w:r>
        <w:rPr>
          <w:noProof/>
          <w:lang w:val="en-GB"/>
        </w:rPr>
        <w:t xml:space="preserve"> requirements is the same for all countries, then there will be only a 20% of the standards that should be covered in order to enter the market of another European Country. This would be more attractive economically and financially. It would in fact be a b</w:t>
      </w:r>
      <w:r>
        <w:rPr>
          <w:noProof/>
          <w:lang w:val="en-GB"/>
        </w:rPr>
        <w:t xml:space="preserve">asic certification for everybody and, maybe, even Germany would accept that basic requirement since it might be the same. </w:t>
      </w:r>
    </w:p>
    <w:p w:rsidR="00913429" w:rsidRDefault="00913429">
      <w:pPr>
        <w:pStyle w:val="ListParagraph"/>
        <w:ind w:left="360"/>
        <w:jc w:val="both"/>
        <w:rPr>
          <w:b/>
          <w:noProof/>
          <w:lang w:val="en-GB"/>
        </w:rPr>
      </w:pPr>
    </w:p>
    <w:p w:rsidR="00913429" w:rsidRDefault="00E143F0">
      <w:pPr>
        <w:pStyle w:val="ListParagraph"/>
        <w:numPr>
          <w:ilvl w:val="0"/>
          <w:numId w:val="160"/>
        </w:numPr>
        <w:tabs>
          <w:tab w:val="left" w:pos="1145"/>
        </w:tabs>
        <w:jc w:val="both"/>
        <w:rPr>
          <w:rFonts w:asciiTheme="majorHAnsi" w:hAnsiTheme="majorHAnsi" w:cs="Helv"/>
          <w:noProof/>
          <w:color w:val="000000"/>
        </w:rPr>
      </w:pPr>
      <w:r>
        <w:rPr>
          <w:b/>
          <w:noProof/>
          <w:lang w:val="en-GB"/>
        </w:rPr>
        <w:t>Another advantage might be that the money that won’t not be spent for other national certification, they could be invested in the cy</w:t>
      </w:r>
      <w:r>
        <w:rPr>
          <w:b/>
          <w:noProof/>
          <w:lang w:val="en-GB"/>
        </w:rPr>
        <w:t xml:space="preserve">ber security sector.  </w:t>
      </w:r>
      <w:r>
        <w:rPr>
          <w:b/>
          <w:noProof/>
        </w:rPr>
        <w:t>Is it correct?</w:t>
      </w:r>
    </w:p>
    <w:p w:rsidR="00913429" w:rsidRDefault="00913429">
      <w:pPr>
        <w:pStyle w:val="ListParagraph"/>
        <w:tabs>
          <w:tab w:val="left" w:pos="1145"/>
        </w:tabs>
        <w:ind w:left="360"/>
        <w:jc w:val="both"/>
        <w:rPr>
          <w:b/>
          <w:noProof/>
        </w:rPr>
      </w:pPr>
    </w:p>
    <w:p w:rsidR="00913429" w:rsidRDefault="00E143F0">
      <w:pPr>
        <w:pStyle w:val="ListParagraph"/>
        <w:tabs>
          <w:tab w:val="left" w:pos="1145"/>
        </w:tabs>
        <w:ind w:left="360"/>
        <w:jc w:val="both"/>
        <w:rPr>
          <w:noProof/>
        </w:rPr>
      </w:pPr>
      <w:r>
        <w:rPr>
          <w:noProof/>
          <w:lang w:val="en-GB"/>
        </w:rPr>
        <w:t>Yes, absolutely. For instance, for my company, I won’t have to find several solutions for each country for security and there for invest the money of those costs in development of other cybersecurity measures, that req</w:t>
      </w:r>
      <w:r>
        <w:rPr>
          <w:noProof/>
          <w:lang w:val="en-GB"/>
        </w:rPr>
        <w:t>uire constant updates. Maintaining certain levels of  security in various different countries would also be way more expensive and difficult than if they were in European certification framework. On a national level, the ICT guys are imposing their visions</w:t>
      </w:r>
      <w:r>
        <w:rPr>
          <w:noProof/>
          <w:lang w:val="en-GB"/>
        </w:rPr>
        <w:t xml:space="preserve"> on the Energy guys and their approach is not very successful. At the same time, the Energy guys are ignoring all the risks. </w:t>
      </w:r>
      <w:r>
        <w:rPr>
          <w:noProof/>
        </w:rPr>
        <w:t xml:space="preserve">They are not reliable. </w:t>
      </w:r>
    </w:p>
    <w:p w:rsidR="00913429" w:rsidRDefault="00913429">
      <w:pPr>
        <w:pStyle w:val="ListParagraph"/>
        <w:tabs>
          <w:tab w:val="left" w:pos="1145"/>
        </w:tabs>
        <w:ind w:left="360"/>
        <w:jc w:val="both"/>
        <w:rPr>
          <w:rFonts w:asciiTheme="majorHAnsi" w:hAnsiTheme="majorHAnsi" w:cs="Helv"/>
          <w:noProof/>
          <w:color w:val="000000"/>
        </w:rPr>
      </w:pPr>
    </w:p>
    <w:p w:rsidR="00913429" w:rsidRDefault="00E143F0">
      <w:pPr>
        <w:pStyle w:val="ListParagraph"/>
        <w:numPr>
          <w:ilvl w:val="0"/>
          <w:numId w:val="160"/>
        </w:numPr>
        <w:tabs>
          <w:tab w:val="left" w:pos="1145"/>
        </w:tabs>
        <w:jc w:val="both"/>
        <w:rPr>
          <w:rFonts w:asciiTheme="majorHAnsi" w:hAnsiTheme="majorHAnsi" w:cs="Helv"/>
          <w:noProof/>
          <w:color w:val="000000"/>
          <w:lang w:val="en-GB"/>
        </w:rPr>
      </w:pPr>
      <w:r>
        <w:rPr>
          <w:b/>
          <w:noProof/>
          <w:lang w:val="en-GB"/>
        </w:rPr>
        <w:t>I would like to deepen the aspects related to the small and medium enterprises. Considering the previous h</w:t>
      </w:r>
      <w:r>
        <w:rPr>
          <w:b/>
          <w:noProof/>
          <w:lang w:val="en-GB"/>
        </w:rPr>
        <w:t>ypothetical situation of an 80% of states that will use the European standards, do you think that smaller and medium enterprises would be favored to penetrate in these countries?</w:t>
      </w:r>
    </w:p>
    <w:p w:rsidR="00913429" w:rsidRDefault="00913429">
      <w:pPr>
        <w:pStyle w:val="ListParagraph"/>
        <w:tabs>
          <w:tab w:val="left" w:pos="1145"/>
        </w:tabs>
        <w:ind w:left="360"/>
        <w:jc w:val="both"/>
        <w:rPr>
          <w:rFonts w:asciiTheme="majorHAnsi" w:hAnsiTheme="majorHAnsi" w:cs="Helv"/>
          <w:noProof/>
          <w:color w:val="000000"/>
          <w:lang w:val="en-GB"/>
        </w:rPr>
      </w:pPr>
    </w:p>
    <w:p w:rsidR="00913429" w:rsidRDefault="00E143F0">
      <w:pPr>
        <w:pStyle w:val="ListParagraph"/>
        <w:tabs>
          <w:tab w:val="left" w:pos="1145"/>
        </w:tabs>
        <w:ind w:left="360"/>
        <w:jc w:val="both"/>
        <w:rPr>
          <w:noProof/>
          <w:lang w:val="en-GB"/>
        </w:rPr>
      </w:pPr>
      <w:r>
        <w:rPr>
          <w:noProof/>
          <w:lang w:val="en-GB"/>
        </w:rPr>
        <w:t>Basically, with a European framework the barrier for the market entry would be easier. It’s hard to define if they would be able or not to enter the market because it will depend on that 80% of common costs. For sure, it would lower the barrier so they wou</w:t>
      </w:r>
      <w:r>
        <w:rPr>
          <w:noProof/>
          <w:lang w:val="en-GB"/>
        </w:rPr>
        <w:t>ld have more chances to do it. For the markets that won’t accept the certification would still have problems. There might be two sides of the company. In a very fragmented market, there might be few national champions with certain innovations but biggers p</w:t>
      </w:r>
      <w:r>
        <w:rPr>
          <w:noProof/>
          <w:lang w:val="en-GB"/>
        </w:rPr>
        <w:t xml:space="preserve">layer might eat them but this is not related to the security certification. In Germany 5 out of the seven companies that are putting their products on the certification are smaller companies. Only one player is global. The challenge however is that in the </w:t>
      </w:r>
      <w:r>
        <w:rPr>
          <w:noProof/>
          <w:lang w:val="en-GB"/>
        </w:rPr>
        <w:t xml:space="preserve">Smart Meter sector, the product cannot leave the German market, at the moment. </w:t>
      </w:r>
      <w:r>
        <w:rPr>
          <w:noProof/>
          <w:lang w:val="en-GB"/>
        </w:rPr>
        <w:br w:type="page"/>
      </w:r>
    </w:p>
    <w:p w:rsidR="00913429" w:rsidRDefault="00E143F0">
      <w:pPr>
        <w:jc w:val="right"/>
        <w:rPr>
          <w:rFonts w:eastAsia="Times New Roman" w:cs="Tahoma"/>
          <w:b/>
          <w:i/>
          <w:noProof/>
          <w:color w:val="000000" w:themeColor="text1"/>
          <w:sz w:val="28"/>
          <w:szCs w:val="26"/>
          <w:lang w:val="en-US" w:eastAsia="it-IT"/>
        </w:rPr>
      </w:pPr>
      <w:r>
        <w:rPr>
          <w:rFonts w:eastAsia="Times New Roman" w:cs="Tahoma"/>
          <w:b/>
          <w:i/>
          <w:noProof/>
          <w:color w:val="000000" w:themeColor="text1"/>
          <w:sz w:val="28"/>
          <w:szCs w:val="26"/>
          <w:lang w:val="en-US" w:eastAsia="it-IT"/>
        </w:rPr>
        <w:t>July 13</w:t>
      </w:r>
      <w:r>
        <w:rPr>
          <w:rFonts w:eastAsia="Times New Roman" w:cs="Tahoma"/>
          <w:b/>
          <w:i/>
          <w:noProof/>
          <w:color w:val="000000" w:themeColor="text1"/>
          <w:sz w:val="28"/>
          <w:szCs w:val="26"/>
          <w:vertAlign w:val="superscript"/>
          <w:lang w:val="en-US" w:eastAsia="it-IT"/>
        </w:rPr>
        <w:t>th</w:t>
      </w:r>
      <w:r>
        <w:rPr>
          <w:rFonts w:eastAsia="Times New Roman" w:cs="Tahoma"/>
          <w:b/>
          <w:i/>
          <w:noProof/>
          <w:color w:val="000000" w:themeColor="text1"/>
          <w:sz w:val="28"/>
          <w:szCs w:val="26"/>
          <w:lang w:val="en-US" w:eastAsia="it-IT"/>
        </w:rPr>
        <w:t>, 2017</w:t>
      </w:r>
    </w:p>
    <w:p w:rsidR="00913429" w:rsidRDefault="00E143F0">
      <w:pPr>
        <w:pStyle w:val="Heading4"/>
        <w:spacing w:after="240"/>
        <w:rPr>
          <w:noProof/>
          <w:lang w:val="en-US"/>
        </w:rPr>
      </w:pPr>
      <w:r>
        <w:rPr>
          <w:noProof/>
          <w:lang w:val="en-US"/>
        </w:rPr>
        <w:t>Interview results from Expert on Cyber Resilience of Critical Infrastructures</w:t>
      </w:r>
    </w:p>
    <w:p w:rsidR="00913429" w:rsidRDefault="00E143F0">
      <w:pPr>
        <w:pStyle w:val="ListParagraph"/>
        <w:numPr>
          <w:ilvl w:val="0"/>
          <w:numId w:val="161"/>
        </w:numPr>
        <w:jc w:val="both"/>
        <w:rPr>
          <w:noProof/>
          <w:color w:val="000000" w:themeColor="text1"/>
          <w:lang w:val="en-GB"/>
        </w:rPr>
      </w:pPr>
      <w:r>
        <w:rPr>
          <w:b/>
          <w:noProof/>
          <w:color w:val="000000"/>
          <w:sz w:val="22"/>
          <w:szCs w:val="22"/>
          <w:lang w:val="en-GB"/>
        </w:rPr>
        <w:t xml:space="preserve">Based on your knowledge, what are the main advantages, if any, of adopting </w:t>
      </w:r>
      <w:r>
        <w:rPr>
          <w:b/>
          <w:noProof/>
          <w:color w:val="000000"/>
          <w:sz w:val="22"/>
          <w:szCs w:val="22"/>
          <w:lang w:val="en-GB"/>
        </w:rPr>
        <w:t>security certified ICT/OT components in critical infrastructures? Please consider possible advantages also in the field of attack prevention and/or resilience</w:t>
      </w:r>
    </w:p>
    <w:p w:rsidR="00913429" w:rsidRDefault="00913429">
      <w:pPr>
        <w:pStyle w:val="ListParagraph"/>
        <w:ind w:left="360"/>
        <w:jc w:val="both"/>
        <w:rPr>
          <w:noProof/>
          <w:color w:val="000000" w:themeColor="text1"/>
          <w:lang w:val="en-GB"/>
        </w:rPr>
      </w:pPr>
    </w:p>
    <w:p w:rsidR="00913429" w:rsidRDefault="00E143F0">
      <w:pPr>
        <w:pStyle w:val="ListParagraph"/>
        <w:ind w:left="360"/>
        <w:jc w:val="both"/>
        <w:rPr>
          <w:noProof/>
          <w:color w:val="000000" w:themeColor="text1"/>
          <w:lang w:val="en-GB"/>
        </w:rPr>
      </w:pPr>
      <w:r>
        <w:rPr>
          <w:noProof/>
          <w:color w:val="000000" w:themeColor="text1"/>
          <w:lang w:val="en-GB"/>
        </w:rPr>
        <w:t>I worked on these issues as I was working for the ERNCIP (European Reference Network for Critica</w:t>
      </w:r>
      <w:r>
        <w:rPr>
          <w:noProof/>
          <w:color w:val="000000" w:themeColor="text1"/>
          <w:lang w:val="en-GB"/>
        </w:rPr>
        <w:t>l Infrastructure Protection). The aim would be to arrive to a certification framework for the Critical Infrastructure. The discussion on a certification of the components started two years ago or so because of the French and German influence, as well as DG</w:t>
      </w:r>
      <w:r>
        <w:rPr>
          <w:noProof/>
          <w:color w:val="000000" w:themeColor="text1"/>
          <w:lang w:val="en-GB"/>
        </w:rPr>
        <w:t xml:space="preserve"> CNECT. If I am not wrong, last year there was even a Call of Proposal in order to fund projects in this field. I’m still skeptical about certifications and benefits that they could have on the improvement of the Critical Infrastructure resilience. </w:t>
      </w:r>
    </w:p>
    <w:p w:rsidR="00913429" w:rsidRDefault="00913429">
      <w:pPr>
        <w:pStyle w:val="ListParagraph"/>
        <w:ind w:left="360"/>
        <w:jc w:val="both"/>
        <w:rPr>
          <w:noProof/>
          <w:color w:val="000000" w:themeColor="text1"/>
          <w:lang w:val="en-GB"/>
        </w:rPr>
      </w:pPr>
    </w:p>
    <w:p w:rsidR="00913429" w:rsidRDefault="00E143F0">
      <w:pPr>
        <w:pStyle w:val="ListParagraph"/>
        <w:numPr>
          <w:ilvl w:val="0"/>
          <w:numId w:val="161"/>
        </w:numPr>
        <w:jc w:val="both"/>
        <w:rPr>
          <w:noProof/>
          <w:color w:val="000000" w:themeColor="text1"/>
          <w:lang w:val="en-GB"/>
        </w:rPr>
      </w:pPr>
      <w:r>
        <w:rPr>
          <w:b/>
          <w:noProof/>
          <w:color w:val="000000"/>
          <w:sz w:val="22"/>
          <w:szCs w:val="22"/>
          <w:lang w:val="en-GB"/>
        </w:rPr>
        <w:t>Do yo</w:t>
      </w:r>
      <w:r>
        <w:rPr>
          <w:b/>
          <w:noProof/>
          <w:color w:val="000000"/>
          <w:sz w:val="22"/>
          <w:szCs w:val="22"/>
          <w:lang w:val="en-GB"/>
        </w:rPr>
        <w:t>u know cases in the European Union where some ICT components of critical infrastructures, even though already equipped with some security certifications accepted in some MS, are requested or recommended to get additional security certifications in order to</w:t>
      </w:r>
      <w:r>
        <w:rPr>
          <w:b/>
          <w:noProof/>
          <w:color w:val="000000"/>
          <w:sz w:val="22"/>
          <w:szCs w:val="22"/>
          <w:lang w:val="en-GB"/>
        </w:rPr>
        <w:t xml:space="preserve"> access the market of other MS?</w:t>
      </w:r>
    </w:p>
    <w:p w:rsidR="00913429" w:rsidRDefault="00913429">
      <w:pPr>
        <w:pStyle w:val="ListParagraph"/>
        <w:ind w:left="360"/>
        <w:jc w:val="both"/>
        <w:rPr>
          <w:b/>
          <w:noProof/>
          <w:color w:val="000000"/>
          <w:sz w:val="22"/>
          <w:szCs w:val="22"/>
          <w:lang w:val="en-GB"/>
        </w:rPr>
      </w:pPr>
    </w:p>
    <w:p w:rsidR="00913429" w:rsidRDefault="00E143F0">
      <w:pPr>
        <w:pStyle w:val="ListParagraph"/>
        <w:ind w:left="360"/>
        <w:jc w:val="both"/>
        <w:rPr>
          <w:noProof/>
          <w:color w:val="000000" w:themeColor="text1"/>
          <w:lang w:val="en-GB"/>
        </w:rPr>
      </w:pPr>
      <w:r>
        <w:rPr>
          <w:noProof/>
          <w:color w:val="000000" w:themeColor="text1"/>
          <w:lang w:val="en-GB"/>
        </w:rPr>
        <w:t>Yes, there is. Certification means to certify towards other referential standards. There is the Common Criteria but it doesn’t work and there is proof of its inefficiency. Only by checking their website, it is easy to under</w:t>
      </w:r>
      <w:r>
        <w:rPr>
          <w:noProof/>
          <w:color w:val="000000" w:themeColor="text1"/>
          <w:lang w:val="en-GB"/>
        </w:rPr>
        <w:t>stand that there are only few products for the critical infrastructures that had been certified by the Common Criteria. Furthermore, the ISA Security Compliance Institute release the ISA SECURE certifications: even in this case there are only few certified</w:t>
      </w:r>
      <w:r>
        <w:rPr>
          <w:noProof/>
          <w:color w:val="000000" w:themeColor="text1"/>
          <w:lang w:val="en-GB"/>
        </w:rPr>
        <w:t xml:space="preserve"> components. It’s a too little number for such a complex system. They are way too expensive and they don’t have a future.  These certification processes are too difficult to go through because there is too much bureaucracy and paper forms to fill. Another </w:t>
      </w:r>
      <w:r>
        <w:rPr>
          <w:noProof/>
          <w:color w:val="000000" w:themeColor="text1"/>
          <w:lang w:val="en-GB"/>
        </w:rPr>
        <w:t>problem is the definition of Standard. What are the reference ones? In the critical infrastructure domain, it takes too much time –even more than 10 years – to decide them. In France with the ANSII and in Germany with BSI, there is fragmentation. In Italy,</w:t>
      </w:r>
      <w:r>
        <w:rPr>
          <w:noProof/>
          <w:color w:val="000000" w:themeColor="text1"/>
          <w:lang w:val="en-GB"/>
        </w:rPr>
        <w:t xml:space="preserve"> on the other hand, there is no requirement and in all the other Member States there isn’t any mandatory certification. You only have to comply with the Standards. I come from a background in the Nuclear Sector, where standard compliance to certain standar</w:t>
      </w:r>
      <w:r>
        <w:rPr>
          <w:noProof/>
          <w:color w:val="000000" w:themeColor="text1"/>
          <w:lang w:val="en-GB"/>
        </w:rPr>
        <w:t xml:space="preserve">d is mandatory and extremely strict. As for the certification I think that it’s only useful for the creation of procedures that turn out to be long, complicated and expensive. </w:t>
      </w:r>
    </w:p>
    <w:p w:rsidR="00913429" w:rsidRDefault="00913429">
      <w:pPr>
        <w:pStyle w:val="ListParagraph"/>
        <w:ind w:left="360"/>
        <w:jc w:val="both"/>
        <w:rPr>
          <w:noProof/>
          <w:color w:val="000000" w:themeColor="text1"/>
          <w:lang w:val="en-GB"/>
        </w:rPr>
      </w:pPr>
    </w:p>
    <w:p w:rsidR="00913429" w:rsidRDefault="00E143F0">
      <w:pPr>
        <w:pStyle w:val="ListParagraph"/>
        <w:numPr>
          <w:ilvl w:val="0"/>
          <w:numId w:val="161"/>
        </w:numPr>
        <w:jc w:val="both"/>
        <w:rPr>
          <w:noProof/>
          <w:color w:val="000000" w:themeColor="text1"/>
          <w:lang w:val="en-GB"/>
        </w:rPr>
      </w:pPr>
      <w:r>
        <w:rPr>
          <w:b/>
          <w:noProof/>
          <w:color w:val="000000"/>
          <w:sz w:val="22"/>
          <w:szCs w:val="22"/>
          <w:lang w:val="en-GB"/>
        </w:rPr>
        <w:t>Do you know ICT products/components/service deployed in critical infrastructur</w:t>
      </w:r>
      <w:r>
        <w:rPr>
          <w:b/>
          <w:noProof/>
          <w:color w:val="000000"/>
          <w:sz w:val="22"/>
          <w:szCs w:val="22"/>
          <w:lang w:val="en-GB"/>
        </w:rPr>
        <w:t>es require mandatory cybersecurity certification?</w:t>
      </w:r>
    </w:p>
    <w:p w:rsidR="00913429" w:rsidRDefault="00913429">
      <w:pPr>
        <w:pStyle w:val="ListParagraph"/>
        <w:ind w:left="360"/>
        <w:jc w:val="both"/>
        <w:rPr>
          <w:noProof/>
          <w:color w:val="000000" w:themeColor="text1"/>
          <w:lang w:val="en-GB"/>
        </w:rPr>
      </w:pPr>
    </w:p>
    <w:p w:rsidR="00913429" w:rsidRDefault="00E143F0">
      <w:pPr>
        <w:pStyle w:val="ListParagraph"/>
        <w:ind w:left="360"/>
        <w:jc w:val="both"/>
        <w:rPr>
          <w:noProof/>
          <w:color w:val="000000" w:themeColor="text1"/>
        </w:rPr>
      </w:pPr>
      <w:r>
        <w:rPr>
          <w:noProof/>
          <w:color w:val="000000" w:themeColor="text1"/>
        </w:rPr>
        <w:t>No</w:t>
      </w:r>
    </w:p>
    <w:p w:rsidR="00913429" w:rsidRDefault="00913429">
      <w:pPr>
        <w:pStyle w:val="ListParagraph"/>
        <w:ind w:left="360"/>
        <w:jc w:val="both"/>
        <w:rPr>
          <w:noProof/>
          <w:color w:val="000000" w:themeColor="text1"/>
        </w:rPr>
      </w:pPr>
    </w:p>
    <w:p w:rsidR="00913429" w:rsidRDefault="00E143F0">
      <w:pPr>
        <w:pStyle w:val="ListParagraph"/>
        <w:numPr>
          <w:ilvl w:val="0"/>
          <w:numId w:val="161"/>
        </w:numPr>
        <w:jc w:val="both"/>
        <w:rPr>
          <w:noProof/>
          <w:color w:val="000000" w:themeColor="text1"/>
          <w:lang w:val="en-GB"/>
        </w:rPr>
      </w:pPr>
      <w:r>
        <w:rPr>
          <w:b/>
          <w:noProof/>
          <w:color w:val="000000"/>
          <w:sz w:val="22"/>
          <w:szCs w:val="22"/>
          <w:lang w:val="en-GB"/>
        </w:rPr>
        <w:t>As for operators that purchase and adopt components and products for the critical infrastructures, do you think that their choices are based on product certifications or on other features?</w:t>
      </w:r>
    </w:p>
    <w:p w:rsidR="00913429" w:rsidRDefault="00913429">
      <w:pPr>
        <w:pStyle w:val="ListParagraph"/>
        <w:ind w:left="360"/>
        <w:jc w:val="both"/>
        <w:rPr>
          <w:b/>
          <w:noProof/>
          <w:color w:val="000000"/>
          <w:sz w:val="22"/>
          <w:szCs w:val="22"/>
          <w:lang w:val="en-GB"/>
        </w:rPr>
      </w:pPr>
    </w:p>
    <w:p w:rsidR="00913429" w:rsidRDefault="00E143F0">
      <w:pPr>
        <w:pStyle w:val="ListParagraph"/>
        <w:ind w:left="360"/>
        <w:jc w:val="both"/>
        <w:rPr>
          <w:noProof/>
          <w:color w:val="000000" w:themeColor="text1"/>
          <w:lang w:val="en-GB"/>
        </w:rPr>
      </w:pPr>
      <w:r>
        <w:rPr>
          <w:noProof/>
          <w:color w:val="000000" w:themeColor="text1"/>
          <w:lang w:val="en-GB"/>
        </w:rPr>
        <w:t>I believe t</w:t>
      </w:r>
      <w:r>
        <w:rPr>
          <w:noProof/>
          <w:color w:val="000000" w:themeColor="text1"/>
          <w:lang w:val="en-GB"/>
        </w:rPr>
        <w:t>hat their choices are based merely on the producer name. The company brand from which they purchase the components is like a security guarantor. For instance, buying from Scheneider Electric and Siemens is probably more reliable than purchasing from a Chin</w:t>
      </w:r>
      <w:r>
        <w:rPr>
          <w:noProof/>
          <w:color w:val="000000" w:themeColor="text1"/>
          <w:lang w:val="en-GB"/>
        </w:rPr>
        <w:t>ese producer. There is, however, an issue to point out: most of systems and products on the European Market have embedded components that come from China</w:t>
      </w:r>
      <w:r>
        <w:rPr>
          <w:noProof/>
          <w:lang w:val="en-GB"/>
        </w:rPr>
        <w:t xml:space="preserve"> </w:t>
      </w:r>
      <w:r>
        <w:rPr>
          <w:noProof/>
          <w:color w:val="000000" w:themeColor="text1"/>
          <w:lang w:val="en-GB"/>
        </w:rPr>
        <w:t>where the security standards are less available to check. So, how can I be sure that Chinese component</w:t>
      </w:r>
      <w:r>
        <w:rPr>
          <w:noProof/>
          <w:color w:val="000000" w:themeColor="text1"/>
          <w:lang w:val="en-GB"/>
        </w:rPr>
        <w:t xml:space="preserve">s respect security standards and certifications that will protect me from risks? For example, the microprocessors of PLC (Programmable Logic Controller) components have Chinese origins. </w:t>
      </w:r>
    </w:p>
    <w:p w:rsidR="00913429" w:rsidRDefault="00913429">
      <w:pPr>
        <w:pStyle w:val="ListParagraph"/>
        <w:ind w:left="360"/>
        <w:jc w:val="both"/>
        <w:rPr>
          <w:noProof/>
          <w:color w:val="000000" w:themeColor="text1"/>
          <w:lang w:val="en-GB"/>
        </w:rPr>
      </w:pPr>
    </w:p>
    <w:p w:rsidR="00913429" w:rsidRDefault="00E143F0">
      <w:pPr>
        <w:pStyle w:val="ListParagraph"/>
        <w:numPr>
          <w:ilvl w:val="0"/>
          <w:numId w:val="161"/>
        </w:numPr>
        <w:jc w:val="both"/>
        <w:rPr>
          <w:b/>
          <w:noProof/>
          <w:color w:val="000000"/>
          <w:sz w:val="22"/>
          <w:szCs w:val="22"/>
          <w:lang w:val="en-GB"/>
        </w:rPr>
      </w:pPr>
      <w:r>
        <w:rPr>
          <w:b/>
          <w:noProof/>
          <w:color w:val="000000"/>
          <w:sz w:val="22"/>
          <w:szCs w:val="22"/>
          <w:lang w:val="en-GB"/>
        </w:rPr>
        <w:t xml:space="preserve">Do you know any National Certification Scheme in Europe? </w:t>
      </w:r>
    </w:p>
    <w:p w:rsidR="00913429" w:rsidRDefault="00913429">
      <w:pPr>
        <w:pStyle w:val="ListParagraph"/>
        <w:ind w:left="360"/>
        <w:jc w:val="both"/>
        <w:rPr>
          <w:b/>
          <w:noProof/>
          <w:color w:val="000000"/>
          <w:sz w:val="22"/>
          <w:szCs w:val="22"/>
          <w:lang w:val="en-GB"/>
        </w:rPr>
      </w:pPr>
    </w:p>
    <w:p w:rsidR="00913429" w:rsidRDefault="00E143F0">
      <w:pPr>
        <w:pStyle w:val="ListParagraph"/>
        <w:ind w:left="360"/>
        <w:jc w:val="both"/>
        <w:rPr>
          <w:b/>
          <w:noProof/>
          <w:color w:val="000000"/>
          <w:sz w:val="22"/>
          <w:szCs w:val="22"/>
          <w:lang w:val="en-GB"/>
        </w:rPr>
      </w:pPr>
      <w:r>
        <w:rPr>
          <w:noProof/>
          <w:color w:val="000000" w:themeColor="text1"/>
          <w:lang w:val="en-GB"/>
        </w:rPr>
        <w:t>Besides F</w:t>
      </w:r>
      <w:r>
        <w:rPr>
          <w:noProof/>
          <w:color w:val="000000" w:themeColor="text1"/>
          <w:lang w:val="en-GB"/>
        </w:rPr>
        <w:t xml:space="preserve">rance (ANSSI) and Germany, I know the existence of the national schemes in UK and the Netherlands. </w:t>
      </w:r>
    </w:p>
    <w:p w:rsidR="00913429" w:rsidRDefault="00E143F0">
      <w:pPr>
        <w:pStyle w:val="ListParagraph"/>
        <w:numPr>
          <w:ilvl w:val="0"/>
          <w:numId w:val="161"/>
        </w:numPr>
        <w:jc w:val="both"/>
        <w:rPr>
          <w:noProof/>
          <w:color w:val="000000" w:themeColor="text1"/>
          <w:lang w:val="en-GB"/>
        </w:rPr>
      </w:pPr>
      <w:r>
        <w:rPr>
          <w:b/>
          <w:noProof/>
          <w:color w:val="000000"/>
          <w:sz w:val="22"/>
          <w:szCs w:val="22"/>
          <w:lang w:val="en-GB"/>
        </w:rPr>
        <w:t>In your opinion, to what extent does the current (or possible) existence of multiple cybersecurity certification schemes represent a barrier to EU market en</w:t>
      </w:r>
      <w:r>
        <w:rPr>
          <w:b/>
          <w:noProof/>
          <w:color w:val="000000"/>
          <w:sz w:val="22"/>
          <w:szCs w:val="22"/>
          <w:lang w:val="en-GB"/>
        </w:rPr>
        <w:t xml:space="preserve">try in the critical infrastructure domain? </w:t>
      </w:r>
    </w:p>
    <w:p w:rsidR="00913429" w:rsidRDefault="00913429">
      <w:pPr>
        <w:pStyle w:val="ListParagraph"/>
        <w:ind w:left="360"/>
        <w:jc w:val="both"/>
        <w:rPr>
          <w:b/>
          <w:noProof/>
          <w:color w:val="000000"/>
          <w:sz w:val="22"/>
          <w:szCs w:val="22"/>
          <w:lang w:val="en-GB"/>
        </w:rPr>
      </w:pPr>
    </w:p>
    <w:p w:rsidR="00913429" w:rsidRDefault="00E143F0">
      <w:pPr>
        <w:pStyle w:val="ListParagraph"/>
        <w:ind w:left="360"/>
        <w:jc w:val="both"/>
        <w:rPr>
          <w:noProof/>
          <w:color w:val="000000" w:themeColor="text1"/>
          <w:lang w:val="en-GB"/>
        </w:rPr>
      </w:pPr>
      <w:r>
        <w:rPr>
          <w:noProof/>
          <w:color w:val="000000" w:themeColor="text1"/>
          <w:lang w:val="en-GB"/>
        </w:rPr>
        <w:t>Yes, it’s definitely a market problem. If the European Commission would be able to apply a European label, components and products with an Italian certification would be able to be sold in Finland. If we could manage to have European standardized framework</w:t>
      </w:r>
      <w:r>
        <w:rPr>
          <w:noProof/>
          <w:color w:val="000000" w:themeColor="text1"/>
          <w:lang w:val="en-GB"/>
        </w:rPr>
        <w:t>, the market would benefit from it. It’s similar to the food labels. Without a free movement of goods in the EU, there would definitely be market limitations. Without a European Certification, it would be very difficult to sell products in more than one Eu</w:t>
      </w:r>
      <w:r>
        <w:rPr>
          <w:noProof/>
          <w:color w:val="000000" w:themeColor="text1"/>
          <w:lang w:val="en-GB"/>
        </w:rPr>
        <w:t xml:space="preserve">ropean Country. </w:t>
      </w:r>
    </w:p>
    <w:p w:rsidR="00913429" w:rsidRDefault="00913429">
      <w:pPr>
        <w:pStyle w:val="ListParagraph"/>
        <w:ind w:left="360"/>
        <w:jc w:val="both"/>
        <w:rPr>
          <w:noProof/>
          <w:color w:val="000000" w:themeColor="text1"/>
          <w:lang w:val="en-GB"/>
        </w:rPr>
      </w:pPr>
    </w:p>
    <w:p w:rsidR="00913429" w:rsidRDefault="00E143F0">
      <w:pPr>
        <w:pStyle w:val="ListParagraph"/>
        <w:numPr>
          <w:ilvl w:val="0"/>
          <w:numId w:val="161"/>
        </w:numPr>
        <w:jc w:val="both"/>
        <w:rPr>
          <w:noProof/>
          <w:color w:val="000000" w:themeColor="text1"/>
          <w:lang w:val="en-GB"/>
        </w:rPr>
      </w:pPr>
      <w:r>
        <w:rPr>
          <w:b/>
          <w:noProof/>
          <w:color w:val="000000"/>
          <w:sz w:val="22"/>
          <w:szCs w:val="22"/>
          <w:lang w:val="en-GB"/>
        </w:rPr>
        <w:t>In your opinion, would a European cybersecurity certification framework that support the mutual recognition of cybersecurity certification reduce costs for manufacturers of components or service providers used in critical infrastructures?</w:t>
      </w:r>
      <w:r>
        <w:rPr>
          <w:b/>
          <w:noProof/>
          <w:color w:val="000000"/>
          <w:sz w:val="22"/>
          <w:szCs w:val="22"/>
          <w:lang w:val="en-GB"/>
        </w:rPr>
        <w:t xml:space="preserve"> Can you please provide your view on other possible positive or negative aspects? </w:t>
      </w:r>
    </w:p>
    <w:p w:rsidR="00913429" w:rsidRDefault="00913429">
      <w:pPr>
        <w:pStyle w:val="ListParagraph"/>
        <w:ind w:left="360"/>
        <w:jc w:val="both"/>
        <w:rPr>
          <w:noProof/>
          <w:color w:val="000000" w:themeColor="text1"/>
          <w:lang w:val="en-GB"/>
        </w:rPr>
      </w:pPr>
    </w:p>
    <w:p w:rsidR="00913429" w:rsidRDefault="00E143F0">
      <w:pPr>
        <w:pStyle w:val="ListParagraph"/>
        <w:ind w:left="360"/>
        <w:jc w:val="both"/>
        <w:rPr>
          <w:noProof/>
          <w:color w:val="000000" w:themeColor="text1"/>
          <w:lang w:val="en-GB"/>
        </w:rPr>
      </w:pPr>
      <w:r>
        <w:rPr>
          <w:noProof/>
          <w:color w:val="000000" w:themeColor="text1"/>
          <w:lang w:val="en-GB"/>
        </w:rPr>
        <w:t xml:space="preserve">Yes, sure. Furthermore, having multiple certification laboratories is even more expensive. You need to prepare the maintenance staff of these structures and, with European </w:t>
      </w:r>
      <w:r>
        <w:rPr>
          <w:noProof/>
          <w:color w:val="000000" w:themeColor="text1"/>
          <w:lang w:val="en-GB"/>
        </w:rPr>
        <w:t xml:space="preserve">certification, it would be possible to reduce these laboratories. It will be therefore possible to reduce these costs on the long term. </w:t>
      </w:r>
    </w:p>
    <w:p w:rsidR="00913429" w:rsidRDefault="00913429">
      <w:pPr>
        <w:pStyle w:val="ListParagraph"/>
        <w:ind w:left="360"/>
        <w:jc w:val="both"/>
        <w:rPr>
          <w:noProof/>
          <w:color w:val="000000" w:themeColor="text1"/>
          <w:lang w:val="en-GB"/>
        </w:rPr>
      </w:pPr>
    </w:p>
    <w:p w:rsidR="00913429" w:rsidRDefault="00E143F0">
      <w:pPr>
        <w:pStyle w:val="ListParagraph"/>
        <w:numPr>
          <w:ilvl w:val="0"/>
          <w:numId w:val="161"/>
        </w:numPr>
        <w:jc w:val="both"/>
        <w:rPr>
          <w:noProof/>
          <w:color w:val="000000" w:themeColor="text1"/>
          <w:lang w:val="en-GB"/>
        </w:rPr>
      </w:pPr>
      <w:r>
        <w:rPr>
          <w:b/>
          <w:noProof/>
          <w:color w:val="000000"/>
          <w:sz w:val="22"/>
          <w:szCs w:val="22"/>
          <w:lang w:val="en-GB"/>
        </w:rPr>
        <w:t>By adding an information label on the product that certifies the security standards – as it happens for medical device</w:t>
      </w:r>
      <w:r>
        <w:rPr>
          <w:b/>
          <w:noProof/>
          <w:color w:val="000000"/>
          <w:sz w:val="22"/>
          <w:szCs w:val="22"/>
          <w:lang w:val="en-GB"/>
        </w:rPr>
        <w:t xml:space="preserve">s – do you think that it would be possible to reduce the information asymmetry? Would it be possible for the consumer to compare more products and have more information on its security standards? </w:t>
      </w:r>
    </w:p>
    <w:p w:rsidR="00913429" w:rsidRDefault="00913429">
      <w:pPr>
        <w:pStyle w:val="ListParagraph"/>
        <w:ind w:left="360"/>
        <w:jc w:val="both"/>
        <w:rPr>
          <w:noProof/>
          <w:color w:val="000000" w:themeColor="text1"/>
          <w:lang w:val="en-GB"/>
        </w:rPr>
      </w:pPr>
    </w:p>
    <w:p w:rsidR="00913429" w:rsidRDefault="00E143F0">
      <w:pPr>
        <w:pStyle w:val="ListParagraph"/>
        <w:ind w:left="360"/>
        <w:jc w:val="both"/>
        <w:rPr>
          <w:noProof/>
          <w:color w:val="000000" w:themeColor="text1"/>
          <w:lang w:val="en-GB"/>
        </w:rPr>
      </w:pPr>
      <w:r>
        <w:rPr>
          <w:noProof/>
          <w:color w:val="000000" w:themeColor="text1"/>
          <w:lang w:val="en-GB"/>
        </w:rPr>
        <w:t>Yes, absolutely. As for the medical devices, we are talkin</w:t>
      </w:r>
      <w:r>
        <w:rPr>
          <w:noProof/>
          <w:color w:val="000000" w:themeColor="text1"/>
          <w:lang w:val="en-GB"/>
        </w:rPr>
        <w:t xml:space="preserve">g about expensive and complicated machines that are bought by operators, for example Tomography machines that cost approximately one million euros, and not by normal citizens. It is more a Marketing issue: as I use a label to certify my product, it can be </w:t>
      </w:r>
      <w:r>
        <w:rPr>
          <w:noProof/>
          <w:color w:val="000000" w:themeColor="text1"/>
          <w:lang w:val="en-GB"/>
        </w:rPr>
        <w:t xml:space="preserve">sold more easily on the European Market. Should I be surer about its security, though? Not really, as far as I am concerned. </w:t>
      </w:r>
    </w:p>
    <w:p w:rsidR="00913429" w:rsidRDefault="00913429">
      <w:pPr>
        <w:pStyle w:val="ListParagraph"/>
        <w:ind w:left="360"/>
        <w:jc w:val="both"/>
        <w:rPr>
          <w:noProof/>
          <w:color w:val="000000" w:themeColor="text1"/>
          <w:lang w:val="en-GB"/>
        </w:rPr>
      </w:pPr>
    </w:p>
    <w:p w:rsidR="00913429" w:rsidRDefault="00E143F0">
      <w:pPr>
        <w:pStyle w:val="ListParagraph"/>
        <w:numPr>
          <w:ilvl w:val="0"/>
          <w:numId w:val="161"/>
        </w:numPr>
        <w:jc w:val="both"/>
        <w:rPr>
          <w:noProof/>
          <w:color w:val="000000" w:themeColor="text1"/>
          <w:lang w:val="en-GB"/>
        </w:rPr>
      </w:pPr>
      <w:r>
        <w:rPr>
          <w:b/>
          <w:noProof/>
          <w:color w:val="000000"/>
          <w:sz w:val="22"/>
          <w:szCs w:val="22"/>
          <w:lang w:val="en-GB"/>
        </w:rPr>
        <w:t>What are the benefits for a certified product? Would a costumer buy it more likely?</w:t>
      </w:r>
    </w:p>
    <w:p w:rsidR="00913429" w:rsidRDefault="00913429">
      <w:pPr>
        <w:pStyle w:val="ListParagraph"/>
        <w:ind w:left="360"/>
        <w:jc w:val="both"/>
        <w:rPr>
          <w:b/>
          <w:noProof/>
          <w:color w:val="000000"/>
          <w:sz w:val="22"/>
          <w:szCs w:val="22"/>
          <w:lang w:val="en-GB"/>
        </w:rPr>
      </w:pPr>
    </w:p>
    <w:p w:rsidR="00913429" w:rsidRDefault="00E143F0">
      <w:pPr>
        <w:pStyle w:val="ListParagraph"/>
        <w:ind w:left="360"/>
        <w:jc w:val="both"/>
        <w:rPr>
          <w:noProof/>
          <w:color w:val="000000" w:themeColor="text1"/>
          <w:lang w:val="en-GB"/>
        </w:rPr>
      </w:pPr>
      <w:r>
        <w:rPr>
          <w:noProof/>
          <w:color w:val="000000" w:themeColor="text1"/>
          <w:lang w:val="en-GB"/>
        </w:rPr>
        <w:t>It’s always a matter of Trade-Off, whether t</w:t>
      </w:r>
      <w:r>
        <w:rPr>
          <w:noProof/>
          <w:color w:val="000000" w:themeColor="text1"/>
          <w:lang w:val="en-GB"/>
        </w:rPr>
        <w:t>o put a certified product on the market or not. If the certified product is three times more expensive than the not certified one, I am not sure I would buy it. It’s an old dilemma if the security costs are a long term investment or not.  Through mutual re</w:t>
      </w:r>
      <w:r>
        <w:rPr>
          <w:noProof/>
          <w:color w:val="000000" w:themeColor="text1"/>
          <w:lang w:val="en-GB"/>
        </w:rPr>
        <w:t>cognition of a certification framework it would be better. However, it should not add any other cost on the producers.</w:t>
      </w:r>
    </w:p>
    <w:p w:rsidR="00913429" w:rsidRDefault="00913429">
      <w:pPr>
        <w:pStyle w:val="ListParagraph"/>
        <w:ind w:left="360"/>
        <w:jc w:val="both"/>
        <w:rPr>
          <w:noProof/>
          <w:color w:val="000000" w:themeColor="text1"/>
          <w:lang w:val="en-GB"/>
        </w:rPr>
      </w:pPr>
    </w:p>
    <w:p w:rsidR="00913429" w:rsidRDefault="00E143F0">
      <w:pPr>
        <w:pStyle w:val="ListParagraph"/>
        <w:numPr>
          <w:ilvl w:val="0"/>
          <w:numId w:val="161"/>
        </w:numPr>
        <w:jc w:val="both"/>
        <w:rPr>
          <w:noProof/>
          <w:color w:val="000000" w:themeColor="text1"/>
          <w:lang w:val="en-GB"/>
        </w:rPr>
      </w:pPr>
      <w:r>
        <w:rPr>
          <w:b/>
          <w:noProof/>
          <w:color w:val="000000"/>
          <w:sz w:val="22"/>
          <w:szCs w:val="22"/>
          <w:lang w:val="en-GB"/>
        </w:rPr>
        <w:t>Would you be in favor of a European Scheme of mutual recognition between the member states?</w:t>
      </w:r>
    </w:p>
    <w:p w:rsidR="00913429" w:rsidRDefault="00913429">
      <w:pPr>
        <w:pStyle w:val="ListParagraph"/>
        <w:ind w:left="360"/>
        <w:jc w:val="both"/>
        <w:rPr>
          <w:b/>
          <w:noProof/>
          <w:color w:val="000000"/>
          <w:sz w:val="22"/>
          <w:szCs w:val="22"/>
          <w:lang w:val="en-GB"/>
        </w:rPr>
      </w:pPr>
    </w:p>
    <w:p w:rsidR="00913429" w:rsidRDefault="00E143F0">
      <w:pPr>
        <w:pStyle w:val="ListParagraph"/>
        <w:ind w:left="360"/>
        <w:jc w:val="both"/>
        <w:rPr>
          <w:noProof/>
          <w:color w:val="000000" w:themeColor="text1"/>
        </w:rPr>
      </w:pPr>
      <w:r>
        <w:rPr>
          <w:noProof/>
          <w:color w:val="000000" w:themeColor="text1"/>
          <w:lang w:val="en-GB"/>
        </w:rPr>
        <w:t>Yes, I am because of the free market benefi</w:t>
      </w:r>
      <w:r>
        <w:rPr>
          <w:noProof/>
          <w:color w:val="000000" w:themeColor="text1"/>
          <w:lang w:val="en-GB"/>
        </w:rPr>
        <w:t xml:space="preserve">ts and not because of the possible improvements of security in the Critical Infrastructures. I am positive towards a European Label. The certification, however, should be discussed on different levels: what about the compliance standards? </w:t>
      </w:r>
      <w:r>
        <w:rPr>
          <w:noProof/>
          <w:color w:val="000000" w:themeColor="text1"/>
        </w:rPr>
        <w:t>And what about th</w:t>
      </w:r>
      <w:r>
        <w:rPr>
          <w:noProof/>
          <w:color w:val="000000" w:themeColor="text1"/>
        </w:rPr>
        <w:t xml:space="preserve">e laboratories? They are different discussions. </w:t>
      </w:r>
    </w:p>
    <w:p w:rsidR="00913429" w:rsidRDefault="00913429">
      <w:pPr>
        <w:pStyle w:val="ListParagraph"/>
        <w:ind w:left="360"/>
        <w:jc w:val="both"/>
        <w:rPr>
          <w:noProof/>
          <w:color w:val="000000" w:themeColor="text1"/>
        </w:rPr>
      </w:pPr>
    </w:p>
    <w:p w:rsidR="00913429" w:rsidRDefault="00E143F0">
      <w:pPr>
        <w:pStyle w:val="ListParagraph"/>
        <w:numPr>
          <w:ilvl w:val="0"/>
          <w:numId w:val="161"/>
        </w:numPr>
        <w:jc w:val="both"/>
        <w:rPr>
          <w:noProof/>
          <w:color w:val="000000" w:themeColor="text1"/>
          <w:lang w:val="en-GB"/>
        </w:rPr>
      </w:pPr>
      <w:r>
        <w:rPr>
          <w:b/>
          <w:noProof/>
          <w:color w:val="000000"/>
          <w:sz w:val="22"/>
          <w:szCs w:val="22"/>
          <w:lang w:val="en-GB"/>
        </w:rPr>
        <w:t>Are there any regulations that makes certifications mandatory?</w:t>
      </w:r>
    </w:p>
    <w:p w:rsidR="00913429" w:rsidRDefault="00913429">
      <w:pPr>
        <w:pStyle w:val="ListParagraph"/>
        <w:ind w:left="360"/>
        <w:jc w:val="both"/>
        <w:rPr>
          <w:b/>
          <w:noProof/>
          <w:color w:val="000000"/>
          <w:sz w:val="22"/>
          <w:szCs w:val="22"/>
          <w:lang w:val="en-GB"/>
        </w:rPr>
      </w:pPr>
    </w:p>
    <w:p w:rsidR="00913429" w:rsidRDefault="00E143F0">
      <w:pPr>
        <w:pStyle w:val="ListParagraph"/>
        <w:ind w:left="360"/>
        <w:jc w:val="both"/>
        <w:rPr>
          <w:noProof/>
          <w:color w:val="000000" w:themeColor="text1"/>
          <w:lang w:val="en-GB"/>
        </w:rPr>
      </w:pPr>
      <w:r>
        <w:rPr>
          <w:noProof/>
          <w:color w:val="000000" w:themeColor="text1"/>
          <w:lang w:val="en-GB"/>
        </w:rPr>
        <w:t xml:space="preserve">There isn’t any mandatory certification in Europe. There are other private activities such as the Norwegian DNV and the German Thuf but there </w:t>
      </w:r>
      <w:r>
        <w:rPr>
          <w:noProof/>
          <w:color w:val="000000" w:themeColor="text1"/>
          <w:lang w:val="en-GB"/>
        </w:rPr>
        <w:t xml:space="preserve">isn’t any mandatory certification. </w:t>
      </w:r>
    </w:p>
    <w:p w:rsidR="00913429" w:rsidRDefault="00913429">
      <w:pPr>
        <w:pStyle w:val="ListParagraph"/>
        <w:ind w:left="360"/>
        <w:jc w:val="both"/>
        <w:rPr>
          <w:noProof/>
          <w:color w:val="000000" w:themeColor="text1"/>
          <w:lang w:val="en-GB"/>
        </w:rPr>
      </w:pPr>
    </w:p>
    <w:p w:rsidR="00913429" w:rsidRDefault="00E143F0">
      <w:pPr>
        <w:pStyle w:val="ListParagraph"/>
        <w:numPr>
          <w:ilvl w:val="0"/>
          <w:numId w:val="161"/>
        </w:numPr>
        <w:jc w:val="both"/>
        <w:rPr>
          <w:noProof/>
          <w:color w:val="000000" w:themeColor="text1"/>
        </w:rPr>
      </w:pPr>
      <w:r>
        <w:rPr>
          <w:b/>
          <w:noProof/>
          <w:color w:val="000000"/>
          <w:sz w:val="22"/>
          <w:szCs w:val="22"/>
          <w:lang w:val="en-GB"/>
        </w:rPr>
        <w:t xml:space="preserve">We are wondering if a certified product might guarantee more openess to the different markets. </w:t>
      </w:r>
      <w:r>
        <w:rPr>
          <w:b/>
          <w:noProof/>
          <w:color w:val="000000"/>
          <w:sz w:val="22"/>
          <w:szCs w:val="22"/>
        </w:rPr>
        <w:t>What do you think about the functionalities of it?</w:t>
      </w:r>
    </w:p>
    <w:p w:rsidR="00913429" w:rsidRDefault="00913429">
      <w:pPr>
        <w:pStyle w:val="ListParagraph"/>
        <w:ind w:left="360"/>
        <w:jc w:val="both"/>
        <w:rPr>
          <w:b/>
          <w:noProof/>
          <w:color w:val="000000"/>
          <w:sz w:val="22"/>
          <w:szCs w:val="22"/>
        </w:rPr>
      </w:pPr>
    </w:p>
    <w:p w:rsidR="00913429" w:rsidRDefault="00E143F0">
      <w:pPr>
        <w:pStyle w:val="ListParagraph"/>
        <w:ind w:left="360"/>
        <w:jc w:val="both"/>
        <w:rPr>
          <w:noProof/>
          <w:color w:val="000000" w:themeColor="text1"/>
          <w:lang w:val="en-GB"/>
        </w:rPr>
      </w:pPr>
      <w:r>
        <w:rPr>
          <w:noProof/>
          <w:color w:val="000000" w:themeColor="text1"/>
          <w:lang w:val="en-GB"/>
        </w:rPr>
        <w:t xml:space="preserve">Let’s take an example. A PLC is well defined functionally. It is more difficult however for SCADA systems. The certification won’t guarantee only their functionalities but also its immunity to external threats and other vulnerabilities. </w:t>
      </w:r>
    </w:p>
    <w:p w:rsidR="00913429" w:rsidRDefault="00913429">
      <w:pPr>
        <w:pStyle w:val="ListParagraph"/>
        <w:ind w:left="360"/>
        <w:jc w:val="both"/>
        <w:rPr>
          <w:noProof/>
          <w:color w:val="000000" w:themeColor="text1"/>
          <w:lang w:val="en-GB"/>
        </w:rPr>
      </w:pPr>
    </w:p>
    <w:p w:rsidR="00913429" w:rsidRDefault="00E143F0">
      <w:pPr>
        <w:pStyle w:val="ListParagraph"/>
        <w:numPr>
          <w:ilvl w:val="0"/>
          <w:numId w:val="161"/>
        </w:numPr>
        <w:jc w:val="both"/>
        <w:rPr>
          <w:noProof/>
          <w:color w:val="000000" w:themeColor="text1"/>
        </w:rPr>
      </w:pPr>
      <w:r>
        <w:rPr>
          <w:b/>
          <w:noProof/>
          <w:color w:val="000000"/>
          <w:sz w:val="22"/>
          <w:szCs w:val="22"/>
          <w:lang w:val="en-GB"/>
        </w:rPr>
        <w:t>For these compone</w:t>
      </w:r>
      <w:r>
        <w:rPr>
          <w:b/>
          <w:noProof/>
          <w:color w:val="000000"/>
          <w:sz w:val="22"/>
          <w:szCs w:val="22"/>
          <w:lang w:val="en-GB"/>
        </w:rPr>
        <w:t xml:space="preserve">nts, the security requirements are very important. </w:t>
      </w:r>
      <w:r>
        <w:rPr>
          <w:b/>
          <w:noProof/>
          <w:color w:val="000000"/>
          <w:sz w:val="22"/>
          <w:szCs w:val="22"/>
        </w:rPr>
        <w:t xml:space="preserve">Are there security tests of the components? </w:t>
      </w:r>
    </w:p>
    <w:p w:rsidR="00913429" w:rsidRDefault="00913429">
      <w:pPr>
        <w:pStyle w:val="ListParagraph"/>
        <w:ind w:left="360"/>
        <w:jc w:val="both"/>
        <w:rPr>
          <w:b/>
          <w:noProof/>
          <w:color w:val="000000"/>
          <w:sz w:val="22"/>
          <w:szCs w:val="22"/>
        </w:rPr>
      </w:pPr>
    </w:p>
    <w:p w:rsidR="00913429" w:rsidRDefault="00E143F0">
      <w:pPr>
        <w:pStyle w:val="ListParagraph"/>
        <w:ind w:left="360"/>
        <w:jc w:val="both"/>
        <w:rPr>
          <w:noProof/>
          <w:color w:val="000000" w:themeColor="text1"/>
          <w:lang w:val="en-GB"/>
        </w:rPr>
      </w:pPr>
      <w:r>
        <w:rPr>
          <w:noProof/>
          <w:color w:val="000000" w:themeColor="text1"/>
          <w:lang w:val="en-GB"/>
        </w:rPr>
        <w:t>After the functional tests, they check the security of the component from external threats through tests in laboratories, like the penetration test. Recently, in the United States, hackers managed to hack in to cheap CCTV cameras, produced in China. They w</w:t>
      </w:r>
      <w:r>
        <w:rPr>
          <w:noProof/>
          <w:color w:val="000000" w:themeColor="text1"/>
          <w:lang w:val="en-GB"/>
        </w:rPr>
        <w:t>ere extremely common because of their affordable price but they had lower security standards. Therefore, Hackers managed to enter their system and block the whole network. Enel is going to sell 24 million Smart Meters. If these devices would have a securit</w:t>
      </w:r>
      <w:r>
        <w:rPr>
          <w:noProof/>
          <w:color w:val="000000" w:themeColor="text1"/>
          <w:lang w:val="en-GB"/>
        </w:rPr>
        <w:t>y certification, we would definitely be safer. On the other hand, if they have vulnerabilities, hackers would be able to enter a network of 24 million devices and turn off the lights of Italy for at least one day. There is a lot that should be done: defini</w:t>
      </w:r>
      <w:r>
        <w:rPr>
          <w:noProof/>
          <w:color w:val="000000" w:themeColor="text1"/>
          <w:lang w:val="en-GB"/>
        </w:rPr>
        <w:t>ng the limits of a certification, what are the standards and what is its contribution to security. I worked with ENISA and I think that we should work more on the meaning of this certification/label and on the real effects that it could have on resilience.</w:t>
      </w:r>
      <w:r>
        <w:rPr>
          <w:noProof/>
          <w:color w:val="000000" w:themeColor="text1"/>
          <w:lang w:val="en-GB"/>
        </w:rPr>
        <w:t xml:space="preserve">  </w:t>
      </w:r>
    </w:p>
    <w:p w:rsidR="00913429" w:rsidRDefault="00E143F0">
      <w:pPr>
        <w:spacing w:after="0" w:line="240" w:lineRule="auto"/>
        <w:rPr>
          <w:noProof/>
        </w:rPr>
      </w:pPr>
      <w:r>
        <w:rPr>
          <w:noProof/>
        </w:rPr>
        <w:br w:type="page"/>
      </w:r>
    </w:p>
    <w:p w:rsidR="00913429" w:rsidRDefault="00E143F0">
      <w:pPr>
        <w:jc w:val="right"/>
        <w:rPr>
          <w:rFonts w:eastAsia="Times New Roman" w:cs="Tahoma"/>
          <w:b/>
          <w:i/>
          <w:noProof/>
          <w:color w:val="000000" w:themeColor="text1"/>
          <w:sz w:val="28"/>
          <w:szCs w:val="26"/>
          <w:lang w:val="en-US" w:eastAsia="it-IT"/>
        </w:rPr>
      </w:pPr>
      <w:r>
        <w:rPr>
          <w:rFonts w:eastAsia="Times New Roman" w:cs="Tahoma"/>
          <w:b/>
          <w:i/>
          <w:noProof/>
          <w:color w:val="000000" w:themeColor="text1"/>
          <w:sz w:val="28"/>
          <w:szCs w:val="26"/>
          <w:lang w:val="en-US" w:eastAsia="it-IT"/>
        </w:rPr>
        <w:t>July 19</w:t>
      </w:r>
      <w:r>
        <w:rPr>
          <w:rFonts w:eastAsia="Times New Roman" w:cs="Tahoma"/>
          <w:b/>
          <w:i/>
          <w:noProof/>
          <w:color w:val="000000" w:themeColor="text1"/>
          <w:sz w:val="28"/>
          <w:szCs w:val="26"/>
          <w:vertAlign w:val="superscript"/>
          <w:lang w:val="en-US" w:eastAsia="it-IT"/>
        </w:rPr>
        <w:t>th</w:t>
      </w:r>
      <w:r>
        <w:rPr>
          <w:rFonts w:eastAsia="Times New Roman" w:cs="Tahoma"/>
          <w:b/>
          <w:i/>
          <w:noProof/>
          <w:color w:val="000000" w:themeColor="text1"/>
          <w:sz w:val="28"/>
          <w:szCs w:val="26"/>
          <w:lang w:val="en-US" w:eastAsia="it-IT"/>
        </w:rPr>
        <w:t>, 2017</w:t>
      </w:r>
    </w:p>
    <w:p w:rsidR="00913429" w:rsidRDefault="00E143F0">
      <w:pPr>
        <w:pStyle w:val="Heading4"/>
        <w:spacing w:after="240"/>
        <w:rPr>
          <w:noProof/>
          <w:lang w:val="en-US"/>
        </w:rPr>
      </w:pPr>
      <w:r>
        <w:rPr>
          <w:noProof/>
          <w:lang w:val="en-US"/>
        </w:rPr>
        <w:t>Interview results from representative of a manufacturer operating for Critical Infrastructures</w:t>
      </w:r>
    </w:p>
    <w:p w:rsidR="00913429" w:rsidRDefault="00E143F0">
      <w:pPr>
        <w:pStyle w:val="ListParagraph"/>
        <w:numPr>
          <w:ilvl w:val="0"/>
          <w:numId w:val="162"/>
        </w:numPr>
        <w:jc w:val="both"/>
        <w:rPr>
          <w:noProof/>
          <w:lang w:val="en-US"/>
        </w:rPr>
      </w:pPr>
      <w:r>
        <w:rPr>
          <w:b/>
          <w:noProof/>
          <w:lang w:val="en-GB"/>
        </w:rPr>
        <w:t>Based on your knowledge, what are the main advantages, if any, of adopting security certified ICT/OT components in critical infrastructures?</w:t>
      </w:r>
      <w:r>
        <w:rPr>
          <w:b/>
          <w:noProof/>
          <w:lang w:val="en-GB"/>
        </w:rPr>
        <w:t xml:space="preserve"> Please consider possible advantages also in the field of attack prevention and/or resilience</w:t>
      </w:r>
    </w:p>
    <w:p w:rsidR="00913429" w:rsidRDefault="00913429">
      <w:pPr>
        <w:pStyle w:val="ListParagraph"/>
        <w:ind w:left="360"/>
        <w:jc w:val="both"/>
        <w:rPr>
          <w:b/>
          <w:noProof/>
          <w:lang w:val="en-US"/>
        </w:rPr>
      </w:pPr>
    </w:p>
    <w:p w:rsidR="00913429" w:rsidRDefault="00E143F0">
      <w:pPr>
        <w:pStyle w:val="ListParagraph"/>
        <w:ind w:left="360"/>
        <w:jc w:val="both"/>
        <w:rPr>
          <w:noProof/>
          <w:lang w:val="en-US"/>
        </w:rPr>
      </w:pPr>
      <w:r>
        <w:rPr>
          <w:noProof/>
          <w:lang w:val="en-US"/>
        </w:rPr>
        <w:t>There are different advantages and some of them are quite obvious. It allows the entrance to several markets that have particular requirements. It is also an advantage for the transparency of the information for the customer or the regulator. By certifying</w:t>
      </w:r>
      <w:r>
        <w:rPr>
          <w:noProof/>
          <w:lang w:val="en-US"/>
        </w:rPr>
        <w:t xml:space="preserve"> products, you can step up versus a competitor and be in a better position on the market. For the security of the product itself, it can be helpful but I think that the major advantages would still be related to the transparency of the information and the </w:t>
      </w:r>
      <w:r>
        <w:rPr>
          <w:noProof/>
          <w:lang w:val="en-US"/>
        </w:rPr>
        <w:t xml:space="preserve">entry on the markets. </w:t>
      </w:r>
    </w:p>
    <w:p w:rsidR="00913429" w:rsidRDefault="00913429">
      <w:pPr>
        <w:pStyle w:val="ListParagraph"/>
        <w:ind w:left="360"/>
        <w:jc w:val="both"/>
        <w:rPr>
          <w:noProof/>
          <w:lang w:val="en-US"/>
        </w:rPr>
      </w:pPr>
    </w:p>
    <w:p w:rsidR="00913429" w:rsidRDefault="00E143F0">
      <w:pPr>
        <w:pStyle w:val="ListParagraph"/>
        <w:numPr>
          <w:ilvl w:val="0"/>
          <w:numId w:val="162"/>
        </w:numPr>
        <w:jc w:val="both"/>
        <w:rPr>
          <w:noProof/>
          <w:lang w:val="en-US"/>
        </w:rPr>
      </w:pPr>
      <w:r>
        <w:rPr>
          <w:b/>
          <w:noProof/>
          <w:lang w:val="en-GB"/>
        </w:rPr>
        <w:t>Do you think that operators of essential services have a sufficient level of information regarding the securities features of the IT/OT products /services they use for the lifecycle of their infrastructures?</w:t>
      </w:r>
    </w:p>
    <w:p w:rsidR="00913429" w:rsidRDefault="00913429">
      <w:pPr>
        <w:pStyle w:val="ListParagraph"/>
        <w:ind w:left="360"/>
        <w:jc w:val="both"/>
        <w:rPr>
          <w:b/>
          <w:noProof/>
          <w:lang w:val="en-GB"/>
        </w:rPr>
      </w:pPr>
    </w:p>
    <w:p w:rsidR="00913429" w:rsidRDefault="00E143F0">
      <w:pPr>
        <w:pStyle w:val="ListParagraph"/>
        <w:ind w:left="360"/>
        <w:jc w:val="both"/>
        <w:rPr>
          <w:noProof/>
          <w:lang w:val="en-US"/>
        </w:rPr>
      </w:pPr>
      <w:r>
        <w:rPr>
          <w:noProof/>
          <w:lang w:val="en-US"/>
        </w:rPr>
        <w:t>As for critical infrast</w:t>
      </w:r>
      <w:r>
        <w:rPr>
          <w:noProof/>
          <w:lang w:val="en-US"/>
        </w:rPr>
        <w:t xml:space="preserve">ructure operators is crucial. If you do not have a certification, you cannot know if the information is true. Each company could claim that their product is secure but it is better to have third parties to test it independently. That is definitely another </w:t>
      </w:r>
      <w:r>
        <w:rPr>
          <w:noProof/>
          <w:lang w:val="en-US"/>
        </w:rPr>
        <w:t xml:space="preserve">advantage that a certification could represent. However, I still believe that the main one would be the entrance on the market. </w:t>
      </w:r>
    </w:p>
    <w:p w:rsidR="00913429" w:rsidRDefault="00913429">
      <w:pPr>
        <w:pStyle w:val="ListParagraph"/>
        <w:ind w:left="360"/>
        <w:jc w:val="both"/>
        <w:rPr>
          <w:noProof/>
          <w:lang w:val="en-US"/>
        </w:rPr>
      </w:pPr>
    </w:p>
    <w:p w:rsidR="00913429" w:rsidRDefault="00E143F0">
      <w:pPr>
        <w:pStyle w:val="ListParagraph"/>
        <w:numPr>
          <w:ilvl w:val="0"/>
          <w:numId w:val="162"/>
        </w:numPr>
        <w:jc w:val="both"/>
        <w:rPr>
          <w:noProof/>
          <w:lang w:val="en-US"/>
        </w:rPr>
      </w:pPr>
      <w:r>
        <w:rPr>
          <w:b/>
          <w:noProof/>
          <w:lang w:val="en-GB"/>
        </w:rPr>
        <w:t>Do you know cases in the European Union where some IT/OT components deployed in critical infrastructures are requested, mandet</w:t>
      </w:r>
      <w:r>
        <w:rPr>
          <w:b/>
          <w:noProof/>
          <w:lang w:val="en-GB"/>
        </w:rPr>
        <w:t>ed or recommended to be provided with some type of cybersecurity certification?</w:t>
      </w:r>
    </w:p>
    <w:p w:rsidR="00913429" w:rsidRDefault="00913429">
      <w:pPr>
        <w:pStyle w:val="ListParagraph"/>
        <w:ind w:left="360"/>
        <w:jc w:val="both"/>
        <w:rPr>
          <w:b/>
          <w:noProof/>
          <w:lang w:val="en-GB"/>
        </w:rPr>
      </w:pPr>
    </w:p>
    <w:p w:rsidR="00913429" w:rsidRDefault="00E143F0">
      <w:pPr>
        <w:pStyle w:val="ListParagraph"/>
        <w:ind w:left="360"/>
        <w:jc w:val="both"/>
        <w:rPr>
          <w:noProof/>
          <w:lang w:val="en-US"/>
        </w:rPr>
      </w:pPr>
      <w:r>
        <w:rPr>
          <w:noProof/>
          <w:lang w:val="en-US"/>
        </w:rPr>
        <w:t xml:space="preserve">It depends on what products are compelled. It is primarily around security products and services, such as firewall, IPM, intrusion detection systems, routers, so this kind of </w:t>
      </w:r>
      <w:r>
        <w:rPr>
          <w:noProof/>
          <w:lang w:val="en-US"/>
        </w:rPr>
        <w:t xml:space="preserve">networking devices, like routers and switches. There are different criteria and standards that are required. In some cases, we do multiple certifications because other markets require them.  For example, in France, you need to have an authorization issued </w:t>
      </w:r>
      <w:r>
        <w:rPr>
          <w:noProof/>
          <w:lang w:val="en-US"/>
        </w:rPr>
        <w:t xml:space="preserve">by the Prime Minister Office for network devices in Critical Infrastructure. It is common for government to require certain standards for Critical Infrastructure and security products and services. </w:t>
      </w:r>
    </w:p>
    <w:p w:rsidR="00913429" w:rsidRDefault="00913429">
      <w:pPr>
        <w:pStyle w:val="ListParagraph"/>
        <w:ind w:left="360"/>
        <w:jc w:val="both"/>
        <w:rPr>
          <w:noProof/>
          <w:lang w:val="en-US"/>
        </w:rPr>
      </w:pPr>
    </w:p>
    <w:p w:rsidR="00913429" w:rsidRDefault="00E143F0">
      <w:pPr>
        <w:pStyle w:val="ListParagraph"/>
        <w:numPr>
          <w:ilvl w:val="0"/>
          <w:numId w:val="162"/>
        </w:numPr>
        <w:jc w:val="both"/>
        <w:rPr>
          <w:noProof/>
          <w:lang w:val="en-US"/>
        </w:rPr>
      </w:pPr>
      <w:r>
        <w:rPr>
          <w:b/>
          <w:noProof/>
          <w:lang w:val="en-GB"/>
        </w:rPr>
        <w:t>Do you have any example of national certification or sch</w:t>
      </w:r>
      <w:r>
        <w:rPr>
          <w:b/>
          <w:noProof/>
          <w:lang w:val="en-GB"/>
        </w:rPr>
        <w:t xml:space="preserve">eme? </w:t>
      </w:r>
    </w:p>
    <w:p w:rsidR="00913429" w:rsidRDefault="00913429">
      <w:pPr>
        <w:pStyle w:val="ListParagraph"/>
        <w:ind w:left="360"/>
        <w:jc w:val="both"/>
        <w:rPr>
          <w:b/>
          <w:noProof/>
          <w:lang w:val="en-US"/>
        </w:rPr>
      </w:pPr>
    </w:p>
    <w:p w:rsidR="00913429" w:rsidRDefault="00E143F0">
      <w:pPr>
        <w:pStyle w:val="ListParagraph"/>
        <w:ind w:left="360"/>
        <w:jc w:val="both"/>
        <w:rPr>
          <w:noProof/>
          <w:lang w:val="en-US"/>
        </w:rPr>
      </w:pPr>
      <w:r>
        <w:rPr>
          <w:noProof/>
          <w:lang w:val="en-US"/>
        </w:rPr>
        <w:t>As a company, we rely a lot on Common Criteria. Getting certifications in each member state is complicated, expensive and time consuming. On standard sides, we follow ISO standards. As for local ones, we have specific requirements by the military la</w:t>
      </w:r>
      <w:r>
        <w:rPr>
          <w:noProof/>
          <w:lang w:val="en-US"/>
        </w:rPr>
        <w:t xml:space="preserve">w for security devices. In Germany, we have some requirements from BSI. </w:t>
      </w:r>
    </w:p>
    <w:p w:rsidR="00913429" w:rsidRDefault="00913429">
      <w:pPr>
        <w:pStyle w:val="ListParagraph"/>
        <w:ind w:left="360"/>
        <w:jc w:val="both"/>
        <w:rPr>
          <w:noProof/>
          <w:lang w:val="en-US"/>
        </w:rPr>
      </w:pPr>
    </w:p>
    <w:p w:rsidR="00913429" w:rsidRDefault="00E143F0">
      <w:pPr>
        <w:pStyle w:val="ListParagraph"/>
        <w:numPr>
          <w:ilvl w:val="0"/>
          <w:numId w:val="162"/>
        </w:numPr>
        <w:jc w:val="both"/>
        <w:rPr>
          <w:noProof/>
          <w:lang w:val="en-US"/>
        </w:rPr>
      </w:pPr>
      <w:r>
        <w:rPr>
          <w:b/>
          <w:noProof/>
          <w:lang w:val="en-GB"/>
        </w:rPr>
        <w:t>In your opinion, would a European cybersecurity certification framework that support the mutual recognition of cybersecurity certification reduce costs for manufacturers of component</w:t>
      </w:r>
      <w:r>
        <w:rPr>
          <w:b/>
          <w:noProof/>
          <w:lang w:val="en-GB"/>
        </w:rPr>
        <w:t>s or service providers used in critical infrastructures? Can you please provide your view on other possible positive or negative aspects?</w:t>
      </w:r>
    </w:p>
    <w:p w:rsidR="00913429" w:rsidRDefault="00E143F0">
      <w:pPr>
        <w:pStyle w:val="ListParagraph"/>
        <w:ind w:left="360"/>
        <w:jc w:val="both"/>
        <w:rPr>
          <w:noProof/>
          <w:lang w:val="en-US"/>
        </w:rPr>
      </w:pPr>
      <w:r>
        <w:rPr>
          <w:noProof/>
          <w:lang w:val="en-US"/>
        </w:rPr>
        <w:br/>
        <w:t>I am not sure what the framework is exactly trying to achieve, a part for mutual recognition. There are many basic an</w:t>
      </w:r>
      <w:r>
        <w:rPr>
          <w:noProof/>
          <w:lang w:val="en-US"/>
        </w:rPr>
        <w:t>d common requirements at a national level but they can also be certified through the Common Criteria. I am not sure about what Europe can achieve for security issues. I am not against the Commission having a board and controlling the situation but I am a l</w:t>
      </w:r>
      <w:r>
        <w:rPr>
          <w:noProof/>
          <w:lang w:val="en-US"/>
        </w:rPr>
        <w:t xml:space="preserve">ittle bit skeptical about the results. There is a problem of fragmentation, especially since more European countries became skeptical on Common Criteria. There is a lot of work for ensuring security of products. </w:t>
      </w:r>
    </w:p>
    <w:p w:rsidR="00913429" w:rsidRDefault="00913429">
      <w:pPr>
        <w:pStyle w:val="ListParagraph"/>
        <w:ind w:left="360"/>
        <w:jc w:val="both"/>
        <w:rPr>
          <w:noProof/>
          <w:lang w:val="en-US"/>
        </w:rPr>
      </w:pPr>
    </w:p>
    <w:p w:rsidR="00913429" w:rsidRDefault="00E143F0">
      <w:pPr>
        <w:pStyle w:val="ListParagraph"/>
        <w:numPr>
          <w:ilvl w:val="0"/>
          <w:numId w:val="162"/>
        </w:numPr>
        <w:jc w:val="both"/>
        <w:rPr>
          <w:noProof/>
          <w:lang w:val="en-US"/>
        </w:rPr>
      </w:pPr>
      <w:r>
        <w:rPr>
          <w:b/>
          <w:noProof/>
          <w:lang w:val="en-GB"/>
        </w:rPr>
        <w:t>Do you know cases in the European Union wh</w:t>
      </w:r>
      <w:r>
        <w:rPr>
          <w:b/>
          <w:noProof/>
          <w:lang w:val="en-GB"/>
        </w:rPr>
        <w:t>ere some ICT components of critical infrastructures, even though already equipped with some security certifications accepted in some MS, are requested or recommended to get additional security certifications in order to access the market of other MS?</w:t>
      </w:r>
    </w:p>
    <w:p w:rsidR="00913429" w:rsidRDefault="00913429">
      <w:pPr>
        <w:pStyle w:val="ListParagraph"/>
        <w:ind w:left="360"/>
        <w:jc w:val="both"/>
        <w:rPr>
          <w:b/>
          <w:noProof/>
          <w:lang w:val="en-US"/>
        </w:rPr>
      </w:pPr>
    </w:p>
    <w:p w:rsidR="00913429" w:rsidRDefault="00E143F0">
      <w:pPr>
        <w:pStyle w:val="ListParagraph"/>
        <w:ind w:left="360"/>
        <w:jc w:val="both"/>
        <w:rPr>
          <w:noProof/>
          <w:lang w:val="en-US"/>
        </w:rPr>
      </w:pPr>
      <w:r>
        <w:rPr>
          <w:noProof/>
          <w:lang w:val="en-US"/>
        </w:rPr>
        <w:t>Yes, it depends on the type of product and the Member State. Even with the Common Criteria most of the time you have to do other tests because they cover only the basics. Furthermore, certain devices require specific extra certifications such as networking</w:t>
      </w:r>
      <w:r>
        <w:rPr>
          <w:noProof/>
          <w:lang w:val="en-US"/>
        </w:rPr>
        <w:t xml:space="preserve"> devices. At a national level, for instance, in Germany, for security devices, they have to cover by the Common Criteria but also they have to go through specific tests locally to prove that your devices are reliable. There are also type of products that n</w:t>
      </w:r>
      <w:r>
        <w:rPr>
          <w:noProof/>
          <w:lang w:val="en-US"/>
        </w:rPr>
        <w:t xml:space="preserve">eed to be certified against additional requirements for critical infrastructures in France made by ANSSI. </w:t>
      </w:r>
    </w:p>
    <w:p w:rsidR="00913429" w:rsidRDefault="00913429">
      <w:pPr>
        <w:pStyle w:val="ListParagraph"/>
        <w:ind w:left="360"/>
        <w:jc w:val="both"/>
        <w:rPr>
          <w:noProof/>
          <w:lang w:val="en-US"/>
        </w:rPr>
      </w:pPr>
    </w:p>
    <w:p w:rsidR="00913429" w:rsidRDefault="00E143F0">
      <w:pPr>
        <w:pStyle w:val="ListParagraph"/>
        <w:numPr>
          <w:ilvl w:val="0"/>
          <w:numId w:val="162"/>
        </w:numPr>
        <w:jc w:val="both"/>
        <w:rPr>
          <w:noProof/>
          <w:lang w:val="en-US"/>
        </w:rPr>
      </w:pPr>
      <w:r>
        <w:rPr>
          <w:b/>
          <w:noProof/>
          <w:lang w:val="en-GB"/>
        </w:rPr>
        <w:t>Can you provide us some information about the costs of certifications?</w:t>
      </w:r>
    </w:p>
    <w:p w:rsidR="00913429" w:rsidRDefault="00913429">
      <w:pPr>
        <w:pStyle w:val="ListParagraph"/>
        <w:ind w:left="360"/>
        <w:jc w:val="both"/>
        <w:rPr>
          <w:b/>
          <w:noProof/>
          <w:lang w:val="en-US"/>
        </w:rPr>
      </w:pPr>
    </w:p>
    <w:p w:rsidR="00913429" w:rsidRDefault="00E143F0">
      <w:pPr>
        <w:pStyle w:val="ListParagraph"/>
        <w:ind w:left="360"/>
        <w:jc w:val="both"/>
        <w:rPr>
          <w:noProof/>
          <w:lang w:val="en-US"/>
        </w:rPr>
      </w:pPr>
      <w:r>
        <w:rPr>
          <w:noProof/>
          <w:lang w:val="en-US"/>
        </w:rPr>
        <w:t>Yes, on Common Criteria alone, last year, we had 20 certifications and it co</w:t>
      </w:r>
      <w:r>
        <w:rPr>
          <w:noProof/>
          <w:lang w:val="en-US"/>
        </w:rPr>
        <w:t>sted us around several hundred thousand euros each, including the external resources, laboratories etc.</w:t>
      </w:r>
    </w:p>
    <w:p w:rsidR="00913429" w:rsidRDefault="00913429">
      <w:pPr>
        <w:pStyle w:val="ListParagraph"/>
        <w:ind w:left="360"/>
        <w:jc w:val="both"/>
        <w:rPr>
          <w:noProof/>
          <w:lang w:val="en-US"/>
        </w:rPr>
      </w:pPr>
    </w:p>
    <w:p w:rsidR="00913429" w:rsidRDefault="00E143F0">
      <w:pPr>
        <w:pStyle w:val="ListParagraph"/>
        <w:numPr>
          <w:ilvl w:val="0"/>
          <w:numId w:val="162"/>
        </w:numPr>
        <w:jc w:val="both"/>
        <w:rPr>
          <w:noProof/>
          <w:lang w:val="en-US"/>
        </w:rPr>
      </w:pPr>
      <w:r>
        <w:rPr>
          <w:b/>
          <w:noProof/>
          <w:lang w:val="en-GB"/>
        </w:rPr>
        <w:t>Do you think that these costs represent a market barrier for smaller and medium enterprises?</w:t>
      </w:r>
    </w:p>
    <w:p w:rsidR="00913429" w:rsidRDefault="00913429">
      <w:pPr>
        <w:pStyle w:val="ListParagraph"/>
        <w:ind w:left="360"/>
        <w:jc w:val="both"/>
        <w:rPr>
          <w:b/>
          <w:noProof/>
          <w:lang w:val="en-US"/>
        </w:rPr>
      </w:pPr>
    </w:p>
    <w:p w:rsidR="00913429" w:rsidRDefault="00E143F0">
      <w:pPr>
        <w:pStyle w:val="ListParagraph"/>
        <w:ind w:left="360"/>
        <w:jc w:val="both"/>
        <w:rPr>
          <w:noProof/>
          <w:lang w:val="en-US"/>
        </w:rPr>
      </w:pPr>
      <w:r>
        <w:rPr>
          <w:noProof/>
          <w:lang w:val="en-US"/>
        </w:rPr>
        <w:t>It depends on the type of the companies we are talking ab</w:t>
      </w:r>
      <w:r>
        <w:rPr>
          <w:noProof/>
          <w:lang w:val="en-US"/>
        </w:rPr>
        <w:t>out. If you are a Germany encryption company, you have Philips on the other side so you will probably have to look on other markets. Unless you decide to collaborate with the bigger Germany companies. Otherwise, you will probably struggle in finding German</w:t>
      </w:r>
      <w:r>
        <w:rPr>
          <w:noProof/>
          <w:lang w:val="en-US"/>
        </w:rPr>
        <w:t xml:space="preserve"> customers. From the costs perspective, if you are a smaller company and you are trying to enter on other MS’s markets you will struggle.</w:t>
      </w:r>
    </w:p>
    <w:p w:rsidR="00913429" w:rsidRDefault="00913429">
      <w:pPr>
        <w:pStyle w:val="ListParagraph"/>
        <w:ind w:left="360"/>
        <w:jc w:val="both"/>
        <w:rPr>
          <w:noProof/>
          <w:lang w:val="en-US"/>
        </w:rPr>
      </w:pPr>
    </w:p>
    <w:p w:rsidR="00913429" w:rsidRDefault="00E143F0">
      <w:pPr>
        <w:pStyle w:val="ListParagraph"/>
        <w:numPr>
          <w:ilvl w:val="0"/>
          <w:numId w:val="162"/>
        </w:numPr>
        <w:jc w:val="both"/>
        <w:rPr>
          <w:noProof/>
          <w:lang w:val="en-US"/>
        </w:rPr>
      </w:pPr>
      <w:r>
        <w:rPr>
          <w:b/>
          <w:noProof/>
          <w:lang w:val="en-GB"/>
        </w:rPr>
        <w:t>Do you think that operators of essential services have a sufficient level of information regarding the securities fea</w:t>
      </w:r>
      <w:r>
        <w:rPr>
          <w:b/>
          <w:noProof/>
          <w:lang w:val="en-GB"/>
        </w:rPr>
        <w:t>tures of the IT/OT products /services they use for the lifecycle of their infrastructures?</w:t>
      </w:r>
    </w:p>
    <w:p w:rsidR="00913429" w:rsidRDefault="00913429">
      <w:pPr>
        <w:pStyle w:val="ListParagraph"/>
        <w:ind w:left="360"/>
        <w:jc w:val="both"/>
        <w:rPr>
          <w:noProof/>
          <w:lang w:val="en-US"/>
        </w:rPr>
      </w:pPr>
    </w:p>
    <w:p w:rsidR="00913429" w:rsidRDefault="00E143F0">
      <w:pPr>
        <w:pStyle w:val="ListParagraph"/>
        <w:ind w:left="360"/>
        <w:jc w:val="both"/>
        <w:rPr>
          <w:noProof/>
          <w:lang w:val="en-US"/>
        </w:rPr>
      </w:pPr>
      <w:r>
        <w:rPr>
          <w:noProof/>
          <w:lang w:val="en-US"/>
        </w:rPr>
        <w:t>The biggest problem is the fragmentation. There are different kinds of certifications but they guarantee certain standards. Only at lower levels, there might be a p</w:t>
      </w:r>
      <w:r>
        <w:rPr>
          <w:noProof/>
          <w:lang w:val="en-US"/>
        </w:rPr>
        <w:t xml:space="preserve">roblem of lack of transparency on security measures. It is harder to understand if they are secure. </w:t>
      </w:r>
    </w:p>
    <w:p w:rsidR="00913429" w:rsidRDefault="00913429">
      <w:pPr>
        <w:pStyle w:val="ListParagraph"/>
        <w:ind w:left="360"/>
        <w:jc w:val="both"/>
        <w:rPr>
          <w:noProof/>
          <w:lang w:val="en-US"/>
        </w:rPr>
      </w:pPr>
    </w:p>
    <w:p w:rsidR="00913429" w:rsidRDefault="00E143F0">
      <w:pPr>
        <w:pStyle w:val="ListParagraph"/>
        <w:numPr>
          <w:ilvl w:val="0"/>
          <w:numId w:val="162"/>
        </w:numPr>
        <w:jc w:val="both"/>
        <w:rPr>
          <w:noProof/>
          <w:lang w:val="en-US"/>
        </w:rPr>
      </w:pPr>
      <w:r>
        <w:rPr>
          <w:b/>
          <w:noProof/>
          <w:lang w:val="en-GB"/>
        </w:rPr>
        <w:t xml:space="preserve">Is there any information or issue on this topic that you would talk about? </w:t>
      </w:r>
      <w:r>
        <w:rPr>
          <w:b/>
          <w:noProof/>
        </w:rPr>
        <w:t>Something concerning labelling?</w:t>
      </w:r>
    </w:p>
    <w:p w:rsidR="00913429" w:rsidRDefault="00913429">
      <w:pPr>
        <w:pStyle w:val="ListParagraph"/>
        <w:ind w:left="360"/>
        <w:jc w:val="both"/>
        <w:rPr>
          <w:noProof/>
          <w:lang w:val="en-US"/>
        </w:rPr>
      </w:pPr>
    </w:p>
    <w:p w:rsidR="00913429" w:rsidRDefault="00E143F0">
      <w:pPr>
        <w:pStyle w:val="ListParagraph"/>
        <w:ind w:left="360"/>
        <w:jc w:val="both"/>
        <w:rPr>
          <w:noProof/>
          <w:lang w:val="en-US"/>
        </w:rPr>
      </w:pPr>
      <w:r>
        <w:rPr>
          <w:noProof/>
          <w:lang w:val="en-US"/>
        </w:rPr>
        <w:t>Yes, actually there is. In our company, during</w:t>
      </w:r>
      <w:r>
        <w:rPr>
          <w:noProof/>
          <w:lang w:val="en-US"/>
        </w:rPr>
        <w:t xml:space="preserve"> the last year, we have been discussing on the idea of IT trust labels for devices. We think that it might be a more effective solution, especially for critical infrastructure. Instead of a common framework, labels might be more useful as a solution for th</w:t>
      </w:r>
      <w:r>
        <w:rPr>
          <w:noProof/>
          <w:lang w:val="en-US"/>
        </w:rPr>
        <w:t>e information asymmetry. Now, most of the end devices for Critical infrastructures are regulated but not checked. A label would be different from a Common Criteria because it would more of an insurance in order to enter the market. The best would be to hav</w:t>
      </w:r>
      <w:r>
        <w:rPr>
          <w:noProof/>
          <w:lang w:val="en-US"/>
        </w:rPr>
        <w:t xml:space="preserve">e both a label for the basic requirements and another one for the specific and higher ones. </w:t>
      </w:r>
    </w:p>
    <w:p w:rsidR="00913429" w:rsidRDefault="00E143F0">
      <w:pPr>
        <w:spacing w:after="0" w:line="240" w:lineRule="auto"/>
        <w:rPr>
          <w:noProof/>
          <w:lang w:val="en-US"/>
        </w:rPr>
      </w:pPr>
      <w:r>
        <w:rPr>
          <w:noProof/>
          <w:lang w:val="en-US"/>
        </w:rPr>
        <w:br w:type="page"/>
      </w:r>
    </w:p>
    <w:p w:rsidR="00913429" w:rsidRDefault="00E143F0">
      <w:pPr>
        <w:jc w:val="right"/>
        <w:rPr>
          <w:rFonts w:eastAsia="Times New Roman" w:cs="Tahoma"/>
          <w:b/>
          <w:i/>
          <w:noProof/>
          <w:color w:val="000000" w:themeColor="text1"/>
          <w:sz w:val="28"/>
          <w:szCs w:val="26"/>
          <w:lang w:val="en-US" w:eastAsia="it-IT"/>
        </w:rPr>
      </w:pPr>
      <w:r>
        <w:rPr>
          <w:rFonts w:eastAsia="Times New Roman" w:cs="Tahoma"/>
          <w:b/>
          <w:i/>
          <w:noProof/>
          <w:color w:val="000000" w:themeColor="text1"/>
          <w:sz w:val="28"/>
          <w:szCs w:val="26"/>
          <w:lang w:val="en-US" w:eastAsia="it-IT"/>
        </w:rPr>
        <w:t>July 24</w:t>
      </w:r>
      <w:r>
        <w:rPr>
          <w:rFonts w:eastAsia="Times New Roman" w:cs="Tahoma"/>
          <w:b/>
          <w:i/>
          <w:noProof/>
          <w:color w:val="000000" w:themeColor="text1"/>
          <w:sz w:val="28"/>
          <w:szCs w:val="26"/>
          <w:vertAlign w:val="superscript"/>
          <w:lang w:val="en-US" w:eastAsia="it-IT"/>
        </w:rPr>
        <w:t>th</w:t>
      </w:r>
      <w:r>
        <w:rPr>
          <w:rFonts w:eastAsia="Times New Roman" w:cs="Tahoma"/>
          <w:b/>
          <w:i/>
          <w:noProof/>
          <w:color w:val="000000" w:themeColor="text1"/>
          <w:sz w:val="28"/>
          <w:szCs w:val="26"/>
          <w:lang w:val="en-US" w:eastAsia="it-IT"/>
        </w:rPr>
        <w:t>, 2017</w:t>
      </w:r>
    </w:p>
    <w:p w:rsidR="00913429" w:rsidRDefault="00E143F0">
      <w:pPr>
        <w:pStyle w:val="Heading4"/>
        <w:spacing w:after="240"/>
        <w:rPr>
          <w:noProof/>
          <w:lang w:val="en-US"/>
        </w:rPr>
      </w:pPr>
      <w:r>
        <w:rPr>
          <w:noProof/>
          <w:lang w:val="en-US"/>
        </w:rPr>
        <w:t xml:space="preserve">Interview results from representative of a European Association for Forwarding, Transport, Logistics and Custom Services </w:t>
      </w:r>
    </w:p>
    <w:p w:rsidR="00913429" w:rsidRDefault="00E143F0">
      <w:pPr>
        <w:pStyle w:val="ListParagraph"/>
        <w:numPr>
          <w:ilvl w:val="0"/>
          <w:numId w:val="164"/>
        </w:numPr>
        <w:jc w:val="both"/>
        <w:rPr>
          <w:noProof/>
          <w:lang w:val="en-US"/>
        </w:rPr>
      </w:pPr>
      <w:r>
        <w:rPr>
          <w:b/>
          <w:noProof/>
          <w:lang w:val="en-GB"/>
        </w:rPr>
        <w:t xml:space="preserve">Based on your </w:t>
      </w:r>
      <w:r>
        <w:rPr>
          <w:b/>
          <w:noProof/>
          <w:lang w:val="en-GB"/>
        </w:rPr>
        <w:t>knowledge, what are the main advantages, if any, of adopting security certified ICT/OT components in critical infrastructures? Please consider possible advantages also in the field of attack prevention and/or resilience</w:t>
      </w:r>
    </w:p>
    <w:p w:rsidR="00913429" w:rsidRDefault="00913429">
      <w:pPr>
        <w:pStyle w:val="ListParagraph"/>
        <w:ind w:left="360"/>
        <w:jc w:val="both"/>
        <w:rPr>
          <w:noProof/>
          <w:lang w:val="en-US"/>
        </w:rPr>
      </w:pPr>
    </w:p>
    <w:p w:rsidR="00913429" w:rsidRDefault="00E143F0">
      <w:pPr>
        <w:pStyle w:val="ListParagraph"/>
        <w:ind w:left="360"/>
        <w:jc w:val="both"/>
        <w:rPr>
          <w:noProof/>
          <w:lang w:val="en-US"/>
        </w:rPr>
      </w:pPr>
      <w:r>
        <w:rPr>
          <w:noProof/>
          <w:lang w:val="en-US"/>
        </w:rPr>
        <w:t xml:space="preserve"> Yes, there are many. When it comes</w:t>
      </w:r>
      <w:r>
        <w:rPr>
          <w:noProof/>
          <w:lang w:val="en-US"/>
        </w:rPr>
        <w:t xml:space="preserve"> to security equipment, especially Air Cargo, it is important to have secured components. Security is also very important for screen technology and other IT components as well. A standard security certification of the components is always a good thing. It </w:t>
      </w:r>
      <w:r>
        <w:rPr>
          <w:noProof/>
          <w:lang w:val="en-US"/>
        </w:rPr>
        <w:t>something that should now exist on a general basis in cargo screen technology. We support in fact a harmonization of the various markets on security standards and certifications. Our only concern is whether logistics is considered a critical infrastructure</w:t>
      </w:r>
      <w:r>
        <w:rPr>
          <w:noProof/>
          <w:lang w:val="en-US"/>
        </w:rPr>
        <w:t>. Germany considered it as such and it is the most advanced on this issue. However, not all the Member States consider it as such, because in case of a problem with a particular company, you can always ask to another one. However, this point of view does n</w:t>
      </w:r>
      <w:r>
        <w:rPr>
          <w:noProof/>
          <w:lang w:val="en-US"/>
        </w:rPr>
        <w:t>ot consider the possibility of a larger cyber-attack, which goes across the whole industry. Not the whole logistic sector should be considered as a critical infrastructure, but there are for sure certain structures that should. Airports are a clear example</w:t>
      </w:r>
      <w:r>
        <w:rPr>
          <w:noProof/>
          <w:lang w:val="en-US"/>
        </w:rPr>
        <w:t xml:space="preserve"> of this. Furthermore, another entity that we need to deal with, for security standards, are the governments. </w:t>
      </w:r>
    </w:p>
    <w:p w:rsidR="00913429" w:rsidRDefault="00913429">
      <w:pPr>
        <w:pStyle w:val="ListParagraph"/>
        <w:ind w:left="360"/>
        <w:jc w:val="both"/>
        <w:rPr>
          <w:noProof/>
          <w:lang w:val="en-US"/>
        </w:rPr>
      </w:pPr>
    </w:p>
    <w:p w:rsidR="00913429" w:rsidRDefault="00E143F0">
      <w:pPr>
        <w:pStyle w:val="ListParagraph"/>
        <w:numPr>
          <w:ilvl w:val="0"/>
          <w:numId w:val="164"/>
        </w:numPr>
        <w:jc w:val="both"/>
        <w:rPr>
          <w:noProof/>
          <w:lang w:val="en-US"/>
        </w:rPr>
      </w:pPr>
      <w:r>
        <w:rPr>
          <w:b/>
          <w:noProof/>
          <w:lang w:val="en-GB"/>
        </w:rPr>
        <w:t xml:space="preserve">Do you know ICT products/components/service deployed in critical infrastructures require mandatory cybersecurity certification? </w:t>
      </w:r>
      <w:r>
        <w:rPr>
          <w:b/>
          <w:noProof/>
        </w:rPr>
        <w:t xml:space="preserve">Do you know </w:t>
      </w:r>
      <w:r>
        <w:rPr>
          <w:b/>
          <w:noProof/>
        </w:rPr>
        <w:t>European National Certificaton Scheme?</w:t>
      </w:r>
    </w:p>
    <w:p w:rsidR="00913429" w:rsidRDefault="00913429">
      <w:pPr>
        <w:pStyle w:val="ListParagraph"/>
        <w:ind w:left="360"/>
        <w:jc w:val="both"/>
        <w:rPr>
          <w:noProof/>
          <w:lang w:val="en-US"/>
        </w:rPr>
      </w:pPr>
    </w:p>
    <w:p w:rsidR="00913429" w:rsidRDefault="00E143F0">
      <w:pPr>
        <w:pStyle w:val="ListParagraph"/>
        <w:ind w:left="360"/>
        <w:jc w:val="both"/>
        <w:rPr>
          <w:noProof/>
          <w:lang w:val="en-US"/>
        </w:rPr>
      </w:pPr>
      <w:r>
        <w:rPr>
          <w:noProof/>
          <w:lang w:val="en-US"/>
        </w:rPr>
        <w:t xml:space="preserve">No, no that I know of. There might be some, but from the discussion we had on cybersecurity, it never came out.  </w:t>
      </w:r>
    </w:p>
    <w:p w:rsidR="00913429" w:rsidRDefault="00913429">
      <w:pPr>
        <w:pStyle w:val="ListParagraph"/>
        <w:ind w:left="360"/>
        <w:jc w:val="both"/>
        <w:rPr>
          <w:noProof/>
          <w:lang w:val="en-US"/>
        </w:rPr>
      </w:pPr>
    </w:p>
    <w:p w:rsidR="00913429" w:rsidRDefault="00E143F0">
      <w:pPr>
        <w:pStyle w:val="ListParagraph"/>
        <w:numPr>
          <w:ilvl w:val="0"/>
          <w:numId w:val="164"/>
        </w:numPr>
        <w:jc w:val="both"/>
        <w:rPr>
          <w:noProof/>
          <w:lang w:val="en-US"/>
        </w:rPr>
      </w:pPr>
      <w:r>
        <w:rPr>
          <w:b/>
          <w:noProof/>
          <w:lang w:val="en-GB"/>
        </w:rPr>
        <w:t>Before you mentioned the German approach, do you have any examples of certifications or any experienc</w:t>
      </w:r>
      <w:r>
        <w:rPr>
          <w:b/>
          <w:noProof/>
          <w:lang w:val="en-GB"/>
        </w:rPr>
        <w:t>e related to it? Do you know costs and/or procedures that it might require?</w:t>
      </w:r>
    </w:p>
    <w:p w:rsidR="00913429" w:rsidRDefault="00913429">
      <w:pPr>
        <w:pStyle w:val="ListParagraph"/>
        <w:ind w:left="360"/>
        <w:jc w:val="both"/>
        <w:rPr>
          <w:noProof/>
          <w:lang w:val="en-US"/>
        </w:rPr>
      </w:pPr>
    </w:p>
    <w:p w:rsidR="00913429" w:rsidRDefault="00E143F0">
      <w:pPr>
        <w:pStyle w:val="ListParagraph"/>
        <w:ind w:left="360"/>
        <w:jc w:val="both"/>
        <w:rPr>
          <w:noProof/>
          <w:lang w:val="en-US"/>
        </w:rPr>
      </w:pPr>
      <w:r>
        <w:rPr>
          <w:noProof/>
          <w:lang w:val="en-US"/>
        </w:rPr>
        <w:t xml:space="preserve">No, I do not, unfortunately. </w:t>
      </w:r>
    </w:p>
    <w:p w:rsidR="00913429" w:rsidRDefault="00913429">
      <w:pPr>
        <w:pStyle w:val="ListParagraph"/>
        <w:ind w:left="360"/>
        <w:jc w:val="both"/>
        <w:rPr>
          <w:noProof/>
          <w:lang w:val="en-US"/>
        </w:rPr>
      </w:pPr>
    </w:p>
    <w:p w:rsidR="00913429" w:rsidRDefault="00E143F0">
      <w:pPr>
        <w:pStyle w:val="ListParagraph"/>
        <w:numPr>
          <w:ilvl w:val="0"/>
          <w:numId w:val="164"/>
        </w:numPr>
        <w:jc w:val="both"/>
        <w:rPr>
          <w:noProof/>
          <w:lang w:val="en-US"/>
        </w:rPr>
      </w:pPr>
      <w:r>
        <w:rPr>
          <w:b/>
          <w:noProof/>
          <w:lang w:val="en-GB"/>
        </w:rPr>
        <w:t>In your opinion, would a European cybersecurity certification framework that support the mutual recognition of cybersecurity certification reduce co</w:t>
      </w:r>
      <w:r>
        <w:rPr>
          <w:b/>
          <w:noProof/>
          <w:lang w:val="en-GB"/>
        </w:rPr>
        <w:t>sts for manufacturers of components or service providers used in critical infrastructures? Can you please provide your view on other possible positive or negative aspects?</w:t>
      </w:r>
    </w:p>
    <w:p w:rsidR="00913429" w:rsidRDefault="00913429">
      <w:pPr>
        <w:pStyle w:val="ListParagraph"/>
        <w:ind w:left="360"/>
        <w:jc w:val="both"/>
        <w:rPr>
          <w:b/>
          <w:noProof/>
          <w:lang w:val="en-US"/>
        </w:rPr>
      </w:pPr>
    </w:p>
    <w:p w:rsidR="00913429" w:rsidRDefault="00E143F0">
      <w:pPr>
        <w:pStyle w:val="ListParagraph"/>
        <w:ind w:left="360"/>
        <w:jc w:val="both"/>
        <w:rPr>
          <w:noProof/>
          <w:lang w:val="en-US"/>
        </w:rPr>
      </w:pPr>
      <w:r>
        <w:rPr>
          <w:noProof/>
          <w:lang w:val="en-US"/>
        </w:rPr>
        <w:t>Yes, I think an EU certification might have a positive effect. We support this kind</w:t>
      </w:r>
      <w:r>
        <w:rPr>
          <w:noProof/>
          <w:lang w:val="en-US"/>
        </w:rPr>
        <w:t xml:space="preserve"> of policies because we believe that is always preferable to have a common European Scheme. We believe so because it would not only increase the security levels of all Member States but it would also be good for the market. It has to be made properly howev</w:t>
      </w:r>
      <w:r>
        <w:rPr>
          <w:noProof/>
          <w:lang w:val="en-US"/>
        </w:rPr>
        <w:t xml:space="preserve">er. The certification need to be designed based on the necessities of the industries and the member states. </w:t>
      </w:r>
    </w:p>
    <w:p w:rsidR="00913429" w:rsidRDefault="00913429">
      <w:pPr>
        <w:pStyle w:val="ListParagraph"/>
        <w:ind w:left="360"/>
        <w:jc w:val="both"/>
        <w:rPr>
          <w:noProof/>
          <w:lang w:val="en-US"/>
        </w:rPr>
      </w:pPr>
    </w:p>
    <w:p w:rsidR="00913429" w:rsidRDefault="00E143F0">
      <w:pPr>
        <w:pStyle w:val="ListParagraph"/>
        <w:numPr>
          <w:ilvl w:val="0"/>
          <w:numId w:val="164"/>
        </w:numPr>
        <w:jc w:val="both"/>
        <w:rPr>
          <w:b/>
          <w:noProof/>
          <w:lang w:val="en-US"/>
        </w:rPr>
      </w:pPr>
      <w:r>
        <w:rPr>
          <w:b/>
          <w:noProof/>
          <w:lang w:val="en-US"/>
        </w:rPr>
        <w:t xml:space="preserve">Do you think that an EU wide Certification Scheme could brings advantages also for smaller and medium companies reducing market barrier? </w:t>
      </w:r>
    </w:p>
    <w:p w:rsidR="00913429" w:rsidRDefault="00913429">
      <w:pPr>
        <w:pStyle w:val="ListParagraph"/>
        <w:ind w:left="360"/>
        <w:jc w:val="both"/>
        <w:rPr>
          <w:b/>
          <w:noProof/>
          <w:lang w:val="en-US"/>
        </w:rPr>
      </w:pPr>
    </w:p>
    <w:p w:rsidR="00913429" w:rsidRDefault="00E143F0">
      <w:pPr>
        <w:pStyle w:val="ListParagraph"/>
        <w:ind w:left="360"/>
        <w:jc w:val="both"/>
        <w:rPr>
          <w:noProof/>
          <w:lang w:val="en-US"/>
        </w:rPr>
      </w:pPr>
      <w:r>
        <w:rPr>
          <w:noProof/>
          <w:lang w:val="en-US"/>
        </w:rPr>
        <w:t>Yes, su</w:t>
      </w:r>
      <w:r>
        <w:rPr>
          <w:noProof/>
          <w:lang w:val="en-US"/>
        </w:rPr>
        <w:t xml:space="preserve">re. Being able to buy certified products from every member state would help even smaller and medium companies to enter the market. You would be able to buy different components for your network more easily. It is important however that the requirements of </w:t>
      </w:r>
      <w:r>
        <w:rPr>
          <w:noProof/>
          <w:lang w:val="en-US"/>
        </w:rPr>
        <w:t>the certification are appropriate. It would be helpful also because on the European market the majority of the enterprises are SMEs.</w:t>
      </w:r>
    </w:p>
    <w:p w:rsidR="00913429" w:rsidRDefault="00913429">
      <w:pPr>
        <w:pStyle w:val="ListParagraph"/>
        <w:ind w:left="360"/>
        <w:jc w:val="both"/>
        <w:rPr>
          <w:b/>
          <w:noProof/>
          <w:lang w:val="en-US"/>
        </w:rPr>
      </w:pPr>
    </w:p>
    <w:p w:rsidR="00913429" w:rsidRDefault="00E143F0">
      <w:pPr>
        <w:pStyle w:val="ListParagraph"/>
        <w:numPr>
          <w:ilvl w:val="0"/>
          <w:numId w:val="164"/>
        </w:numPr>
        <w:jc w:val="both"/>
        <w:rPr>
          <w:b/>
          <w:noProof/>
          <w:lang w:val="en-US"/>
        </w:rPr>
      </w:pPr>
      <w:r>
        <w:rPr>
          <w:b/>
          <w:noProof/>
          <w:lang w:val="en-US"/>
        </w:rPr>
        <w:t>Based on your experience, do you think that critical infrastructures are at greatest risk because of outdated security pra</w:t>
      </w:r>
      <w:r>
        <w:rPr>
          <w:b/>
          <w:noProof/>
          <w:lang w:val="en-US"/>
        </w:rPr>
        <w:t>ctices / policies and limited regulatory oversight?</w:t>
      </w:r>
    </w:p>
    <w:p w:rsidR="00913429" w:rsidRDefault="00913429">
      <w:pPr>
        <w:pStyle w:val="ListParagraph"/>
        <w:ind w:left="360"/>
        <w:jc w:val="both"/>
        <w:rPr>
          <w:b/>
          <w:noProof/>
          <w:lang w:val="en-US"/>
        </w:rPr>
      </w:pPr>
    </w:p>
    <w:p w:rsidR="00913429" w:rsidRDefault="00E143F0">
      <w:pPr>
        <w:pStyle w:val="ListParagraph"/>
        <w:ind w:left="360"/>
        <w:jc w:val="both"/>
        <w:rPr>
          <w:noProof/>
          <w:lang w:val="en-US"/>
        </w:rPr>
      </w:pPr>
      <w:r>
        <w:rPr>
          <w:noProof/>
          <w:lang w:val="en-US"/>
        </w:rPr>
        <w:t>We had a lot of discussion about this issue with the European Commission on the current cybersecurity situation and the latest cyber-attacks. As it turned out, most of the companies that had been attacke</w:t>
      </w:r>
      <w:r>
        <w:rPr>
          <w:noProof/>
          <w:lang w:val="en-US"/>
        </w:rPr>
        <w:t>d were underprepared and there was not enough information sharing between them and on what they needed to do. It is extremely important to have updated practices, update processes and updated technologies. This should not happen, once the cyber-attack took</w:t>
      </w:r>
      <w:r>
        <w:rPr>
          <w:noProof/>
          <w:lang w:val="en-US"/>
        </w:rPr>
        <w:t xml:space="preserve"> place. Operators need to act in advance to prevent them and share information. We think that standardizing security will bring down the costs that could be invested elsewhere. Mandating certain practices will not be the best solution because security requ</w:t>
      </w:r>
      <w:r>
        <w:rPr>
          <w:noProof/>
          <w:lang w:val="en-US"/>
        </w:rPr>
        <w:t xml:space="preserve">ires continuous updates. Rather than prescribing procedures, it would be better to have a constant evaluation of risk assessments through a security check approach. </w:t>
      </w:r>
    </w:p>
    <w:p w:rsidR="00913429" w:rsidRDefault="00913429">
      <w:pPr>
        <w:pStyle w:val="ListParagraph"/>
        <w:ind w:left="360"/>
        <w:jc w:val="both"/>
        <w:rPr>
          <w:b/>
          <w:noProof/>
          <w:lang w:val="en-US"/>
        </w:rPr>
      </w:pPr>
    </w:p>
    <w:p w:rsidR="00913429" w:rsidRDefault="00E143F0">
      <w:pPr>
        <w:pStyle w:val="ListParagraph"/>
        <w:numPr>
          <w:ilvl w:val="0"/>
          <w:numId w:val="164"/>
        </w:numPr>
        <w:jc w:val="both"/>
        <w:rPr>
          <w:b/>
          <w:noProof/>
          <w:lang w:val="en-GB"/>
        </w:rPr>
      </w:pPr>
      <w:r>
        <w:rPr>
          <w:rFonts w:eastAsia="Arial"/>
          <w:b/>
          <w:noProof/>
          <w:lang w:val="en-GB"/>
        </w:rPr>
        <w:t xml:space="preserve">Do you think that certification and labelling of ICT products/services may contribute to </w:t>
      </w:r>
      <w:r>
        <w:rPr>
          <w:rFonts w:eastAsia="Arial"/>
          <w:b/>
          <w:noProof/>
          <w:lang w:val="en-GB"/>
        </w:rPr>
        <w:t>enhance the level of assurance of critical infrastructures? Do you think that certification and labelling of ICT products/services may contribute to enhance the level of information?</w:t>
      </w:r>
    </w:p>
    <w:p w:rsidR="00913429" w:rsidRDefault="00913429">
      <w:pPr>
        <w:pStyle w:val="ListParagraph"/>
        <w:ind w:left="360"/>
        <w:jc w:val="both"/>
        <w:rPr>
          <w:b/>
          <w:noProof/>
          <w:lang w:val="en-GB"/>
        </w:rPr>
      </w:pPr>
    </w:p>
    <w:p w:rsidR="00913429" w:rsidRDefault="00E143F0">
      <w:pPr>
        <w:pStyle w:val="ListParagraph"/>
        <w:ind w:left="360"/>
        <w:jc w:val="both"/>
        <w:rPr>
          <w:noProof/>
          <w:lang w:val="en-US"/>
        </w:rPr>
      </w:pPr>
      <w:r>
        <w:rPr>
          <w:noProof/>
          <w:lang w:val="en-US"/>
        </w:rPr>
        <w:t xml:space="preserve">Yes, sure. It would be more effective. </w:t>
      </w:r>
    </w:p>
    <w:p w:rsidR="00913429" w:rsidRDefault="00913429">
      <w:pPr>
        <w:pStyle w:val="ListParagraph"/>
        <w:ind w:left="360"/>
        <w:jc w:val="both"/>
        <w:rPr>
          <w:b/>
          <w:noProof/>
          <w:lang w:val="en-GB"/>
        </w:rPr>
      </w:pPr>
    </w:p>
    <w:p w:rsidR="00913429" w:rsidRDefault="00E143F0">
      <w:pPr>
        <w:pStyle w:val="ListParagraph"/>
        <w:numPr>
          <w:ilvl w:val="0"/>
          <w:numId w:val="164"/>
        </w:numPr>
        <w:jc w:val="both"/>
        <w:rPr>
          <w:b/>
          <w:noProof/>
          <w:lang w:val="en-GB"/>
        </w:rPr>
      </w:pPr>
      <w:r>
        <w:rPr>
          <w:b/>
          <w:noProof/>
          <w:lang w:val="en-GB"/>
        </w:rPr>
        <w:t xml:space="preserve">Do you think that operators of </w:t>
      </w:r>
      <w:r>
        <w:rPr>
          <w:b/>
          <w:noProof/>
          <w:lang w:val="en-GB"/>
        </w:rPr>
        <w:t xml:space="preserve">essential services have a sufficient level of information regarding the securities features of the IT/OT products /services they use for the lifecycle of their infrastructures? </w:t>
      </w:r>
    </w:p>
    <w:p w:rsidR="00913429" w:rsidRDefault="00913429">
      <w:pPr>
        <w:pStyle w:val="ListParagraph"/>
        <w:ind w:left="360"/>
        <w:jc w:val="both"/>
        <w:rPr>
          <w:b/>
          <w:noProof/>
          <w:lang w:val="en-GB"/>
        </w:rPr>
      </w:pPr>
    </w:p>
    <w:p w:rsidR="00913429" w:rsidRDefault="00E143F0">
      <w:pPr>
        <w:pStyle w:val="ListParagraph"/>
        <w:ind w:left="360"/>
        <w:jc w:val="both"/>
        <w:rPr>
          <w:noProof/>
          <w:lang w:val="en-US"/>
        </w:rPr>
      </w:pPr>
      <w:r>
        <w:rPr>
          <w:noProof/>
          <w:lang w:val="en-US"/>
        </w:rPr>
        <w:t>Yes, I think that in general they do. It probably depends on individual experiences but I think that they receive the basic security information on the component. I think that the situation could still be improves. Making the information more available and</w:t>
      </w:r>
      <w:r>
        <w:rPr>
          <w:noProof/>
          <w:lang w:val="en-US"/>
        </w:rPr>
        <w:t xml:space="preserve"> clearer would definitely help the operators and avoid certain situations. </w:t>
      </w:r>
    </w:p>
    <w:p w:rsidR="00913429" w:rsidRDefault="00913429">
      <w:pPr>
        <w:pStyle w:val="ListParagraph"/>
        <w:ind w:left="360"/>
        <w:jc w:val="both"/>
        <w:rPr>
          <w:b/>
          <w:noProof/>
          <w:lang w:val="en-GB"/>
        </w:rPr>
      </w:pPr>
    </w:p>
    <w:p w:rsidR="00913429" w:rsidRDefault="00E143F0">
      <w:pPr>
        <w:pStyle w:val="ListParagraph"/>
        <w:numPr>
          <w:ilvl w:val="0"/>
          <w:numId w:val="164"/>
        </w:numPr>
        <w:jc w:val="both"/>
        <w:rPr>
          <w:noProof/>
          <w:lang w:val="en-US"/>
        </w:rPr>
      </w:pPr>
      <w:r>
        <w:rPr>
          <w:b/>
          <w:noProof/>
          <w:lang w:val="en-US"/>
        </w:rPr>
        <w:t>Do you think that this approach of mutual recognition in Europe would have advantages for the different stakeholders of the market? Do you think that it might have other benefits?</w:t>
      </w:r>
    </w:p>
    <w:p w:rsidR="00913429" w:rsidRDefault="00913429">
      <w:pPr>
        <w:pStyle w:val="ListParagraph"/>
        <w:ind w:left="360"/>
        <w:jc w:val="both"/>
        <w:rPr>
          <w:noProof/>
          <w:lang w:val="en-US"/>
        </w:rPr>
      </w:pPr>
    </w:p>
    <w:p w:rsidR="00913429" w:rsidRDefault="00E143F0">
      <w:pPr>
        <w:pStyle w:val="ListParagraph"/>
        <w:ind w:left="360"/>
        <w:jc w:val="both"/>
        <w:rPr>
          <w:noProof/>
          <w:lang w:val="en-US"/>
        </w:rPr>
      </w:pPr>
      <w:r>
        <w:rPr>
          <w:noProof/>
          <w:lang w:val="en-US"/>
        </w:rPr>
        <w:t>Yes, I think it would be a good solution. It would make the security easier to obtain. The mutually recognition across EU might even have positive effects globally. I think that it would be good if the risk agenda of the EU could attract other non-Europe</w:t>
      </w:r>
      <w:r>
        <w:rPr>
          <w:noProof/>
          <w:lang w:val="en-US"/>
        </w:rPr>
        <w:t>an countries to join the mutual recognition. States like US and Canada and many others might be interested in the future to join such mutual recognition.</w:t>
      </w:r>
    </w:p>
    <w:p w:rsidR="00913429" w:rsidRDefault="00E143F0">
      <w:pPr>
        <w:rPr>
          <w:noProof/>
          <w:lang w:val="en-US"/>
        </w:rPr>
      </w:pPr>
      <w:r>
        <w:rPr>
          <w:noProof/>
          <w:lang w:val="en-US"/>
        </w:rPr>
        <w:br w:type="page"/>
      </w:r>
    </w:p>
    <w:p w:rsidR="00913429" w:rsidRDefault="00E143F0">
      <w:pPr>
        <w:jc w:val="right"/>
        <w:rPr>
          <w:rFonts w:eastAsia="Times New Roman" w:cs="Tahoma"/>
          <w:b/>
          <w:i/>
          <w:noProof/>
          <w:color w:val="000000" w:themeColor="text1"/>
          <w:sz w:val="28"/>
          <w:szCs w:val="26"/>
          <w:lang w:val="en-US" w:eastAsia="it-IT"/>
        </w:rPr>
      </w:pPr>
      <w:r>
        <w:rPr>
          <w:rFonts w:eastAsia="Times New Roman" w:cs="Tahoma"/>
          <w:b/>
          <w:i/>
          <w:noProof/>
          <w:color w:val="000000" w:themeColor="text1"/>
          <w:sz w:val="28"/>
          <w:szCs w:val="26"/>
          <w:lang w:val="en-US" w:eastAsia="it-IT"/>
        </w:rPr>
        <w:t>July 25</w:t>
      </w:r>
      <w:r>
        <w:rPr>
          <w:rFonts w:eastAsia="Times New Roman" w:cs="Tahoma"/>
          <w:b/>
          <w:i/>
          <w:noProof/>
          <w:color w:val="000000" w:themeColor="text1"/>
          <w:sz w:val="28"/>
          <w:szCs w:val="26"/>
          <w:vertAlign w:val="superscript"/>
          <w:lang w:val="en-US" w:eastAsia="it-IT"/>
        </w:rPr>
        <w:t>th</w:t>
      </w:r>
      <w:r>
        <w:rPr>
          <w:rFonts w:eastAsia="Times New Roman" w:cs="Tahoma"/>
          <w:b/>
          <w:i/>
          <w:noProof/>
          <w:color w:val="000000" w:themeColor="text1"/>
          <w:sz w:val="28"/>
          <w:szCs w:val="26"/>
          <w:lang w:val="en-US" w:eastAsia="it-IT"/>
        </w:rPr>
        <w:t>, 2017</w:t>
      </w:r>
    </w:p>
    <w:p w:rsidR="00913429" w:rsidRDefault="00E143F0">
      <w:pPr>
        <w:pStyle w:val="Heading4"/>
        <w:spacing w:after="240"/>
        <w:rPr>
          <w:noProof/>
          <w:lang w:val="en-US"/>
        </w:rPr>
      </w:pPr>
      <w:r>
        <w:rPr>
          <w:noProof/>
          <w:lang w:val="en-US"/>
        </w:rPr>
        <w:t>Interview results from representative of a European Bank</w:t>
      </w:r>
    </w:p>
    <w:p w:rsidR="00913429" w:rsidRDefault="00E143F0">
      <w:pPr>
        <w:pStyle w:val="ListParagraph"/>
        <w:numPr>
          <w:ilvl w:val="0"/>
          <w:numId w:val="170"/>
        </w:numPr>
        <w:jc w:val="both"/>
        <w:rPr>
          <w:b/>
          <w:noProof/>
          <w:lang w:val="en-GB"/>
        </w:rPr>
      </w:pPr>
      <w:r>
        <w:rPr>
          <w:b/>
          <w:noProof/>
          <w:lang w:val="en-GB"/>
        </w:rPr>
        <w:t xml:space="preserve">Based on your knowledge, </w:t>
      </w:r>
      <w:r>
        <w:rPr>
          <w:b/>
          <w:noProof/>
          <w:lang w:val="en-GB"/>
        </w:rPr>
        <w:t>what are the main advantages, if any, of adopting security certified ICT/OT components in critical infrastructures? Please consider possible advantages also in the field of attack prevention and/or resilience</w:t>
      </w:r>
    </w:p>
    <w:p w:rsidR="00913429" w:rsidRDefault="00913429">
      <w:pPr>
        <w:pStyle w:val="ListParagraph"/>
        <w:ind w:left="360"/>
        <w:jc w:val="both"/>
        <w:rPr>
          <w:b/>
          <w:noProof/>
          <w:lang w:val="en-GB"/>
        </w:rPr>
      </w:pPr>
    </w:p>
    <w:p w:rsidR="00913429" w:rsidRDefault="00E143F0">
      <w:pPr>
        <w:pStyle w:val="ListParagraph"/>
        <w:ind w:left="360"/>
        <w:jc w:val="both"/>
        <w:rPr>
          <w:noProof/>
          <w:lang w:val="en-GB"/>
        </w:rPr>
      </w:pPr>
      <w:r>
        <w:rPr>
          <w:noProof/>
          <w:lang w:val="en-GB"/>
        </w:rPr>
        <w:t xml:space="preserve">Yes, sure. There are for sure some advantages </w:t>
      </w:r>
      <w:r>
        <w:rPr>
          <w:noProof/>
          <w:lang w:val="en-GB"/>
        </w:rPr>
        <w:t>of using security certified components. I think that a certification adds a lot of value. For instance, I use HSM devices (Hardware Security Modules) that fit with security standards compliance. It allowed us to store critical data on a secure device. It’s</w:t>
      </w:r>
      <w:r>
        <w:rPr>
          <w:noProof/>
          <w:lang w:val="en-GB"/>
        </w:rPr>
        <w:t xml:space="preserve"> mainly from compliance assessment that I get advantages. With compliance, it doesn’t always mean that is more  secure than other devices though.</w:t>
      </w:r>
    </w:p>
    <w:p w:rsidR="00913429" w:rsidRDefault="00913429">
      <w:pPr>
        <w:pStyle w:val="ListParagraph"/>
        <w:ind w:left="360"/>
        <w:jc w:val="both"/>
        <w:rPr>
          <w:noProof/>
          <w:lang w:val="en-GB"/>
        </w:rPr>
      </w:pPr>
    </w:p>
    <w:p w:rsidR="00913429" w:rsidRDefault="00E143F0">
      <w:pPr>
        <w:pStyle w:val="ListParagraph"/>
        <w:numPr>
          <w:ilvl w:val="0"/>
          <w:numId w:val="171"/>
        </w:numPr>
        <w:ind w:left="360"/>
        <w:jc w:val="both"/>
        <w:rPr>
          <w:b/>
          <w:noProof/>
          <w:lang w:val="en-GB"/>
        </w:rPr>
      </w:pPr>
      <w:r>
        <w:rPr>
          <w:b/>
          <w:noProof/>
          <w:lang w:val="en-GB"/>
        </w:rPr>
        <w:t>Do you know whether the critical infrastructure operated by you adopts some ICT/OT products which come with s</w:t>
      </w:r>
      <w:r>
        <w:rPr>
          <w:b/>
          <w:noProof/>
          <w:lang w:val="en-GB"/>
        </w:rPr>
        <w:t>ome types of cybersecurity certifications? In this case, do you have any idea of costs of this certification?</w:t>
      </w:r>
    </w:p>
    <w:p w:rsidR="00913429" w:rsidRDefault="00913429">
      <w:pPr>
        <w:pStyle w:val="ListParagraph"/>
        <w:ind w:left="360"/>
        <w:jc w:val="both"/>
        <w:rPr>
          <w:b/>
          <w:noProof/>
          <w:lang w:val="en-GB"/>
        </w:rPr>
      </w:pPr>
    </w:p>
    <w:p w:rsidR="00913429" w:rsidRDefault="00E143F0">
      <w:pPr>
        <w:pStyle w:val="ListParagraph"/>
        <w:ind w:left="360"/>
        <w:jc w:val="both"/>
        <w:rPr>
          <w:noProof/>
          <w:lang w:val="en-GB"/>
        </w:rPr>
      </w:pPr>
      <w:r>
        <w:rPr>
          <w:noProof/>
          <w:lang w:val="en-GB"/>
        </w:rPr>
        <w:t xml:space="preserve">In the finance industry, as an example, our services must have secure encryption and use HSM, which are incredibly expensive. In order for us to </w:t>
      </w:r>
      <w:r>
        <w:rPr>
          <w:noProof/>
          <w:lang w:val="en-GB"/>
        </w:rPr>
        <w:t xml:space="preserve">use a HSM component, it is going to cost us around 20.000 euros and that is not the whole device. Devices with five of them like a hot standby, business computing and others are going to cost around 100.000 euros. All of that would be needed just to store </w:t>
      </w:r>
      <w:r>
        <w:rPr>
          <w:noProof/>
          <w:lang w:val="en-GB"/>
        </w:rPr>
        <w:t xml:space="preserve">key credentials of the encryption. </w:t>
      </w:r>
    </w:p>
    <w:p w:rsidR="00913429" w:rsidRDefault="00913429">
      <w:pPr>
        <w:pStyle w:val="ListParagraph"/>
        <w:ind w:left="360"/>
        <w:jc w:val="both"/>
        <w:rPr>
          <w:b/>
          <w:noProof/>
          <w:lang w:val="en-GB"/>
        </w:rPr>
      </w:pPr>
    </w:p>
    <w:p w:rsidR="00913429" w:rsidRDefault="00E143F0">
      <w:pPr>
        <w:pStyle w:val="ListParagraph"/>
        <w:numPr>
          <w:ilvl w:val="0"/>
          <w:numId w:val="171"/>
        </w:numPr>
        <w:ind w:left="360"/>
        <w:jc w:val="both"/>
        <w:rPr>
          <w:b/>
          <w:noProof/>
          <w:lang w:val="en-GB"/>
        </w:rPr>
      </w:pPr>
      <w:r>
        <w:rPr>
          <w:b/>
          <w:noProof/>
          <w:lang w:val="en-GB"/>
        </w:rPr>
        <w:t>Do you know cases in the European Union where some ICT components of critical infrastructures, even though already equipped with some security certifications accepted in some MS, are requested or recommended to get addi</w:t>
      </w:r>
      <w:r>
        <w:rPr>
          <w:b/>
          <w:noProof/>
          <w:lang w:val="en-GB"/>
        </w:rPr>
        <w:t xml:space="preserve">tional security certifications in order to access the market of other MS? </w:t>
      </w:r>
    </w:p>
    <w:p w:rsidR="00913429" w:rsidRDefault="00913429">
      <w:pPr>
        <w:pStyle w:val="ListParagraph"/>
        <w:ind w:left="360"/>
        <w:jc w:val="both"/>
        <w:rPr>
          <w:b/>
          <w:noProof/>
          <w:lang w:val="en-GB"/>
        </w:rPr>
      </w:pPr>
    </w:p>
    <w:p w:rsidR="00913429" w:rsidRDefault="00E143F0">
      <w:pPr>
        <w:pStyle w:val="ListParagraph"/>
        <w:ind w:left="360"/>
        <w:jc w:val="both"/>
        <w:rPr>
          <w:noProof/>
          <w:lang w:val="en-GB"/>
        </w:rPr>
      </w:pPr>
      <w:r>
        <w:rPr>
          <w:noProof/>
          <w:lang w:val="en-GB"/>
        </w:rPr>
        <w:t>In the Finance Sector, we have to follow the EU directives for payment services. With other countries, like the US we do not have to do it. I have to be compliant with the 54 juris</w:t>
      </w:r>
      <w:r>
        <w:rPr>
          <w:noProof/>
          <w:lang w:val="en-GB"/>
        </w:rPr>
        <w:t>dictions of countries we are operating in. These procedures become very prescriptive and we have to deal with many descriptive requirements that sometimes might even be contradictory.</w:t>
      </w:r>
    </w:p>
    <w:p w:rsidR="00913429" w:rsidRDefault="00913429">
      <w:pPr>
        <w:pStyle w:val="ListParagraph"/>
        <w:ind w:left="360"/>
        <w:jc w:val="both"/>
        <w:rPr>
          <w:b/>
          <w:noProof/>
          <w:lang w:val="en-GB"/>
        </w:rPr>
      </w:pPr>
    </w:p>
    <w:p w:rsidR="00913429" w:rsidRDefault="00E143F0">
      <w:pPr>
        <w:pStyle w:val="ListParagraph"/>
        <w:numPr>
          <w:ilvl w:val="0"/>
          <w:numId w:val="171"/>
        </w:numPr>
        <w:ind w:left="360"/>
        <w:jc w:val="both"/>
        <w:rPr>
          <w:noProof/>
          <w:lang w:val="en-GB"/>
        </w:rPr>
      </w:pPr>
      <w:r>
        <w:rPr>
          <w:b/>
          <w:noProof/>
          <w:lang w:val="en-GB"/>
        </w:rPr>
        <w:t>Do you think that operators of essential services have a sufficient lev</w:t>
      </w:r>
      <w:r>
        <w:rPr>
          <w:b/>
          <w:noProof/>
          <w:lang w:val="en-GB"/>
        </w:rPr>
        <w:t>el of information regarding the securities features of the IT/OT products /services they use for the lifecycle of their infrastructures?</w:t>
      </w:r>
    </w:p>
    <w:p w:rsidR="00913429" w:rsidRDefault="00913429">
      <w:pPr>
        <w:pStyle w:val="ListParagraph"/>
        <w:ind w:left="360"/>
        <w:jc w:val="both"/>
        <w:rPr>
          <w:b/>
          <w:noProof/>
          <w:lang w:val="en-GB"/>
        </w:rPr>
      </w:pPr>
    </w:p>
    <w:p w:rsidR="00913429" w:rsidRDefault="00E143F0">
      <w:pPr>
        <w:pStyle w:val="ListParagraph"/>
        <w:ind w:left="360"/>
        <w:jc w:val="both"/>
        <w:rPr>
          <w:noProof/>
          <w:lang w:val="en-GB"/>
        </w:rPr>
      </w:pPr>
      <w:r>
        <w:rPr>
          <w:noProof/>
          <w:lang w:val="en-GB"/>
        </w:rPr>
        <w:t>It is not really a lack of a transparency; it is a lack of understanding of security requirements. There is a percepti</w:t>
      </w:r>
      <w:r>
        <w:rPr>
          <w:noProof/>
          <w:lang w:val="en-GB"/>
        </w:rPr>
        <w:t>on that if everybody performs by following the prescription, it will be secure. However, this is partially true. The problem is that most of the time the prescription doesn’t’ cover everything and they can still be breached. For me, there is a dichotomy be</w:t>
      </w:r>
      <w:r>
        <w:rPr>
          <w:noProof/>
          <w:lang w:val="en-GB"/>
        </w:rPr>
        <w:t>tween compliance and security. I spend a lot of money and a lot of effort for the compliance, which is not necessary a guarantee for security.</w:t>
      </w:r>
    </w:p>
    <w:p w:rsidR="00913429" w:rsidRDefault="00913429">
      <w:pPr>
        <w:pStyle w:val="ListParagraph"/>
        <w:ind w:left="360"/>
        <w:jc w:val="both"/>
        <w:rPr>
          <w:noProof/>
          <w:lang w:val="en-GB"/>
        </w:rPr>
      </w:pPr>
    </w:p>
    <w:p w:rsidR="00913429" w:rsidRDefault="00E143F0">
      <w:pPr>
        <w:pStyle w:val="ListParagraph"/>
        <w:numPr>
          <w:ilvl w:val="0"/>
          <w:numId w:val="171"/>
        </w:numPr>
        <w:ind w:left="360"/>
        <w:jc w:val="both"/>
        <w:rPr>
          <w:noProof/>
          <w:lang w:val="en-GB"/>
        </w:rPr>
      </w:pPr>
      <w:r>
        <w:rPr>
          <w:b/>
          <w:noProof/>
          <w:lang w:val="en-GB"/>
        </w:rPr>
        <w:t xml:space="preserve">Do you think that the costs, due to this fragmentation of compliances and the duplication of costs, could be </w:t>
      </w:r>
      <w:r>
        <w:rPr>
          <w:b/>
          <w:noProof/>
          <w:lang w:val="en-GB"/>
        </w:rPr>
        <w:t>invested in other security solutions?</w:t>
      </w:r>
    </w:p>
    <w:p w:rsidR="00913429" w:rsidRDefault="00913429">
      <w:pPr>
        <w:pStyle w:val="ListParagraph"/>
        <w:ind w:left="360"/>
        <w:jc w:val="both"/>
        <w:rPr>
          <w:noProof/>
          <w:lang w:val="en-GB"/>
        </w:rPr>
      </w:pPr>
    </w:p>
    <w:p w:rsidR="00913429" w:rsidRDefault="00E143F0">
      <w:pPr>
        <w:pStyle w:val="ListParagraph"/>
        <w:ind w:left="360"/>
        <w:jc w:val="both"/>
        <w:rPr>
          <w:noProof/>
          <w:lang w:val="en-GB"/>
        </w:rPr>
      </w:pPr>
      <w:r>
        <w:rPr>
          <w:noProof/>
          <w:lang w:val="en-GB"/>
        </w:rPr>
        <w:t xml:space="preserve">Yes, absolutely. For example, there are security organizations that require more people to work on the compliance than the ones working on security solutions. </w:t>
      </w:r>
    </w:p>
    <w:p w:rsidR="00913429" w:rsidRDefault="00913429">
      <w:pPr>
        <w:pStyle w:val="ListParagraph"/>
        <w:ind w:left="360"/>
        <w:jc w:val="both"/>
        <w:rPr>
          <w:noProof/>
          <w:lang w:val="en-GB"/>
        </w:rPr>
      </w:pPr>
    </w:p>
    <w:p w:rsidR="00913429" w:rsidRDefault="00E143F0">
      <w:pPr>
        <w:pStyle w:val="ListParagraph"/>
        <w:numPr>
          <w:ilvl w:val="0"/>
          <w:numId w:val="171"/>
        </w:numPr>
        <w:ind w:left="360"/>
        <w:jc w:val="both"/>
        <w:rPr>
          <w:b/>
          <w:noProof/>
          <w:lang w:val="en-GB"/>
        </w:rPr>
      </w:pPr>
      <w:r>
        <w:rPr>
          <w:b/>
          <w:noProof/>
          <w:lang w:val="en-GB"/>
        </w:rPr>
        <w:t>In your opinion, would a European cybersecurity certific</w:t>
      </w:r>
      <w:r>
        <w:rPr>
          <w:b/>
          <w:noProof/>
          <w:lang w:val="en-GB"/>
        </w:rPr>
        <w:t>ation framework that support the recognition of ICT security certificates reduce costs for operators of critical infrastructures? Can you please provide your view on other possible positive or negative aspects?</w:t>
      </w:r>
    </w:p>
    <w:p w:rsidR="00913429" w:rsidRDefault="00913429">
      <w:pPr>
        <w:pStyle w:val="ListParagraph"/>
        <w:ind w:left="360"/>
        <w:jc w:val="both"/>
        <w:rPr>
          <w:b/>
          <w:noProof/>
          <w:lang w:val="en-GB"/>
        </w:rPr>
      </w:pPr>
    </w:p>
    <w:p w:rsidR="00913429" w:rsidRDefault="00E143F0">
      <w:pPr>
        <w:pStyle w:val="ListParagraph"/>
        <w:ind w:left="360"/>
        <w:jc w:val="both"/>
        <w:rPr>
          <w:noProof/>
          <w:lang w:val="en-GB"/>
        </w:rPr>
      </w:pPr>
      <w:r>
        <w:rPr>
          <w:noProof/>
          <w:lang w:val="en-GB"/>
        </w:rPr>
        <w:t>If it became too prescriptive, it might be t</w:t>
      </w:r>
      <w:r>
        <w:rPr>
          <w:noProof/>
          <w:lang w:val="en-GB"/>
        </w:rPr>
        <w:t xml:space="preserve">oo difficult to comply to, as it happens for the other jurisdictions. </w:t>
      </w:r>
    </w:p>
    <w:p w:rsidR="00913429" w:rsidRDefault="00913429">
      <w:pPr>
        <w:pStyle w:val="ListParagraph"/>
        <w:ind w:left="360"/>
        <w:jc w:val="both"/>
        <w:rPr>
          <w:b/>
          <w:noProof/>
          <w:lang w:val="en-GB"/>
        </w:rPr>
      </w:pPr>
    </w:p>
    <w:p w:rsidR="00913429" w:rsidRDefault="00913429">
      <w:pPr>
        <w:pStyle w:val="ListParagraph"/>
        <w:ind w:left="360"/>
        <w:jc w:val="both"/>
        <w:rPr>
          <w:b/>
          <w:noProof/>
          <w:lang w:val="en-GB"/>
        </w:rPr>
      </w:pPr>
    </w:p>
    <w:p w:rsidR="00913429" w:rsidRDefault="00E143F0">
      <w:pPr>
        <w:pStyle w:val="ListParagraph"/>
        <w:numPr>
          <w:ilvl w:val="0"/>
          <w:numId w:val="171"/>
        </w:numPr>
        <w:ind w:left="360"/>
        <w:jc w:val="both"/>
        <w:rPr>
          <w:b/>
          <w:noProof/>
        </w:rPr>
      </w:pPr>
      <w:r>
        <w:rPr>
          <w:b/>
          <w:noProof/>
          <w:lang w:val="en-GB"/>
        </w:rPr>
        <w:t xml:space="preserve">Do you think that a soft approach, which only give guidelines to different stakeholders, could be more useful? </w:t>
      </w:r>
      <w:r>
        <w:rPr>
          <w:b/>
          <w:noProof/>
        </w:rPr>
        <w:t>What kind of approach would you suggest otherwise?</w:t>
      </w:r>
    </w:p>
    <w:p w:rsidR="00913429" w:rsidRDefault="00913429">
      <w:pPr>
        <w:pStyle w:val="ListParagraph"/>
        <w:ind w:left="360"/>
        <w:jc w:val="both"/>
        <w:rPr>
          <w:b/>
          <w:noProof/>
        </w:rPr>
      </w:pPr>
    </w:p>
    <w:p w:rsidR="00913429" w:rsidRDefault="00E143F0">
      <w:pPr>
        <w:pStyle w:val="ListParagraph"/>
        <w:ind w:left="360"/>
        <w:jc w:val="both"/>
        <w:rPr>
          <w:noProof/>
        </w:rPr>
      </w:pPr>
      <w:r>
        <w:rPr>
          <w:noProof/>
          <w:lang w:val="en-GB"/>
        </w:rPr>
        <w:t>If you look at the G</w:t>
      </w:r>
      <w:r>
        <w:rPr>
          <w:noProof/>
          <w:lang w:val="en-GB"/>
        </w:rPr>
        <w:t xml:space="preserve">DPR regulation, it is not prescriptive around the world. </w:t>
      </w:r>
      <w:r>
        <w:rPr>
          <w:noProof/>
        </w:rPr>
        <w:t>I think it would be an appropriate approach.</w:t>
      </w:r>
    </w:p>
    <w:p w:rsidR="00913429" w:rsidRDefault="00913429">
      <w:pPr>
        <w:pStyle w:val="ListParagraph"/>
        <w:ind w:left="360"/>
        <w:jc w:val="both"/>
        <w:rPr>
          <w:b/>
          <w:noProof/>
        </w:rPr>
      </w:pPr>
    </w:p>
    <w:p w:rsidR="00913429" w:rsidRDefault="00E143F0">
      <w:pPr>
        <w:pStyle w:val="ListParagraph"/>
        <w:numPr>
          <w:ilvl w:val="0"/>
          <w:numId w:val="178"/>
        </w:numPr>
        <w:ind w:left="360"/>
        <w:jc w:val="both"/>
        <w:rPr>
          <w:b/>
          <w:noProof/>
          <w:lang w:val="en-GB"/>
        </w:rPr>
      </w:pPr>
      <w:r>
        <w:rPr>
          <w:b/>
          <w:noProof/>
          <w:lang w:val="en-GB"/>
        </w:rPr>
        <w:t>What do you think about a label on the products with the security information?</w:t>
      </w:r>
    </w:p>
    <w:p w:rsidR="00913429" w:rsidRDefault="00913429">
      <w:pPr>
        <w:pStyle w:val="ListParagraph"/>
        <w:ind w:left="360"/>
        <w:jc w:val="both"/>
        <w:rPr>
          <w:b/>
          <w:noProof/>
          <w:lang w:val="en-GB"/>
        </w:rPr>
      </w:pPr>
    </w:p>
    <w:p w:rsidR="00913429" w:rsidRDefault="00E143F0">
      <w:pPr>
        <w:pStyle w:val="ListParagraph"/>
        <w:ind w:left="360"/>
        <w:jc w:val="both"/>
        <w:rPr>
          <w:noProof/>
        </w:rPr>
      </w:pPr>
      <w:r>
        <w:rPr>
          <w:noProof/>
          <w:lang w:val="en-GB"/>
        </w:rPr>
        <w:t xml:space="preserve">I think it would not make too much difference. As an example at the Data </w:t>
      </w:r>
      <w:r>
        <w:rPr>
          <w:noProof/>
          <w:lang w:val="en-GB"/>
        </w:rPr>
        <w:t xml:space="preserve">Centers, engineers would configure the devices without physically seeing them. </w:t>
      </w:r>
      <w:r>
        <w:rPr>
          <w:noProof/>
        </w:rPr>
        <w:t xml:space="preserve">Therefore, they won’t be seeing it. </w:t>
      </w:r>
    </w:p>
    <w:p w:rsidR="00913429" w:rsidRDefault="00913429">
      <w:pPr>
        <w:pStyle w:val="ListParagraph"/>
        <w:ind w:left="360"/>
        <w:jc w:val="both"/>
        <w:rPr>
          <w:b/>
          <w:noProof/>
        </w:rPr>
      </w:pPr>
    </w:p>
    <w:p w:rsidR="00913429" w:rsidRDefault="00E143F0">
      <w:pPr>
        <w:pStyle w:val="ListParagraph"/>
        <w:numPr>
          <w:ilvl w:val="0"/>
          <w:numId w:val="178"/>
        </w:numPr>
        <w:ind w:left="360"/>
        <w:jc w:val="both"/>
        <w:rPr>
          <w:noProof/>
        </w:rPr>
      </w:pPr>
      <w:r>
        <w:rPr>
          <w:b/>
          <w:noProof/>
          <w:lang w:val="en-GB"/>
        </w:rPr>
        <w:t xml:space="preserve">What would be the effect of a European certification scheme on SMEs? </w:t>
      </w:r>
      <w:r>
        <w:rPr>
          <w:b/>
          <w:noProof/>
        </w:rPr>
        <w:t xml:space="preserve">Do you think they might have advantages? </w:t>
      </w:r>
    </w:p>
    <w:p w:rsidR="00913429" w:rsidRDefault="00913429">
      <w:pPr>
        <w:pStyle w:val="ListParagraph"/>
        <w:ind w:left="360"/>
        <w:jc w:val="both"/>
        <w:rPr>
          <w:b/>
          <w:noProof/>
        </w:rPr>
      </w:pPr>
    </w:p>
    <w:p w:rsidR="00913429" w:rsidRDefault="00E143F0">
      <w:pPr>
        <w:pStyle w:val="ListParagraph"/>
        <w:ind w:left="360"/>
        <w:jc w:val="both"/>
        <w:rPr>
          <w:noProof/>
          <w:lang w:val="en-GB"/>
        </w:rPr>
      </w:pPr>
      <w:r>
        <w:rPr>
          <w:noProof/>
          <w:lang w:val="en-GB"/>
        </w:rPr>
        <w:t xml:space="preserve">Many of the security </w:t>
      </w:r>
      <w:r>
        <w:rPr>
          <w:noProof/>
          <w:lang w:val="en-GB"/>
        </w:rPr>
        <w:t>products are very technical. Even if there would be a certification, I am not sure that the SMEs would actually understand the security standards and tests of the product. I think that they would not know all the distinctions.</w:t>
      </w:r>
    </w:p>
    <w:p w:rsidR="00913429" w:rsidRDefault="00913429">
      <w:pPr>
        <w:pStyle w:val="ListParagraph"/>
        <w:ind w:left="360"/>
        <w:jc w:val="both"/>
        <w:rPr>
          <w:noProof/>
          <w:lang w:val="en-GB"/>
        </w:rPr>
      </w:pPr>
    </w:p>
    <w:p w:rsidR="00913429" w:rsidRDefault="00E143F0">
      <w:pPr>
        <w:pStyle w:val="ListParagraph"/>
        <w:numPr>
          <w:ilvl w:val="0"/>
          <w:numId w:val="178"/>
        </w:numPr>
        <w:ind w:left="360"/>
        <w:jc w:val="both"/>
        <w:rPr>
          <w:b/>
          <w:noProof/>
          <w:lang w:val="en-GB"/>
        </w:rPr>
      </w:pPr>
      <w:r>
        <w:rPr>
          <w:b/>
          <w:noProof/>
          <w:lang w:val="en-GB"/>
        </w:rPr>
        <w:t xml:space="preserve">Do you have any information </w:t>
      </w:r>
      <w:r>
        <w:rPr>
          <w:b/>
          <w:noProof/>
          <w:lang w:val="en-GB"/>
        </w:rPr>
        <w:t>on Cloud Computing? Do you think that this ICT certification in this field would have advantages?</w:t>
      </w:r>
    </w:p>
    <w:p w:rsidR="00913429" w:rsidRDefault="00913429">
      <w:pPr>
        <w:pStyle w:val="ListParagraph"/>
        <w:ind w:left="360"/>
        <w:jc w:val="both"/>
        <w:rPr>
          <w:b/>
          <w:noProof/>
          <w:lang w:val="en-GB"/>
        </w:rPr>
      </w:pPr>
    </w:p>
    <w:p w:rsidR="00913429" w:rsidRDefault="00E143F0">
      <w:pPr>
        <w:pStyle w:val="ListParagraph"/>
        <w:ind w:left="360"/>
        <w:jc w:val="both"/>
        <w:rPr>
          <w:noProof/>
        </w:rPr>
      </w:pPr>
      <w:r>
        <w:rPr>
          <w:noProof/>
          <w:lang w:val="en-GB"/>
        </w:rPr>
        <w:t>At the moment we are not using Cloud Computing. There is a barrier from using them because we cannot be sure that the data is stored in a secure way, especia</w:t>
      </w:r>
      <w:r>
        <w:rPr>
          <w:noProof/>
          <w:lang w:val="en-GB"/>
        </w:rPr>
        <w:t>lly according to the various jurisdictions. Since we are a regulated entity, that is a barrier for us. Most of the banks are struggling with that challenge. There are problems because the European data might be stored in South America, or in somewhere else</w:t>
      </w:r>
      <w:r>
        <w:rPr>
          <w:noProof/>
          <w:lang w:val="en-GB"/>
        </w:rPr>
        <w:t xml:space="preserve">, under a different jurisdiction. </w:t>
      </w:r>
      <w:r>
        <w:rPr>
          <w:noProof/>
        </w:rPr>
        <w:t xml:space="preserve">It would also be more expensive because of that. </w:t>
      </w:r>
    </w:p>
    <w:p w:rsidR="00913429" w:rsidRDefault="00913429">
      <w:pPr>
        <w:pStyle w:val="ListParagraph"/>
        <w:ind w:left="360"/>
        <w:jc w:val="both"/>
        <w:rPr>
          <w:b/>
          <w:noProof/>
        </w:rPr>
      </w:pPr>
    </w:p>
    <w:p w:rsidR="00913429" w:rsidRDefault="00E143F0">
      <w:pPr>
        <w:pStyle w:val="ListParagraph"/>
        <w:numPr>
          <w:ilvl w:val="0"/>
          <w:numId w:val="178"/>
        </w:numPr>
        <w:ind w:left="360"/>
        <w:jc w:val="both"/>
        <w:rPr>
          <w:b/>
          <w:noProof/>
          <w:lang w:val="en-GB"/>
        </w:rPr>
      </w:pPr>
      <w:r>
        <w:rPr>
          <w:b/>
          <w:noProof/>
          <w:lang w:val="en-GB"/>
        </w:rPr>
        <w:t>Do you think that a certification might give more advantages on the security of the Cloud?</w:t>
      </w:r>
    </w:p>
    <w:p w:rsidR="00913429" w:rsidRDefault="00913429">
      <w:pPr>
        <w:pStyle w:val="ListParagraph"/>
        <w:ind w:left="360"/>
        <w:jc w:val="both"/>
        <w:rPr>
          <w:b/>
          <w:noProof/>
          <w:lang w:val="en-GB"/>
        </w:rPr>
      </w:pPr>
    </w:p>
    <w:p w:rsidR="00913429" w:rsidRDefault="00E143F0">
      <w:pPr>
        <w:pStyle w:val="ListParagraph"/>
        <w:ind w:left="360"/>
        <w:jc w:val="both"/>
        <w:rPr>
          <w:b/>
          <w:noProof/>
          <w:lang w:val="en-GB"/>
        </w:rPr>
      </w:pPr>
      <w:r>
        <w:rPr>
          <w:noProof/>
          <w:lang w:val="en-GB"/>
        </w:rPr>
        <w:t xml:space="preserve">If they are certified it would definitely be more cheap and it would be easier for the security compliance of the different jurisdictions. However, I still don’t feel comfortable with them because they are not secure enough by design. </w:t>
      </w:r>
    </w:p>
    <w:p w:rsidR="00913429" w:rsidRDefault="00913429">
      <w:pPr>
        <w:jc w:val="both"/>
        <w:rPr>
          <w:noProof/>
        </w:rPr>
      </w:pPr>
    </w:p>
    <w:p w:rsidR="00913429" w:rsidRDefault="00913429">
      <w:pPr>
        <w:jc w:val="right"/>
        <w:rPr>
          <w:rFonts w:eastAsia="Times New Roman" w:cs="Tahoma"/>
          <w:noProof/>
          <w:sz w:val="22"/>
          <w:szCs w:val="26"/>
          <w:lang w:eastAsia="it-IT"/>
        </w:rPr>
      </w:pPr>
    </w:p>
    <w:p w:rsidR="00913429" w:rsidRDefault="00913429">
      <w:pPr>
        <w:spacing w:after="0" w:line="240" w:lineRule="auto"/>
        <w:rPr>
          <w:rFonts w:eastAsia="Times New Roman" w:cs="Tahoma"/>
          <w:noProof/>
          <w:sz w:val="22"/>
          <w:szCs w:val="26"/>
          <w:lang w:eastAsia="it-IT"/>
        </w:rPr>
      </w:pPr>
    </w:p>
    <w:p w:rsidR="00913429" w:rsidRDefault="00913429">
      <w:pPr>
        <w:spacing w:after="0" w:line="240" w:lineRule="auto"/>
        <w:rPr>
          <w:rFonts w:eastAsia="Times New Roman" w:cs="Tahoma"/>
          <w:noProof/>
          <w:sz w:val="22"/>
          <w:szCs w:val="26"/>
          <w:lang w:eastAsia="it-IT"/>
        </w:rPr>
      </w:pPr>
    </w:p>
    <w:p w:rsidR="00913429" w:rsidRDefault="00913429">
      <w:pPr>
        <w:spacing w:after="0" w:line="240" w:lineRule="auto"/>
        <w:rPr>
          <w:rFonts w:eastAsia="Times New Roman" w:cs="Tahoma"/>
          <w:noProof/>
          <w:sz w:val="22"/>
          <w:szCs w:val="26"/>
          <w:lang w:eastAsia="it-IT"/>
        </w:rPr>
      </w:pPr>
    </w:p>
    <w:p w:rsidR="00913429" w:rsidRDefault="00913429">
      <w:pPr>
        <w:spacing w:after="0" w:line="240" w:lineRule="auto"/>
        <w:rPr>
          <w:rFonts w:eastAsia="Times New Roman" w:cs="Tahoma"/>
          <w:noProof/>
          <w:sz w:val="22"/>
          <w:szCs w:val="26"/>
          <w:lang w:eastAsia="it-IT"/>
        </w:rPr>
      </w:pPr>
    </w:p>
    <w:p w:rsidR="00913429" w:rsidRDefault="00913429">
      <w:pPr>
        <w:spacing w:after="0" w:line="240" w:lineRule="auto"/>
        <w:rPr>
          <w:rFonts w:eastAsia="Times New Roman" w:cs="Tahoma"/>
          <w:noProof/>
          <w:sz w:val="22"/>
          <w:szCs w:val="26"/>
          <w:lang w:eastAsia="it-IT"/>
        </w:rPr>
      </w:pPr>
    </w:p>
    <w:p w:rsidR="00913429" w:rsidRDefault="00E143F0">
      <w:pPr>
        <w:spacing w:after="0" w:line="240" w:lineRule="auto"/>
        <w:rPr>
          <w:rFonts w:eastAsia="Times New Roman" w:cs="Tahoma"/>
          <w:noProof/>
          <w:sz w:val="22"/>
          <w:szCs w:val="26"/>
          <w:lang w:eastAsia="it-IT"/>
        </w:rPr>
      </w:pPr>
      <w:r>
        <w:rPr>
          <w:rFonts w:eastAsia="Times New Roman" w:cs="Tahoma"/>
          <w:noProof/>
          <w:sz w:val="22"/>
          <w:szCs w:val="26"/>
          <w:lang w:eastAsia="it-IT"/>
        </w:rPr>
        <w:br w:type="page"/>
      </w:r>
    </w:p>
    <w:p w:rsidR="00913429" w:rsidRDefault="00E143F0">
      <w:pPr>
        <w:jc w:val="right"/>
        <w:rPr>
          <w:rFonts w:eastAsia="Times New Roman" w:cs="Tahoma"/>
          <w:b/>
          <w:i/>
          <w:noProof/>
          <w:color w:val="000000" w:themeColor="text1"/>
          <w:sz w:val="28"/>
          <w:szCs w:val="26"/>
          <w:lang w:val="en-US" w:eastAsia="it-IT"/>
        </w:rPr>
      </w:pPr>
      <w:r>
        <w:rPr>
          <w:rFonts w:eastAsia="Times New Roman" w:cs="Tahoma"/>
          <w:b/>
          <w:i/>
          <w:noProof/>
          <w:color w:val="000000" w:themeColor="text1"/>
          <w:sz w:val="28"/>
          <w:szCs w:val="26"/>
          <w:lang w:val="en-US" w:eastAsia="it-IT"/>
        </w:rPr>
        <w:t>August 3</w:t>
      </w:r>
      <w:r>
        <w:rPr>
          <w:rFonts w:eastAsia="Times New Roman" w:cs="Tahoma"/>
          <w:b/>
          <w:i/>
          <w:noProof/>
          <w:color w:val="000000" w:themeColor="text1"/>
          <w:sz w:val="28"/>
          <w:szCs w:val="26"/>
          <w:vertAlign w:val="superscript"/>
          <w:lang w:val="en-US" w:eastAsia="it-IT"/>
        </w:rPr>
        <w:t>rd</w:t>
      </w:r>
      <w:r>
        <w:rPr>
          <w:rFonts w:eastAsia="Times New Roman" w:cs="Tahoma"/>
          <w:b/>
          <w:i/>
          <w:noProof/>
          <w:color w:val="000000" w:themeColor="text1"/>
          <w:sz w:val="28"/>
          <w:szCs w:val="26"/>
          <w:lang w:val="en-US" w:eastAsia="it-IT"/>
        </w:rPr>
        <w:t>,</w:t>
      </w:r>
      <w:r>
        <w:rPr>
          <w:rFonts w:eastAsia="Times New Roman" w:cs="Tahoma"/>
          <w:b/>
          <w:i/>
          <w:noProof/>
          <w:color w:val="000000" w:themeColor="text1"/>
          <w:sz w:val="28"/>
          <w:szCs w:val="26"/>
          <w:lang w:val="en-US" w:eastAsia="it-IT"/>
        </w:rPr>
        <w:t xml:space="preserve"> 2017</w:t>
      </w:r>
    </w:p>
    <w:p w:rsidR="00913429" w:rsidRDefault="00E143F0">
      <w:pPr>
        <w:pStyle w:val="Heading4"/>
        <w:spacing w:after="240"/>
        <w:rPr>
          <w:noProof/>
          <w:lang w:val="en-US"/>
        </w:rPr>
      </w:pPr>
      <w:r>
        <w:rPr>
          <w:noProof/>
          <w:lang w:val="en-US"/>
        </w:rPr>
        <w:t>Interview results from representative of a Telecommunications Company</w:t>
      </w:r>
    </w:p>
    <w:p w:rsidR="00913429" w:rsidRDefault="00E143F0">
      <w:pPr>
        <w:pStyle w:val="ListParagraph"/>
        <w:numPr>
          <w:ilvl w:val="0"/>
          <w:numId w:val="190"/>
        </w:numPr>
        <w:rPr>
          <w:noProof/>
          <w:lang w:val="en-GB"/>
        </w:rPr>
      </w:pPr>
      <w:r>
        <w:rPr>
          <w:b/>
          <w:noProof/>
          <w:lang w:val="en-GB"/>
        </w:rPr>
        <w:t xml:space="preserve">Do you know ICT products/components/service deployed in critical infrastructures require mandatory cybersecurity certification? </w:t>
      </w:r>
    </w:p>
    <w:p w:rsidR="00913429" w:rsidRDefault="00913429">
      <w:pPr>
        <w:pStyle w:val="ListParagraph"/>
        <w:ind w:left="360"/>
        <w:rPr>
          <w:b/>
          <w:noProof/>
          <w:lang w:val="en-GB"/>
        </w:rPr>
      </w:pPr>
    </w:p>
    <w:p w:rsidR="00913429" w:rsidRDefault="00E143F0">
      <w:pPr>
        <w:pStyle w:val="ListParagraph"/>
        <w:ind w:left="360"/>
        <w:jc w:val="both"/>
        <w:rPr>
          <w:noProof/>
          <w:lang w:val="en-GB"/>
        </w:rPr>
      </w:pPr>
      <w:r>
        <w:rPr>
          <w:noProof/>
          <w:lang w:val="en-GB"/>
        </w:rPr>
        <w:t xml:space="preserve">I am going to answer you with an insight from the </w:t>
      </w:r>
      <w:r>
        <w:rPr>
          <w:noProof/>
          <w:lang w:val="en-GB"/>
        </w:rPr>
        <w:t>UK perspective. First, we are contractually obliged to look for security certification on products and services for the national infrastructure. They have to be certified on a variety of schemes in order to provide their service to the critical national in</w:t>
      </w:r>
      <w:r>
        <w:rPr>
          <w:noProof/>
          <w:lang w:val="en-GB"/>
        </w:rPr>
        <w:t>frastructure. In the UK, there is the CAS(T)</w:t>
      </w:r>
      <w:r>
        <w:rPr>
          <w:rStyle w:val="FootnoteReference"/>
          <w:noProof/>
        </w:rPr>
        <w:footnoteReference w:id="15"/>
      </w:r>
      <w:r>
        <w:rPr>
          <w:noProof/>
          <w:lang w:val="en-GB"/>
        </w:rPr>
        <w:t xml:space="preserve"> scheme, which is a telecom specific version of ISO27001 and that is a fundamental security certification for any product and service that is sold. Furthermore, the Public Services Network need to be certified e</w:t>
      </w:r>
      <w:r>
        <w:rPr>
          <w:noProof/>
          <w:lang w:val="en-GB"/>
        </w:rPr>
        <w:t>very year as a prerequisite. It will not be possible for us to sell it in UK, without certifying them.</w:t>
      </w:r>
    </w:p>
    <w:p w:rsidR="00913429" w:rsidRDefault="00913429">
      <w:pPr>
        <w:pStyle w:val="ListParagraph"/>
        <w:ind w:left="360"/>
        <w:jc w:val="both"/>
        <w:rPr>
          <w:noProof/>
          <w:lang w:val="en-GB"/>
        </w:rPr>
      </w:pPr>
    </w:p>
    <w:p w:rsidR="00913429" w:rsidRDefault="00E143F0">
      <w:pPr>
        <w:pStyle w:val="ListParagraph"/>
        <w:numPr>
          <w:ilvl w:val="0"/>
          <w:numId w:val="190"/>
        </w:numPr>
        <w:jc w:val="both"/>
        <w:rPr>
          <w:noProof/>
          <w:lang w:val="en-GB"/>
        </w:rPr>
      </w:pPr>
      <w:r>
        <w:rPr>
          <w:b/>
          <w:noProof/>
          <w:lang w:val="en-GB"/>
        </w:rPr>
        <w:t xml:space="preserve">Can you provide some information related to costs of the certification? </w:t>
      </w:r>
    </w:p>
    <w:p w:rsidR="00913429" w:rsidRDefault="00913429">
      <w:pPr>
        <w:pStyle w:val="ListParagraph"/>
        <w:ind w:left="360"/>
        <w:jc w:val="both"/>
        <w:rPr>
          <w:noProof/>
          <w:lang w:val="en-GB"/>
        </w:rPr>
      </w:pPr>
    </w:p>
    <w:p w:rsidR="00913429" w:rsidRDefault="00E143F0">
      <w:pPr>
        <w:pStyle w:val="ListParagraph"/>
        <w:ind w:left="360"/>
        <w:jc w:val="both"/>
        <w:rPr>
          <w:noProof/>
          <w:lang w:val="en-GB"/>
        </w:rPr>
      </w:pPr>
      <w:r>
        <w:rPr>
          <w:noProof/>
          <w:lang w:val="en-GB"/>
        </w:rPr>
        <w:t>Yes, for example for one of our network platform the overall budget was of 500</w:t>
      </w:r>
      <w:r>
        <w:rPr>
          <w:noProof/>
          <w:lang w:val="en-GB"/>
        </w:rPr>
        <w:t xml:space="preserve">.000 UK pounds. It included 39 different services, whose price range from 10 to 15 thousands UK pounds each. </w:t>
      </w:r>
    </w:p>
    <w:p w:rsidR="00913429" w:rsidRDefault="00913429">
      <w:pPr>
        <w:pStyle w:val="ListParagraph"/>
        <w:ind w:left="360"/>
        <w:jc w:val="both"/>
        <w:rPr>
          <w:noProof/>
          <w:lang w:val="en-GB"/>
        </w:rPr>
      </w:pPr>
    </w:p>
    <w:p w:rsidR="00913429" w:rsidRDefault="00E143F0">
      <w:pPr>
        <w:pStyle w:val="ListParagraph"/>
        <w:numPr>
          <w:ilvl w:val="0"/>
          <w:numId w:val="190"/>
        </w:numPr>
        <w:jc w:val="both"/>
        <w:rPr>
          <w:b/>
          <w:noProof/>
          <w:lang w:val="en-GB"/>
        </w:rPr>
      </w:pPr>
      <w:r>
        <w:rPr>
          <w:b/>
          <w:noProof/>
          <w:lang w:val="en-GB"/>
        </w:rPr>
        <w:t xml:space="preserve">Do you have an idea if this certification is recognized through Europe or if it is only for the UK? </w:t>
      </w:r>
    </w:p>
    <w:p w:rsidR="00913429" w:rsidRDefault="00913429">
      <w:pPr>
        <w:pStyle w:val="ListParagraph"/>
        <w:ind w:left="360"/>
        <w:jc w:val="both"/>
        <w:rPr>
          <w:b/>
          <w:noProof/>
          <w:lang w:val="en-GB"/>
        </w:rPr>
      </w:pPr>
    </w:p>
    <w:p w:rsidR="00913429" w:rsidRDefault="00E143F0">
      <w:pPr>
        <w:pStyle w:val="ListParagraph"/>
        <w:ind w:left="360"/>
        <w:jc w:val="both"/>
        <w:rPr>
          <w:noProof/>
          <w:lang w:val="en-GB"/>
        </w:rPr>
      </w:pPr>
      <w:r>
        <w:rPr>
          <w:noProof/>
          <w:lang w:val="en-GB"/>
        </w:rPr>
        <w:t xml:space="preserve">I would say that it is valid only for the UK. If we look at the CAS(T), the equivalent of the ISO 27001, it is issued by the National Cyber Security Council. Therefore, it is more UK centered and not European. However, in terms of what it is asked for, it </w:t>
      </w:r>
      <w:r>
        <w:rPr>
          <w:noProof/>
          <w:lang w:val="en-GB"/>
        </w:rPr>
        <w:t xml:space="preserve">is based on an ISO standard. </w:t>
      </w:r>
    </w:p>
    <w:p w:rsidR="00913429" w:rsidRDefault="00913429">
      <w:pPr>
        <w:pStyle w:val="ListParagraph"/>
        <w:ind w:left="360"/>
        <w:jc w:val="both"/>
        <w:rPr>
          <w:noProof/>
          <w:lang w:val="en-GB"/>
        </w:rPr>
      </w:pPr>
    </w:p>
    <w:p w:rsidR="00913429" w:rsidRDefault="00E143F0">
      <w:pPr>
        <w:pStyle w:val="ListParagraph"/>
        <w:numPr>
          <w:ilvl w:val="0"/>
          <w:numId w:val="190"/>
        </w:numPr>
        <w:jc w:val="both"/>
        <w:rPr>
          <w:b/>
          <w:noProof/>
          <w:lang w:val="en-GB"/>
        </w:rPr>
      </w:pPr>
      <w:r>
        <w:rPr>
          <w:b/>
          <w:noProof/>
          <w:lang w:val="en-GB"/>
        </w:rPr>
        <w:t>Do you have any idea if a certified product in another country has to go through the UK certification process, before entering the market?</w:t>
      </w:r>
    </w:p>
    <w:p w:rsidR="00913429" w:rsidRDefault="00913429">
      <w:pPr>
        <w:pStyle w:val="ListParagraph"/>
        <w:ind w:left="360"/>
        <w:jc w:val="both"/>
        <w:rPr>
          <w:b/>
          <w:noProof/>
          <w:lang w:val="en-GB"/>
        </w:rPr>
      </w:pPr>
    </w:p>
    <w:p w:rsidR="00913429" w:rsidRDefault="00E143F0">
      <w:pPr>
        <w:pStyle w:val="ListParagraph"/>
        <w:ind w:left="360"/>
        <w:jc w:val="both"/>
        <w:rPr>
          <w:noProof/>
          <w:lang w:val="en-GB"/>
        </w:rPr>
      </w:pPr>
      <w:r>
        <w:rPr>
          <w:noProof/>
          <w:lang w:val="en-GB"/>
        </w:rPr>
        <w:t>Any product worldwide of this sector, which should be sold in UK, has to go through t</w:t>
      </w:r>
      <w:r>
        <w:rPr>
          <w:noProof/>
          <w:lang w:val="en-GB"/>
        </w:rPr>
        <w:t xml:space="preserve">he certification scheme. There are by use non UK certification that have value like the Common Criteria, but they still need a formal approval to sell it by the UK. </w:t>
      </w:r>
    </w:p>
    <w:p w:rsidR="00913429" w:rsidRDefault="00913429">
      <w:pPr>
        <w:pStyle w:val="ListParagraph"/>
        <w:ind w:left="360"/>
        <w:jc w:val="both"/>
        <w:rPr>
          <w:b/>
          <w:noProof/>
          <w:lang w:val="en-GB"/>
        </w:rPr>
      </w:pPr>
    </w:p>
    <w:p w:rsidR="00913429" w:rsidRDefault="00E143F0">
      <w:pPr>
        <w:pStyle w:val="ListParagraph"/>
        <w:numPr>
          <w:ilvl w:val="0"/>
          <w:numId w:val="190"/>
        </w:numPr>
        <w:jc w:val="both"/>
        <w:rPr>
          <w:b/>
          <w:noProof/>
          <w:lang w:val="en-GB"/>
        </w:rPr>
      </w:pPr>
      <w:r>
        <w:rPr>
          <w:b/>
          <w:noProof/>
          <w:lang w:val="en-GB"/>
        </w:rPr>
        <w:t xml:space="preserve">In your opinion, would a European cybersecurity certification framework that support the </w:t>
      </w:r>
      <w:r>
        <w:rPr>
          <w:b/>
          <w:noProof/>
          <w:lang w:val="en-GB"/>
        </w:rPr>
        <w:t>recognition of ICT security certificates reduce costs for operators of critical infrastructures? Can you please provide your view on other possible positive or negative aspects?</w:t>
      </w:r>
    </w:p>
    <w:p w:rsidR="00913429" w:rsidRDefault="00913429">
      <w:pPr>
        <w:pStyle w:val="ListParagraph"/>
        <w:ind w:left="360"/>
        <w:jc w:val="both"/>
        <w:rPr>
          <w:b/>
          <w:noProof/>
          <w:lang w:val="en-GB"/>
        </w:rPr>
      </w:pPr>
    </w:p>
    <w:p w:rsidR="00913429" w:rsidRDefault="00E143F0">
      <w:pPr>
        <w:pStyle w:val="ListParagraph"/>
        <w:ind w:left="360"/>
        <w:jc w:val="both"/>
        <w:rPr>
          <w:noProof/>
        </w:rPr>
      </w:pPr>
      <w:r>
        <w:rPr>
          <w:noProof/>
          <w:lang w:val="en-GB"/>
        </w:rPr>
        <w:t xml:space="preserve">There are many security standards that we have to comply to and there is one </w:t>
      </w:r>
      <w:r>
        <w:rPr>
          <w:noProof/>
          <w:lang w:val="en-GB"/>
        </w:rPr>
        <w:t>on cyber security resilience coming soon in the UK. If all of the certification bodies would recognize these security tests, we would save a lot of money. We have just started to see the benefits of the interventions to try to facilitate mutual recognition</w:t>
      </w:r>
      <w:r>
        <w:rPr>
          <w:noProof/>
          <w:lang w:val="en-GB"/>
        </w:rPr>
        <w:t xml:space="preserve"> of the national security certification. </w:t>
      </w:r>
      <w:r>
        <w:rPr>
          <w:noProof/>
        </w:rPr>
        <w:t>We support this kind of initiative.</w:t>
      </w:r>
    </w:p>
    <w:p w:rsidR="00913429" w:rsidRDefault="00913429">
      <w:pPr>
        <w:pStyle w:val="ListParagraph"/>
        <w:ind w:left="360"/>
        <w:jc w:val="both"/>
        <w:rPr>
          <w:noProof/>
        </w:rPr>
      </w:pPr>
    </w:p>
    <w:p w:rsidR="00913429" w:rsidRDefault="00E143F0">
      <w:pPr>
        <w:pStyle w:val="ListParagraph"/>
        <w:numPr>
          <w:ilvl w:val="0"/>
          <w:numId w:val="190"/>
        </w:numPr>
        <w:rPr>
          <w:b/>
          <w:noProof/>
          <w:lang w:val="en-GB"/>
        </w:rPr>
      </w:pPr>
      <w:r>
        <w:rPr>
          <w:b/>
          <w:noProof/>
          <w:lang w:val="en-GB"/>
        </w:rPr>
        <w:t>Do you think that the current situation of certification could represent a barrier for European market, especially for the SMEs?</w:t>
      </w:r>
    </w:p>
    <w:p w:rsidR="00913429" w:rsidRDefault="00913429">
      <w:pPr>
        <w:pStyle w:val="ListParagraph"/>
        <w:ind w:left="360"/>
        <w:rPr>
          <w:b/>
          <w:noProof/>
          <w:lang w:val="en-GB"/>
        </w:rPr>
      </w:pPr>
    </w:p>
    <w:p w:rsidR="00913429" w:rsidRDefault="00E143F0">
      <w:pPr>
        <w:pStyle w:val="ListParagraph"/>
        <w:ind w:left="360"/>
        <w:jc w:val="both"/>
        <w:rPr>
          <w:noProof/>
          <w:lang w:val="en-GB"/>
        </w:rPr>
      </w:pPr>
      <w:r>
        <w:rPr>
          <w:noProof/>
          <w:lang w:val="en-GB"/>
        </w:rPr>
        <w:t>In the UK, there actually a lot of standards for</w:t>
      </w:r>
      <w:r>
        <w:rPr>
          <w:noProof/>
          <w:lang w:val="en-GB"/>
        </w:rPr>
        <w:t xml:space="preserve"> product security certification. There are at least four schemes that are run by the UK National Technical Authority. They range from test marking, encryption etc. and there is no doubt that the cost of certification would be a barrier for vendors who want</w:t>
      </w:r>
      <w:r>
        <w:rPr>
          <w:noProof/>
          <w:lang w:val="en-GB"/>
        </w:rPr>
        <w:t xml:space="preserve"> to enter the UK market.</w:t>
      </w:r>
    </w:p>
    <w:p w:rsidR="00913429" w:rsidRDefault="00913429">
      <w:pPr>
        <w:pStyle w:val="ListParagraph"/>
        <w:ind w:left="360"/>
        <w:rPr>
          <w:noProof/>
          <w:lang w:val="en-GB"/>
        </w:rPr>
      </w:pPr>
    </w:p>
    <w:p w:rsidR="00913429" w:rsidRDefault="00E143F0">
      <w:pPr>
        <w:pStyle w:val="ListParagraph"/>
        <w:numPr>
          <w:ilvl w:val="0"/>
          <w:numId w:val="190"/>
        </w:numPr>
        <w:rPr>
          <w:b/>
          <w:noProof/>
          <w:lang w:val="en-GB"/>
        </w:rPr>
      </w:pPr>
      <w:r>
        <w:rPr>
          <w:b/>
          <w:noProof/>
          <w:lang w:val="en-GB"/>
        </w:rPr>
        <w:t>Do you think that operators or customers have a sufficient level of information related to the security of their IT devices?</w:t>
      </w:r>
    </w:p>
    <w:p w:rsidR="00913429" w:rsidRDefault="00913429">
      <w:pPr>
        <w:pStyle w:val="ListParagraph"/>
        <w:ind w:left="360"/>
        <w:rPr>
          <w:b/>
          <w:noProof/>
          <w:lang w:val="en-GB"/>
        </w:rPr>
      </w:pPr>
    </w:p>
    <w:p w:rsidR="00913429" w:rsidRDefault="00E143F0">
      <w:pPr>
        <w:pStyle w:val="ListParagraph"/>
        <w:ind w:left="360"/>
        <w:jc w:val="both"/>
        <w:rPr>
          <w:noProof/>
          <w:lang w:val="en-GB"/>
        </w:rPr>
      </w:pPr>
      <w:r>
        <w:rPr>
          <w:noProof/>
          <w:lang w:val="en-GB"/>
        </w:rPr>
        <w:t>This is a personal opinion but I think that there is a lot of confusion on the meaning of each standard.</w:t>
      </w:r>
      <w:r>
        <w:rPr>
          <w:noProof/>
          <w:lang w:val="en-GB"/>
        </w:rPr>
        <w:t xml:space="preserve"> Most of the people do not understand what the security certification means and what does it guarantee you, on the purchase side. I think that too much information sometimes might create a lot of confusion. </w:t>
      </w:r>
    </w:p>
    <w:p w:rsidR="00913429" w:rsidRDefault="00913429">
      <w:pPr>
        <w:pStyle w:val="ListParagraph"/>
        <w:ind w:left="360"/>
        <w:rPr>
          <w:b/>
          <w:noProof/>
          <w:lang w:val="en-GB"/>
        </w:rPr>
      </w:pPr>
    </w:p>
    <w:p w:rsidR="00913429" w:rsidRDefault="00E143F0">
      <w:pPr>
        <w:pStyle w:val="ListParagraph"/>
        <w:numPr>
          <w:ilvl w:val="0"/>
          <w:numId w:val="190"/>
        </w:numPr>
        <w:jc w:val="both"/>
        <w:rPr>
          <w:noProof/>
          <w:lang w:val="en-GB"/>
        </w:rPr>
      </w:pPr>
      <w:r>
        <w:rPr>
          <w:b/>
          <w:noProof/>
          <w:lang w:val="en-GB"/>
        </w:rPr>
        <w:t>Do you think that a label with the main informa</w:t>
      </w:r>
      <w:r>
        <w:rPr>
          <w:b/>
          <w:noProof/>
          <w:lang w:val="en-GB"/>
        </w:rPr>
        <w:t xml:space="preserve">tion might be a solution for this problem? </w:t>
      </w:r>
    </w:p>
    <w:p w:rsidR="00913429" w:rsidRDefault="00913429">
      <w:pPr>
        <w:pStyle w:val="ListParagraph"/>
        <w:ind w:left="360"/>
        <w:jc w:val="both"/>
        <w:rPr>
          <w:noProof/>
          <w:lang w:val="en-GB"/>
        </w:rPr>
      </w:pPr>
    </w:p>
    <w:p w:rsidR="00913429" w:rsidRDefault="00E143F0">
      <w:pPr>
        <w:pStyle w:val="ListParagraph"/>
        <w:ind w:left="360"/>
        <w:jc w:val="both"/>
        <w:rPr>
          <w:noProof/>
          <w:lang w:val="en-GB"/>
        </w:rPr>
      </w:pPr>
      <w:r>
        <w:rPr>
          <w:noProof/>
          <w:lang w:val="en-GB"/>
        </w:rPr>
        <w:t xml:space="preserve">I am not sure. I think it depends if they understand the meaning of the label mark on the product. It would be useful to distinguish between two products but I am still skeptical about it. I think it depends on </w:t>
      </w:r>
      <w:r>
        <w:rPr>
          <w:noProof/>
          <w:lang w:val="en-GB"/>
        </w:rPr>
        <w:t>which customer group we are talking about here. I have to say that most of the organizations, who purchase components and products for the critical infrastructure, have the technical knowledge to distinguish between different levels of security protection.</w:t>
      </w:r>
      <w:r>
        <w:rPr>
          <w:noProof/>
          <w:lang w:val="en-GB"/>
        </w:rPr>
        <w:t xml:space="preserve"> In the case of IT devices in general, I believe that –yes- a security label might be useful for consumers. Furthermore, for the case of IoT devices, I think there is still a rationale for a certain type of labelling framework. It’s a difficult questions t</w:t>
      </w:r>
      <w:r>
        <w:rPr>
          <w:noProof/>
          <w:lang w:val="en-GB"/>
        </w:rPr>
        <w:t>o answer to because it is too general.</w:t>
      </w:r>
    </w:p>
    <w:p w:rsidR="00913429" w:rsidRDefault="00913429">
      <w:pPr>
        <w:pStyle w:val="ListParagraph"/>
        <w:ind w:left="360"/>
        <w:jc w:val="both"/>
        <w:rPr>
          <w:noProof/>
          <w:lang w:val="en-GB"/>
        </w:rPr>
      </w:pPr>
    </w:p>
    <w:p w:rsidR="00913429" w:rsidRDefault="00E143F0">
      <w:pPr>
        <w:pStyle w:val="ListParagraph"/>
        <w:numPr>
          <w:ilvl w:val="0"/>
          <w:numId w:val="190"/>
        </w:numPr>
        <w:jc w:val="both"/>
        <w:rPr>
          <w:b/>
          <w:noProof/>
          <w:lang w:val="en-GB"/>
        </w:rPr>
      </w:pPr>
      <w:r>
        <w:rPr>
          <w:b/>
          <w:noProof/>
          <w:lang w:val="en-GB"/>
        </w:rPr>
        <w:t>Considering the current situation, do you think that the critical infrastructures are at a greater risk because of the fragmentation across the market?</w:t>
      </w:r>
    </w:p>
    <w:p w:rsidR="00913429" w:rsidRDefault="00913429">
      <w:pPr>
        <w:pStyle w:val="ListParagraph"/>
        <w:ind w:left="360"/>
        <w:jc w:val="both"/>
        <w:rPr>
          <w:b/>
          <w:noProof/>
          <w:lang w:val="en-GB"/>
        </w:rPr>
      </w:pPr>
    </w:p>
    <w:p w:rsidR="00913429" w:rsidRDefault="00E143F0">
      <w:pPr>
        <w:pStyle w:val="ListParagraph"/>
        <w:ind w:left="360"/>
        <w:jc w:val="both"/>
        <w:rPr>
          <w:noProof/>
          <w:lang w:val="en-GB"/>
        </w:rPr>
      </w:pPr>
      <w:r>
        <w:rPr>
          <w:noProof/>
          <w:lang w:val="en-GB"/>
        </w:rPr>
        <w:t xml:space="preserve">Yes, I think so. The security level change across Europe and I </w:t>
      </w:r>
      <w:r>
        <w:rPr>
          <w:noProof/>
          <w:lang w:val="en-GB"/>
        </w:rPr>
        <w:t>think it might be problematic for the critical infrastructure.</w:t>
      </w:r>
    </w:p>
    <w:p w:rsidR="00913429" w:rsidRDefault="00913429">
      <w:pPr>
        <w:pStyle w:val="ListParagraph"/>
        <w:ind w:left="360"/>
        <w:jc w:val="both"/>
        <w:rPr>
          <w:b/>
          <w:noProof/>
          <w:lang w:val="en-GB"/>
        </w:rPr>
      </w:pPr>
    </w:p>
    <w:p w:rsidR="00913429" w:rsidRDefault="00E143F0">
      <w:pPr>
        <w:pStyle w:val="ListParagraph"/>
        <w:numPr>
          <w:ilvl w:val="0"/>
          <w:numId w:val="190"/>
        </w:numPr>
        <w:jc w:val="both"/>
        <w:rPr>
          <w:b/>
          <w:noProof/>
          <w:lang w:val="en-GB"/>
        </w:rPr>
      </w:pPr>
      <w:r>
        <w:rPr>
          <w:b/>
          <w:noProof/>
          <w:lang w:val="en-GB"/>
        </w:rPr>
        <w:t xml:space="preserve">We are doing a case study on cloud computing. Do you think that the lack of a certification on this kind of service could affect the choice of companies to use it? Do you have any experiences </w:t>
      </w:r>
      <w:r>
        <w:rPr>
          <w:b/>
          <w:noProof/>
          <w:lang w:val="en-GB"/>
        </w:rPr>
        <w:t>to share with us, related to the Cloud services?</w:t>
      </w:r>
    </w:p>
    <w:p w:rsidR="00913429" w:rsidRDefault="00913429">
      <w:pPr>
        <w:pStyle w:val="ListParagraph"/>
        <w:ind w:left="360"/>
        <w:jc w:val="both"/>
        <w:rPr>
          <w:b/>
          <w:noProof/>
          <w:lang w:val="en-GB"/>
        </w:rPr>
      </w:pPr>
    </w:p>
    <w:p w:rsidR="00913429" w:rsidRDefault="00E143F0">
      <w:pPr>
        <w:pStyle w:val="ListParagraph"/>
        <w:ind w:left="360"/>
        <w:jc w:val="both"/>
        <w:rPr>
          <w:noProof/>
          <w:lang w:val="en-GB"/>
        </w:rPr>
      </w:pPr>
      <w:r>
        <w:rPr>
          <w:noProof/>
          <w:lang w:val="en-GB"/>
        </w:rPr>
        <w:t>There are definitely several issues related to the Cloud, including trust ones. It is more difficult because it is not suitable for all certification. I have an example related to critical national infrastr</w:t>
      </w:r>
      <w:r>
        <w:rPr>
          <w:noProof/>
          <w:lang w:val="en-GB"/>
        </w:rPr>
        <w:t xml:space="preserve">ucture. Virtualization and Cloud have many benefits for the management of the critical infrastructure but it is important to know every technical aspect and functionality of it.  </w:t>
      </w:r>
    </w:p>
    <w:p w:rsidR="00913429" w:rsidRDefault="00913429">
      <w:pPr>
        <w:pStyle w:val="ListParagraph"/>
        <w:ind w:left="360"/>
        <w:jc w:val="both"/>
        <w:rPr>
          <w:b/>
          <w:noProof/>
          <w:lang w:val="en-GB"/>
        </w:rPr>
      </w:pPr>
    </w:p>
    <w:p w:rsidR="00913429" w:rsidRDefault="00E143F0">
      <w:pPr>
        <w:pStyle w:val="ListParagraph"/>
        <w:numPr>
          <w:ilvl w:val="0"/>
          <w:numId w:val="190"/>
        </w:numPr>
        <w:jc w:val="both"/>
        <w:rPr>
          <w:b/>
          <w:noProof/>
          <w:lang w:val="en-GB"/>
        </w:rPr>
      </w:pPr>
      <w:r>
        <w:rPr>
          <w:b/>
          <w:noProof/>
          <w:lang w:val="en-GB"/>
        </w:rPr>
        <w:t>Do you have any other suggestion or advice for the European Commission on t</w:t>
      </w:r>
      <w:r>
        <w:rPr>
          <w:b/>
          <w:noProof/>
          <w:lang w:val="en-GB"/>
        </w:rPr>
        <w:t xml:space="preserve">he topics we discussed before? </w:t>
      </w:r>
    </w:p>
    <w:p w:rsidR="00913429" w:rsidRDefault="00913429">
      <w:pPr>
        <w:pStyle w:val="ListParagraph"/>
        <w:ind w:left="360"/>
        <w:jc w:val="both"/>
        <w:rPr>
          <w:b/>
          <w:noProof/>
          <w:lang w:val="en-GB"/>
        </w:rPr>
      </w:pPr>
    </w:p>
    <w:p w:rsidR="00913429" w:rsidRDefault="00E143F0">
      <w:pPr>
        <w:pStyle w:val="ListParagraph"/>
        <w:ind w:left="360"/>
        <w:jc w:val="both"/>
        <w:rPr>
          <w:b/>
          <w:noProof/>
          <w:lang w:val="en-GB"/>
        </w:rPr>
      </w:pPr>
      <w:r>
        <w:rPr>
          <w:noProof/>
          <w:lang w:val="en-GB"/>
        </w:rPr>
        <w:t>Critical infrastructures are by definition more critical than IoT, in general. However, the fragmentation is a common theme for both of them and, as we have seen, it unhelpful. For this reason, we support what the Commissio</w:t>
      </w:r>
      <w:r>
        <w:rPr>
          <w:noProof/>
          <w:lang w:val="en-GB"/>
        </w:rPr>
        <w:t xml:space="preserve">n is trying to do. With that said, we think that the European Commission, in her impact assessment, is going in the other direction, for what concerns certain solutions. We would not support the extreme one such as support mandatory requirements. We think </w:t>
      </w:r>
      <w:r>
        <w:rPr>
          <w:noProof/>
          <w:lang w:val="en-GB"/>
        </w:rPr>
        <w:t>that the more moderate attempt, that keeps in consideration both the European Market and each jurisdiction, would be better. I think that it would also be positive if European Commission, instructed by ENISA, could define a set of best practices. As we sta</w:t>
      </w:r>
      <w:r>
        <w:rPr>
          <w:noProof/>
          <w:lang w:val="en-GB"/>
        </w:rPr>
        <w:t>rted working on the IoT with the European Commission, there were different opinions regarding the possibility of a label. We were supportive. In fact, if the label would be reassuring for the customer, it would also increase the trust in the company. There</w:t>
      </w:r>
      <w:r>
        <w:rPr>
          <w:noProof/>
          <w:lang w:val="en-GB"/>
        </w:rPr>
        <w:t xml:space="preserve"> are two issues however. First, it is quite difficult to communicate security levels through a label. Secondly, there would still be some kind of fragmentation. The labelling in itself is good but there should be a proper discussion on how does it communic</w:t>
      </w:r>
      <w:r>
        <w:rPr>
          <w:noProof/>
          <w:lang w:val="en-GB"/>
        </w:rPr>
        <w:t xml:space="preserve">ate. </w:t>
      </w:r>
    </w:p>
    <w:p w:rsidR="00913429" w:rsidRDefault="00E143F0">
      <w:pPr>
        <w:spacing w:after="0" w:line="240" w:lineRule="auto"/>
        <w:rPr>
          <w:rFonts w:eastAsia="Times New Roman" w:cs="Tahoma"/>
          <w:noProof/>
          <w:sz w:val="22"/>
          <w:szCs w:val="26"/>
          <w:lang w:eastAsia="it-IT"/>
        </w:rPr>
      </w:pPr>
      <w:r>
        <w:rPr>
          <w:rFonts w:eastAsia="Times New Roman" w:cs="Tahoma"/>
          <w:noProof/>
          <w:sz w:val="22"/>
          <w:szCs w:val="26"/>
          <w:lang w:eastAsia="it-IT"/>
        </w:rPr>
        <w:br w:type="page"/>
      </w:r>
    </w:p>
    <w:p w:rsidR="00913429" w:rsidRDefault="00E143F0">
      <w:pPr>
        <w:keepNext/>
        <w:keepLines/>
        <w:tabs>
          <w:tab w:val="left" w:pos="993"/>
        </w:tabs>
        <w:spacing w:after="360"/>
        <w:ind w:left="360" w:right="-23"/>
        <w:outlineLvl w:val="1"/>
        <w:rPr>
          <w:rFonts w:eastAsia="SimHei"/>
          <w:b/>
          <w:bCs/>
          <w:i/>
          <w:noProof/>
          <w:color w:val="DC6900"/>
          <w:sz w:val="32"/>
          <w:szCs w:val="26"/>
        </w:rPr>
      </w:pPr>
      <w:bookmarkStart w:id="64" w:name="_Toc492396559"/>
      <w:r>
        <w:rPr>
          <w:rFonts w:eastAsia="SimHei"/>
          <w:b/>
          <w:bCs/>
          <w:i/>
          <w:noProof/>
          <w:color w:val="DC6900"/>
          <w:sz w:val="32"/>
          <w:szCs w:val="26"/>
        </w:rPr>
        <w:t>7.2 Questionnaire</w:t>
      </w:r>
      <w:bookmarkEnd w:id="64"/>
    </w:p>
    <w:p w:rsidR="00913429" w:rsidRDefault="00E143F0">
      <w:pPr>
        <w:spacing w:after="0"/>
        <w:jc w:val="both"/>
        <w:rPr>
          <w:rFonts w:cs="Georgia"/>
          <w:noProof/>
          <w:color w:val="000000"/>
          <w:lang w:eastAsia="it-IT"/>
        </w:rPr>
      </w:pPr>
      <w:r>
        <w:rPr>
          <w:noProof/>
        </w:rPr>
        <w:t xml:space="preserve">In order to assist the </w:t>
      </w:r>
      <w:r>
        <w:rPr>
          <w:rFonts w:cs="Georgia"/>
          <w:b/>
          <w:bCs/>
          <w:noProof/>
          <w:color w:val="000000"/>
          <w:lang w:eastAsia="it-IT"/>
        </w:rPr>
        <w:t>European Commission - DG CNECT in gathering evidence on ICT security certification and labelling</w:t>
      </w:r>
      <w:r>
        <w:rPr>
          <w:rFonts w:cs="Georgia"/>
          <w:noProof/>
          <w:color w:val="000000"/>
          <w:lang w:eastAsia="it-IT"/>
        </w:rPr>
        <w:t>, the consortium made an online questionnaire open up to 19</w:t>
      </w:r>
      <w:r>
        <w:rPr>
          <w:rFonts w:cs="Georgia"/>
          <w:noProof/>
          <w:color w:val="000000"/>
          <w:vertAlign w:val="superscript"/>
          <w:lang w:eastAsia="it-IT"/>
        </w:rPr>
        <w:t xml:space="preserve">th </w:t>
      </w:r>
      <w:r>
        <w:rPr>
          <w:rFonts w:cs="Georgia"/>
          <w:noProof/>
          <w:color w:val="000000"/>
          <w:lang w:eastAsia="it-IT"/>
        </w:rPr>
        <w:t>June 2017.</w:t>
      </w:r>
    </w:p>
    <w:p w:rsidR="00913429" w:rsidRDefault="00E143F0">
      <w:pPr>
        <w:jc w:val="both"/>
        <w:rPr>
          <w:rFonts w:cs="Georgia"/>
          <w:noProof/>
          <w:color w:val="000000"/>
          <w:lang w:eastAsia="it-IT"/>
        </w:rPr>
      </w:pPr>
      <w:r>
        <w:rPr>
          <w:rFonts w:cs="Georgia"/>
          <w:noProof/>
          <w:color w:val="000000"/>
          <w:lang w:eastAsia="it-IT"/>
        </w:rPr>
        <w:t xml:space="preserve">The Questionnaire will help the Consortium and the European Commission to build additional specific evidence to the results of the ENISA survey on “EU certification and labelling framework”, which is a key step to </w:t>
      </w:r>
      <w:r>
        <w:rPr>
          <w:rFonts w:cs="Georgia"/>
          <w:b/>
          <w:bCs/>
          <w:noProof/>
          <w:color w:val="000000"/>
          <w:lang w:eastAsia="it-IT"/>
        </w:rPr>
        <w:t>support the design of a European policy/re</w:t>
      </w:r>
      <w:r>
        <w:rPr>
          <w:rFonts w:cs="Georgia"/>
          <w:b/>
          <w:bCs/>
          <w:noProof/>
          <w:color w:val="000000"/>
          <w:lang w:eastAsia="it-IT"/>
        </w:rPr>
        <w:t>gulation which is close to the needs of the European ICT industries</w:t>
      </w:r>
      <w:r>
        <w:rPr>
          <w:rFonts w:cs="Georgia"/>
          <w:noProof/>
          <w:color w:val="000000"/>
          <w:lang w:eastAsia="it-IT"/>
        </w:rPr>
        <w:t>.</w:t>
      </w:r>
    </w:p>
    <w:p w:rsidR="00913429" w:rsidRDefault="00E143F0">
      <w:pPr>
        <w:spacing w:after="360"/>
        <w:rPr>
          <w:rFonts w:cs="Georgia"/>
          <w:noProof/>
          <w:color w:val="000000"/>
          <w:lang w:eastAsia="it-IT"/>
        </w:rPr>
      </w:pPr>
      <w:r>
        <w:rPr>
          <w:rFonts w:cs="Georgia"/>
          <w:noProof/>
          <w:color w:val="000000"/>
          <w:lang w:eastAsia="it-IT"/>
        </w:rPr>
        <w:t>The questionnaire has been designed by putting multiple closed questions and some open questions where the selected stakeholders can more detail some relevant aspect. The Questionnaire te</w:t>
      </w:r>
      <w:r>
        <w:rPr>
          <w:rFonts w:cs="Georgia"/>
          <w:noProof/>
          <w:color w:val="000000"/>
          <w:lang w:eastAsia="it-IT"/>
        </w:rPr>
        <w:t>mplate can be consulted here below:</w:t>
      </w:r>
    </w:p>
    <w:p w:rsidR="00913429" w:rsidRDefault="00913429">
      <w:pPr>
        <w:autoSpaceDE w:val="0"/>
        <w:autoSpaceDN w:val="0"/>
        <w:adjustRightInd w:val="0"/>
        <w:spacing w:after="0" w:line="240" w:lineRule="auto"/>
        <w:rPr>
          <w:rFonts w:cs="Georgia"/>
          <w:noProof/>
          <w:color w:val="000000"/>
          <w:sz w:val="24"/>
          <w:szCs w:val="24"/>
          <w:lang w:eastAsia="it-IT"/>
        </w:rPr>
      </w:pPr>
    </w:p>
    <w:p w:rsidR="00913429" w:rsidRDefault="00E143F0">
      <w:pPr>
        <w:autoSpaceDE w:val="0"/>
        <w:autoSpaceDN w:val="0"/>
        <w:adjustRightInd w:val="0"/>
        <w:spacing w:after="0" w:line="240" w:lineRule="auto"/>
        <w:rPr>
          <w:rFonts w:cs="Georgia"/>
          <w:noProof/>
          <w:color w:val="000000"/>
          <w:lang w:eastAsia="it-IT"/>
        </w:rPr>
      </w:pPr>
      <w:r>
        <w:rPr>
          <w:rFonts w:cs="Georgia"/>
          <w:noProof/>
          <w:color w:val="000000"/>
          <w:sz w:val="24"/>
          <w:szCs w:val="24"/>
          <w:lang w:eastAsia="it-IT"/>
        </w:rPr>
        <w:t xml:space="preserve"> </w:t>
      </w:r>
      <w:r>
        <w:rPr>
          <w:rFonts w:cs="Georgia"/>
          <w:b/>
          <w:bCs/>
          <w:noProof/>
          <w:color w:val="000000"/>
          <w:lang w:eastAsia="it-IT"/>
        </w:rPr>
        <w:t xml:space="preserve">A. Introduction </w:t>
      </w:r>
    </w:p>
    <w:p w:rsidR="00913429" w:rsidRDefault="00E143F0">
      <w:pPr>
        <w:autoSpaceDE w:val="0"/>
        <w:autoSpaceDN w:val="0"/>
        <w:adjustRightInd w:val="0"/>
        <w:spacing w:after="0" w:line="240" w:lineRule="auto"/>
        <w:rPr>
          <w:rFonts w:cs="Georgia"/>
          <w:noProof/>
          <w:color w:val="000000"/>
          <w:lang w:eastAsia="it-IT"/>
        </w:rPr>
      </w:pPr>
      <w:r>
        <w:rPr>
          <w:rFonts w:cs="Georgia"/>
          <w:noProof/>
          <w:color w:val="000000"/>
          <w:lang w:eastAsia="it-IT"/>
        </w:rPr>
        <w:t>This questionnaire is organised by PwC and Fondazione Ugo Bordoni FUB to assist the European Commission in gathering evidence on ICT security certification and labelling. It takes into account the resu</w:t>
      </w:r>
      <w:r>
        <w:rPr>
          <w:rFonts w:cs="Georgia"/>
          <w:noProof/>
          <w:color w:val="000000"/>
          <w:lang w:eastAsia="it-IT"/>
        </w:rPr>
        <w:t xml:space="preserve">lts of the ENISA survey on “EU certification and labelling framework” and aims at building additional evidence. By answering to the questionnaire, you will provide critical support for the collection of data on the impact of vendor’s strategic operations, </w:t>
      </w:r>
      <w:r>
        <w:rPr>
          <w:rFonts w:cs="Georgia"/>
          <w:noProof/>
          <w:color w:val="000000"/>
          <w:lang w:eastAsia="it-IT"/>
        </w:rPr>
        <w:t xml:space="preserve">consumer’s behaviours and what is the most desirable policy option and most conducive regulatory environment for such critical area of activity. </w:t>
      </w:r>
    </w:p>
    <w:p w:rsidR="00913429" w:rsidRDefault="00E143F0">
      <w:pPr>
        <w:autoSpaceDE w:val="0"/>
        <w:autoSpaceDN w:val="0"/>
        <w:adjustRightInd w:val="0"/>
        <w:spacing w:after="0" w:line="240" w:lineRule="auto"/>
        <w:rPr>
          <w:rFonts w:cs="Georgia"/>
          <w:noProof/>
          <w:color w:val="000000"/>
          <w:lang w:eastAsia="it-IT"/>
        </w:rPr>
      </w:pPr>
      <w:r>
        <w:rPr>
          <w:rFonts w:cs="Georgia"/>
          <w:noProof/>
          <w:color w:val="000000"/>
          <w:lang w:eastAsia="it-IT"/>
        </w:rPr>
        <w:t>This questionnaire includes multiple-choice and open questions. You can only choose one option for each questi</w:t>
      </w:r>
      <w:r>
        <w:rPr>
          <w:rFonts w:cs="Georgia"/>
          <w:noProof/>
          <w:color w:val="000000"/>
          <w:lang w:eastAsia="it-IT"/>
        </w:rPr>
        <w:t xml:space="preserve">on. If a question is not applicable to you, or you do not know which option to choose, simply skip that question. Once an option is selected, it can be changed to another option, but you cannot completely remove your response. </w:t>
      </w:r>
    </w:p>
    <w:p w:rsidR="00913429" w:rsidRDefault="00E143F0">
      <w:pPr>
        <w:autoSpaceDE w:val="0"/>
        <w:autoSpaceDN w:val="0"/>
        <w:adjustRightInd w:val="0"/>
        <w:spacing w:after="0" w:line="240" w:lineRule="auto"/>
        <w:rPr>
          <w:rFonts w:cs="Georgia"/>
          <w:noProof/>
          <w:color w:val="000000"/>
          <w:lang w:eastAsia="it-IT"/>
        </w:rPr>
      </w:pPr>
      <w:r>
        <w:rPr>
          <w:rFonts w:cs="Georgia"/>
          <w:noProof/>
          <w:color w:val="000000"/>
          <w:lang w:eastAsia="it-IT"/>
        </w:rPr>
        <w:t>All responses recorded, incl</w:t>
      </w:r>
      <w:r>
        <w:rPr>
          <w:rFonts w:cs="Georgia"/>
          <w:noProof/>
          <w:color w:val="000000"/>
          <w:lang w:eastAsia="it-IT"/>
        </w:rPr>
        <w:t>uding any personal information you provide, will be kept strictly confidential. Your input will only be used in combination with the responses of others participating in the questionnaire. Our research examines the opinions of groups of respondents. Your i</w:t>
      </w:r>
      <w:r>
        <w:rPr>
          <w:rFonts w:cs="Georgia"/>
          <w:noProof/>
          <w:color w:val="000000"/>
          <w:lang w:eastAsia="it-IT"/>
        </w:rPr>
        <w:t>ndividual responses will not be shown to anyone outside the study team.</w:t>
      </w:r>
    </w:p>
    <w:p w:rsidR="00913429" w:rsidRDefault="00913429">
      <w:pPr>
        <w:autoSpaceDE w:val="0"/>
        <w:autoSpaceDN w:val="0"/>
        <w:adjustRightInd w:val="0"/>
        <w:spacing w:after="0" w:line="240" w:lineRule="auto"/>
        <w:rPr>
          <w:rFonts w:cs="Georgia"/>
          <w:noProof/>
          <w:color w:val="000000"/>
          <w:lang w:eastAsia="it-IT"/>
        </w:rPr>
      </w:pPr>
    </w:p>
    <w:p w:rsidR="00913429" w:rsidRDefault="00E143F0">
      <w:pPr>
        <w:autoSpaceDE w:val="0"/>
        <w:autoSpaceDN w:val="0"/>
        <w:adjustRightInd w:val="0"/>
        <w:spacing w:after="0" w:line="240" w:lineRule="auto"/>
        <w:rPr>
          <w:rFonts w:cs="Georgia"/>
          <w:noProof/>
          <w:color w:val="000000"/>
          <w:lang w:eastAsia="it-IT"/>
        </w:rPr>
      </w:pPr>
      <w:r>
        <w:rPr>
          <w:rFonts w:cs="Georgia"/>
          <w:b/>
          <w:bCs/>
          <w:noProof/>
          <w:color w:val="000000"/>
          <w:lang w:eastAsia="it-IT"/>
        </w:rPr>
        <w:t xml:space="preserve">B. Registry questions </w:t>
      </w:r>
    </w:p>
    <w:p w:rsidR="00913429" w:rsidRDefault="00913429">
      <w:pPr>
        <w:autoSpaceDE w:val="0"/>
        <w:autoSpaceDN w:val="0"/>
        <w:adjustRightInd w:val="0"/>
        <w:spacing w:after="0" w:line="240" w:lineRule="auto"/>
        <w:rPr>
          <w:rFonts w:cs="Georgia"/>
          <w:noProof/>
          <w:color w:val="000000"/>
          <w:lang w:eastAsia="it-IT"/>
        </w:rPr>
      </w:pPr>
    </w:p>
    <w:p w:rsidR="00913429" w:rsidRDefault="00E143F0">
      <w:pPr>
        <w:autoSpaceDE w:val="0"/>
        <w:autoSpaceDN w:val="0"/>
        <w:adjustRightInd w:val="0"/>
        <w:spacing w:after="0" w:line="240" w:lineRule="auto"/>
        <w:rPr>
          <w:rFonts w:cs="Georgia"/>
          <w:noProof/>
          <w:color w:val="000000"/>
          <w:lang w:eastAsia="it-IT"/>
        </w:rPr>
      </w:pPr>
      <w:r>
        <w:rPr>
          <w:rFonts w:cs="Georgia"/>
          <w:noProof/>
          <w:color w:val="000000"/>
          <w:lang w:eastAsia="it-IT"/>
        </w:rPr>
        <w:t xml:space="preserve">What is your first name? </w:t>
      </w:r>
    </w:p>
    <w:p w:rsidR="00913429" w:rsidRDefault="00913429">
      <w:pPr>
        <w:autoSpaceDE w:val="0"/>
        <w:autoSpaceDN w:val="0"/>
        <w:adjustRightInd w:val="0"/>
        <w:spacing w:after="0" w:line="240" w:lineRule="auto"/>
        <w:rPr>
          <w:rFonts w:cs="Georgia"/>
          <w:noProof/>
          <w:color w:val="000000"/>
          <w:lang w:eastAsia="it-IT"/>
        </w:rPr>
      </w:pPr>
    </w:p>
    <w:p w:rsidR="00913429" w:rsidRDefault="00E143F0">
      <w:pPr>
        <w:autoSpaceDE w:val="0"/>
        <w:autoSpaceDN w:val="0"/>
        <w:adjustRightInd w:val="0"/>
        <w:spacing w:after="0" w:line="240" w:lineRule="auto"/>
        <w:rPr>
          <w:rFonts w:cs="Georgia"/>
          <w:noProof/>
          <w:color w:val="000000"/>
          <w:lang w:eastAsia="it-IT"/>
        </w:rPr>
      </w:pPr>
      <w:r>
        <w:rPr>
          <w:rFonts w:cs="Georgia"/>
          <w:noProof/>
          <w:color w:val="000000"/>
          <w:lang w:eastAsia="it-IT"/>
        </w:rPr>
        <w:t xml:space="preserve">What is your last name? </w:t>
      </w:r>
    </w:p>
    <w:p w:rsidR="00913429" w:rsidRDefault="00913429">
      <w:pPr>
        <w:autoSpaceDE w:val="0"/>
        <w:autoSpaceDN w:val="0"/>
        <w:adjustRightInd w:val="0"/>
        <w:spacing w:after="0" w:line="240" w:lineRule="auto"/>
        <w:rPr>
          <w:rFonts w:cs="Georgia"/>
          <w:noProof/>
          <w:color w:val="000000"/>
          <w:lang w:eastAsia="it-IT"/>
        </w:rPr>
      </w:pPr>
    </w:p>
    <w:p w:rsidR="00913429" w:rsidRDefault="00E143F0">
      <w:pPr>
        <w:autoSpaceDE w:val="0"/>
        <w:autoSpaceDN w:val="0"/>
        <w:adjustRightInd w:val="0"/>
        <w:spacing w:after="0" w:line="240" w:lineRule="auto"/>
        <w:rPr>
          <w:rFonts w:cs="Georgia"/>
          <w:noProof/>
          <w:color w:val="000000"/>
          <w:lang w:eastAsia="it-IT"/>
        </w:rPr>
      </w:pPr>
      <w:r>
        <w:rPr>
          <w:rFonts w:cs="Georgia"/>
          <w:noProof/>
          <w:color w:val="000000"/>
          <w:lang w:eastAsia="it-IT"/>
        </w:rPr>
        <w:t xml:space="preserve">What is your email address? </w:t>
      </w:r>
    </w:p>
    <w:p w:rsidR="00913429" w:rsidRDefault="00913429">
      <w:pPr>
        <w:autoSpaceDE w:val="0"/>
        <w:autoSpaceDN w:val="0"/>
        <w:adjustRightInd w:val="0"/>
        <w:spacing w:after="0" w:line="240" w:lineRule="auto"/>
        <w:rPr>
          <w:rFonts w:cs="Georgia"/>
          <w:noProof/>
          <w:color w:val="000000"/>
          <w:lang w:eastAsia="it-IT"/>
        </w:rPr>
      </w:pPr>
    </w:p>
    <w:p w:rsidR="00913429" w:rsidRDefault="00E143F0">
      <w:pPr>
        <w:autoSpaceDE w:val="0"/>
        <w:autoSpaceDN w:val="0"/>
        <w:adjustRightInd w:val="0"/>
        <w:spacing w:after="0" w:line="240" w:lineRule="auto"/>
        <w:rPr>
          <w:rFonts w:cs="Georgia"/>
          <w:noProof/>
          <w:color w:val="000000"/>
          <w:lang w:eastAsia="it-IT"/>
        </w:rPr>
      </w:pPr>
      <w:r>
        <w:rPr>
          <w:rFonts w:cs="Georgia"/>
          <w:i/>
          <w:iCs/>
          <w:noProof/>
          <w:color w:val="000000"/>
          <w:lang w:eastAsia="it-IT"/>
        </w:rPr>
        <w:t xml:space="preserve">Please provide your email if you accept being contacted on the subject of the study </w:t>
      </w:r>
    </w:p>
    <w:p w:rsidR="00913429" w:rsidRDefault="00E143F0">
      <w:pPr>
        <w:autoSpaceDE w:val="0"/>
        <w:autoSpaceDN w:val="0"/>
        <w:adjustRightInd w:val="0"/>
        <w:spacing w:after="0" w:line="240" w:lineRule="auto"/>
        <w:rPr>
          <w:rFonts w:cs="Georgia"/>
          <w:noProof/>
          <w:color w:val="000000"/>
          <w:lang w:eastAsia="it-IT"/>
        </w:rPr>
      </w:pPr>
      <w:r>
        <w:rPr>
          <w:rFonts w:cs="Georgia"/>
          <w:noProof/>
          <w:color w:val="000000"/>
          <w:lang w:eastAsia="it-IT"/>
        </w:rPr>
        <w:t xml:space="preserve">What is your type of organization? </w:t>
      </w:r>
    </w:p>
    <w:p w:rsidR="00913429" w:rsidRDefault="00913429">
      <w:pPr>
        <w:autoSpaceDE w:val="0"/>
        <w:autoSpaceDN w:val="0"/>
        <w:adjustRightInd w:val="0"/>
        <w:spacing w:after="0" w:line="240" w:lineRule="auto"/>
        <w:rPr>
          <w:rFonts w:cs="Georgia"/>
          <w:noProof/>
          <w:color w:val="000000"/>
          <w:lang w:eastAsia="it-IT"/>
        </w:rPr>
      </w:pPr>
    </w:p>
    <w:p w:rsidR="00913429" w:rsidRDefault="00E143F0">
      <w:pPr>
        <w:autoSpaceDE w:val="0"/>
        <w:autoSpaceDN w:val="0"/>
        <w:adjustRightInd w:val="0"/>
        <w:spacing w:after="0" w:line="240" w:lineRule="auto"/>
        <w:rPr>
          <w:rFonts w:cs="Georgia"/>
          <w:noProof/>
          <w:color w:val="000000"/>
          <w:lang w:eastAsia="it-IT"/>
        </w:rPr>
      </w:pPr>
      <w:r>
        <w:rPr>
          <w:rFonts w:ascii="Wingdings" w:hAnsi="Wingdings" w:cs="Wingdings"/>
          <w:noProof/>
          <w:color w:val="000000"/>
          <w:lang w:eastAsia="it-IT"/>
        </w:rPr>
        <w:t></w:t>
      </w:r>
      <w:r>
        <w:rPr>
          <w:rFonts w:ascii="Wingdings" w:hAnsi="Wingdings" w:cs="Wingdings"/>
          <w:noProof/>
          <w:color w:val="000000"/>
          <w:lang w:eastAsia="it-IT"/>
        </w:rPr>
        <w:t></w:t>
      </w:r>
      <w:r>
        <w:rPr>
          <w:rFonts w:cs="Georgia"/>
          <w:noProof/>
          <w:color w:val="000000"/>
          <w:lang w:eastAsia="it-IT"/>
        </w:rPr>
        <w:t xml:space="preserve">Evaluation lab </w:t>
      </w:r>
    </w:p>
    <w:p w:rsidR="00913429" w:rsidRDefault="00E143F0">
      <w:pPr>
        <w:autoSpaceDE w:val="0"/>
        <w:autoSpaceDN w:val="0"/>
        <w:adjustRightInd w:val="0"/>
        <w:spacing w:after="0" w:line="240" w:lineRule="auto"/>
        <w:rPr>
          <w:rFonts w:cs="Georgia"/>
          <w:noProof/>
          <w:color w:val="000000"/>
          <w:lang w:eastAsia="it-IT"/>
        </w:rPr>
      </w:pPr>
      <w:r>
        <w:rPr>
          <w:rFonts w:ascii="Wingdings" w:hAnsi="Wingdings" w:cs="Wingdings"/>
          <w:noProof/>
          <w:color w:val="000000"/>
          <w:lang w:eastAsia="it-IT"/>
        </w:rPr>
        <w:t></w:t>
      </w:r>
      <w:r>
        <w:rPr>
          <w:rFonts w:ascii="Wingdings" w:hAnsi="Wingdings" w:cs="Wingdings"/>
          <w:noProof/>
          <w:color w:val="000000"/>
          <w:lang w:eastAsia="it-IT"/>
        </w:rPr>
        <w:t></w:t>
      </w:r>
      <w:r>
        <w:rPr>
          <w:rFonts w:cs="Georgia"/>
          <w:noProof/>
          <w:color w:val="000000"/>
          <w:lang w:eastAsia="it-IT"/>
        </w:rPr>
        <w:t xml:space="preserve">Certification Authority </w:t>
      </w:r>
    </w:p>
    <w:p w:rsidR="00913429" w:rsidRDefault="00E143F0">
      <w:pPr>
        <w:autoSpaceDE w:val="0"/>
        <w:autoSpaceDN w:val="0"/>
        <w:adjustRightInd w:val="0"/>
        <w:spacing w:after="0" w:line="240" w:lineRule="auto"/>
        <w:rPr>
          <w:rFonts w:cs="Georgia"/>
          <w:noProof/>
          <w:color w:val="000000"/>
          <w:lang w:eastAsia="it-IT"/>
        </w:rPr>
      </w:pPr>
      <w:r>
        <w:rPr>
          <w:rFonts w:ascii="Wingdings" w:hAnsi="Wingdings" w:cs="Wingdings"/>
          <w:noProof/>
          <w:color w:val="000000"/>
          <w:lang w:eastAsia="it-IT"/>
        </w:rPr>
        <w:t></w:t>
      </w:r>
      <w:r>
        <w:rPr>
          <w:rFonts w:ascii="Wingdings" w:hAnsi="Wingdings" w:cs="Wingdings"/>
          <w:noProof/>
          <w:color w:val="000000"/>
          <w:lang w:eastAsia="it-IT"/>
        </w:rPr>
        <w:t></w:t>
      </w:r>
      <w:r>
        <w:rPr>
          <w:rFonts w:cs="Georgia"/>
          <w:noProof/>
          <w:color w:val="000000"/>
          <w:lang w:eastAsia="it-IT"/>
        </w:rPr>
        <w:t xml:space="preserve">Public Administration </w:t>
      </w:r>
    </w:p>
    <w:p w:rsidR="00913429" w:rsidRDefault="00E143F0">
      <w:pPr>
        <w:autoSpaceDE w:val="0"/>
        <w:autoSpaceDN w:val="0"/>
        <w:adjustRightInd w:val="0"/>
        <w:spacing w:after="0" w:line="240" w:lineRule="auto"/>
        <w:rPr>
          <w:rFonts w:cs="Georgia"/>
          <w:noProof/>
          <w:color w:val="000000"/>
          <w:lang w:eastAsia="it-IT"/>
        </w:rPr>
      </w:pPr>
      <w:r>
        <w:rPr>
          <w:rFonts w:ascii="Wingdings" w:hAnsi="Wingdings" w:cs="Wingdings"/>
          <w:noProof/>
          <w:color w:val="000000"/>
          <w:lang w:eastAsia="it-IT"/>
        </w:rPr>
        <w:t></w:t>
      </w:r>
      <w:r>
        <w:rPr>
          <w:rFonts w:ascii="Wingdings" w:hAnsi="Wingdings" w:cs="Wingdings"/>
          <w:noProof/>
          <w:color w:val="000000"/>
          <w:lang w:eastAsia="it-IT"/>
        </w:rPr>
        <w:t></w:t>
      </w:r>
      <w:r>
        <w:rPr>
          <w:rFonts w:cs="Georgia"/>
          <w:noProof/>
          <w:color w:val="000000"/>
          <w:lang w:eastAsia="it-IT"/>
        </w:rPr>
        <w:t xml:space="preserve">ICT Security expert </w:t>
      </w:r>
    </w:p>
    <w:p w:rsidR="00913429" w:rsidRDefault="00E143F0">
      <w:pPr>
        <w:autoSpaceDE w:val="0"/>
        <w:autoSpaceDN w:val="0"/>
        <w:adjustRightInd w:val="0"/>
        <w:spacing w:after="0" w:line="240" w:lineRule="auto"/>
        <w:rPr>
          <w:rFonts w:cs="Georgia"/>
          <w:noProof/>
          <w:color w:val="000000"/>
          <w:lang w:eastAsia="it-IT"/>
        </w:rPr>
      </w:pPr>
      <w:r>
        <w:rPr>
          <w:rFonts w:ascii="Wingdings" w:hAnsi="Wingdings" w:cs="Wingdings"/>
          <w:noProof/>
          <w:color w:val="000000"/>
          <w:lang w:eastAsia="it-IT"/>
        </w:rPr>
        <w:t></w:t>
      </w:r>
      <w:r>
        <w:rPr>
          <w:rFonts w:ascii="Wingdings" w:hAnsi="Wingdings" w:cs="Wingdings"/>
          <w:noProof/>
          <w:color w:val="000000"/>
          <w:lang w:eastAsia="it-IT"/>
        </w:rPr>
        <w:t></w:t>
      </w:r>
      <w:r>
        <w:rPr>
          <w:rFonts w:cs="Georgia"/>
          <w:noProof/>
          <w:color w:val="000000"/>
          <w:lang w:eastAsia="it-IT"/>
        </w:rPr>
        <w:t xml:space="preserve">Vendor (service/product) </w:t>
      </w:r>
    </w:p>
    <w:p w:rsidR="00913429" w:rsidRDefault="00E143F0">
      <w:pPr>
        <w:autoSpaceDE w:val="0"/>
        <w:autoSpaceDN w:val="0"/>
        <w:adjustRightInd w:val="0"/>
        <w:spacing w:after="0" w:line="240" w:lineRule="auto"/>
        <w:rPr>
          <w:rFonts w:cs="Georgia"/>
          <w:noProof/>
          <w:color w:val="000000"/>
          <w:lang w:eastAsia="it-IT"/>
        </w:rPr>
      </w:pPr>
      <w:r>
        <w:rPr>
          <w:rFonts w:ascii="Wingdings" w:hAnsi="Wingdings" w:cs="Wingdings"/>
          <w:noProof/>
          <w:color w:val="000000"/>
          <w:lang w:eastAsia="it-IT"/>
        </w:rPr>
        <w:t></w:t>
      </w:r>
      <w:r>
        <w:rPr>
          <w:rFonts w:ascii="Wingdings" w:hAnsi="Wingdings" w:cs="Wingdings"/>
          <w:noProof/>
          <w:color w:val="000000"/>
          <w:lang w:eastAsia="it-IT"/>
        </w:rPr>
        <w:t></w:t>
      </w:r>
      <w:r>
        <w:rPr>
          <w:rFonts w:cs="Georgia"/>
          <w:noProof/>
          <w:color w:val="000000"/>
          <w:lang w:eastAsia="it-IT"/>
        </w:rPr>
        <w:t xml:space="preserve">User (service/product) </w:t>
      </w:r>
    </w:p>
    <w:p w:rsidR="00913429" w:rsidRDefault="00E143F0">
      <w:pPr>
        <w:autoSpaceDE w:val="0"/>
        <w:autoSpaceDN w:val="0"/>
        <w:adjustRightInd w:val="0"/>
        <w:spacing w:after="0" w:line="240" w:lineRule="auto"/>
        <w:rPr>
          <w:rFonts w:cs="Georgia"/>
          <w:noProof/>
          <w:color w:val="000000"/>
          <w:lang w:eastAsia="it-IT"/>
        </w:rPr>
      </w:pPr>
      <w:r>
        <w:rPr>
          <w:rFonts w:ascii="Wingdings" w:hAnsi="Wingdings" w:cs="Wingdings"/>
          <w:noProof/>
          <w:color w:val="000000"/>
          <w:lang w:eastAsia="it-IT"/>
        </w:rPr>
        <w:t></w:t>
      </w:r>
      <w:r>
        <w:rPr>
          <w:rFonts w:ascii="Wingdings" w:hAnsi="Wingdings" w:cs="Wingdings"/>
          <w:noProof/>
          <w:color w:val="000000"/>
          <w:lang w:eastAsia="it-IT"/>
        </w:rPr>
        <w:t></w:t>
      </w:r>
      <w:r>
        <w:rPr>
          <w:rFonts w:cs="Georgia"/>
          <w:noProof/>
          <w:color w:val="000000"/>
          <w:lang w:eastAsia="it-IT"/>
        </w:rPr>
        <w:t xml:space="preserve">Other </w:t>
      </w:r>
    </w:p>
    <w:p w:rsidR="00913429" w:rsidRDefault="00913429">
      <w:pPr>
        <w:autoSpaceDE w:val="0"/>
        <w:autoSpaceDN w:val="0"/>
        <w:adjustRightInd w:val="0"/>
        <w:spacing w:after="0" w:line="240" w:lineRule="auto"/>
        <w:rPr>
          <w:rFonts w:cs="Georgia"/>
          <w:noProof/>
          <w:color w:val="000000"/>
          <w:lang w:eastAsia="it-IT"/>
        </w:rPr>
      </w:pPr>
    </w:p>
    <w:p w:rsidR="00913429" w:rsidRDefault="00E143F0">
      <w:pPr>
        <w:autoSpaceDE w:val="0"/>
        <w:autoSpaceDN w:val="0"/>
        <w:adjustRightInd w:val="0"/>
        <w:spacing w:after="0" w:line="240" w:lineRule="auto"/>
        <w:rPr>
          <w:rFonts w:cs="Georgia"/>
          <w:noProof/>
          <w:color w:val="000000"/>
          <w:lang w:eastAsia="it-IT"/>
        </w:rPr>
      </w:pPr>
      <w:r>
        <w:rPr>
          <w:rFonts w:cs="Georgia"/>
          <w:noProof/>
          <w:color w:val="000000"/>
          <w:lang w:eastAsia="it-IT"/>
        </w:rPr>
        <w:t>What is your role/profession?</w:t>
      </w:r>
    </w:p>
    <w:p w:rsidR="00913429" w:rsidRDefault="00913429">
      <w:pPr>
        <w:autoSpaceDE w:val="0"/>
        <w:autoSpaceDN w:val="0"/>
        <w:adjustRightInd w:val="0"/>
        <w:spacing w:after="0" w:line="240" w:lineRule="auto"/>
        <w:rPr>
          <w:rFonts w:cs="Georgia"/>
          <w:noProof/>
          <w:color w:val="000000"/>
          <w:lang w:eastAsia="it-IT"/>
        </w:rPr>
      </w:pPr>
    </w:p>
    <w:p w:rsidR="00913429" w:rsidRDefault="00913429">
      <w:pPr>
        <w:autoSpaceDE w:val="0"/>
        <w:autoSpaceDN w:val="0"/>
        <w:adjustRightInd w:val="0"/>
        <w:spacing w:after="0" w:line="240" w:lineRule="auto"/>
        <w:rPr>
          <w:rFonts w:cs="Georgia"/>
          <w:noProof/>
          <w:color w:val="000000"/>
          <w:lang w:eastAsia="it-IT"/>
        </w:rPr>
      </w:pPr>
    </w:p>
    <w:p w:rsidR="00913429" w:rsidRDefault="00E143F0">
      <w:pPr>
        <w:autoSpaceDE w:val="0"/>
        <w:autoSpaceDN w:val="0"/>
        <w:adjustRightInd w:val="0"/>
        <w:spacing w:after="0" w:line="240" w:lineRule="auto"/>
        <w:rPr>
          <w:rFonts w:cs="Georgia"/>
          <w:noProof/>
          <w:color w:val="000000"/>
          <w:lang w:eastAsia="it-IT"/>
        </w:rPr>
      </w:pPr>
      <w:r>
        <w:rPr>
          <w:rFonts w:cs="Georgia"/>
          <w:noProof/>
          <w:color w:val="000000"/>
          <w:lang w:eastAsia="it-IT"/>
        </w:rPr>
        <w:t xml:space="preserve">What is the name of your organisation? </w:t>
      </w:r>
    </w:p>
    <w:p w:rsidR="00913429" w:rsidRDefault="00913429">
      <w:pPr>
        <w:autoSpaceDE w:val="0"/>
        <w:autoSpaceDN w:val="0"/>
        <w:adjustRightInd w:val="0"/>
        <w:spacing w:after="0" w:line="240" w:lineRule="auto"/>
        <w:rPr>
          <w:rFonts w:cs="Georgia"/>
          <w:noProof/>
          <w:color w:val="000000"/>
          <w:lang w:eastAsia="it-IT"/>
        </w:rPr>
      </w:pPr>
    </w:p>
    <w:p w:rsidR="00913429" w:rsidRDefault="00913429">
      <w:pPr>
        <w:autoSpaceDE w:val="0"/>
        <w:autoSpaceDN w:val="0"/>
        <w:adjustRightInd w:val="0"/>
        <w:spacing w:after="0" w:line="240" w:lineRule="auto"/>
        <w:rPr>
          <w:rFonts w:cs="Georgia"/>
          <w:noProof/>
          <w:color w:val="000000"/>
          <w:lang w:eastAsia="it-IT"/>
        </w:rPr>
      </w:pPr>
    </w:p>
    <w:p w:rsidR="00913429" w:rsidRDefault="00E143F0">
      <w:pPr>
        <w:autoSpaceDE w:val="0"/>
        <w:autoSpaceDN w:val="0"/>
        <w:adjustRightInd w:val="0"/>
        <w:spacing w:after="0" w:line="240" w:lineRule="auto"/>
        <w:rPr>
          <w:rFonts w:cs="Georgia"/>
          <w:noProof/>
          <w:color w:val="000000"/>
          <w:lang w:eastAsia="it-IT"/>
        </w:rPr>
      </w:pPr>
      <w:r>
        <w:rPr>
          <w:rFonts w:cs="Georgia"/>
          <w:noProof/>
          <w:color w:val="000000"/>
          <w:lang w:eastAsia="it-IT"/>
        </w:rPr>
        <w:t xml:space="preserve">What is the country where your organisation operates? </w:t>
      </w:r>
    </w:p>
    <w:p w:rsidR="00913429" w:rsidRDefault="00913429">
      <w:pPr>
        <w:autoSpaceDE w:val="0"/>
        <w:autoSpaceDN w:val="0"/>
        <w:adjustRightInd w:val="0"/>
        <w:spacing w:after="0" w:line="240" w:lineRule="auto"/>
        <w:rPr>
          <w:rFonts w:cs="Georgia"/>
          <w:b/>
          <w:bCs/>
          <w:noProof/>
          <w:color w:val="000000"/>
          <w:lang w:eastAsia="it-IT"/>
        </w:rPr>
      </w:pPr>
    </w:p>
    <w:p w:rsidR="00913429" w:rsidRDefault="00913429">
      <w:pPr>
        <w:autoSpaceDE w:val="0"/>
        <w:autoSpaceDN w:val="0"/>
        <w:adjustRightInd w:val="0"/>
        <w:spacing w:after="0" w:line="240" w:lineRule="auto"/>
        <w:rPr>
          <w:rFonts w:cs="Georgia"/>
          <w:b/>
          <w:bCs/>
          <w:noProof/>
          <w:color w:val="000000"/>
          <w:lang w:eastAsia="it-IT"/>
        </w:rPr>
      </w:pPr>
    </w:p>
    <w:p w:rsidR="00913429" w:rsidRDefault="00913429">
      <w:pPr>
        <w:autoSpaceDE w:val="0"/>
        <w:autoSpaceDN w:val="0"/>
        <w:adjustRightInd w:val="0"/>
        <w:spacing w:after="0" w:line="240" w:lineRule="auto"/>
        <w:rPr>
          <w:rFonts w:cs="Georgia"/>
          <w:b/>
          <w:bCs/>
          <w:noProof/>
          <w:color w:val="000000"/>
          <w:lang w:eastAsia="it-IT"/>
        </w:rPr>
      </w:pPr>
    </w:p>
    <w:p w:rsidR="00913429" w:rsidRDefault="00E143F0">
      <w:pPr>
        <w:autoSpaceDE w:val="0"/>
        <w:autoSpaceDN w:val="0"/>
        <w:adjustRightInd w:val="0"/>
        <w:spacing w:after="0" w:line="240" w:lineRule="auto"/>
        <w:rPr>
          <w:rFonts w:cs="Georgia"/>
          <w:noProof/>
          <w:color w:val="000000"/>
          <w:lang w:eastAsia="it-IT"/>
        </w:rPr>
      </w:pPr>
      <w:r>
        <w:rPr>
          <w:rFonts w:cs="Georgia"/>
          <w:b/>
          <w:bCs/>
          <w:noProof/>
          <w:color w:val="000000"/>
          <w:lang w:eastAsia="it-IT"/>
        </w:rPr>
        <w:t xml:space="preserve">C. Evidence section </w:t>
      </w:r>
    </w:p>
    <w:p w:rsidR="00913429" w:rsidRDefault="00913429">
      <w:pPr>
        <w:autoSpaceDE w:val="0"/>
        <w:autoSpaceDN w:val="0"/>
        <w:adjustRightInd w:val="0"/>
        <w:spacing w:after="0" w:line="240" w:lineRule="auto"/>
        <w:rPr>
          <w:rFonts w:cs="Georgia"/>
          <w:noProof/>
          <w:color w:val="000000"/>
          <w:lang w:eastAsia="it-IT"/>
        </w:rPr>
      </w:pPr>
    </w:p>
    <w:p w:rsidR="00913429" w:rsidRDefault="00E143F0">
      <w:pPr>
        <w:autoSpaceDE w:val="0"/>
        <w:autoSpaceDN w:val="0"/>
        <w:adjustRightInd w:val="0"/>
        <w:spacing w:after="0" w:line="240" w:lineRule="auto"/>
        <w:rPr>
          <w:rFonts w:cs="Georgia"/>
          <w:b/>
          <w:noProof/>
          <w:color w:val="000000"/>
          <w:lang w:eastAsia="it-IT"/>
        </w:rPr>
      </w:pPr>
      <w:r>
        <w:rPr>
          <w:rFonts w:cs="Georgia"/>
          <w:b/>
          <w:noProof/>
          <w:color w:val="000000"/>
          <w:lang w:eastAsia="it-IT"/>
        </w:rPr>
        <w:t xml:space="preserve">1. In your opinion what is the best strategy/policy option to increase consumer’s trust and confidence in ICT products? </w:t>
      </w:r>
    </w:p>
    <w:p w:rsidR="00913429" w:rsidRDefault="00913429">
      <w:pPr>
        <w:autoSpaceDE w:val="0"/>
        <w:autoSpaceDN w:val="0"/>
        <w:adjustRightInd w:val="0"/>
        <w:spacing w:after="0" w:line="240" w:lineRule="auto"/>
        <w:rPr>
          <w:rFonts w:cs="Georgia"/>
          <w:noProof/>
          <w:color w:val="000000"/>
          <w:lang w:eastAsia="it-IT"/>
        </w:rPr>
      </w:pPr>
    </w:p>
    <w:p w:rsidR="00913429" w:rsidRDefault="00E143F0">
      <w:pPr>
        <w:autoSpaceDE w:val="0"/>
        <w:autoSpaceDN w:val="0"/>
        <w:adjustRightInd w:val="0"/>
        <w:spacing w:after="0" w:line="240" w:lineRule="auto"/>
        <w:rPr>
          <w:rFonts w:cs="Georgia"/>
          <w:noProof/>
          <w:color w:val="000000"/>
          <w:lang w:eastAsia="it-IT"/>
        </w:rPr>
      </w:pPr>
      <w:r>
        <w:rPr>
          <w:rFonts w:ascii="Wingdings" w:hAnsi="Wingdings" w:cs="Wingdings"/>
          <w:noProof/>
          <w:color w:val="000000"/>
          <w:lang w:eastAsia="it-IT"/>
        </w:rPr>
        <w:t></w:t>
      </w:r>
      <w:r>
        <w:rPr>
          <w:rFonts w:ascii="Wingdings" w:hAnsi="Wingdings" w:cs="Wingdings"/>
          <w:noProof/>
          <w:color w:val="000000"/>
          <w:lang w:eastAsia="it-IT"/>
        </w:rPr>
        <w:t></w:t>
      </w:r>
      <w:r>
        <w:rPr>
          <w:rFonts w:cs="Georgia"/>
          <w:noProof/>
          <w:color w:val="000000"/>
          <w:lang w:eastAsia="it-IT"/>
        </w:rPr>
        <w:t xml:space="preserve">Implement a bill of rights giving to customers a chance to make claims after having purchased ICT devices </w:t>
      </w:r>
    </w:p>
    <w:p w:rsidR="00913429" w:rsidRDefault="00E143F0">
      <w:pPr>
        <w:autoSpaceDE w:val="0"/>
        <w:autoSpaceDN w:val="0"/>
        <w:adjustRightInd w:val="0"/>
        <w:spacing w:after="0" w:line="240" w:lineRule="auto"/>
        <w:rPr>
          <w:rFonts w:cs="Georgia"/>
          <w:noProof/>
          <w:color w:val="000000"/>
          <w:lang w:eastAsia="it-IT"/>
        </w:rPr>
      </w:pPr>
      <w:r>
        <w:rPr>
          <w:rFonts w:ascii="Wingdings" w:hAnsi="Wingdings" w:cs="Wingdings"/>
          <w:noProof/>
          <w:color w:val="000000"/>
          <w:lang w:eastAsia="it-IT"/>
        </w:rPr>
        <w:t></w:t>
      </w:r>
      <w:r>
        <w:rPr>
          <w:rFonts w:ascii="Wingdings" w:hAnsi="Wingdings" w:cs="Wingdings"/>
          <w:noProof/>
          <w:color w:val="000000"/>
          <w:lang w:eastAsia="it-IT"/>
        </w:rPr>
        <w:t></w:t>
      </w:r>
      <w:r>
        <w:rPr>
          <w:rFonts w:cs="Georgia"/>
          <w:noProof/>
          <w:color w:val="000000"/>
          <w:lang w:eastAsia="it-IT"/>
        </w:rPr>
        <w:t>Adopt a certification a</w:t>
      </w:r>
      <w:r>
        <w:rPr>
          <w:rFonts w:cs="Georgia"/>
          <w:noProof/>
          <w:color w:val="000000"/>
          <w:lang w:eastAsia="it-IT"/>
        </w:rPr>
        <w:t xml:space="preserve">nd labelling scheme allowing customers to compare in an informed way which products offer the highest level of security </w:t>
      </w:r>
    </w:p>
    <w:p w:rsidR="00913429" w:rsidRDefault="00E143F0">
      <w:pPr>
        <w:autoSpaceDE w:val="0"/>
        <w:autoSpaceDN w:val="0"/>
        <w:adjustRightInd w:val="0"/>
        <w:spacing w:after="0" w:line="240" w:lineRule="auto"/>
        <w:rPr>
          <w:rFonts w:cs="Georgia"/>
          <w:noProof/>
          <w:color w:val="000000"/>
          <w:lang w:eastAsia="it-IT"/>
        </w:rPr>
      </w:pPr>
      <w:r>
        <w:rPr>
          <w:rFonts w:ascii="Wingdings" w:hAnsi="Wingdings" w:cs="Wingdings"/>
          <w:noProof/>
          <w:color w:val="000000"/>
          <w:lang w:eastAsia="it-IT"/>
        </w:rPr>
        <w:t></w:t>
      </w:r>
      <w:r>
        <w:rPr>
          <w:rFonts w:ascii="Wingdings" w:hAnsi="Wingdings" w:cs="Wingdings"/>
          <w:noProof/>
          <w:color w:val="000000"/>
          <w:lang w:eastAsia="it-IT"/>
        </w:rPr>
        <w:t></w:t>
      </w:r>
      <w:r>
        <w:rPr>
          <w:rFonts w:cs="Georgia"/>
          <w:noProof/>
          <w:color w:val="000000"/>
          <w:lang w:eastAsia="it-IT"/>
        </w:rPr>
        <w:t xml:space="preserve">Hard-law approach, increasing trust through the introduction of disciplinary sanctions </w:t>
      </w:r>
    </w:p>
    <w:p w:rsidR="00913429" w:rsidRDefault="00E143F0">
      <w:pPr>
        <w:autoSpaceDE w:val="0"/>
        <w:autoSpaceDN w:val="0"/>
        <w:adjustRightInd w:val="0"/>
        <w:spacing w:after="0" w:line="240" w:lineRule="auto"/>
        <w:rPr>
          <w:rFonts w:cs="Georgia"/>
          <w:noProof/>
          <w:color w:val="000000"/>
          <w:lang w:eastAsia="it-IT"/>
        </w:rPr>
      </w:pPr>
      <w:r>
        <w:rPr>
          <w:rFonts w:ascii="Wingdings" w:hAnsi="Wingdings" w:cs="Wingdings"/>
          <w:noProof/>
          <w:color w:val="000000"/>
          <w:lang w:eastAsia="it-IT"/>
        </w:rPr>
        <w:t></w:t>
      </w:r>
      <w:r>
        <w:rPr>
          <w:rFonts w:ascii="Wingdings" w:hAnsi="Wingdings" w:cs="Wingdings"/>
          <w:noProof/>
          <w:color w:val="000000"/>
          <w:lang w:eastAsia="it-IT"/>
        </w:rPr>
        <w:t></w:t>
      </w:r>
      <w:r>
        <w:rPr>
          <w:rFonts w:cs="Georgia"/>
          <w:noProof/>
          <w:color w:val="000000"/>
          <w:lang w:eastAsia="it-IT"/>
        </w:rPr>
        <w:t>Financial incentives to vendors encouraging</w:t>
      </w:r>
      <w:r>
        <w:rPr>
          <w:rFonts w:cs="Georgia"/>
          <w:noProof/>
          <w:color w:val="000000"/>
          <w:lang w:eastAsia="it-IT"/>
        </w:rPr>
        <w:t xml:space="preserve"> them to regularly replace and/or update old products </w:t>
      </w:r>
    </w:p>
    <w:p w:rsidR="00913429" w:rsidRDefault="00E143F0">
      <w:pPr>
        <w:autoSpaceDE w:val="0"/>
        <w:autoSpaceDN w:val="0"/>
        <w:adjustRightInd w:val="0"/>
        <w:spacing w:after="0" w:line="240" w:lineRule="auto"/>
        <w:rPr>
          <w:rFonts w:cs="Georgia"/>
          <w:noProof/>
          <w:color w:val="000000"/>
          <w:lang w:eastAsia="it-IT"/>
        </w:rPr>
      </w:pPr>
      <w:r>
        <w:rPr>
          <w:rFonts w:ascii="Wingdings" w:hAnsi="Wingdings" w:cs="Wingdings"/>
          <w:noProof/>
          <w:color w:val="000000"/>
          <w:lang w:eastAsia="it-IT"/>
        </w:rPr>
        <w:t></w:t>
      </w:r>
      <w:r>
        <w:rPr>
          <w:rFonts w:ascii="Wingdings" w:hAnsi="Wingdings" w:cs="Wingdings"/>
          <w:noProof/>
          <w:color w:val="000000"/>
          <w:lang w:eastAsia="it-IT"/>
        </w:rPr>
        <w:t></w:t>
      </w:r>
      <w:r>
        <w:rPr>
          <w:rFonts w:cs="Georgia"/>
          <w:noProof/>
          <w:color w:val="000000"/>
          <w:lang w:eastAsia="it-IT"/>
        </w:rPr>
        <w:t xml:space="preserve">Other </w:t>
      </w:r>
    </w:p>
    <w:p w:rsidR="00913429" w:rsidRDefault="00913429">
      <w:pPr>
        <w:autoSpaceDE w:val="0"/>
        <w:autoSpaceDN w:val="0"/>
        <w:adjustRightInd w:val="0"/>
        <w:spacing w:after="0" w:line="240" w:lineRule="auto"/>
        <w:rPr>
          <w:rFonts w:cs="Georgia"/>
          <w:noProof/>
          <w:color w:val="000000"/>
          <w:lang w:eastAsia="it-IT"/>
        </w:rPr>
      </w:pPr>
    </w:p>
    <w:p w:rsidR="00913429" w:rsidRDefault="00E143F0">
      <w:pPr>
        <w:autoSpaceDE w:val="0"/>
        <w:autoSpaceDN w:val="0"/>
        <w:adjustRightInd w:val="0"/>
        <w:spacing w:after="0" w:line="240" w:lineRule="auto"/>
        <w:rPr>
          <w:rFonts w:cs="Georgia"/>
          <w:noProof/>
          <w:color w:val="000000"/>
          <w:lang w:eastAsia="it-IT"/>
        </w:rPr>
      </w:pPr>
      <w:r>
        <w:rPr>
          <w:rFonts w:cs="Georgia"/>
          <w:noProof/>
          <w:color w:val="000000"/>
          <w:lang w:eastAsia="it-IT"/>
        </w:rPr>
        <w:t xml:space="preserve">If option “other” is ticked please provide further explanation: </w:t>
      </w:r>
    </w:p>
    <w:p w:rsidR="00913429" w:rsidRDefault="00913429">
      <w:pPr>
        <w:autoSpaceDE w:val="0"/>
        <w:autoSpaceDN w:val="0"/>
        <w:adjustRightInd w:val="0"/>
        <w:spacing w:after="0" w:line="240" w:lineRule="auto"/>
        <w:rPr>
          <w:rFonts w:cs="Georgia"/>
          <w:noProof/>
          <w:color w:val="000000"/>
          <w:lang w:eastAsia="it-IT"/>
        </w:rPr>
      </w:pPr>
    </w:p>
    <w:p w:rsidR="00913429" w:rsidRDefault="00913429">
      <w:pPr>
        <w:autoSpaceDE w:val="0"/>
        <w:autoSpaceDN w:val="0"/>
        <w:adjustRightInd w:val="0"/>
        <w:spacing w:after="0" w:line="240" w:lineRule="auto"/>
        <w:rPr>
          <w:rFonts w:cs="Georgia"/>
          <w:noProof/>
          <w:color w:val="000000"/>
          <w:lang w:eastAsia="it-IT"/>
        </w:rPr>
      </w:pPr>
    </w:p>
    <w:p w:rsidR="00913429" w:rsidRDefault="00913429">
      <w:pPr>
        <w:autoSpaceDE w:val="0"/>
        <w:autoSpaceDN w:val="0"/>
        <w:adjustRightInd w:val="0"/>
        <w:spacing w:after="0" w:line="240" w:lineRule="auto"/>
        <w:rPr>
          <w:rFonts w:cs="Georgia"/>
          <w:noProof/>
          <w:color w:val="000000"/>
          <w:lang w:eastAsia="it-IT"/>
        </w:rPr>
      </w:pPr>
    </w:p>
    <w:p w:rsidR="00913429" w:rsidRDefault="00E143F0">
      <w:pPr>
        <w:autoSpaceDE w:val="0"/>
        <w:autoSpaceDN w:val="0"/>
        <w:adjustRightInd w:val="0"/>
        <w:spacing w:after="0" w:line="240" w:lineRule="auto"/>
        <w:rPr>
          <w:rFonts w:cs="Georgia"/>
          <w:b/>
          <w:noProof/>
          <w:color w:val="000000"/>
          <w:lang w:eastAsia="it-IT"/>
        </w:rPr>
      </w:pPr>
      <w:r>
        <w:rPr>
          <w:rFonts w:cs="Georgia"/>
          <w:b/>
          <w:noProof/>
          <w:color w:val="000000"/>
          <w:lang w:eastAsia="it-IT"/>
        </w:rPr>
        <w:t>2. Do you think security labelling of ICT products/services (whether certified or non-certified) is likely to impact consum</w:t>
      </w:r>
      <w:r>
        <w:rPr>
          <w:rFonts w:cs="Georgia"/>
          <w:b/>
          <w:noProof/>
          <w:color w:val="000000"/>
          <w:lang w:eastAsia="it-IT"/>
        </w:rPr>
        <w:t xml:space="preserve">ers’ behaviours despite any price considerations? </w:t>
      </w:r>
    </w:p>
    <w:p w:rsidR="00913429" w:rsidRDefault="00913429">
      <w:pPr>
        <w:autoSpaceDE w:val="0"/>
        <w:autoSpaceDN w:val="0"/>
        <w:adjustRightInd w:val="0"/>
        <w:spacing w:after="0" w:line="240" w:lineRule="auto"/>
        <w:rPr>
          <w:rFonts w:cs="Georgia"/>
          <w:noProof/>
          <w:color w:val="000000"/>
          <w:lang w:eastAsia="it-IT"/>
        </w:rPr>
      </w:pPr>
    </w:p>
    <w:p w:rsidR="00913429" w:rsidRDefault="00E143F0">
      <w:pPr>
        <w:autoSpaceDE w:val="0"/>
        <w:autoSpaceDN w:val="0"/>
        <w:adjustRightInd w:val="0"/>
        <w:spacing w:after="0" w:line="240" w:lineRule="auto"/>
        <w:rPr>
          <w:rFonts w:cs="Georgia"/>
          <w:noProof/>
          <w:color w:val="000000"/>
          <w:lang w:eastAsia="it-IT"/>
        </w:rPr>
      </w:pPr>
      <w:r>
        <w:rPr>
          <w:rFonts w:ascii="Wingdings" w:hAnsi="Wingdings" w:cs="Wingdings"/>
          <w:noProof/>
          <w:color w:val="000000"/>
          <w:lang w:eastAsia="it-IT"/>
        </w:rPr>
        <w:t></w:t>
      </w:r>
      <w:r>
        <w:rPr>
          <w:rFonts w:ascii="Wingdings" w:hAnsi="Wingdings" w:cs="Wingdings"/>
          <w:noProof/>
          <w:color w:val="000000"/>
          <w:lang w:eastAsia="it-IT"/>
        </w:rPr>
        <w:t></w:t>
      </w:r>
      <w:r>
        <w:rPr>
          <w:rFonts w:cs="Georgia"/>
          <w:noProof/>
          <w:color w:val="000000"/>
          <w:lang w:eastAsia="it-IT"/>
        </w:rPr>
        <w:t xml:space="preserve">Very likely </w:t>
      </w:r>
    </w:p>
    <w:p w:rsidR="00913429" w:rsidRDefault="00E143F0">
      <w:pPr>
        <w:autoSpaceDE w:val="0"/>
        <w:autoSpaceDN w:val="0"/>
        <w:adjustRightInd w:val="0"/>
        <w:spacing w:after="0" w:line="240" w:lineRule="auto"/>
        <w:rPr>
          <w:rFonts w:cs="Georgia"/>
          <w:noProof/>
          <w:color w:val="000000"/>
          <w:lang w:eastAsia="it-IT"/>
        </w:rPr>
      </w:pPr>
      <w:r>
        <w:rPr>
          <w:rFonts w:ascii="Wingdings" w:hAnsi="Wingdings" w:cs="Wingdings"/>
          <w:noProof/>
          <w:color w:val="000000"/>
          <w:lang w:eastAsia="it-IT"/>
        </w:rPr>
        <w:t></w:t>
      </w:r>
      <w:r>
        <w:rPr>
          <w:rFonts w:ascii="Wingdings" w:hAnsi="Wingdings" w:cs="Wingdings"/>
          <w:noProof/>
          <w:color w:val="000000"/>
          <w:lang w:eastAsia="it-IT"/>
        </w:rPr>
        <w:t></w:t>
      </w:r>
      <w:r>
        <w:rPr>
          <w:rFonts w:cs="Georgia"/>
          <w:noProof/>
          <w:color w:val="000000"/>
          <w:lang w:eastAsia="it-IT"/>
        </w:rPr>
        <w:t xml:space="preserve">Likely </w:t>
      </w:r>
    </w:p>
    <w:p w:rsidR="00913429" w:rsidRDefault="00E143F0">
      <w:pPr>
        <w:autoSpaceDE w:val="0"/>
        <w:autoSpaceDN w:val="0"/>
        <w:adjustRightInd w:val="0"/>
        <w:spacing w:after="0" w:line="240" w:lineRule="auto"/>
        <w:rPr>
          <w:rFonts w:cs="Georgia"/>
          <w:noProof/>
          <w:color w:val="000000"/>
          <w:lang w:eastAsia="it-IT"/>
        </w:rPr>
      </w:pPr>
      <w:r>
        <w:rPr>
          <w:rFonts w:ascii="Wingdings" w:hAnsi="Wingdings" w:cs="Wingdings"/>
          <w:noProof/>
          <w:color w:val="000000"/>
          <w:lang w:eastAsia="it-IT"/>
        </w:rPr>
        <w:t></w:t>
      </w:r>
      <w:r>
        <w:rPr>
          <w:rFonts w:ascii="Wingdings" w:hAnsi="Wingdings" w:cs="Wingdings"/>
          <w:noProof/>
          <w:color w:val="000000"/>
          <w:lang w:eastAsia="it-IT"/>
        </w:rPr>
        <w:t></w:t>
      </w:r>
      <w:r>
        <w:rPr>
          <w:rFonts w:cs="Georgia"/>
          <w:noProof/>
          <w:color w:val="000000"/>
          <w:lang w:eastAsia="it-IT"/>
        </w:rPr>
        <w:t xml:space="preserve">Indifferent </w:t>
      </w:r>
    </w:p>
    <w:p w:rsidR="00913429" w:rsidRDefault="00E143F0">
      <w:pPr>
        <w:autoSpaceDE w:val="0"/>
        <w:autoSpaceDN w:val="0"/>
        <w:adjustRightInd w:val="0"/>
        <w:spacing w:after="0" w:line="240" w:lineRule="auto"/>
        <w:rPr>
          <w:rFonts w:cs="Georgia"/>
          <w:noProof/>
          <w:color w:val="000000"/>
          <w:lang w:eastAsia="it-IT"/>
        </w:rPr>
      </w:pPr>
      <w:r>
        <w:rPr>
          <w:rFonts w:ascii="Wingdings" w:hAnsi="Wingdings" w:cs="Wingdings"/>
          <w:noProof/>
          <w:color w:val="000000"/>
          <w:lang w:eastAsia="it-IT"/>
        </w:rPr>
        <w:t></w:t>
      </w:r>
      <w:r>
        <w:rPr>
          <w:rFonts w:ascii="Wingdings" w:hAnsi="Wingdings" w:cs="Wingdings"/>
          <w:noProof/>
          <w:color w:val="000000"/>
          <w:lang w:eastAsia="it-IT"/>
        </w:rPr>
        <w:t></w:t>
      </w:r>
      <w:r>
        <w:rPr>
          <w:rFonts w:cs="Georgia"/>
          <w:noProof/>
          <w:color w:val="000000"/>
          <w:lang w:eastAsia="it-IT"/>
        </w:rPr>
        <w:t xml:space="preserve">Not likely </w:t>
      </w:r>
    </w:p>
    <w:p w:rsidR="00913429" w:rsidRDefault="00E143F0">
      <w:pPr>
        <w:autoSpaceDE w:val="0"/>
        <w:autoSpaceDN w:val="0"/>
        <w:adjustRightInd w:val="0"/>
        <w:spacing w:after="0" w:line="240" w:lineRule="auto"/>
        <w:rPr>
          <w:rFonts w:cs="Georgia"/>
          <w:noProof/>
          <w:color w:val="000000"/>
          <w:lang w:eastAsia="it-IT"/>
        </w:rPr>
      </w:pPr>
      <w:r>
        <w:rPr>
          <w:rFonts w:ascii="Wingdings" w:hAnsi="Wingdings" w:cs="Wingdings"/>
          <w:noProof/>
          <w:color w:val="000000"/>
          <w:lang w:eastAsia="it-IT"/>
        </w:rPr>
        <w:t></w:t>
      </w:r>
      <w:r>
        <w:rPr>
          <w:rFonts w:ascii="Wingdings" w:hAnsi="Wingdings" w:cs="Wingdings"/>
          <w:noProof/>
          <w:color w:val="000000"/>
          <w:lang w:eastAsia="it-IT"/>
        </w:rPr>
        <w:t></w:t>
      </w:r>
      <w:r>
        <w:rPr>
          <w:rFonts w:cs="Georgia"/>
          <w:noProof/>
          <w:color w:val="000000"/>
          <w:lang w:eastAsia="it-IT"/>
        </w:rPr>
        <w:t xml:space="preserve">Not likely at all </w:t>
      </w:r>
    </w:p>
    <w:p w:rsidR="00913429" w:rsidRDefault="00E143F0">
      <w:pPr>
        <w:autoSpaceDE w:val="0"/>
        <w:autoSpaceDN w:val="0"/>
        <w:adjustRightInd w:val="0"/>
        <w:spacing w:after="0" w:line="240" w:lineRule="auto"/>
        <w:rPr>
          <w:rFonts w:cs="Georgia"/>
          <w:noProof/>
          <w:color w:val="000000"/>
          <w:lang w:eastAsia="it-IT"/>
        </w:rPr>
      </w:pPr>
      <w:r>
        <w:rPr>
          <w:rFonts w:ascii="Wingdings" w:hAnsi="Wingdings" w:cs="Wingdings"/>
          <w:noProof/>
          <w:color w:val="000000"/>
          <w:lang w:eastAsia="it-IT"/>
        </w:rPr>
        <w:t></w:t>
      </w:r>
      <w:r>
        <w:rPr>
          <w:rFonts w:ascii="Wingdings" w:hAnsi="Wingdings" w:cs="Wingdings"/>
          <w:noProof/>
          <w:color w:val="000000"/>
          <w:lang w:eastAsia="it-IT"/>
        </w:rPr>
        <w:t></w:t>
      </w:r>
      <w:r>
        <w:rPr>
          <w:rFonts w:cs="Georgia"/>
          <w:noProof/>
          <w:color w:val="000000"/>
          <w:lang w:eastAsia="it-IT"/>
        </w:rPr>
        <w:t xml:space="preserve">Don’t know </w:t>
      </w:r>
    </w:p>
    <w:p w:rsidR="00913429" w:rsidRDefault="00913429">
      <w:pPr>
        <w:autoSpaceDE w:val="0"/>
        <w:autoSpaceDN w:val="0"/>
        <w:adjustRightInd w:val="0"/>
        <w:spacing w:after="0" w:line="240" w:lineRule="auto"/>
        <w:rPr>
          <w:rFonts w:cs="Georgia"/>
          <w:noProof/>
          <w:color w:val="000000"/>
          <w:lang w:eastAsia="it-IT"/>
        </w:rPr>
      </w:pPr>
    </w:p>
    <w:p w:rsidR="00913429" w:rsidRDefault="00913429">
      <w:pPr>
        <w:autoSpaceDE w:val="0"/>
        <w:autoSpaceDN w:val="0"/>
        <w:adjustRightInd w:val="0"/>
        <w:spacing w:after="0" w:line="240" w:lineRule="auto"/>
        <w:rPr>
          <w:rFonts w:cs="Georgia"/>
          <w:noProof/>
          <w:color w:val="000000"/>
          <w:lang w:eastAsia="it-IT"/>
        </w:rPr>
      </w:pPr>
    </w:p>
    <w:p w:rsidR="00913429" w:rsidRDefault="00913429">
      <w:pPr>
        <w:autoSpaceDE w:val="0"/>
        <w:autoSpaceDN w:val="0"/>
        <w:adjustRightInd w:val="0"/>
        <w:spacing w:after="0" w:line="240" w:lineRule="auto"/>
        <w:rPr>
          <w:rFonts w:cs="Georgia"/>
          <w:noProof/>
          <w:color w:val="000000"/>
          <w:lang w:eastAsia="it-IT"/>
        </w:rPr>
      </w:pPr>
    </w:p>
    <w:p w:rsidR="00913429" w:rsidRDefault="00E143F0">
      <w:pPr>
        <w:autoSpaceDE w:val="0"/>
        <w:autoSpaceDN w:val="0"/>
        <w:adjustRightInd w:val="0"/>
        <w:spacing w:after="0" w:line="240" w:lineRule="auto"/>
        <w:rPr>
          <w:rFonts w:cs="Georgia"/>
          <w:b/>
          <w:noProof/>
          <w:color w:val="000000"/>
          <w:lang w:eastAsia="it-IT"/>
        </w:rPr>
      </w:pPr>
      <w:r>
        <w:rPr>
          <w:rFonts w:cs="Georgia"/>
          <w:b/>
          <w:noProof/>
          <w:color w:val="000000"/>
          <w:lang w:eastAsia="it-IT"/>
        </w:rPr>
        <w:t>3. Do you think the consumer trust in the security properties of product/service is likely to increase when certifications are performed according to security requirements set by third party entities, as opposed to security requirements being freely chosen</w:t>
      </w:r>
      <w:r>
        <w:rPr>
          <w:rFonts w:cs="Georgia"/>
          <w:b/>
          <w:noProof/>
          <w:color w:val="000000"/>
          <w:lang w:eastAsia="it-IT"/>
        </w:rPr>
        <w:t xml:space="preserve"> by vendors? </w:t>
      </w:r>
    </w:p>
    <w:p w:rsidR="00913429" w:rsidRDefault="00913429">
      <w:pPr>
        <w:autoSpaceDE w:val="0"/>
        <w:autoSpaceDN w:val="0"/>
        <w:adjustRightInd w:val="0"/>
        <w:spacing w:after="0" w:line="240" w:lineRule="auto"/>
        <w:rPr>
          <w:rFonts w:cs="Georgia"/>
          <w:noProof/>
          <w:color w:val="000000"/>
          <w:lang w:eastAsia="it-IT"/>
        </w:rPr>
      </w:pPr>
    </w:p>
    <w:p w:rsidR="00913429" w:rsidRDefault="00E143F0">
      <w:pPr>
        <w:autoSpaceDE w:val="0"/>
        <w:autoSpaceDN w:val="0"/>
        <w:adjustRightInd w:val="0"/>
        <w:spacing w:after="0" w:line="240" w:lineRule="auto"/>
        <w:rPr>
          <w:rFonts w:cs="Georgia"/>
          <w:noProof/>
          <w:color w:val="000000"/>
          <w:lang w:eastAsia="it-IT"/>
        </w:rPr>
      </w:pPr>
      <w:r>
        <w:rPr>
          <w:rFonts w:ascii="Wingdings" w:hAnsi="Wingdings" w:cs="Wingdings"/>
          <w:noProof/>
          <w:color w:val="000000"/>
          <w:lang w:eastAsia="it-IT"/>
        </w:rPr>
        <w:t></w:t>
      </w:r>
      <w:r>
        <w:rPr>
          <w:rFonts w:ascii="Wingdings" w:hAnsi="Wingdings" w:cs="Wingdings"/>
          <w:noProof/>
          <w:color w:val="000000"/>
          <w:lang w:eastAsia="it-IT"/>
        </w:rPr>
        <w:t></w:t>
      </w:r>
      <w:r>
        <w:rPr>
          <w:rFonts w:cs="Georgia"/>
          <w:noProof/>
          <w:color w:val="000000"/>
          <w:lang w:eastAsia="it-IT"/>
        </w:rPr>
        <w:t xml:space="preserve">Very likely </w:t>
      </w:r>
    </w:p>
    <w:p w:rsidR="00913429" w:rsidRDefault="00E143F0">
      <w:pPr>
        <w:autoSpaceDE w:val="0"/>
        <w:autoSpaceDN w:val="0"/>
        <w:adjustRightInd w:val="0"/>
        <w:spacing w:after="0" w:line="240" w:lineRule="auto"/>
        <w:rPr>
          <w:rFonts w:cs="Georgia"/>
          <w:noProof/>
          <w:color w:val="000000"/>
          <w:lang w:eastAsia="it-IT"/>
        </w:rPr>
      </w:pPr>
      <w:r>
        <w:rPr>
          <w:rFonts w:ascii="Wingdings" w:hAnsi="Wingdings" w:cs="Wingdings"/>
          <w:noProof/>
          <w:color w:val="000000"/>
          <w:lang w:eastAsia="it-IT"/>
        </w:rPr>
        <w:t></w:t>
      </w:r>
      <w:r>
        <w:rPr>
          <w:rFonts w:ascii="Wingdings" w:hAnsi="Wingdings" w:cs="Wingdings"/>
          <w:noProof/>
          <w:color w:val="000000"/>
          <w:lang w:eastAsia="it-IT"/>
        </w:rPr>
        <w:t></w:t>
      </w:r>
      <w:r>
        <w:rPr>
          <w:rFonts w:cs="Georgia"/>
          <w:noProof/>
          <w:color w:val="000000"/>
          <w:lang w:eastAsia="it-IT"/>
        </w:rPr>
        <w:t xml:space="preserve">Likely </w:t>
      </w:r>
    </w:p>
    <w:p w:rsidR="00913429" w:rsidRDefault="00E143F0">
      <w:pPr>
        <w:autoSpaceDE w:val="0"/>
        <w:autoSpaceDN w:val="0"/>
        <w:adjustRightInd w:val="0"/>
        <w:spacing w:after="0" w:line="240" w:lineRule="auto"/>
        <w:rPr>
          <w:rFonts w:cs="Georgia"/>
          <w:noProof/>
          <w:color w:val="000000"/>
          <w:lang w:eastAsia="it-IT"/>
        </w:rPr>
      </w:pPr>
      <w:r>
        <w:rPr>
          <w:rFonts w:ascii="Wingdings" w:hAnsi="Wingdings" w:cs="Wingdings"/>
          <w:noProof/>
          <w:color w:val="000000"/>
          <w:lang w:eastAsia="it-IT"/>
        </w:rPr>
        <w:t></w:t>
      </w:r>
      <w:r>
        <w:rPr>
          <w:rFonts w:ascii="Wingdings" w:hAnsi="Wingdings" w:cs="Wingdings"/>
          <w:noProof/>
          <w:color w:val="000000"/>
          <w:lang w:eastAsia="it-IT"/>
        </w:rPr>
        <w:t></w:t>
      </w:r>
      <w:r>
        <w:rPr>
          <w:rFonts w:cs="Georgia"/>
          <w:noProof/>
          <w:color w:val="000000"/>
          <w:lang w:eastAsia="it-IT"/>
        </w:rPr>
        <w:t xml:space="preserve">Indifferent </w:t>
      </w:r>
    </w:p>
    <w:p w:rsidR="00913429" w:rsidRDefault="00E143F0">
      <w:pPr>
        <w:autoSpaceDE w:val="0"/>
        <w:autoSpaceDN w:val="0"/>
        <w:adjustRightInd w:val="0"/>
        <w:spacing w:after="0" w:line="240" w:lineRule="auto"/>
        <w:rPr>
          <w:rFonts w:cs="Georgia"/>
          <w:noProof/>
          <w:color w:val="000000"/>
          <w:lang w:eastAsia="it-IT"/>
        </w:rPr>
      </w:pPr>
      <w:r>
        <w:rPr>
          <w:rFonts w:ascii="Wingdings" w:hAnsi="Wingdings" w:cs="Wingdings"/>
          <w:noProof/>
          <w:color w:val="000000"/>
          <w:lang w:eastAsia="it-IT"/>
        </w:rPr>
        <w:t></w:t>
      </w:r>
      <w:r>
        <w:rPr>
          <w:rFonts w:ascii="Wingdings" w:hAnsi="Wingdings" w:cs="Wingdings"/>
          <w:noProof/>
          <w:color w:val="000000"/>
          <w:lang w:eastAsia="it-IT"/>
        </w:rPr>
        <w:t></w:t>
      </w:r>
      <w:r>
        <w:rPr>
          <w:rFonts w:cs="Georgia"/>
          <w:noProof/>
          <w:color w:val="000000"/>
          <w:lang w:eastAsia="it-IT"/>
        </w:rPr>
        <w:t xml:space="preserve">Not likely </w:t>
      </w:r>
    </w:p>
    <w:p w:rsidR="00913429" w:rsidRDefault="00E143F0">
      <w:pPr>
        <w:autoSpaceDE w:val="0"/>
        <w:autoSpaceDN w:val="0"/>
        <w:adjustRightInd w:val="0"/>
        <w:spacing w:after="0" w:line="240" w:lineRule="auto"/>
        <w:rPr>
          <w:rFonts w:cs="Georgia"/>
          <w:noProof/>
          <w:color w:val="000000"/>
          <w:lang w:eastAsia="it-IT"/>
        </w:rPr>
      </w:pPr>
      <w:r>
        <w:rPr>
          <w:rFonts w:ascii="Wingdings" w:hAnsi="Wingdings" w:cs="Wingdings"/>
          <w:noProof/>
          <w:color w:val="000000"/>
          <w:lang w:eastAsia="it-IT"/>
        </w:rPr>
        <w:t></w:t>
      </w:r>
      <w:r>
        <w:rPr>
          <w:rFonts w:ascii="Wingdings" w:hAnsi="Wingdings" w:cs="Wingdings"/>
          <w:noProof/>
          <w:color w:val="000000"/>
          <w:lang w:eastAsia="it-IT"/>
        </w:rPr>
        <w:t></w:t>
      </w:r>
      <w:r>
        <w:rPr>
          <w:rFonts w:cs="Georgia"/>
          <w:noProof/>
          <w:color w:val="000000"/>
          <w:lang w:eastAsia="it-IT"/>
        </w:rPr>
        <w:t xml:space="preserve">Not likely at all </w:t>
      </w:r>
    </w:p>
    <w:p w:rsidR="00913429" w:rsidRDefault="00E143F0">
      <w:pPr>
        <w:autoSpaceDE w:val="0"/>
        <w:autoSpaceDN w:val="0"/>
        <w:adjustRightInd w:val="0"/>
        <w:spacing w:after="0" w:line="240" w:lineRule="auto"/>
        <w:rPr>
          <w:rFonts w:cs="Georgia"/>
          <w:noProof/>
          <w:color w:val="000000"/>
          <w:lang w:eastAsia="it-IT"/>
        </w:rPr>
      </w:pPr>
      <w:r>
        <w:rPr>
          <w:rFonts w:ascii="Wingdings" w:hAnsi="Wingdings" w:cs="Wingdings"/>
          <w:noProof/>
          <w:color w:val="000000"/>
          <w:lang w:eastAsia="it-IT"/>
        </w:rPr>
        <w:t></w:t>
      </w:r>
      <w:r>
        <w:rPr>
          <w:rFonts w:ascii="Wingdings" w:hAnsi="Wingdings" w:cs="Wingdings"/>
          <w:noProof/>
          <w:color w:val="000000"/>
          <w:lang w:eastAsia="it-IT"/>
        </w:rPr>
        <w:t></w:t>
      </w:r>
      <w:r>
        <w:rPr>
          <w:rFonts w:cs="Georgia"/>
          <w:noProof/>
          <w:color w:val="000000"/>
          <w:lang w:eastAsia="it-IT"/>
        </w:rPr>
        <w:t xml:space="preserve">Don’t know </w:t>
      </w:r>
    </w:p>
    <w:p w:rsidR="00913429" w:rsidRDefault="00913429">
      <w:pPr>
        <w:autoSpaceDE w:val="0"/>
        <w:autoSpaceDN w:val="0"/>
        <w:adjustRightInd w:val="0"/>
        <w:spacing w:after="0" w:line="240" w:lineRule="auto"/>
        <w:rPr>
          <w:rFonts w:cs="Georgia"/>
          <w:noProof/>
          <w:color w:val="000000"/>
          <w:lang w:eastAsia="it-IT"/>
        </w:rPr>
      </w:pPr>
    </w:p>
    <w:p w:rsidR="00913429" w:rsidRDefault="00913429">
      <w:pPr>
        <w:autoSpaceDE w:val="0"/>
        <w:autoSpaceDN w:val="0"/>
        <w:adjustRightInd w:val="0"/>
        <w:spacing w:after="0" w:line="240" w:lineRule="auto"/>
        <w:rPr>
          <w:rFonts w:cs="Georgia"/>
          <w:noProof/>
          <w:color w:val="000000"/>
          <w:lang w:eastAsia="it-IT"/>
        </w:rPr>
      </w:pPr>
    </w:p>
    <w:p w:rsidR="00913429" w:rsidRDefault="00913429">
      <w:pPr>
        <w:autoSpaceDE w:val="0"/>
        <w:autoSpaceDN w:val="0"/>
        <w:adjustRightInd w:val="0"/>
        <w:spacing w:after="0" w:line="240" w:lineRule="auto"/>
        <w:rPr>
          <w:rFonts w:cs="Georgia"/>
          <w:noProof/>
          <w:color w:val="000000"/>
          <w:lang w:eastAsia="it-IT"/>
        </w:rPr>
      </w:pPr>
    </w:p>
    <w:p w:rsidR="00913429" w:rsidRDefault="00E143F0">
      <w:pPr>
        <w:autoSpaceDE w:val="0"/>
        <w:autoSpaceDN w:val="0"/>
        <w:adjustRightInd w:val="0"/>
        <w:spacing w:after="0" w:line="240" w:lineRule="auto"/>
        <w:rPr>
          <w:rFonts w:cs="Georgia"/>
          <w:b/>
          <w:noProof/>
          <w:color w:val="000000"/>
          <w:lang w:eastAsia="it-IT"/>
        </w:rPr>
      </w:pPr>
      <w:r>
        <w:rPr>
          <w:rFonts w:cs="Georgia"/>
          <w:b/>
          <w:noProof/>
          <w:color w:val="000000"/>
          <w:lang w:eastAsia="it-IT"/>
        </w:rPr>
        <w:t xml:space="preserve">4. To which extent do you think the quality, reliability and exhaustiveness of information on the security property of ICT products is likely to influence consumer/user choice over other type of factors such as costs? </w:t>
      </w:r>
    </w:p>
    <w:p w:rsidR="00913429" w:rsidRDefault="00913429">
      <w:pPr>
        <w:autoSpaceDE w:val="0"/>
        <w:autoSpaceDN w:val="0"/>
        <w:adjustRightInd w:val="0"/>
        <w:spacing w:after="0" w:line="240" w:lineRule="auto"/>
        <w:rPr>
          <w:rFonts w:cs="Georgia"/>
          <w:noProof/>
          <w:color w:val="000000"/>
          <w:lang w:eastAsia="it-IT"/>
        </w:rPr>
      </w:pPr>
    </w:p>
    <w:p w:rsidR="00913429" w:rsidRDefault="00E143F0">
      <w:pPr>
        <w:autoSpaceDE w:val="0"/>
        <w:autoSpaceDN w:val="0"/>
        <w:adjustRightInd w:val="0"/>
        <w:spacing w:after="0" w:line="240" w:lineRule="auto"/>
        <w:rPr>
          <w:rFonts w:cs="Georgia"/>
          <w:noProof/>
          <w:color w:val="000000"/>
          <w:lang w:eastAsia="it-IT"/>
        </w:rPr>
      </w:pPr>
      <w:r>
        <w:rPr>
          <w:rFonts w:ascii="Wingdings" w:hAnsi="Wingdings" w:cs="Wingdings"/>
          <w:noProof/>
          <w:color w:val="000000"/>
          <w:lang w:eastAsia="it-IT"/>
        </w:rPr>
        <w:t></w:t>
      </w:r>
      <w:r>
        <w:rPr>
          <w:rFonts w:ascii="Wingdings" w:hAnsi="Wingdings" w:cs="Wingdings"/>
          <w:noProof/>
          <w:color w:val="000000"/>
          <w:lang w:eastAsia="it-IT"/>
        </w:rPr>
        <w:t></w:t>
      </w:r>
      <w:r>
        <w:rPr>
          <w:rFonts w:cs="Georgia"/>
          <w:noProof/>
          <w:color w:val="000000"/>
          <w:lang w:eastAsia="it-IT"/>
        </w:rPr>
        <w:t xml:space="preserve">Very likely </w:t>
      </w:r>
    </w:p>
    <w:p w:rsidR="00913429" w:rsidRDefault="00E143F0">
      <w:pPr>
        <w:autoSpaceDE w:val="0"/>
        <w:autoSpaceDN w:val="0"/>
        <w:adjustRightInd w:val="0"/>
        <w:spacing w:after="0" w:line="240" w:lineRule="auto"/>
        <w:rPr>
          <w:rFonts w:cs="Georgia"/>
          <w:noProof/>
          <w:color w:val="000000"/>
          <w:lang w:eastAsia="it-IT"/>
        </w:rPr>
      </w:pPr>
      <w:r>
        <w:rPr>
          <w:rFonts w:ascii="Wingdings" w:hAnsi="Wingdings" w:cs="Wingdings"/>
          <w:noProof/>
          <w:color w:val="000000"/>
          <w:lang w:eastAsia="it-IT"/>
        </w:rPr>
        <w:t></w:t>
      </w:r>
      <w:r>
        <w:rPr>
          <w:rFonts w:ascii="Wingdings" w:hAnsi="Wingdings" w:cs="Wingdings"/>
          <w:noProof/>
          <w:color w:val="000000"/>
          <w:lang w:eastAsia="it-IT"/>
        </w:rPr>
        <w:t></w:t>
      </w:r>
      <w:r>
        <w:rPr>
          <w:rFonts w:cs="Georgia"/>
          <w:noProof/>
          <w:color w:val="000000"/>
          <w:lang w:eastAsia="it-IT"/>
        </w:rPr>
        <w:t xml:space="preserve">Likely </w:t>
      </w:r>
    </w:p>
    <w:p w:rsidR="00913429" w:rsidRDefault="00E143F0">
      <w:pPr>
        <w:autoSpaceDE w:val="0"/>
        <w:autoSpaceDN w:val="0"/>
        <w:adjustRightInd w:val="0"/>
        <w:spacing w:after="0" w:line="240" w:lineRule="auto"/>
        <w:rPr>
          <w:rFonts w:cs="Georgia"/>
          <w:noProof/>
          <w:color w:val="000000"/>
          <w:lang w:eastAsia="it-IT"/>
        </w:rPr>
      </w:pPr>
      <w:r>
        <w:rPr>
          <w:rFonts w:ascii="Wingdings" w:hAnsi="Wingdings" w:cs="Wingdings"/>
          <w:noProof/>
          <w:color w:val="000000"/>
          <w:lang w:eastAsia="it-IT"/>
        </w:rPr>
        <w:t></w:t>
      </w:r>
      <w:r>
        <w:rPr>
          <w:rFonts w:ascii="Wingdings" w:hAnsi="Wingdings" w:cs="Wingdings"/>
          <w:noProof/>
          <w:color w:val="000000"/>
          <w:lang w:eastAsia="it-IT"/>
        </w:rPr>
        <w:t></w:t>
      </w:r>
      <w:r>
        <w:rPr>
          <w:rFonts w:cs="Georgia"/>
          <w:noProof/>
          <w:color w:val="000000"/>
          <w:lang w:eastAsia="it-IT"/>
        </w:rPr>
        <w:t>Indiffere</w:t>
      </w:r>
      <w:r>
        <w:rPr>
          <w:rFonts w:cs="Georgia"/>
          <w:noProof/>
          <w:color w:val="000000"/>
          <w:lang w:eastAsia="it-IT"/>
        </w:rPr>
        <w:t xml:space="preserve">nt </w:t>
      </w:r>
    </w:p>
    <w:p w:rsidR="00913429" w:rsidRDefault="00E143F0">
      <w:pPr>
        <w:autoSpaceDE w:val="0"/>
        <w:autoSpaceDN w:val="0"/>
        <w:adjustRightInd w:val="0"/>
        <w:spacing w:after="0" w:line="240" w:lineRule="auto"/>
        <w:rPr>
          <w:rFonts w:cs="Georgia"/>
          <w:noProof/>
          <w:color w:val="000000"/>
          <w:lang w:eastAsia="it-IT"/>
        </w:rPr>
      </w:pPr>
      <w:r>
        <w:rPr>
          <w:rFonts w:ascii="Wingdings" w:hAnsi="Wingdings" w:cs="Wingdings"/>
          <w:noProof/>
          <w:color w:val="000000"/>
          <w:lang w:eastAsia="it-IT"/>
        </w:rPr>
        <w:t></w:t>
      </w:r>
      <w:r>
        <w:rPr>
          <w:rFonts w:ascii="Wingdings" w:hAnsi="Wingdings" w:cs="Wingdings"/>
          <w:noProof/>
          <w:color w:val="000000"/>
          <w:lang w:eastAsia="it-IT"/>
        </w:rPr>
        <w:t></w:t>
      </w:r>
      <w:r>
        <w:rPr>
          <w:rFonts w:cs="Georgia"/>
          <w:noProof/>
          <w:color w:val="000000"/>
          <w:lang w:eastAsia="it-IT"/>
        </w:rPr>
        <w:t xml:space="preserve">Not likely </w:t>
      </w:r>
    </w:p>
    <w:p w:rsidR="00913429" w:rsidRDefault="00E143F0">
      <w:pPr>
        <w:autoSpaceDE w:val="0"/>
        <w:autoSpaceDN w:val="0"/>
        <w:adjustRightInd w:val="0"/>
        <w:spacing w:after="0" w:line="240" w:lineRule="auto"/>
        <w:rPr>
          <w:rFonts w:cs="Georgia"/>
          <w:noProof/>
          <w:color w:val="000000"/>
          <w:lang w:eastAsia="it-IT"/>
        </w:rPr>
      </w:pPr>
      <w:r>
        <w:rPr>
          <w:rFonts w:ascii="Wingdings" w:hAnsi="Wingdings" w:cs="Wingdings"/>
          <w:noProof/>
          <w:color w:val="000000"/>
          <w:lang w:eastAsia="it-IT"/>
        </w:rPr>
        <w:t></w:t>
      </w:r>
      <w:r>
        <w:rPr>
          <w:rFonts w:ascii="Wingdings" w:hAnsi="Wingdings" w:cs="Wingdings"/>
          <w:noProof/>
          <w:color w:val="000000"/>
          <w:lang w:eastAsia="it-IT"/>
        </w:rPr>
        <w:t></w:t>
      </w:r>
      <w:r>
        <w:rPr>
          <w:rFonts w:cs="Georgia"/>
          <w:noProof/>
          <w:color w:val="000000"/>
          <w:lang w:eastAsia="it-IT"/>
        </w:rPr>
        <w:t xml:space="preserve">Not likely at all </w:t>
      </w:r>
    </w:p>
    <w:p w:rsidR="00913429" w:rsidRDefault="00E143F0">
      <w:pPr>
        <w:autoSpaceDE w:val="0"/>
        <w:autoSpaceDN w:val="0"/>
        <w:adjustRightInd w:val="0"/>
        <w:spacing w:after="0" w:line="240" w:lineRule="auto"/>
        <w:rPr>
          <w:rFonts w:cs="Georgia"/>
          <w:noProof/>
          <w:color w:val="000000"/>
          <w:lang w:eastAsia="it-IT"/>
        </w:rPr>
      </w:pPr>
      <w:r>
        <w:rPr>
          <w:rFonts w:ascii="Wingdings" w:hAnsi="Wingdings" w:cs="Wingdings"/>
          <w:noProof/>
          <w:color w:val="000000"/>
          <w:lang w:eastAsia="it-IT"/>
        </w:rPr>
        <w:t></w:t>
      </w:r>
      <w:r>
        <w:rPr>
          <w:rFonts w:ascii="Wingdings" w:hAnsi="Wingdings" w:cs="Wingdings"/>
          <w:noProof/>
          <w:color w:val="000000"/>
          <w:lang w:eastAsia="it-IT"/>
        </w:rPr>
        <w:t></w:t>
      </w:r>
      <w:r>
        <w:rPr>
          <w:rFonts w:cs="Georgia"/>
          <w:noProof/>
          <w:color w:val="000000"/>
          <w:lang w:eastAsia="it-IT"/>
        </w:rPr>
        <w:t xml:space="preserve">Don’t know </w:t>
      </w:r>
    </w:p>
    <w:p w:rsidR="00913429" w:rsidRDefault="00913429">
      <w:pPr>
        <w:autoSpaceDE w:val="0"/>
        <w:autoSpaceDN w:val="0"/>
        <w:adjustRightInd w:val="0"/>
        <w:spacing w:after="0" w:line="240" w:lineRule="auto"/>
        <w:rPr>
          <w:rFonts w:cs="Georgia"/>
          <w:noProof/>
          <w:color w:val="000000"/>
          <w:lang w:eastAsia="it-IT"/>
        </w:rPr>
      </w:pPr>
    </w:p>
    <w:p w:rsidR="00913429" w:rsidRDefault="00913429">
      <w:pPr>
        <w:autoSpaceDE w:val="0"/>
        <w:autoSpaceDN w:val="0"/>
        <w:adjustRightInd w:val="0"/>
        <w:spacing w:after="0" w:line="240" w:lineRule="auto"/>
        <w:rPr>
          <w:rFonts w:cs="Georgia"/>
          <w:noProof/>
          <w:color w:val="000000"/>
          <w:lang w:eastAsia="it-IT"/>
        </w:rPr>
      </w:pPr>
    </w:p>
    <w:p w:rsidR="00913429" w:rsidRDefault="00E143F0">
      <w:pPr>
        <w:autoSpaceDE w:val="0"/>
        <w:autoSpaceDN w:val="0"/>
        <w:adjustRightInd w:val="0"/>
        <w:spacing w:after="0" w:line="240" w:lineRule="auto"/>
        <w:rPr>
          <w:rFonts w:cs="Georgia"/>
          <w:b/>
          <w:noProof/>
          <w:color w:val="000000"/>
          <w:lang w:eastAsia="it-IT"/>
        </w:rPr>
      </w:pPr>
      <w:r>
        <w:rPr>
          <w:rFonts w:cs="Georgia"/>
          <w:b/>
          <w:noProof/>
          <w:color w:val="000000"/>
          <w:lang w:eastAsia="it-IT"/>
        </w:rPr>
        <w:t xml:space="preserve">5. On average what is the range of costs for certifying an ICT service/product? </w:t>
      </w:r>
    </w:p>
    <w:p w:rsidR="00913429" w:rsidRDefault="00913429">
      <w:pPr>
        <w:autoSpaceDE w:val="0"/>
        <w:autoSpaceDN w:val="0"/>
        <w:adjustRightInd w:val="0"/>
        <w:spacing w:after="0" w:line="240" w:lineRule="auto"/>
        <w:rPr>
          <w:rFonts w:cs="Georgia"/>
          <w:noProof/>
          <w:color w:val="000000"/>
          <w:lang w:eastAsia="it-IT"/>
        </w:rPr>
      </w:pPr>
    </w:p>
    <w:p w:rsidR="00913429" w:rsidRDefault="00E143F0">
      <w:pPr>
        <w:autoSpaceDE w:val="0"/>
        <w:autoSpaceDN w:val="0"/>
        <w:adjustRightInd w:val="0"/>
        <w:spacing w:after="0" w:line="240" w:lineRule="auto"/>
        <w:rPr>
          <w:rFonts w:cs="Georgia"/>
          <w:noProof/>
          <w:color w:val="000000"/>
          <w:lang w:eastAsia="it-IT"/>
        </w:rPr>
      </w:pPr>
      <w:r>
        <w:rPr>
          <w:rFonts w:ascii="Wingdings" w:hAnsi="Wingdings" w:cs="Wingdings"/>
          <w:noProof/>
          <w:color w:val="000000"/>
          <w:lang w:eastAsia="it-IT"/>
        </w:rPr>
        <w:t></w:t>
      </w:r>
      <w:r>
        <w:rPr>
          <w:rFonts w:ascii="Wingdings" w:hAnsi="Wingdings" w:cs="Wingdings"/>
          <w:noProof/>
          <w:color w:val="000000"/>
          <w:lang w:eastAsia="it-IT"/>
        </w:rPr>
        <w:t></w:t>
      </w:r>
      <w:r>
        <w:rPr>
          <w:rFonts w:cs="Georgia"/>
          <w:noProof/>
          <w:color w:val="000000"/>
          <w:lang w:eastAsia="it-IT"/>
        </w:rPr>
        <w:t xml:space="preserve">&lt; 10.000 € </w:t>
      </w:r>
    </w:p>
    <w:p w:rsidR="00913429" w:rsidRDefault="00E143F0">
      <w:pPr>
        <w:autoSpaceDE w:val="0"/>
        <w:autoSpaceDN w:val="0"/>
        <w:adjustRightInd w:val="0"/>
        <w:spacing w:after="0" w:line="240" w:lineRule="auto"/>
        <w:rPr>
          <w:rFonts w:cs="Georgia"/>
          <w:noProof/>
          <w:color w:val="000000"/>
          <w:lang w:eastAsia="it-IT"/>
        </w:rPr>
      </w:pPr>
      <w:r>
        <w:rPr>
          <w:rFonts w:ascii="Wingdings" w:hAnsi="Wingdings" w:cs="Wingdings"/>
          <w:noProof/>
          <w:color w:val="000000"/>
          <w:lang w:eastAsia="it-IT"/>
        </w:rPr>
        <w:t></w:t>
      </w:r>
      <w:r>
        <w:rPr>
          <w:rFonts w:ascii="Wingdings" w:hAnsi="Wingdings" w:cs="Wingdings"/>
          <w:noProof/>
          <w:color w:val="000000"/>
          <w:lang w:eastAsia="it-IT"/>
        </w:rPr>
        <w:t></w:t>
      </w:r>
      <w:r>
        <w:rPr>
          <w:rFonts w:cs="Georgia"/>
          <w:noProof/>
          <w:color w:val="000000"/>
          <w:lang w:eastAsia="it-IT"/>
        </w:rPr>
        <w:t xml:space="preserve">10.000 € – 100.000 € </w:t>
      </w:r>
    </w:p>
    <w:p w:rsidR="00913429" w:rsidRDefault="00E143F0">
      <w:pPr>
        <w:autoSpaceDE w:val="0"/>
        <w:autoSpaceDN w:val="0"/>
        <w:adjustRightInd w:val="0"/>
        <w:spacing w:after="0" w:line="240" w:lineRule="auto"/>
        <w:rPr>
          <w:rFonts w:cs="Georgia"/>
          <w:noProof/>
          <w:color w:val="000000"/>
          <w:lang w:eastAsia="it-IT"/>
        </w:rPr>
      </w:pPr>
      <w:r>
        <w:rPr>
          <w:rFonts w:ascii="Wingdings" w:hAnsi="Wingdings" w:cs="Wingdings"/>
          <w:noProof/>
          <w:color w:val="000000"/>
          <w:lang w:eastAsia="it-IT"/>
        </w:rPr>
        <w:t></w:t>
      </w:r>
      <w:r>
        <w:rPr>
          <w:rFonts w:ascii="Wingdings" w:hAnsi="Wingdings" w:cs="Wingdings"/>
          <w:noProof/>
          <w:color w:val="000000"/>
          <w:lang w:eastAsia="it-IT"/>
        </w:rPr>
        <w:t></w:t>
      </w:r>
      <w:r>
        <w:rPr>
          <w:rFonts w:cs="Georgia"/>
          <w:noProof/>
          <w:color w:val="000000"/>
          <w:lang w:eastAsia="it-IT"/>
        </w:rPr>
        <w:t xml:space="preserve">100.000 € – 1.000.000 € </w:t>
      </w:r>
    </w:p>
    <w:p w:rsidR="00913429" w:rsidRDefault="00E143F0">
      <w:pPr>
        <w:autoSpaceDE w:val="0"/>
        <w:autoSpaceDN w:val="0"/>
        <w:adjustRightInd w:val="0"/>
        <w:spacing w:after="0" w:line="240" w:lineRule="auto"/>
        <w:rPr>
          <w:rFonts w:cs="Georgia"/>
          <w:noProof/>
          <w:color w:val="000000"/>
          <w:lang w:eastAsia="it-IT"/>
        </w:rPr>
      </w:pPr>
      <w:r>
        <w:rPr>
          <w:rFonts w:ascii="Wingdings" w:hAnsi="Wingdings" w:cs="Wingdings"/>
          <w:noProof/>
          <w:color w:val="000000"/>
          <w:lang w:eastAsia="it-IT"/>
        </w:rPr>
        <w:t></w:t>
      </w:r>
      <w:r>
        <w:rPr>
          <w:rFonts w:ascii="Wingdings" w:hAnsi="Wingdings" w:cs="Wingdings"/>
          <w:noProof/>
          <w:color w:val="000000"/>
          <w:lang w:eastAsia="it-IT"/>
        </w:rPr>
        <w:t></w:t>
      </w:r>
      <w:r>
        <w:rPr>
          <w:rFonts w:cs="Georgia"/>
          <w:noProof/>
          <w:color w:val="000000"/>
          <w:lang w:eastAsia="it-IT"/>
        </w:rPr>
        <w:t xml:space="preserve">&gt; 1.000.000 € </w:t>
      </w:r>
    </w:p>
    <w:p w:rsidR="00913429" w:rsidRDefault="00913429">
      <w:pPr>
        <w:autoSpaceDE w:val="0"/>
        <w:autoSpaceDN w:val="0"/>
        <w:adjustRightInd w:val="0"/>
        <w:spacing w:after="0" w:line="240" w:lineRule="auto"/>
        <w:rPr>
          <w:rFonts w:cs="Georgia"/>
          <w:noProof/>
          <w:color w:val="000000"/>
          <w:lang w:eastAsia="it-IT"/>
        </w:rPr>
      </w:pPr>
    </w:p>
    <w:p w:rsidR="00913429" w:rsidRDefault="00E143F0">
      <w:pPr>
        <w:autoSpaceDE w:val="0"/>
        <w:autoSpaceDN w:val="0"/>
        <w:adjustRightInd w:val="0"/>
        <w:spacing w:after="0" w:line="240" w:lineRule="auto"/>
        <w:rPr>
          <w:rFonts w:cs="Georgia"/>
          <w:b/>
          <w:noProof/>
          <w:color w:val="000000"/>
          <w:lang w:eastAsia="it-IT"/>
        </w:rPr>
      </w:pPr>
      <w:r>
        <w:rPr>
          <w:rFonts w:cs="Georgia"/>
          <w:b/>
          <w:noProof/>
          <w:color w:val="000000"/>
          <w:lang w:eastAsia="it-IT"/>
        </w:rPr>
        <w:t xml:space="preserve">6. On average what is the range of costs of labelling of an ICT service/product (excluding any cost related to the certification process)? </w:t>
      </w:r>
    </w:p>
    <w:p w:rsidR="00913429" w:rsidRDefault="00913429">
      <w:pPr>
        <w:autoSpaceDE w:val="0"/>
        <w:autoSpaceDN w:val="0"/>
        <w:adjustRightInd w:val="0"/>
        <w:spacing w:after="0" w:line="240" w:lineRule="auto"/>
        <w:rPr>
          <w:rFonts w:cs="Georgia"/>
          <w:noProof/>
          <w:color w:val="000000"/>
          <w:lang w:eastAsia="it-IT"/>
        </w:rPr>
      </w:pPr>
    </w:p>
    <w:p w:rsidR="00913429" w:rsidRDefault="00E143F0">
      <w:pPr>
        <w:autoSpaceDE w:val="0"/>
        <w:autoSpaceDN w:val="0"/>
        <w:adjustRightInd w:val="0"/>
        <w:spacing w:after="0" w:line="240" w:lineRule="auto"/>
        <w:rPr>
          <w:rFonts w:cs="Georgia"/>
          <w:noProof/>
          <w:color w:val="000000"/>
          <w:lang w:eastAsia="it-IT"/>
        </w:rPr>
      </w:pPr>
      <w:r>
        <w:rPr>
          <w:rFonts w:ascii="Wingdings" w:hAnsi="Wingdings" w:cs="Wingdings"/>
          <w:noProof/>
          <w:color w:val="000000"/>
          <w:lang w:eastAsia="it-IT"/>
        </w:rPr>
        <w:t></w:t>
      </w:r>
      <w:r>
        <w:rPr>
          <w:rFonts w:ascii="Wingdings" w:hAnsi="Wingdings" w:cs="Wingdings"/>
          <w:noProof/>
          <w:color w:val="000000"/>
          <w:lang w:eastAsia="it-IT"/>
        </w:rPr>
        <w:t></w:t>
      </w:r>
      <w:r>
        <w:rPr>
          <w:rFonts w:cs="Georgia"/>
          <w:noProof/>
          <w:color w:val="000000"/>
          <w:lang w:eastAsia="it-IT"/>
        </w:rPr>
        <w:t xml:space="preserve">&lt; 1.000 € </w:t>
      </w:r>
    </w:p>
    <w:p w:rsidR="00913429" w:rsidRDefault="00E143F0">
      <w:pPr>
        <w:autoSpaceDE w:val="0"/>
        <w:autoSpaceDN w:val="0"/>
        <w:adjustRightInd w:val="0"/>
        <w:spacing w:after="0" w:line="240" w:lineRule="auto"/>
        <w:rPr>
          <w:rFonts w:cs="Georgia"/>
          <w:noProof/>
          <w:color w:val="000000"/>
          <w:lang w:eastAsia="it-IT"/>
        </w:rPr>
      </w:pPr>
      <w:r>
        <w:rPr>
          <w:rFonts w:ascii="Wingdings" w:hAnsi="Wingdings" w:cs="Wingdings"/>
          <w:noProof/>
          <w:color w:val="000000"/>
          <w:lang w:eastAsia="it-IT"/>
        </w:rPr>
        <w:t></w:t>
      </w:r>
      <w:r>
        <w:rPr>
          <w:rFonts w:ascii="Wingdings" w:hAnsi="Wingdings" w:cs="Wingdings"/>
          <w:noProof/>
          <w:color w:val="000000"/>
          <w:lang w:eastAsia="it-IT"/>
        </w:rPr>
        <w:t></w:t>
      </w:r>
      <w:r>
        <w:rPr>
          <w:rFonts w:cs="Georgia"/>
          <w:noProof/>
          <w:color w:val="000000"/>
          <w:lang w:eastAsia="it-IT"/>
        </w:rPr>
        <w:t xml:space="preserve">1.000 € – 50.000 € </w:t>
      </w:r>
    </w:p>
    <w:p w:rsidR="00913429" w:rsidRDefault="00E143F0">
      <w:pPr>
        <w:autoSpaceDE w:val="0"/>
        <w:autoSpaceDN w:val="0"/>
        <w:adjustRightInd w:val="0"/>
        <w:spacing w:after="0" w:line="240" w:lineRule="auto"/>
        <w:rPr>
          <w:rFonts w:cs="Georgia"/>
          <w:noProof/>
          <w:color w:val="000000"/>
          <w:lang w:eastAsia="it-IT"/>
        </w:rPr>
      </w:pPr>
      <w:r>
        <w:rPr>
          <w:rFonts w:ascii="Wingdings" w:hAnsi="Wingdings" w:cs="Wingdings"/>
          <w:noProof/>
          <w:color w:val="000000"/>
          <w:lang w:eastAsia="it-IT"/>
        </w:rPr>
        <w:t></w:t>
      </w:r>
      <w:r>
        <w:rPr>
          <w:rFonts w:ascii="Wingdings" w:hAnsi="Wingdings" w:cs="Wingdings"/>
          <w:noProof/>
          <w:color w:val="000000"/>
          <w:lang w:eastAsia="it-IT"/>
        </w:rPr>
        <w:t></w:t>
      </w:r>
      <w:r>
        <w:rPr>
          <w:rFonts w:cs="Georgia"/>
          <w:noProof/>
          <w:color w:val="000000"/>
          <w:lang w:eastAsia="it-IT"/>
        </w:rPr>
        <w:t xml:space="preserve">50.000 € – 100.000 € </w:t>
      </w:r>
    </w:p>
    <w:p w:rsidR="00913429" w:rsidRDefault="00E143F0">
      <w:pPr>
        <w:autoSpaceDE w:val="0"/>
        <w:autoSpaceDN w:val="0"/>
        <w:adjustRightInd w:val="0"/>
        <w:spacing w:after="0" w:line="240" w:lineRule="auto"/>
        <w:rPr>
          <w:rFonts w:cs="Georgia"/>
          <w:noProof/>
          <w:color w:val="000000"/>
          <w:lang w:eastAsia="it-IT"/>
        </w:rPr>
      </w:pPr>
      <w:r>
        <w:rPr>
          <w:rFonts w:ascii="Wingdings" w:hAnsi="Wingdings" w:cs="Wingdings"/>
          <w:noProof/>
          <w:color w:val="000000"/>
          <w:lang w:eastAsia="it-IT"/>
        </w:rPr>
        <w:t></w:t>
      </w:r>
      <w:r>
        <w:rPr>
          <w:rFonts w:ascii="Wingdings" w:hAnsi="Wingdings" w:cs="Wingdings"/>
          <w:noProof/>
          <w:color w:val="000000"/>
          <w:lang w:eastAsia="it-IT"/>
        </w:rPr>
        <w:t></w:t>
      </w:r>
      <w:r>
        <w:rPr>
          <w:rFonts w:cs="Georgia"/>
          <w:noProof/>
          <w:color w:val="000000"/>
          <w:lang w:eastAsia="it-IT"/>
        </w:rPr>
        <w:t xml:space="preserve">&gt; 100.000 € </w:t>
      </w:r>
    </w:p>
    <w:p w:rsidR="00913429" w:rsidRDefault="00913429">
      <w:pPr>
        <w:autoSpaceDE w:val="0"/>
        <w:autoSpaceDN w:val="0"/>
        <w:adjustRightInd w:val="0"/>
        <w:spacing w:after="0" w:line="240" w:lineRule="auto"/>
        <w:rPr>
          <w:rFonts w:cs="Georgia"/>
          <w:i/>
          <w:iCs/>
          <w:noProof/>
          <w:color w:val="000000"/>
          <w:lang w:eastAsia="it-IT"/>
        </w:rPr>
      </w:pPr>
    </w:p>
    <w:p w:rsidR="00913429" w:rsidRDefault="00913429">
      <w:pPr>
        <w:autoSpaceDE w:val="0"/>
        <w:autoSpaceDN w:val="0"/>
        <w:adjustRightInd w:val="0"/>
        <w:spacing w:after="0" w:line="240" w:lineRule="auto"/>
        <w:rPr>
          <w:rFonts w:cs="Georgia"/>
          <w:i/>
          <w:iCs/>
          <w:noProof/>
          <w:color w:val="000000"/>
          <w:lang w:eastAsia="it-IT"/>
        </w:rPr>
      </w:pPr>
    </w:p>
    <w:p w:rsidR="00913429" w:rsidRDefault="00913429">
      <w:pPr>
        <w:autoSpaceDE w:val="0"/>
        <w:autoSpaceDN w:val="0"/>
        <w:adjustRightInd w:val="0"/>
        <w:spacing w:after="0" w:line="240" w:lineRule="auto"/>
        <w:rPr>
          <w:rFonts w:cs="Georgia"/>
          <w:i/>
          <w:iCs/>
          <w:noProof/>
          <w:color w:val="000000"/>
          <w:lang w:eastAsia="it-IT"/>
        </w:rPr>
      </w:pPr>
    </w:p>
    <w:p w:rsidR="00913429" w:rsidRDefault="00E143F0">
      <w:pPr>
        <w:autoSpaceDE w:val="0"/>
        <w:autoSpaceDN w:val="0"/>
        <w:adjustRightInd w:val="0"/>
        <w:spacing w:after="0" w:line="240" w:lineRule="auto"/>
        <w:rPr>
          <w:rFonts w:cs="Georgia"/>
          <w:b/>
          <w:noProof/>
          <w:color w:val="000000"/>
          <w:lang w:eastAsia="it-IT"/>
        </w:rPr>
      </w:pPr>
      <w:r>
        <w:rPr>
          <w:rFonts w:cs="Georgia"/>
          <w:b/>
          <w:i/>
          <w:iCs/>
          <w:noProof/>
          <w:color w:val="000000"/>
          <w:lang w:eastAsia="it-IT"/>
        </w:rPr>
        <w:t xml:space="preserve">7. </w:t>
      </w:r>
      <w:r>
        <w:rPr>
          <w:rFonts w:cs="Georgia"/>
          <w:b/>
          <w:noProof/>
          <w:color w:val="000000"/>
          <w:lang w:eastAsia="it-IT"/>
        </w:rPr>
        <w:t xml:space="preserve">Can you please provide an example you are aware of a security certification requirement a company had to undertake to access the market of an EU country? </w:t>
      </w:r>
      <w:r>
        <w:rPr>
          <w:rFonts w:cs="Georgia"/>
          <w:b/>
          <w:i/>
          <w:iCs/>
          <w:noProof/>
          <w:color w:val="000000"/>
          <w:lang w:eastAsia="it-IT"/>
        </w:rPr>
        <w:t>(specify at least name of certification, type of ICT product, country) (Include average costs from que</w:t>
      </w:r>
      <w:r>
        <w:rPr>
          <w:rFonts w:cs="Georgia"/>
          <w:b/>
          <w:i/>
          <w:iCs/>
          <w:noProof/>
          <w:color w:val="000000"/>
          <w:lang w:eastAsia="it-IT"/>
        </w:rPr>
        <w:t xml:space="preserve">stions below) </w:t>
      </w:r>
    </w:p>
    <w:p w:rsidR="00913429" w:rsidRDefault="00913429">
      <w:pPr>
        <w:autoSpaceDE w:val="0"/>
        <w:autoSpaceDN w:val="0"/>
        <w:adjustRightInd w:val="0"/>
        <w:spacing w:after="0" w:line="240" w:lineRule="auto"/>
        <w:rPr>
          <w:rFonts w:cs="Georgia"/>
          <w:noProof/>
          <w:color w:val="000000"/>
          <w:lang w:eastAsia="it-IT"/>
        </w:rPr>
      </w:pPr>
    </w:p>
    <w:p w:rsidR="00913429" w:rsidRDefault="00E143F0">
      <w:pPr>
        <w:autoSpaceDE w:val="0"/>
        <w:autoSpaceDN w:val="0"/>
        <w:adjustRightInd w:val="0"/>
        <w:spacing w:after="0" w:line="240" w:lineRule="auto"/>
        <w:rPr>
          <w:rFonts w:cs="Georgia"/>
          <w:b/>
          <w:noProof/>
          <w:color w:val="000000"/>
          <w:lang w:eastAsia="it-IT"/>
        </w:rPr>
      </w:pPr>
      <w:r>
        <w:rPr>
          <w:rFonts w:cs="Georgia"/>
          <w:b/>
          <w:noProof/>
          <w:color w:val="000000"/>
          <w:lang w:eastAsia="it-IT"/>
        </w:rPr>
        <w:t xml:space="preserve">Could you provide an educated estimate of compliance costs and time: </w:t>
      </w:r>
    </w:p>
    <w:p w:rsidR="00913429" w:rsidRDefault="00913429">
      <w:pPr>
        <w:autoSpaceDE w:val="0"/>
        <w:autoSpaceDN w:val="0"/>
        <w:adjustRightInd w:val="0"/>
        <w:spacing w:after="0" w:line="240" w:lineRule="auto"/>
        <w:rPr>
          <w:rFonts w:cs="Georgia"/>
          <w:i/>
          <w:iCs/>
          <w:noProof/>
          <w:color w:val="000000"/>
          <w:lang w:eastAsia="it-IT"/>
        </w:rPr>
      </w:pPr>
    </w:p>
    <w:p w:rsidR="00913429" w:rsidRDefault="00913429">
      <w:pPr>
        <w:autoSpaceDE w:val="0"/>
        <w:autoSpaceDN w:val="0"/>
        <w:adjustRightInd w:val="0"/>
        <w:spacing w:after="0" w:line="240" w:lineRule="auto"/>
        <w:rPr>
          <w:rFonts w:cs="Georgia"/>
          <w:i/>
          <w:iCs/>
          <w:noProof/>
          <w:color w:val="000000"/>
          <w:lang w:eastAsia="it-IT"/>
        </w:rPr>
      </w:pPr>
    </w:p>
    <w:p w:rsidR="00913429" w:rsidRDefault="00E143F0">
      <w:pPr>
        <w:autoSpaceDE w:val="0"/>
        <w:autoSpaceDN w:val="0"/>
        <w:adjustRightInd w:val="0"/>
        <w:spacing w:after="0" w:line="240" w:lineRule="auto"/>
        <w:rPr>
          <w:rFonts w:cs="Georgia"/>
          <w:b/>
          <w:noProof/>
          <w:color w:val="000000"/>
          <w:lang w:eastAsia="it-IT"/>
        </w:rPr>
      </w:pPr>
      <w:r>
        <w:rPr>
          <w:rFonts w:cs="Georgia"/>
          <w:b/>
          <w:i/>
          <w:iCs/>
          <w:noProof/>
          <w:color w:val="000000"/>
          <w:lang w:eastAsia="it-IT"/>
        </w:rPr>
        <w:t xml:space="preserve">8. </w:t>
      </w:r>
      <w:r>
        <w:rPr>
          <w:rFonts w:cs="Georgia"/>
          <w:b/>
          <w:noProof/>
          <w:color w:val="000000"/>
          <w:lang w:eastAsia="it-IT"/>
        </w:rPr>
        <w:t xml:space="preserve">Can you please provide an example you are aware of a security labelling requirement a company had to comply with in order to access the market of an EU country? </w:t>
      </w:r>
      <w:r>
        <w:rPr>
          <w:rFonts w:cs="Georgia"/>
          <w:b/>
          <w:i/>
          <w:iCs/>
          <w:noProof/>
          <w:color w:val="000000"/>
          <w:lang w:eastAsia="it-IT"/>
        </w:rPr>
        <w:t>(spe</w:t>
      </w:r>
      <w:r>
        <w:rPr>
          <w:rFonts w:cs="Georgia"/>
          <w:b/>
          <w:i/>
          <w:iCs/>
          <w:noProof/>
          <w:color w:val="000000"/>
          <w:lang w:eastAsia="it-IT"/>
        </w:rPr>
        <w:t xml:space="preserve">cify at least name of labelling scheme, type of ICT product, country) </w:t>
      </w:r>
    </w:p>
    <w:p w:rsidR="00913429" w:rsidRDefault="00913429">
      <w:pPr>
        <w:autoSpaceDE w:val="0"/>
        <w:autoSpaceDN w:val="0"/>
        <w:adjustRightInd w:val="0"/>
        <w:spacing w:after="0" w:line="240" w:lineRule="auto"/>
        <w:rPr>
          <w:rFonts w:cs="Georgia"/>
          <w:noProof/>
          <w:color w:val="000000"/>
          <w:lang w:eastAsia="it-IT"/>
        </w:rPr>
      </w:pPr>
    </w:p>
    <w:p w:rsidR="00913429" w:rsidRDefault="00E143F0">
      <w:pPr>
        <w:autoSpaceDE w:val="0"/>
        <w:autoSpaceDN w:val="0"/>
        <w:adjustRightInd w:val="0"/>
        <w:spacing w:after="0" w:line="240" w:lineRule="auto"/>
        <w:rPr>
          <w:rFonts w:cs="Georgia"/>
          <w:b/>
          <w:noProof/>
          <w:color w:val="000000"/>
          <w:lang w:eastAsia="it-IT"/>
        </w:rPr>
      </w:pPr>
      <w:r>
        <w:rPr>
          <w:rFonts w:cs="Georgia"/>
          <w:b/>
          <w:noProof/>
          <w:color w:val="000000"/>
          <w:lang w:eastAsia="it-IT"/>
        </w:rPr>
        <w:t xml:space="preserve">Could you provide an educated estimate of compliance costs and time: </w:t>
      </w:r>
    </w:p>
    <w:p w:rsidR="00913429" w:rsidRDefault="00913429">
      <w:pPr>
        <w:autoSpaceDE w:val="0"/>
        <w:autoSpaceDN w:val="0"/>
        <w:adjustRightInd w:val="0"/>
        <w:spacing w:after="0" w:line="240" w:lineRule="auto"/>
        <w:rPr>
          <w:rFonts w:cs="Georgia"/>
          <w:noProof/>
          <w:color w:val="000000"/>
          <w:lang w:eastAsia="it-IT"/>
        </w:rPr>
      </w:pPr>
    </w:p>
    <w:p w:rsidR="00913429" w:rsidRDefault="00913429">
      <w:pPr>
        <w:autoSpaceDE w:val="0"/>
        <w:autoSpaceDN w:val="0"/>
        <w:adjustRightInd w:val="0"/>
        <w:spacing w:after="0" w:line="240" w:lineRule="auto"/>
        <w:rPr>
          <w:rFonts w:cs="Georgia"/>
          <w:noProof/>
          <w:color w:val="000000"/>
          <w:lang w:eastAsia="it-IT"/>
        </w:rPr>
      </w:pPr>
    </w:p>
    <w:p w:rsidR="00913429" w:rsidRDefault="00E143F0">
      <w:pPr>
        <w:autoSpaceDE w:val="0"/>
        <w:autoSpaceDN w:val="0"/>
        <w:adjustRightInd w:val="0"/>
        <w:spacing w:after="0" w:line="240" w:lineRule="auto"/>
        <w:rPr>
          <w:rFonts w:cs="Georgia"/>
          <w:b/>
          <w:noProof/>
          <w:color w:val="000000"/>
          <w:lang w:eastAsia="it-IT"/>
        </w:rPr>
      </w:pPr>
      <w:r>
        <w:rPr>
          <w:rFonts w:cs="Georgia"/>
          <w:b/>
          <w:noProof/>
          <w:color w:val="000000"/>
          <w:lang w:eastAsia="it-IT"/>
        </w:rPr>
        <w:t xml:space="preserve">9. Can you please provide an example you are aware of a case of national procurement bids/practices restricting </w:t>
      </w:r>
      <w:r>
        <w:rPr>
          <w:rFonts w:cs="Georgia"/>
          <w:b/>
          <w:noProof/>
          <w:color w:val="000000"/>
          <w:lang w:eastAsia="it-IT"/>
        </w:rPr>
        <w:t xml:space="preserve">open competition in favour of mandatory national certifications? </w:t>
      </w:r>
      <w:r>
        <w:rPr>
          <w:rFonts w:cs="Georgia"/>
          <w:b/>
          <w:i/>
          <w:iCs/>
          <w:noProof/>
          <w:color w:val="000000"/>
          <w:lang w:eastAsia="it-IT"/>
        </w:rPr>
        <w:t xml:space="preserve">(specify type of ICT product, country, procurement procedures and enforcement e.g. mandatory or recommended) </w:t>
      </w:r>
    </w:p>
    <w:p w:rsidR="00913429" w:rsidRDefault="00913429">
      <w:pPr>
        <w:autoSpaceDE w:val="0"/>
        <w:autoSpaceDN w:val="0"/>
        <w:adjustRightInd w:val="0"/>
        <w:spacing w:after="0" w:line="240" w:lineRule="auto"/>
        <w:rPr>
          <w:rFonts w:cs="Georgia"/>
          <w:noProof/>
          <w:color w:val="000000"/>
          <w:lang w:eastAsia="it-IT"/>
        </w:rPr>
      </w:pPr>
    </w:p>
    <w:p w:rsidR="00913429" w:rsidRDefault="00913429">
      <w:pPr>
        <w:autoSpaceDE w:val="0"/>
        <w:autoSpaceDN w:val="0"/>
        <w:adjustRightInd w:val="0"/>
        <w:spacing w:after="0" w:line="240" w:lineRule="auto"/>
        <w:rPr>
          <w:rFonts w:cs="Georgia"/>
          <w:noProof/>
          <w:color w:val="000000"/>
          <w:lang w:eastAsia="it-IT"/>
        </w:rPr>
      </w:pPr>
    </w:p>
    <w:p w:rsidR="00913429" w:rsidRDefault="00E143F0">
      <w:pPr>
        <w:autoSpaceDE w:val="0"/>
        <w:autoSpaceDN w:val="0"/>
        <w:adjustRightInd w:val="0"/>
        <w:spacing w:after="0" w:line="240" w:lineRule="auto"/>
        <w:rPr>
          <w:rFonts w:cs="Georgia"/>
          <w:b/>
          <w:noProof/>
          <w:color w:val="000000"/>
          <w:lang w:eastAsia="it-IT"/>
        </w:rPr>
      </w:pPr>
      <w:r>
        <w:rPr>
          <w:rFonts w:cs="Georgia"/>
          <w:b/>
          <w:noProof/>
          <w:color w:val="000000"/>
          <w:lang w:eastAsia="it-IT"/>
        </w:rPr>
        <w:t>10. How likely do you think a large-sized company which has certified its produ</w:t>
      </w:r>
      <w:r>
        <w:rPr>
          <w:rFonts w:cs="Georgia"/>
          <w:b/>
          <w:noProof/>
          <w:color w:val="000000"/>
          <w:lang w:eastAsia="it-IT"/>
        </w:rPr>
        <w:t xml:space="preserve">ct in a given EU country would restrain itself from entering the market of a second MS in consideration of additional security certifications requirements? </w:t>
      </w:r>
    </w:p>
    <w:p w:rsidR="00913429" w:rsidRDefault="00913429">
      <w:pPr>
        <w:autoSpaceDE w:val="0"/>
        <w:autoSpaceDN w:val="0"/>
        <w:adjustRightInd w:val="0"/>
        <w:spacing w:after="0" w:line="240" w:lineRule="auto"/>
        <w:rPr>
          <w:rFonts w:cs="Georgia"/>
          <w:noProof/>
          <w:color w:val="000000"/>
          <w:lang w:eastAsia="it-IT"/>
        </w:rPr>
      </w:pPr>
    </w:p>
    <w:p w:rsidR="00913429" w:rsidRDefault="00E143F0">
      <w:pPr>
        <w:autoSpaceDE w:val="0"/>
        <w:autoSpaceDN w:val="0"/>
        <w:adjustRightInd w:val="0"/>
        <w:spacing w:after="0" w:line="240" w:lineRule="auto"/>
        <w:rPr>
          <w:rFonts w:cs="Georgia"/>
          <w:noProof/>
          <w:color w:val="000000"/>
          <w:lang w:eastAsia="it-IT"/>
        </w:rPr>
      </w:pPr>
      <w:r>
        <w:rPr>
          <w:rFonts w:ascii="Wingdings" w:hAnsi="Wingdings" w:cs="Wingdings"/>
          <w:noProof/>
          <w:color w:val="000000"/>
          <w:lang w:eastAsia="it-IT"/>
        </w:rPr>
        <w:t></w:t>
      </w:r>
      <w:r>
        <w:rPr>
          <w:rFonts w:ascii="Wingdings" w:hAnsi="Wingdings" w:cs="Wingdings"/>
          <w:noProof/>
          <w:color w:val="000000"/>
          <w:lang w:eastAsia="it-IT"/>
        </w:rPr>
        <w:t></w:t>
      </w:r>
      <w:r>
        <w:rPr>
          <w:rFonts w:cs="Georgia"/>
          <w:noProof/>
          <w:color w:val="000000"/>
          <w:lang w:eastAsia="it-IT"/>
        </w:rPr>
        <w:t xml:space="preserve">Very likely </w:t>
      </w:r>
    </w:p>
    <w:p w:rsidR="00913429" w:rsidRDefault="00E143F0">
      <w:pPr>
        <w:autoSpaceDE w:val="0"/>
        <w:autoSpaceDN w:val="0"/>
        <w:adjustRightInd w:val="0"/>
        <w:spacing w:after="0" w:line="240" w:lineRule="auto"/>
        <w:rPr>
          <w:rFonts w:cs="Georgia"/>
          <w:noProof/>
          <w:color w:val="000000"/>
          <w:lang w:eastAsia="it-IT"/>
        </w:rPr>
      </w:pPr>
      <w:r>
        <w:rPr>
          <w:rFonts w:ascii="Wingdings" w:hAnsi="Wingdings" w:cs="Wingdings"/>
          <w:noProof/>
          <w:color w:val="000000"/>
          <w:lang w:eastAsia="it-IT"/>
        </w:rPr>
        <w:t></w:t>
      </w:r>
      <w:r>
        <w:rPr>
          <w:rFonts w:ascii="Wingdings" w:hAnsi="Wingdings" w:cs="Wingdings"/>
          <w:noProof/>
          <w:color w:val="000000"/>
          <w:lang w:eastAsia="it-IT"/>
        </w:rPr>
        <w:t></w:t>
      </w:r>
      <w:r>
        <w:rPr>
          <w:rFonts w:cs="Georgia"/>
          <w:noProof/>
          <w:color w:val="000000"/>
          <w:lang w:eastAsia="it-IT"/>
        </w:rPr>
        <w:t xml:space="preserve">Likely </w:t>
      </w:r>
    </w:p>
    <w:p w:rsidR="00913429" w:rsidRDefault="00E143F0">
      <w:pPr>
        <w:autoSpaceDE w:val="0"/>
        <w:autoSpaceDN w:val="0"/>
        <w:adjustRightInd w:val="0"/>
        <w:spacing w:after="0" w:line="240" w:lineRule="auto"/>
        <w:rPr>
          <w:rFonts w:cs="Georgia"/>
          <w:noProof/>
          <w:color w:val="000000"/>
          <w:lang w:eastAsia="it-IT"/>
        </w:rPr>
      </w:pPr>
      <w:r>
        <w:rPr>
          <w:rFonts w:ascii="Wingdings" w:hAnsi="Wingdings" w:cs="Wingdings"/>
          <w:noProof/>
          <w:color w:val="000000"/>
          <w:lang w:eastAsia="it-IT"/>
        </w:rPr>
        <w:t></w:t>
      </w:r>
      <w:r>
        <w:rPr>
          <w:rFonts w:ascii="Wingdings" w:hAnsi="Wingdings" w:cs="Wingdings"/>
          <w:noProof/>
          <w:color w:val="000000"/>
          <w:lang w:eastAsia="it-IT"/>
        </w:rPr>
        <w:t></w:t>
      </w:r>
      <w:r>
        <w:rPr>
          <w:rFonts w:cs="Georgia"/>
          <w:noProof/>
          <w:color w:val="000000"/>
          <w:lang w:eastAsia="it-IT"/>
        </w:rPr>
        <w:t xml:space="preserve">Indifferent </w:t>
      </w:r>
    </w:p>
    <w:p w:rsidR="00913429" w:rsidRDefault="00E143F0">
      <w:pPr>
        <w:autoSpaceDE w:val="0"/>
        <w:autoSpaceDN w:val="0"/>
        <w:adjustRightInd w:val="0"/>
        <w:spacing w:after="0" w:line="240" w:lineRule="auto"/>
        <w:rPr>
          <w:rFonts w:cs="Georgia"/>
          <w:noProof/>
          <w:color w:val="000000"/>
          <w:lang w:eastAsia="it-IT"/>
        </w:rPr>
      </w:pPr>
      <w:r>
        <w:rPr>
          <w:rFonts w:ascii="Wingdings" w:hAnsi="Wingdings" w:cs="Wingdings"/>
          <w:noProof/>
          <w:color w:val="000000"/>
          <w:lang w:eastAsia="it-IT"/>
        </w:rPr>
        <w:t></w:t>
      </w:r>
      <w:r>
        <w:rPr>
          <w:rFonts w:ascii="Wingdings" w:hAnsi="Wingdings" w:cs="Wingdings"/>
          <w:noProof/>
          <w:color w:val="000000"/>
          <w:lang w:eastAsia="it-IT"/>
        </w:rPr>
        <w:t></w:t>
      </w:r>
      <w:r>
        <w:rPr>
          <w:rFonts w:cs="Georgia"/>
          <w:noProof/>
          <w:color w:val="000000"/>
          <w:lang w:eastAsia="it-IT"/>
        </w:rPr>
        <w:t xml:space="preserve">Not likely </w:t>
      </w:r>
    </w:p>
    <w:p w:rsidR="00913429" w:rsidRDefault="00E143F0">
      <w:pPr>
        <w:autoSpaceDE w:val="0"/>
        <w:autoSpaceDN w:val="0"/>
        <w:adjustRightInd w:val="0"/>
        <w:spacing w:after="0" w:line="240" w:lineRule="auto"/>
        <w:rPr>
          <w:rFonts w:cs="Georgia"/>
          <w:noProof/>
          <w:color w:val="000000"/>
          <w:lang w:eastAsia="it-IT"/>
        </w:rPr>
      </w:pPr>
      <w:r>
        <w:rPr>
          <w:rFonts w:ascii="Wingdings" w:hAnsi="Wingdings" w:cs="Wingdings"/>
          <w:noProof/>
          <w:color w:val="000000"/>
          <w:lang w:eastAsia="it-IT"/>
        </w:rPr>
        <w:t></w:t>
      </w:r>
      <w:r>
        <w:rPr>
          <w:rFonts w:ascii="Wingdings" w:hAnsi="Wingdings" w:cs="Wingdings"/>
          <w:noProof/>
          <w:color w:val="000000"/>
          <w:lang w:eastAsia="it-IT"/>
        </w:rPr>
        <w:t></w:t>
      </w:r>
      <w:r>
        <w:rPr>
          <w:rFonts w:cs="Georgia"/>
          <w:noProof/>
          <w:color w:val="000000"/>
          <w:lang w:eastAsia="it-IT"/>
        </w:rPr>
        <w:t xml:space="preserve">Not likely at all </w:t>
      </w:r>
    </w:p>
    <w:p w:rsidR="00913429" w:rsidRDefault="00E143F0">
      <w:pPr>
        <w:autoSpaceDE w:val="0"/>
        <w:autoSpaceDN w:val="0"/>
        <w:adjustRightInd w:val="0"/>
        <w:spacing w:after="0" w:line="240" w:lineRule="auto"/>
        <w:rPr>
          <w:rFonts w:cs="Georgia"/>
          <w:noProof/>
          <w:color w:val="000000"/>
          <w:lang w:eastAsia="it-IT"/>
        </w:rPr>
      </w:pPr>
      <w:r>
        <w:rPr>
          <w:rFonts w:ascii="Wingdings" w:hAnsi="Wingdings" w:cs="Wingdings"/>
          <w:noProof/>
          <w:color w:val="000000"/>
          <w:lang w:eastAsia="it-IT"/>
        </w:rPr>
        <w:t></w:t>
      </w:r>
      <w:r>
        <w:rPr>
          <w:rFonts w:ascii="Wingdings" w:hAnsi="Wingdings" w:cs="Wingdings"/>
          <w:noProof/>
          <w:color w:val="000000"/>
          <w:lang w:eastAsia="it-IT"/>
        </w:rPr>
        <w:t></w:t>
      </w:r>
      <w:r>
        <w:rPr>
          <w:rFonts w:cs="Georgia"/>
          <w:noProof/>
          <w:color w:val="000000"/>
          <w:lang w:eastAsia="it-IT"/>
        </w:rPr>
        <w:t xml:space="preserve">Don’t know </w:t>
      </w:r>
    </w:p>
    <w:p w:rsidR="00913429" w:rsidRDefault="00913429">
      <w:pPr>
        <w:autoSpaceDE w:val="0"/>
        <w:autoSpaceDN w:val="0"/>
        <w:adjustRightInd w:val="0"/>
        <w:spacing w:after="0" w:line="240" w:lineRule="auto"/>
        <w:rPr>
          <w:rFonts w:cs="Georgia"/>
          <w:noProof/>
          <w:color w:val="000000"/>
          <w:lang w:eastAsia="it-IT"/>
        </w:rPr>
      </w:pPr>
    </w:p>
    <w:p w:rsidR="00913429" w:rsidRDefault="00E143F0">
      <w:pPr>
        <w:autoSpaceDE w:val="0"/>
        <w:autoSpaceDN w:val="0"/>
        <w:adjustRightInd w:val="0"/>
        <w:spacing w:after="0" w:line="240" w:lineRule="auto"/>
        <w:rPr>
          <w:rFonts w:cs="Georgia"/>
          <w:b/>
          <w:noProof/>
          <w:color w:val="000000"/>
          <w:lang w:eastAsia="it-IT"/>
        </w:rPr>
      </w:pPr>
      <w:r>
        <w:rPr>
          <w:rFonts w:cs="Georgia"/>
          <w:b/>
          <w:noProof/>
          <w:color w:val="000000"/>
          <w:lang w:eastAsia="it-IT"/>
        </w:rPr>
        <w:t xml:space="preserve">11. How likely do you think a SME which has certified its product in a given EU country would restrain itself from entering the market of a second Member State in consideration of additional security certifications requirements? </w:t>
      </w:r>
    </w:p>
    <w:p w:rsidR="00913429" w:rsidRDefault="00913429">
      <w:pPr>
        <w:autoSpaceDE w:val="0"/>
        <w:autoSpaceDN w:val="0"/>
        <w:adjustRightInd w:val="0"/>
        <w:spacing w:after="0" w:line="240" w:lineRule="auto"/>
        <w:rPr>
          <w:rFonts w:cs="Georgia"/>
          <w:noProof/>
          <w:color w:val="000000"/>
          <w:lang w:eastAsia="it-IT"/>
        </w:rPr>
      </w:pPr>
    </w:p>
    <w:p w:rsidR="00913429" w:rsidRDefault="00E143F0">
      <w:pPr>
        <w:autoSpaceDE w:val="0"/>
        <w:autoSpaceDN w:val="0"/>
        <w:adjustRightInd w:val="0"/>
        <w:spacing w:after="0" w:line="240" w:lineRule="auto"/>
        <w:rPr>
          <w:rFonts w:cs="Georgia"/>
          <w:noProof/>
          <w:color w:val="000000"/>
          <w:lang w:eastAsia="it-IT"/>
        </w:rPr>
      </w:pPr>
      <w:r>
        <w:rPr>
          <w:rFonts w:ascii="Wingdings" w:hAnsi="Wingdings" w:cs="Wingdings"/>
          <w:noProof/>
          <w:color w:val="000000"/>
          <w:lang w:eastAsia="it-IT"/>
        </w:rPr>
        <w:t></w:t>
      </w:r>
      <w:r>
        <w:rPr>
          <w:rFonts w:ascii="Wingdings" w:hAnsi="Wingdings" w:cs="Wingdings"/>
          <w:noProof/>
          <w:color w:val="000000"/>
          <w:lang w:eastAsia="it-IT"/>
        </w:rPr>
        <w:t></w:t>
      </w:r>
      <w:r>
        <w:rPr>
          <w:rFonts w:cs="Georgia"/>
          <w:noProof/>
          <w:color w:val="000000"/>
          <w:lang w:eastAsia="it-IT"/>
        </w:rPr>
        <w:t xml:space="preserve">Very likely </w:t>
      </w:r>
    </w:p>
    <w:p w:rsidR="00913429" w:rsidRDefault="00E143F0">
      <w:pPr>
        <w:autoSpaceDE w:val="0"/>
        <w:autoSpaceDN w:val="0"/>
        <w:adjustRightInd w:val="0"/>
        <w:spacing w:after="0" w:line="240" w:lineRule="auto"/>
        <w:rPr>
          <w:rFonts w:cs="Georgia"/>
          <w:noProof/>
          <w:color w:val="000000"/>
          <w:lang w:eastAsia="it-IT"/>
        </w:rPr>
      </w:pPr>
      <w:r>
        <w:rPr>
          <w:rFonts w:ascii="Wingdings" w:hAnsi="Wingdings" w:cs="Wingdings"/>
          <w:noProof/>
          <w:color w:val="000000"/>
          <w:lang w:eastAsia="it-IT"/>
        </w:rPr>
        <w:t></w:t>
      </w:r>
      <w:r>
        <w:rPr>
          <w:rFonts w:ascii="Wingdings" w:hAnsi="Wingdings" w:cs="Wingdings"/>
          <w:noProof/>
          <w:color w:val="000000"/>
          <w:lang w:eastAsia="it-IT"/>
        </w:rPr>
        <w:t></w:t>
      </w:r>
      <w:r>
        <w:rPr>
          <w:rFonts w:cs="Georgia"/>
          <w:noProof/>
          <w:color w:val="000000"/>
          <w:lang w:eastAsia="it-IT"/>
        </w:rPr>
        <w:t xml:space="preserve">Likely </w:t>
      </w:r>
    </w:p>
    <w:p w:rsidR="00913429" w:rsidRDefault="00E143F0">
      <w:pPr>
        <w:autoSpaceDE w:val="0"/>
        <w:autoSpaceDN w:val="0"/>
        <w:adjustRightInd w:val="0"/>
        <w:spacing w:after="0" w:line="240" w:lineRule="auto"/>
        <w:rPr>
          <w:rFonts w:cs="Georgia"/>
          <w:noProof/>
          <w:color w:val="000000"/>
          <w:lang w:eastAsia="it-IT"/>
        </w:rPr>
      </w:pPr>
      <w:r>
        <w:rPr>
          <w:rFonts w:ascii="Wingdings" w:hAnsi="Wingdings" w:cs="Wingdings"/>
          <w:noProof/>
          <w:color w:val="000000"/>
          <w:lang w:eastAsia="it-IT"/>
        </w:rPr>
        <w:t></w:t>
      </w:r>
      <w:r>
        <w:rPr>
          <w:rFonts w:ascii="Wingdings" w:hAnsi="Wingdings" w:cs="Wingdings"/>
          <w:noProof/>
          <w:color w:val="000000"/>
          <w:lang w:eastAsia="it-IT"/>
        </w:rPr>
        <w:t></w:t>
      </w:r>
      <w:r>
        <w:rPr>
          <w:rFonts w:cs="Georgia"/>
          <w:noProof/>
          <w:color w:val="000000"/>
          <w:lang w:eastAsia="it-IT"/>
        </w:rPr>
        <w:t xml:space="preserve">Indifferent </w:t>
      </w:r>
    </w:p>
    <w:p w:rsidR="00913429" w:rsidRDefault="00E143F0">
      <w:pPr>
        <w:autoSpaceDE w:val="0"/>
        <w:autoSpaceDN w:val="0"/>
        <w:adjustRightInd w:val="0"/>
        <w:spacing w:after="0" w:line="240" w:lineRule="auto"/>
        <w:rPr>
          <w:rFonts w:cs="Georgia"/>
          <w:noProof/>
          <w:color w:val="000000"/>
          <w:lang w:eastAsia="it-IT"/>
        </w:rPr>
      </w:pPr>
      <w:r>
        <w:rPr>
          <w:rFonts w:ascii="Wingdings" w:hAnsi="Wingdings" w:cs="Wingdings"/>
          <w:noProof/>
          <w:color w:val="000000"/>
          <w:lang w:eastAsia="it-IT"/>
        </w:rPr>
        <w:t></w:t>
      </w:r>
      <w:r>
        <w:rPr>
          <w:rFonts w:ascii="Wingdings" w:hAnsi="Wingdings" w:cs="Wingdings"/>
          <w:noProof/>
          <w:color w:val="000000"/>
          <w:lang w:eastAsia="it-IT"/>
        </w:rPr>
        <w:t></w:t>
      </w:r>
      <w:r>
        <w:rPr>
          <w:rFonts w:cs="Georgia"/>
          <w:noProof/>
          <w:color w:val="000000"/>
          <w:lang w:eastAsia="it-IT"/>
        </w:rPr>
        <w:t xml:space="preserve">Not likely </w:t>
      </w:r>
    </w:p>
    <w:p w:rsidR="00913429" w:rsidRDefault="00E143F0">
      <w:pPr>
        <w:autoSpaceDE w:val="0"/>
        <w:autoSpaceDN w:val="0"/>
        <w:adjustRightInd w:val="0"/>
        <w:spacing w:after="0" w:line="240" w:lineRule="auto"/>
        <w:rPr>
          <w:rFonts w:cs="Georgia"/>
          <w:noProof/>
          <w:color w:val="000000"/>
          <w:lang w:eastAsia="it-IT"/>
        </w:rPr>
      </w:pPr>
      <w:r>
        <w:rPr>
          <w:rFonts w:ascii="Wingdings" w:hAnsi="Wingdings" w:cs="Wingdings"/>
          <w:noProof/>
          <w:color w:val="000000"/>
          <w:lang w:eastAsia="it-IT"/>
        </w:rPr>
        <w:t></w:t>
      </w:r>
      <w:r>
        <w:rPr>
          <w:rFonts w:ascii="Wingdings" w:hAnsi="Wingdings" w:cs="Wingdings"/>
          <w:noProof/>
          <w:color w:val="000000"/>
          <w:lang w:eastAsia="it-IT"/>
        </w:rPr>
        <w:t></w:t>
      </w:r>
      <w:r>
        <w:rPr>
          <w:rFonts w:cs="Georgia"/>
          <w:noProof/>
          <w:color w:val="000000"/>
          <w:lang w:eastAsia="it-IT"/>
        </w:rPr>
        <w:t xml:space="preserve">Not likely at all </w:t>
      </w:r>
    </w:p>
    <w:p w:rsidR="00913429" w:rsidRDefault="00E143F0">
      <w:pPr>
        <w:autoSpaceDE w:val="0"/>
        <w:autoSpaceDN w:val="0"/>
        <w:adjustRightInd w:val="0"/>
        <w:spacing w:after="0" w:line="240" w:lineRule="auto"/>
        <w:rPr>
          <w:rFonts w:cs="Georgia"/>
          <w:noProof/>
          <w:color w:val="000000"/>
          <w:lang w:eastAsia="it-IT"/>
        </w:rPr>
      </w:pPr>
      <w:r>
        <w:rPr>
          <w:rFonts w:ascii="Wingdings" w:hAnsi="Wingdings" w:cs="Wingdings"/>
          <w:noProof/>
          <w:color w:val="000000"/>
          <w:lang w:eastAsia="it-IT"/>
        </w:rPr>
        <w:t></w:t>
      </w:r>
      <w:r>
        <w:rPr>
          <w:rFonts w:ascii="Wingdings" w:hAnsi="Wingdings" w:cs="Wingdings"/>
          <w:noProof/>
          <w:color w:val="000000"/>
          <w:lang w:eastAsia="it-IT"/>
        </w:rPr>
        <w:t></w:t>
      </w:r>
      <w:r>
        <w:rPr>
          <w:rFonts w:cs="Georgia"/>
          <w:noProof/>
          <w:color w:val="000000"/>
          <w:lang w:eastAsia="it-IT"/>
        </w:rPr>
        <w:t xml:space="preserve">Don’t know </w:t>
      </w:r>
    </w:p>
    <w:p w:rsidR="00913429" w:rsidRDefault="00913429">
      <w:pPr>
        <w:autoSpaceDE w:val="0"/>
        <w:autoSpaceDN w:val="0"/>
        <w:adjustRightInd w:val="0"/>
        <w:spacing w:after="0" w:line="240" w:lineRule="auto"/>
        <w:rPr>
          <w:rFonts w:cs="Georgia"/>
          <w:noProof/>
          <w:color w:val="000000"/>
          <w:lang w:eastAsia="it-IT"/>
        </w:rPr>
      </w:pPr>
    </w:p>
    <w:p w:rsidR="00913429" w:rsidRDefault="00913429">
      <w:pPr>
        <w:autoSpaceDE w:val="0"/>
        <w:autoSpaceDN w:val="0"/>
        <w:adjustRightInd w:val="0"/>
        <w:spacing w:after="0" w:line="240" w:lineRule="auto"/>
        <w:rPr>
          <w:rFonts w:cs="Georgia"/>
          <w:noProof/>
          <w:color w:val="000000"/>
          <w:lang w:eastAsia="it-IT"/>
        </w:rPr>
      </w:pPr>
    </w:p>
    <w:p w:rsidR="00913429" w:rsidRDefault="00E143F0">
      <w:pPr>
        <w:autoSpaceDE w:val="0"/>
        <w:autoSpaceDN w:val="0"/>
        <w:adjustRightInd w:val="0"/>
        <w:spacing w:after="0" w:line="240" w:lineRule="auto"/>
        <w:rPr>
          <w:rFonts w:cs="Georgia"/>
          <w:b/>
          <w:noProof/>
          <w:color w:val="000000"/>
          <w:lang w:eastAsia="it-IT"/>
        </w:rPr>
      </w:pPr>
      <w:r>
        <w:rPr>
          <w:rFonts w:cs="Georgia"/>
          <w:b/>
          <w:noProof/>
          <w:color w:val="000000"/>
          <w:lang w:eastAsia="it-IT"/>
        </w:rPr>
        <w:t>12. From your experience, what is the likelihood of an ICT product/service vendor to accept bearing the costs of a second certification/labelling process in order to access the market of ano</w:t>
      </w:r>
      <w:r>
        <w:rPr>
          <w:rFonts w:cs="Georgia"/>
          <w:b/>
          <w:noProof/>
          <w:color w:val="000000"/>
          <w:lang w:eastAsia="it-IT"/>
        </w:rPr>
        <w:t xml:space="preserve">ther EU country? </w:t>
      </w:r>
    </w:p>
    <w:p w:rsidR="00913429" w:rsidRDefault="00913429">
      <w:pPr>
        <w:autoSpaceDE w:val="0"/>
        <w:autoSpaceDN w:val="0"/>
        <w:adjustRightInd w:val="0"/>
        <w:spacing w:after="0" w:line="240" w:lineRule="auto"/>
        <w:rPr>
          <w:rFonts w:cs="Georgia"/>
          <w:noProof/>
          <w:color w:val="000000"/>
          <w:lang w:eastAsia="it-IT"/>
        </w:rPr>
      </w:pPr>
    </w:p>
    <w:p w:rsidR="00913429" w:rsidRDefault="00E143F0">
      <w:pPr>
        <w:autoSpaceDE w:val="0"/>
        <w:autoSpaceDN w:val="0"/>
        <w:adjustRightInd w:val="0"/>
        <w:spacing w:after="0" w:line="240" w:lineRule="auto"/>
        <w:rPr>
          <w:rFonts w:cs="Georgia"/>
          <w:noProof/>
          <w:color w:val="000000"/>
          <w:lang w:eastAsia="it-IT"/>
        </w:rPr>
      </w:pPr>
      <w:r>
        <w:rPr>
          <w:rFonts w:ascii="Wingdings" w:hAnsi="Wingdings" w:cs="Wingdings"/>
          <w:noProof/>
          <w:color w:val="000000"/>
          <w:lang w:eastAsia="it-IT"/>
        </w:rPr>
        <w:t></w:t>
      </w:r>
      <w:r>
        <w:rPr>
          <w:rFonts w:ascii="Wingdings" w:hAnsi="Wingdings" w:cs="Wingdings"/>
          <w:noProof/>
          <w:color w:val="000000"/>
          <w:lang w:eastAsia="it-IT"/>
        </w:rPr>
        <w:t></w:t>
      </w:r>
      <w:r>
        <w:rPr>
          <w:rFonts w:cs="Georgia"/>
          <w:noProof/>
          <w:color w:val="000000"/>
          <w:lang w:eastAsia="it-IT"/>
        </w:rPr>
        <w:t xml:space="preserve">Very likely </w:t>
      </w:r>
    </w:p>
    <w:p w:rsidR="00913429" w:rsidRDefault="00E143F0">
      <w:pPr>
        <w:autoSpaceDE w:val="0"/>
        <w:autoSpaceDN w:val="0"/>
        <w:adjustRightInd w:val="0"/>
        <w:spacing w:after="0" w:line="240" w:lineRule="auto"/>
        <w:rPr>
          <w:rFonts w:cs="Georgia"/>
          <w:noProof/>
          <w:color w:val="000000"/>
          <w:lang w:eastAsia="it-IT"/>
        </w:rPr>
      </w:pPr>
      <w:r>
        <w:rPr>
          <w:rFonts w:ascii="Wingdings" w:hAnsi="Wingdings" w:cs="Wingdings"/>
          <w:noProof/>
          <w:color w:val="000000"/>
          <w:lang w:eastAsia="it-IT"/>
        </w:rPr>
        <w:t></w:t>
      </w:r>
      <w:r>
        <w:rPr>
          <w:rFonts w:ascii="Wingdings" w:hAnsi="Wingdings" w:cs="Wingdings"/>
          <w:noProof/>
          <w:color w:val="000000"/>
          <w:lang w:eastAsia="it-IT"/>
        </w:rPr>
        <w:t></w:t>
      </w:r>
      <w:r>
        <w:rPr>
          <w:rFonts w:cs="Georgia"/>
          <w:noProof/>
          <w:color w:val="000000"/>
          <w:lang w:eastAsia="it-IT"/>
        </w:rPr>
        <w:t xml:space="preserve">Likely </w:t>
      </w:r>
    </w:p>
    <w:p w:rsidR="00913429" w:rsidRDefault="00E143F0">
      <w:pPr>
        <w:autoSpaceDE w:val="0"/>
        <w:autoSpaceDN w:val="0"/>
        <w:adjustRightInd w:val="0"/>
        <w:spacing w:after="0" w:line="240" w:lineRule="auto"/>
        <w:rPr>
          <w:rFonts w:cs="Georgia"/>
          <w:noProof/>
          <w:color w:val="000000"/>
          <w:lang w:eastAsia="it-IT"/>
        </w:rPr>
      </w:pPr>
      <w:r>
        <w:rPr>
          <w:rFonts w:ascii="Wingdings" w:hAnsi="Wingdings" w:cs="Wingdings"/>
          <w:noProof/>
          <w:color w:val="000000"/>
          <w:lang w:eastAsia="it-IT"/>
        </w:rPr>
        <w:t></w:t>
      </w:r>
      <w:r>
        <w:rPr>
          <w:rFonts w:ascii="Wingdings" w:hAnsi="Wingdings" w:cs="Wingdings"/>
          <w:noProof/>
          <w:color w:val="000000"/>
          <w:lang w:eastAsia="it-IT"/>
        </w:rPr>
        <w:t></w:t>
      </w:r>
      <w:r>
        <w:rPr>
          <w:rFonts w:cs="Georgia"/>
          <w:noProof/>
          <w:color w:val="000000"/>
          <w:lang w:eastAsia="it-IT"/>
        </w:rPr>
        <w:t xml:space="preserve">Indifferent </w:t>
      </w:r>
    </w:p>
    <w:p w:rsidR="00913429" w:rsidRDefault="00E143F0">
      <w:pPr>
        <w:autoSpaceDE w:val="0"/>
        <w:autoSpaceDN w:val="0"/>
        <w:adjustRightInd w:val="0"/>
        <w:spacing w:after="0" w:line="240" w:lineRule="auto"/>
        <w:rPr>
          <w:rFonts w:cs="Georgia"/>
          <w:noProof/>
          <w:color w:val="000000"/>
          <w:lang w:eastAsia="it-IT"/>
        </w:rPr>
      </w:pPr>
      <w:r>
        <w:rPr>
          <w:rFonts w:ascii="Wingdings" w:hAnsi="Wingdings" w:cs="Wingdings"/>
          <w:noProof/>
          <w:color w:val="000000"/>
          <w:lang w:eastAsia="it-IT"/>
        </w:rPr>
        <w:t></w:t>
      </w:r>
      <w:r>
        <w:rPr>
          <w:rFonts w:ascii="Wingdings" w:hAnsi="Wingdings" w:cs="Wingdings"/>
          <w:noProof/>
          <w:color w:val="000000"/>
          <w:lang w:eastAsia="it-IT"/>
        </w:rPr>
        <w:t></w:t>
      </w:r>
      <w:r>
        <w:rPr>
          <w:rFonts w:cs="Georgia"/>
          <w:noProof/>
          <w:color w:val="000000"/>
          <w:lang w:eastAsia="it-IT"/>
        </w:rPr>
        <w:t xml:space="preserve">Not likely </w:t>
      </w:r>
    </w:p>
    <w:p w:rsidR="00913429" w:rsidRDefault="00E143F0">
      <w:pPr>
        <w:autoSpaceDE w:val="0"/>
        <w:autoSpaceDN w:val="0"/>
        <w:adjustRightInd w:val="0"/>
        <w:spacing w:after="0" w:line="240" w:lineRule="auto"/>
        <w:rPr>
          <w:rFonts w:cs="Georgia"/>
          <w:noProof/>
          <w:color w:val="000000"/>
          <w:lang w:eastAsia="it-IT"/>
        </w:rPr>
      </w:pPr>
      <w:r>
        <w:rPr>
          <w:rFonts w:ascii="Wingdings" w:hAnsi="Wingdings" w:cs="Wingdings"/>
          <w:noProof/>
          <w:color w:val="000000"/>
          <w:lang w:eastAsia="it-IT"/>
        </w:rPr>
        <w:t></w:t>
      </w:r>
      <w:r>
        <w:rPr>
          <w:rFonts w:ascii="Wingdings" w:hAnsi="Wingdings" w:cs="Wingdings"/>
          <w:noProof/>
          <w:color w:val="000000"/>
          <w:lang w:eastAsia="it-IT"/>
        </w:rPr>
        <w:t></w:t>
      </w:r>
      <w:r>
        <w:rPr>
          <w:rFonts w:cs="Georgia"/>
          <w:noProof/>
          <w:color w:val="000000"/>
          <w:lang w:eastAsia="it-IT"/>
        </w:rPr>
        <w:t xml:space="preserve">Not likely at all </w:t>
      </w:r>
    </w:p>
    <w:p w:rsidR="00913429" w:rsidRDefault="00E143F0">
      <w:pPr>
        <w:autoSpaceDE w:val="0"/>
        <w:autoSpaceDN w:val="0"/>
        <w:adjustRightInd w:val="0"/>
        <w:spacing w:after="0" w:line="240" w:lineRule="auto"/>
        <w:rPr>
          <w:rFonts w:cs="Georgia"/>
          <w:noProof/>
          <w:color w:val="000000"/>
          <w:lang w:eastAsia="it-IT"/>
        </w:rPr>
      </w:pPr>
      <w:r>
        <w:rPr>
          <w:rFonts w:ascii="Wingdings" w:hAnsi="Wingdings" w:cs="Wingdings"/>
          <w:noProof/>
          <w:color w:val="000000"/>
          <w:lang w:eastAsia="it-IT"/>
        </w:rPr>
        <w:t></w:t>
      </w:r>
      <w:r>
        <w:rPr>
          <w:rFonts w:ascii="Wingdings" w:hAnsi="Wingdings" w:cs="Wingdings"/>
          <w:noProof/>
          <w:color w:val="000000"/>
          <w:lang w:eastAsia="it-IT"/>
        </w:rPr>
        <w:t></w:t>
      </w:r>
      <w:r>
        <w:rPr>
          <w:rFonts w:cs="Georgia"/>
          <w:noProof/>
          <w:color w:val="000000"/>
          <w:lang w:eastAsia="it-IT"/>
        </w:rPr>
        <w:t xml:space="preserve">Don’t know </w:t>
      </w:r>
    </w:p>
    <w:p w:rsidR="00913429" w:rsidRDefault="00913429">
      <w:pPr>
        <w:autoSpaceDE w:val="0"/>
        <w:autoSpaceDN w:val="0"/>
        <w:adjustRightInd w:val="0"/>
        <w:spacing w:after="0" w:line="240" w:lineRule="auto"/>
        <w:rPr>
          <w:rFonts w:cs="Georgia"/>
          <w:noProof/>
          <w:color w:val="000000"/>
          <w:lang w:eastAsia="it-IT"/>
        </w:rPr>
      </w:pPr>
    </w:p>
    <w:p w:rsidR="00913429" w:rsidRDefault="00913429">
      <w:pPr>
        <w:autoSpaceDE w:val="0"/>
        <w:autoSpaceDN w:val="0"/>
        <w:adjustRightInd w:val="0"/>
        <w:spacing w:after="0" w:line="240" w:lineRule="auto"/>
        <w:rPr>
          <w:rFonts w:cs="Georgia"/>
          <w:noProof/>
          <w:color w:val="000000"/>
          <w:lang w:eastAsia="it-IT"/>
        </w:rPr>
      </w:pPr>
    </w:p>
    <w:p w:rsidR="00913429" w:rsidRDefault="00E143F0">
      <w:pPr>
        <w:autoSpaceDE w:val="0"/>
        <w:autoSpaceDN w:val="0"/>
        <w:adjustRightInd w:val="0"/>
        <w:spacing w:after="0" w:line="240" w:lineRule="auto"/>
        <w:rPr>
          <w:rFonts w:cs="Georgia"/>
          <w:b/>
          <w:noProof/>
          <w:color w:val="000000"/>
          <w:lang w:eastAsia="it-IT"/>
        </w:rPr>
      </w:pPr>
      <w:r>
        <w:rPr>
          <w:rFonts w:cs="Georgia"/>
          <w:b/>
          <w:noProof/>
          <w:color w:val="000000"/>
          <w:lang w:eastAsia="it-IT"/>
        </w:rPr>
        <w:t>13. In reference to commercial strategies, do you think a foreign vendor is likely to favour accessing an EU country having in place a mutual reco</w:t>
      </w:r>
      <w:r>
        <w:rPr>
          <w:rFonts w:cs="Georgia"/>
          <w:b/>
          <w:noProof/>
          <w:color w:val="000000"/>
          <w:lang w:eastAsia="it-IT"/>
        </w:rPr>
        <w:t xml:space="preserve">gnition agreement (in relation to security certification and labelling) with other EU countries? </w:t>
      </w:r>
    </w:p>
    <w:p w:rsidR="00913429" w:rsidRDefault="00913429">
      <w:pPr>
        <w:autoSpaceDE w:val="0"/>
        <w:autoSpaceDN w:val="0"/>
        <w:adjustRightInd w:val="0"/>
        <w:spacing w:after="0" w:line="240" w:lineRule="auto"/>
        <w:rPr>
          <w:rFonts w:cs="Georgia"/>
          <w:noProof/>
          <w:color w:val="000000"/>
          <w:lang w:eastAsia="it-IT"/>
        </w:rPr>
      </w:pPr>
    </w:p>
    <w:p w:rsidR="00913429" w:rsidRDefault="00E143F0">
      <w:pPr>
        <w:autoSpaceDE w:val="0"/>
        <w:autoSpaceDN w:val="0"/>
        <w:adjustRightInd w:val="0"/>
        <w:spacing w:after="0" w:line="240" w:lineRule="auto"/>
        <w:rPr>
          <w:rFonts w:cs="Georgia"/>
          <w:noProof/>
          <w:color w:val="000000"/>
          <w:lang w:eastAsia="it-IT"/>
        </w:rPr>
      </w:pPr>
      <w:r>
        <w:rPr>
          <w:rFonts w:ascii="Wingdings" w:hAnsi="Wingdings" w:cs="Wingdings"/>
          <w:noProof/>
          <w:color w:val="000000"/>
          <w:lang w:eastAsia="it-IT"/>
        </w:rPr>
        <w:t></w:t>
      </w:r>
      <w:r>
        <w:rPr>
          <w:rFonts w:ascii="Wingdings" w:hAnsi="Wingdings" w:cs="Wingdings"/>
          <w:noProof/>
          <w:color w:val="000000"/>
          <w:lang w:eastAsia="it-IT"/>
        </w:rPr>
        <w:t></w:t>
      </w:r>
      <w:r>
        <w:rPr>
          <w:rFonts w:cs="Georgia"/>
          <w:noProof/>
          <w:color w:val="000000"/>
          <w:lang w:eastAsia="it-IT"/>
        </w:rPr>
        <w:t xml:space="preserve">Very likely </w:t>
      </w:r>
    </w:p>
    <w:p w:rsidR="00913429" w:rsidRDefault="00E143F0">
      <w:pPr>
        <w:autoSpaceDE w:val="0"/>
        <w:autoSpaceDN w:val="0"/>
        <w:adjustRightInd w:val="0"/>
        <w:spacing w:after="0" w:line="240" w:lineRule="auto"/>
        <w:rPr>
          <w:rFonts w:cs="Georgia"/>
          <w:noProof/>
          <w:color w:val="000000"/>
          <w:lang w:eastAsia="it-IT"/>
        </w:rPr>
      </w:pPr>
      <w:r>
        <w:rPr>
          <w:rFonts w:ascii="Wingdings" w:hAnsi="Wingdings" w:cs="Wingdings"/>
          <w:noProof/>
          <w:color w:val="000000"/>
          <w:lang w:eastAsia="it-IT"/>
        </w:rPr>
        <w:t></w:t>
      </w:r>
      <w:r>
        <w:rPr>
          <w:rFonts w:ascii="Wingdings" w:hAnsi="Wingdings" w:cs="Wingdings"/>
          <w:noProof/>
          <w:color w:val="000000"/>
          <w:lang w:eastAsia="it-IT"/>
        </w:rPr>
        <w:t></w:t>
      </w:r>
      <w:r>
        <w:rPr>
          <w:rFonts w:cs="Georgia"/>
          <w:noProof/>
          <w:color w:val="000000"/>
          <w:lang w:eastAsia="it-IT"/>
        </w:rPr>
        <w:t xml:space="preserve">Likely </w:t>
      </w:r>
    </w:p>
    <w:p w:rsidR="00913429" w:rsidRDefault="00E143F0">
      <w:pPr>
        <w:autoSpaceDE w:val="0"/>
        <w:autoSpaceDN w:val="0"/>
        <w:adjustRightInd w:val="0"/>
        <w:spacing w:after="0" w:line="240" w:lineRule="auto"/>
        <w:rPr>
          <w:rFonts w:cs="Georgia"/>
          <w:noProof/>
          <w:color w:val="000000"/>
          <w:lang w:eastAsia="it-IT"/>
        </w:rPr>
      </w:pPr>
      <w:r>
        <w:rPr>
          <w:rFonts w:ascii="Wingdings" w:hAnsi="Wingdings" w:cs="Wingdings"/>
          <w:noProof/>
          <w:color w:val="000000"/>
          <w:lang w:eastAsia="it-IT"/>
        </w:rPr>
        <w:t></w:t>
      </w:r>
      <w:r>
        <w:rPr>
          <w:rFonts w:ascii="Wingdings" w:hAnsi="Wingdings" w:cs="Wingdings"/>
          <w:noProof/>
          <w:color w:val="000000"/>
          <w:lang w:eastAsia="it-IT"/>
        </w:rPr>
        <w:t></w:t>
      </w:r>
      <w:r>
        <w:rPr>
          <w:rFonts w:cs="Georgia"/>
          <w:noProof/>
          <w:color w:val="000000"/>
          <w:lang w:eastAsia="it-IT"/>
        </w:rPr>
        <w:t xml:space="preserve">Indifferent </w:t>
      </w:r>
    </w:p>
    <w:p w:rsidR="00913429" w:rsidRDefault="00E143F0">
      <w:pPr>
        <w:autoSpaceDE w:val="0"/>
        <w:autoSpaceDN w:val="0"/>
        <w:adjustRightInd w:val="0"/>
        <w:spacing w:after="0" w:line="240" w:lineRule="auto"/>
        <w:rPr>
          <w:rFonts w:cs="Georgia"/>
          <w:noProof/>
          <w:color w:val="000000"/>
          <w:lang w:eastAsia="it-IT"/>
        </w:rPr>
      </w:pPr>
      <w:r>
        <w:rPr>
          <w:rFonts w:ascii="Wingdings" w:hAnsi="Wingdings" w:cs="Wingdings"/>
          <w:noProof/>
          <w:color w:val="000000"/>
          <w:lang w:eastAsia="it-IT"/>
        </w:rPr>
        <w:t></w:t>
      </w:r>
      <w:r>
        <w:rPr>
          <w:rFonts w:ascii="Wingdings" w:hAnsi="Wingdings" w:cs="Wingdings"/>
          <w:noProof/>
          <w:color w:val="000000"/>
          <w:lang w:eastAsia="it-IT"/>
        </w:rPr>
        <w:t></w:t>
      </w:r>
      <w:r>
        <w:rPr>
          <w:rFonts w:cs="Georgia"/>
          <w:noProof/>
          <w:color w:val="000000"/>
          <w:lang w:eastAsia="it-IT"/>
        </w:rPr>
        <w:t xml:space="preserve">Not likely </w:t>
      </w:r>
    </w:p>
    <w:p w:rsidR="00913429" w:rsidRDefault="00E143F0">
      <w:pPr>
        <w:autoSpaceDE w:val="0"/>
        <w:autoSpaceDN w:val="0"/>
        <w:adjustRightInd w:val="0"/>
        <w:spacing w:after="0" w:line="240" w:lineRule="auto"/>
        <w:rPr>
          <w:rFonts w:cs="Georgia"/>
          <w:noProof/>
          <w:color w:val="000000"/>
          <w:lang w:eastAsia="it-IT"/>
        </w:rPr>
      </w:pPr>
      <w:r>
        <w:rPr>
          <w:rFonts w:ascii="Wingdings" w:hAnsi="Wingdings" w:cs="Wingdings"/>
          <w:noProof/>
          <w:color w:val="000000"/>
          <w:lang w:eastAsia="it-IT"/>
        </w:rPr>
        <w:t></w:t>
      </w:r>
      <w:r>
        <w:rPr>
          <w:rFonts w:ascii="Wingdings" w:hAnsi="Wingdings" w:cs="Wingdings"/>
          <w:noProof/>
          <w:color w:val="000000"/>
          <w:lang w:eastAsia="it-IT"/>
        </w:rPr>
        <w:t></w:t>
      </w:r>
      <w:r>
        <w:rPr>
          <w:rFonts w:cs="Georgia"/>
          <w:noProof/>
          <w:color w:val="000000"/>
          <w:lang w:eastAsia="it-IT"/>
        </w:rPr>
        <w:t xml:space="preserve">Not likely at all </w:t>
      </w:r>
    </w:p>
    <w:p w:rsidR="00913429" w:rsidRDefault="00E143F0">
      <w:pPr>
        <w:autoSpaceDE w:val="0"/>
        <w:autoSpaceDN w:val="0"/>
        <w:adjustRightInd w:val="0"/>
        <w:spacing w:after="0" w:line="240" w:lineRule="auto"/>
        <w:rPr>
          <w:rFonts w:cs="Georgia"/>
          <w:noProof/>
          <w:color w:val="000000"/>
          <w:lang w:eastAsia="it-IT"/>
        </w:rPr>
      </w:pPr>
      <w:r>
        <w:rPr>
          <w:rFonts w:ascii="Wingdings" w:hAnsi="Wingdings" w:cs="Wingdings"/>
          <w:noProof/>
          <w:color w:val="000000"/>
          <w:lang w:eastAsia="it-IT"/>
        </w:rPr>
        <w:t></w:t>
      </w:r>
      <w:r>
        <w:rPr>
          <w:rFonts w:ascii="Wingdings" w:hAnsi="Wingdings" w:cs="Wingdings"/>
          <w:noProof/>
          <w:color w:val="000000"/>
          <w:lang w:eastAsia="it-IT"/>
        </w:rPr>
        <w:t></w:t>
      </w:r>
      <w:r>
        <w:rPr>
          <w:rFonts w:cs="Georgia"/>
          <w:noProof/>
          <w:color w:val="000000"/>
          <w:lang w:eastAsia="it-IT"/>
        </w:rPr>
        <w:t xml:space="preserve">Don’t know </w:t>
      </w:r>
    </w:p>
    <w:p w:rsidR="00913429" w:rsidRDefault="00913429">
      <w:pPr>
        <w:autoSpaceDE w:val="0"/>
        <w:autoSpaceDN w:val="0"/>
        <w:adjustRightInd w:val="0"/>
        <w:spacing w:after="0" w:line="240" w:lineRule="auto"/>
        <w:rPr>
          <w:rFonts w:cs="Georgia"/>
          <w:noProof/>
          <w:color w:val="000000"/>
          <w:lang w:eastAsia="it-IT"/>
        </w:rPr>
      </w:pPr>
    </w:p>
    <w:p w:rsidR="00913429" w:rsidRDefault="00913429">
      <w:pPr>
        <w:autoSpaceDE w:val="0"/>
        <w:autoSpaceDN w:val="0"/>
        <w:adjustRightInd w:val="0"/>
        <w:spacing w:after="0" w:line="240" w:lineRule="auto"/>
        <w:rPr>
          <w:rFonts w:cs="Georgia"/>
          <w:noProof/>
          <w:color w:val="000000"/>
          <w:lang w:eastAsia="it-IT"/>
        </w:rPr>
      </w:pPr>
    </w:p>
    <w:p w:rsidR="00913429" w:rsidRDefault="00E143F0">
      <w:pPr>
        <w:autoSpaceDE w:val="0"/>
        <w:autoSpaceDN w:val="0"/>
        <w:adjustRightInd w:val="0"/>
        <w:spacing w:after="0" w:line="240" w:lineRule="auto"/>
        <w:rPr>
          <w:rFonts w:cs="Georgia"/>
          <w:b/>
          <w:noProof/>
          <w:color w:val="000000"/>
          <w:lang w:eastAsia="it-IT"/>
        </w:rPr>
      </w:pPr>
      <w:r>
        <w:rPr>
          <w:rFonts w:cs="Georgia"/>
          <w:b/>
          <w:noProof/>
          <w:color w:val="000000"/>
          <w:lang w:eastAsia="it-IT"/>
        </w:rPr>
        <w:t xml:space="preserve">14. In your opinion, in the context of a European ICT security certification Framework what role the EU Agencies (such as ENISA) might have at the management level (e.g. Establish transparent procedures)? </w:t>
      </w:r>
    </w:p>
    <w:p w:rsidR="00913429" w:rsidRDefault="00913429">
      <w:pPr>
        <w:autoSpaceDE w:val="0"/>
        <w:autoSpaceDN w:val="0"/>
        <w:adjustRightInd w:val="0"/>
        <w:spacing w:after="0" w:line="240" w:lineRule="auto"/>
        <w:rPr>
          <w:rFonts w:cs="Georgia"/>
          <w:noProof/>
          <w:color w:val="000000"/>
          <w:lang w:eastAsia="it-IT"/>
        </w:rPr>
      </w:pPr>
    </w:p>
    <w:p w:rsidR="00913429" w:rsidRDefault="00913429">
      <w:pPr>
        <w:autoSpaceDE w:val="0"/>
        <w:autoSpaceDN w:val="0"/>
        <w:adjustRightInd w:val="0"/>
        <w:spacing w:after="0" w:line="240" w:lineRule="auto"/>
        <w:rPr>
          <w:rFonts w:cs="Georgia"/>
          <w:noProof/>
          <w:color w:val="000000"/>
          <w:lang w:eastAsia="it-IT"/>
        </w:rPr>
      </w:pPr>
    </w:p>
    <w:p w:rsidR="00913429" w:rsidRDefault="00E143F0">
      <w:pPr>
        <w:autoSpaceDE w:val="0"/>
        <w:autoSpaceDN w:val="0"/>
        <w:adjustRightInd w:val="0"/>
        <w:spacing w:after="0" w:line="240" w:lineRule="auto"/>
        <w:rPr>
          <w:rFonts w:cs="Georgia"/>
          <w:b/>
          <w:noProof/>
          <w:color w:val="000000"/>
          <w:lang w:eastAsia="it-IT"/>
        </w:rPr>
      </w:pPr>
      <w:r>
        <w:rPr>
          <w:rFonts w:cs="Georgia"/>
          <w:b/>
          <w:noProof/>
          <w:color w:val="000000"/>
          <w:lang w:eastAsia="it-IT"/>
        </w:rPr>
        <w:t>15. In your opinion, in the context of the creat</w:t>
      </w:r>
      <w:r>
        <w:rPr>
          <w:rFonts w:cs="Georgia"/>
          <w:b/>
          <w:noProof/>
          <w:color w:val="000000"/>
          <w:lang w:eastAsia="it-IT"/>
        </w:rPr>
        <w:t xml:space="preserve">ion of a European ICT security certification Framework what role the EU Agencies (such as ENISA) might have at the operational level (e.g. Identifying needs, cooperation, coordination, alerting)? </w:t>
      </w:r>
    </w:p>
    <w:p w:rsidR="00913429" w:rsidRDefault="00913429">
      <w:pPr>
        <w:autoSpaceDE w:val="0"/>
        <w:autoSpaceDN w:val="0"/>
        <w:adjustRightInd w:val="0"/>
        <w:spacing w:after="0" w:line="240" w:lineRule="auto"/>
        <w:rPr>
          <w:rFonts w:cs="Georgia"/>
          <w:noProof/>
          <w:color w:val="000000"/>
          <w:lang w:eastAsia="it-IT"/>
        </w:rPr>
      </w:pPr>
    </w:p>
    <w:p w:rsidR="00913429" w:rsidRDefault="00913429">
      <w:pPr>
        <w:autoSpaceDE w:val="0"/>
        <w:autoSpaceDN w:val="0"/>
        <w:adjustRightInd w:val="0"/>
        <w:spacing w:after="203" w:line="240" w:lineRule="auto"/>
        <w:rPr>
          <w:rFonts w:cs="Georgia"/>
          <w:noProof/>
          <w:color w:val="000000"/>
          <w:lang w:eastAsia="it-IT"/>
        </w:rPr>
      </w:pPr>
    </w:p>
    <w:p w:rsidR="00913429" w:rsidRDefault="00E143F0">
      <w:pPr>
        <w:autoSpaceDE w:val="0"/>
        <w:autoSpaceDN w:val="0"/>
        <w:adjustRightInd w:val="0"/>
        <w:spacing w:after="203" w:line="240" w:lineRule="auto"/>
        <w:rPr>
          <w:rFonts w:cs="Georgia"/>
          <w:b/>
          <w:noProof/>
          <w:color w:val="000000"/>
          <w:lang w:eastAsia="it-IT"/>
        </w:rPr>
      </w:pPr>
      <w:r>
        <w:rPr>
          <w:rFonts w:cs="Georgia"/>
          <w:b/>
          <w:noProof/>
          <w:color w:val="000000"/>
          <w:lang w:eastAsia="it-IT"/>
        </w:rPr>
        <w:t>16. How likely do you think a European ICT security certi</w:t>
      </w:r>
      <w:r>
        <w:rPr>
          <w:rFonts w:cs="Georgia"/>
          <w:b/>
          <w:noProof/>
          <w:color w:val="000000"/>
          <w:lang w:eastAsia="it-IT"/>
        </w:rPr>
        <w:t xml:space="preserve">fication Framework would produce the following benefits? </w:t>
      </w:r>
    </w:p>
    <w:p w:rsidR="00913429" w:rsidRDefault="00E143F0">
      <w:pPr>
        <w:autoSpaceDE w:val="0"/>
        <w:autoSpaceDN w:val="0"/>
        <w:adjustRightInd w:val="0"/>
        <w:spacing w:after="0" w:line="240" w:lineRule="auto"/>
        <w:rPr>
          <w:rFonts w:cs="Georgia"/>
          <w:noProof/>
          <w:color w:val="000000"/>
          <w:lang w:eastAsia="it-IT"/>
        </w:rPr>
      </w:pPr>
      <w:r>
        <w:rPr>
          <w:rFonts w:ascii="Times New Roman" w:hAnsi="Times New Roman"/>
          <w:noProof/>
          <w:color w:val="000000"/>
          <w:sz w:val="22"/>
          <w:szCs w:val="22"/>
          <w:lang w:eastAsia="it-IT"/>
        </w:rPr>
        <w:t xml:space="preserve">1) </w:t>
      </w:r>
      <w:r>
        <w:rPr>
          <w:rFonts w:cs="Georgia"/>
          <w:noProof/>
          <w:color w:val="000000"/>
          <w:lang w:eastAsia="it-IT"/>
        </w:rPr>
        <w:t xml:space="preserve">higher consumer trust in the security properties of the product/service </w:t>
      </w:r>
    </w:p>
    <w:p w:rsidR="00913429" w:rsidRDefault="00913429">
      <w:pPr>
        <w:autoSpaceDE w:val="0"/>
        <w:autoSpaceDN w:val="0"/>
        <w:adjustRightInd w:val="0"/>
        <w:spacing w:after="0" w:line="240" w:lineRule="auto"/>
        <w:rPr>
          <w:rFonts w:cs="Georgia"/>
          <w:noProof/>
          <w:color w:val="000000"/>
          <w:lang w:eastAsia="it-IT"/>
        </w:rPr>
      </w:pPr>
    </w:p>
    <w:p w:rsidR="00913429" w:rsidRDefault="00E143F0">
      <w:pPr>
        <w:autoSpaceDE w:val="0"/>
        <w:autoSpaceDN w:val="0"/>
        <w:adjustRightInd w:val="0"/>
        <w:spacing w:after="0" w:line="240" w:lineRule="auto"/>
        <w:rPr>
          <w:rFonts w:cs="Georgia"/>
          <w:noProof/>
          <w:color w:val="000000"/>
          <w:lang w:eastAsia="it-IT"/>
        </w:rPr>
      </w:pPr>
      <w:r>
        <w:rPr>
          <w:rFonts w:ascii="Wingdings" w:hAnsi="Wingdings" w:cs="Wingdings"/>
          <w:noProof/>
          <w:color w:val="000000"/>
          <w:lang w:eastAsia="it-IT"/>
        </w:rPr>
        <w:t></w:t>
      </w:r>
      <w:r>
        <w:rPr>
          <w:rFonts w:ascii="Wingdings" w:hAnsi="Wingdings" w:cs="Wingdings"/>
          <w:noProof/>
          <w:color w:val="000000"/>
          <w:lang w:eastAsia="it-IT"/>
        </w:rPr>
        <w:t></w:t>
      </w:r>
      <w:r>
        <w:rPr>
          <w:rFonts w:cs="Georgia"/>
          <w:noProof/>
          <w:color w:val="000000"/>
          <w:lang w:eastAsia="it-IT"/>
        </w:rPr>
        <w:t xml:space="preserve">Very likely </w:t>
      </w:r>
      <w:r>
        <w:rPr>
          <w:rFonts w:ascii="Wingdings" w:hAnsi="Wingdings" w:cs="Wingdings"/>
          <w:noProof/>
          <w:color w:val="000000"/>
          <w:lang w:eastAsia="it-IT"/>
        </w:rPr>
        <w:t></w:t>
      </w:r>
      <w:r>
        <w:rPr>
          <w:rFonts w:ascii="Wingdings" w:hAnsi="Wingdings" w:cs="Wingdings"/>
          <w:noProof/>
          <w:color w:val="000000"/>
          <w:lang w:eastAsia="it-IT"/>
        </w:rPr>
        <w:t></w:t>
      </w:r>
      <w:r>
        <w:rPr>
          <w:rFonts w:cs="Georgia"/>
          <w:noProof/>
          <w:color w:val="000000"/>
          <w:lang w:eastAsia="it-IT"/>
        </w:rPr>
        <w:t xml:space="preserve">Likely </w:t>
      </w:r>
      <w:r>
        <w:rPr>
          <w:rFonts w:ascii="Wingdings" w:hAnsi="Wingdings" w:cs="Wingdings"/>
          <w:noProof/>
          <w:color w:val="000000"/>
          <w:lang w:eastAsia="it-IT"/>
        </w:rPr>
        <w:t></w:t>
      </w:r>
      <w:r>
        <w:rPr>
          <w:rFonts w:ascii="Wingdings" w:hAnsi="Wingdings" w:cs="Wingdings"/>
          <w:noProof/>
          <w:color w:val="000000"/>
          <w:lang w:eastAsia="it-IT"/>
        </w:rPr>
        <w:t></w:t>
      </w:r>
      <w:r>
        <w:rPr>
          <w:rFonts w:cs="Georgia"/>
          <w:noProof/>
          <w:color w:val="000000"/>
          <w:lang w:eastAsia="it-IT"/>
        </w:rPr>
        <w:t xml:space="preserve">Indifferent </w:t>
      </w:r>
      <w:r>
        <w:rPr>
          <w:rFonts w:ascii="Wingdings" w:hAnsi="Wingdings" w:cs="Wingdings"/>
          <w:noProof/>
          <w:color w:val="000000"/>
          <w:lang w:eastAsia="it-IT"/>
        </w:rPr>
        <w:t></w:t>
      </w:r>
      <w:r>
        <w:rPr>
          <w:rFonts w:ascii="Wingdings" w:hAnsi="Wingdings" w:cs="Wingdings"/>
          <w:noProof/>
          <w:color w:val="000000"/>
          <w:lang w:eastAsia="it-IT"/>
        </w:rPr>
        <w:t></w:t>
      </w:r>
      <w:r>
        <w:rPr>
          <w:rFonts w:cs="Georgia"/>
          <w:noProof/>
          <w:color w:val="000000"/>
          <w:lang w:eastAsia="it-IT"/>
        </w:rPr>
        <w:t xml:space="preserve">Not likely </w:t>
      </w:r>
      <w:r>
        <w:rPr>
          <w:rFonts w:ascii="Wingdings" w:hAnsi="Wingdings" w:cs="Wingdings"/>
          <w:noProof/>
          <w:color w:val="000000"/>
          <w:lang w:eastAsia="it-IT"/>
        </w:rPr>
        <w:t></w:t>
      </w:r>
      <w:r>
        <w:rPr>
          <w:rFonts w:ascii="Wingdings" w:hAnsi="Wingdings" w:cs="Wingdings"/>
          <w:noProof/>
          <w:color w:val="000000"/>
          <w:lang w:eastAsia="it-IT"/>
        </w:rPr>
        <w:t></w:t>
      </w:r>
      <w:r>
        <w:rPr>
          <w:rFonts w:cs="Georgia"/>
          <w:noProof/>
          <w:color w:val="000000"/>
          <w:lang w:eastAsia="it-IT"/>
        </w:rPr>
        <w:t xml:space="preserve">Not likely at all </w:t>
      </w:r>
      <w:r>
        <w:rPr>
          <w:rFonts w:ascii="Wingdings" w:hAnsi="Wingdings" w:cs="Wingdings"/>
          <w:noProof/>
          <w:color w:val="000000"/>
          <w:lang w:eastAsia="it-IT"/>
        </w:rPr>
        <w:t></w:t>
      </w:r>
      <w:r>
        <w:rPr>
          <w:rFonts w:ascii="Wingdings" w:hAnsi="Wingdings" w:cs="Wingdings"/>
          <w:noProof/>
          <w:color w:val="000000"/>
          <w:lang w:eastAsia="it-IT"/>
        </w:rPr>
        <w:t></w:t>
      </w:r>
      <w:r>
        <w:rPr>
          <w:rFonts w:cs="Georgia"/>
          <w:noProof/>
          <w:color w:val="000000"/>
          <w:lang w:eastAsia="it-IT"/>
        </w:rPr>
        <w:t xml:space="preserve">Don’t know </w:t>
      </w:r>
    </w:p>
    <w:p w:rsidR="00913429" w:rsidRDefault="00913429">
      <w:pPr>
        <w:autoSpaceDE w:val="0"/>
        <w:autoSpaceDN w:val="0"/>
        <w:adjustRightInd w:val="0"/>
        <w:spacing w:after="0" w:line="240" w:lineRule="auto"/>
        <w:rPr>
          <w:rFonts w:ascii="Times New Roman" w:hAnsi="Times New Roman"/>
          <w:noProof/>
          <w:color w:val="000000"/>
          <w:sz w:val="22"/>
          <w:szCs w:val="22"/>
          <w:lang w:eastAsia="it-IT"/>
        </w:rPr>
      </w:pPr>
    </w:p>
    <w:p w:rsidR="00913429" w:rsidRDefault="00E143F0">
      <w:pPr>
        <w:autoSpaceDE w:val="0"/>
        <w:autoSpaceDN w:val="0"/>
        <w:adjustRightInd w:val="0"/>
        <w:spacing w:after="0" w:line="240" w:lineRule="auto"/>
        <w:rPr>
          <w:rFonts w:ascii="Times New Roman" w:hAnsi="Times New Roman"/>
          <w:noProof/>
          <w:color w:val="000000"/>
          <w:sz w:val="22"/>
          <w:szCs w:val="22"/>
          <w:lang w:eastAsia="it-IT"/>
        </w:rPr>
      </w:pPr>
      <w:r>
        <w:rPr>
          <w:rFonts w:ascii="Times New Roman" w:hAnsi="Times New Roman"/>
          <w:noProof/>
          <w:color w:val="000000"/>
          <w:sz w:val="22"/>
          <w:szCs w:val="22"/>
          <w:lang w:eastAsia="it-IT"/>
        </w:rPr>
        <w:t xml:space="preserve">2) higher number of certified/labelled products/services </w:t>
      </w:r>
    </w:p>
    <w:p w:rsidR="00913429" w:rsidRDefault="00913429">
      <w:pPr>
        <w:autoSpaceDE w:val="0"/>
        <w:autoSpaceDN w:val="0"/>
        <w:adjustRightInd w:val="0"/>
        <w:spacing w:after="0" w:line="240" w:lineRule="auto"/>
        <w:rPr>
          <w:rFonts w:ascii="Times New Roman" w:hAnsi="Times New Roman"/>
          <w:noProof/>
          <w:color w:val="000000"/>
          <w:sz w:val="22"/>
          <w:szCs w:val="22"/>
          <w:lang w:eastAsia="it-IT"/>
        </w:rPr>
      </w:pPr>
    </w:p>
    <w:p w:rsidR="00913429" w:rsidRDefault="00E143F0">
      <w:pPr>
        <w:autoSpaceDE w:val="0"/>
        <w:autoSpaceDN w:val="0"/>
        <w:adjustRightInd w:val="0"/>
        <w:spacing w:after="0" w:line="240" w:lineRule="auto"/>
        <w:rPr>
          <w:rFonts w:cs="Georgia"/>
          <w:noProof/>
          <w:color w:val="000000"/>
          <w:lang w:eastAsia="it-IT"/>
        </w:rPr>
      </w:pPr>
      <w:r>
        <w:rPr>
          <w:rFonts w:ascii="Wingdings" w:hAnsi="Wingdings" w:cs="Wingdings"/>
          <w:noProof/>
          <w:color w:val="000000"/>
          <w:lang w:eastAsia="it-IT"/>
        </w:rPr>
        <w:t></w:t>
      </w:r>
      <w:r>
        <w:rPr>
          <w:rFonts w:ascii="Wingdings" w:hAnsi="Wingdings" w:cs="Wingdings"/>
          <w:noProof/>
          <w:color w:val="000000"/>
          <w:lang w:eastAsia="it-IT"/>
        </w:rPr>
        <w:t></w:t>
      </w:r>
      <w:r>
        <w:rPr>
          <w:rFonts w:cs="Georgia"/>
          <w:noProof/>
          <w:color w:val="000000"/>
          <w:lang w:eastAsia="it-IT"/>
        </w:rPr>
        <w:t xml:space="preserve">Very likely </w:t>
      </w:r>
      <w:r>
        <w:rPr>
          <w:rFonts w:ascii="Wingdings" w:hAnsi="Wingdings" w:cs="Wingdings"/>
          <w:noProof/>
          <w:color w:val="000000"/>
          <w:lang w:eastAsia="it-IT"/>
        </w:rPr>
        <w:t></w:t>
      </w:r>
      <w:r>
        <w:rPr>
          <w:rFonts w:ascii="Wingdings" w:hAnsi="Wingdings" w:cs="Wingdings"/>
          <w:noProof/>
          <w:color w:val="000000"/>
          <w:lang w:eastAsia="it-IT"/>
        </w:rPr>
        <w:t></w:t>
      </w:r>
      <w:r>
        <w:rPr>
          <w:rFonts w:cs="Georgia"/>
          <w:noProof/>
          <w:color w:val="000000"/>
          <w:lang w:eastAsia="it-IT"/>
        </w:rPr>
        <w:t xml:space="preserve">Likely </w:t>
      </w:r>
      <w:r>
        <w:rPr>
          <w:rFonts w:ascii="Wingdings" w:hAnsi="Wingdings" w:cs="Wingdings"/>
          <w:noProof/>
          <w:color w:val="000000"/>
          <w:lang w:eastAsia="it-IT"/>
        </w:rPr>
        <w:t></w:t>
      </w:r>
      <w:r>
        <w:rPr>
          <w:rFonts w:ascii="Wingdings" w:hAnsi="Wingdings" w:cs="Wingdings"/>
          <w:noProof/>
          <w:color w:val="000000"/>
          <w:lang w:eastAsia="it-IT"/>
        </w:rPr>
        <w:t></w:t>
      </w:r>
      <w:r>
        <w:rPr>
          <w:rFonts w:cs="Georgia"/>
          <w:noProof/>
          <w:color w:val="000000"/>
          <w:lang w:eastAsia="it-IT"/>
        </w:rPr>
        <w:t xml:space="preserve">Indifferent </w:t>
      </w:r>
      <w:r>
        <w:rPr>
          <w:rFonts w:ascii="Wingdings" w:hAnsi="Wingdings" w:cs="Wingdings"/>
          <w:noProof/>
          <w:color w:val="000000"/>
          <w:lang w:eastAsia="it-IT"/>
        </w:rPr>
        <w:t></w:t>
      </w:r>
      <w:r>
        <w:rPr>
          <w:rFonts w:ascii="Wingdings" w:hAnsi="Wingdings" w:cs="Wingdings"/>
          <w:noProof/>
          <w:color w:val="000000"/>
          <w:lang w:eastAsia="it-IT"/>
        </w:rPr>
        <w:t></w:t>
      </w:r>
      <w:r>
        <w:rPr>
          <w:rFonts w:cs="Georgia"/>
          <w:noProof/>
          <w:color w:val="000000"/>
          <w:lang w:eastAsia="it-IT"/>
        </w:rPr>
        <w:t xml:space="preserve">Not likely </w:t>
      </w:r>
      <w:r>
        <w:rPr>
          <w:rFonts w:ascii="Wingdings" w:hAnsi="Wingdings" w:cs="Wingdings"/>
          <w:noProof/>
          <w:color w:val="000000"/>
          <w:lang w:eastAsia="it-IT"/>
        </w:rPr>
        <w:t></w:t>
      </w:r>
      <w:r>
        <w:rPr>
          <w:rFonts w:ascii="Wingdings" w:hAnsi="Wingdings" w:cs="Wingdings"/>
          <w:noProof/>
          <w:color w:val="000000"/>
          <w:lang w:eastAsia="it-IT"/>
        </w:rPr>
        <w:t></w:t>
      </w:r>
      <w:r>
        <w:rPr>
          <w:rFonts w:cs="Georgia"/>
          <w:noProof/>
          <w:color w:val="000000"/>
          <w:lang w:eastAsia="it-IT"/>
        </w:rPr>
        <w:t xml:space="preserve">Not likely at all </w:t>
      </w:r>
      <w:r>
        <w:rPr>
          <w:rFonts w:ascii="Wingdings" w:hAnsi="Wingdings" w:cs="Wingdings"/>
          <w:noProof/>
          <w:color w:val="000000"/>
          <w:lang w:eastAsia="it-IT"/>
        </w:rPr>
        <w:t></w:t>
      </w:r>
      <w:r>
        <w:rPr>
          <w:rFonts w:ascii="Wingdings" w:hAnsi="Wingdings" w:cs="Wingdings"/>
          <w:noProof/>
          <w:color w:val="000000"/>
          <w:lang w:eastAsia="it-IT"/>
        </w:rPr>
        <w:t></w:t>
      </w:r>
      <w:r>
        <w:rPr>
          <w:rFonts w:cs="Georgia"/>
          <w:noProof/>
          <w:color w:val="000000"/>
          <w:lang w:eastAsia="it-IT"/>
        </w:rPr>
        <w:t xml:space="preserve">Don’t know </w:t>
      </w:r>
    </w:p>
    <w:p w:rsidR="00913429" w:rsidRDefault="00913429">
      <w:pPr>
        <w:autoSpaceDE w:val="0"/>
        <w:autoSpaceDN w:val="0"/>
        <w:adjustRightInd w:val="0"/>
        <w:spacing w:after="0" w:line="240" w:lineRule="auto"/>
        <w:rPr>
          <w:rFonts w:ascii="Times New Roman" w:hAnsi="Times New Roman"/>
          <w:noProof/>
          <w:color w:val="000000"/>
          <w:sz w:val="22"/>
          <w:szCs w:val="22"/>
          <w:lang w:eastAsia="it-IT"/>
        </w:rPr>
      </w:pPr>
    </w:p>
    <w:p w:rsidR="00913429" w:rsidRDefault="00E143F0">
      <w:pPr>
        <w:autoSpaceDE w:val="0"/>
        <w:autoSpaceDN w:val="0"/>
        <w:adjustRightInd w:val="0"/>
        <w:spacing w:after="0" w:line="240" w:lineRule="auto"/>
        <w:rPr>
          <w:rFonts w:ascii="Times New Roman" w:hAnsi="Times New Roman"/>
          <w:noProof/>
          <w:color w:val="000000"/>
          <w:sz w:val="22"/>
          <w:szCs w:val="22"/>
          <w:lang w:eastAsia="it-IT"/>
        </w:rPr>
      </w:pPr>
      <w:r>
        <w:rPr>
          <w:rFonts w:ascii="Times New Roman" w:hAnsi="Times New Roman"/>
          <w:noProof/>
          <w:color w:val="000000"/>
          <w:sz w:val="22"/>
          <w:szCs w:val="22"/>
          <w:lang w:eastAsia="it-IT"/>
        </w:rPr>
        <w:t xml:space="preserve">3) lower time and cost of certification/labelling </w:t>
      </w:r>
    </w:p>
    <w:p w:rsidR="00913429" w:rsidRDefault="00913429">
      <w:pPr>
        <w:autoSpaceDE w:val="0"/>
        <w:autoSpaceDN w:val="0"/>
        <w:adjustRightInd w:val="0"/>
        <w:spacing w:after="0" w:line="240" w:lineRule="auto"/>
        <w:rPr>
          <w:rFonts w:ascii="Times New Roman" w:hAnsi="Times New Roman"/>
          <w:noProof/>
          <w:color w:val="000000"/>
          <w:sz w:val="22"/>
          <w:szCs w:val="22"/>
          <w:lang w:eastAsia="it-IT"/>
        </w:rPr>
      </w:pPr>
    </w:p>
    <w:p w:rsidR="00913429" w:rsidRDefault="00E143F0">
      <w:pPr>
        <w:autoSpaceDE w:val="0"/>
        <w:autoSpaceDN w:val="0"/>
        <w:adjustRightInd w:val="0"/>
        <w:spacing w:after="0" w:line="240" w:lineRule="auto"/>
        <w:rPr>
          <w:rFonts w:cs="Georgia"/>
          <w:noProof/>
          <w:color w:val="000000"/>
          <w:lang w:eastAsia="it-IT"/>
        </w:rPr>
      </w:pPr>
      <w:r>
        <w:rPr>
          <w:rFonts w:ascii="Wingdings" w:hAnsi="Wingdings" w:cs="Wingdings"/>
          <w:noProof/>
          <w:color w:val="000000"/>
          <w:lang w:eastAsia="it-IT"/>
        </w:rPr>
        <w:t></w:t>
      </w:r>
      <w:r>
        <w:rPr>
          <w:rFonts w:ascii="Wingdings" w:hAnsi="Wingdings" w:cs="Wingdings"/>
          <w:noProof/>
          <w:color w:val="000000"/>
          <w:lang w:eastAsia="it-IT"/>
        </w:rPr>
        <w:t></w:t>
      </w:r>
      <w:r>
        <w:rPr>
          <w:rFonts w:cs="Georgia"/>
          <w:noProof/>
          <w:color w:val="000000"/>
          <w:lang w:eastAsia="it-IT"/>
        </w:rPr>
        <w:t xml:space="preserve">Very likely </w:t>
      </w:r>
      <w:r>
        <w:rPr>
          <w:rFonts w:ascii="Wingdings" w:hAnsi="Wingdings" w:cs="Wingdings"/>
          <w:noProof/>
          <w:color w:val="000000"/>
          <w:lang w:eastAsia="it-IT"/>
        </w:rPr>
        <w:t></w:t>
      </w:r>
      <w:r>
        <w:rPr>
          <w:rFonts w:ascii="Wingdings" w:hAnsi="Wingdings" w:cs="Wingdings"/>
          <w:noProof/>
          <w:color w:val="000000"/>
          <w:lang w:eastAsia="it-IT"/>
        </w:rPr>
        <w:t></w:t>
      </w:r>
      <w:r>
        <w:rPr>
          <w:rFonts w:cs="Georgia"/>
          <w:noProof/>
          <w:color w:val="000000"/>
          <w:lang w:eastAsia="it-IT"/>
        </w:rPr>
        <w:t xml:space="preserve">Likely </w:t>
      </w:r>
      <w:r>
        <w:rPr>
          <w:rFonts w:ascii="Wingdings" w:hAnsi="Wingdings" w:cs="Wingdings"/>
          <w:noProof/>
          <w:color w:val="000000"/>
          <w:lang w:eastAsia="it-IT"/>
        </w:rPr>
        <w:t></w:t>
      </w:r>
      <w:r>
        <w:rPr>
          <w:rFonts w:ascii="Wingdings" w:hAnsi="Wingdings" w:cs="Wingdings"/>
          <w:noProof/>
          <w:color w:val="000000"/>
          <w:lang w:eastAsia="it-IT"/>
        </w:rPr>
        <w:t></w:t>
      </w:r>
      <w:r>
        <w:rPr>
          <w:rFonts w:cs="Georgia"/>
          <w:noProof/>
          <w:color w:val="000000"/>
          <w:lang w:eastAsia="it-IT"/>
        </w:rPr>
        <w:t xml:space="preserve">Indifferent </w:t>
      </w:r>
      <w:r>
        <w:rPr>
          <w:rFonts w:ascii="Wingdings" w:hAnsi="Wingdings" w:cs="Wingdings"/>
          <w:noProof/>
          <w:color w:val="000000"/>
          <w:lang w:eastAsia="it-IT"/>
        </w:rPr>
        <w:t></w:t>
      </w:r>
      <w:r>
        <w:rPr>
          <w:rFonts w:ascii="Wingdings" w:hAnsi="Wingdings" w:cs="Wingdings"/>
          <w:noProof/>
          <w:color w:val="000000"/>
          <w:lang w:eastAsia="it-IT"/>
        </w:rPr>
        <w:t></w:t>
      </w:r>
      <w:r>
        <w:rPr>
          <w:rFonts w:cs="Georgia"/>
          <w:noProof/>
          <w:color w:val="000000"/>
          <w:lang w:eastAsia="it-IT"/>
        </w:rPr>
        <w:t xml:space="preserve">Not likely </w:t>
      </w:r>
      <w:r>
        <w:rPr>
          <w:rFonts w:ascii="Wingdings" w:hAnsi="Wingdings" w:cs="Wingdings"/>
          <w:noProof/>
          <w:color w:val="000000"/>
          <w:lang w:eastAsia="it-IT"/>
        </w:rPr>
        <w:t></w:t>
      </w:r>
      <w:r>
        <w:rPr>
          <w:rFonts w:ascii="Wingdings" w:hAnsi="Wingdings" w:cs="Wingdings"/>
          <w:noProof/>
          <w:color w:val="000000"/>
          <w:lang w:eastAsia="it-IT"/>
        </w:rPr>
        <w:t></w:t>
      </w:r>
      <w:r>
        <w:rPr>
          <w:rFonts w:cs="Georgia"/>
          <w:noProof/>
          <w:color w:val="000000"/>
          <w:lang w:eastAsia="it-IT"/>
        </w:rPr>
        <w:t>Not like</w:t>
      </w:r>
      <w:r>
        <w:rPr>
          <w:rFonts w:cs="Georgia"/>
          <w:noProof/>
          <w:color w:val="000000"/>
          <w:lang w:eastAsia="it-IT"/>
        </w:rPr>
        <w:t xml:space="preserve">ly at all </w:t>
      </w:r>
      <w:r>
        <w:rPr>
          <w:rFonts w:ascii="Wingdings" w:hAnsi="Wingdings" w:cs="Wingdings"/>
          <w:noProof/>
          <w:color w:val="000000"/>
          <w:lang w:eastAsia="it-IT"/>
        </w:rPr>
        <w:t></w:t>
      </w:r>
      <w:r>
        <w:rPr>
          <w:rFonts w:ascii="Wingdings" w:hAnsi="Wingdings" w:cs="Wingdings"/>
          <w:noProof/>
          <w:color w:val="000000"/>
          <w:lang w:eastAsia="it-IT"/>
        </w:rPr>
        <w:t></w:t>
      </w:r>
      <w:r>
        <w:rPr>
          <w:rFonts w:cs="Georgia"/>
          <w:noProof/>
          <w:color w:val="000000"/>
          <w:lang w:eastAsia="it-IT"/>
        </w:rPr>
        <w:t xml:space="preserve">Don’t know </w:t>
      </w:r>
    </w:p>
    <w:p w:rsidR="00913429" w:rsidRDefault="00913429">
      <w:pPr>
        <w:autoSpaceDE w:val="0"/>
        <w:autoSpaceDN w:val="0"/>
        <w:adjustRightInd w:val="0"/>
        <w:spacing w:after="0" w:line="240" w:lineRule="auto"/>
        <w:rPr>
          <w:rFonts w:ascii="Times New Roman" w:hAnsi="Times New Roman"/>
          <w:noProof/>
          <w:color w:val="000000"/>
          <w:sz w:val="22"/>
          <w:szCs w:val="22"/>
          <w:lang w:eastAsia="it-IT"/>
        </w:rPr>
      </w:pPr>
    </w:p>
    <w:p w:rsidR="00913429" w:rsidRDefault="00E143F0">
      <w:pPr>
        <w:autoSpaceDE w:val="0"/>
        <w:autoSpaceDN w:val="0"/>
        <w:adjustRightInd w:val="0"/>
        <w:spacing w:after="0" w:line="240" w:lineRule="auto"/>
        <w:rPr>
          <w:rFonts w:cs="Georgia"/>
          <w:noProof/>
          <w:color w:val="000000"/>
          <w:lang w:eastAsia="it-IT"/>
        </w:rPr>
      </w:pPr>
      <w:r>
        <w:rPr>
          <w:rFonts w:ascii="Times New Roman" w:hAnsi="Times New Roman"/>
          <w:noProof/>
          <w:color w:val="000000"/>
          <w:sz w:val="22"/>
          <w:szCs w:val="22"/>
          <w:lang w:eastAsia="it-IT"/>
        </w:rPr>
        <w:t xml:space="preserve">4) </w:t>
      </w:r>
      <w:r>
        <w:rPr>
          <w:rFonts w:cs="Georgia"/>
          <w:noProof/>
          <w:color w:val="000000"/>
          <w:lang w:eastAsia="it-IT"/>
        </w:rPr>
        <w:t xml:space="preserve">reduction/elimination of fragmentation (meant as the existence of multiple national and sectorial certification schemes not mutually recognised) </w:t>
      </w:r>
    </w:p>
    <w:p w:rsidR="00913429" w:rsidRDefault="00913429">
      <w:pPr>
        <w:autoSpaceDE w:val="0"/>
        <w:autoSpaceDN w:val="0"/>
        <w:adjustRightInd w:val="0"/>
        <w:spacing w:after="0" w:line="240" w:lineRule="auto"/>
        <w:rPr>
          <w:rFonts w:cs="Georgia"/>
          <w:noProof/>
          <w:color w:val="000000"/>
          <w:lang w:eastAsia="it-IT"/>
        </w:rPr>
      </w:pPr>
    </w:p>
    <w:p w:rsidR="00913429" w:rsidRDefault="00E143F0">
      <w:pPr>
        <w:jc w:val="both"/>
        <w:rPr>
          <w:rFonts w:cs="Georgia"/>
          <w:noProof/>
          <w:color w:val="000000"/>
          <w:lang w:eastAsia="it-IT"/>
        </w:rPr>
      </w:pPr>
      <w:r>
        <w:rPr>
          <w:rFonts w:ascii="Wingdings" w:hAnsi="Wingdings" w:cs="Wingdings"/>
          <w:noProof/>
          <w:color w:val="000000"/>
          <w:lang w:eastAsia="it-IT"/>
        </w:rPr>
        <w:t></w:t>
      </w:r>
      <w:r>
        <w:rPr>
          <w:rFonts w:ascii="Wingdings" w:hAnsi="Wingdings" w:cs="Wingdings"/>
          <w:noProof/>
          <w:color w:val="000000"/>
          <w:lang w:eastAsia="it-IT"/>
        </w:rPr>
        <w:t></w:t>
      </w:r>
      <w:r>
        <w:rPr>
          <w:rFonts w:cs="Georgia"/>
          <w:noProof/>
          <w:color w:val="000000"/>
          <w:lang w:eastAsia="it-IT"/>
        </w:rPr>
        <w:t xml:space="preserve">Very likely </w:t>
      </w:r>
      <w:r>
        <w:rPr>
          <w:rFonts w:ascii="Wingdings" w:hAnsi="Wingdings" w:cs="Wingdings"/>
          <w:noProof/>
          <w:color w:val="000000"/>
          <w:lang w:eastAsia="it-IT"/>
        </w:rPr>
        <w:t></w:t>
      </w:r>
      <w:r>
        <w:rPr>
          <w:rFonts w:ascii="Wingdings" w:hAnsi="Wingdings" w:cs="Wingdings"/>
          <w:noProof/>
          <w:color w:val="000000"/>
          <w:lang w:eastAsia="it-IT"/>
        </w:rPr>
        <w:t></w:t>
      </w:r>
      <w:r>
        <w:rPr>
          <w:rFonts w:cs="Georgia"/>
          <w:noProof/>
          <w:color w:val="000000"/>
          <w:lang w:eastAsia="it-IT"/>
        </w:rPr>
        <w:t xml:space="preserve">Likely </w:t>
      </w:r>
      <w:r>
        <w:rPr>
          <w:rFonts w:ascii="Wingdings" w:hAnsi="Wingdings" w:cs="Wingdings"/>
          <w:noProof/>
          <w:color w:val="000000"/>
          <w:lang w:eastAsia="it-IT"/>
        </w:rPr>
        <w:t></w:t>
      </w:r>
      <w:r>
        <w:rPr>
          <w:rFonts w:ascii="Wingdings" w:hAnsi="Wingdings" w:cs="Wingdings"/>
          <w:noProof/>
          <w:color w:val="000000"/>
          <w:lang w:eastAsia="it-IT"/>
        </w:rPr>
        <w:t></w:t>
      </w:r>
      <w:r>
        <w:rPr>
          <w:rFonts w:cs="Georgia"/>
          <w:noProof/>
          <w:color w:val="000000"/>
          <w:lang w:eastAsia="it-IT"/>
        </w:rPr>
        <w:t xml:space="preserve">Indifferent </w:t>
      </w:r>
      <w:r>
        <w:rPr>
          <w:rFonts w:ascii="Wingdings" w:hAnsi="Wingdings" w:cs="Wingdings"/>
          <w:noProof/>
          <w:color w:val="000000"/>
          <w:lang w:eastAsia="it-IT"/>
        </w:rPr>
        <w:t></w:t>
      </w:r>
      <w:r>
        <w:rPr>
          <w:rFonts w:ascii="Wingdings" w:hAnsi="Wingdings" w:cs="Wingdings"/>
          <w:noProof/>
          <w:color w:val="000000"/>
          <w:lang w:eastAsia="it-IT"/>
        </w:rPr>
        <w:t></w:t>
      </w:r>
      <w:r>
        <w:rPr>
          <w:rFonts w:cs="Georgia"/>
          <w:noProof/>
          <w:color w:val="000000"/>
          <w:lang w:eastAsia="it-IT"/>
        </w:rPr>
        <w:t xml:space="preserve">Not likely </w:t>
      </w:r>
      <w:r>
        <w:rPr>
          <w:rFonts w:ascii="Wingdings" w:hAnsi="Wingdings" w:cs="Wingdings"/>
          <w:noProof/>
          <w:color w:val="000000"/>
          <w:lang w:eastAsia="it-IT"/>
        </w:rPr>
        <w:t></w:t>
      </w:r>
      <w:r>
        <w:rPr>
          <w:rFonts w:ascii="Wingdings" w:hAnsi="Wingdings" w:cs="Wingdings"/>
          <w:noProof/>
          <w:color w:val="000000"/>
          <w:lang w:eastAsia="it-IT"/>
        </w:rPr>
        <w:t></w:t>
      </w:r>
      <w:r>
        <w:rPr>
          <w:rFonts w:cs="Georgia"/>
          <w:noProof/>
          <w:color w:val="000000"/>
          <w:lang w:eastAsia="it-IT"/>
        </w:rPr>
        <w:t xml:space="preserve">Not likely at all </w:t>
      </w:r>
      <w:r>
        <w:rPr>
          <w:rFonts w:ascii="Wingdings" w:hAnsi="Wingdings" w:cs="Wingdings"/>
          <w:noProof/>
          <w:color w:val="000000"/>
          <w:lang w:eastAsia="it-IT"/>
        </w:rPr>
        <w:t></w:t>
      </w:r>
      <w:r>
        <w:rPr>
          <w:rFonts w:ascii="Wingdings" w:hAnsi="Wingdings" w:cs="Wingdings"/>
          <w:noProof/>
          <w:color w:val="000000"/>
          <w:lang w:eastAsia="it-IT"/>
        </w:rPr>
        <w:t></w:t>
      </w:r>
      <w:r>
        <w:rPr>
          <w:rFonts w:cs="Georgia"/>
          <w:noProof/>
          <w:color w:val="000000"/>
          <w:lang w:eastAsia="it-IT"/>
        </w:rPr>
        <w:t>Don’t kno</w:t>
      </w:r>
      <w:r>
        <w:rPr>
          <w:rFonts w:cs="Georgia"/>
          <w:noProof/>
          <w:color w:val="000000"/>
          <w:lang w:eastAsia="it-IT"/>
        </w:rPr>
        <w:t>w</w:t>
      </w:r>
    </w:p>
    <w:p w:rsidR="00913429" w:rsidRDefault="00913429">
      <w:pPr>
        <w:spacing w:after="120"/>
        <w:rPr>
          <w:b/>
          <w:noProof/>
        </w:rPr>
      </w:pPr>
    </w:p>
    <w:p w:rsidR="00913429" w:rsidRDefault="00913429">
      <w:pPr>
        <w:spacing w:after="120"/>
        <w:rPr>
          <w:b/>
          <w:noProof/>
        </w:rPr>
      </w:pPr>
    </w:p>
    <w:p w:rsidR="00913429" w:rsidRDefault="00913429">
      <w:pPr>
        <w:spacing w:after="120"/>
        <w:rPr>
          <w:b/>
          <w:noProof/>
        </w:rPr>
      </w:pPr>
    </w:p>
    <w:p w:rsidR="00913429" w:rsidRDefault="00913429">
      <w:pPr>
        <w:spacing w:after="120"/>
        <w:rPr>
          <w:b/>
          <w:noProof/>
        </w:rPr>
      </w:pPr>
    </w:p>
    <w:p w:rsidR="00913429" w:rsidRDefault="00913429">
      <w:pPr>
        <w:spacing w:after="120"/>
        <w:rPr>
          <w:b/>
          <w:noProof/>
        </w:rPr>
      </w:pPr>
    </w:p>
    <w:p w:rsidR="00913429" w:rsidRDefault="00913429">
      <w:pPr>
        <w:spacing w:after="120"/>
        <w:rPr>
          <w:b/>
          <w:noProof/>
        </w:rPr>
      </w:pPr>
    </w:p>
    <w:p w:rsidR="00913429" w:rsidRDefault="00913429">
      <w:pPr>
        <w:spacing w:after="120"/>
        <w:rPr>
          <w:b/>
          <w:noProof/>
        </w:rPr>
      </w:pPr>
    </w:p>
    <w:p w:rsidR="00913429" w:rsidRDefault="00E143F0">
      <w:pPr>
        <w:pStyle w:val="Heading4"/>
        <w:rPr>
          <w:b/>
          <w:noProof/>
        </w:rPr>
      </w:pPr>
      <w:r>
        <w:rPr>
          <w:b/>
          <w:noProof/>
        </w:rPr>
        <w:t>Results</w:t>
      </w:r>
    </w:p>
    <w:p w:rsidR="00913429" w:rsidRDefault="00E143F0">
      <w:pPr>
        <w:spacing w:after="0" w:line="240" w:lineRule="auto"/>
        <w:rPr>
          <w:noProof/>
        </w:rPr>
      </w:pPr>
      <w:r>
        <w:rPr>
          <w:noProof/>
        </w:rPr>
        <w:t xml:space="preserve">The Questionnaire results have been collected and analysed. Twenty-five Representatives from different type of organisation gave their contributes to the online Questionnaire. In the graphic below, the percentages of the types of </w:t>
      </w:r>
      <w:r>
        <w:rPr>
          <w:noProof/>
        </w:rPr>
        <w:t>organisation that have completed the Questionnaire are shown:</w:t>
      </w:r>
    </w:p>
    <w:p w:rsidR="00913429" w:rsidRDefault="00913429">
      <w:pPr>
        <w:spacing w:after="0" w:line="240" w:lineRule="auto"/>
        <w:rPr>
          <w:noProof/>
        </w:rPr>
      </w:pPr>
    </w:p>
    <w:p w:rsidR="00913429" w:rsidRDefault="00E143F0">
      <w:pPr>
        <w:keepNext/>
        <w:spacing w:after="0" w:line="240" w:lineRule="auto"/>
        <w:jc w:val="center"/>
        <w:rPr>
          <w:noProof/>
        </w:rPr>
      </w:pPr>
      <w:r>
        <w:rPr>
          <w:noProof/>
          <w:lang w:eastAsia="en-GB"/>
        </w:rPr>
        <w:drawing>
          <wp:inline distT="0" distB="0" distL="0" distR="0" wp14:anchorId="049A3F14" wp14:editId="2C72984A">
            <wp:extent cx="6169660" cy="3649648"/>
            <wp:effectExtent l="0" t="0" r="2540" b="825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913429" w:rsidRDefault="00913429">
      <w:pPr>
        <w:keepNext/>
        <w:spacing w:after="0" w:line="240" w:lineRule="auto"/>
        <w:jc w:val="center"/>
        <w:rPr>
          <w:noProof/>
        </w:rPr>
      </w:pPr>
    </w:p>
    <w:p w:rsidR="00913429" w:rsidRDefault="00E143F0">
      <w:pPr>
        <w:pStyle w:val="Caption"/>
        <w:jc w:val="center"/>
        <w:rPr>
          <w:noProof/>
        </w:rPr>
      </w:pPr>
      <w:r>
        <w:rPr>
          <w:noProof/>
        </w:rPr>
        <w:t>Figure - Type of Respondents</w:t>
      </w:r>
    </w:p>
    <w:p w:rsidR="00913429" w:rsidRDefault="00913429">
      <w:pPr>
        <w:rPr>
          <w:noProof/>
        </w:rPr>
      </w:pPr>
    </w:p>
    <w:p w:rsidR="00913429" w:rsidRDefault="00E143F0">
      <w:pPr>
        <w:autoSpaceDE w:val="0"/>
        <w:autoSpaceDN w:val="0"/>
        <w:adjustRightInd w:val="0"/>
        <w:spacing w:after="120" w:line="240" w:lineRule="auto"/>
        <w:rPr>
          <w:rFonts w:cs="Georgia"/>
          <w:b/>
          <w:noProof/>
          <w:color w:val="000000"/>
          <w:lang w:eastAsia="it-IT"/>
        </w:rPr>
      </w:pPr>
      <w:r>
        <w:rPr>
          <w:rFonts w:cs="Georgia"/>
          <w:b/>
          <w:noProof/>
          <w:color w:val="000000"/>
          <w:lang w:eastAsia="it-IT"/>
        </w:rPr>
        <w:t xml:space="preserve">1. In your opinion what is the best strategy/policy option to increase consumer’s trust and confidence in ICT products? </w:t>
      </w:r>
    </w:p>
    <w:p w:rsidR="00913429" w:rsidRDefault="00E143F0">
      <w:pPr>
        <w:autoSpaceDE w:val="0"/>
        <w:autoSpaceDN w:val="0"/>
        <w:adjustRightInd w:val="0"/>
        <w:spacing w:after="0" w:line="240" w:lineRule="auto"/>
        <w:rPr>
          <w:rFonts w:cs="Georgia"/>
          <w:b/>
          <w:noProof/>
          <w:color w:val="000000"/>
          <w:lang w:eastAsia="it-IT"/>
        </w:rPr>
      </w:pPr>
      <w:r>
        <w:rPr>
          <w:rFonts w:cs="Georgia"/>
          <w:b/>
          <w:noProof/>
          <w:color w:val="000000"/>
          <w:lang w:eastAsia="en-GB"/>
        </w:rPr>
        <w:drawing>
          <wp:inline distT="0" distB="0" distL="0" distR="0" wp14:anchorId="4349274C" wp14:editId="68757555">
            <wp:extent cx="6153785" cy="2941983"/>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913429" w:rsidRDefault="00E143F0">
      <w:pPr>
        <w:autoSpaceDE w:val="0"/>
        <w:autoSpaceDN w:val="0"/>
        <w:adjustRightInd w:val="0"/>
        <w:spacing w:after="0" w:line="240" w:lineRule="auto"/>
        <w:rPr>
          <w:rFonts w:cs="Georgia"/>
          <w:b/>
          <w:noProof/>
          <w:color w:val="000000"/>
          <w:lang w:eastAsia="it-IT"/>
        </w:rPr>
      </w:pPr>
      <w:r>
        <w:rPr>
          <w:rFonts w:cs="Georgia"/>
          <w:b/>
          <w:noProof/>
          <w:color w:val="000000"/>
          <w:lang w:eastAsia="it-IT"/>
        </w:rPr>
        <w:t xml:space="preserve">Explanations provided for the option </w:t>
      </w:r>
      <w:r>
        <w:rPr>
          <w:rFonts w:cs="Georgia"/>
          <w:b/>
          <w:noProof/>
          <w:color w:val="000000"/>
          <w:lang w:eastAsia="it-IT"/>
        </w:rPr>
        <w:t xml:space="preserve">“other”: </w:t>
      </w:r>
    </w:p>
    <w:p w:rsidR="00913429" w:rsidRDefault="00E143F0">
      <w:pPr>
        <w:pStyle w:val="ListParagraph"/>
        <w:numPr>
          <w:ilvl w:val="0"/>
          <w:numId w:val="99"/>
        </w:numPr>
        <w:autoSpaceDE w:val="0"/>
        <w:autoSpaceDN w:val="0"/>
        <w:adjustRightInd w:val="0"/>
        <w:spacing w:after="0"/>
        <w:rPr>
          <w:rFonts w:cs="Georgia"/>
          <w:noProof/>
          <w:color w:val="000000"/>
          <w:lang w:val="en-GB" w:eastAsia="it-IT"/>
        </w:rPr>
      </w:pPr>
      <w:r>
        <w:rPr>
          <w:rFonts w:cs="Georgia"/>
          <w:noProof/>
          <w:color w:val="000000"/>
          <w:lang w:val="en-GB" w:eastAsia="it-IT"/>
        </w:rPr>
        <w:t>Evidence of conformance with applicable, recognised standards</w:t>
      </w:r>
    </w:p>
    <w:p w:rsidR="00913429" w:rsidRDefault="00E143F0">
      <w:pPr>
        <w:pStyle w:val="ListParagraph"/>
        <w:numPr>
          <w:ilvl w:val="0"/>
          <w:numId w:val="99"/>
        </w:numPr>
        <w:autoSpaceDE w:val="0"/>
        <w:autoSpaceDN w:val="0"/>
        <w:adjustRightInd w:val="0"/>
        <w:spacing w:after="0"/>
        <w:rPr>
          <w:rFonts w:cs="Georgia"/>
          <w:noProof/>
          <w:color w:val="000000"/>
          <w:lang w:val="en-GB" w:eastAsia="it-IT"/>
        </w:rPr>
      </w:pPr>
      <w:r>
        <w:rPr>
          <w:rFonts w:cs="Georgia"/>
          <w:noProof/>
          <w:color w:val="000000"/>
          <w:lang w:val="en-GB" w:eastAsia="it-IT"/>
        </w:rPr>
        <w:t>Hard-law approach translating IT security Requirements in Protection Profiles supporting CC evaluation/certification plus financial incentives to vendors encouraging them to certify th</w:t>
      </w:r>
      <w:r>
        <w:rPr>
          <w:rFonts w:cs="Georgia"/>
          <w:noProof/>
          <w:color w:val="000000"/>
          <w:lang w:val="en-GB" w:eastAsia="it-IT"/>
        </w:rPr>
        <w:t>eir IT products/system and maintain the certifications through time</w:t>
      </w:r>
    </w:p>
    <w:p w:rsidR="00913429" w:rsidRDefault="00E143F0">
      <w:pPr>
        <w:pStyle w:val="ListParagraph"/>
        <w:numPr>
          <w:ilvl w:val="0"/>
          <w:numId w:val="99"/>
        </w:numPr>
        <w:autoSpaceDE w:val="0"/>
        <w:autoSpaceDN w:val="0"/>
        <w:adjustRightInd w:val="0"/>
        <w:spacing w:after="0"/>
        <w:rPr>
          <w:rFonts w:cs="Georgia"/>
          <w:noProof/>
          <w:color w:val="000000"/>
          <w:lang w:val="en-GB" w:eastAsia="it-IT"/>
        </w:rPr>
      </w:pPr>
      <w:r>
        <w:rPr>
          <w:rFonts w:cs="Georgia"/>
          <w:noProof/>
          <w:color w:val="000000"/>
          <w:lang w:val="en-GB" w:eastAsia="it-IT"/>
        </w:rPr>
        <w:t xml:space="preserve">A mix of above-mentioned proposals would be the best strategy to increase consumer’s trust and confidence, adopting an EU-wide certification and labelling scheme shall constitute the core </w:t>
      </w:r>
      <w:r>
        <w:rPr>
          <w:rFonts w:cs="Georgia"/>
          <w:noProof/>
          <w:color w:val="000000"/>
          <w:lang w:val="en-GB" w:eastAsia="it-IT"/>
        </w:rPr>
        <w:t>of the future strategy of the European Commission. To be efficient, certification and labelling shall apply to all ICT products and services, therefore a hard-law approach is necessary.  Remark: With regards to certification, Eurosmart advocates for a scal</w:t>
      </w:r>
      <w:r>
        <w:rPr>
          <w:rFonts w:cs="Georgia"/>
          <w:noProof/>
          <w:color w:val="000000"/>
          <w:lang w:val="en-GB" w:eastAsia="it-IT"/>
        </w:rPr>
        <w:t>able approach linked to risk management. Depending on the different security and assurance levels, and on the robustness to be provided, the metascheme could encompass different certification schemes from self-assessment up to Common criteria highest level</w:t>
      </w:r>
      <w:r>
        <w:rPr>
          <w:rFonts w:cs="Georgia"/>
          <w:noProof/>
          <w:color w:val="000000"/>
          <w:lang w:val="en-GB" w:eastAsia="it-IT"/>
        </w:rPr>
        <w:t>s.</w:t>
      </w:r>
    </w:p>
    <w:p w:rsidR="00913429" w:rsidRDefault="00E143F0">
      <w:pPr>
        <w:pStyle w:val="ListParagraph"/>
        <w:numPr>
          <w:ilvl w:val="0"/>
          <w:numId w:val="99"/>
        </w:numPr>
        <w:autoSpaceDE w:val="0"/>
        <w:autoSpaceDN w:val="0"/>
        <w:adjustRightInd w:val="0"/>
        <w:spacing w:after="120"/>
        <w:rPr>
          <w:rFonts w:cs="Georgia"/>
          <w:noProof/>
          <w:color w:val="000000"/>
          <w:lang w:val="en-GB" w:eastAsia="it-IT"/>
        </w:rPr>
      </w:pPr>
      <w:r>
        <w:rPr>
          <w:rFonts w:cs="Georgia"/>
          <w:noProof/>
          <w:color w:val="000000"/>
          <w:lang w:val="en-GB" w:eastAsia="it-IT"/>
        </w:rPr>
        <w:t>Industry-led best practices (with government input) on cybersecurity baselines -&amp;gt; similar to the NIST Cybersecurity Framework as a model (could be adapted for EU needs) which is based on existing international security standards (and for which certif</w:t>
      </w:r>
      <w:r>
        <w:rPr>
          <w:rFonts w:cs="Georgia"/>
          <w:noProof/>
          <w:color w:val="000000"/>
          <w:lang w:val="en-GB" w:eastAsia="it-IT"/>
        </w:rPr>
        <w:t>ications are available) are critical in an effort to increase customer's trust and confidence in ICT products. In addition, financial incentives and government procurement power can play helpful roles if applied sensibly.</w:t>
      </w:r>
    </w:p>
    <w:p w:rsidR="00913429" w:rsidRDefault="00913429">
      <w:pPr>
        <w:autoSpaceDE w:val="0"/>
        <w:autoSpaceDN w:val="0"/>
        <w:adjustRightInd w:val="0"/>
        <w:spacing w:after="0"/>
        <w:rPr>
          <w:rFonts w:cs="Georgia"/>
          <w:noProof/>
          <w:color w:val="000000"/>
          <w:lang w:eastAsia="it-IT"/>
        </w:rPr>
      </w:pPr>
    </w:p>
    <w:p w:rsidR="00913429" w:rsidRDefault="00E143F0">
      <w:pPr>
        <w:autoSpaceDE w:val="0"/>
        <w:autoSpaceDN w:val="0"/>
        <w:adjustRightInd w:val="0"/>
        <w:spacing w:after="0" w:line="240" w:lineRule="auto"/>
        <w:jc w:val="both"/>
        <w:rPr>
          <w:rFonts w:cs="Georgia"/>
          <w:b/>
          <w:noProof/>
          <w:color w:val="000000"/>
          <w:lang w:eastAsia="it-IT"/>
        </w:rPr>
      </w:pPr>
      <w:r>
        <w:rPr>
          <w:rFonts w:cs="Georgia"/>
          <w:b/>
          <w:noProof/>
          <w:color w:val="000000"/>
          <w:lang w:eastAsia="it-IT"/>
        </w:rPr>
        <w:t xml:space="preserve">2. Do you think security labelling of ICT products/services (whether certified or non-certified) is likely to impact consumers’ behaviours despite any price considerations? </w:t>
      </w:r>
    </w:p>
    <w:p w:rsidR="00913429" w:rsidRDefault="00E143F0">
      <w:pPr>
        <w:spacing w:after="0" w:line="240" w:lineRule="auto"/>
        <w:rPr>
          <w:rFonts w:cs="Georgia"/>
          <w:b/>
          <w:noProof/>
          <w:color w:val="000000"/>
          <w:lang w:eastAsia="it-IT"/>
        </w:rPr>
      </w:pPr>
      <w:r>
        <w:rPr>
          <w:rFonts w:cs="Georgia"/>
          <w:b/>
          <w:noProof/>
          <w:color w:val="000000"/>
          <w:lang w:eastAsia="en-GB"/>
        </w:rPr>
        <w:drawing>
          <wp:inline distT="0" distB="0" distL="0" distR="0" wp14:anchorId="7D233F34" wp14:editId="4C3C9B5C">
            <wp:extent cx="6107430" cy="2305878"/>
            <wp:effectExtent l="0" t="0" r="762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913429" w:rsidRDefault="00913429">
      <w:pPr>
        <w:spacing w:after="0" w:line="240" w:lineRule="auto"/>
        <w:rPr>
          <w:rFonts w:cs="Georgia"/>
          <w:b/>
          <w:noProof/>
          <w:color w:val="000000"/>
          <w:lang w:eastAsia="it-IT"/>
        </w:rPr>
      </w:pPr>
    </w:p>
    <w:p w:rsidR="00913429" w:rsidRDefault="00E143F0">
      <w:pPr>
        <w:spacing w:after="0" w:line="240" w:lineRule="auto"/>
        <w:rPr>
          <w:rFonts w:cs="Georgia"/>
          <w:b/>
          <w:noProof/>
          <w:color w:val="000000"/>
          <w:lang w:eastAsia="it-IT"/>
        </w:rPr>
      </w:pPr>
      <w:r>
        <w:rPr>
          <w:rFonts w:cs="Georgia"/>
          <w:b/>
          <w:noProof/>
          <w:color w:val="000000"/>
          <w:lang w:eastAsia="it-IT"/>
        </w:rPr>
        <w:t>3.</w:t>
      </w:r>
      <w:r>
        <w:rPr>
          <w:rFonts w:cs="Georgia"/>
          <w:b/>
          <w:noProof/>
          <w:color w:val="000000"/>
          <w:lang w:eastAsia="it-IT"/>
        </w:rPr>
        <w:tab/>
        <w:t>Do you think the consumer trust in the security properties of product/servic</w:t>
      </w:r>
      <w:r>
        <w:rPr>
          <w:rFonts w:cs="Georgia"/>
          <w:b/>
          <w:noProof/>
          <w:color w:val="000000"/>
          <w:lang w:eastAsia="it-IT"/>
        </w:rPr>
        <w:t>e is likely to increase when certifications are performed according to security requirements set by third party entities, as opposed to security requirements being freely chosen by vendors?</w:t>
      </w:r>
    </w:p>
    <w:p w:rsidR="00913429" w:rsidRDefault="00913429">
      <w:pPr>
        <w:spacing w:after="0" w:line="240" w:lineRule="auto"/>
        <w:rPr>
          <w:rFonts w:cs="Georgia"/>
          <w:b/>
          <w:noProof/>
          <w:color w:val="000000"/>
          <w:lang w:eastAsia="it-IT"/>
        </w:rPr>
      </w:pPr>
    </w:p>
    <w:p w:rsidR="00913429" w:rsidRDefault="00E143F0">
      <w:pPr>
        <w:spacing w:after="0" w:line="240" w:lineRule="auto"/>
        <w:rPr>
          <w:rFonts w:cs="Georgia"/>
          <w:b/>
          <w:noProof/>
          <w:color w:val="000000"/>
          <w:lang w:eastAsia="it-IT"/>
        </w:rPr>
      </w:pPr>
      <w:r>
        <w:rPr>
          <w:rFonts w:cs="Georgia"/>
          <w:b/>
          <w:noProof/>
          <w:color w:val="000000"/>
          <w:lang w:eastAsia="en-GB"/>
        </w:rPr>
        <w:drawing>
          <wp:inline distT="0" distB="0" distL="0" distR="0" wp14:anchorId="4C2100CC" wp14:editId="29286CED">
            <wp:extent cx="6107430" cy="2401294"/>
            <wp:effectExtent l="0" t="0" r="762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Pr>
          <w:rFonts w:cs="Georgia"/>
          <w:b/>
          <w:noProof/>
          <w:color w:val="000000"/>
          <w:lang w:eastAsia="it-IT"/>
        </w:rPr>
        <w:br w:type="page"/>
      </w:r>
    </w:p>
    <w:p w:rsidR="00913429" w:rsidRDefault="00913429">
      <w:pPr>
        <w:spacing w:after="0" w:line="240" w:lineRule="auto"/>
        <w:rPr>
          <w:rFonts w:cs="Georgia"/>
          <w:b/>
          <w:noProof/>
          <w:color w:val="000000"/>
          <w:lang w:eastAsia="it-IT"/>
        </w:rPr>
      </w:pPr>
    </w:p>
    <w:p w:rsidR="00913429" w:rsidRDefault="00E143F0">
      <w:pPr>
        <w:spacing w:after="0" w:line="240" w:lineRule="auto"/>
        <w:rPr>
          <w:rFonts w:cs="Georgia"/>
          <w:b/>
          <w:noProof/>
          <w:color w:val="000000"/>
          <w:lang w:eastAsia="it-IT"/>
        </w:rPr>
      </w:pPr>
      <w:r>
        <w:rPr>
          <w:rFonts w:cs="Georgia"/>
          <w:b/>
          <w:noProof/>
          <w:color w:val="000000"/>
          <w:lang w:eastAsia="it-IT"/>
        </w:rPr>
        <w:t>4.</w:t>
      </w:r>
      <w:r>
        <w:rPr>
          <w:rFonts w:cs="Georgia"/>
          <w:b/>
          <w:noProof/>
          <w:color w:val="000000"/>
          <w:lang w:eastAsia="it-IT"/>
        </w:rPr>
        <w:tab/>
        <w:t xml:space="preserve">To which extent do you think the quality, reliability and </w:t>
      </w:r>
      <w:r>
        <w:rPr>
          <w:rFonts w:cs="Georgia"/>
          <w:b/>
          <w:noProof/>
          <w:color w:val="000000"/>
          <w:lang w:eastAsia="it-IT"/>
        </w:rPr>
        <w:t>exhaustiveness of information on the security property of ICT products is likely to influence consumer/user choice over other type of factors such as costs?</w:t>
      </w:r>
    </w:p>
    <w:p w:rsidR="00913429" w:rsidRDefault="00913429">
      <w:pPr>
        <w:spacing w:after="0" w:line="240" w:lineRule="auto"/>
        <w:rPr>
          <w:rFonts w:cs="Georgia"/>
          <w:b/>
          <w:noProof/>
          <w:color w:val="000000"/>
          <w:lang w:eastAsia="it-IT"/>
        </w:rPr>
      </w:pPr>
    </w:p>
    <w:p w:rsidR="00913429" w:rsidRDefault="00E143F0">
      <w:pPr>
        <w:spacing w:after="0" w:line="240" w:lineRule="auto"/>
        <w:rPr>
          <w:rFonts w:cs="Georgia"/>
          <w:b/>
          <w:noProof/>
          <w:color w:val="000000"/>
          <w:lang w:eastAsia="it-IT"/>
        </w:rPr>
      </w:pPr>
      <w:r>
        <w:rPr>
          <w:rFonts w:cs="Georgia"/>
          <w:b/>
          <w:noProof/>
          <w:color w:val="000000"/>
          <w:lang w:eastAsia="en-GB"/>
        </w:rPr>
        <w:drawing>
          <wp:inline distT="0" distB="0" distL="0" distR="0" wp14:anchorId="0EE77945" wp14:editId="6124163E">
            <wp:extent cx="6107430" cy="3347499"/>
            <wp:effectExtent l="0" t="0" r="7620" b="571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913429" w:rsidRDefault="00913429">
      <w:pPr>
        <w:spacing w:after="0" w:line="240" w:lineRule="auto"/>
        <w:rPr>
          <w:rFonts w:cs="Georgia"/>
          <w:b/>
          <w:noProof/>
          <w:color w:val="000000"/>
          <w:lang w:eastAsia="it-IT"/>
        </w:rPr>
      </w:pPr>
    </w:p>
    <w:p w:rsidR="00913429" w:rsidRDefault="00913429">
      <w:pPr>
        <w:spacing w:after="0" w:line="240" w:lineRule="auto"/>
        <w:rPr>
          <w:rFonts w:cs="Georgia"/>
          <w:b/>
          <w:noProof/>
          <w:color w:val="000000"/>
          <w:lang w:eastAsia="it-IT"/>
        </w:rPr>
      </w:pPr>
    </w:p>
    <w:p w:rsidR="00913429" w:rsidRDefault="00913429">
      <w:pPr>
        <w:spacing w:after="0" w:line="240" w:lineRule="auto"/>
        <w:rPr>
          <w:rFonts w:cs="Georgia"/>
          <w:b/>
          <w:noProof/>
          <w:color w:val="000000"/>
          <w:lang w:eastAsia="it-IT"/>
        </w:rPr>
      </w:pPr>
    </w:p>
    <w:p w:rsidR="00913429" w:rsidRDefault="00E143F0">
      <w:pPr>
        <w:spacing w:after="0" w:line="240" w:lineRule="auto"/>
        <w:rPr>
          <w:rFonts w:cs="Georgia"/>
          <w:b/>
          <w:noProof/>
          <w:color w:val="000000"/>
          <w:lang w:eastAsia="it-IT"/>
        </w:rPr>
      </w:pPr>
      <w:r>
        <w:rPr>
          <w:rFonts w:cs="Georgia"/>
          <w:b/>
          <w:noProof/>
          <w:color w:val="000000"/>
          <w:lang w:eastAsia="it-IT"/>
        </w:rPr>
        <w:t>5.</w:t>
      </w:r>
      <w:r>
        <w:rPr>
          <w:rFonts w:cs="Georgia"/>
          <w:b/>
          <w:noProof/>
          <w:color w:val="000000"/>
          <w:lang w:eastAsia="it-IT"/>
        </w:rPr>
        <w:tab/>
        <w:t>On average what is the range of costs for certifying an ICT service/product?</w:t>
      </w:r>
    </w:p>
    <w:p w:rsidR="00913429" w:rsidRDefault="00913429">
      <w:pPr>
        <w:spacing w:after="0" w:line="240" w:lineRule="auto"/>
        <w:rPr>
          <w:rFonts w:cs="Georgia"/>
          <w:b/>
          <w:noProof/>
          <w:color w:val="000000"/>
          <w:lang w:eastAsia="it-IT"/>
        </w:rPr>
      </w:pPr>
    </w:p>
    <w:p w:rsidR="00913429" w:rsidRDefault="00913429">
      <w:pPr>
        <w:spacing w:after="0" w:line="240" w:lineRule="auto"/>
        <w:rPr>
          <w:rFonts w:cs="Georgia"/>
          <w:b/>
          <w:noProof/>
          <w:color w:val="000000"/>
          <w:lang w:eastAsia="it-IT"/>
        </w:rPr>
      </w:pPr>
    </w:p>
    <w:p w:rsidR="00913429" w:rsidRDefault="00E143F0">
      <w:pPr>
        <w:spacing w:after="0" w:line="240" w:lineRule="auto"/>
        <w:rPr>
          <w:rFonts w:cs="Georgia"/>
          <w:b/>
          <w:noProof/>
          <w:color w:val="000000"/>
          <w:lang w:eastAsia="it-IT"/>
        </w:rPr>
      </w:pPr>
      <w:r>
        <w:rPr>
          <w:rFonts w:cs="Georgia"/>
          <w:b/>
          <w:noProof/>
          <w:color w:val="000000"/>
          <w:lang w:eastAsia="en-GB"/>
        </w:rPr>
        <w:drawing>
          <wp:inline distT="0" distB="0" distL="0" distR="0" wp14:anchorId="407641FC" wp14:editId="13CE24E2">
            <wp:extent cx="6107430" cy="3013544"/>
            <wp:effectExtent l="0" t="0" r="762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913429" w:rsidRDefault="00913429">
      <w:pPr>
        <w:spacing w:after="0" w:line="240" w:lineRule="auto"/>
        <w:rPr>
          <w:rFonts w:cs="Georgia"/>
          <w:b/>
          <w:noProof/>
          <w:color w:val="000000"/>
          <w:lang w:eastAsia="it-IT"/>
        </w:rPr>
      </w:pPr>
    </w:p>
    <w:p w:rsidR="00913429" w:rsidRDefault="00913429">
      <w:pPr>
        <w:spacing w:after="0" w:line="240" w:lineRule="auto"/>
        <w:rPr>
          <w:rFonts w:cs="Georgia"/>
          <w:b/>
          <w:noProof/>
          <w:color w:val="000000"/>
          <w:lang w:eastAsia="it-IT"/>
        </w:rPr>
      </w:pPr>
    </w:p>
    <w:p w:rsidR="00913429" w:rsidRDefault="00913429">
      <w:pPr>
        <w:spacing w:after="0" w:line="240" w:lineRule="auto"/>
        <w:rPr>
          <w:rFonts w:cs="Georgia"/>
          <w:b/>
          <w:noProof/>
          <w:color w:val="000000"/>
          <w:lang w:eastAsia="it-IT"/>
        </w:rPr>
      </w:pPr>
    </w:p>
    <w:p w:rsidR="00913429" w:rsidRDefault="00913429">
      <w:pPr>
        <w:spacing w:after="0" w:line="240" w:lineRule="auto"/>
        <w:rPr>
          <w:rFonts w:cs="Georgia"/>
          <w:b/>
          <w:noProof/>
          <w:color w:val="000000"/>
          <w:lang w:eastAsia="it-IT"/>
        </w:rPr>
      </w:pPr>
    </w:p>
    <w:p w:rsidR="00913429" w:rsidRDefault="00913429">
      <w:pPr>
        <w:spacing w:after="0" w:line="240" w:lineRule="auto"/>
        <w:rPr>
          <w:rFonts w:cs="Georgia"/>
          <w:b/>
          <w:noProof/>
          <w:color w:val="000000"/>
          <w:lang w:eastAsia="it-IT"/>
        </w:rPr>
      </w:pPr>
    </w:p>
    <w:p w:rsidR="00913429" w:rsidRDefault="00913429">
      <w:pPr>
        <w:spacing w:after="0" w:line="240" w:lineRule="auto"/>
        <w:rPr>
          <w:rFonts w:cs="Georgia"/>
          <w:b/>
          <w:noProof/>
          <w:color w:val="000000"/>
          <w:lang w:eastAsia="it-IT"/>
        </w:rPr>
      </w:pPr>
    </w:p>
    <w:p w:rsidR="00913429" w:rsidRDefault="00E143F0">
      <w:pPr>
        <w:spacing w:after="0" w:line="240" w:lineRule="auto"/>
        <w:rPr>
          <w:rFonts w:cs="Georgia"/>
          <w:b/>
          <w:noProof/>
          <w:color w:val="000000"/>
          <w:lang w:eastAsia="it-IT"/>
        </w:rPr>
      </w:pPr>
      <w:r>
        <w:rPr>
          <w:rFonts w:cs="Georgia"/>
          <w:b/>
          <w:noProof/>
          <w:color w:val="000000"/>
          <w:lang w:eastAsia="it-IT"/>
        </w:rPr>
        <w:t>6.</w:t>
      </w:r>
      <w:r>
        <w:rPr>
          <w:rFonts w:cs="Georgia"/>
          <w:b/>
          <w:noProof/>
          <w:color w:val="000000"/>
          <w:lang w:eastAsia="it-IT"/>
        </w:rPr>
        <w:tab/>
      </w:r>
      <w:r>
        <w:rPr>
          <w:rFonts w:cs="Georgia"/>
          <w:b/>
          <w:noProof/>
          <w:color w:val="000000"/>
          <w:lang w:eastAsia="it-IT"/>
        </w:rPr>
        <w:t>On average what is the range of costs of labelling of an ICT service/product (excluding any cost related to the certification process)?</w:t>
      </w:r>
    </w:p>
    <w:p w:rsidR="00913429" w:rsidRDefault="00913429">
      <w:pPr>
        <w:spacing w:after="0" w:line="240" w:lineRule="auto"/>
        <w:rPr>
          <w:rFonts w:cs="Georgia"/>
          <w:b/>
          <w:noProof/>
          <w:color w:val="000000"/>
          <w:lang w:eastAsia="it-IT"/>
        </w:rPr>
      </w:pPr>
    </w:p>
    <w:p w:rsidR="00913429" w:rsidRDefault="00913429">
      <w:pPr>
        <w:spacing w:after="0" w:line="240" w:lineRule="auto"/>
        <w:rPr>
          <w:rFonts w:cs="Georgia"/>
          <w:b/>
          <w:noProof/>
          <w:color w:val="000000"/>
          <w:lang w:eastAsia="it-IT"/>
        </w:rPr>
      </w:pPr>
    </w:p>
    <w:p w:rsidR="00913429" w:rsidRDefault="00E143F0">
      <w:pPr>
        <w:spacing w:after="0" w:line="240" w:lineRule="auto"/>
        <w:rPr>
          <w:rFonts w:cs="Georgia"/>
          <w:b/>
          <w:noProof/>
          <w:color w:val="000000"/>
          <w:lang w:eastAsia="it-IT"/>
        </w:rPr>
      </w:pPr>
      <w:r>
        <w:rPr>
          <w:rFonts w:cs="Georgia"/>
          <w:b/>
          <w:noProof/>
          <w:color w:val="000000"/>
          <w:lang w:eastAsia="en-GB"/>
        </w:rPr>
        <w:drawing>
          <wp:inline distT="0" distB="0" distL="0" distR="0" wp14:anchorId="6669BEC0" wp14:editId="01C7C4FD">
            <wp:extent cx="6107430" cy="3244132"/>
            <wp:effectExtent l="0" t="0" r="762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913429" w:rsidRDefault="00913429">
      <w:pPr>
        <w:spacing w:after="0" w:line="240" w:lineRule="auto"/>
        <w:rPr>
          <w:rFonts w:cs="Georgia"/>
          <w:b/>
          <w:noProof/>
          <w:color w:val="000000"/>
          <w:lang w:eastAsia="it-IT"/>
        </w:rPr>
      </w:pPr>
    </w:p>
    <w:p w:rsidR="00913429" w:rsidRDefault="00E143F0">
      <w:pPr>
        <w:spacing w:after="0" w:line="240" w:lineRule="auto"/>
        <w:rPr>
          <w:rFonts w:cs="Georgia"/>
          <w:b/>
          <w:noProof/>
          <w:color w:val="000000"/>
          <w:lang w:eastAsia="it-IT"/>
        </w:rPr>
      </w:pPr>
      <w:r>
        <w:rPr>
          <w:rFonts w:cs="Georgia"/>
          <w:b/>
          <w:noProof/>
          <w:color w:val="000000"/>
          <w:lang w:eastAsia="it-IT"/>
        </w:rPr>
        <w:t>7.</w:t>
      </w:r>
      <w:r>
        <w:rPr>
          <w:rFonts w:cs="Georgia"/>
          <w:b/>
          <w:noProof/>
          <w:color w:val="000000"/>
          <w:lang w:eastAsia="it-IT"/>
        </w:rPr>
        <w:tab/>
        <w:t xml:space="preserve">Can you please provide an example you are aware of a security certification requirement a company had to </w:t>
      </w:r>
      <w:r>
        <w:rPr>
          <w:rFonts w:cs="Georgia"/>
          <w:b/>
          <w:noProof/>
          <w:color w:val="000000"/>
          <w:lang w:eastAsia="it-IT"/>
        </w:rPr>
        <w:t>undertake to access the market of an EU country? (Specify at least name of certification, type of ICT product, country)  (Include average costs from questions below)</w:t>
      </w:r>
    </w:p>
    <w:p w:rsidR="00913429" w:rsidRDefault="00913429">
      <w:pPr>
        <w:spacing w:after="0" w:line="240" w:lineRule="auto"/>
        <w:rPr>
          <w:rFonts w:cs="Georgia"/>
          <w:b/>
          <w:noProof/>
          <w:color w:val="000000"/>
          <w:lang w:eastAsia="it-IT"/>
        </w:rPr>
      </w:pPr>
    </w:p>
    <w:p w:rsidR="00913429" w:rsidRDefault="00E143F0">
      <w:pPr>
        <w:pStyle w:val="ListParagraph"/>
        <w:numPr>
          <w:ilvl w:val="0"/>
          <w:numId w:val="101"/>
        </w:numPr>
        <w:spacing w:after="0"/>
        <w:rPr>
          <w:rFonts w:cs="Georgia"/>
          <w:noProof/>
          <w:color w:val="000000"/>
          <w:lang w:val="en-GB" w:eastAsia="it-IT"/>
        </w:rPr>
      </w:pPr>
      <w:r>
        <w:rPr>
          <w:rFonts w:cs="Georgia"/>
          <w:noProof/>
          <w:color w:val="000000"/>
          <w:lang w:val="en-GB" w:eastAsia="it-IT"/>
        </w:rPr>
        <w:t>“C5” standard is or will be required for public sector procurement of cloud services in G</w:t>
      </w:r>
      <w:r>
        <w:rPr>
          <w:rFonts w:cs="Georgia"/>
          <w:noProof/>
          <w:color w:val="000000"/>
          <w:lang w:val="en-GB" w:eastAsia="it-IT"/>
        </w:rPr>
        <w:t xml:space="preserve">ermany (note: C5 compliance is road mapped, but I am not sure if it’s been completed yet) EN 301 549 is required for public procurement of ICT products and services ISO 27001 certification provides the basis for our compliance with EU Standard Contractual </w:t>
      </w:r>
      <w:r>
        <w:rPr>
          <w:rFonts w:cs="Georgia"/>
          <w:noProof/>
          <w:color w:val="000000"/>
          <w:lang w:val="en-GB" w:eastAsia="it-IT"/>
        </w:rPr>
        <w:t>Clauses under the EU Data Privacy Directive ISO 27001 and 27018 also provide the basis of our compliance with other legal requirements under various privacy laws in the EU, including without limitation NEN 7510:2011 covering health information in the Nethe</w:t>
      </w:r>
      <w:r>
        <w:rPr>
          <w:rFonts w:cs="Georgia"/>
          <w:noProof/>
          <w:color w:val="000000"/>
          <w:lang w:val="en-GB" w:eastAsia="it-IT"/>
        </w:rPr>
        <w:t>rlands and NHS data in the UK. UK G-Cloud is required to sell cloud computing to government customers in the UK.</w:t>
      </w:r>
    </w:p>
    <w:p w:rsidR="00913429" w:rsidRDefault="00E143F0">
      <w:pPr>
        <w:pStyle w:val="ListParagraph"/>
        <w:numPr>
          <w:ilvl w:val="0"/>
          <w:numId w:val="101"/>
        </w:numPr>
        <w:spacing w:after="0"/>
        <w:rPr>
          <w:rFonts w:cs="Georgia"/>
          <w:noProof/>
          <w:color w:val="000000"/>
          <w:lang w:val="en-GB" w:eastAsia="it-IT"/>
        </w:rPr>
      </w:pPr>
      <w:r>
        <w:rPr>
          <w:rFonts w:cs="Georgia"/>
          <w:noProof/>
          <w:color w:val="000000"/>
          <w:lang w:val="en-GB" w:eastAsia="it-IT"/>
        </w:rPr>
        <w:t>Mobile Network Operators require SIM cards to be certified using Common Criteria EAL4+ certification scheme</w:t>
      </w:r>
    </w:p>
    <w:p w:rsidR="00913429" w:rsidRDefault="00E143F0">
      <w:pPr>
        <w:pStyle w:val="ListParagraph"/>
        <w:numPr>
          <w:ilvl w:val="0"/>
          <w:numId w:val="101"/>
        </w:numPr>
        <w:spacing w:after="0"/>
        <w:rPr>
          <w:rFonts w:cs="Georgia"/>
          <w:noProof/>
          <w:color w:val="000000"/>
          <w:lang w:val="en-GB" w:eastAsia="it-IT"/>
        </w:rPr>
      </w:pPr>
      <w:r>
        <w:rPr>
          <w:rFonts w:cs="Georgia"/>
          <w:noProof/>
          <w:color w:val="000000"/>
          <w:lang w:val="en-GB" w:eastAsia="it-IT"/>
        </w:rPr>
        <w:t>ANSSI CSPN in France</w:t>
      </w:r>
    </w:p>
    <w:p w:rsidR="00913429" w:rsidRDefault="00E143F0">
      <w:pPr>
        <w:pStyle w:val="ListParagraph"/>
        <w:numPr>
          <w:ilvl w:val="0"/>
          <w:numId w:val="101"/>
        </w:numPr>
        <w:spacing w:after="0"/>
        <w:rPr>
          <w:rFonts w:cs="Georgia"/>
          <w:noProof/>
          <w:color w:val="000000"/>
          <w:lang w:val="en-GB" w:eastAsia="it-IT"/>
        </w:rPr>
      </w:pPr>
      <w:r>
        <w:rPr>
          <w:rFonts w:cs="Georgia"/>
          <w:noProof/>
          <w:color w:val="000000"/>
          <w:lang w:val="en-GB" w:eastAsia="it-IT"/>
        </w:rPr>
        <w:t>eID card in Ge</w:t>
      </w:r>
      <w:r>
        <w:rPr>
          <w:rFonts w:cs="Georgia"/>
          <w:noProof/>
          <w:color w:val="000000"/>
          <w:lang w:val="en-GB" w:eastAsia="it-IT"/>
        </w:rPr>
        <w:t>rmany. Cost are difficult to evaluate as it includes costs of hardware certification and cost of the composite (+/- €500.000).</w:t>
      </w:r>
    </w:p>
    <w:p w:rsidR="00913429" w:rsidRDefault="00E143F0">
      <w:pPr>
        <w:pStyle w:val="ListParagraph"/>
        <w:numPr>
          <w:ilvl w:val="0"/>
          <w:numId w:val="101"/>
        </w:numPr>
        <w:spacing w:after="0"/>
        <w:rPr>
          <w:rFonts w:cs="Georgia"/>
          <w:noProof/>
          <w:color w:val="000000"/>
          <w:lang w:val="en-GB" w:eastAsia="it-IT"/>
        </w:rPr>
      </w:pPr>
      <w:r>
        <w:rPr>
          <w:rFonts w:cs="Georgia"/>
          <w:noProof/>
          <w:color w:val="000000"/>
          <w:lang w:val="en-GB" w:eastAsia="it-IT"/>
        </w:rPr>
        <w:t>French CSPN certification</w:t>
      </w:r>
    </w:p>
    <w:p w:rsidR="00913429" w:rsidRDefault="00E143F0">
      <w:pPr>
        <w:pStyle w:val="ListParagraph"/>
        <w:numPr>
          <w:ilvl w:val="0"/>
          <w:numId w:val="101"/>
        </w:numPr>
        <w:spacing w:after="0"/>
        <w:rPr>
          <w:rFonts w:cs="Georgia"/>
          <w:noProof/>
          <w:color w:val="000000"/>
          <w:lang w:val="en-GB" w:eastAsia="it-IT"/>
        </w:rPr>
      </w:pPr>
      <w:r>
        <w:rPr>
          <w:rFonts w:cs="Georgia"/>
          <w:noProof/>
          <w:color w:val="000000"/>
          <w:lang w:val="en-GB" w:eastAsia="it-IT"/>
        </w:rPr>
        <w:t>Server signing according CEN protection profile</w:t>
      </w:r>
    </w:p>
    <w:p w:rsidR="00913429" w:rsidRDefault="00E143F0">
      <w:pPr>
        <w:pStyle w:val="ListParagraph"/>
        <w:numPr>
          <w:ilvl w:val="0"/>
          <w:numId w:val="101"/>
        </w:numPr>
        <w:spacing w:after="0"/>
        <w:rPr>
          <w:rFonts w:cs="Georgia"/>
          <w:noProof/>
          <w:color w:val="000000"/>
          <w:lang w:val="en-GB" w:eastAsia="it-IT"/>
        </w:rPr>
      </w:pPr>
      <w:r>
        <w:rPr>
          <w:rFonts w:cs="Georgia"/>
          <w:noProof/>
          <w:color w:val="000000"/>
          <w:lang w:val="en-GB" w:eastAsia="it-IT"/>
        </w:rPr>
        <w:t>smart metering, CSPN certification, France</w:t>
      </w:r>
    </w:p>
    <w:p w:rsidR="00913429" w:rsidRDefault="00E143F0">
      <w:pPr>
        <w:pStyle w:val="ListParagraph"/>
        <w:numPr>
          <w:ilvl w:val="0"/>
          <w:numId w:val="101"/>
        </w:numPr>
        <w:spacing w:after="0"/>
        <w:rPr>
          <w:rFonts w:cs="Georgia"/>
          <w:noProof/>
          <w:color w:val="000000"/>
          <w:lang w:val="en-GB" w:eastAsia="it-IT"/>
        </w:rPr>
      </w:pPr>
      <w:r>
        <w:rPr>
          <w:rFonts w:cs="Georgia"/>
          <w:noProof/>
          <w:color w:val="000000"/>
          <w:lang w:val="en-GB" w:eastAsia="it-IT"/>
        </w:rPr>
        <w:t>C-SEC Paymen</w:t>
      </w:r>
      <w:r>
        <w:rPr>
          <w:rFonts w:cs="Georgia"/>
          <w:noProof/>
          <w:color w:val="000000"/>
          <w:lang w:val="en-GB" w:eastAsia="it-IT"/>
        </w:rPr>
        <w:t>t Terminal needed to sell in Germany and UK</w:t>
      </w:r>
    </w:p>
    <w:p w:rsidR="00913429" w:rsidRDefault="00E143F0">
      <w:pPr>
        <w:pStyle w:val="ListParagraph"/>
        <w:numPr>
          <w:ilvl w:val="0"/>
          <w:numId w:val="101"/>
        </w:numPr>
        <w:spacing w:after="0"/>
        <w:rPr>
          <w:rFonts w:cs="Georgia"/>
          <w:noProof/>
          <w:color w:val="000000"/>
          <w:lang w:val="en-GB" w:eastAsia="it-IT"/>
        </w:rPr>
      </w:pPr>
      <w:r>
        <w:rPr>
          <w:rFonts w:cs="Georgia"/>
          <w:noProof/>
          <w:color w:val="000000"/>
          <w:lang w:val="en-GB" w:eastAsia="it-IT"/>
        </w:rPr>
        <w:t>CSPN in France</w:t>
      </w:r>
    </w:p>
    <w:p w:rsidR="00913429" w:rsidRDefault="00E143F0">
      <w:pPr>
        <w:pStyle w:val="ListParagraph"/>
        <w:numPr>
          <w:ilvl w:val="0"/>
          <w:numId w:val="101"/>
        </w:numPr>
        <w:spacing w:after="0"/>
        <w:rPr>
          <w:rFonts w:cs="Georgia"/>
          <w:noProof/>
          <w:color w:val="000000"/>
          <w:lang w:val="en-GB" w:eastAsia="it-IT"/>
        </w:rPr>
      </w:pPr>
      <w:r>
        <w:rPr>
          <w:rFonts w:cs="Georgia"/>
          <w:noProof/>
          <w:color w:val="000000"/>
          <w:lang w:val="en-GB" w:eastAsia="it-IT"/>
        </w:rPr>
        <w:t>Not directly, however I have been assisting several healthcare / medical device manufacturers to implement ISO27001 and GDPR requirements. This has some overlap with the proposed certification</w:t>
      </w:r>
    </w:p>
    <w:p w:rsidR="00913429" w:rsidRDefault="00E143F0">
      <w:pPr>
        <w:pStyle w:val="ListParagraph"/>
        <w:numPr>
          <w:ilvl w:val="0"/>
          <w:numId w:val="101"/>
        </w:numPr>
        <w:spacing w:after="0"/>
        <w:rPr>
          <w:rFonts w:cs="Georgia"/>
          <w:noProof/>
          <w:color w:val="000000"/>
          <w:lang w:val="en-GB" w:eastAsia="it-IT"/>
        </w:rPr>
      </w:pPr>
      <w:r>
        <w:rPr>
          <w:rFonts w:cs="Georgia"/>
          <w:noProof/>
          <w:color w:val="000000"/>
          <w:lang w:val="en-GB" w:eastAsia="it-IT"/>
        </w:rPr>
        <w:t>Secu</w:t>
      </w:r>
      <w:r>
        <w:rPr>
          <w:rFonts w:cs="Georgia"/>
          <w:noProof/>
          <w:color w:val="000000"/>
          <w:lang w:val="en-GB" w:eastAsia="it-IT"/>
        </w:rPr>
        <w:t>rity certification requirement is not requested to access the market. Providing of Services (eg trusted services) is required to certify.</w:t>
      </w:r>
    </w:p>
    <w:p w:rsidR="00913429" w:rsidRDefault="00E143F0">
      <w:pPr>
        <w:pStyle w:val="ListParagraph"/>
        <w:numPr>
          <w:ilvl w:val="0"/>
          <w:numId w:val="101"/>
        </w:numPr>
        <w:spacing w:after="0"/>
        <w:rPr>
          <w:rFonts w:cs="Georgia"/>
          <w:noProof/>
          <w:color w:val="000000"/>
          <w:lang w:val="en-GB" w:eastAsia="it-IT"/>
        </w:rPr>
      </w:pPr>
      <w:r>
        <w:rPr>
          <w:rFonts w:cs="Georgia"/>
          <w:noProof/>
          <w:color w:val="000000"/>
          <w:lang w:val="en-GB" w:eastAsia="it-IT"/>
        </w:rPr>
        <w:t>Smart metering Gateway, BSI CC PP EAL 4+ certification</w:t>
      </w:r>
    </w:p>
    <w:p w:rsidR="00913429" w:rsidRDefault="00E143F0">
      <w:pPr>
        <w:pStyle w:val="ListParagraph"/>
        <w:numPr>
          <w:ilvl w:val="0"/>
          <w:numId w:val="101"/>
        </w:numPr>
        <w:spacing w:after="120"/>
        <w:rPr>
          <w:rFonts w:cs="Georgia"/>
          <w:noProof/>
          <w:color w:val="000000"/>
          <w:lang w:val="en-GB" w:eastAsia="it-IT"/>
        </w:rPr>
      </w:pPr>
      <w:r>
        <w:rPr>
          <w:rFonts w:cs="Georgia"/>
          <w:noProof/>
          <w:color w:val="000000"/>
          <w:lang w:val="en-GB" w:eastAsia="it-IT"/>
        </w:rPr>
        <w:t>eIDAS QSCD products</w:t>
      </w:r>
    </w:p>
    <w:p w:rsidR="00913429" w:rsidRDefault="00913429">
      <w:pPr>
        <w:spacing w:after="0"/>
        <w:rPr>
          <w:rFonts w:cs="Georgia"/>
          <w:noProof/>
          <w:color w:val="000000"/>
          <w:lang w:eastAsia="it-IT"/>
        </w:rPr>
      </w:pPr>
    </w:p>
    <w:p w:rsidR="00913429" w:rsidRDefault="00E143F0">
      <w:pPr>
        <w:spacing w:after="0"/>
        <w:rPr>
          <w:rFonts w:cs="Georgia"/>
          <w:b/>
          <w:noProof/>
          <w:color w:val="000000"/>
          <w:lang w:eastAsia="it-IT"/>
        </w:rPr>
      </w:pPr>
      <w:r>
        <w:rPr>
          <w:rFonts w:cs="Georgia"/>
          <w:b/>
          <w:noProof/>
          <w:color w:val="000000"/>
          <w:lang w:eastAsia="it-IT"/>
        </w:rPr>
        <w:t>7.1 Could you provide an educated estimate</w:t>
      </w:r>
      <w:r>
        <w:rPr>
          <w:rFonts w:cs="Georgia"/>
          <w:b/>
          <w:noProof/>
          <w:color w:val="000000"/>
          <w:lang w:eastAsia="it-IT"/>
        </w:rPr>
        <w:t xml:space="preserve"> of compliance costs and time:</w:t>
      </w:r>
    </w:p>
    <w:p w:rsidR="00913429" w:rsidRDefault="00913429">
      <w:pPr>
        <w:spacing w:after="0"/>
        <w:rPr>
          <w:rFonts w:cs="Georgia"/>
          <w:b/>
          <w:noProof/>
          <w:color w:val="000000"/>
          <w:lang w:eastAsia="it-IT"/>
        </w:rPr>
      </w:pPr>
    </w:p>
    <w:p w:rsidR="00913429" w:rsidRDefault="00E143F0">
      <w:pPr>
        <w:pStyle w:val="ListParagraph"/>
        <w:numPr>
          <w:ilvl w:val="0"/>
          <w:numId w:val="102"/>
        </w:numPr>
        <w:spacing w:after="0"/>
        <w:rPr>
          <w:rFonts w:cs="Georgia"/>
          <w:noProof/>
          <w:color w:val="000000"/>
          <w:lang w:val="en-GB" w:eastAsia="it-IT"/>
        </w:rPr>
      </w:pPr>
      <w:r>
        <w:rPr>
          <w:rFonts w:cs="Georgia"/>
          <w:noProof/>
          <w:color w:val="000000"/>
          <w:lang w:val="en-GB" w:eastAsia="it-IT"/>
        </w:rPr>
        <w:t>Compliance costs are well above $1M and time is in the 18 months range</w:t>
      </w:r>
    </w:p>
    <w:p w:rsidR="00913429" w:rsidRDefault="00E143F0">
      <w:pPr>
        <w:pStyle w:val="ListParagraph"/>
        <w:numPr>
          <w:ilvl w:val="0"/>
          <w:numId w:val="102"/>
        </w:numPr>
        <w:spacing w:after="0"/>
        <w:rPr>
          <w:rFonts w:cs="Georgia"/>
          <w:noProof/>
          <w:color w:val="000000"/>
          <w:lang w:val="en-GB" w:eastAsia="it-IT"/>
        </w:rPr>
      </w:pPr>
      <w:r>
        <w:rPr>
          <w:rFonts w:cs="Georgia"/>
          <w:noProof/>
          <w:color w:val="000000"/>
          <w:lang w:val="en-GB" w:eastAsia="it-IT"/>
        </w:rPr>
        <w:t>We do not disclose this information publicly.</w:t>
      </w:r>
    </w:p>
    <w:p w:rsidR="00913429" w:rsidRDefault="00E143F0">
      <w:pPr>
        <w:pStyle w:val="ListParagraph"/>
        <w:numPr>
          <w:ilvl w:val="0"/>
          <w:numId w:val="102"/>
        </w:numPr>
        <w:spacing w:after="0"/>
        <w:rPr>
          <w:rFonts w:cs="Georgia"/>
          <w:noProof/>
          <w:color w:val="000000"/>
          <w:lang w:val="en-GB" w:eastAsia="it-IT"/>
        </w:rPr>
      </w:pPr>
      <w:r>
        <w:rPr>
          <w:rFonts w:cs="Georgia"/>
          <w:noProof/>
          <w:color w:val="000000"/>
          <w:lang w:val="en-GB" w:eastAsia="it-IT"/>
        </w:rPr>
        <w:t>For Certification alone it would be 50k€ and 6 months. This does not include R&amp;D costs.</w:t>
      </w:r>
    </w:p>
    <w:p w:rsidR="00913429" w:rsidRDefault="00E143F0">
      <w:pPr>
        <w:pStyle w:val="ListParagraph"/>
        <w:numPr>
          <w:ilvl w:val="0"/>
          <w:numId w:val="102"/>
        </w:numPr>
        <w:spacing w:after="0"/>
        <w:rPr>
          <w:rFonts w:cs="Georgia"/>
          <w:noProof/>
          <w:color w:val="000000"/>
          <w:lang w:val="en-GB" w:eastAsia="it-IT"/>
        </w:rPr>
      </w:pPr>
      <w:r>
        <w:rPr>
          <w:rFonts w:cs="Georgia"/>
          <w:noProof/>
          <w:color w:val="000000"/>
          <w:lang w:val="en-GB" w:eastAsia="it-IT"/>
        </w:rPr>
        <w:t>New common criteria</w:t>
      </w:r>
      <w:r>
        <w:rPr>
          <w:rFonts w:cs="Georgia"/>
          <w:noProof/>
          <w:color w:val="000000"/>
          <w:lang w:val="en-GB" w:eastAsia="it-IT"/>
        </w:rPr>
        <w:t xml:space="preserve"> certificates take between 9 and 12 months. For 2 CC certificates for the hardware running in parallel and another one for the composite it takes 1 year ½. It can be faster if hardware is already certified.</w:t>
      </w:r>
    </w:p>
    <w:p w:rsidR="00913429" w:rsidRDefault="00E143F0">
      <w:pPr>
        <w:pStyle w:val="ListParagraph"/>
        <w:numPr>
          <w:ilvl w:val="0"/>
          <w:numId w:val="102"/>
        </w:numPr>
        <w:spacing w:after="0"/>
        <w:rPr>
          <w:rFonts w:cs="Georgia"/>
          <w:noProof/>
          <w:color w:val="000000"/>
          <w:lang w:val="en-GB" w:eastAsia="it-IT"/>
        </w:rPr>
      </w:pPr>
      <w:r>
        <w:rPr>
          <w:rFonts w:cs="Georgia"/>
          <w:noProof/>
          <w:color w:val="000000"/>
          <w:lang w:val="en-GB" w:eastAsia="it-IT"/>
        </w:rPr>
        <w:t>25k€ and 2 months</w:t>
      </w:r>
    </w:p>
    <w:p w:rsidR="00913429" w:rsidRDefault="00E143F0">
      <w:pPr>
        <w:pStyle w:val="ListParagraph"/>
        <w:numPr>
          <w:ilvl w:val="0"/>
          <w:numId w:val="102"/>
        </w:numPr>
        <w:spacing w:after="0"/>
        <w:rPr>
          <w:rFonts w:cs="Georgia"/>
          <w:noProof/>
          <w:color w:val="000000"/>
          <w:lang w:val="en-GB" w:eastAsia="it-IT"/>
        </w:rPr>
      </w:pPr>
      <w:r>
        <w:rPr>
          <w:rFonts w:cs="Georgia"/>
          <w:noProof/>
          <w:color w:val="000000"/>
          <w:lang w:val="en-GB" w:eastAsia="it-IT"/>
        </w:rPr>
        <w:t>150000€</w:t>
      </w:r>
    </w:p>
    <w:p w:rsidR="00913429" w:rsidRDefault="00E143F0">
      <w:pPr>
        <w:pStyle w:val="ListParagraph"/>
        <w:numPr>
          <w:ilvl w:val="0"/>
          <w:numId w:val="102"/>
        </w:numPr>
        <w:spacing w:after="0"/>
        <w:rPr>
          <w:rFonts w:cs="Georgia"/>
          <w:noProof/>
          <w:color w:val="000000"/>
          <w:lang w:val="en-GB" w:eastAsia="it-IT"/>
        </w:rPr>
      </w:pPr>
      <w:r>
        <w:rPr>
          <w:rFonts w:cs="Georgia"/>
          <w:noProof/>
          <w:color w:val="000000"/>
          <w:lang w:val="en-GB" w:eastAsia="it-IT"/>
        </w:rPr>
        <w:t xml:space="preserve">6 weeks, between 15 to </w:t>
      </w:r>
      <w:r>
        <w:rPr>
          <w:rFonts w:cs="Georgia"/>
          <w:noProof/>
          <w:color w:val="000000"/>
          <w:lang w:val="en-GB" w:eastAsia="it-IT"/>
        </w:rPr>
        <w:t>30 K euros</w:t>
      </w:r>
    </w:p>
    <w:p w:rsidR="00913429" w:rsidRDefault="00E143F0">
      <w:pPr>
        <w:pStyle w:val="ListParagraph"/>
        <w:numPr>
          <w:ilvl w:val="0"/>
          <w:numId w:val="102"/>
        </w:numPr>
        <w:spacing w:after="0"/>
        <w:rPr>
          <w:rFonts w:cs="Georgia"/>
          <w:noProof/>
          <w:color w:val="000000"/>
          <w:lang w:val="en-GB" w:eastAsia="it-IT"/>
        </w:rPr>
      </w:pPr>
      <w:r>
        <w:rPr>
          <w:rFonts w:cs="Georgia"/>
          <w:noProof/>
          <w:color w:val="000000"/>
          <w:lang w:val="en-GB" w:eastAsia="it-IT"/>
        </w:rPr>
        <w:t>80K and 4 months</w:t>
      </w:r>
    </w:p>
    <w:p w:rsidR="00913429" w:rsidRDefault="00E143F0">
      <w:pPr>
        <w:pStyle w:val="ListParagraph"/>
        <w:numPr>
          <w:ilvl w:val="0"/>
          <w:numId w:val="102"/>
        </w:numPr>
        <w:spacing w:after="0"/>
        <w:rPr>
          <w:rFonts w:cs="Georgia"/>
          <w:noProof/>
          <w:color w:val="000000"/>
          <w:lang w:val="en-GB" w:eastAsia="it-IT"/>
        </w:rPr>
      </w:pPr>
      <w:r>
        <w:rPr>
          <w:rFonts w:cs="Georgia"/>
          <w:noProof/>
          <w:color w:val="000000"/>
          <w:lang w:val="en-GB" w:eastAsia="it-IT"/>
        </w:rPr>
        <w:t>25 + 10 if crypto</w:t>
      </w:r>
    </w:p>
    <w:p w:rsidR="00913429" w:rsidRDefault="00E143F0">
      <w:pPr>
        <w:pStyle w:val="ListParagraph"/>
        <w:numPr>
          <w:ilvl w:val="0"/>
          <w:numId w:val="102"/>
        </w:numPr>
        <w:spacing w:after="0"/>
        <w:rPr>
          <w:rFonts w:cs="Georgia"/>
          <w:noProof/>
          <w:color w:val="000000"/>
          <w:lang w:val="en-GB" w:eastAsia="it-IT"/>
        </w:rPr>
      </w:pPr>
      <w:r>
        <w:rPr>
          <w:rFonts w:cs="Georgia"/>
          <w:noProof/>
          <w:color w:val="000000"/>
          <w:lang w:val="en-GB" w:eastAsia="it-IT"/>
        </w:rPr>
        <w:t>Very hard, depends entirely on the complexity of the product and the organizational structure.</w:t>
      </w:r>
    </w:p>
    <w:p w:rsidR="00913429" w:rsidRDefault="00E143F0">
      <w:pPr>
        <w:pStyle w:val="ListParagraph"/>
        <w:numPr>
          <w:ilvl w:val="0"/>
          <w:numId w:val="102"/>
        </w:numPr>
        <w:spacing w:after="0"/>
        <w:rPr>
          <w:rFonts w:cs="Georgia"/>
          <w:noProof/>
          <w:color w:val="000000"/>
          <w:lang w:val="en-GB" w:eastAsia="it-IT"/>
        </w:rPr>
      </w:pPr>
      <w:r>
        <w:rPr>
          <w:rFonts w:cs="Georgia"/>
          <w:noProof/>
          <w:color w:val="000000"/>
          <w:lang w:val="en-GB" w:eastAsia="it-IT"/>
        </w:rPr>
        <w:t xml:space="preserve">Currently only CCEAL4+ is requested as mandatory certification for trusted services. Few months and X0.000€ for </w:t>
      </w:r>
      <w:r>
        <w:rPr>
          <w:rFonts w:cs="Georgia"/>
          <w:noProof/>
          <w:color w:val="000000"/>
          <w:lang w:val="en-GB" w:eastAsia="it-IT"/>
        </w:rPr>
        <w:t>smart cards, Many months for HSM and X00.000€ for HSM. Depending on manufacturer experience on Certification.</w:t>
      </w:r>
    </w:p>
    <w:p w:rsidR="00913429" w:rsidRDefault="00E143F0">
      <w:pPr>
        <w:pStyle w:val="ListParagraph"/>
        <w:numPr>
          <w:ilvl w:val="0"/>
          <w:numId w:val="102"/>
        </w:numPr>
        <w:spacing w:after="0"/>
        <w:rPr>
          <w:rFonts w:cs="Georgia"/>
          <w:noProof/>
          <w:color w:val="000000"/>
          <w:lang w:val="en-GB" w:eastAsia="it-IT"/>
        </w:rPr>
      </w:pPr>
      <w:r>
        <w:rPr>
          <w:rFonts w:cs="Georgia"/>
          <w:noProof/>
          <w:color w:val="000000"/>
          <w:lang w:val="en-GB" w:eastAsia="it-IT"/>
        </w:rPr>
        <w:t>1 Mio / 5 Years</w:t>
      </w:r>
    </w:p>
    <w:p w:rsidR="00913429" w:rsidRDefault="00E143F0">
      <w:pPr>
        <w:pStyle w:val="ListParagraph"/>
        <w:numPr>
          <w:ilvl w:val="0"/>
          <w:numId w:val="102"/>
        </w:numPr>
        <w:rPr>
          <w:rFonts w:cs="Georgia"/>
          <w:noProof/>
          <w:color w:val="000000"/>
          <w:lang w:val="en-GB" w:eastAsia="it-IT"/>
        </w:rPr>
      </w:pPr>
      <w:r>
        <w:rPr>
          <w:rFonts w:cs="Georgia"/>
          <w:noProof/>
          <w:color w:val="000000"/>
          <w:lang w:val="en-GB" w:eastAsia="it-IT"/>
        </w:rPr>
        <w:t>60000</w:t>
      </w:r>
    </w:p>
    <w:p w:rsidR="00913429" w:rsidRDefault="00913429">
      <w:pPr>
        <w:spacing w:after="0"/>
        <w:rPr>
          <w:rFonts w:cs="Georgia"/>
          <w:noProof/>
          <w:color w:val="000000"/>
          <w:lang w:eastAsia="it-IT"/>
        </w:rPr>
      </w:pPr>
    </w:p>
    <w:p w:rsidR="00913429" w:rsidRDefault="00E143F0">
      <w:pPr>
        <w:spacing w:after="0" w:line="240" w:lineRule="auto"/>
        <w:rPr>
          <w:rFonts w:cs="Georgia"/>
          <w:b/>
          <w:noProof/>
          <w:color w:val="000000"/>
          <w:lang w:eastAsia="it-IT"/>
        </w:rPr>
      </w:pPr>
      <w:r>
        <w:rPr>
          <w:rFonts w:cs="Georgia"/>
          <w:b/>
          <w:noProof/>
          <w:color w:val="000000"/>
          <w:lang w:eastAsia="it-IT"/>
        </w:rPr>
        <w:t xml:space="preserve">8. Can you please provide an example you are aware of a security-labelling requirement a company had to comply with in </w:t>
      </w:r>
      <w:r>
        <w:rPr>
          <w:rFonts w:cs="Georgia"/>
          <w:b/>
          <w:noProof/>
          <w:color w:val="000000"/>
          <w:lang w:eastAsia="it-IT"/>
        </w:rPr>
        <w:t>order to access the market of an EU country? (Specify at least name of labelling scheme, type of ICT product, country)</w:t>
      </w:r>
    </w:p>
    <w:p w:rsidR="00913429" w:rsidRDefault="00913429">
      <w:pPr>
        <w:spacing w:after="0" w:line="240" w:lineRule="auto"/>
        <w:rPr>
          <w:rFonts w:cs="Georgia"/>
          <w:b/>
          <w:noProof/>
          <w:color w:val="000000"/>
          <w:lang w:eastAsia="it-IT"/>
        </w:rPr>
      </w:pPr>
    </w:p>
    <w:p w:rsidR="00913429" w:rsidRDefault="00E143F0">
      <w:pPr>
        <w:pStyle w:val="ListParagraph"/>
        <w:numPr>
          <w:ilvl w:val="0"/>
          <w:numId w:val="103"/>
        </w:numPr>
        <w:spacing w:after="0"/>
        <w:rPr>
          <w:rFonts w:cs="Georgia"/>
          <w:noProof/>
          <w:color w:val="000000"/>
          <w:lang w:val="en-GB" w:eastAsia="it-IT"/>
        </w:rPr>
      </w:pPr>
      <w:r>
        <w:rPr>
          <w:rFonts w:cs="Georgia"/>
          <w:noProof/>
          <w:color w:val="000000"/>
          <w:lang w:val="en-GB" w:eastAsia="it-IT"/>
        </w:rPr>
        <w:t>See above.  Note that most requirements are “soft” – not required by law per se (except for public sector procurement) but a practical r</w:t>
      </w:r>
      <w:r>
        <w:rPr>
          <w:rFonts w:cs="Georgia"/>
          <w:noProof/>
          <w:color w:val="000000"/>
          <w:lang w:val="en-GB" w:eastAsia="it-IT"/>
        </w:rPr>
        <w:t>eality for customers who want assurances beyond a “trust me” approach by vendors.</w:t>
      </w:r>
    </w:p>
    <w:p w:rsidR="00913429" w:rsidRDefault="00E143F0">
      <w:pPr>
        <w:pStyle w:val="ListParagraph"/>
        <w:numPr>
          <w:ilvl w:val="0"/>
          <w:numId w:val="103"/>
        </w:numPr>
        <w:spacing w:after="0"/>
        <w:rPr>
          <w:rFonts w:cs="Georgia"/>
          <w:noProof/>
          <w:color w:val="000000"/>
          <w:lang w:val="en-GB" w:eastAsia="it-IT"/>
        </w:rPr>
      </w:pPr>
      <w:r>
        <w:rPr>
          <w:rFonts w:cs="Georgia"/>
          <w:noProof/>
          <w:color w:val="000000"/>
          <w:lang w:val="en-GB" w:eastAsia="it-IT"/>
        </w:rPr>
        <w:t>No</w:t>
      </w:r>
    </w:p>
    <w:p w:rsidR="00913429" w:rsidRDefault="00E143F0">
      <w:pPr>
        <w:pStyle w:val="ListParagraph"/>
        <w:numPr>
          <w:ilvl w:val="0"/>
          <w:numId w:val="103"/>
        </w:numPr>
        <w:spacing w:after="0"/>
        <w:rPr>
          <w:rFonts w:cs="Georgia"/>
          <w:noProof/>
          <w:color w:val="000000"/>
          <w:lang w:val="en-GB" w:eastAsia="it-IT"/>
        </w:rPr>
      </w:pPr>
      <w:r>
        <w:rPr>
          <w:rFonts w:cs="Georgia"/>
          <w:noProof/>
          <w:color w:val="000000"/>
          <w:lang w:val="en-GB" w:eastAsia="it-IT"/>
        </w:rPr>
        <w:t>IIF from BSI are German specific.</w:t>
      </w:r>
    </w:p>
    <w:p w:rsidR="00913429" w:rsidRDefault="00E143F0">
      <w:pPr>
        <w:pStyle w:val="ListParagraph"/>
        <w:numPr>
          <w:ilvl w:val="0"/>
          <w:numId w:val="103"/>
        </w:numPr>
        <w:spacing w:after="0"/>
        <w:rPr>
          <w:rFonts w:cs="Georgia"/>
          <w:noProof/>
          <w:color w:val="000000"/>
          <w:lang w:val="en-GB" w:eastAsia="it-IT"/>
        </w:rPr>
      </w:pPr>
      <w:r>
        <w:rPr>
          <w:rFonts w:cs="Georgia"/>
          <w:noProof/>
          <w:color w:val="000000"/>
          <w:lang w:val="en-GB" w:eastAsia="it-IT"/>
        </w:rPr>
        <w:t>No</w:t>
      </w:r>
    </w:p>
    <w:p w:rsidR="00913429" w:rsidRDefault="00E143F0">
      <w:pPr>
        <w:pStyle w:val="ListParagraph"/>
        <w:numPr>
          <w:ilvl w:val="0"/>
          <w:numId w:val="103"/>
        </w:numPr>
        <w:spacing w:after="0"/>
        <w:rPr>
          <w:rFonts w:cs="Georgia"/>
          <w:noProof/>
          <w:color w:val="000000"/>
          <w:lang w:val="en-GB" w:eastAsia="it-IT"/>
        </w:rPr>
      </w:pPr>
      <w:r>
        <w:rPr>
          <w:rFonts w:cs="Georgia"/>
          <w:noProof/>
          <w:color w:val="000000"/>
          <w:lang w:val="en-GB" w:eastAsia="it-IT"/>
        </w:rPr>
        <w:t>Digital Tachograph – Vehicle Unit (PP-0057) &amp; Tachograph Card (PP-0070) &amp; Motion Sensor (PP-0093</w:t>
      </w:r>
    </w:p>
    <w:p w:rsidR="00913429" w:rsidRDefault="00E143F0">
      <w:pPr>
        <w:pStyle w:val="ListParagraph"/>
        <w:numPr>
          <w:ilvl w:val="0"/>
          <w:numId w:val="103"/>
        </w:numPr>
        <w:spacing w:after="0"/>
        <w:rPr>
          <w:rFonts w:cs="Georgia"/>
          <w:noProof/>
          <w:color w:val="000000"/>
          <w:lang w:val="en-GB" w:eastAsia="it-IT"/>
        </w:rPr>
      </w:pPr>
      <w:r>
        <w:rPr>
          <w:rFonts w:cs="Georgia"/>
          <w:noProof/>
          <w:color w:val="000000"/>
          <w:lang w:val="en-GB" w:eastAsia="it-IT"/>
        </w:rPr>
        <w:t>CSPN</w:t>
      </w:r>
    </w:p>
    <w:p w:rsidR="00913429" w:rsidRDefault="00E143F0">
      <w:pPr>
        <w:pStyle w:val="ListParagraph"/>
        <w:numPr>
          <w:ilvl w:val="0"/>
          <w:numId w:val="103"/>
        </w:numPr>
        <w:spacing w:after="0"/>
        <w:rPr>
          <w:rFonts w:cs="Georgia"/>
          <w:noProof/>
          <w:color w:val="000000"/>
          <w:lang w:val="en-GB" w:eastAsia="it-IT"/>
        </w:rPr>
      </w:pPr>
      <w:r>
        <w:rPr>
          <w:rFonts w:cs="Georgia"/>
          <w:noProof/>
          <w:color w:val="000000"/>
          <w:lang w:val="en-GB" w:eastAsia="it-IT"/>
        </w:rPr>
        <w:t>See before, ISO 27001</w:t>
      </w:r>
    </w:p>
    <w:p w:rsidR="00913429" w:rsidRDefault="00E143F0">
      <w:pPr>
        <w:pStyle w:val="ListParagraph"/>
        <w:numPr>
          <w:ilvl w:val="0"/>
          <w:numId w:val="103"/>
        </w:numPr>
        <w:spacing w:after="0"/>
        <w:rPr>
          <w:rFonts w:cs="Georgia"/>
          <w:noProof/>
          <w:color w:val="000000"/>
          <w:lang w:val="en-GB" w:eastAsia="it-IT"/>
        </w:rPr>
      </w:pPr>
      <w:r>
        <w:rPr>
          <w:rFonts w:cs="Georgia"/>
          <w:noProof/>
          <w:color w:val="000000"/>
          <w:lang w:val="en-GB" w:eastAsia="it-IT"/>
        </w:rPr>
        <w:t>NO evidenc</w:t>
      </w:r>
      <w:r>
        <w:rPr>
          <w:rFonts w:cs="Georgia"/>
          <w:noProof/>
          <w:color w:val="000000"/>
          <w:lang w:val="en-GB" w:eastAsia="it-IT"/>
        </w:rPr>
        <w:t>e of labelling requested outside the field of certification</w:t>
      </w:r>
    </w:p>
    <w:p w:rsidR="00913429" w:rsidRDefault="00E143F0">
      <w:pPr>
        <w:pStyle w:val="ListParagraph"/>
        <w:numPr>
          <w:ilvl w:val="0"/>
          <w:numId w:val="103"/>
        </w:numPr>
        <w:spacing w:after="0"/>
        <w:rPr>
          <w:rFonts w:cs="Georgia"/>
          <w:noProof/>
          <w:color w:val="000000"/>
          <w:lang w:val="en-GB" w:eastAsia="it-IT"/>
        </w:rPr>
      </w:pPr>
      <w:r>
        <w:rPr>
          <w:rFonts w:cs="Georgia"/>
          <w:noProof/>
          <w:color w:val="000000"/>
          <w:lang w:val="en-GB" w:eastAsia="it-IT"/>
        </w:rPr>
        <w:t>eIDAS QSCD product certification</w:t>
      </w:r>
    </w:p>
    <w:p w:rsidR="00913429" w:rsidRDefault="00913429">
      <w:pPr>
        <w:spacing w:after="0" w:line="240" w:lineRule="auto"/>
        <w:rPr>
          <w:rFonts w:cs="Georgia"/>
          <w:b/>
          <w:noProof/>
          <w:color w:val="000000"/>
          <w:lang w:eastAsia="it-IT"/>
        </w:rPr>
      </w:pPr>
    </w:p>
    <w:p w:rsidR="00913429" w:rsidRDefault="00E143F0">
      <w:pPr>
        <w:spacing w:after="0" w:line="240" w:lineRule="auto"/>
        <w:rPr>
          <w:rFonts w:cs="Georgia"/>
          <w:b/>
          <w:noProof/>
          <w:color w:val="000000"/>
          <w:lang w:eastAsia="it-IT"/>
        </w:rPr>
      </w:pPr>
      <w:r>
        <w:rPr>
          <w:rFonts w:cs="Georgia"/>
          <w:b/>
          <w:noProof/>
          <w:color w:val="000000"/>
          <w:lang w:eastAsia="it-IT"/>
        </w:rPr>
        <w:t>8.1 Could you provide an educated estimate of compliance costs and time:</w:t>
      </w:r>
    </w:p>
    <w:p w:rsidR="00913429" w:rsidRDefault="00913429">
      <w:pPr>
        <w:spacing w:after="0" w:line="240" w:lineRule="auto"/>
        <w:rPr>
          <w:rFonts w:cs="Georgia"/>
          <w:b/>
          <w:noProof/>
          <w:color w:val="000000"/>
          <w:lang w:eastAsia="it-IT"/>
        </w:rPr>
      </w:pPr>
    </w:p>
    <w:p w:rsidR="00913429" w:rsidRDefault="00E143F0">
      <w:pPr>
        <w:pStyle w:val="ListParagraph"/>
        <w:numPr>
          <w:ilvl w:val="0"/>
          <w:numId w:val="103"/>
        </w:numPr>
        <w:spacing w:after="0"/>
        <w:rPr>
          <w:rFonts w:cs="Georgia"/>
          <w:noProof/>
          <w:color w:val="000000"/>
          <w:lang w:val="en-GB" w:eastAsia="it-IT"/>
        </w:rPr>
      </w:pPr>
      <w:r>
        <w:rPr>
          <w:rFonts w:cs="Georgia"/>
          <w:noProof/>
          <w:color w:val="000000"/>
          <w:lang w:val="en-GB" w:eastAsia="it-IT"/>
        </w:rPr>
        <w:t>We do not disclose this information.</w:t>
      </w:r>
    </w:p>
    <w:p w:rsidR="00913429" w:rsidRDefault="00E143F0">
      <w:pPr>
        <w:pStyle w:val="ListParagraph"/>
        <w:numPr>
          <w:ilvl w:val="0"/>
          <w:numId w:val="103"/>
        </w:numPr>
        <w:spacing w:after="0"/>
        <w:rPr>
          <w:rFonts w:cs="Georgia"/>
          <w:noProof/>
          <w:color w:val="000000"/>
          <w:lang w:val="en-GB" w:eastAsia="it-IT"/>
        </w:rPr>
      </w:pPr>
      <w:r>
        <w:rPr>
          <w:rFonts w:cs="Georgia"/>
          <w:noProof/>
          <w:color w:val="000000"/>
          <w:lang w:val="en-GB" w:eastAsia="it-IT"/>
        </w:rPr>
        <w:t xml:space="preserve">No </w:t>
      </w:r>
    </w:p>
    <w:p w:rsidR="00913429" w:rsidRDefault="00E143F0">
      <w:pPr>
        <w:pStyle w:val="ListParagraph"/>
        <w:numPr>
          <w:ilvl w:val="0"/>
          <w:numId w:val="103"/>
        </w:numPr>
        <w:spacing w:after="0"/>
        <w:rPr>
          <w:rFonts w:cs="Georgia"/>
          <w:noProof/>
          <w:color w:val="000000"/>
          <w:lang w:val="en-GB" w:eastAsia="it-IT"/>
        </w:rPr>
      </w:pPr>
      <w:r>
        <w:rPr>
          <w:rFonts w:cs="Georgia"/>
          <w:noProof/>
          <w:color w:val="000000"/>
          <w:lang w:val="en-GB" w:eastAsia="it-IT"/>
        </w:rPr>
        <w:t>300000€</w:t>
      </w:r>
    </w:p>
    <w:p w:rsidR="00913429" w:rsidRDefault="00E143F0">
      <w:pPr>
        <w:pStyle w:val="ListParagraph"/>
        <w:numPr>
          <w:ilvl w:val="0"/>
          <w:numId w:val="103"/>
        </w:numPr>
        <w:spacing w:after="0"/>
        <w:rPr>
          <w:rFonts w:cs="Georgia"/>
          <w:noProof/>
          <w:color w:val="000000"/>
          <w:lang w:val="en-GB" w:eastAsia="it-IT"/>
        </w:rPr>
      </w:pPr>
      <w:r>
        <w:rPr>
          <w:rFonts w:cs="Georgia"/>
          <w:noProof/>
          <w:color w:val="000000"/>
          <w:lang w:val="en-GB" w:eastAsia="it-IT"/>
        </w:rPr>
        <w:t>Again, completely product and organizat</w:t>
      </w:r>
      <w:r>
        <w:rPr>
          <w:rFonts w:cs="Georgia"/>
          <w:noProof/>
          <w:color w:val="000000"/>
          <w:lang w:val="en-GB" w:eastAsia="it-IT"/>
        </w:rPr>
        <w:t>ion dependant.</w:t>
      </w:r>
    </w:p>
    <w:p w:rsidR="00913429" w:rsidRDefault="00E143F0">
      <w:pPr>
        <w:pStyle w:val="ListParagraph"/>
        <w:numPr>
          <w:ilvl w:val="0"/>
          <w:numId w:val="103"/>
        </w:numPr>
        <w:spacing w:after="0"/>
        <w:rPr>
          <w:rFonts w:cs="Georgia"/>
          <w:noProof/>
          <w:color w:val="000000"/>
          <w:lang w:val="en-GB" w:eastAsia="it-IT"/>
        </w:rPr>
      </w:pPr>
      <w:r>
        <w:rPr>
          <w:rFonts w:cs="Georgia"/>
          <w:noProof/>
          <w:color w:val="000000"/>
          <w:lang w:val="en-GB" w:eastAsia="it-IT"/>
        </w:rPr>
        <w:t>NO</w:t>
      </w:r>
    </w:p>
    <w:p w:rsidR="00913429" w:rsidRDefault="00E143F0">
      <w:pPr>
        <w:pStyle w:val="ListParagraph"/>
        <w:numPr>
          <w:ilvl w:val="0"/>
          <w:numId w:val="103"/>
        </w:numPr>
        <w:rPr>
          <w:rFonts w:cs="Georgia"/>
          <w:noProof/>
          <w:color w:val="000000"/>
          <w:lang w:val="en-GB" w:eastAsia="it-IT"/>
        </w:rPr>
      </w:pPr>
      <w:r>
        <w:rPr>
          <w:rFonts w:cs="Georgia"/>
          <w:noProof/>
          <w:color w:val="000000"/>
          <w:lang w:val="en-GB" w:eastAsia="it-IT"/>
        </w:rPr>
        <w:t>60.000 EUR and 3-5 months</w:t>
      </w:r>
    </w:p>
    <w:p w:rsidR="00913429" w:rsidRDefault="00913429">
      <w:pPr>
        <w:spacing w:after="0"/>
        <w:rPr>
          <w:rFonts w:cs="Georgia"/>
          <w:noProof/>
          <w:color w:val="000000"/>
          <w:lang w:eastAsia="it-IT"/>
        </w:rPr>
      </w:pPr>
    </w:p>
    <w:p w:rsidR="00913429" w:rsidRDefault="00E143F0">
      <w:pPr>
        <w:spacing w:after="0"/>
        <w:rPr>
          <w:rFonts w:cs="Georgia"/>
          <w:b/>
          <w:noProof/>
          <w:color w:val="000000"/>
          <w:lang w:eastAsia="it-IT"/>
        </w:rPr>
      </w:pPr>
      <w:r>
        <w:rPr>
          <w:rFonts w:cs="Georgia"/>
          <w:b/>
          <w:noProof/>
          <w:color w:val="000000"/>
          <w:lang w:eastAsia="it-IT"/>
        </w:rPr>
        <w:t>9.</w:t>
      </w:r>
      <w:r>
        <w:rPr>
          <w:rFonts w:cs="Georgia"/>
          <w:b/>
          <w:noProof/>
          <w:color w:val="000000"/>
          <w:lang w:eastAsia="it-IT"/>
        </w:rPr>
        <w:tab/>
        <w:t xml:space="preserve">Can you please provide an example you are aware of a case of national procurement bids/practices restricting open competition in favour of mandatory national certifications? (Specify type of ICT product, </w:t>
      </w:r>
      <w:r>
        <w:rPr>
          <w:rFonts w:cs="Georgia"/>
          <w:b/>
          <w:noProof/>
          <w:color w:val="000000"/>
          <w:lang w:eastAsia="it-IT"/>
        </w:rPr>
        <w:t>country, procurement procedures and enforcement e.g. mandatory or recommended)</w:t>
      </w:r>
    </w:p>
    <w:p w:rsidR="00913429" w:rsidRDefault="00913429">
      <w:pPr>
        <w:spacing w:after="0"/>
        <w:rPr>
          <w:rFonts w:cs="Georgia"/>
          <w:b/>
          <w:noProof/>
          <w:color w:val="000000"/>
          <w:lang w:eastAsia="it-IT"/>
        </w:rPr>
      </w:pPr>
    </w:p>
    <w:p w:rsidR="00913429" w:rsidRDefault="00E143F0">
      <w:pPr>
        <w:pStyle w:val="ListParagraph"/>
        <w:numPr>
          <w:ilvl w:val="0"/>
          <w:numId w:val="104"/>
        </w:numPr>
        <w:spacing w:after="0"/>
        <w:rPr>
          <w:rFonts w:cs="Georgia"/>
          <w:noProof/>
          <w:color w:val="000000"/>
          <w:lang w:val="en-GB" w:eastAsia="it-IT"/>
        </w:rPr>
      </w:pPr>
      <w:r>
        <w:rPr>
          <w:rFonts w:cs="Georgia"/>
          <w:noProof/>
          <w:color w:val="000000"/>
          <w:lang w:val="en-GB" w:eastAsia="it-IT"/>
        </w:rPr>
        <w:t>CSPN in France for Military applications for Electrical Distribution</w:t>
      </w:r>
    </w:p>
    <w:p w:rsidR="00913429" w:rsidRDefault="00E143F0">
      <w:pPr>
        <w:pStyle w:val="ListParagraph"/>
        <w:numPr>
          <w:ilvl w:val="0"/>
          <w:numId w:val="104"/>
        </w:numPr>
        <w:spacing w:after="0"/>
        <w:rPr>
          <w:rFonts w:cs="Georgia"/>
          <w:noProof/>
          <w:color w:val="000000"/>
          <w:lang w:val="en-GB" w:eastAsia="it-IT"/>
        </w:rPr>
      </w:pPr>
      <w:r>
        <w:rPr>
          <w:rFonts w:cs="Georgia"/>
          <w:noProof/>
          <w:color w:val="000000"/>
          <w:lang w:val="en-GB" w:eastAsia="it-IT"/>
        </w:rPr>
        <w:t>No</w:t>
      </w:r>
    </w:p>
    <w:p w:rsidR="00913429" w:rsidRDefault="00E143F0">
      <w:pPr>
        <w:pStyle w:val="ListParagraph"/>
        <w:numPr>
          <w:ilvl w:val="0"/>
          <w:numId w:val="104"/>
        </w:numPr>
        <w:spacing w:after="0"/>
        <w:rPr>
          <w:rFonts w:cs="Georgia"/>
          <w:noProof/>
          <w:color w:val="000000"/>
          <w:lang w:val="en-GB" w:eastAsia="it-IT"/>
        </w:rPr>
      </w:pPr>
      <w:r>
        <w:rPr>
          <w:rFonts w:cs="Georgia"/>
          <w:noProof/>
          <w:color w:val="000000"/>
          <w:lang w:val="en-GB" w:eastAsia="it-IT"/>
        </w:rPr>
        <w:t>Passport, ID card, Driving licence,</w:t>
      </w:r>
    </w:p>
    <w:p w:rsidR="00913429" w:rsidRDefault="00E143F0">
      <w:pPr>
        <w:pStyle w:val="ListParagraph"/>
        <w:numPr>
          <w:ilvl w:val="0"/>
          <w:numId w:val="104"/>
        </w:numPr>
        <w:spacing w:after="0"/>
        <w:rPr>
          <w:rFonts w:cs="Georgia"/>
          <w:noProof/>
          <w:color w:val="000000"/>
          <w:lang w:val="en-GB" w:eastAsia="it-IT"/>
        </w:rPr>
      </w:pPr>
      <w:r>
        <w:rPr>
          <w:rFonts w:cs="Georgia"/>
          <w:noProof/>
          <w:color w:val="000000"/>
          <w:lang w:val="en-GB" w:eastAsia="it-IT"/>
        </w:rPr>
        <w:t>Common Criteria EAL4+, electronic passports</w:t>
      </w:r>
    </w:p>
    <w:p w:rsidR="00913429" w:rsidRDefault="00E143F0">
      <w:pPr>
        <w:pStyle w:val="ListParagraph"/>
        <w:numPr>
          <w:ilvl w:val="0"/>
          <w:numId w:val="104"/>
        </w:numPr>
        <w:spacing w:after="0"/>
        <w:rPr>
          <w:rFonts w:cs="Georgia"/>
          <w:noProof/>
          <w:color w:val="000000"/>
          <w:lang w:val="en-GB" w:eastAsia="it-IT"/>
        </w:rPr>
      </w:pPr>
      <w:r>
        <w:rPr>
          <w:rFonts w:cs="Georgia"/>
          <w:noProof/>
          <w:color w:val="000000"/>
          <w:lang w:val="en-GB" w:eastAsia="it-IT"/>
        </w:rPr>
        <w:t>German ePassports, ID ca</w:t>
      </w:r>
      <w:r>
        <w:rPr>
          <w:rFonts w:cs="Georgia"/>
          <w:noProof/>
          <w:color w:val="000000"/>
          <w:lang w:val="en-GB" w:eastAsia="it-IT"/>
        </w:rPr>
        <w:t>rds, Healthcards, French SIM-cards</w:t>
      </w:r>
    </w:p>
    <w:p w:rsidR="00913429" w:rsidRDefault="00E143F0">
      <w:pPr>
        <w:pStyle w:val="ListParagraph"/>
        <w:numPr>
          <w:ilvl w:val="0"/>
          <w:numId w:val="104"/>
        </w:numPr>
        <w:spacing w:after="0"/>
        <w:rPr>
          <w:rFonts w:cs="Georgia"/>
          <w:noProof/>
          <w:color w:val="000000"/>
          <w:lang w:val="en-GB" w:eastAsia="it-IT"/>
        </w:rPr>
      </w:pPr>
      <w:r>
        <w:rPr>
          <w:rFonts w:cs="Georgia"/>
          <w:noProof/>
          <w:color w:val="000000"/>
          <w:lang w:val="en-GB" w:eastAsia="it-IT"/>
        </w:rPr>
        <w:t>In NL there have been several attempts over time to increase the adoption of open standards in general, not directly security related. All have been quite unsuccesful so far due to resistance from IT departments.</w:t>
      </w:r>
    </w:p>
    <w:p w:rsidR="00913429" w:rsidRDefault="00E143F0">
      <w:pPr>
        <w:pStyle w:val="ListParagraph"/>
        <w:numPr>
          <w:ilvl w:val="0"/>
          <w:numId w:val="104"/>
        </w:numPr>
        <w:spacing w:after="0"/>
        <w:rPr>
          <w:rFonts w:cs="Georgia"/>
          <w:noProof/>
          <w:color w:val="000000"/>
          <w:lang w:val="fr-BE" w:eastAsia="it-IT"/>
        </w:rPr>
      </w:pPr>
      <w:r>
        <w:rPr>
          <w:rFonts w:cs="Georgia"/>
          <w:noProof/>
          <w:color w:val="000000"/>
          <w:lang w:val="fr-BE" w:eastAsia="it-IT"/>
        </w:rPr>
        <w:t>Surveill</w:t>
      </w:r>
      <w:r>
        <w:rPr>
          <w:rFonts w:cs="Georgia"/>
          <w:noProof/>
          <w:color w:val="000000"/>
          <w:lang w:val="fr-BE" w:eastAsia="it-IT"/>
        </w:rPr>
        <w:t>ance system - Italy - Public procurement - CC Certification</w:t>
      </w:r>
    </w:p>
    <w:p w:rsidR="00913429" w:rsidRDefault="00E143F0">
      <w:pPr>
        <w:pStyle w:val="ListParagraph"/>
        <w:numPr>
          <w:ilvl w:val="0"/>
          <w:numId w:val="104"/>
        </w:numPr>
        <w:spacing w:after="0"/>
        <w:rPr>
          <w:rFonts w:cs="Georgia"/>
          <w:noProof/>
          <w:color w:val="000000"/>
          <w:lang w:val="en-GB" w:eastAsia="it-IT"/>
        </w:rPr>
      </w:pPr>
      <w:r>
        <w:rPr>
          <w:rFonts w:cs="Georgia"/>
          <w:noProof/>
          <w:color w:val="000000"/>
          <w:lang w:val="en-GB" w:eastAsia="it-IT"/>
        </w:rPr>
        <w:t>Smart Metering around Europe / mainly in Germany</w:t>
      </w:r>
    </w:p>
    <w:p w:rsidR="00913429" w:rsidRDefault="00E143F0">
      <w:pPr>
        <w:pStyle w:val="ListParagraph"/>
        <w:numPr>
          <w:ilvl w:val="0"/>
          <w:numId w:val="104"/>
        </w:numPr>
        <w:spacing w:after="0"/>
        <w:rPr>
          <w:rFonts w:cs="Georgia"/>
          <w:noProof/>
          <w:color w:val="000000"/>
          <w:lang w:val="en-GB" w:eastAsia="it-IT"/>
        </w:rPr>
      </w:pPr>
      <w:r>
        <w:rPr>
          <w:rFonts w:cs="Georgia"/>
          <w:noProof/>
          <w:color w:val="000000"/>
          <w:lang w:val="en-GB" w:eastAsia="it-IT"/>
        </w:rPr>
        <w:t>eIDAS product e.g. eID documents and infrastructures. It is mandatory having the eIDAS compliance</w:t>
      </w:r>
    </w:p>
    <w:p w:rsidR="00913429" w:rsidRDefault="00E143F0">
      <w:pPr>
        <w:pStyle w:val="ListParagraph"/>
        <w:numPr>
          <w:ilvl w:val="0"/>
          <w:numId w:val="104"/>
        </w:numPr>
        <w:spacing w:after="0"/>
        <w:rPr>
          <w:rFonts w:cs="Georgia"/>
          <w:noProof/>
          <w:color w:val="000000"/>
          <w:lang w:val="en-GB" w:eastAsia="it-IT"/>
        </w:rPr>
      </w:pPr>
      <w:r>
        <w:rPr>
          <w:rFonts w:cs="Georgia"/>
          <w:noProof/>
          <w:color w:val="000000"/>
          <w:lang w:val="en-GB" w:eastAsia="it-IT"/>
        </w:rPr>
        <w:t xml:space="preserve">Certification by the Chinese Financial </w:t>
      </w:r>
      <w:r>
        <w:rPr>
          <w:rFonts w:cs="Georgia"/>
          <w:noProof/>
          <w:color w:val="000000"/>
          <w:lang w:val="en-GB" w:eastAsia="it-IT"/>
        </w:rPr>
        <w:t>Authentication (CFA) scheme is required to enter the Chinese payment market for card (Secure Element) based payment</w:t>
      </w:r>
    </w:p>
    <w:p w:rsidR="00913429" w:rsidRDefault="00E143F0">
      <w:pPr>
        <w:pStyle w:val="ListParagraph"/>
        <w:numPr>
          <w:ilvl w:val="0"/>
          <w:numId w:val="104"/>
        </w:numPr>
        <w:spacing w:after="0"/>
        <w:rPr>
          <w:rFonts w:cs="Georgia"/>
          <w:noProof/>
          <w:color w:val="000000"/>
          <w:lang w:val="en-GB" w:eastAsia="it-IT"/>
        </w:rPr>
      </w:pPr>
      <w:r>
        <w:rPr>
          <w:rFonts w:cs="Georgia"/>
          <w:noProof/>
          <w:color w:val="000000"/>
          <w:lang w:val="en-GB" w:eastAsia="it-IT"/>
        </w:rPr>
        <w:t>To our knowledge, there is no national procurement practice that restricts open competition in favour of mandatory certification. Instead, m</w:t>
      </w:r>
      <w:r>
        <w:rPr>
          <w:rFonts w:cs="Georgia"/>
          <w:noProof/>
          <w:color w:val="000000"/>
          <w:lang w:val="en-GB" w:eastAsia="it-IT"/>
        </w:rPr>
        <w:t>ost national procurement practices tend to have both open competition and certification requirements.</w:t>
      </w:r>
    </w:p>
    <w:p w:rsidR="00913429" w:rsidRDefault="00913429">
      <w:pPr>
        <w:spacing w:after="0"/>
        <w:rPr>
          <w:rFonts w:cs="Georgia"/>
          <w:noProof/>
          <w:color w:val="000000"/>
          <w:lang w:eastAsia="it-IT"/>
        </w:rPr>
      </w:pPr>
    </w:p>
    <w:p w:rsidR="00913429" w:rsidRDefault="00E143F0">
      <w:pPr>
        <w:spacing w:after="0"/>
        <w:rPr>
          <w:rFonts w:cs="Georgia"/>
          <w:b/>
          <w:noProof/>
          <w:color w:val="000000"/>
          <w:lang w:eastAsia="it-IT"/>
        </w:rPr>
      </w:pPr>
      <w:r>
        <w:rPr>
          <w:rFonts w:cs="Georgia"/>
          <w:b/>
          <w:noProof/>
          <w:color w:val="000000"/>
          <w:lang w:eastAsia="it-IT"/>
        </w:rPr>
        <w:t>10.</w:t>
      </w:r>
      <w:r>
        <w:rPr>
          <w:rFonts w:cs="Georgia"/>
          <w:b/>
          <w:noProof/>
          <w:color w:val="000000"/>
          <w:lang w:eastAsia="it-IT"/>
        </w:rPr>
        <w:tab/>
        <w:t>How likely do you think a large-sized company which has certified its product in a given EU country would restrain itself from entering the market of</w:t>
      </w:r>
      <w:r>
        <w:rPr>
          <w:rFonts w:cs="Georgia"/>
          <w:b/>
          <w:noProof/>
          <w:color w:val="000000"/>
          <w:lang w:eastAsia="it-IT"/>
        </w:rPr>
        <w:t xml:space="preserve"> a second MS in consideration of additional security certifications requirements?</w:t>
      </w:r>
    </w:p>
    <w:p w:rsidR="00913429" w:rsidRDefault="00913429">
      <w:pPr>
        <w:spacing w:after="0"/>
        <w:rPr>
          <w:rFonts w:cs="Georgia"/>
          <w:b/>
          <w:noProof/>
          <w:color w:val="000000"/>
          <w:lang w:eastAsia="it-IT"/>
        </w:rPr>
      </w:pPr>
    </w:p>
    <w:p w:rsidR="00913429" w:rsidRDefault="00E143F0">
      <w:pPr>
        <w:spacing w:after="0"/>
        <w:rPr>
          <w:rFonts w:cs="Georgia"/>
          <w:b/>
          <w:noProof/>
          <w:color w:val="000000"/>
          <w:lang w:eastAsia="it-IT"/>
        </w:rPr>
      </w:pPr>
      <w:r>
        <w:rPr>
          <w:rFonts w:cs="Georgia"/>
          <w:b/>
          <w:noProof/>
          <w:color w:val="000000"/>
          <w:lang w:eastAsia="en-GB"/>
        </w:rPr>
        <w:drawing>
          <wp:inline distT="0" distB="0" distL="0" distR="0" wp14:anchorId="67DCCD56" wp14:editId="1CBE5BA0">
            <wp:extent cx="6107430" cy="2687541"/>
            <wp:effectExtent l="0" t="0" r="762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913429" w:rsidRDefault="00913429">
      <w:pPr>
        <w:spacing w:after="0"/>
        <w:rPr>
          <w:rFonts w:cs="Georgia"/>
          <w:b/>
          <w:noProof/>
          <w:color w:val="000000"/>
          <w:lang w:eastAsia="it-IT"/>
        </w:rPr>
      </w:pPr>
    </w:p>
    <w:p w:rsidR="00913429" w:rsidRDefault="00E143F0">
      <w:pPr>
        <w:spacing w:after="0"/>
        <w:rPr>
          <w:rFonts w:cs="Georgia"/>
          <w:b/>
          <w:noProof/>
          <w:color w:val="000000"/>
          <w:lang w:eastAsia="it-IT"/>
        </w:rPr>
      </w:pPr>
      <w:r>
        <w:rPr>
          <w:rFonts w:cs="Georgia"/>
          <w:b/>
          <w:noProof/>
          <w:color w:val="000000"/>
          <w:lang w:eastAsia="it-IT"/>
        </w:rPr>
        <w:t>11.</w:t>
      </w:r>
      <w:r>
        <w:rPr>
          <w:rFonts w:cs="Georgia"/>
          <w:b/>
          <w:noProof/>
          <w:color w:val="000000"/>
          <w:lang w:eastAsia="it-IT"/>
        </w:rPr>
        <w:tab/>
        <w:t>How likely do you think a SME which has certified its product in a given EU country would restrain itself from entering the market of a second Member State in conside</w:t>
      </w:r>
      <w:r>
        <w:rPr>
          <w:rFonts w:cs="Georgia"/>
          <w:b/>
          <w:noProof/>
          <w:color w:val="000000"/>
          <w:lang w:eastAsia="it-IT"/>
        </w:rPr>
        <w:t>ration of additional security certifications requirements?</w:t>
      </w:r>
    </w:p>
    <w:p w:rsidR="00913429" w:rsidRDefault="00913429">
      <w:pPr>
        <w:spacing w:after="0"/>
        <w:rPr>
          <w:rFonts w:cs="Georgia"/>
          <w:b/>
          <w:noProof/>
          <w:color w:val="000000"/>
          <w:lang w:eastAsia="it-IT"/>
        </w:rPr>
      </w:pPr>
    </w:p>
    <w:p w:rsidR="00913429" w:rsidRDefault="00E143F0">
      <w:pPr>
        <w:spacing w:after="0"/>
        <w:rPr>
          <w:rFonts w:cs="Georgia"/>
          <w:b/>
          <w:noProof/>
          <w:color w:val="000000"/>
          <w:lang w:eastAsia="it-IT"/>
        </w:rPr>
      </w:pPr>
      <w:r>
        <w:rPr>
          <w:rFonts w:cs="Georgia"/>
          <w:b/>
          <w:noProof/>
          <w:color w:val="000000"/>
          <w:lang w:eastAsia="en-GB"/>
        </w:rPr>
        <w:drawing>
          <wp:inline distT="0" distB="0" distL="0" distR="0" wp14:anchorId="4DCDCB83" wp14:editId="6B0537E1">
            <wp:extent cx="6107430" cy="2504660"/>
            <wp:effectExtent l="0" t="0" r="762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913429" w:rsidRDefault="00913429">
      <w:pPr>
        <w:spacing w:after="0"/>
        <w:rPr>
          <w:rFonts w:cs="Georgia"/>
          <w:b/>
          <w:noProof/>
          <w:color w:val="000000"/>
          <w:lang w:eastAsia="it-IT"/>
        </w:rPr>
      </w:pPr>
    </w:p>
    <w:p w:rsidR="00913429" w:rsidRDefault="00913429">
      <w:pPr>
        <w:spacing w:after="0"/>
        <w:rPr>
          <w:rFonts w:cs="Georgia"/>
          <w:noProof/>
          <w:color w:val="000000"/>
          <w:lang w:eastAsia="it-IT"/>
        </w:rPr>
      </w:pPr>
    </w:p>
    <w:p w:rsidR="00913429" w:rsidRDefault="00E143F0">
      <w:pPr>
        <w:spacing w:after="0"/>
        <w:rPr>
          <w:rFonts w:cs="Georgia"/>
          <w:b/>
          <w:noProof/>
          <w:color w:val="000000"/>
          <w:lang w:eastAsia="it-IT"/>
        </w:rPr>
      </w:pPr>
      <w:r>
        <w:rPr>
          <w:rFonts w:cs="Georgia"/>
          <w:b/>
          <w:noProof/>
          <w:color w:val="000000"/>
          <w:lang w:eastAsia="it-IT"/>
        </w:rPr>
        <w:t>12.</w:t>
      </w:r>
      <w:r>
        <w:rPr>
          <w:rFonts w:cs="Georgia"/>
          <w:b/>
          <w:noProof/>
          <w:color w:val="000000"/>
          <w:lang w:eastAsia="it-IT"/>
        </w:rPr>
        <w:tab/>
        <w:t>From your experience, what is the likelihood of an ICT product/service vendor to accept bearing the costs of a second certification/labelling process in order to access the market of anoth</w:t>
      </w:r>
      <w:r>
        <w:rPr>
          <w:rFonts w:cs="Georgia"/>
          <w:b/>
          <w:noProof/>
          <w:color w:val="000000"/>
          <w:lang w:eastAsia="it-IT"/>
        </w:rPr>
        <w:t>er EU country?</w:t>
      </w:r>
    </w:p>
    <w:p w:rsidR="00913429" w:rsidRDefault="00913429">
      <w:pPr>
        <w:spacing w:after="0"/>
        <w:rPr>
          <w:rFonts w:cs="Georgia"/>
          <w:noProof/>
          <w:color w:val="000000"/>
          <w:lang w:eastAsia="it-IT"/>
        </w:rPr>
      </w:pPr>
    </w:p>
    <w:p w:rsidR="00913429" w:rsidRDefault="00E143F0">
      <w:pPr>
        <w:spacing w:after="0"/>
        <w:rPr>
          <w:rFonts w:cs="Georgia"/>
          <w:noProof/>
          <w:color w:val="000000"/>
          <w:lang w:eastAsia="it-IT"/>
        </w:rPr>
      </w:pPr>
      <w:r>
        <w:rPr>
          <w:rFonts w:cs="Georgia"/>
          <w:b/>
          <w:noProof/>
          <w:color w:val="000000"/>
          <w:lang w:eastAsia="en-GB"/>
        </w:rPr>
        <w:drawing>
          <wp:inline distT="0" distB="0" distL="0" distR="0" wp14:anchorId="423DA408" wp14:editId="51CA92F5">
            <wp:extent cx="6107430" cy="3387090"/>
            <wp:effectExtent l="0" t="0" r="7620" b="381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913429" w:rsidRDefault="00913429">
      <w:pPr>
        <w:spacing w:after="0"/>
        <w:rPr>
          <w:rFonts w:cs="Georgia"/>
          <w:noProof/>
          <w:color w:val="000000"/>
          <w:lang w:eastAsia="it-IT"/>
        </w:rPr>
      </w:pPr>
    </w:p>
    <w:p w:rsidR="00913429" w:rsidRDefault="00E143F0">
      <w:pPr>
        <w:spacing w:after="0"/>
        <w:rPr>
          <w:rFonts w:cs="Georgia"/>
          <w:b/>
          <w:noProof/>
          <w:color w:val="000000"/>
          <w:lang w:eastAsia="it-IT"/>
        </w:rPr>
      </w:pPr>
      <w:r>
        <w:rPr>
          <w:rFonts w:cs="Georgia"/>
          <w:b/>
          <w:noProof/>
          <w:color w:val="000000"/>
          <w:lang w:eastAsia="it-IT"/>
        </w:rPr>
        <w:t>13.</w:t>
      </w:r>
      <w:r>
        <w:rPr>
          <w:rFonts w:cs="Georgia"/>
          <w:b/>
          <w:noProof/>
          <w:color w:val="000000"/>
          <w:lang w:eastAsia="it-IT"/>
        </w:rPr>
        <w:tab/>
      </w:r>
      <w:r>
        <w:rPr>
          <w:rFonts w:cs="Georgia"/>
          <w:b/>
          <w:noProof/>
          <w:color w:val="000000"/>
          <w:lang w:eastAsia="it-IT"/>
        </w:rPr>
        <w:t xml:space="preserve">In reference to commercial strategies, do you think a foreign vendor is likely to favour accessing an EU country having in place a mutual recognition agreement (in relation to security certification and labelling) with other EU countries?  </w:t>
      </w:r>
    </w:p>
    <w:p w:rsidR="00913429" w:rsidRDefault="00913429">
      <w:pPr>
        <w:spacing w:after="0"/>
        <w:rPr>
          <w:rFonts w:cs="Georgia"/>
          <w:noProof/>
          <w:color w:val="000000"/>
          <w:lang w:eastAsia="it-IT"/>
        </w:rPr>
      </w:pPr>
    </w:p>
    <w:p w:rsidR="00913429" w:rsidRDefault="00E143F0">
      <w:pPr>
        <w:spacing w:after="0"/>
        <w:rPr>
          <w:rFonts w:cs="Georgia"/>
          <w:noProof/>
          <w:color w:val="000000"/>
          <w:lang w:eastAsia="it-IT"/>
        </w:rPr>
      </w:pPr>
      <w:r>
        <w:rPr>
          <w:rFonts w:cs="Georgia"/>
          <w:b/>
          <w:noProof/>
          <w:color w:val="000000"/>
          <w:lang w:eastAsia="en-GB"/>
        </w:rPr>
        <w:drawing>
          <wp:inline distT="0" distB="0" distL="0" distR="0" wp14:anchorId="6374A8DA" wp14:editId="0D7EA9F6">
            <wp:extent cx="6107430" cy="3387090"/>
            <wp:effectExtent l="0" t="0" r="7620" b="381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913429" w:rsidRDefault="00913429">
      <w:pPr>
        <w:spacing w:after="0"/>
        <w:rPr>
          <w:rFonts w:cs="Georgia"/>
          <w:noProof/>
          <w:color w:val="000000"/>
          <w:lang w:eastAsia="it-IT"/>
        </w:rPr>
      </w:pPr>
    </w:p>
    <w:p w:rsidR="00913429" w:rsidRDefault="00913429">
      <w:pPr>
        <w:spacing w:after="0"/>
        <w:rPr>
          <w:rFonts w:cs="Georgia"/>
          <w:noProof/>
          <w:color w:val="000000"/>
          <w:lang w:eastAsia="it-IT"/>
        </w:rPr>
      </w:pPr>
    </w:p>
    <w:p w:rsidR="00913429" w:rsidRDefault="00913429">
      <w:pPr>
        <w:spacing w:after="0"/>
        <w:rPr>
          <w:rFonts w:cs="Georgia"/>
          <w:noProof/>
          <w:color w:val="000000"/>
          <w:lang w:eastAsia="it-IT"/>
        </w:rPr>
      </w:pPr>
    </w:p>
    <w:p w:rsidR="00913429" w:rsidRDefault="00913429">
      <w:pPr>
        <w:spacing w:after="0"/>
        <w:rPr>
          <w:rFonts w:cs="Georgia"/>
          <w:noProof/>
          <w:color w:val="000000"/>
          <w:lang w:eastAsia="it-IT"/>
        </w:rPr>
      </w:pPr>
    </w:p>
    <w:p w:rsidR="00913429" w:rsidRDefault="00E143F0">
      <w:pPr>
        <w:spacing w:after="0"/>
        <w:rPr>
          <w:rFonts w:cs="Georgia"/>
          <w:b/>
          <w:noProof/>
          <w:color w:val="000000"/>
          <w:lang w:eastAsia="it-IT"/>
        </w:rPr>
      </w:pPr>
      <w:r>
        <w:rPr>
          <w:rFonts w:cs="Georgia"/>
          <w:b/>
          <w:noProof/>
          <w:color w:val="000000"/>
          <w:lang w:eastAsia="it-IT"/>
        </w:rPr>
        <w:t>14. In y</w:t>
      </w:r>
      <w:r>
        <w:rPr>
          <w:rFonts w:cs="Georgia"/>
          <w:b/>
          <w:noProof/>
          <w:color w:val="000000"/>
          <w:lang w:eastAsia="it-IT"/>
        </w:rPr>
        <w:t>our opinion, in the context of a European ICT security certification Framework what role the EU Agencies (such as ENISA) might have at the management level (e.g. Establish transparent procedures)?</w:t>
      </w:r>
    </w:p>
    <w:p w:rsidR="00913429" w:rsidRDefault="00913429">
      <w:pPr>
        <w:spacing w:after="0"/>
        <w:rPr>
          <w:rFonts w:cs="Georgia"/>
          <w:b/>
          <w:noProof/>
          <w:color w:val="000000"/>
          <w:lang w:eastAsia="it-IT"/>
        </w:rPr>
      </w:pPr>
    </w:p>
    <w:p w:rsidR="00913429" w:rsidRDefault="00E143F0">
      <w:pPr>
        <w:pStyle w:val="ListParagraph"/>
        <w:numPr>
          <w:ilvl w:val="0"/>
          <w:numId w:val="105"/>
        </w:numPr>
        <w:spacing w:after="0"/>
        <w:ind w:left="723"/>
        <w:rPr>
          <w:rFonts w:cs="Georgia"/>
          <w:noProof/>
          <w:color w:val="000000"/>
          <w:lang w:val="en-GB" w:eastAsia="it-IT"/>
        </w:rPr>
      </w:pPr>
      <w:r>
        <w:rPr>
          <w:rFonts w:cs="Georgia"/>
          <w:noProof/>
          <w:color w:val="000000"/>
          <w:lang w:val="en-GB" w:eastAsia="it-IT" w:bidi="en-US"/>
        </w:rPr>
        <w:t>Raising awareness, education, etc.</w:t>
      </w:r>
    </w:p>
    <w:p w:rsidR="00913429" w:rsidRDefault="00E143F0">
      <w:pPr>
        <w:pStyle w:val="ListParagraph"/>
        <w:numPr>
          <w:ilvl w:val="0"/>
          <w:numId w:val="105"/>
        </w:numPr>
        <w:spacing w:after="0"/>
        <w:ind w:left="723"/>
        <w:rPr>
          <w:rFonts w:cs="Georgia"/>
          <w:noProof/>
          <w:color w:val="000000"/>
          <w:lang w:val="en-GB" w:eastAsia="it-IT"/>
        </w:rPr>
      </w:pPr>
      <w:r>
        <w:rPr>
          <w:rFonts w:cs="Georgia"/>
          <w:noProof/>
          <w:color w:val="000000"/>
          <w:lang w:val="en-GB" w:eastAsia="it-IT"/>
        </w:rPr>
        <w:t>The EU should ensure th</w:t>
      </w:r>
      <w:r>
        <w:rPr>
          <w:rFonts w:cs="Georgia"/>
          <w:noProof/>
          <w:color w:val="000000"/>
          <w:lang w:val="en-GB" w:eastAsia="it-IT"/>
        </w:rPr>
        <w:t>at in the context of ICT security certifications that 1) neither the EU nor Member States completely "re-invent the wheel" but instead leverage existing standards and certifications based on international standards. 2) The EU should strive to enable mutual</w:t>
      </w:r>
      <w:r>
        <w:rPr>
          <w:rFonts w:cs="Georgia"/>
          <w:noProof/>
          <w:color w:val="000000"/>
          <w:lang w:val="en-GB" w:eastAsia="it-IT"/>
        </w:rPr>
        <w:t xml:space="preserve"> recognition between comparable cybersecurity certifications - again ideally based on existing international standards.</w:t>
      </w:r>
    </w:p>
    <w:p w:rsidR="00913429" w:rsidRDefault="00E143F0">
      <w:pPr>
        <w:pStyle w:val="ListParagraph"/>
        <w:numPr>
          <w:ilvl w:val="0"/>
          <w:numId w:val="105"/>
        </w:numPr>
        <w:spacing w:after="0"/>
        <w:ind w:left="723"/>
        <w:rPr>
          <w:rFonts w:cs="Georgia"/>
          <w:b/>
          <w:noProof/>
          <w:color w:val="000000"/>
          <w:lang w:val="en-GB" w:eastAsia="it-IT"/>
        </w:rPr>
      </w:pPr>
      <w:r>
        <w:rPr>
          <w:rFonts w:cs="Georgia"/>
          <w:noProof/>
          <w:color w:val="000000"/>
          <w:lang w:val="en-GB" w:eastAsia="it-IT"/>
        </w:rPr>
        <w:t>Governance, co-ordinate mutual recognition</w:t>
      </w:r>
    </w:p>
    <w:p w:rsidR="00913429" w:rsidRDefault="00E143F0">
      <w:pPr>
        <w:pStyle w:val="ListParagraph"/>
        <w:numPr>
          <w:ilvl w:val="0"/>
          <w:numId w:val="105"/>
        </w:numPr>
        <w:spacing w:after="0"/>
        <w:ind w:left="723"/>
        <w:rPr>
          <w:rFonts w:cs="Georgia"/>
          <w:noProof/>
          <w:color w:val="000000"/>
          <w:lang w:val="en-GB" w:eastAsia="it-IT"/>
        </w:rPr>
      </w:pPr>
      <w:r>
        <w:rPr>
          <w:rFonts w:cs="Georgia"/>
          <w:noProof/>
          <w:color w:val="000000"/>
          <w:lang w:val="en-GB" w:eastAsia="it-IT"/>
        </w:rPr>
        <w:t>ENISA could endorse the role of a transversal agency which could be continuously active in id</w:t>
      </w:r>
      <w:r>
        <w:rPr>
          <w:rFonts w:cs="Georgia"/>
          <w:noProof/>
          <w:color w:val="000000"/>
          <w:lang w:val="en-GB" w:eastAsia="it-IT"/>
        </w:rPr>
        <w:t>entifying and registering expert groups that will be in charge of defining adequate certification levels per sector. ENISA could monitor what is enforced in terms of certification, and could be given a mandate to specific experts groups that would be in ch</w:t>
      </w:r>
      <w:r>
        <w:rPr>
          <w:rFonts w:cs="Georgia"/>
          <w:noProof/>
          <w:color w:val="000000"/>
          <w:lang w:val="en-GB" w:eastAsia="it-IT"/>
        </w:rPr>
        <w:t>arge of defining in details these sectorial certifications.</w:t>
      </w:r>
    </w:p>
    <w:p w:rsidR="00913429" w:rsidRDefault="00E143F0">
      <w:pPr>
        <w:pStyle w:val="ListParagraph"/>
        <w:numPr>
          <w:ilvl w:val="0"/>
          <w:numId w:val="105"/>
        </w:numPr>
        <w:spacing w:after="0"/>
        <w:ind w:left="723"/>
        <w:rPr>
          <w:rFonts w:cs="Georgia"/>
          <w:noProof/>
          <w:color w:val="000000"/>
          <w:lang w:val="en-GB" w:eastAsia="it-IT"/>
        </w:rPr>
      </w:pPr>
      <w:r>
        <w:rPr>
          <w:rFonts w:cs="Georgia"/>
          <w:noProof/>
          <w:color w:val="000000"/>
          <w:lang w:val="en-GB" w:eastAsia="it-IT"/>
        </w:rPr>
        <w:t>establish the same rules for the security certification scheme in the various CS</w:t>
      </w:r>
    </w:p>
    <w:p w:rsidR="00913429" w:rsidRDefault="00E143F0">
      <w:pPr>
        <w:pStyle w:val="ListParagraph"/>
        <w:numPr>
          <w:ilvl w:val="0"/>
          <w:numId w:val="105"/>
        </w:numPr>
        <w:spacing w:after="0"/>
        <w:ind w:left="723"/>
        <w:rPr>
          <w:rFonts w:cs="Georgia"/>
          <w:noProof/>
          <w:color w:val="000000"/>
          <w:lang w:val="en-GB" w:eastAsia="it-IT"/>
        </w:rPr>
      </w:pPr>
      <w:r>
        <w:rPr>
          <w:rFonts w:cs="Georgia"/>
          <w:noProof/>
          <w:color w:val="000000"/>
          <w:lang w:val="en-GB" w:eastAsia="it-IT"/>
        </w:rPr>
        <w:t>ENISA will have a key role</w:t>
      </w:r>
    </w:p>
    <w:p w:rsidR="00913429" w:rsidRDefault="00E143F0">
      <w:pPr>
        <w:pStyle w:val="ListParagraph"/>
        <w:numPr>
          <w:ilvl w:val="0"/>
          <w:numId w:val="105"/>
        </w:numPr>
        <w:spacing w:after="0"/>
        <w:ind w:left="723"/>
        <w:rPr>
          <w:rFonts w:cs="Georgia"/>
          <w:noProof/>
          <w:color w:val="000000"/>
          <w:lang w:val="en-GB" w:eastAsia="it-IT"/>
        </w:rPr>
      </w:pPr>
      <w:r>
        <w:rPr>
          <w:rFonts w:cs="Georgia"/>
          <w:noProof/>
          <w:color w:val="000000"/>
          <w:lang w:val="en-GB" w:eastAsia="it-IT"/>
        </w:rPr>
        <w:t>Coordination of National Security Agencies Technical Referential and procedures</w:t>
      </w:r>
    </w:p>
    <w:p w:rsidR="00913429" w:rsidRDefault="00E143F0">
      <w:pPr>
        <w:pStyle w:val="ListParagraph"/>
        <w:numPr>
          <w:ilvl w:val="0"/>
          <w:numId w:val="105"/>
        </w:numPr>
        <w:spacing w:after="0"/>
        <w:ind w:left="723"/>
        <w:rPr>
          <w:rFonts w:cs="Georgia"/>
          <w:noProof/>
          <w:color w:val="000000"/>
          <w:lang w:val="en-GB" w:eastAsia="it-IT"/>
        </w:rPr>
      </w:pPr>
      <w:r>
        <w:rPr>
          <w:rFonts w:cs="Georgia"/>
          <w:noProof/>
          <w:color w:val="000000"/>
          <w:lang w:val="en-GB" w:eastAsia="it-IT"/>
        </w:rPr>
        <w:t>Identify</w:t>
      </w:r>
      <w:r>
        <w:rPr>
          <w:rFonts w:cs="Georgia"/>
          <w:noProof/>
          <w:color w:val="000000"/>
          <w:lang w:val="en-GB" w:eastAsia="it-IT"/>
        </w:rPr>
        <w:t xml:space="preserve"> the products/services, Establish procedures/methodologies, Maintain and harmonize the asurance level and competences (like SOG-IS is doing for Common Criteria evaluations)</w:t>
      </w:r>
    </w:p>
    <w:p w:rsidR="00913429" w:rsidRDefault="00E143F0">
      <w:pPr>
        <w:pStyle w:val="ListParagraph"/>
        <w:numPr>
          <w:ilvl w:val="0"/>
          <w:numId w:val="105"/>
        </w:numPr>
        <w:spacing w:after="0"/>
        <w:ind w:left="723"/>
        <w:rPr>
          <w:rFonts w:cs="Georgia"/>
          <w:noProof/>
          <w:color w:val="000000"/>
          <w:lang w:val="en-GB" w:eastAsia="it-IT"/>
        </w:rPr>
      </w:pPr>
      <w:r>
        <w:rPr>
          <w:rFonts w:cs="Georgia"/>
          <w:noProof/>
          <w:color w:val="000000"/>
          <w:lang w:val="en-GB" w:eastAsia="it-IT"/>
        </w:rPr>
        <w:t>Partner</w:t>
      </w:r>
    </w:p>
    <w:p w:rsidR="00913429" w:rsidRDefault="00E143F0">
      <w:pPr>
        <w:pStyle w:val="ListParagraph"/>
        <w:numPr>
          <w:ilvl w:val="0"/>
          <w:numId w:val="105"/>
        </w:numPr>
        <w:spacing w:after="0"/>
        <w:ind w:left="723"/>
        <w:rPr>
          <w:rFonts w:cs="Georgia"/>
          <w:noProof/>
          <w:color w:val="000000"/>
          <w:lang w:val="en-GB" w:eastAsia="it-IT"/>
        </w:rPr>
      </w:pPr>
      <w:r>
        <w:rPr>
          <w:rFonts w:cs="Georgia"/>
          <w:noProof/>
          <w:color w:val="000000"/>
          <w:lang w:val="en-GB" w:eastAsia="it-IT"/>
        </w:rPr>
        <w:t>Implement laws ensuring support and updates for released devices. And estab</w:t>
      </w:r>
      <w:r>
        <w:rPr>
          <w:rFonts w:cs="Georgia"/>
          <w:noProof/>
          <w:color w:val="000000"/>
          <w:lang w:val="en-GB" w:eastAsia="it-IT"/>
        </w:rPr>
        <w:t>lish clear and transparent implementation procedures.</w:t>
      </w:r>
    </w:p>
    <w:p w:rsidR="00913429" w:rsidRDefault="00E143F0">
      <w:pPr>
        <w:pStyle w:val="ListParagraph"/>
        <w:numPr>
          <w:ilvl w:val="0"/>
          <w:numId w:val="105"/>
        </w:numPr>
        <w:spacing w:after="0"/>
        <w:ind w:left="723"/>
        <w:rPr>
          <w:rFonts w:cs="Georgia"/>
          <w:noProof/>
          <w:color w:val="000000"/>
          <w:lang w:val="en-GB" w:eastAsia="it-IT"/>
        </w:rPr>
      </w:pPr>
      <w:r>
        <w:rPr>
          <w:rFonts w:cs="Georgia"/>
          <w:noProof/>
          <w:color w:val="000000"/>
          <w:lang w:val="en-GB" w:eastAsia="it-IT"/>
        </w:rPr>
        <w:t>define Directives for better integration</w:t>
      </w:r>
    </w:p>
    <w:p w:rsidR="00913429" w:rsidRDefault="00E143F0">
      <w:pPr>
        <w:pStyle w:val="ListParagraph"/>
        <w:numPr>
          <w:ilvl w:val="0"/>
          <w:numId w:val="105"/>
        </w:numPr>
        <w:spacing w:after="0"/>
        <w:ind w:left="723"/>
        <w:rPr>
          <w:rFonts w:cs="Georgia"/>
          <w:noProof/>
          <w:color w:val="000000"/>
          <w:lang w:val="en-GB" w:eastAsia="it-IT"/>
        </w:rPr>
      </w:pPr>
      <w:r>
        <w:rPr>
          <w:rFonts w:cs="Georgia"/>
          <w:noProof/>
          <w:color w:val="000000"/>
          <w:lang w:val="en-GB" w:eastAsia="it-IT"/>
        </w:rPr>
        <w:t>Push for standardisation among member states of such ICT security certifications;</w:t>
      </w:r>
    </w:p>
    <w:p w:rsidR="00913429" w:rsidRDefault="00E143F0">
      <w:pPr>
        <w:pStyle w:val="ListParagraph"/>
        <w:numPr>
          <w:ilvl w:val="0"/>
          <w:numId w:val="105"/>
        </w:numPr>
        <w:spacing w:after="0"/>
        <w:ind w:left="723"/>
        <w:rPr>
          <w:rFonts w:cs="Georgia"/>
          <w:noProof/>
          <w:color w:val="000000"/>
          <w:lang w:val="en-GB" w:eastAsia="it-IT"/>
        </w:rPr>
      </w:pPr>
      <w:r>
        <w:rPr>
          <w:rFonts w:cs="Georgia"/>
          <w:noProof/>
          <w:color w:val="000000"/>
          <w:lang w:val="en-GB" w:eastAsia="it-IT"/>
        </w:rPr>
        <w:t>Third party body as in any other EU Certification Scheme</w:t>
      </w:r>
    </w:p>
    <w:p w:rsidR="00913429" w:rsidRDefault="00E143F0">
      <w:pPr>
        <w:pStyle w:val="ListParagraph"/>
        <w:numPr>
          <w:ilvl w:val="0"/>
          <w:numId w:val="105"/>
        </w:numPr>
        <w:spacing w:after="0"/>
        <w:ind w:left="723"/>
        <w:rPr>
          <w:rFonts w:cs="Georgia"/>
          <w:noProof/>
          <w:color w:val="000000"/>
          <w:lang w:val="en-GB" w:eastAsia="it-IT"/>
        </w:rPr>
      </w:pPr>
      <w:r>
        <w:rPr>
          <w:rFonts w:cs="Georgia"/>
          <w:noProof/>
          <w:color w:val="000000"/>
          <w:lang w:val="en-GB" w:eastAsia="it-IT"/>
        </w:rPr>
        <w:t>Harmonization of secur</w:t>
      </w:r>
      <w:r>
        <w:rPr>
          <w:rFonts w:cs="Georgia"/>
          <w:noProof/>
          <w:color w:val="000000"/>
          <w:lang w:val="en-GB" w:eastAsia="it-IT"/>
        </w:rPr>
        <w:t>ity certification requirements (eg security level required) and harmonization of approaches to certification of ICT security features in EU states</w:t>
      </w:r>
    </w:p>
    <w:p w:rsidR="00913429" w:rsidRDefault="00E143F0">
      <w:pPr>
        <w:pStyle w:val="ListParagraph"/>
        <w:numPr>
          <w:ilvl w:val="0"/>
          <w:numId w:val="105"/>
        </w:numPr>
        <w:spacing w:after="0"/>
        <w:ind w:left="723"/>
        <w:rPr>
          <w:rFonts w:cs="Georgia"/>
          <w:noProof/>
          <w:color w:val="000000"/>
          <w:lang w:val="en-GB" w:eastAsia="it-IT"/>
        </w:rPr>
      </w:pPr>
      <w:r>
        <w:rPr>
          <w:rFonts w:cs="Georgia"/>
          <w:noProof/>
          <w:color w:val="000000"/>
          <w:lang w:val="en-GB" w:eastAsia="it-IT"/>
        </w:rPr>
        <w:t>Conformity Assessment Body centrally in order to enhance EU wide competition</w:t>
      </w:r>
    </w:p>
    <w:p w:rsidR="00913429" w:rsidRDefault="00E143F0">
      <w:pPr>
        <w:pStyle w:val="ListParagraph"/>
        <w:numPr>
          <w:ilvl w:val="0"/>
          <w:numId w:val="105"/>
        </w:numPr>
        <w:spacing w:after="0"/>
        <w:ind w:left="723"/>
        <w:rPr>
          <w:rFonts w:cs="Georgia"/>
          <w:noProof/>
          <w:color w:val="000000"/>
          <w:lang w:val="en-GB" w:eastAsia="it-IT"/>
        </w:rPr>
      </w:pPr>
      <w:r>
        <w:rPr>
          <w:rFonts w:cs="Georgia"/>
          <w:noProof/>
          <w:color w:val="000000"/>
          <w:lang w:val="en-GB" w:eastAsia="it-IT"/>
        </w:rPr>
        <w:t>Drive mutual recognition, define</w:t>
      </w:r>
      <w:r>
        <w:rPr>
          <w:rFonts w:cs="Georgia"/>
          <w:noProof/>
          <w:color w:val="000000"/>
          <w:lang w:val="en-GB" w:eastAsia="it-IT"/>
        </w:rPr>
        <w:t xml:space="preserve"> procedures and frameworks e.g. Common Criteria</w:t>
      </w:r>
    </w:p>
    <w:p w:rsidR="00913429" w:rsidRDefault="00913429">
      <w:pPr>
        <w:spacing w:after="0"/>
        <w:rPr>
          <w:rFonts w:cs="Georgia"/>
          <w:noProof/>
          <w:color w:val="000000"/>
          <w:lang w:eastAsia="it-IT"/>
        </w:rPr>
      </w:pPr>
    </w:p>
    <w:p w:rsidR="00913429" w:rsidRDefault="00913429">
      <w:pPr>
        <w:spacing w:after="0"/>
        <w:rPr>
          <w:rFonts w:cs="Georgia"/>
          <w:noProof/>
          <w:color w:val="000000"/>
          <w:lang w:eastAsia="it-IT"/>
        </w:rPr>
      </w:pPr>
    </w:p>
    <w:p w:rsidR="00913429" w:rsidRDefault="00913429">
      <w:pPr>
        <w:ind w:left="363"/>
        <w:contextualSpacing/>
        <w:jc w:val="both"/>
        <w:rPr>
          <w:noProof/>
          <w:color w:val="FF0000"/>
        </w:rPr>
      </w:pPr>
    </w:p>
    <w:p w:rsidR="00913429" w:rsidRDefault="00E143F0">
      <w:pPr>
        <w:numPr>
          <w:ilvl w:val="0"/>
          <w:numId w:val="106"/>
        </w:numPr>
        <w:spacing w:after="160" w:line="259" w:lineRule="auto"/>
        <w:ind w:left="360"/>
        <w:contextualSpacing/>
        <w:rPr>
          <w:b/>
          <w:noProof/>
        </w:rPr>
      </w:pPr>
      <w:r>
        <w:rPr>
          <w:b/>
          <w:noProof/>
        </w:rPr>
        <w:t xml:space="preserve">In your opinion, in the context of the creation of a European ICT security certification Framework what role the EU Agencies (such as ENISA) might have at the operational level (e.g. Identifying needs, cooperation, coordination, alerting)? </w:t>
      </w:r>
    </w:p>
    <w:p w:rsidR="00913429" w:rsidRDefault="00913429">
      <w:pPr>
        <w:spacing w:after="160" w:line="259" w:lineRule="auto"/>
        <w:contextualSpacing/>
        <w:rPr>
          <w:b/>
          <w:noProof/>
        </w:rPr>
      </w:pPr>
    </w:p>
    <w:p w:rsidR="00913429" w:rsidRDefault="00E143F0">
      <w:pPr>
        <w:pStyle w:val="ListParagraph"/>
        <w:numPr>
          <w:ilvl w:val="0"/>
          <w:numId w:val="107"/>
        </w:numPr>
        <w:spacing w:after="160" w:line="259" w:lineRule="auto"/>
        <w:rPr>
          <w:noProof/>
          <w:lang w:val="en-GB"/>
        </w:rPr>
      </w:pPr>
      <w:r>
        <w:rPr>
          <w:noProof/>
          <w:lang w:val="en-GB"/>
        </w:rPr>
        <w:t>Yes, all of th</w:t>
      </w:r>
      <w:r>
        <w:rPr>
          <w:noProof/>
          <w:lang w:val="en-GB"/>
        </w:rPr>
        <w:t>ose examples</w:t>
      </w:r>
    </w:p>
    <w:p w:rsidR="00913429" w:rsidRDefault="00E143F0">
      <w:pPr>
        <w:pStyle w:val="ListParagraph"/>
        <w:numPr>
          <w:ilvl w:val="0"/>
          <w:numId w:val="107"/>
        </w:numPr>
        <w:spacing w:after="160" w:line="259" w:lineRule="auto"/>
        <w:rPr>
          <w:noProof/>
          <w:lang w:val="en-GB"/>
        </w:rPr>
      </w:pPr>
      <w:r>
        <w:rPr>
          <w:noProof/>
          <w:lang w:val="en-GB"/>
        </w:rPr>
        <w:t>ENISA could help ICT vendors in Europe by deepening their mapping of available ICT security standards across the EU as well as other leading certifications (and/or industry led best practices), working to identify commonalies, overlap and oppo</w:t>
      </w:r>
      <w:r>
        <w:rPr>
          <w:noProof/>
          <w:lang w:val="en-GB"/>
        </w:rPr>
        <w:t>rtunities for harmonization. ENISA is currently not set up to play an operational role and/or to advise on the implementation of particular certification frameworks.</w:t>
      </w:r>
    </w:p>
    <w:p w:rsidR="00913429" w:rsidRDefault="00E143F0">
      <w:pPr>
        <w:pStyle w:val="ListParagraph"/>
        <w:numPr>
          <w:ilvl w:val="0"/>
          <w:numId w:val="107"/>
        </w:numPr>
        <w:spacing w:after="160" w:line="259" w:lineRule="auto"/>
        <w:rPr>
          <w:noProof/>
          <w:lang w:val="en-GB"/>
        </w:rPr>
      </w:pPr>
      <w:r>
        <w:rPr>
          <w:noProof/>
          <w:lang w:val="en-GB"/>
        </w:rPr>
        <w:t>Co-ordination, information sharing</w:t>
      </w:r>
    </w:p>
    <w:p w:rsidR="00913429" w:rsidRDefault="00E143F0">
      <w:pPr>
        <w:pStyle w:val="ListParagraph"/>
        <w:numPr>
          <w:ilvl w:val="0"/>
          <w:numId w:val="107"/>
        </w:numPr>
        <w:spacing w:after="160" w:line="259" w:lineRule="auto"/>
        <w:rPr>
          <w:noProof/>
          <w:lang w:val="en-GB"/>
        </w:rPr>
      </w:pPr>
      <w:r>
        <w:rPr>
          <w:noProof/>
          <w:lang w:val="en-GB"/>
        </w:rPr>
        <w:t>ENISA could be a registration office for all new applic</w:t>
      </w:r>
      <w:r>
        <w:rPr>
          <w:noProof/>
          <w:lang w:val="en-GB"/>
        </w:rPr>
        <w:t>able certification schemes and standards depending on a specific market segmentation. Given its neutrality and independency, the European Union could be devolved the role of managing a potential labelling scheme for cybersecurity once certification schemes</w:t>
      </w:r>
      <w:r>
        <w:rPr>
          <w:noProof/>
          <w:lang w:val="en-GB"/>
        </w:rPr>
        <w:t xml:space="preserve"> have been put in place.</w:t>
      </w:r>
    </w:p>
    <w:p w:rsidR="00913429" w:rsidRDefault="00E143F0">
      <w:pPr>
        <w:pStyle w:val="ListParagraph"/>
        <w:numPr>
          <w:ilvl w:val="0"/>
          <w:numId w:val="107"/>
        </w:numPr>
        <w:spacing w:after="160" w:line="259" w:lineRule="auto"/>
        <w:rPr>
          <w:noProof/>
          <w:lang w:val="en-GB"/>
        </w:rPr>
      </w:pPr>
      <w:r>
        <w:rPr>
          <w:noProof/>
          <w:lang w:val="en-GB"/>
        </w:rPr>
        <w:t>guarantee the skills of the different national certification scheme</w:t>
      </w:r>
    </w:p>
    <w:p w:rsidR="00913429" w:rsidRDefault="00E143F0">
      <w:pPr>
        <w:pStyle w:val="ListParagraph"/>
        <w:numPr>
          <w:ilvl w:val="0"/>
          <w:numId w:val="107"/>
        </w:numPr>
        <w:spacing w:after="160" w:line="259" w:lineRule="auto"/>
        <w:rPr>
          <w:noProof/>
          <w:lang w:val="en-GB"/>
        </w:rPr>
      </w:pPr>
      <w:r>
        <w:rPr>
          <w:noProof/>
          <w:lang w:val="en-GB"/>
        </w:rPr>
        <w:t>ENISA should be involved in CERT for ICT</w:t>
      </w:r>
    </w:p>
    <w:p w:rsidR="00913429" w:rsidRDefault="00E143F0">
      <w:pPr>
        <w:pStyle w:val="ListParagraph"/>
        <w:numPr>
          <w:ilvl w:val="0"/>
          <w:numId w:val="107"/>
        </w:numPr>
        <w:spacing w:after="160" w:line="259" w:lineRule="auto"/>
        <w:rPr>
          <w:noProof/>
          <w:lang w:val="en-GB"/>
        </w:rPr>
      </w:pPr>
      <w:r>
        <w:rPr>
          <w:noProof/>
          <w:lang w:val="en-GB"/>
        </w:rPr>
        <w:t>Promoting the security evaluation scheme, Providing market analysis, Funding security evaluations when ICT products or ser</w:t>
      </w:r>
      <w:r>
        <w:rPr>
          <w:noProof/>
          <w:lang w:val="en-GB"/>
        </w:rPr>
        <w:t>vices are use by the EU</w:t>
      </w:r>
    </w:p>
    <w:p w:rsidR="00913429" w:rsidRDefault="00E143F0">
      <w:pPr>
        <w:pStyle w:val="ListParagraph"/>
        <w:numPr>
          <w:ilvl w:val="0"/>
          <w:numId w:val="107"/>
        </w:numPr>
        <w:spacing w:after="160" w:line="259" w:lineRule="auto"/>
        <w:rPr>
          <w:noProof/>
          <w:lang w:val="en-GB"/>
        </w:rPr>
      </w:pPr>
      <w:r>
        <w:rPr>
          <w:noProof/>
          <w:lang w:val="en-GB"/>
        </w:rPr>
        <w:t>Identifying needs through technology watch, ensuring the interoperability of the framework (very improtant), update the procedures/methodologies, maintain the list of certified products/services</w:t>
      </w:r>
    </w:p>
    <w:p w:rsidR="00913429" w:rsidRDefault="00E143F0">
      <w:pPr>
        <w:pStyle w:val="ListParagraph"/>
        <w:numPr>
          <w:ilvl w:val="0"/>
          <w:numId w:val="107"/>
        </w:numPr>
        <w:spacing w:after="160" w:line="259" w:lineRule="auto"/>
        <w:rPr>
          <w:noProof/>
          <w:lang w:val="en-GB"/>
        </w:rPr>
      </w:pPr>
      <w:r>
        <w:rPr>
          <w:noProof/>
          <w:lang w:val="en-GB"/>
        </w:rPr>
        <w:t>Coordination</w:t>
      </w:r>
    </w:p>
    <w:p w:rsidR="00913429" w:rsidRDefault="00E143F0">
      <w:pPr>
        <w:pStyle w:val="ListParagraph"/>
        <w:numPr>
          <w:ilvl w:val="0"/>
          <w:numId w:val="107"/>
        </w:numPr>
        <w:spacing w:after="160" w:line="259" w:lineRule="auto"/>
        <w:rPr>
          <w:noProof/>
          <w:lang w:val="en-GB"/>
        </w:rPr>
      </w:pPr>
      <w:r>
        <w:rPr>
          <w:noProof/>
          <w:lang w:val="en-GB"/>
        </w:rPr>
        <w:t>Verification, audits and</w:t>
      </w:r>
      <w:r>
        <w:rPr>
          <w:noProof/>
          <w:lang w:val="en-GB"/>
        </w:rPr>
        <w:t xml:space="preserve"> validation.</w:t>
      </w:r>
    </w:p>
    <w:p w:rsidR="00913429" w:rsidRDefault="00E143F0">
      <w:pPr>
        <w:pStyle w:val="ListParagraph"/>
        <w:numPr>
          <w:ilvl w:val="0"/>
          <w:numId w:val="107"/>
        </w:numPr>
        <w:spacing w:after="160" w:line="259" w:lineRule="auto"/>
        <w:rPr>
          <w:noProof/>
          <w:lang w:val="en-GB"/>
        </w:rPr>
      </w:pPr>
      <w:r>
        <w:rPr>
          <w:noProof/>
          <w:lang w:val="en-GB"/>
        </w:rPr>
        <w:t>Analyse the market and the situation in different MS and provide support and/or encourage them to share and reuse best practices.</w:t>
      </w:r>
    </w:p>
    <w:p w:rsidR="00913429" w:rsidRDefault="00E143F0">
      <w:pPr>
        <w:pStyle w:val="ListParagraph"/>
        <w:numPr>
          <w:ilvl w:val="0"/>
          <w:numId w:val="107"/>
        </w:numPr>
        <w:spacing w:after="160" w:line="259" w:lineRule="auto"/>
        <w:rPr>
          <w:noProof/>
          <w:lang w:val="en-GB"/>
        </w:rPr>
      </w:pPr>
      <w:r>
        <w:rPr>
          <w:noProof/>
          <w:lang w:val="en-GB"/>
        </w:rPr>
        <w:t>Coordinating and Guarantee of fair behavior</w:t>
      </w:r>
    </w:p>
    <w:p w:rsidR="00913429" w:rsidRDefault="00E143F0">
      <w:pPr>
        <w:pStyle w:val="ListParagraph"/>
        <w:numPr>
          <w:ilvl w:val="0"/>
          <w:numId w:val="107"/>
        </w:numPr>
        <w:spacing w:after="160" w:line="259" w:lineRule="auto"/>
        <w:rPr>
          <w:noProof/>
          <w:lang w:val="en-GB"/>
        </w:rPr>
      </w:pPr>
      <w:r>
        <w:rPr>
          <w:noProof/>
          <w:lang w:val="en-GB"/>
        </w:rPr>
        <w:t>identifying needs, coordination, supervision</w:t>
      </w:r>
    </w:p>
    <w:p w:rsidR="00913429" w:rsidRDefault="00E143F0">
      <w:pPr>
        <w:pStyle w:val="ListParagraph"/>
        <w:numPr>
          <w:ilvl w:val="0"/>
          <w:numId w:val="107"/>
        </w:numPr>
        <w:spacing w:after="160" w:line="259" w:lineRule="auto"/>
        <w:rPr>
          <w:noProof/>
          <w:lang w:val="en-GB"/>
        </w:rPr>
      </w:pPr>
      <w:r>
        <w:rPr>
          <w:noProof/>
          <w:lang w:val="en-GB"/>
        </w:rPr>
        <w:t>Merge with SOG_IS and ma</w:t>
      </w:r>
      <w:r>
        <w:rPr>
          <w:noProof/>
          <w:lang w:val="en-GB"/>
        </w:rPr>
        <w:t>nage EU wide valid PPs for minimum security requirements</w:t>
      </w:r>
    </w:p>
    <w:p w:rsidR="00913429" w:rsidRDefault="00E143F0">
      <w:pPr>
        <w:pStyle w:val="ListParagraph"/>
        <w:numPr>
          <w:ilvl w:val="0"/>
          <w:numId w:val="107"/>
        </w:numPr>
        <w:spacing w:after="360" w:line="259" w:lineRule="auto"/>
        <w:rPr>
          <w:noProof/>
          <w:lang w:val="en-GB"/>
        </w:rPr>
      </w:pPr>
      <w:r>
        <w:rPr>
          <w:noProof/>
          <w:lang w:val="en-GB"/>
        </w:rPr>
        <w:t>Identifying needs and define and plan focus areas. Drive international cooperation</w:t>
      </w:r>
    </w:p>
    <w:p w:rsidR="00913429" w:rsidRDefault="00E143F0">
      <w:pPr>
        <w:spacing w:after="360" w:line="259" w:lineRule="auto"/>
        <w:rPr>
          <w:b/>
          <w:noProof/>
        </w:rPr>
      </w:pPr>
      <w:r>
        <w:rPr>
          <w:b/>
          <w:noProof/>
        </w:rPr>
        <w:t>16.</w:t>
      </w:r>
      <w:r>
        <w:rPr>
          <w:b/>
          <w:noProof/>
        </w:rPr>
        <w:tab/>
        <w:t>How likely do you think a European ICT security certification Framework would produce the following benefits?</w:t>
      </w:r>
    </w:p>
    <w:p w:rsidR="00913429" w:rsidRDefault="00E143F0">
      <w:pPr>
        <w:pStyle w:val="ListParagraph"/>
        <w:numPr>
          <w:ilvl w:val="0"/>
          <w:numId w:val="108"/>
        </w:numPr>
        <w:spacing w:after="0" w:line="259" w:lineRule="auto"/>
        <w:rPr>
          <w:b/>
          <w:noProof/>
          <w:lang w:val="en-GB"/>
        </w:rPr>
      </w:pPr>
      <w:r>
        <w:rPr>
          <w:b/>
          <w:noProof/>
          <w:lang w:val="en-GB"/>
        </w:rPr>
        <w:t>higher consumer trust in the security properties of the product/service</w:t>
      </w:r>
    </w:p>
    <w:p w:rsidR="00913429" w:rsidRDefault="00E143F0">
      <w:pPr>
        <w:spacing w:after="160" w:line="259" w:lineRule="auto"/>
        <w:rPr>
          <w:noProof/>
        </w:rPr>
      </w:pPr>
      <w:r>
        <w:rPr>
          <w:rFonts w:cs="Georgia"/>
          <w:b/>
          <w:noProof/>
          <w:color w:val="000000"/>
          <w:lang w:eastAsia="en-GB"/>
        </w:rPr>
        <w:drawing>
          <wp:inline distT="0" distB="0" distL="0" distR="0" wp14:anchorId="4F4AF205" wp14:editId="093397BD">
            <wp:extent cx="6107430" cy="3069203"/>
            <wp:effectExtent l="0" t="0" r="762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913429" w:rsidRDefault="00E143F0">
      <w:pPr>
        <w:pStyle w:val="ListParagraph"/>
        <w:numPr>
          <w:ilvl w:val="0"/>
          <w:numId w:val="108"/>
        </w:numPr>
        <w:spacing w:after="160" w:line="259" w:lineRule="auto"/>
        <w:rPr>
          <w:b/>
          <w:noProof/>
          <w:lang w:val="en-GB"/>
        </w:rPr>
      </w:pPr>
      <w:r>
        <w:rPr>
          <w:b/>
          <w:noProof/>
          <w:lang w:val="en-GB"/>
        </w:rPr>
        <w:t>higher number of certified/labelled products/services</w:t>
      </w:r>
    </w:p>
    <w:p w:rsidR="00913429" w:rsidRDefault="00E143F0">
      <w:pPr>
        <w:spacing w:after="160" w:line="259" w:lineRule="auto"/>
        <w:rPr>
          <w:b/>
          <w:noProof/>
        </w:rPr>
      </w:pPr>
      <w:r>
        <w:rPr>
          <w:rFonts w:cs="Georgia"/>
          <w:b/>
          <w:noProof/>
          <w:color w:val="000000"/>
          <w:lang w:eastAsia="en-GB"/>
        </w:rPr>
        <w:drawing>
          <wp:inline distT="0" distB="0" distL="0" distR="0" wp14:anchorId="1B50F30C" wp14:editId="0B88CE7B">
            <wp:extent cx="6107430" cy="3124863"/>
            <wp:effectExtent l="0" t="0" r="7620" b="0"/>
            <wp:docPr id="224" name="Chart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913429" w:rsidRDefault="00913429">
      <w:pPr>
        <w:spacing w:after="0"/>
        <w:rPr>
          <w:rFonts w:cs="Georgia"/>
          <w:b/>
          <w:noProof/>
          <w:color w:val="000000"/>
          <w:lang w:eastAsia="it-IT"/>
        </w:rPr>
      </w:pPr>
    </w:p>
    <w:p w:rsidR="00913429" w:rsidRDefault="00E143F0">
      <w:pPr>
        <w:pStyle w:val="ListParagraph"/>
        <w:numPr>
          <w:ilvl w:val="0"/>
          <w:numId w:val="108"/>
        </w:numPr>
        <w:spacing w:after="0"/>
        <w:rPr>
          <w:rFonts w:cs="Georgia"/>
          <w:b/>
          <w:noProof/>
          <w:color w:val="000000"/>
          <w:lang w:val="en-GB" w:eastAsia="it-IT"/>
        </w:rPr>
      </w:pPr>
      <w:r>
        <w:rPr>
          <w:rFonts w:cs="Georgia"/>
          <w:b/>
          <w:noProof/>
          <w:color w:val="000000"/>
          <w:lang w:val="en-GB" w:eastAsia="it-IT"/>
        </w:rPr>
        <w:t>lower time and cost of certification/labelling</w:t>
      </w:r>
    </w:p>
    <w:p w:rsidR="00913429" w:rsidRDefault="00913429">
      <w:pPr>
        <w:spacing w:after="0"/>
        <w:rPr>
          <w:rFonts w:cs="Georgia"/>
          <w:b/>
          <w:noProof/>
          <w:color w:val="000000"/>
          <w:lang w:eastAsia="it-IT"/>
        </w:rPr>
      </w:pPr>
    </w:p>
    <w:p w:rsidR="00913429" w:rsidRDefault="00E143F0">
      <w:pPr>
        <w:spacing w:after="0"/>
        <w:rPr>
          <w:rFonts w:cs="Georgia"/>
          <w:b/>
          <w:noProof/>
          <w:color w:val="000000"/>
          <w:lang w:eastAsia="it-IT"/>
        </w:rPr>
      </w:pPr>
      <w:r>
        <w:rPr>
          <w:rFonts w:cs="Georgia"/>
          <w:b/>
          <w:noProof/>
          <w:color w:val="000000"/>
          <w:lang w:eastAsia="en-GB"/>
        </w:rPr>
        <w:drawing>
          <wp:inline distT="0" distB="0" distL="0" distR="0" wp14:anchorId="1A66043A" wp14:editId="56BCD9BE">
            <wp:extent cx="6107430" cy="3387090"/>
            <wp:effectExtent l="0" t="0" r="7620" b="3810"/>
            <wp:docPr id="225" name="Chart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913429" w:rsidRDefault="00913429">
      <w:pPr>
        <w:spacing w:after="0"/>
        <w:rPr>
          <w:rFonts w:cs="Georgia"/>
          <w:b/>
          <w:noProof/>
          <w:color w:val="000000"/>
          <w:lang w:eastAsia="it-IT"/>
        </w:rPr>
      </w:pPr>
    </w:p>
    <w:p w:rsidR="00913429" w:rsidRDefault="00E143F0">
      <w:pPr>
        <w:pStyle w:val="ListParagraph"/>
        <w:numPr>
          <w:ilvl w:val="0"/>
          <w:numId w:val="108"/>
        </w:numPr>
        <w:spacing w:after="0"/>
        <w:rPr>
          <w:rFonts w:cs="Georgia"/>
          <w:b/>
          <w:noProof/>
          <w:color w:val="000000"/>
          <w:lang w:val="en-GB" w:eastAsia="it-IT"/>
        </w:rPr>
      </w:pPr>
      <w:r>
        <w:rPr>
          <w:rFonts w:cs="Georgia"/>
          <w:b/>
          <w:noProof/>
          <w:color w:val="000000"/>
          <w:lang w:val="en-GB" w:eastAsia="it-IT"/>
        </w:rPr>
        <w:t>reduction/elimination of fragmentation (meant as the existence of multiple</w:t>
      </w:r>
      <w:r>
        <w:rPr>
          <w:rFonts w:cs="Georgia"/>
          <w:b/>
          <w:noProof/>
          <w:color w:val="000000"/>
          <w:lang w:val="en-GB" w:eastAsia="it-IT"/>
        </w:rPr>
        <w:t xml:space="preserve"> national and sectorial certification schemes not mutually recognised)</w:t>
      </w:r>
    </w:p>
    <w:p w:rsidR="00913429" w:rsidRDefault="00913429">
      <w:pPr>
        <w:spacing w:after="0"/>
        <w:rPr>
          <w:rFonts w:cs="Georgia"/>
          <w:b/>
          <w:noProof/>
          <w:color w:val="000000"/>
          <w:lang w:eastAsia="it-IT"/>
        </w:rPr>
      </w:pPr>
    </w:p>
    <w:p w:rsidR="00913429" w:rsidRDefault="00E143F0">
      <w:pPr>
        <w:spacing w:after="0"/>
        <w:rPr>
          <w:rFonts w:cs="Georgia"/>
          <w:b/>
          <w:noProof/>
          <w:color w:val="000000"/>
          <w:lang w:eastAsia="it-IT"/>
        </w:rPr>
      </w:pPr>
      <w:r>
        <w:rPr>
          <w:rFonts w:cs="Georgia"/>
          <w:b/>
          <w:noProof/>
          <w:color w:val="000000"/>
          <w:lang w:eastAsia="en-GB"/>
        </w:rPr>
        <w:drawing>
          <wp:inline distT="0" distB="0" distL="0" distR="0" wp14:anchorId="25FA4277" wp14:editId="0CD48D0D">
            <wp:extent cx="6107430" cy="3387090"/>
            <wp:effectExtent l="0" t="0" r="7620" b="3810"/>
            <wp:docPr id="226" name="Chart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913429" w:rsidRDefault="00913429">
      <w:pPr>
        <w:spacing w:after="0"/>
        <w:rPr>
          <w:rFonts w:cs="Georgia"/>
          <w:b/>
          <w:noProof/>
          <w:color w:val="000000"/>
          <w:lang w:eastAsia="it-IT"/>
        </w:rPr>
      </w:pPr>
    </w:p>
    <w:p w:rsidR="00913429" w:rsidRDefault="00913429">
      <w:pPr>
        <w:spacing w:after="0"/>
        <w:rPr>
          <w:rFonts w:cs="Georgia"/>
          <w:b/>
          <w:noProof/>
          <w:color w:val="000000"/>
          <w:lang w:eastAsia="it-IT"/>
        </w:rPr>
      </w:pPr>
    </w:p>
    <w:p w:rsidR="00913429" w:rsidRDefault="00913429">
      <w:pPr>
        <w:spacing w:after="0"/>
        <w:rPr>
          <w:rFonts w:cs="Georgia"/>
          <w:b/>
          <w:noProof/>
          <w:color w:val="000000"/>
          <w:lang w:eastAsia="it-IT"/>
        </w:rPr>
      </w:pPr>
    </w:p>
    <w:p w:rsidR="00913429" w:rsidRDefault="00E143F0">
      <w:pPr>
        <w:pStyle w:val="Heading4"/>
        <w:rPr>
          <w:b/>
          <w:noProof/>
          <w:lang w:eastAsia="it-IT"/>
        </w:rPr>
      </w:pPr>
      <w:r>
        <w:rPr>
          <w:b/>
          <w:noProof/>
          <w:lang w:eastAsia="it-IT"/>
        </w:rPr>
        <w:t>Analysis</w:t>
      </w:r>
    </w:p>
    <w:p w:rsidR="00913429" w:rsidRDefault="00913429">
      <w:pPr>
        <w:pStyle w:val="BodyText"/>
        <w:rPr>
          <w:noProof/>
          <w:lang w:eastAsia="it-IT"/>
        </w:rPr>
      </w:pPr>
    </w:p>
    <w:p w:rsidR="00913429" w:rsidRDefault="00E143F0">
      <w:pPr>
        <w:jc w:val="both"/>
        <w:rPr>
          <w:noProof/>
        </w:rPr>
      </w:pPr>
      <w:r>
        <w:rPr>
          <w:noProof/>
        </w:rPr>
        <w:t>The online Questionnaire has been broadly publicised sending email to selected and impacted stakeholders, albeit within the confined certification community, and contact</w:t>
      </w:r>
      <w:r>
        <w:rPr>
          <w:noProof/>
        </w:rPr>
        <w:t xml:space="preserve">ing representatives of impacted organisations during events and workshop. To facilitate the presentation of the results, the survey questions have been grouped across four thematic areas, namely: </w:t>
      </w:r>
    </w:p>
    <w:p w:rsidR="00913429" w:rsidRDefault="00E143F0">
      <w:pPr>
        <w:pStyle w:val="ListParagraph"/>
        <w:numPr>
          <w:ilvl w:val="0"/>
          <w:numId w:val="109"/>
        </w:numPr>
        <w:spacing w:before="0" w:after="200"/>
        <w:rPr>
          <w:noProof/>
          <w:lang w:val="en-GB"/>
        </w:rPr>
      </w:pPr>
      <w:r>
        <w:rPr>
          <w:b/>
          <w:noProof/>
          <w:lang w:val="en-GB"/>
        </w:rPr>
        <w:t>Consumer Trust &amp; Labelling</w:t>
      </w:r>
      <w:r>
        <w:rPr>
          <w:noProof/>
          <w:lang w:val="en-GB"/>
        </w:rPr>
        <w:t xml:space="preserve"> comprising of questions 1, 2, 3 </w:t>
      </w:r>
      <w:r>
        <w:rPr>
          <w:noProof/>
          <w:lang w:val="en-GB"/>
        </w:rPr>
        <w:t>and 4</w:t>
      </w:r>
    </w:p>
    <w:p w:rsidR="00913429" w:rsidRDefault="00E143F0">
      <w:pPr>
        <w:pStyle w:val="ListParagraph"/>
        <w:numPr>
          <w:ilvl w:val="0"/>
          <w:numId w:val="109"/>
        </w:numPr>
        <w:spacing w:before="0" w:after="200"/>
        <w:rPr>
          <w:noProof/>
          <w:lang w:val="en-GB"/>
        </w:rPr>
      </w:pPr>
      <w:r>
        <w:rPr>
          <w:b/>
          <w:noProof/>
          <w:lang w:val="en-GB"/>
        </w:rPr>
        <w:t>Time/Costs for Certifying/Labelling</w:t>
      </w:r>
      <w:r>
        <w:rPr>
          <w:noProof/>
          <w:lang w:val="en-GB"/>
        </w:rPr>
        <w:t xml:space="preserve"> comprising of questions 5, 6, 7.1, 8.1</w:t>
      </w:r>
    </w:p>
    <w:p w:rsidR="00913429" w:rsidRDefault="00E143F0">
      <w:pPr>
        <w:pStyle w:val="ListParagraph"/>
        <w:numPr>
          <w:ilvl w:val="0"/>
          <w:numId w:val="109"/>
        </w:numPr>
        <w:spacing w:before="0" w:after="200"/>
        <w:rPr>
          <w:noProof/>
          <w:lang w:val="en-GB"/>
        </w:rPr>
      </w:pPr>
      <w:r>
        <w:rPr>
          <w:b/>
          <w:noProof/>
          <w:lang w:val="en-GB"/>
        </w:rPr>
        <w:t>Fragmentation</w:t>
      </w:r>
      <w:r>
        <w:rPr>
          <w:noProof/>
          <w:lang w:val="en-GB"/>
        </w:rPr>
        <w:t xml:space="preserve"> comprising of questions 7, 8 9, 10, 11 and 12</w:t>
      </w:r>
    </w:p>
    <w:p w:rsidR="00913429" w:rsidRDefault="00E143F0">
      <w:pPr>
        <w:pStyle w:val="ListParagraph"/>
        <w:numPr>
          <w:ilvl w:val="0"/>
          <w:numId w:val="109"/>
        </w:numPr>
        <w:spacing w:before="0" w:after="360"/>
        <w:rPr>
          <w:noProof/>
          <w:lang w:val="en-GB"/>
        </w:rPr>
      </w:pPr>
      <w:r>
        <w:rPr>
          <w:b/>
          <w:noProof/>
          <w:lang w:val="en-GB"/>
        </w:rPr>
        <w:t>Policy Options and envisioned features</w:t>
      </w:r>
      <w:r>
        <w:rPr>
          <w:noProof/>
          <w:lang w:val="en-GB"/>
        </w:rPr>
        <w:t xml:space="preserve"> comprising of questions 13 through to 16</w:t>
      </w:r>
    </w:p>
    <w:p w:rsidR="00913429" w:rsidRDefault="00E143F0">
      <w:pPr>
        <w:spacing w:after="200"/>
        <w:rPr>
          <w:b/>
          <w:noProof/>
        </w:rPr>
      </w:pPr>
      <w:r>
        <w:rPr>
          <w:noProof/>
        </w:rPr>
        <w:t xml:space="preserve"> </w:t>
      </w:r>
      <w:r>
        <w:rPr>
          <w:b/>
          <w:noProof/>
        </w:rPr>
        <w:t xml:space="preserve">Consumer Trust &amp; Labelling </w:t>
      </w:r>
    </w:p>
    <w:p w:rsidR="00913429" w:rsidRDefault="00E143F0">
      <w:pPr>
        <w:jc w:val="both"/>
        <w:rPr>
          <w:noProof/>
        </w:rPr>
      </w:pPr>
      <w:r>
        <w:rPr>
          <w:noProof/>
        </w:rPr>
        <w:t xml:space="preserve">In order to increase consumer trust and confidence in ICT products, </w:t>
      </w:r>
      <w:r>
        <w:rPr>
          <w:b/>
          <w:noProof/>
        </w:rPr>
        <w:t>50%</w:t>
      </w:r>
      <w:r>
        <w:rPr>
          <w:noProof/>
        </w:rPr>
        <w:t xml:space="preserve"> of questionnaire participants agreed on the necessity to </w:t>
      </w:r>
      <w:r>
        <w:rPr>
          <w:i/>
          <w:noProof/>
        </w:rPr>
        <w:t>adopt a certification and labelling scheme</w:t>
      </w:r>
      <w:r>
        <w:rPr>
          <w:noProof/>
        </w:rPr>
        <w:t xml:space="preserve"> allowing customers to compare in an informed way which products offer the highest le</w:t>
      </w:r>
      <w:r>
        <w:rPr>
          <w:noProof/>
        </w:rPr>
        <w:t>vel of security. A smaller percentage, 23,08%, of the respondents indicated the answer “Other” as the best policy/strategy option to follow, providing, for example, the following assertions:</w:t>
      </w:r>
    </w:p>
    <w:p w:rsidR="00913429" w:rsidRDefault="00E143F0">
      <w:pPr>
        <w:pStyle w:val="ListParagraph"/>
        <w:numPr>
          <w:ilvl w:val="0"/>
          <w:numId w:val="114"/>
        </w:numPr>
        <w:spacing w:after="200"/>
        <w:jc w:val="both"/>
        <w:rPr>
          <w:b/>
          <w:noProof/>
          <w:lang w:val="en-GB"/>
        </w:rPr>
      </w:pPr>
      <w:r>
        <w:rPr>
          <w:noProof/>
          <w:lang w:val="en-GB"/>
        </w:rPr>
        <w:t>Hard-law approach translating IT security Requirements in Protect</w:t>
      </w:r>
      <w:r>
        <w:rPr>
          <w:noProof/>
          <w:lang w:val="en-GB"/>
        </w:rPr>
        <w:t>ion Profiles supporting CC evaluation/certification plus financial incentives to vendors encouraging them to certify their IT products/system and maintain the certfications through time</w:t>
      </w:r>
    </w:p>
    <w:p w:rsidR="00913429" w:rsidRDefault="00E143F0">
      <w:pPr>
        <w:pStyle w:val="ListParagraph"/>
        <w:numPr>
          <w:ilvl w:val="0"/>
          <w:numId w:val="114"/>
        </w:numPr>
        <w:spacing w:after="200"/>
        <w:jc w:val="both"/>
        <w:rPr>
          <w:b/>
          <w:noProof/>
          <w:lang w:val="en-GB"/>
        </w:rPr>
      </w:pPr>
      <w:r>
        <w:rPr>
          <w:noProof/>
          <w:lang w:val="en-GB"/>
        </w:rPr>
        <w:t>A mix of policy/strategy options proposed would be the best strategy t</w:t>
      </w:r>
      <w:r>
        <w:rPr>
          <w:noProof/>
          <w:lang w:val="en-GB"/>
        </w:rPr>
        <w:t>o increase consumer trust and confidence</w:t>
      </w:r>
    </w:p>
    <w:p w:rsidR="00913429" w:rsidRDefault="00E143F0">
      <w:pPr>
        <w:pStyle w:val="ListParagraph"/>
        <w:numPr>
          <w:ilvl w:val="0"/>
          <w:numId w:val="114"/>
        </w:numPr>
        <w:jc w:val="both"/>
        <w:rPr>
          <w:noProof/>
          <w:lang w:val="en-GB"/>
        </w:rPr>
      </w:pPr>
      <w:r>
        <w:rPr>
          <w:noProof/>
          <w:lang w:val="en-GB"/>
        </w:rPr>
        <w:t>Industry-led best practices (with government input) on cybersecurity baselines. In addition, financial incentives and government procurement power could play helpful roles.</w:t>
      </w:r>
    </w:p>
    <w:p w:rsidR="00913429" w:rsidRDefault="00E143F0">
      <w:pPr>
        <w:spacing w:after="0" w:line="240" w:lineRule="auto"/>
        <w:jc w:val="both"/>
        <w:rPr>
          <w:rFonts w:cs="Georgia"/>
          <w:noProof/>
          <w:color w:val="000000"/>
          <w:lang w:eastAsia="it-IT"/>
        </w:rPr>
      </w:pPr>
      <w:r>
        <w:rPr>
          <w:rFonts w:cs="Georgia"/>
          <w:noProof/>
          <w:color w:val="000000"/>
          <w:lang w:eastAsia="it-IT"/>
        </w:rPr>
        <w:t>The majority of the questionnaire responde</w:t>
      </w:r>
      <w:r>
        <w:rPr>
          <w:rFonts w:cs="Georgia"/>
          <w:noProof/>
          <w:color w:val="000000"/>
          <w:lang w:eastAsia="it-IT"/>
        </w:rPr>
        <w:t xml:space="preserve">nts think that security labelling of ICT products/services is likely to impact consumers’ behaviours despite any price considerations.  Indeed, </w:t>
      </w:r>
      <w:r>
        <w:rPr>
          <w:rFonts w:cs="Georgia"/>
          <w:b/>
          <w:noProof/>
          <w:color w:val="000000"/>
          <w:lang w:eastAsia="it-IT"/>
        </w:rPr>
        <w:t>17,39%</w:t>
      </w:r>
      <w:r>
        <w:rPr>
          <w:rFonts w:cs="Georgia"/>
          <w:noProof/>
          <w:color w:val="000000"/>
          <w:lang w:eastAsia="it-IT"/>
        </w:rPr>
        <w:t xml:space="preserve"> of participants chosen the answer “</w:t>
      </w:r>
      <w:r>
        <w:rPr>
          <w:rFonts w:cs="Georgia"/>
          <w:i/>
          <w:noProof/>
          <w:color w:val="000000"/>
          <w:lang w:eastAsia="it-IT"/>
        </w:rPr>
        <w:t>Very likely</w:t>
      </w:r>
      <w:r>
        <w:rPr>
          <w:rFonts w:cs="Georgia"/>
          <w:noProof/>
          <w:color w:val="000000"/>
          <w:lang w:eastAsia="it-IT"/>
        </w:rPr>
        <w:t xml:space="preserve">” and </w:t>
      </w:r>
      <w:r>
        <w:rPr>
          <w:rFonts w:cs="Georgia"/>
          <w:b/>
          <w:noProof/>
          <w:color w:val="000000"/>
          <w:lang w:eastAsia="it-IT"/>
        </w:rPr>
        <w:t>43,48%</w:t>
      </w:r>
      <w:r>
        <w:rPr>
          <w:rFonts w:cs="Georgia"/>
          <w:noProof/>
          <w:color w:val="000000"/>
          <w:lang w:eastAsia="it-IT"/>
        </w:rPr>
        <w:t xml:space="preserve"> of respondents chosen the answer “</w:t>
      </w:r>
      <w:r>
        <w:rPr>
          <w:rFonts w:cs="Georgia"/>
          <w:i/>
          <w:noProof/>
          <w:color w:val="000000"/>
          <w:lang w:eastAsia="it-IT"/>
        </w:rPr>
        <w:t>Likely</w:t>
      </w:r>
      <w:r>
        <w:rPr>
          <w:rFonts w:cs="Georgia"/>
          <w:noProof/>
          <w:color w:val="000000"/>
          <w:lang w:eastAsia="it-IT"/>
        </w:rPr>
        <w:t>”. Mor</w:t>
      </w:r>
      <w:r>
        <w:rPr>
          <w:rFonts w:cs="Georgia"/>
          <w:noProof/>
          <w:color w:val="000000"/>
          <w:lang w:eastAsia="it-IT"/>
        </w:rPr>
        <w:t>eover, according to the large majority of respondents, consumer trust is likely to increase when certifications are performed according to security requirements set by third party entities as opposed to security requirements freely chosen by vendors.</w:t>
      </w:r>
    </w:p>
    <w:p w:rsidR="00913429" w:rsidRDefault="00913429">
      <w:pPr>
        <w:spacing w:after="0" w:line="240" w:lineRule="auto"/>
        <w:jc w:val="both"/>
        <w:rPr>
          <w:rFonts w:cs="Georgia"/>
          <w:noProof/>
          <w:color w:val="000000"/>
          <w:lang w:eastAsia="it-IT"/>
        </w:rPr>
      </w:pPr>
    </w:p>
    <w:p w:rsidR="00913429" w:rsidRDefault="00E143F0">
      <w:pPr>
        <w:spacing w:after="0" w:line="240" w:lineRule="auto"/>
        <w:jc w:val="both"/>
        <w:rPr>
          <w:rFonts w:cs="Georgia"/>
          <w:b/>
          <w:noProof/>
          <w:color w:val="000000"/>
          <w:lang w:eastAsia="it-IT"/>
        </w:rPr>
      </w:pPr>
      <w:r>
        <w:rPr>
          <w:rFonts w:cs="Georgia"/>
          <w:b/>
          <w:noProof/>
          <w:color w:val="000000"/>
          <w:lang w:eastAsia="it-IT"/>
        </w:rPr>
        <w:t>Time</w:t>
      </w:r>
      <w:r>
        <w:rPr>
          <w:rFonts w:cs="Georgia"/>
          <w:b/>
          <w:noProof/>
          <w:color w:val="000000"/>
          <w:lang w:eastAsia="it-IT"/>
        </w:rPr>
        <w:t xml:space="preserve">/Costs for Certifying/Labelling </w:t>
      </w:r>
    </w:p>
    <w:p w:rsidR="00913429" w:rsidRDefault="00913429">
      <w:pPr>
        <w:spacing w:after="0" w:line="240" w:lineRule="auto"/>
        <w:jc w:val="both"/>
        <w:rPr>
          <w:rFonts w:cs="Georgia"/>
          <w:b/>
          <w:noProof/>
          <w:color w:val="000000"/>
          <w:lang w:eastAsia="it-IT"/>
        </w:rPr>
      </w:pPr>
    </w:p>
    <w:p w:rsidR="00913429" w:rsidRDefault="00E143F0">
      <w:pPr>
        <w:spacing w:after="0" w:line="240" w:lineRule="auto"/>
        <w:jc w:val="both"/>
        <w:rPr>
          <w:rFonts w:cs="Georgia"/>
          <w:noProof/>
          <w:color w:val="000000"/>
          <w:lang w:eastAsia="it-IT"/>
        </w:rPr>
      </w:pPr>
      <w:r>
        <w:rPr>
          <w:rFonts w:cs="Georgia"/>
          <w:noProof/>
          <w:color w:val="000000"/>
          <w:lang w:eastAsia="it-IT"/>
        </w:rPr>
        <w:t>61,90% of questionnaire respondents indicated that the cost incurred for certifying an ICT service/product is between 10 thousand euros and 100 thousand euros. A smaller percentage, 19,05% answered that the cost incurred f</w:t>
      </w:r>
      <w:r>
        <w:rPr>
          <w:rFonts w:cs="Georgia"/>
          <w:noProof/>
          <w:color w:val="000000"/>
          <w:lang w:eastAsia="it-IT"/>
        </w:rPr>
        <w:t>or certifying an ICT service/product are between 100 thousand euros and 1 million euros and only 9,52% of respondents indicated as 1 million or plus the cost incurred for certification. To better understand the answers provided, many examples can be mentio</w:t>
      </w:r>
      <w:r>
        <w:rPr>
          <w:rFonts w:cs="Georgia"/>
          <w:noProof/>
          <w:color w:val="000000"/>
          <w:lang w:eastAsia="it-IT"/>
        </w:rPr>
        <w:t>ned according to the question 7.1:</w:t>
      </w:r>
    </w:p>
    <w:p w:rsidR="00913429" w:rsidRDefault="00E143F0">
      <w:pPr>
        <w:pStyle w:val="ListParagraph"/>
        <w:numPr>
          <w:ilvl w:val="0"/>
          <w:numId w:val="115"/>
        </w:numPr>
        <w:spacing w:after="0"/>
        <w:jc w:val="both"/>
        <w:rPr>
          <w:rFonts w:cs="Georgia"/>
          <w:noProof/>
          <w:color w:val="000000"/>
          <w:lang w:val="en-GB" w:eastAsia="it-IT"/>
        </w:rPr>
      </w:pPr>
      <w:r>
        <w:rPr>
          <w:rFonts w:cs="Georgia"/>
          <w:noProof/>
          <w:color w:val="000000"/>
          <w:lang w:val="en-GB" w:eastAsia="it-IT"/>
        </w:rPr>
        <w:t>25 thousand euros and 2 months</w:t>
      </w:r>
    </w:p>
    <w:p w:rsidR="00913429" w:rsidRDefault="00E143F0">
      <w:pPr>
        <w:pStyle w:val="ListParagraph"/>
        <w:numPr>
          <w:ilvl w:val="0"/>
          <w:numId w:val="115"/>
        </w:numPr>
        <w:spacing w:after="0"/>
        <w:jc w:val="both"/>
        <w:rPr>
          <w:rFonts w:cs="Georgia"/>
          <w:noProof/>
          <w:color w:val="000000"/>
          <w:lang w:val="en-GB" w:eastAsia="it-IT"/>
        </w:rPr>
      </w:pPr>
      <w:r>
        <w:rPr>
          <w:rFonts w:cs="Georgia"/>
          <w:noProof/>
          <w:color w:val="000000"/>
          <w:lang w:val="en-GB" w:eastAsia="it-IT"/>
        </w:rPr>
        <w:t>6 weeks, between 15 to 30 thousand euros</w:t>
      </w:r>
    </w:p>
    <w:p w:rsidR="00913429" w:rsidRDefault="00E143F0">
      <w:pPr>
        <w:pStyle w:val="ListParagraph"/>
        <w:numPr>
          <w:ilvl w:val="0"/>
          <w:numId w:val="115"/>
        </w:numPr>
        <w:spacing w:after="0"/>
        <w:jc w:val="both"/>
        <w:rPr>
          <w:rFonts w:cs="Georgia"/>
          <w:noProof/>
          <w:color w:val="000000"/>
          <w:lang w:val="en-GB" w:eastAsia="it-IT"/>
        </w:rPr>
      </w:pPr>
      <w:r>
        <w:rPr>
          <w:rFonts w:cs="Georgia"/>
          <w:noProof/>
          <w:color w:val="000000"/>
          <w:lang w:val="en-GB" w:eastAsia="it-IT"/>
        </w:rPr>
        <w:t>80 thousand euros and 4 months</w:t>
      </w:r>
    </w:p>
    <w:p w:rsidR="00913429" w:rsidRDefault="00E143F0">
      <w:pPr>
        <w:pStyle w:val="ListParagraph"/>
        <w:numPr>
          <w:ilvl w:val="0"/>
          <w:numId w:val="115"/>
        </w:numPr>
        <w:spacing w:after="0"/>
        <w:jc w:val="both"/>
        <w:rPr>
          <w:rFonts w:cs="Georgia"/>
          <w:noProof/>
          <w:color w:val="000000"/>
          <w:lang w:val="en-GB" w:eastAsia="it-IT"/>
        </w:rPr>
      </w:pPr>
      <w:r>
        <w:rPr>
          <w:rFonts w:cs="Georgia"/>
          <w:noProof/>
          <w:color w:val="000000"/>
          <w:lang w:val="en-GB" w:eastAsia="it-IT"/>
        </w:rPr>
        <w:t>1 million euros and 18 months</w:t>
      </w:r>
    </w:p>
    <w:p w:rsidR="00913429" w:rsidRDefault="00E143F0">
      <w:pPr>
        <w:pStyle w:val="ListParagraph"/>
        <w:numPr>
          <w:ilvl w:val="0"/>
          <w:numId w:val="115"/>
        </w:numPr>
        <w:spacing w:after="0"/>
        <w:jc w:val="both"/>
        <w:rPr>
          <w:rFonts w:cs="Georgia"/>
          <w:noProof/>
          <w:color w:val="000000"/>
          <w:lang w:val="en-GB" w:eastAsia="it-IT"/>
        </w:rPr>
      </w:pPr>
      <w:r>
        <w:rPr>
          <w:rFonts w:cs="Georgia"/>
          <w:noProof/>
          <w:color w:val="000000"/>
          <w:lang w:val="en-GB" w:eastAsia="it-IT"/>
        </w:rPr>
        <w:t>60 thousand euros</w:t>
      </w:r>
    </w:p>
    <w:p w:rsidR="00913429" w:rsidRDefault="00913429">
      <w:pPr>
        <w:pStyle w:val="ListParagraph"/>
        <w:spacing w:after="0"/>
        <w:jc w:val="both"/>
        <w:rPr>
          <w:rFonts w:cs="Georgia"/>
          <w:noProof/>
          <w:color w:val="000000"/>
          <w:lang w:val="en-GB" w:eastAsia="it-IT"/>
        </w:rPr>
      </w:pPr>
    </w:p>
    <w:p w:rsidR="00913429" w:rsidRDefault="00E143F0">
      <w:pPr>
        <w:spacing w:after="0" w:line="240" w:lineRule="auto"/>
        <w:jc w:val="both"/>
        <w:rPr>
          <w:rFonts w:cs="Georgia"/>
          <w:noProof/>
          <w:color w:val="000000"/>
          <w:lang w:eastAsia="it-IT"/>
        </w:rPr>
      </w:pPr>
      <w:r>
        <w:rPr>
          <w:rFonts w:cs="Georgia"/>
          <w:noProof/>
          <w:color w:val="000000"/>
          <w:lang w:eastAsia="it-IT"/>
        </w:rPr>
        <w:t xml:space="preserve">Looking at the answer provided by the respondents regarding time and </w:t>
      </w:r>
      <w:r>
        <w:rPr>
          <w:rFonts w:cs="Georgia"/>
          <w:noProof/>
          <w:color w:val="000000"/>
          <w:lang w:eastAsia="it-IT"/>
        </w:rPr>
        <w:t>cost of certification, it is necessary to distinguish the product/service that must be certified. In fact, time and cost depend entirely on the complexity of the product/service and the organizational structure. The same reasoning applies also to the costs</w:t>
      </w:r>
      <w:r>
        <w:rPr>
          <w:rFonts w:cs="Georgia"/>
          <w:noProof/>
          <w:color w:val="000000"/>
          <w:lang w:eastAsia="it-IT"/>
        </w:rPr>
        <w:t xml:space="preserve"> of labelling. Being labelling a process not yet widely used for ICT products, the questionnaire respondents have not been able to give many examples of labelling time and costs. The only two quantitative answers are:</w:t>
      </w:r>
    </w:p>
    <w:p w:rsidR="00913429" w:rsidRDefault="00E143F0">
      <w:pPr>
        <w:pStyle w:val="ListParagraph"/>
        <w:numPr>
          <w:ilvl w:val="0"/>
          <w:numId w:val="116"/>
        </w:numPr>
        <w:spacing w:after="0"/>
        <w:jc w:val="both"/>
        <w:rPr>
          <w:rFonts w:cs="Georgia"/>
          <w:noProof/>
          <w:color w:val="000000"/>
          <w:lang w:val="en-GB" w:eastAsia="it-IT"/>
        </w:rPr>
      </w:pPr>
      <w:r>
        <w:rPr>
          <w:rFonts w:cs="Georgia"/>
          <w:noProof/>
          <w:color w:val="000000"/>
          <w:lang w:val="en-GB" w:eastAsia="it-IT"/>
        </w:rPr>
        <w:t>300 thousand euros</w:t>
      </w:r>
    </w:p>
    <w:p w:rsidR="00913429" w:rsidRDefault="00E143F0">
      <w:pPr>
        <w:pStyle w:val="ListParagraph"/>
        <w:numPr>
          <w:ilvl w:val="0"/>
          <w:numId w:val="116"/>
        </w:numPr>
        <w:spacing w:after="0"/>
        <w:jc w:val="both"/>
        <w:rPr>
          <w:rFonts w:cs="Georgia"/>
          <w:noProof/>
          <w:color w:val="000000"/>
          <w:lang w:val="en-GB" w:eastAsia="it-IT"/>
        </w:rPr>
      </w:pPr>
      <w:r>
        <w:rPr>
          <w:rFonts w:cs="Georgia"/>
          <w:noProof/>
          <w:color w:val="000000"/>
          <w:lang w:val="en-GB" w:eastAsia="it-IT"/>
        </w:rPr>
        <w:t>60 thousand euros a</w:t>
      </w:r>
      <w:r>
        <w:rPr>
          <w:rFonts w:cs="Georgia"/>
          <w:noProof/>
          <w:color w:val="000000"/>
          <w:lang w:val="en-GB" w:eastAsia="it-IT"/>
        </w:rPr>
        <w:t>nd 3-5 months</w:t>
      </w:r>
    </w:p>
    <w:p w:rsidR="00913429" w:rsidRDefault="00913429">
      <w:pPr>
        <w:spacing w:after="0"/>
        <w:jc w:val="both"/>
        <w:rPr>
          <w:rFonts w:cs="Georgia"/>
          <w:noProof/>
          <w:color w:val="000000"/>
          <w:lang w:eastAsia="it-IT"/>
        </w:rPr>
      </w:pPr>
    </w:p>
    <w:p w:rsidR="00913429" w:rsidRDefault="00E143F0">
      <w:pPr>
        <w:spacing w:after="0"/>
        <w:jc w:val="both"/>
        <w:rPr>
          <w:b/>
          <w:noProof/>
        </w:rPr>
      </w:pPr>
      <w:r>
        <w:rPr>
          <w:b/>
          <w:noProof/>
        </w:rPr>
        <w:t>Fragmentation</w:t>
      </w:r>
    </w:p>
    <w:p w:rsidR="00913429" w:rsidRDefault="00913429">
      <w:pPr>
        <w:spacing w:after="0"/>
        <w:jc w:val="both"/>
        <w:rPr>
          <w:b/>
          <w:noProof/>
        </w:rPr>
      </w:pPr>
    </w:p>
    <w:p w:rsidR="00913429" w:rsidRDefault="00E143F0">
      <w:pPr>
        <w:spacing w:after="0"/>
        <w:jc w:val="both"/>
        <w:rPr>
          <w:rFonts w:cs="Georgia"/>
          <w:noProof/>
          <w:color w:val="000000"/>
          <w:lang w:eastAsia="it-IT"/>
        </w:rPr>
      </w:pPr>
      <w:r>
        <w:rPr>
          <w:rFonts w:cs="Georgia"/>
          <w:noProof/>
          <w:color w:val="000000"/>
          <w:lang w:eastAsia="it-IT"/>
        </w:rPr>
        <w:t>The issue of fragmentation is central to the study. Respondents gave many examples of ICT products that companies have to certify in order to access the market of an EU country. For example:</w:t>
      </w:r>
    </w:p>
    <w:p w:rsidR="00913429" w:rsidRDefault="00E143F0">
      <w:pPr>
        <w:pStyle w:val="ListParagraph"/>
        <w:numPr>
          <w:ilvl w:val="0"/>
          <w:numId w:val="117"/>
        </w:numPr>
        <w:spacing w:after="0"/>
        <w:jc w:val="both"/>
        <w:rPr>
          <w:rFonts w:cs="Georgia"/>
          <w:noProof/>
          <w:color w:val="000000"/>
          <w:lang w:val="en-GB" w:eastAsia="it-IT"/>
        </w:rPr>
      </w:pPr>
      <w:r>
        <w:rPr>
          <w:rFonts w:cs="Georgia"/>
          <w:noProof/>
          <w:color w:val="000000"/>
          <w:lang w:val="en-GB" w:eastAsia="it-IT"/>
        </w:rPr>
        <w:t>eID cards in Germany</w:t>
      </w:r>
    </w:p>
    <w:p w:rsidR="00913429" w:rsidRDefault="00E143F0">
      <w:pPr>
        <w:pStyle w:val="ListParagraph"/>
        <w:numPr>
          <w:ilvl w:val="0"/>
          <w:numId w:val="117"/>
        </w:numPr>
        <w:spacing w:after="0"/>
        <w:jc w:val="both"/>
        <w:rPr>
          <w:rFonts w:cs="Georgia"/>
          <w:noProof/>
          <w:color w:val="000000"/>
          <w:lang w:val="en-GB" w:eastAsia="it-IT"/>
        </w:rPr>
      </w:pPr>
      <w:r>
        <w:rPr>
          <w:rFonts w:cs="Georgia"/>
          <w:noProof/>
          <w:color w:val="000000"/>
          <w:lang w:val="en-GB" w:eastAsia="it-IT"/>
        </w:rPr>
        <w:t>Smart-metering</w:t>
      </w:r>
      <w:r>
        <w:rPr>
          <w:rFonts w:cs="Georgia"/>
          <w:noProof/>
          <w:color w:val="000000"/>
          <w:lang w:val="en-GB" w:eastAsia="it-IT"/>
        </w:rPr>
        <w:t xml:space="preserve"> devices</w:t>
      </w:r>
    </w:p>
    <w:p w:rsidR="00913429" w:rsidRDefault="00E143F0">
      <w:pPr>
        <w:pStyle w:val="ListParagraph"/>
        <w:numPr>
          <w:ilvl w:val="0"/>
          <w:numId w:val="117"/>
        </w:numPr>
        <w:spacing w:after="0"/>
        <w:jc w:val="both"/>
        <w:rPr>
          <w:rFonts w:cs="Georgia"/>
          <w:noProof/>
          <w:color w:val="000000"/>
          <w:lang w:val="en-GB" w:eastAsia="it-IT"/>
        </w:rPr>
      </w:pPr>
      <w:r>
        <w:rPr>
          <w:rFonts w:cs="Georgia"/>
          <w:noProof/>
          <w:color w:val="000000"/>
          <w:lang w:val="en-GB" w:eastAsia="it-IT"/>
        </w:rPr>
        <w:t>SIM cards</w:t>
      </w:r>
    </w:p>
    <w:p w:rsidR="00913429" w:rsidRDefault="00E143F0">
      <w:pPr>
        <w:pStyle w:val="ListParagraph"/>
        <w:numPr>
          <w:ilvl w:val="0"/>
          <w:numId w:val="117"/>
        </w:numPr>
        <w:spacing w:after="0"/>
        <w:jc w:val="both"/>
        <w:rPr>
          <w:rFonts w:cs="Georgia"/>
          <w:noProof/>
          <w:color w:val="000000"/>
          <w:lang w:val="en-GB" w:eastAsia="it-IT"/>
        </w:rPr>
      </w:pPr>
      <w:r>
        <w:rPr>
          <w:rFonts w:cs="Georgia"/>
          <w:noProof/>
          <w:color w:val="000000"/>
          <w:lang w:val="en-GB" w:eastAsia="it-IT"/>
        </w:rPr>
        <w:t>QSCD products</w:t>
      </w:r>
    </w:p>
    <w:p w:rsidR="00913429" w:rsidRDefault="00913429">
      <w:pPr>
        <w:spacing w:after="0" w:line="240" w:lineRule="auto"/>
        <w:jc w:val="both"/>
        <w:rPr>
          <w:rFonts w:cs="Georgia"/>
          <w:noProof/>
          <w:color w:val="000000"/>
          <w:lang w:eastAsia="it-IT"/>
        </w:rPr>
      </w:pPr>
    </w:p>
    <w:p w:rsidR="00913429" w:rsidRDefault="00E143F0">
      <w:pPr>
        <w:spacing w:after="0" w:line="240" w:lineRule="auto"/>
        <w:jc w:val="both"/>
        <w:rPr>
          <w:rFonts w:cs="Georgia"/>
          <w:noProof/>
          <w:color w:val="000000"/>
          <w:lang w:eastAsia="it-IT"/>
        </w:rPr>
      </w:pPr>
      <w:r>
        <w:rPr>
          <w:rFonts w:cs="Georgia"/>
          <w:noProof/>
          <w:color w:val="000000"/>
          <w:lang w:eastAsia="it-IT"/>
        </w:rPr>
        <w:t>In many cases, as widely argued within this Interim Report, additional certifications are requested in order to access to other EU countries For example:</w:t>
      </w:r>
    </w:p>
    <w:p w:rsidR="00913429" w:rsidRDefault="00E143F0">
      <w:pPr>
        <w:pStyle w:val="ListParagraph"/>
        <w:numPr>
          <w:ilvl w:val="0"/>
          <w:numId w:val="117"/>
        </w:numPr>
        <w:spacing w:after="0"/>
        <w:jc w:val="both"/>
        <w:rPr>
          <w:rFonts w:cs="Georgia"/>
          <w:noProof/>
          <w:color w:val="000000"/>
          <w:lang w:val="en-GB" w:eastAsia="it-IT"/>
        </w:rPr>
      </w:pPr>
      <w:r>
        <w:rPr>
          <w:rFonts w:cs="Georgia"/>
          <w:noProof/>
          <w:color w:val="000000"/>
          <w:lang w:val="en-GB" w:eastAsia="it-IT"/>
        </w:rPr>
        <w:t>CSPN</w:t>
      </w:r>
    </w:p>
    <w:p w:rsidR="00913429" w:rsidRDefault="00E143F0">
      <w:pPr>
        <w:pStyle w:val="ListParagraph"/>
        <w:numPr>
          <w:ilvl w:val="0"/>
          <w:numId w:val="117"/>
        </w:numPr>
        <w:spacing w:after="0"/>
        <w:jc w:val="both"/>
        <w:rPr>
          <w:rFonts w:cs="Georgia"/>
          <w:noProof/>
          <w:color w:val="000000"/>
          <w:lang w:val="en-GB" w:eastAsia="it-IT"/>
        </w:rPr>
      </w:pPr>
      <w:r>
        <w:rPr>
          <w:rFonts w:cs="Georgia"/>
          <w:noProof/>
          <w:color w:val="000000"/>
          <w:lang w:val="en-GB" w:eastAsia="it-IT"/>
        </w:rPr>
        <w:t>BSI German Scheme</w:t>
      </w:r>
    </w:p>
    <w:p w:rsidR="00913429" w:rsidRDefault="00913429">
      <w:pPr>
        <w:spacing w:after="0"/>
        <w:jc w:val="both"/>
        <w:rPr>
          <w:rFonts w:cs="Georgia"/>
          <w:noProof/>
          <w:color w:val="000000"/>
          <w:lang w:eastAsia="it-IT"/>
        </w:rPr>
      </w:pPr>
    </w:p>
    <w:p w:rsidR="00913429" w:rsidRDefault="00E143F0">
      <w:pPr>
        <w:spacing w:after="0"/>
        <w:jc w:val="both"/>
        <w:rPr>
          <w:rFonts w:cs="Georgia"/>
          <w:noProof/>
          <w:color w:val="000000"/>
          <w:lang w:eastAsia="it-IT"/>
        </w:rPr>
      </w:pPr>
      <w:r>
        <w:rPr>
          <w:rFonts w:cs="Georgia"/>
          <w:noProof/>
          <w:color w:val="000000"/>
          <w:lang w:eastAsia="it-IT"/>
        </w:rPr>
        <w:t>Many example were give for cases of national</w:t>
      </w:r>
      <w:r>
        <w:rPr>
          <w:rFonts w:cs="Georgia"/>
          <w:noProof/>
          <w:color w:val="000000"/>
          <w:lang w:eastAsia="it-IT"/>
        </w:rPr>
        <w:t xml:space="preserve"> procurement bids/practices restricting open competition in favour of mandatory national certifications. The respondents gave the following answers:</w:t>
      </w:r>
    </w:p>
    <w:p w:rsidR="00913429" w:rsidRDefault="00913429">
      <w:pPr>
        <w:spacing w:after="0"/>
        <w:jc w:val="both"/>
        <w:rPr>
          <w:rFonts w:cs="Georgia"/>
          <w:noProof/>
          <w:color w:val="000000"/>
          <w:lang w:eastAsia="it-IT"/>
        </w:rPr>
      </w:pPr>
    </w:p>
    <w:p w:rsidR="00913429" w:rsidRDefault="00E143F0">
      <w:pPr>
        <w:pStyle w:val="ListParagraph"/>
        <w:numPr>
          <w:ilvl w:val="0"/>
          <w:numId w:val="118"/>
        </w:numPr>
        <w:spacing w:after="0"/>
        <w:rPr>
          <w:rFonts w:cs="Georgia"/>
          <w:noProof/>
          <w:color w:val="000000"/>
          <w:lang w:val="en-GB" w:eastAsia="it-IT"/>
        </w:rPr>
      </w:pPr>
      <w:r>
        <w:rPr>
          <w:rFonts w:cs="Georgia"/>
          <w:noProof/>
          <w:color w:val="000000"/>
          <w:lang w:val="en-GB" w:eastAsia="it-IT"/>
        </w:rPr>
        <w:t>CSPN in France for Military applications for Electrical Distribution</w:t>
      </w:r>
    </w:p>
    <w:p w:rsidR="00913429" w:rsidRDefault="00E143F0">
      <w:pPr>
        <w:pStyle w:val="ListParagraph"/>
        <w:numPr>
          <w:ilvl w:val="0"/>
          <w:numId w:val="118"/>
        </w:numPr>
        <w:spacing w:after="0"/>
        <w:rPr>
          <w:rFonts w:cs="Georgia"/>
          <w:noProof/>
          <w:color w:val="000000"/>
          <w:lang w:val="en-GB" w:eastAsia="it-IT"/>
        </w:rPr>
      </w:pPr>
      <w:r>
        <w:rPr>
          <w:rFonts w:cs="Georgia"/>
          <w:noProof/>
          <w:color w:val="000000"/>
          <w:lang w:val="en-GB" w:eastAsia="it-IT"/>
        </w:rPr>
        <w:t xml:space="preserve">Common Criteria EAL4+ for electronic </w:t>
      </w:r>
      <w:r>
        <w:rPr>
          <w:rFonts w:cs="Georgia"/>
          <w:noProof/>
          <w:color w:val="000000"/>
          <w:lang w:val="en-GB" w:eastAsia="it-IT"/>
        </w:rPr>
        <w:t>passports</w:t>
      </w:r>
    </w:p>
    <w:p w:rsidR="00913429" w:rsidRDefault="00E143F0">
      <w:pPr>
        <w:pStyle w:val="ListParagraph"/>
        <w:numPr>
          <w:ilvl w:val="0"/>
          <w:numId w:val="118"/>
        </w:numPr>
        <w:spacing w:after="0"/>
        <w:rPr>
          <w:rFonts w:cs="Georgia"/>
          <w:noProof/>
          <w:color w:val="000000"/>
          <w:lang w:val="en-GB" w:eastAsia="it-IT"/>
        </w:rPr>
      </w:pPr>
      <w:r>
        <w:rPr>
          <w:rFonts w:cs="Georgia"/>
          <w:noProof/>
          <w:color w:val="000000"/>
          <w:lang w:val="en-GB" w:eastAsia="it-IT"/>
        </w:rPr>
        <w:t>German ePassports, ID cards, Healthcards, French SIM-cards</w:t>
      </w:r>
    </w:p>
    <w:p w:rsidR="00913429" w:rsidRDefault="00E143F0">
      <w:pPr>
        <w:pStyle w:val="ListParagraph"/>
        <w:numPr>
          <w:ilvl w:val="0"/>
          <w:numId w:val="118"/>
        </w:numPr>
        <w:spacing w:after="0"/>
        <w:rPr>
          <w:rFonts w:cs="Georgia"/>
          <w:noProof/>
          <w:color w:val="000000"/>
          <w:lang w:val="fr-BE" w:eastAsia="it-IT"/>
        </w:rPr>
      </w:pPr>
      <w:r>
        <w:rPr>
          <w:rFonts w:cs="Georgia"/>
          <w:noProof/>
          <w:color w:val="000000"/>
          <w:lang w:val="fr-BE" w:eastAsia="it-IT"/>
        </w:rPr>
        <w:t>Surveillance system - Italy - Public procurement - CC Certification</w:t>
      </w:r>
    </w:p>
    <w:p w:rsidR="00913429" w:rsidRDefault="00E143F0">
      <w:pPr>
        <w:pStyle w:val="ListParagraph"/>
        <w:numPr>
          <w:ilvl w:val="0"/>
          <w:numId w:val="118"/>
        </w:numPr>
        <w:spacing w:after="0"/>
        <w:rPr>
          <w:rFonts w:cs="Georgia"/>
          <w:noProof/>
          <w:color w:val="000000"/>
          <w:lang w:val="en-GB" w:eastAsia="it-IT"/>
        </w:rPr>
      </w:pPr>
      <w:r>
        <w:rPr>
          <w:rFonts w:cs="Georgia"/>
          <w:noProof/>
          <w:color w:val="000000"/>
          <w:lang w:val="en-GB" w:eastAsia="it-IT"/>
        </w:rPr>
        <w:t>Smart Metering around Europe / mainly in Germany</w:t>
      </w:r>
    </w:p>
    <w:p w:rsidR="00913429" w:rsidRDefault="00E143F0">
      <w:pPr>
        <w:pStyle w:val="ListParagraph"/>
        <w:numPr>
          <w:ilvl w:val="0"/>
          <w:numId w:val="118"/>
        </w:numPr>
        <w:spacing w:after="0"/>
        <w:rPr>
          <w:rFonts w:cs="Georgia"/>
          <w:noProof/>
          <w:color w:val="000000"/>
          <w:lang w:val="en-GB" w:eastAsia="it-IT"/>
        </w:rPr>
      </w:pPr>
      <w:r>
        <w:rPr>
          <w:rFonts w:cs="Georgia"/>
          <w:noProof/>
          <w:color w:val="000000"/>
          <w:lang w:val="en-GB" w:eastAsia="it-IT"/>
        </w:rPr>
        <w:t xml:space="preserve">eIDAS product e.g. eID documents and infrastructures. It is mandatory </w:t>
      </w:r>
      <w:r>
        <w:rPr>
          <w:rFonts w:cs="Georgia"/>
          <w:noProof/>
          <w:color w:val="000000"/>
          <w:lang w:val="en-GB" w:eastAsia="it-IT"/>
        </w:rPr>
        <w:t>having the eIDAS compliance</w:t>
      </w:r>
    </w:p>
    <w:p w:rsidR="00913429" w:rsidRDefault="00913429">
      <w:pPr>
        <w:spacing w:after="0"/>
        <w:rPr>
          <w:rFonts w:cs="Georgia"/>
          <w:noProof/>
          <w:color w:val="000000"/>
          <w:lang w:eastAsia="it-IT"/>
        </w:rPr>
      </w:pPr>
    </w:p>
    <w:p w:rsidR="00913429" w:rsidRDefault="00E143F0">
      <w:pPr>
        <w:spacing w:after="0"/>
        <w:rPr>
          <w:rFonts w:cs="Georgia"/>
          <w:noProof/>
          <w:color w:val="000000"/>
          <w:lang w:eastAsia="it-IT"/>
        </w:rPr>
      </w:pPr>
      <w:r>
        <w:rPr>
          <w:rFonts w:cs="Georgia"/>
          <w:b/>
          <w:noProof/>
          <w:color w:val="000000"/>
          <w:lang w:eastAsia="it-IT"/>
        </w:rPr>
        <w:t>40%</w:t>
      </w:r>
      <w:r>
        <w:rPr>
          <w:rFonts w:cs="Georgia"/>
          <w:noProof/>
          <w:color w:val="000000"/>
          <w:lang w:eastAsia="it-IT"/>
        </w:rPr>
        <w:t xml:space="preserve"> of respondents, giving the answer “</w:t>
      </w:r>
      <w:r>
        <w:rPr>
          <w:rFonts w:cs="Georgia"/>
          <w:i/>
          <w:noProof/>
          <w:color w:val="000000"/>
          <w:lang w:eastAsia="it-IT"/>
        </w:rPr>
        <w:t>Likely</w:t>
      </w:r>
      <w:r>
        <w:rPr>
          <w:rFonts w:cs="Georgia"/>
          <w:noProof/>
          <w:color w:val="000000"/>
          <w:lang w:eastAsia="it-IT"/>
        </w:rPr>
        <w:t>”, think that a large-sized company which has certified its product in a given EU country would restrain itself from entering the market of a second MS in consideration of additional</w:t>
      </w:r>
      <w:r>
        <w:rPr>
          <w:rFonts w:cs="Georgia"/>
          <w:noProof/>
          <w:color w:val="000000"/>
          <w:lang w:eastAsia="it-IT"/>
        </w:rPr>
        <w:t xml:space="preserve"> security certifications requirements. The same percentage of respondents gave the answer “</w:t>
      </w:r>
      <w:r>
        <w:rPr>
          <w:rFonts w:cs="Georgia"/>
          <w:i/>
          <w:noProof/>
          <w:color w:val="000000"/>
          <w:lang w:eastAsia="it-IT"/>
        </w:rPr>
        <w:t>Very Likely</w:t>
      </w:r>
      <w:r>
        <w:rPr>
          <w:rFonts w:cs="Georgia"/>
          <w:noProof/>
          <w:color w:val="000000"/>
          <w:lang w:eastAsia="it-IT"/>
        </w:rPr>
        <w:t>” talking on the same issue for SMEs. Is therefore evident that the greatest difficulties are faced by SMEs that in the vast majority of cases are not abl</w:t>
      </w:r>
      <w:r>
        <w:rPr>
          <w:rFonts w:cs="Georgia"/>
          <w:noProof/>
          <w:color w:val="000000"/>
          <w:lang w:eastAsia="it-IT"/>
        </w:rPr>
        <w:t xml:space="preserve">e to cope with the costs of a certification. </w:t>
      </w:r>
    </w:p>
    <w:p w:rsidR="00913429" w:rsidRDefault="00E143F0">
      <w:pPr>
        <w:spacing w:after="0"/>
        <w:rPr>
          <w:rFonts w:cs="Georgia"/>
          <w:noProof/>
          <w:color w:val="000000"/>
          <w:lang w:eastAsia="it-IT"/>
        </w:rPr>
      </w:pPr>
      <w:r>
        <w:rPr>
          <w:rFonts w:cs="Georgia"/>
          <w:noProof/>
          <w:color w:val="000000"/>
          <w:lang w:eastAsia="it-IT"/>
        </w:rPr>
        <w:t>In the end, the majority of respondents, 35%, gave the answer “</w:t>
      </w:r>
      <w:r>
        <w:rPr>
          <w:rFonts w:cs="Georgia"/>
          <w:i/>
          <w:noProof/>
          <w:color w:val="000000"/>
          <w:lang w:eastAsia="it-IT"/>
        </w:rPr>
        <w:t>Not Likely</w:t>
      </w:r>
      <w:r>
        <w:rPr>
          <w:rFonts w:cs="Georgia"/>
          <w:noProof/>
          <w:color w:val="000000"/>
          <w:lang w:eastAsia="it-IT"/>
        </w:rPr>
        <w:t xml:space="preserve">” regarding the question asking the likelihood of an ICT product/service vendor to accept bearing the costs of a second </w:t>
      </w:r>
      <w:r>
        <w:rPr>
          <w:rFonts w:cs="Georgia"/>
          <w:noProof/>
          <w:color w:val="000000"/>
          <w:lang w:eastAsia="it-IT"/>
        </w:rPr>
        <w:t>certification/labelling process in order to access the market of another EU country.</w:t>
      </w:r>
    </w:p>
    <w:p w:rsidR="00913429" w:rsidRDefault="00913429">
      <w:pPr>
        <w:spacing w:after="0"/>
        <w:rPr>
          <w:rFonts w:cs="Georgia"/>
          <w:noProof/>
          <w:color w:val="000000"/>
          <w:lang w:eastAsia="it-IT"/>
        </w:rPr>
      </w:pPr>
    </w:p>
    <w:p w:rsidR="00913429" w:rsidRDefault="00E143F0">
      <w:pPr>
        <w:spacing w:after="0"/>
        <w:rPr>
          <w:b/>
          <w:noProof/>
        </w:rPr>
      </w:pPr>
      <w:r>
        <w:rPr>
          <w:b/>
          <w:noProof/>
        </w:rPr>
        <w:t>Policy Options and envisioned features</w:t>
      </w:r>
    </w:p>
    <w:p w:rsidR="00913429" w:rsidRDefault="00913429">
      <w:pPr>
        <w:spacing w:after="0"/>
        <w:rPr>
          <w:b/>
          <w:noProof/>
        </w:rPr>
      </w:pPr>
    </w:p>
    <w:p w:rsidR="00913429" w:rsidRDefault="00E143F0">
      <w:pPr>
        <w:spacing w:after="0"/>
        <w:rPr>
          <w:rFonts w:cs="Georgia"/>
          <w:noProof/>
          <w:color w:val="000000"/>
          <w:lang w:eastAsia="it-IT"/>
        </w:rPr>
      </w:pPr>
      <w:r>
        <w:rPr>
          <w:rFonts w:cs="Georgia"/>
          <w:noProof/>
          <w:color w:val="000000"/>
          <w:lang w:eastAsia="it-IT"/>
        </w:rPr>
        <w:t>A large majority of respondents indicated with the answers “</w:t>
      </w:r>
      <w:r>
        <w:rPr>
          <w:rFonts w:cs="Georgia"/>
          <w:i/>
          <w:noProof/>
          <w:color w:val="000000"/>
          <w:lang w:eastAsia="it-IT"/>
        </w:rPr>
        <w:t>Very Likely</w:t>
      </w:r>
      <w:r>
        <w:rPr>
          <w:rFonts w:cs="Georgia"/>
          <w:noProof/>
          <w:color w:val="000000"/>
          <w:lang w:eastAsia="it-IT"/>
        </w:rPr>
        <w:t>” and “</w:t>
      </w:r>
      <w:r>
        <w:rPr>
          <w:rFonts w:cs="Georgia"/>
          <w:i/>
          <w:noProof/>
          <w:color w:val="000000"/>
          <w:lang w:eastAsia="it-IT"/>
        </w:rPr>
        <w:t>Likely</w:t>
      </w:r>
      <w:r>
        <w:rPr>
          <w:rFonts w:cs="Georgia"/>
          <w:noProof/>
          <w:color w:val="000000"/>
          <w:lang w:eastAsia="it-IT"/>
        </w:rPr>
        <w:t xml:space="preserve">”, respectively </w:t>
      </w:r>
      <w:r>
        <w:rPr>
          <w:rFonts w:cs="Georgia"/>
          <w:b/>
          <w:noProof/>
          <w:color w:val="000000"/>
          <w:lang w:eastAsia="it-IT"/>
        </w:rPr>
        <w:t>33,33</w:t>
      </w:r>
      <w:r>
        <w:rPr>
          <w:rFonts w:cs="Georgia"/>
          <w:noProof/>
          <w:color w:val="000000"/>
          <w:lang w:eastAsia="it-IT"/>
        </w:rPr>
        <w:t xml:space="preserve">% and </w:t>
      </w:r>
      <w:r>
        <w:rPr>
          <w:rFonts w:cs="Georgia"/>
          <w:b/>
          <w:noProof/>
          <w:color w:val="000000"/>
          <w:lang w:eastAsia="it-IT"/>
        </w:rPr>
        <w:t>42,86%</w:t>
      </w:r>
      <w:r>
        <w:rPr>
          <w:rFonts w:cs="Georgia"/>
          <w:noProof/>
          <w:color w:val="000000"/>
          <w:lang w:eastAsia="it-IT"/>
        </w:rPr>
        <w:t xml:space="preserve"> of respondents, that a foreign vendor is likely to favour accessing an EU country having in place a mutual recognition agreement with other EU countries. </w:t>
      </w:r>
    </w:p>
    <w:p w:rsidR="00913429" w:rsidRDefault="00E143F0">
      <w:pPr>
        <w:spacing w:after="0"/>
        <w:rPr>
          <w:rFonts w:cs="Georgia"/>
          <w:noProof/>
          <w:color w:val="000000"/>
          <w:lang w:eastAsia="it-IT"/>
        </w:rPr>
      </w:pPr>
      <w:r>
        <w:rPr>
          <w:rFonts w:cs="Georgia"/>
          <w:noProof/>
          <w:color w:val="000000"/>
          <w:lang w:eastAsia="it-IT"/>
        </w:rPr>
        <w:t>In the context of a European ICT security Certification Framework, all the respondents answered that</w:t>
      </w:r>
      <w:r>
        <w:rPr>
          <w:rFonts w:cs="Georgia"/>
          <w:noProof/>
          <w:color w:val="000000"/>
          <w:lang w:eastAsia="it-IT"/>
        </w:rPr>
        <w:t xml:space="preserve"> the EU Agencies (such as ENISA) would play a key role both at management an operational level.</w:t>
      </w:r>
    </w:p>
    <w:p w:rsidR="00913429" w:rsidRDefault="00E143F0">
      <w:pPr>
        <w:spacing w:after="0"/>
        <w:rPr>
          <w:rFonts w:cs="Georgia"/>
          <w:noProof/>
          <w:color w:val="000000"/>
          <w:lang w:eastAsia="it-IT"/>
        </w:rPr>
      </w:pPr>
      <w:r>
        <w:rPr>
          <w:rFonts w:cs="Georgia"/>
          <w:noProof/>
          <w:color w:val="000000"/>
          <w:lang w:eastAsia="it-IT"/>
        </w:rPr>
        <w:t>Very high percentages are observed regarding the benefits that could be produced by a European ICT Security Certification Framework:</w:t>
      </w:r>
    </w:p>
    <w:p w:rsidR="00913429" w:rsidRDefault="00E143F0">
      <w:pPr>
        <w:pStyle w:val="ListParagraph"/>
        <w:numPr>
          <w:ilvl w:val="0"/>
          <w:numId w:val="119"/>
        </w:numPr>
        <w:spacing w:after="0"/>
        <w:rPr>
          <w:rFonts w:cs="Georgia"/>
          <w:noProof/>
          <w:color w:val="000000"/>
          <w:lang w:val="en-GB" w:eastAsia="it-IT"/>
        </w:rPr>
      </w:pPr>
      <w:r>
        <w:rPr>
          <w:rFonts w:cs="Georgia"/>
          <w:noProof/>
          <w:color w:val="000000"/>
          <w:lang w:val="en-GB" w:eastAsia="it-IT"/>
        </w:rPr>
        <w:t>Regarding an increase of co</w:t>
      </w:r>
      <w:r>
        <w:rPr>
          <w:rFonts w:cs="Georgia"/>
          <w:noProof/>
          <w:color w:val="000000"/>
          <w:lang w:val="en-GB" w:eastAsia="it-IT"/>
        </w:rPr>
        <w:t>nsumer trust in the security properties of the product/service, the respondents answered with “</w:t>
      </w:r>
      <w:r>
        <w:rPr>
          <w:rFonts w:cs="Georgia"/>
          <w:i/>
          <w:noProof/>
          <w:color w:val="000000"/>
          <w:lang w:val="en-GB" w:eastAsia="it-IT"/>
        </w:rPr>
        <w:t>Very Likely</w:t>
      </w:r>
      <w:r>
        <w:rPr>
          <w:rFonts w:cs="Georgia"/>
          <w:noProof/>
          <w:color w:val="000000"/>
          <w:lang w:val="en-GB" w:eastAsia="it-IT"/>
        </w:rPr>
        <w:t xml:space="preserve">” in the </w:t>
      </w:r>
      <w:r>
        <w:rPr>
          <w:rFonts w:cs="Georgia"/>
          <w:b/>
          <w:noProof/>
          <w:color w:val="000000"/>
          <w:lang w:val="en-GB" w:eastAsia="it-IT"/>
        </w:rPr>
        <w:t>31,80</w:t>
      </w:r>
      <w:r>
        <w:rPr>
          <w:rFonts w:cs="Georgia"/>
          <w:noProof/>
          <w:color w:val="000000"/>
          <w:lang w:val="en-GB" w:eastAsia="it-IT"/>
        </w:rPr>
        <w:t>% of the answers and with “</w:t>
      </w:r>
      <w:r>
        <w:rPr>
          <w:rFonts w:cs="Georgia"/>
          <w:i/>
          <w:noProof/>
          <w:color w:val="000000"/>
          <w:lang w:val="en-GB" w:eastAsia="it-IT"/>
        </w:rPr>
        <w:t>Likely</w:t>
      </w:r>
      <w:r>
        <w:rPr>
          <w:rFonts w:cs="Georgia"/>
          <w:noProof/>
          <w:color w:val="000000"/>
          <w:lang w:val="en-GB" w:eastAsia="it-IT"/>
        </w:rPr>
        <w:t xml:space="preserve">” in the </w:t>
      </w:r>
      <w:r>
        <w:rPr>
          <w:rFonts w:cs="Georgia"/>
          <w:b/>
          <w:noProof/>
          <w:color w:val="000000"/>
          <w:lang w:val="en-GB" w:eastAsia="it-IT"/>
        </w:rPr>
        <w:t>45,45</w:t>
      </w:r>
      <w:r>
        <w:rPr>
          <w:rFonts w:cs="Georgia"/>
          <w:noProof/>
          <w:color w:val="000000"/>
          <w:lang w:val="en-GB" w:eastAsia="it-IT"/>
        </w:rPr>
        <w:t>% of the answers</w:t>
      </w:r>
    </w:p>
    <w:p w:rsidR="00913429" w:rsidRDefault="00E143F0">
      <w:pPr>
        <w:pStyle w:val="ListParagraph"/>
        <w:numPr>
          <w:ilvl w:val="0"/>
          <w:numId w:val="119"/>
        </w:numPr>
        <w:rPr>
          <w:rFonts w:cs="Georgia"/>
          <w:noProof/>
          <w:color w:val="000000"/>
          <w:lang w:val="en-GB" w:eastAsia="it-IT"/>
        </w:rPr>
      </w:pPr>
      <w:r>
        <w:rPr>
          <w:rFonts w:cs="Georgia"/>
          <w:noProof/>
          <w:color w:val="000000"/>
          <w:lang w:val="en-GB" w:eastAsia="it-IT"/>
        </w:rPr>
        <w:t>Regarding an increase of certified/labelled products/service, the respon</w:t>
      </w:r>
      <w:r>
        <w:rPr>
          <w:rFonts w:cs="Georgia"/>
          <w:noProof/>
          <w:color w:val="000000"/>
          <w:lang w:val="en-GB" w:eastAsia="it-IT"/>
        </w:rPr>
        <w:t>dents answered with “</w:t>
      </w:r>
      <w:r>
        <w:rPr>
          <w:rFonts w:cs="Georgia"/>
          <w:i/>
          <w:noProof/>
          <w:color w:val="000000"/>
          <w:lang w:val="en-GB" w:eastAsia="it-IT"/>
        </w:rPr>
        <w:t>Very Likely</w:t>
      </w:r>
      <w:r>
        <w:rPr>
          <w:rFonts w:cs="Georgia"/>
          <w:noProof/>
          <w:color w:val="000000"/>
          <w:lang w:val="en-GB" w:eastAsia="it-IT"/>
        </w:rPr>
        <w:t xml:space="preserve">” in the </w:t>
      </w:r>
      <w:r>
        <w:rPr>
          <w:rFonts w:cs="Georgia"/>
          <w:b/>
          <w:noProof/>
          <w:color w:val="000000"/>
          <w:lang w:val="en-GB" w:eastAsia="it-IT"/>
        </w:rPr>
        <w:t>42,86</w:t>
      </w:r>
      <w:r>
        <w:rPr>
          <w:rFonts w:cs="Georgia"/>
          <w:noProof/>
          <w:color w:val="000000"/>
          <w:lang w:val="en-GB" w:eastAsia="it-IT"/>
        </w:rPr>
        <w:t>% of the answers and with “</w:t>
      </w:r>
      <w:r>
        <w:rPr>
          <w:rFonts w:cs="Georgia"/>
          <w:i/>
          <w:noProof/>
          <w:color w:val="000000"/>
          <w:lang w:val="en-GB" w:eastAsia="it-IT"/>
        </w:rPr>
        <w:t>Likely</w:t>
      </w:r>
      <w:r>
        <w:rPr>
          <w:rFonts w:cs="Georgia"/>
          <w:noProof/>
          <w:color w:val="000000"/>
          <w:lang w:val="en-GB" w:eastAsia="it-IT"/>
        </w:rPr>
        <w:t xml:space="preserve">” in the </w:t>
      </w:r>
      <w:r>
        <w:rPr>
          <w:rFonts w:cs="Georgia"/>
          <w:b/>
          <w:noProof/>
          <w:color w:val="000000"/>
          <w:lang w:val="en-GB" w:eastAsia="it-IT"/>
        </w:rPr>
        <w:t>47,62%</w:t>
      </w:r>
      <w:r>
        <w:rPr>
          <w:rFonts w:cs="Georgia"/>
          <w:noProof/>
          <w:color w:val="000000"/>
          <w:lang w:val="en-GB" w:eastAsia="it-IT"/>
        </w:rPr>
        <w:t xml:space="preserve"> of the answers</w:t>
      </w:r>
    </w:p>
    <w:p w:rsidR="00913429" w:rsidRDefault="00E143F0">
      <w:pPr>
        <w:pStyle w:val="ListParagraph"/>
        <w:numPr>
          <w:ilvl w:val="0"/>
          <w:numId w:val="119"/>
        </w:numPr>
        <w:rPr>
          <w:rFonts w:cs="Georgia"/>
          <w:noProof/>
          <w:color w:val="000000"/>
          <w:lang w:val="en-GB" w:eastAsia="it-IT"/>
        </w:rPr>
      </w:pPr>
      <w:r>
        <w:rPr>
          <w:rFonts w:cs="Georgia"/>
          <w:noProof/>
          <w:color w:val="000000"/>
          <w:lang w:val="en-GB" w:eastAsia="it-IT"/>
        </w:rPr>
        <w:t>Regarding the reduction/elimination of fragmentation, the respondents answered with “</w:t>
      </w:r>
      <w:r>
        <w:rPr>
          <w:rFonts w:cs="Georgia"/>
          <w:i/>
          <w:noProof/>
          <w:color w:val="000000"/>
          <w:lang w:val="en-GB" w:eastAsia="it-IT"/>
        </w:rPr>
        <w:t>Very Likely</w:t>
      </w:r>
      <w:r>
        <w:rPr>
          <w:rFonts w:cs="Georgia"/>
          <w:noProof/>
          <w:color w:val="000000"/>
          <w:lang w:val="en-GB" w:eastAsia="it-IT"/>
        </w:rPr>
        <w:t xml:space="preserve">” in the </w:t>
      </w:r>
      <w:r>
        <w:rPr>
          <w:rFonts w:cs="Georgia"/>
          <w:b/>
          <w:noProof/>
          <w:color w:val="000000"/>
          <w:lang w:val="en-GB" w:eastAsia="it-IT"/>
        </w:rPr>
        <w:t>38,09%</w:t>
      </w:r>
      <w:r>
        <w:rPr>
          <w:rFonts w:cs="Georgia"/>
          <w:noProof/>
          <w:color w:val="000000"/>
          <w:lang w:val="en-GB" w:eastAsia="it-IT"/>
        </w:rPr>
        <w:t xml:space="preserve"> of the answers and with “</w:t>
      </w:r>
      <w:r>
        <w:rPr>
          <w:rFonts w:cs="Georgia"/>
          <w:i/>
          <w:noProof/>
          <w:color w:val="000000"/>
          <w:lang w:val="en-GB" w:eastAsia="it-IT"/>
        </w:rPr>
        <w:t>Likely</w:t>
      </w:r>
      <w:r>
        <w:rPr>
          <w:rFonts w:cs="Georgia"/>
          <w:noProof/>
          <w:color w:val="000000"/>
          <w:lang w:val="en-GB" w:eastAsia="it-IT"/>
        </w:rPr>
        <w:t>” i</w:t>
      </w:r>
      <w:r>
        <w:rPr>
          <w:rFonts w:cs="Georgia"/>
          <w:noProof/>
          <w:color w:val="000000"/>
          <w:lang w:val="en-GB" w:eastAsia="it-IT"/>
        </w:rPr>
        <w:t xml:space="preserve">n the </w:t>
      </w:r>
      <w:r>
        <w:rPr>
          <w:rFonts w:cs="Georgia"/>
          <w:b/>
          <w:noProof/>
          <w:color w:val="000000"/>
          <w:lang w:val="en-GB" w:eastAsia="it-IT"/>
        </w:rPr>
        <w:t>42,85%</w:t>
      </w:r>
      <w:r>
        <w:rPr>
          <w:rFonts w:cs="Georgia"/>
          <w:noProof/>
          <w:color w:val="000000"/>
          <w:lang w:val="en-GB" w:eastAsia="it-IT"/>
        </w:rPr>
        <w:t xml:space="preserve"> of the answers</w:t>
      </w:r>
    </w:p>
    <w:p w:rsidR="00913429" w:rsidRDefault="00E143F0">
      <w:pPr>
        <w:pStyle w:val="ListParagraph"/>
        <w:numPr>
          <w:ilvl w:val="0"/>
          <w:numId w:val="119"/>
        </w:numPr>
        <w:rPr>
          <w:rFonts w:cs="Georgia"/>
          <w:noProof/>
          <w:color w:val="000000"/>
          <w:lang w:val="en-GB" w:eastAsia="it-IT"/>
        </w:rPr>
      </w:pPr>
      <w:r>
        <w:rPr>
          <w:rFonts w:cs="Georgia"/>
          <w:noProof/>
          <w:color w:val="000000"/>
          <w:lang w:val="en-GB" w:eastAsia="it-IT"/>
        </w:rPr>
        <w:t xml:space="preserve">Regarding a decrease of time and cost of certification/labelling, the respondents answered with “Very Likely” in the </w:t>
      </w:r>
      <w:r>
        <w:rPr>
          <w:rFonts w:cs="Georgia"/>
          <w:b/>
          <w:noProof/>
          <w:color w:val="000000"/>
          <w:lang w:val="en-GB" w:eastAsia="it-IT"/>
        </w:rPr>
        <w:t>28,57</w:t>
      </w:r>
      <w:r>
        <w:rPr>
          <w:rFonts w:cs="Georgia"/>
          <w:noProof/>
          <w:color w:val="000000"/>
          <w:lang w:val="en-GB" w:eastAsia="it-IT"/>
        </w:rPr>
        <w:t xml:space="preserve">% of the answers and with “Likely” in the </w:t>
      </w:r>
      <w:r>
        <w:rPr>
          <w:rFonts w:cs="Georgia"/>
          <w:b/>
          <w:noProof/>
          <w:color w:val="000000"/>
          <w:lang w:val="en-GB" w:eastAsia="it-IT"/>
        </w:rPr>
        <w:t>19,04</w:t>
      </w:r>
      <w:r>
        <w:rPr>
          <w:rFonts w:cs="Georgia"/>
          <w:noProof/>
          <w:color w:val="000000"/>
          <w:lang w:val="en-GB" w:eastAsia="it-IT"/>
        </w:rPr>
        <w:t>% of the answers</w:t>
      </w:r>
    </w:p>
    <w:p w:rsidR="00913429" w:rsidRDefault="00913429">
      <w:pPr>
        <w:pStyle w:val="ListParagraph"/>
        <w:rPr>
          <w:rFonts w:cs="Georgia"/>
          <w:noProof/>
          <w:color w:val="000000"/>
          <w:lang w:val="en-GB" w:eastAsia="it-IT"/>
        </w:rPr>
      </w:pPr>
    </w:p>
    <w:p w:rsidR="00913429" w:rsidRDefault="00E143F0">
      <w:pPr>
        <w:pStyle w:val="ListParagraph"/>
        <w:spacing w:after="0"/>
        <w:ind w:left="0"/>
        <w:rPr>
          <w:rFonts w:cs="Georgia"/>
          <w:noProof/>
          <w:color w:val="000000"/>
          <w:lang w:val="en-GB" w:eastAsia="it-IT"/>
        </w:rPr>
      </w:pPr>
      <w:r>
        <w:rPr>
          <w:rFonts w:cs="Georgia"/>
          <w:noProof/>
          <w:color w:val="000000"/>
          <w:lang w:val="en-GB" w:eastAsia="it-IT"/>
        </w:rPr>
        <w:t xml:space="preserve">It is clear that the vast majority of </w:t>
      </w:r>
      <w:r>
        <w:rPr>
          <w:rFonts w:cs="Georgia"/>
          <w:noProof/>
          <w:color w:val="000000"/>
          <w:lang w:val="en-GB" w:eastAsia="it-IT"/>
        </w:rPr>
        <w:t>respondents believe that an EU ICT Security Certification Framework would produce many benefits, reducing fragmentation and increasing competitiveness of ICT market companies.</w:t>
      </w:r>
    </w:p>
    <w:p w:rsidR="00913429" w:rsidRDefault="00E143F0">
      <w:pPr>
        <w:spacing w:after="0"/>
        <w:jc w:val="both"/>
        <w:rPr>
          <w:rFonts w:cs="Georgia"/>
          <w:noProof/>
          <w:color w:val="000000"/>
          <w:lang w:eastAsia="it-IT"/>
        </w:rPr>
      </w:pPr>
      <w:r>
        <w:rPr>
          <w:rFonts w:cs="Georgia"/>
          <w:noProof/>
          <w:color w:val="000000"/>
          <w:lang w:eastAsia="it-IT"/>
        </w:rPr>
        <w:br w:type="page"/>
      </w:r>
    </w:p>
    <w:p w:rsidR="00913429" w:rsidRDefault="00E143F0">
      <w:pPr>
        <w:keepNext/>
        <w:keepLines/>
        <w:tabs>
          <w:tab w:val="left" w:pos="993"/>
        </w:tabs>
        <w:spacing w:after="360"/>
        <w:ind w:left="360" w:right="-23"/>
        <w:outlineLvl w:val="1"/>
        <w:rPr>
          <w:noProof/>
        </w:rPr>
      </w:pPr>
      <w:bookmarkStart w:id="65" w:name="_Toc492396560"/>
      <w:r>
        <w:rPr>
          <w:rFonts w:eastAsia="SimHei"/>
          <w:b/>
          <w:bCs/>
          <w:i/>
          <w:noProof/>
          <w:color w:val="DC6900"/>
          <w:sz w:val="32"/>
          <w:szCs w:val="26"/>
        </w:rPr>
        <w:t>7.3 Stakeholder Mapping</w:t>
      </w:r>
      <w:bookmarkEnd w:id="65"/>
    </w:p>
    <w:p w:rsidR="00913429" w:rsidRDefault="00E143F0">
      <w:pPr>
        <w:pStyle w:val="Paragrafoelenco1"/>
        <w:numPr>
          <w:ilvl w:val="0"/>
          <w:numId w:val="0"/>
        </w:numPr>
        <w:rPr>
          <w:rFonts w:ascii="Georgia" w:hAnsi="Georgia"/>
          <w:noProof/>
        </w:rPr>
      </w:pPr>
      <w:r>
        <w:rPr>
          <w:rFonts w:ascii="Georgia" w:hAnsi="Georgia"/>
          <w:noProof/>
        </w:rPr>
        <w:t>Working with DG CONNECT it was possible to identify an</w:t>
      </w:r>
      <w:r>
        <w:rPr>
          <w:rFonts w:ascii="Georgia" w:hAnsi="Georgia"/>
          <w:noProof/>
        </w:rPr>
        <w:t xml:space="preserve">d validate the list of the stakeholders who are directly or indirectly impacted by the project. During the first preliminary meeting, on the 8th of May 2017, has been highlighted by the DG CONNECT Team that surveys have been conducted by </w:t>
      </w:r>
      <w:r>
        <w:rPr>
          <w:rFonts w:ascii="Georgia" w:hAnsi="Georgia"/>
          <w:b/>
          <w:noProof/>
        </w:rPr>
        <w:t>JRC</w:t>
      </w:r>
      <w:r>
        <w:rPr>
          <w:rFonts w:ascii="Georgia" w:hAnsi="Georgia"/>
          <w:noProof/>
        </w:rPr>
        <w:t>; this means th</w:t>
      </w:r>
      <w:r>
        <w:rPr>
          <w:rFonts w:ascii="Georgia" w:hAnsi="Georgia"/>
          <w:noProof/>
        </w:rPr>
        <w:t xml:space="preserve">at a mapping of stakeholders has already been developed. The stakeholders </w:t>
      </w:r>
      <w:r>
        <w:rPr>
          <w:rFonts w:ascii="Georgia" w:hAnsi="Georgia"/>
          <w:b/>
          <w:noProof/>
        </w:rPr>
        <w:t>mapping</w:t>
      </w:r>
      <w:r>
        <w:rPr>
          <w:rFonts w:ascii="Georgia" w:hAnsi="Georgia"/>
          <w:noProof/>
        </w:rPr>
        <w:t xml:space="preserve"> has been integrated with the identification of </w:t>
      </w:r>
      <w:r>
        <w:rPr>
          <w:rFonts w:ascii="Georgia" w:hAnsi="Georgia"/>
          <w:b/>
          <w:noProof/>
        </w:rPr>
        <w:t>new selected stakeholder</w:t>
      </w:r>
      <w:r>
        <w:rPr>
          <w:rFonts w:ascii="Georgia" w:hAnsi="Georgia"/>
          <w:noProof/>
        </w:rPr>
        <w:t xml:space="preserve"> included in specific and most impacted industrial sectors, taking in consideration the JRC surveys dat</w:t>
      </w:r>
      <w:r>
        <w:rPr>
          <w:rFonts w:ascii="Georgia" w:hAnsi="Georgia"/>
          <w:noProof/>
        </w:rPr>
        <w:t>a received and analysed by the Consortium. In particular, as requested by the Commission, the Consortium</w:t>
      </w:r>
      <w:r>
        <w:rPr>
          <w:noProof/>
        </w:rPr>
        <w:t xml:space="preserve"> </w:t>
      </w:r>
      <w:r>
        <w:rPr>
          <w:rFonts w:ascii="Georgia" w:hAnsi="Georgia"/>
          <w:noProof/>
        </w:rPr>
        <w:t xml:space="preserve">has contacted especially many representatives from National Certification Authorities, Smart-metering and Semi-conductors industries. </w:t>
      </w:r>
    </w:p>
    <w:p w:rsidR="00913429" w:rsidRDefault="00E143F0">
      <w:pPr>
        <w:pStyle w:val="Paragrafoelenco1"/>
        <w:numPr>
          <w:ilvl w:val="0"/>
          <w:numId w:val="0"/>
        </w:numPr>
        <w:rPr>
          <w:rFonts w:ascii="Georgia" w:eastAsia="SimHei" w:hAnsi="Georgia"/>
          <w:noProof/>
        </w:rPr>
      </w:pPr>
      <w:r>
        <w:rPr>
          <w:rFonts w:ascii="Georgia" w:hAnsi="Georgia"/>
          <w:noProof/>
        </w:rPr>
        <w:t>A detailed stake</w:t>
      </w:r>
      <w:r>
        <w:rPr>
          <w:rFonts w:ascii="Georgia" w:hAnsi="Georgia"/>
          <w:noProof/>
        </w:rPr>
        <w:t xml:space="preserve">holder map has been necessary for identifying experts and participants for the </w:t>
      </w:r>
      <w:r>
        <w:rPr>
          <w:rFonts w:ascii="Georgia" w:hAnsi="Georgia"/>
          <w:b/>
          <w:noProof/>
        </w:rPr>
        <w:t xml:space="preserve">interviews </w:t>
      </w:r>
      <w:r>
        <w:rPr>
          <w:rFonts w:ascii="Georgia" w:hAnsi="Georgia"/>
          <w:noProof/>
        </w:rPr>
        <w:t>organized. The Map was constantly updated and improved during the project running.</w:t>
      </w:r>
    </w:p>
    <w:p w:rsidR="00913429" w:rsidRDefault="00E143F0">
      <w:pPr>
        <w:jc w:val="both"/>
        <w:rPr>
          <w:rFonts w:cs="Georgia"/>
          <w:noProof/>
          <w:color w:val="000000"/>
          <w:lang w:eastAsia="it-IT"/>
        </w:rPr>
      </w:pPr>
      <w:r>
        <w:rPr>
          <w:rFonts w:cs="Georgia"/>
          <w:noProof/>
          <w:color w:val="000000"/>
          <w:lang w:eastAsia="it-IT"/>
        </w:rPr>
        <w:t>The Consortium selected the most impacted stakeholders which are mapped below:</w:t>
      </w:r>
    </w:p>
    <w:tbl>
      <w:tblPr>
        <w:tblW w:w="4077" w:type="pct"/>
        <w:jc w:val="center"/>
        <w:tblLayout w:type="fixed"/>
        <w:tblCellMar>
          <w:left w:w="70" w:type="dxa"/>
          <w:right w:w="70" w:type="dxa"/>
        </w:tblCellMar>
        <w:tblLook w:val="04A0" w:firstRow="1" w:lastRow="0" w:firstColumn="1" w:lastColumn="0" w:noHBand="0" w:noVBand="1"/>
      </w:tblPr>
      <w:tblGrid>
        <w:gridCol w:w="1487"/>
        <w:gridCol w:w="2552"/>
        <w:gridCol w:w="2476"/>
        <w:gridCol w:w="1442"/>
      </w:tblGrid>
      <w:tr w:rsidR="00913429">
        <w:trPr>
          <w:trHeight w:val="454"/>
          <w:tblHeader/>
          <w:jc w:val="center"/>
        </w:trPr>
        <w:tc>
          <w:tcPr>
            <w:tcW w:w="934" w:type="pct"/>
            <w:tcBorders>
              <w:top w:val="single" w:sz="8" w:space="0" w:color="auto"/>
              <w:left w:val="single" w:sz="8" w:space="0" w:color="auto"/>
              <w:bottom w:val="nil"/>
              <w:right w:val="single" w:sz="4" w:space="0" w:color="auto"/>
            </w:tcBorders>
            <w:shd w:val="clear" w:color="000000" w:fill="4472C4"/>
            <w:vAlign w:val="center"/>
            <w:hideMark/>
          </w:tcPr>
          <w:p w:rsidR="00913429" w:rsidRDefault="00E143F0">
            <w:pPr>
              <w:spacing w:after="0" w:line="240" w:lineRule="auto"/>
              <w:jc w:val="center"/>
              <w:rPr>
                <w:rFonts w:ascii="Calibri" w:eastAsia="Times New Roman" w:hAnsi="Calibri"/>
                <w:b/>
                <w:bCs/>
                <w:noProof/>
                <w:color w:val="FFFFFF"/>
                <w:sz w:val="16"/>
                <w:szCs w:val="16"/>
                <w:lang w:eastAsia="it-IT"/>
              </w:rPr>
            </w:pPr>
            <w:r>
              <w:rPr>
                <w:rFonts w:ascii="Calibri" w:eastAsia="Times New Roman" w:hAnsi="Calibri"/>
                <w:b/>
                <w:bCs/>
                <w:noProof/>
                <w:color w:val="FFFFFF"/>
                <w:sz w:val="16"/>
                <w:szCs w:val="16"/>
                <w:lang w:eastAsia="it-IT"/>
              </w:rPr>
              <w:t>Reci</w:t>
            </w:r>
            <w:r>
              <w:rPr>
                <w:rFonts w:ascii="Calibri" w:eastAsia="Times New Roman" w:hAnsi="Calibri"/>
                <w:b/>
                <w:bCs/>
                <w:noProof/>
                <w:color w:val="FFFFFF"/>
                <w:sz w:val="16"/>
                <w:szCs w:val="16"/>
                <w:lang w:eastAsia="it-IT"/>
              </w:rPr>
              <w:t>pient</w:t>
            </w:r>
          </w:p>
        </w:tc>
        <w:tc>
          <w:tcPr>
            <w:tcW w:w="1603" w:type="pct"/>
            <w:tcBorders>
              <w:top w:val="single" w:sz="8" w:space="0" w:color="auto"/>
              <w:left w:val="single" w:sz="8" w:space="0" w:color="auto"/>
              <w:bottom w:val="nil"/>
              <w:right w:val="single" w:sz="4" w:space="0" w:color="auto"/>
            </w:tcBorders>
            <w:shd w:val="clear" w:color="000000" w:fill="4472C4"/>
            <w:vAlign w:val="center"/>
            <w:hideMark/>
          </w:tcPr>
          <w:p w:rsidR="00913429" w:rsidRDefault="00E143F0">
            <w:pPr>
              <w:spacing w:after="0" w:line="240" w:lineRule="auto"/>
              <w:jc w:val="center"/>
              <w:rPr>
                <w:rFonts w:ascii="Calibri" w:eastAsia="Times New Roman" w:hAnsi="Calibri"/>
                <w:b/>
                <w:bCs/>
                <w:noProof/>
                <w:color w:val="FFFFFF"/>
                <w:sz w:val="16"/>
                <w:szCs w:val="16"/>
                <w:lang w:eastAsia="it-IT"/>
              </w:rPr>
            </w:pPr>
            <w:r>
              <w:rPr>
                <w:rFonts w:ascii="Calibri" w:eastAsia="Times New Roman" w:hAnsi="Calibri"/>
                <w:b/>
                <w:bCs/>
                <w:noProof/>
                <w:color w:val="FFFFFF"/>
                <w:sz w:val="16"/>
                <w:szCs w:val="16"/>
                <w:lang w:eastAsia="it-IT"/>
              </w:rPr>
              <w:t>Brief Description</w:t>
            </w:r>
          </w:p>
        </w:tc>
        <w:tc>
          <w:tcPr>
            <w:tcW w:w="1556" w:type="pct"/>
            <w:tcBorders>
              <w:top w:val="single" w:sz="8" w:space="0" w:color="auto"/>
              <w:left w:val="single" w:sz="8" w:space="0" w:color="auto"/>
              <w:bottom w:val="nil"/>
              <w:right w:val="single" w:sz="4" w:space="0" w:color="auto"/>
            </w:tcBorders>
            <w:shd w:val="clear" w:color="000000" w:fill="4472C4"/>
            <w:vAlign w:val="center"/>
            <w:hideMark/>
          </w:tcPr>
          <w:p w:rsidR="00913429" w:rsidRDefault="00E143F0">
            <w:pPr>
              <w:spacing w:after="0" w:line="240" w:lineRule="auto"/>
              <w:jc w:val="center"/>
              <w:rPr>
                <w:rFonts w:ascii="Calibri" w:eastAsia="Times New Roman" w:hAnsi="Calibri"/>
                <w:b/>
                <w:bCs/>
                <w:noProof/>
                <w:color w:val="FFFFFF"/>
                <w:sz w:val="16"/>
                <w:szCs w:val="16"/>
                <w:lang w:eastAsia="it-IT"/>
              </w:rPr>
            </w:pPr>
            <w:r>
              <w:rPr>
                <w:rFonts w:ascii="Calibri" w:eastAsia="Times New Roman" w:hAnsi="Calibri"/>
                <w:b/>
                <w:bCs/>
                <w:noProof/>
                <w:color w:val="FFFFFF"/>
                <w:sz w:val="16"/>
                <w:szCs w:val="16"/>
                <w:lang w:eastAsia="it-IT"/>
              </w:rPr>
              <w:t>Classification</w:t>
            </w:r>
          </w:p>
        </w:tc>
        <w:tc>
          <w:tcPr>
            <w:tcW w:w="906" w:type="pct"/>
            <w:tcBorders>
              <w:top w:val="single" w:sz="8" w:space="0" w:color="auto"/>
              <w:left w:val="single" w:sz="8" w:space="0" w:color="auto"/>
              <w:bottom w:val="nil"/>
              <w:right w:val="single" w:sz="4" w:space="0" w:color="auto"/>
            </w:tcBorders>
            <w:shd w:val="clear" w:color="000000" w:fill="4472C4"/>
            <w:vAlign w:val="center"/>
            <w:hideMark/>
          </w:tcPr>
          <w:p w:rsidR="00913429" w:rsidRDefault="00E143F0">
            <w:pPr>
              <w:spacing w:after="0" w:line="240" w:lineRule="auto"/>
              <w:jc w:val="center"/>
              <w:rPr>
                <w:rFonts w:ascii="Calibri" w:eastAsia="Times New Roman" w:hAnsi="Calibri"/>
                <w:b/>
                <w:bCs/>
                <w:noProof/>
                <w:color w:val="FFFFFF"/>
                <w:sz w:val="16"/>
                <w:szCs w:val="16"/>
                <w:lang w:eastAsia="it-IT"/>
              </w:rPr>
            </w:pPr>
            <w:r>
              <w:rPr>
                <w:rFonts w:ascii="Calibri" w:eastAsia="Times New Roman" w:hAnsi="Calibri"/>
                <w:b/>
                <w:bCs/>
                <w:noProof/>
                <w:color w:val="FFFFFF"/>
                <w:sz w:val="16"/>
                <w:szCs w:val="16"/>
                <w:lang w:eastAsia="it-IT"/>
              </w:rPr>
              <w:t>Domain</w:t>
            </w:r>
          </w:p>
        </w:tc>
      </w:tr>
      <w:tr w:rsidR="00913429">
        <w:trPr>
          <w:trHeight w:val="454"/>
          <w:jc w:val="center"/>
        </w:trPr>
        <w:tc>
          <w:tcPr>
            <w:tcW w:w="934" w:type="pct"/>
            <w:tcBorders>
              <w:top w:val="single" w:sz="4" w:space="0" w:color="auto"/>
              <w:left w:val="single" w:sz="4" w:space="0" w:color="auto"/>
              <w:bottom w:val="single" w:sz="4" w:space="0" w:color="auto"/>
              <w:right w:val="single" w:sz="4" w:space="0" w:color="auto"/>
            </w:tcBorders>
            <w:shd w:val="clear" w:color="000000" w:fill="FFF2CC"/>
            <w:noWrap/>
            <w:vAlign w:val="center"/>
            <w:hideMark/>
          </w:tcPr>
          <w:p w:rsidR="00913429" w:rsidRDefault="00E143F0">
            <w:pPr>
              <w:spacing w:after="0" w:line="240" w:lineRule="auto"/>
              <w:rPr>
                <w:rFonts w:ascii="Calibri" w:eastAsia="Times New Roman" w:hAnsi="Calibri"/>
                <w:b/>
                <w:bCs/>
                <w:noProof/>
                <w:color w:val="000000"/>
                <w:sz w:val="16"/>
                <w:szCs w:val="16"/>
                <w:lang w:eastAsia="it-IT"/>
              </w:rPr>
            </w:pPr>
            <w:r>
              <w:rPr>
                <w:rFonts w:ascii="Calibri" w:eastAsia="Times New Roman" w:hAnsi="Calibri"/>
                <w:b/>
                <w:bCs/>
                <w:noProof/>
                <w:color w:val="000000"/>
                <w:sz w:val="16"/>
                <w:szCs w:val="16"/>
                <w:lang w:eastAsia="it-IT"/>
              </w:rPr>
              <w:t>Amossys</w:t>
            </w:r>
          </w:p>
        </w:tc>
        <w:tc>
          <w:tcPr>
            <w:tcW w:w="1603" w:type="pct"/>
            <w:tcBorders>
              <w:top w:val="single" w:sz="4" w:space="0" w:color="auto"/>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Security evaluations</w:t>
            </w:r>
          </w:p>
        </w:tc>
        <w:tc>
          <w:tcPr>
            <w:tcW w:w="1556" w:type="pct"/>
            <w:tcBorders>
              <w:top w:val="single" w:sz="4" w:space="0" w:color="auto"/>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xml:space="preserve">Conformity Assessment Body </w:t>
            </w:r>
          </w:p>
        </w:tc>
        <w:tc>
          <w:tcPr>
            <w:tcW w:w="906" w:type="pct"/>
            <w:tcBorders>
              <w:top w:val="single" w:sz="4" w:space="0" w:color="auto"/>
              <w:left w:val="nil"/>
              <w:bottom w:val="single" w:sz="4" w:space="0" w:color="auto"/>
              <w:right w:val="single" w:sz="4" w:space="0" w:color="auto"/>
            </w:tcBorders>
            <w:shd w:val="clear" w:color="000000" w:fill="FFF2CC"/>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SOG-IS, CSPN, CC</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E699"/>
            <w:noWrap/>
            <w:vAlign w:val="center"/>
            <w:hideMark/>
          </w:tcPr>
          <w:p w:rsidR="00913429" w:rsidRDefault="00E143F0">
            <w:pPr>
              <w:spacing w:after="0" w:line="240" w:lineRule="auto"/>
              <w:rPr>
                <w:rFonts w:ascii="Calibri" w:eastAsia="Times New Roman" w:hAnsi="Calibri"/>
                <w:b/>
                <w:bCs/>
                <w:noProof/>
                <w:color w:val="000000"/>
                <w:sz w:val="16"/>
                <w:szCs w:val="16"/>
                <w:lang w:eastAsia="it-IT"/>
              </w:rPr>
            </w:pPr>
            <w:r>
              <w:rPr>
                <w:rFonts w:ascii="Calibri" w:eastAsia="Times New Roman" w:hAnsi="Calibri"/>
                <w:b/>
                <w:bCs/>
                <w:noProof/>
                <w:color w:val="000000"/>
                <w:sz w:val="16"/>
                <w:szCs w:val="16"/>
                <w:lang w:eastAsia="it-IT"/>
              </w:rPr>
              <w:t>Applus Laboratories</w:t>
            </w:r>
          </w:p>
        </w:tc>
        <w:tc>
          <w:tcPr>
            <w:tcW w:w="1603"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EVALUATION LAB</w:t>
            </w:r>
          </w:p>
        </w:tc>
        <w:tc>
          <w:tcPr>
            <w:tcW w:w="155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xml:space="preserve">Conformity Assessment Body </w:t>
            </w:r>
          </w:p>
        </w:tc>
        <w:tc>
          <w:tcPr>
            <w:tcW w:w="90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SOG-IS, CC</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F2CC"/>
            <w:noWrap/>
            <w:vAlign w:val="center"/>
            <w:hideMark/>
          </w:tcPr>
          <w:p w:rsidR="00913429" w:rsidRDefault="00E143F0">
            <w:pPr>
              <w:spacing w:after="0" w:line="240" w:lineRule="auto"/>
              <w:rPr>
                <w:rFonts w:ascii="Calibri" w:eastAsia="Times New Roman" w:hAnsi="Calibri"/>
                <w:b/>
                <w:bCs/>
                <w:noProof/>
                <w:color w:val="000000"/>
                <w:sz w:val="16"/>
                <w:szCs w:val="16"/>
                <w:lang w:eastAsia="it-IT"/>
              </w:rPr>
            </w:pPr>
            <w:r>
              <w:rPr>
                <w:rFonts w:ascii="Calibri" w:eastAsia="Times New Roman" w:hAnsi="Calibri"/>
                <w:b/>
                <w:bCs/>
                <w:noProof/>
                <w:color w:val="000000"/>
                <w:sz w:val="16"/>
                <w:szCs w:val="16"/>
                <w:lang w:eastAsia="it-IT"/>
              </w:rPr>
              <w:t>Atsec</w:t>
            </w:r>
          </w:p>
        </w:tc>
        <w:tc>
          <w:tcPr>
            <w:tcW w:w="1603"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xml:space="preserve">Laboratory and consulting services for information security </w:t>
            </w:r>
          </w:p>
        </w:tc>
        <w:tc>
          <w:tcPr>
            <w:tcW w:w="155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xml:space="preserve">Conformity Assessment Body </w:t>
            </w:r>
          </w:p>
        </w:tc>
        <w:tc>
          <w:tcPr>
            <w:tcW w:w="90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SOG-IS, CC</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E699"/>
            <w:noWrap/>
            <w:vAlign w:val="center"/>
            <w:hideMark/>
          </w:tcPr>
          <w:p w:rsidR="00913429" w:rsidRDefault="00E143F0">
            <w:pPr>
              <w:spacing w:after="0" w:line="240" w:lineRule="auto"/>
              <w:rPr>
                <w:rFonts w:ascii="Calibri" w:eastAsia="Times New Roman" w:hAnsi="Calibri"/>
                <w:b/>
                <w:bCs/>
                <w:noProof/>
                <w:color w:val="000000"/>
                <w:sz w:val="16"/>
                <w:szCs w:val="16"/>
                <w:lang w:eastAsia="it-IT"/>
              </w:rPr>
            </w:pPr>
            <w:r>
              <w:rPr>
                <w:rFonts w:ascii="Calibri" w:eastAsia="Times New Roman" w:hAnsi="Calibri"/>
                <w:b/>
                <w:bCs/>
                <w:noProof/>
                <w:color w:val="000000"/>
                <w:sz w:val="16"/>
                <w:szCs w:val="16"/>
                <w:lang w:eastAsia="it-IT"/>
              </w:rPr>
              <w:t>Atsec</w:t>
            </w:r>
          </w:p>
        </w:tc>
        <w:tc>
          <w:tcPr>
            <w:tcW w:w="1603"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xml:space="preserve">Laboratory and consulting services for information security </w:t>
            </w:r>
          </w:p>
        </w:tc>
        <w:tc>
          <w:tcPr>
            <w:tcW w:w="155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xml:space="preserve">Conformity Assessment Body </w:t>
            </w:r>
          </w:p>
        </w:tc>
        <w:tc>
          <w:tcPr>
            <w:tcW w:w="90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SOG-IS, CC</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F2CC"/>
            <w:noWrap/>
            <w:vAlign w:val="center"/>
            <w:hideMark/>
          </w:tcPr>
          <w:p w:rsidR="00913429" w:rsidRDefault="00E143F0">
            <w:pPr>
              <w:spacing w:after="0" w:line="240" w:lineRule="auto"/>
              <w:rPr>
                <w:rFonts w:ascii="Calibri" w:eastAsia="Times New Roman" w:hAnsi="Calibri"/>
                <w:b/>
                <w:bCs/>
                <w:noProof/>
                <w:color w:val="000000"/>
                <w:sz w:val="16"/>
                <w:szCs w:val="16"/>
                <w:lang w:eastAsia="it-IT"/>
              </w:rPr>
            </w:pPr>
            <w:r>
              <w:rPr>
                <w:rFonts w:ascii="Calibri" w:eastAsia="Times New Roman" w:hAnsi="Calibri"/>
                <w:b/>
                <w:bCs/>
                <w:noProof/>
                <w:color w:val="000000"/>
                <w:sz w:val="16"/>
                <w:szCs w:val="16"/>
                <w:lang w:eastAsia="it-IT"/>
              </w:rPr>
              <w:t>Brightsight</w:t>
            </w:r>
          </w:p>
        </w:tc>
        <w:tc>
          <w:tcPr>
            <w:tcW w:w="1603"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Security evaluation specialist</w:t>
            </w:r>
          </w:p>
        </w:tc>
        <w:tc>
          <w:tcPr>
            <w:tcW w:w="155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xml:space="preserve">Conformity Assessment Body </w:t>
            </w:r>
          </w:p>
        </w:tc>
        <w:tc>
          <w:tcPr>
            <w:tcW w:w="90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SOG-IS</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E699"/>
            <w:noWrap/>
            <w:vAlign w:val="center"/>
            <w:hideMark/>
          </w:tcPr>
          <w:p w:rsidR="00913429" w:rsidRDefault="00E143F0">
            <w:pPr>
              <w:spacing w:after="0" w:line="240" w:lineRule="auto"/>
              <w:rPr>
                <w:rFonts w:ascii="Calibri" w:eastAsia="Times New Roman" w:hAnsi="Calibri"/>
                <w:b/>
                <w:bCs/>
                <w:noProof/>
                <w:color w:val="000000"/>
                <w:sz w:val="16"/>
                <w:szCs w:val="16"/>
                <w:lang w:eastAsia="it-IT"/>
              </w:rPr>
            </w:pPr>
            <w:r>
              <w:rPr>
                <w:rFonts w:ascii="Calibri" w:eastAsia="Times New Roman" w:hAnsi="Calibri"/>
                <w:b/>
                <w:bCs/>
                <w:noProof/>
                <w:color w:val="000000"/>
                <w:sz w:val="16"/>
                <w:szCs w:val="16"/>
                <w:lang w:eastAsia="it-IT"/>
              </w:rPr>
              <w:t>Leti Cea Tech</w:t>
            </w:r>
          </w:p>
        </w:tc>
        <w:tc>
          <w:tcPr>
            <w:tcW w:w="1603"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Player in research, development and innovation</w:t>
            </w:r>
          </w:p>
        </w:tc>
        <w:tc>
          <w:tcPr>
            <w:tcW w:w="155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xml:space="preserve">Conformity Assessment Body </w:t>
            </w:r>
          </w:p>
        </w:tc>
        <w:tc>
          <w:tcPr>
            <w:tcW w:w="90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SOG-IS, CSPN</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F2CC"/>
            <w:noWrap/>
            <w:vAlign w:val="center"/>
            <w:hideMark/>
          </w:tcPr>
          <w:p w:rsidR="00913429" w:rsidRDefault="00E143F0">
            <w:pPr>
              <w:spacing w:after="0" w:line="240" w:lineRule="auto"/>
              <w:rPr>
                <w:rFonts w:ascii="Calibri" w:eastAsia="Times New Roman" w:hAnsi="Calibri"/>
                <w:b/>
                <w:bCs/>
                <w:noProof/>
                <w:color w:val="000000"/>
                <w:sz w:val="16"/>
                <w:szCs w:val="16"/>
                <w:lang w:eastAsia="it-IT"/>
              </w:rPr>
            </w:pPr>
            <w:r>
              <w:rPr>
                <w:rFonts w:ascii="Calibri" w:eastAsia="Times New Roman" w:hAnsi="Calibri"/>
                <w:b/>
                <w:bCs/>
                <w:noProof/>
                <w:color w:val="000000"/>
                <w:sz w:val="16"/>
                <w:szCs w:val="16"/>
                <w:lang w:eastAsia="it-IT"/>
              </w:rPr>
              <w:t>INTA</w:t>
            </w:r>
          </w:p>
        </w:tc>
        <w:tc>
          <w:tcPr>
            <w:tcW w:w="1603"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Public Research Agency specialized in Aerospace technological research and development</w:t>
            </w:r>
          </w:p>
        </w:tc>
        <w:tc>
          <w:tcPr>
            <w:tcW w:w="155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xml:space="preserve">Conformity Assessment Body </w:t>
            </w:r>
          </w:p>
        </w:tc>
        <w:tc>
          <w:tcPr>
            <w:tcW w:w="90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SOG-IS</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E699"/>
            <w:noWrap/>
            <w:vAlign w:val="center"/>
            <w:hideMark/>
          </w:tcPr>
          <w:p w:rsidR="00913429" w:rsidRDefault="00E143F0">
            <w:pPr>
              <w:spacing w:after="0" w:line="240" w:lineRule="auto"/>
              <w:rPr>
                <w:rFonts w:ascii="Calibri" w:eastAsia="Times New Roman" w:hAnsi="Calibri"/>
                <w:b/>
                <w:bCs/>
                <w:noProof/>
                <w:color w:val="000000"/>
                <w:sz w:val="16"/>
                <w:szCs w:val="16"/>
                <w:lang w:eastAsia="it-IT"/>
              </w:rPr>
            </w:pPr>
            <w:r>
              <w:rPr>
                <w:rFonts w:ascii="Calibri" w:eastAsia="Times New Roman" w:hAnsi="Calibri"/>
                <w:b/>
                <w:bCs/>
                <w:noProof/>
                <w:color w:val="000000"/>
                <w:sz w:val="16"/>
                <w:szCs w:val="16"/>
                <w:lang w:eastAsia="it-IT"/>
              </w:rPr>
              <w:t>CGI</w:t>
            </w:r>
          </w:p>
        </w:tc>
        <w:tc>
          <w:tcPr>
            <w:tcW w:w="1603"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Provide end-to-end IT and business process services</w:t>
            </w:r>
          </w:p>
        </w:tc>
        <w:tc>
          <w:tcPr>
            <w:tcW w:w="155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xml:space="preserve">Conformity Assessment Body </w:t>
            </w:r>
          </w:p>
        </w:tc>
        <w:tc>
          <w:tcPr>
            <w:tcW w:w="90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SOG-IS</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F2CC"/>
            <w:noWrap/>
            <w:vAlign w:val="center"/>
            <w:hideMark/>
          </w:tcPr>
          <w:p w:rsidR="00913429" w:rsidRDefault="00E143F0">
            <w:pPr>
              <w:spacing w:after="0" w:line="240" w:lineRule="auto"/>
              <w:rPr>
                <w:rFonts w:ascii="Calibri" w:eastAsia="Times New Roman" w:hAnsi="Calibri"/>
                <w:b/>
                <w:bCs/>
                <w:noProof/>
                <w:color w:val="000000"/>
                <w:sz w:val="16"/>
                <w:szCs w:val="16"/>
                <w:lang w:eastAsia="it-IT"/>
              </w:rPr>
            </w:pPr>
            <w:r>
              <w:rPr>
                <w:rFonts w:ascii="Calibri" w:eastAsia="Times New Roman" w:hAnsi="Calibri"/>
                <w:b/>
                <w:bCs/>
                <w:noProof/>
                <w:color w:val="000000"/>
                <w:sz w:val="16"/>
                <w:szCs w:val="16"/>
                <w:lang w:eastAsia="it-IT"/>
              </w:rPr>
              <w:t>COMBITECH</w:t>
            </w:r>
          </w:p>
        </w:tc>
        <w:tc>
          <w:tcPr>
            <w:tcW w:w="1603"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Independent technical consulting company</w:t>
            </w:r>
          </w:p>
        </w:tc>
        <w:tc>
          <w:tcPr>
            <w:tcW w:w="155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xml:space="preserve">Conformity Assessment Body </w:t>
            </w:r>
          </w:p>
        </w:tc>
        <w:tc>
          <w:tcPr>
            <w:tcW w:w="90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SOG-IS</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E699"/>
            <w:noWrap/>
            <w:vAlign w:val="center"/>
            <w:hideMark/>
          </w:tcPr>
          <w:p w:rsidR="00913429" w:rsidRDefault="00E143F0">
            <w:pPr>
              <w:spacing w:after="0" w:line="240" w:lineRule="auto"/>
              <w:rPr>
                <w:rFonts w:ascii="Calibri" w:eastAsia="Times New Roman" w:hAnsi="Calibri"/>
                <w:b/>
                <w:bCs/>
                <w:noProof/>
                <w:color w:val="000000"/>
                <w:sz w:val="16"/>
                <w:szCs w:val="16"/>
                <w:lang w:eastAsia="it-IT"/>
              </w:rPr>
            </w:pPr>
            <w:r>
              <w:rPr>
                <w:rFonts w:ascii="Calibri" w:eastAsia="Times New Roman" w:hAnsi="Calibri"/>
                <w:b/>
                <w:bCs/>
                <w:noProof/>
                <w:color w:val="000000"/>
                <w:sz w:val="16"/>
                <w:szCs w:val="16"/>
                <w:lang w:eastAsia="it-IT"/>
              </w:rPr>
              <w:t>Consorzio RES</w:t>
            </w:r>
          </w:p>
        </w:tc>
        <w:tc>
          <w:tcPr>
            <w:tcW w:w="1603"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xml:space="preserve">Security Evaluation </w:t>
            </w:r>
            <w:r>
              <w:rPr>
                <w:rFonts w:ascii="Calibri" w:eastAsia="Times New Roman" w:hAnsi="Calibri"/>
                <w:noProof/>
                <w:color w:val="000000"/>
                <w:sz w:val="16"/>
                <w:szCs w:val="16"/>
                <w:lang w:eastAsia="it-IT"/>
              </w:rPr>
              <w:t>Laboratory; Evaluation Centre; Global Consultant</w:t>
            </w:r>
          </w:p>
        </w:tc>
        <w:tc>
          <w:tcPr>
            <w:tcW w:w="155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xml:space="preserve">Conformity Assessment Body </w:t>
            </w:r>
          </w:p>
        </w:tc>
        <w:tc>
          <w:tcPr>
            <w:tcW w:w="90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SOG-IS</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F2CC"/>
            <w:noWrap/>
            <w:vAlign w:val="center"/>
            <w:hideMark/>
          </w:tcPr>
          <w:p w:rsidR="00913429" w:rsidRDefault="00E143F0">
            <w:pPr>
              <w:spacing w:after="0" w:line="240" w:lineRule="auto"/>
              <w:rPr>
                <w:rFonts w:ascii="Calibri" w:eastAsia="Times New Roman" w:hAnsi="Calibri"/>
                <w:b/>
                <w:bCs/>
                <w:noProof/>
                <w:color w:val="000000"/>
                <w:sz w:val="16"/>
                <w:szCs w:val="16"/>
                <w:lang w:eastAsia="it-IT"/>
              </w:rPr>
            </w:pPr>
            <w:r>
              <w:rPr>
                <w:rFonts w:ascii="Calibri" w:eastAsia="Times New Roman" w:hAnsi="Calibri"/>
                <w:b/>
                <w:bCs/>
                <w:noProof/>
                <w:color w:val="000000"/>
                <w:sz w:val="16"/>
                <w:szCs w:val="16"/>
                <w:lang w:eastAsia="it-IT"/>
              </w:rPr>
              <w:t>Datenschutz</w:t>
            </w:r>
          </w:p>
        </w:tc>
        <w:tc>
          <w:tcPr>
            <w:tcW w:w="1603"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w:t>
            </w:r>
          </w:p>
        </w:tc>
        <w:tc>
          <w:tcPr>
            <w:tcW w:w="155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xml:space="preserve">Conformity Assessment Body </w:t>
            </w:r>
          </w:p>
        </w:tc>
        <w:tc>
          <w:tcPr>
            <w:tcW w:w="90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SOG-IS</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E699"/>
            <w:noWrap/>
            <w:vAlign w:val="center"/>
            <w:hideMark/>
          </w:tcPr>
          <w:p w:rsidR="00913429" w:rsidRDefault="00E143F0">
            <w:pPr>
              <w:spacing w:after="0" w:line="240" w:lineRule="auto"/>
              <w:rPr>
                <w:rFonts w:ascii="Calibri" w:eastAsia="Times New Roman" w:hAnsi="Calibri"/>
                <w:b/>
                <w:bCs/>
                <w:noProof/>
                <w:color w:val="000000"/>
                <w:sz w:val="16"/>
                <w:szCs w:val="16"/>
                <w:lang w:eastAsia="it-IT"/>
              </w:rPr>
            </w:pPr>
            <w:r>
              <w:rPr>
                <w:rFonts w:ascii="Calibri" w:eastAsia="Times New Roman" w:hAnsi="Calibri"/>
                <w:b/>
                <w:bCs/>
                <w:noProof/>
                <w:color w:val="000000"/>
                <w:sz w:val="16"/>
                <w:szCs w:val="16"/>
                <w:lang w:eastAsia="it-IT"/>
              </w:rPr>
              <w:t>DFKI</w:t>
            </w:r>
          </w:p>
        </w:tc>
        <w:tc>
          <w:tcPr>
            <w:tcW w:w="1603"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German Research Center for Artificial Intelligence</w:t>
            </w:r>
          </w:p>
        </w:tc>
        <w:tc>
          <w:tcPr>
            <w:tcW w:w="155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xml:space="preserve">Conformity Assessment Body </w:t>
            </w:r>
          </w:p>
        </w:tc>
        <w:tc>
          <w:tcPr>
            <w:tcW w:w="90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SOG-IS</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F2CC"/>
            <w:noWrap/>
            <w:vAlign w:val="center"/>
            <w:hideMark/>
          </w:tcPr>
          <w:p w:rsidR="00913429" w:rsidRDefault="00E143F0">
            <w:pPr>
              <w:spacing w:after="0" w:line="240" w:lineRule="auto"/>
              <w:rPr>
                <w:rFonts w:ascii="Calibri" w:eastAsia="Times New Roman" w:hAnsi="Calibri"/>
                <w:b/>
                <w:bCs/>
                <w:noProof/>
                <w:color w:val="000000"/>
                <w:sz w:val="16"/>
                <w:szCs w:val="16"/>
                <w:lang w:eastAsia="it-IT"/>
              </w:rPr>
            </w:pPr>
            <w:r>
              <w:rPr>
                <w:rFonts w:ascii="Calibri" w:eastAsia="Times New Roman" w:hAnsi="Calibri"/>
                <w:b/>
                <w:bCs/>
                <w:noProof/>
                <w:color w:val="000000"/>
                <w:sz w:val="16"/>
                <w:szCs w:val="16"/>
                <w:lang w:eastAsia="it-IT"/>
              </w:rPr>
              <w:t>Epoche and Espri</w:t>
            </w:r>
          </w:p>
        </w:tc>
        <w:tc>
          <w:tcPr>
            <w:tcW w:w="1603"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xml:space="preserve">IT security </w:t>
            </w:r>
            <w:r>
              <w:rPr>
                <w:rFonts w:ascii="Calibri" w:eastAsia="Times New Roman" w:hAnsi="Calibri"/>
                <w:noProof/>
                <w:color w:val="000000"/>
                <w:sz w:val="16"/>
                <w:szCs w:val="16"/>
                <w:lang w:eastAsia="it-IT"/>
              </w:rPr>
              <w:t>evaluation and testing services</w:t>
            </w:r>
          </w:p>
        </w:tc>
        <w:tc>
          <w:tcPr>
            <w:tcW w:w="155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xml:space="preserve">Conformity Assessment Body </w:t>
            </w:r>
          </w:p>
        </w:tc>
        <w:tc>
          <w:tcPr>
            <w:tcW w:w="90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SOG-IS</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E699"/>
            <w:noWrap/>
            <w:vAlign w:val="center"/>
            <w:hideMark/>
          </w:tcPr>
          <w:p w:rsidR="00913429" w:rsidRDefault="00E143F0">
            <w:pPr>
              <w:spacing w:after="0" w:line="240" w:lineRule="auto"/>
              <w:rPr>
                <w:rFonts w:ascii="Calibri" w:eastAsia="Times New Roman" w:hAnsi="Calibri"/>
                <w:b/>
                <w:bCs/>
                <w:noProof/>
                <w:color w:val="000000"/>
                <w:sz w:val="16"/>
                <w:szCs w:val="16"/>
                <w:lang w:eastAsia="it-IT"/>
              </w:rPr>
            </w:pPr>
            <w:r>
              <w:rPr>
                <w:rFonts w:ascii="Calibri" w:eastAsia="Times New Roman" w:hAnsi="Calibri"/>
                <w:b/>
                <w:bCs/>
                <w:noProof/>
                <w:color w:val="000000"/>
                <w:sz w:val="16"/>
                <w:szCs w:val="16"/>
                <w:lang w:eastAsia="it-IT"/>
              </w:rPr>
              <w:t>IMQ</w:t>
            </w:r>
          </w:p>
        </w:tc>
        <w:tc>
          <w:tcPr>
            <w:tcW w:w="1603"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Certification Authority and a European leader in conformity assessments and laboratory tests</w:t>
            </w:r>
          </w:p>
        </w:tc>
        <w:tc>
          <w:tcPr>
            <w:tcW w:w="155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xml:space="preserve">Conformity Assessment Body </w:t>
            </w:r>
          </w:p>
        </w:tc>
        <w:tc>
          <w:tcPr>
            <w:tcW w:w="90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SOG-IS</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F2CC"/>
            <w:noWrap/>
            <w:vAlign w:val="center"/>
            <w:hideMark/>
          </w:tcPr>
          <w:p w:rsidR="00913429" w:rsidRDefault="00E143F0">
            <w:pPr>
              <w:spacing w:after="0" w:line="240" w:lineRule="auto"/>
              <w:rPr>
                <w:rFonts w:ascii="Calibri" w:eastAsia="Times New Roman" w:hAnsi="Calibri"/>
                <w:b/>
                <w:bCs/>
                <w:noProof/>
                <w:color w:val="000000"/>
                <w:sz w:val="16"/>
                <w:szCs w:val="16"/>
                <w:lang w:eastAsia="it-IT"/>
              </w:rPr>
            </w:pPr>
            <w:r>
              <w:rPr>
                <w:rFonts w:ascii="Calibri" w:eastAsia="Times New Roman" w:hAnsi="Calibri"/>
                <w:b/>
                <w:bCs/>
                <w:noProof/>
                <w:color w:val="000000"/>
                <w:sz w:val="16"/>
                <w:szCs w:val="16"/>
                <w:lang w:eastAsia="it-IT"/>
              </w:rPr>
              <w:t>SELTA</w:t>
            </w:r>
          </w:p>
        </w:tc>
        <w:tc>
          <w:tcPr>
            <w:tcW w:w="1603"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xml:space="preserve">Leading in the design of solutions for network's </w:t>
            </w:r>
            <w:r>
              <w:rPr>
                <w:rFonts w:ascii="Calibri" w:eastAsia="Times New Roman" w:hAnsi="Calibri"/>
                <w:noProof/>
                <w:color w:val="000000"/>
                <w:sz w:val="16"/>
                <w:szCs w:val="16"/>
                <w:lang w:eastAsia="it-IT"/>
              </w:rPr>
              <w:t>automation in the field of energy and transport</w:t>
            </w:r>
          </w:p>
        </w:tc>
        <w:tc>
          <w:tcPr>
            <w:tcW w:w="155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xml:space="preserve">Conformity Assessment Body </w:t>
            </w:r>
          </w:p>
        </w:tc>
        <w:tc>
          <w:tcPr>
            <w:tcW w:w="90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SOG-IS</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E699"/>
            <w:noWrap/>
            <w:vAlign w:val="center"/>
            <w:hideMark/>
          </w:tcPr>
          <w:p w:rsidR="00913429" w:rsidRDefault="00E143F0">
            <w:pPr>
              <w:spacing w:after="0" w:line="240" w:lineRule="auto"/>
              <w:rPr>
                <w:rFonts w:ascii="Calibri" w:eastAsia="Times New Roman" w:hAnsi="Calibri"/>
                <w:b/>
                <w:bCs/>
                <w:noProof/>
                <w:color w:val="000000"/>
                <w:sz w:val="16"/>
                <w:szCs w:val="16"/>
                <w:lang w:eastAsia="it-IT"/>
              </w:rPr>
            </w:pPr>
            <w:r>
              <w:rPr>
                <w:rFonts w:ascii="Calibri" w:eastAsia="Times New Roman" w:hAnsi="Calibri"/>
                <w:b/>
                <w:bCs/>
                <w:noProof/>
                <w:color w:val="000000"/>
                <w:sz w:val="16"/>
                <w:szCs w:val="16"/>
                <w:lang w:eastAsia="it-IT"/>
              </w:rPr>
              <w:t>MTG</w:t>
            </w:r>
          </w:p>
        </w:tc>
        <w:tc>
          <w:tcPr>
            <w:tcW w:w="1603"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Independent consulting and software company</w:t>
            </w:r>
          </w:p>
        </w:tc>
        <w:tc>
          <w:tcPr>
            <w:tcW w:w="155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xml:space="preserve">Conformity Assessment Body </w:t>
            </w:r>
          </w:p>
        </w:tc>
        <w:tc>
          <w:tcPr>
            <w:tcW w:w="90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SOG-IS</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F2CC"/>
            <w:noWrap/>
            <w:vAlign w:val="center"/>
            <w:hideMark/>
          </w:tcPr>
          <w:p w:rsidR="00913429" w:rsidRDefault="00E143F0">
            <w:pPr>
              <w:spacing w:after="0" w:line="240" w:lineRule="auto"/>
              <w:rPr>
                <w:rFonts w:ascii="Calibri" w:eastAsia="Times New Roman" w:hAnsi="Calibri"/>
                <w:b/>
                <w:bCs/>
                <w:noProof/>
                <w:color w:val="000000"/>
                <w:sz w:val="16"/>
                <w:szCs w:val="16"/>
                <w:lang w:eastAsia="it-IT"/>
              </w:rPr>
            </w:pPr>
            <w:r>
              <w:rPr>
                <w:rFonts w:ascii="Calibri" w:eastAsia="Times New Roman" w:hAnsi="Calibri"/>
                <w:b/>
                <w:bCs/>
                <w:noProof/>
                <w:color w:val="000000"/>
                <w:sz w:val="16"/>
                <w:szCs w:val="16"/>
                <w:lang w:eastAsia="it-IT"/>
              </w:rPr>
              <w:t>Norconsult</w:t>
            </w:r>
          </w:p>
        </w:tc>
        <w:tc>
          <w:tcPr>
            <w:tcW w:w="1603"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Multidisciplinary consultancy firms in the Nordic re</w:t>
            </w:r>
          </w:p>
        </w:tc>
        <w:tc>
          <w:tcPr>
            <w:tcW w:w="155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xml:space="preserve">Conformity Assessment Body </w:t>
            </w:r>
          </w:p>
        </w:tc>
        <w:tc>
          <w:tcPr>
            <w:tcW w:w="90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SOG-IS</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E699"/>
            <w:noWrap/>
            <w:vAlign w:val="center"/>
            <w:hideMark/>
          </w:tcPr>
          <w:p w:rsidR="00913429" w:rsidRDefault="00E143F0">
            <w:pPr>
              <w:spacing w:after="0" w:line="240" w:lineRule="auto"/>
              <w:rPr>
                <w:rFonts w:ascii="Calibri" w:eastAsia="Times New Roman" w:hAnsi="Calibri"/>
                <w:b/>
                <w:bCs/>
                <w:noProof/>
                <w:color w:val="000000"/>
                <w:sz w:val="16"/>
                <w:szCs w:val="16"/>
                <w:lang w:eastAsia="it-IT"/>
              </w:rPr>
            </w:pPr>
            <w:r>
              <w:rPr>
                <w:rFonts w:ascii="Calibri" w:eastAsia="Times New Roman" w:hAnsi="Calibri"/>
                <w:b/>
                <w:bCs/>
                <w:noProof/>
                <w:color w:val="000000"/>
                <w:sz w:val="16"/>
                <w:szCs w:val="16"/>
                <w:lang w:eastAsia="it-IT"/>
              </w:rPr>
              <w:t>NTT Security</w:t>
            </w:r>
          </w:p>
        </w:tc>
        <w:tc>
          <w:tcPr>
            <w:tcW w:w="1603"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Consulting services, managed security services and technology solutions</w:t>
            </w:r>
          </w:p>
        </w:tc>
        <w:tc>
          <w:tcPr>
            <w:tcW w:w="155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xml:space="preserve">Conformity Assessment Body </w:t>
            </w:r>
          </w:p>
        </w:tc>
        <w:tc>
          <w:tcPr>
            <w:tcW w:w="90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SOG-IS</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F2CC"/>
            <w:noWrap/>
            <w:vAlign w:val="center"/>
            <w:hideMark/>
          </w:tcPr>
          <w:p w:rsidR="00913429" w:rsidRDefault="00E143F0">
            <w:pPr>
              <w:spacing w:after="0" w:line="240" w:lineRule="auto"/>
              <w:rPr>
                <w:rFonts w:ascii="Calibri" w:eastAsia="Times New Roman" w:hAnsi="Calibri"/>
                <w:b/>
                <w:bCs/>
                <w:noProof/>
                <w:color w:val="000000"/>
                <w:sz w:val="16"/>
                <w:szCs w:val="16"/>
                <w:lang w:eastAsia="it-IT"/>
              </w:rPr>
            </w:pPr>
            <w:r>
              <w:rPr>
                <w:rFonts w:ascii="Calibri" w:eastAsia="Times New Roman" w:hAnsi="Calibri"/>
                <w:b/>
                <w:bCs/>
                <w:noProof/>
                <w:color w:val="000000"/>
                <w:sz w:val="16"/>
                <w:szCs w:val="16"/>
                <w:lang w:eastAsia="it-IT"/>
              </w:rPr>
              <w:t>Oppida</w:t>
            </w:r>
          </w:p>
        </w:tc>
        <w:tc>
          <w:tcPr>
            <w:tcW w:w="1603"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Evaluation and consulting services</w:t>
            </w:r>
          </w:p>
        </w:tc>
        <w:tc>
          <w:tcPr>
            <w:tcW w:w="155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xml:space="preserve">Conformity Assessment Body </w:t>
            </w:r>
          </w:p>
        </w:tc>
        <w:tc>
          <w:tcPr>
            <w:tcW w:w="90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SOG-IS, CSPN</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E699"/>
            <w:noWrap/>
            <w:vAlign w:val="center"/>
            <w:hideMark/>
          </w:tcPr>
          <w:p w:rsidR="00913429" w:rsidRDefault="00E143F0">
            <w:pPr>
              <w:spacing w:after="0" w:line="240" w:lineRule="auto"/>
              <w:rPr>
                <w:rFonts w:ascii="Calibri" w:eastAsia="Times New Roman" w:hAnsi="Calibri"/>
                <w:b/>
                <w:bCs/>
                <w:noProof/>
                <w:color w:val="000000"/>
                <w:sz w:val="16"/>
                <w:szCs w:val="16"/>
                <w:lang w:eastAsia="it-IT"/>
              </w:rPr>
            </w:pPr>
            <w:r>
              <w:rPr>
                <w:rFonts w:ascii="Calibri" w:eastAsia="Times New Roman" w:hAnsi="Calibri"/>
                <w:b/>
                <w:bCs/>
                <w:noProof/>
                <w:color w:val="000000"/>
                <w:sz w:val="16"/>
                <w:szCs w:val="16"/>
                <w:lang w:eastAsia="it-IT"/>
              </w:rPr>
              <w:t>Riscure</w:t>
            </w:r>
          </w:p>
        </w:tc>
        <w:tc>
          <w:tcPr>
            <w:tcW w:w="1603"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xml:space="preserve">Global </w:t>
            </w:r>
            <w:r>
              <w:rPr>
                <w:rFonts w:ascii="Calibri" w:eastAsia="Times New Roman" w:hAnsi="Calibri"/>
                <w:noProof/>
                <w:color w:val="000000"/>
                <w:sz w:val="16"/>
                <w:szCs w:val="16"/>
                <w:lang w:eastAsia="it-IT"/>
              </w:rPr>
              <w:t>security test lab</w:t>
            </w:r>
          </w:p>
        </w:tc>
        <w:tc>
          <w:tcPr>
            <w:tcW w:w="155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xml:space="preserve">Conformity Assessment Body </w:t>
            </w:r>
          </w:p>
        </w:tc>
        <w:tc>
          <w:tcPr>
            <w:tcW w:w="90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SOG-IS</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F2CC"/>
            <w:noWrap/>
            <w:vAlign w:val="center"/>
            <w:hideMark/>
          </w:tcPr>
          <w:p w:rsidR="00913429" w:rsidRDefault="00E143F0">
            <w:pPr>
              <w:spacing w:after="0" w:line="240" w:lineRule="auto"/>
              <w:rPr>
                <w:rFonts w:ascii="Calibri" w:eastAsia="Times New Roman" w:hAnsi="Calibri"/>
                <w:b/>
                <w:bCs/>
                <w:noProof/>
                <w:color w:val="000000"/>
                <w:sz w:val="16"/>
                <w:szCs w:val="16"/>
                <w:lang w:eastAsia="it-IT"/>
              </w:rPr>
            </w:pPr>
            <w:r>
              <w:rPr>
                <w:rFonts w:ascii="Calibri" w:eastAsia="Times New Roman" w:hAnsi="Calibri"/>
                <w:b/>
                <w:bCs/>
                <w:noProof/>
                <w:color w:val="000000"/>
                <w:sz w:val="16"/>
                <w:szCs w:val="16"/>
                <w:lang w:eastAsia="it-IT"/>
              </w:rPr>
              <w:t>Secuvera</w:t>
            </w:r>
          </w:p>
        </w:tc>
        <w:tc>
          <w:tcPr>
            <w:tcW w:w="1603"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Security Consulting</w:t>
            </w:r>
          </w:p>
        </w:tc>
        <w:tc>
          <w:tcPr>
            <w:tcW w:w="155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xml:space="preserve">Conformity Assessment Body </w:t>
            </w:r>
          </w:p>
        </w:tc>
        <w:tc>
          <w:tcPr>
            <w:tcW w:w="90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SOG-IS</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E699"/>
            <w:noWrap/>
            <w:vAlign w:val="center"/>
            <w:hideMark/>
          </w:tcPr>
          <w:p w:rsidR="00913429" w:rsidRDefault="00E143F0">
            <w:pPr>
              <w:spacing w:after="0" w:line="240" w:lineRule="auto"/>
              <w:rPr>
                <w:rFonts w:ascii="Calibri" w:eastAsia="Times New Roman" w:hAnsi="Calibri"/>
                <w:b/>
                <w:bCs/>
                <w:noProof/>
                <w:color w:val="000000"/>
                <w:sz w:val="16"/>
                <w:szCs w:val="16"/>
                <w:lang w:eastAsia="it-IT"/>
              </w:rPr>
            </w:pPr>
            <w:r>
              <w:rPr>
                <w:rFonts w:ascii="Calibri" w:eastAsia="Times New Roman" w:hAnsi="Calibri"/>
                <w:b/>
                <w:bCs/>
                <w:noProof/>
                <w:color w:val="000000"/>
                <w:sz w:val="16"/>
                <w:szCs w:val="16"/>
                <w:lang w:eastAsia="it-IT"/>
              </w:rPr>
              <w:t>Serma-Safety-Security</w:t>
            </w:r>
          </w:p>
        </w:tc>
        <w:tc>
          <w:tcPr>
            <w:tcW w:w="1603"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xml:space="preserve">Security formal evaluation, </w:t>
            </w:r>
            <w:r>
              <w:rPr>
                <w:rFonts w:ascii="Calibri" w:eastAsia="Times New Roman" w:hAnsi="Calibri"/>
                <w:noProof/>
                <w:color w:val="000000"/>
                <w:sz w:val="16"/>
                <w:szCs w:val="16"/>
                <w:lang w:eastAsia="it-IT"/>
              </w:rPr>
              <w:br/>
              <w:t>Security expertize and consulting;</w:t>
            </w:r>
            <w:r>
              <w:rPr>
                <w:rFonts w:ascii="Calibri" w:eastAsia="Times New Roman" w:hAnsi="Calibri"/>
                <w:noProof/>
                <w:color w:val="000000"/>
                <w:sz w:val="16"/>
                <w:szCs w:val="16"/>
                <w:lang w:eastAsia="it-IT"/>
              </w:rPr>
              <w:br/>
              <w:t>Safety expertize and consulting.</w:t>
            </w:r>
          </w:p>
        </w:tc>
        <w:tc>
          <w:tcPr>
            <w:tcW w:w="155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xml:space="preserve">Conformity Assessment Body </w:t>
            </w:r>
          </w:p>
        </w:tc>
        <w:tc>
          <w:tcPr>
            <w:tcW w:w="90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SOG-IS, CSPN</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F2CC"/>
            <w:noWrap/>
            <w:vAlign w:val="center"/>
            <w:hideMark/>
          </w:tcPr>
          <w:p w:rsidR="00913429" w:rsidRDefault="00E143F0">
            <w:pPr>
              <w:spacing w:after="0" w:line="240" w:lineRule="auto"/>
              <w:rPr>
                <w:rFonts w:ascii="Calibri" w:eastAsia="Times New Roman" w:hAnsi="Calibri"/>
                <w:b/>
                <w:bCs/>
                <w:noProof/>
                <w:color w:val="000000"/>
                <w:sz w:val="16"/>
                <w:szCs w:val="16"/>
                <w:lang w:eastAsia="it-IT"/>
              </w:rPr>
            </w:pPr>
            <w:r>
              <w:rPr>
                <w:rFonts w:ascii="Calibri" w:eastAsia="Times New Roman" w:hAnsi="Calibri"/>
                <w:b/>
                <w:bCs/>
                <w:noProof/>
                <w:color w:val="000000"/>
                <w:sz w:val="16"/>
                <w:szCs w:val="16"/>
                <w:lang w:eastAsia="it-IT"/>
              </w:rPr>
              <w:t>Sogeti</w:t>
            </w:r>
          </w:p>
        </w:tc>
        <w:tc>
          <w:tcPr>
            <w:tcW w:w="1603"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Technology and Engineering Services</w:t>
            </w:r>
          </w:p>
        </w:tc>
        <w:tc>
          <w:tcPr>
            <w:tcW w:w="155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xml:space="preserve">Conformity Assessment Body </w:t>
            </w:r>
          </w:p>
        </w:tc>
        <w:tc>
          <w:tcPr>
            <w:tcW w:w="90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SOG-IS, CSPN</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E699"/>
            <w:noWrap/>
            <w:vAlign w:val="center"/>
            <w:hideMark/>
          </w:tcPr>
          <w:p w:rsidR="00913429" w:rsidRDefault="00E143F0">
            <w:pPr>
              <w:spacing w:after="0" w:line="240" w:lineRule="auto"/>
              <w:rPr>
                <w:rFonts w:ascii="Calibri" w:eastAsia="Times New Roman" w:hAnsi="Calibri"/>
                <w:b/>
                <w:bCs/>
                <w:noProof/>
                <w:color w:val="000000"/>
                <w:sz w:val="16"/>
                <w:szCs w:val="16"/>
                <w:lang w:eastAsia="it-IT"/>
              </w:rPr>
            </w:pPr>
            <w:r>
              <w:rPr>
                <w:rFonts w:ascii="Calibri" w:eastAsia="Times New Roman" w:hAnsi="Calibri"/>
                <w:b/>
                <w:bCs/>
                <w:noProof/>
                <w:color w:val="000000"/>
                <w:sz w:val="16"/>
                <w:szCs w:val="16"/>
                <w:lang w:eastAsia="it-IT"/>
              </w:rPr>
              <w:t>Src-Gmbh</w:t>
            </w:r>
          </w:p>
        </w:tc>
        <w:tc>
          <w:tcPr>
            <w:tcW w:w="1603"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Provide service in the areas of information technology and information security</w:t>
            </w:r>
          </w:p>
        </w:tc>
        <w:tc>
          <w:tcPr>
            <w:tcW w:w="155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xml:space="preserve">Conformity Assessment Body </w:t>
            </w:r>
          </w:p>
        </w:tc>
        <w:tc>
          <w:tcPr>
            <w:tcW w:w="90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SOG-IS</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F2CC"/>
            <w:noWrap/>
            <w:vAlign w:val="center"/>
            <w:hideMark/>
          </w:tcPr>
          <w:p w:rsidR="00913429" w:rsidRDefault="00E143F0">
            <w:pPr>
              <w:spacing w:after="0" w:line="240" w:lineRule="auto"/>
              <w:rPr>
                <w:rFonts w:ascii="Calibri" w:eastAsia="Times New Roman" w:hAnsi="Calibri"/>
                <w:b/>
                <w:bCs/>
                <w:noProof/>
                <w:color w:val="000000"/>
                <w:sz w:val="16"/>
                <w:szCs w:val="16"/>
                <w:lang w:eastAsia="it-IT"/>
              </w:rPr>
            </w:pPr>
            <w:r>
              <w:rPr>
                <w:rFonts w:ascii="Calibri" w:eastAsia="Times New Roman" w:hAnsi="Calibri"/>
                <w:b/>
                <w:bCs/>
                <w:noProof/>
                <w:color w:val="000000"/>
                <w:sz w:val="16"/>
                <w:szCs w:val="16"/>
                <w:lang w:eastAsia="it-IT"/>
              </w:rPr>
              <w:t>Cclab</w:t>
            </w:r>
          </w:p>
        </w:tc>
        <w:tc>
          <w:tcPr>
            <w:tcW w:w="1603"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Evaluation services</w:t>
            </w:r>
          </w:p>
        </w:tc>
        <w:tc>
          <w:tcPr>
            <w:tcW w:w="155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xml:space="preserve">Conformity Assessment Body </w:t>
            </w:r>
          </w:p>
        </w:tc>
        <w:tc>
          <w:tcPr>
            <w:tcW w:w="90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SOG-IS</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E699"/>
            <w:noWrap/>
            <w:vAlign w:val="center"/>
            <w:hideMark/>
          </w:tcPr>
          <w:p w:rsidR="00913429" w:rsidRDefault="00E143F0">
            <w:pPr>
              <w:spacing w:after="0" w:line="240" w:lineRule="auto"/>
              <w:rPr>
                <w:rFonts w:ascii="Calibri" w:eastAsia="Times New Roman" w:hAnsi="Calibri"/>
                <w:b/>
                <w:bCs/>
                <w:noProof/>
                <w:color w:val="000000"/>
                <w:sz w:val="16"/>
                <w:szCs w:val="16"/>
                <w:lang w:eastAsia="it-IT"/>
              </w:rPr>
            </w:pPr>
            <w:r>
              <w:rPr>
                <w:rFonts w:ascii="Calibri" w:eastAsia="Times New Roman" w:hAnsi="Calibri"/>
                <w:b/>
                <w:bCs/>
                <w:noProof/>
                <w:color w:val="000000"/>
                <w:sz w:val="16"/>
                <w:szCs w:val="16"/>
                <w:lang w:eastAsia="it-IT"/>
              </w:rPr>
              <w:t>Technisblu</w:t>
            </w:r>
          </w:p>
        </w:tc>
        <w:tc>
          <w:tcPr>
            <w:tcW w:w="1603"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IT consulting</w:t>
            </w:r>
          </w:p>
        </w:tc>
        <w:tc>
          <w:tcPr>
            <w:tcW w:w="155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xml:space="preserve">Conformity Assessment Body </w:t>
            </w:r>
          </w:p>
        </w:tc>
        <w:tc>
          <w:tcPr>
            <w:tcW w:w="90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SOG-IS</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F2CC"/>
            <w:noWrap/>
            <w:vAlign w:val="center"/>
            <w:hideMark/>
          </w:tcPr>
          <w:p w:rsidR="00913429" w:rsidRDefault="00E143F0">
            <w:pPr>
              <w:spacing w:after="0" w:line="240" w:lineRule="auto"/>
              <w:rPr>
                <w:rFonts w:ascii="Calibri" w:eastAsia="Times New Roman" w:hAnsi="Calibri"/>
                <w:b/>
                <w:bCs/>
                <w:noProof/>
                <w:color w:val="000000"/>
                <w:sz w:val="16"/>
                <w:szCs w:val="16"/>
                <w:lang w:eastAsia="it-IT"/>
              </w:rPr>
            </w:pPr>
            <w:r>
              <w:rPr>
                <w:rFonts w:ascii="Calibri" w:eastAsia="Times New Roman" w:hAnsi="Calibri"/>
                <w:b/>
                <w:bCs/>
                <w:noProof/>
                <w:color w:val="000000"/>
                <w:sz w:val="16"/>
                <w:szCs w:val="16"/>
                <w:lang w:eastAsia="it-IT"/>
              </w:rPr>
              <w:t>Thalesgroup</w:t>
            </w:r>
          </w:p>
        </w:tc>
        <w:tc>
          <w:tcPr>
            <w:tcW w:w="1603"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Safety and Security Solutions</w:t>
            </w:r>
          </w:p>
        </w:tc>
        <w:tc>
          <w:tcPr>
            <w:tcW w:w="155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xml:space="preserve">Conformity Assessment Body </w:t>
            </w:r>
          </w:p>
        </w:tc>
        <w:tc>
          <w:tcPr>
            <w:tcW w:w="90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SOG-IS, CSPN</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E699"/>
            <w:noWrap/>
            <w:vAlign w:val="center"/>
            <w:hideMark/>
          </w:tcPr>
          <w:p w:rsidR="00913429" w:rsidRDefault="00E143F0">
            <w:pPr>
              <w:spacing w:after="0" w:line="240" w:lineRule="auto"/>
              <w:rPr>
                <w:rFonts w:ascii="Calibri" w:eastAsia="Times New Roman" w:hAnsi="Calibri"/>
                <w:b/>
                <w:bCs/>
                <w:noProof/>
                <w:color w:val="000000"/>
                <w:sz w:val="16"/>
                <w:szCs w:val="16"/>
                <w:lang w:eastAsia="it-IT"/>
              </w:rPr>
            </w:pPr>
            <w:r>
              <w:rPr>
                <w:rFonts w:ascii="Calibri" w:eastAsia="Times New Roman" w:hAnsi="Calibri"/>
                <w:b/>
                <w:bCs/>
                <w:noProof/>
                <w:color w:val="000000"/>
                <w:sz w:val="16"/>
                <w:szCs w:val="16"/>
                <w:lang w:eastAsia="it-IT"/>
              </w:rPr>
              <w:t>T-Systems</w:t>
            </w:r>
          </w:p>
        </w:tc>
        <w:tc>
          <w:tcPr>
            <w:tcW w:w="1603"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xml:space="preserve">Integrated solutions for the networked </w:t>
            </w:r>
            <w:r>
              <w:rPr>
                <w:rFonts w:ascii="Calibri" w:eastAsia="Times New Roman" w:hAnsi="Calibri"/>
                <w:noProof/>
                <w:color w:val="000000"/>
                <w:sz w:val="16"/>
                <w:szCs w:val="16"/>
                <w:lang w:eastAsia="it-IT"/>
              </w:rPr>
              <w:t>future of business and society</w:t>
            </w:r>
          </w:p>
        </w:tc>
        <w:tc>
          <w:tcPr>
            <w:tcW w:w="155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xml:space="preserve">Conformity Assessment Body </w:t>
            </w:r>
          </w:p>
        </w:tc>
        <w:tc>
          <w:tcPr>
            <w:tcW w:w="90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SOG-IS</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F2CC"/>
            <w:noWrap/>
            <w:vAlign w:val="center"/>
            <w:hideMark/>
          </w:tcPr>
          <w:p w:rsidR="00913429" w:rsidRDefault="00E143F0">
            <w:pPr>
              <w:spacing w:after="0" w:line="240" w:lineRule="auto"/>
              <w:rPr>
                <w:rFonts w:ascii="Calibri" w:eastAsia="Times New Roman" w:hAnsi="Calibri"/>
                <w:b/>
                <w:bCs/>
                <w:noProof/>
                <w:color w:val="000000"/>
                <w:sz w:val="16"/>
                <w:szCs w:val="16"/>
                <w:lang w:eastAsia="it-IT"/>
              </w:rPr>
            </w:pPr>
            <w:r>
              <w:rPr>
                <w:rFonts w:ascii="Calibri" w:eastAsia="Times New Roman" w:hAnsi="Calibri"/>
                <w:b/>
                <w:bCs/>
                <w:noProof/>
                <w:color w:val="000000"/>
                <w:sz w:val="16"/>
                <w:szCs w:val="16"/>
                <w:lang w:eastAsia="it-IT"/>
              </w:rPr>
              <w:t>Tuvit</w:t>
            </w:r>
          </w:p>
        </w:tc>
        <w:tc>
          <w:tcPr>
            <w:tcW w:w="1603"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IT security</w:t>
            </w:r>
          </w:p>
        </w:tc>
        <w:tc>
          <w:tcPr>
            <w:tcW w:w="155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xml:space="preserve">Conformity Assessment Body </w:t>
            </w:r>
          </w:p>
        </w:tc>
        <w:tc>
          <w:tcPr>
            <w:tcW w:w="90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SOG-IS</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E699"/>
            <w:noWrap/>
            <w:vAlign w:val="center"/>
            <w:hideMark/>
          </w:tcPr>
          <w:p w:rsidR="00913429" w:rsidRDefault="00E143F0">
            <w:pPr>
              <w:spacing w:after="0" w:line="240" w:lineRule="auto"/>
              <w:rPr>
                <w:rFonts w:ascii="Calibri" w:eastAsia="Times New Roman" w:hAnsi="Calibri"/>
                <w:b/>
                <w:bCs/>
                <w:noProof/>
                <w:color w:val="000000"/>
                <w:sz w:val="16"/>
                <w:szCs w:val="16"/>
                <w:lang w:eastAsia="it-IT"/>
              </w:rPr>
            </w:pPr>
            <w:r>
              <w:rPr>
                <w:rFonts w:ascii="Calibri" w:eastAsia="Times New Roman" w:hAnsi="Calibri"/>
                <w:b/>
                <w:bCs/>
                <w:noProof/>
                <w:color w:val="000000"/>
                <w:sz w:val="16"/>
                <w:szCs w:val="16"/>
                <w:lang w:eastAsia="it-IT"/>
              </w:rPr>
              <w:t>UL</w:t>
            </w:r>
          </w:p>
        </w:tc>
        <w:tc>
          <w:tcPr>
            <w:tcW w:w="1603"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Global leader in safeguarding security, compliance, and global interoperability</w:t>
            </w:r>
          </w:p>
        </w:tc>
        <w:tc>
          <w:tcPr>
            <w:tcW w:w="155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xml:space="preserve">Conformity Assessment Body </w:t>
            </w:r>
          </w:p>
        </w:tc>
        <w:tc>
          <w:tcPr>
            <w:tcW w:w="90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SOG-IS</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F2CC"/>
            <w:noWrap/>
            <w:vAlign w:val="center"/>
            <w:hideMark/>
          </w:tcPr>
          <w:p w:rsidR="00913429" w:rsidRDefault="00E143F0">
            <w:pPr>
              <w:spacing w:after="0" w:line="240" w:lineRule="auto"/>
              <w:rPr>
                <w:rFonts w:ascii="Calibri" w:eastAsia="Times New Roman" w:hAnsi="Calibri"/>
                <w:b/>
                <w:bCs/>
                <w:noProof/>
                <w:color w:val="000000"/>
                <w:sz w:val="16"/>
                <w:szCs w:val="16"/>
                <w:lang w:eastAsia="it-IT"/>
              </w:rPr>
            </w:pPr>
            <w:r>
              <w:rPr>
                <w:rFonts w:ascii="Calibri" w:eastAsia="Times New Roman" w:hAnsi="Calibri"/>
                <w:b/>
                <w:bCs/>
                <w:noProof/>
                <w:color w:val="000000"/>
                <w:sz w:val="16"/>
                <w:szCs w:val="16"/>
                <w:lang w:eastAsia="it-IT"/>
              </w:rPr>
              <w:t>Roke</w:t>
            </w:r>
          </w:p>
        </w:tc>
        <w:tc>
          <w:tcPr>
            <w:tcW w:w="1603"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xml:space="preserve">Evaluation LAB </w:t>
            </w:r>
          </w:p>
        </w:tc>
        <w:tc>
          <w:tcPr>
            <w:tcW w:w="155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xml:space="preserve">Conformity Assessment Body </w:t>
            </w:r>
          </w:p>
        </w:tc>
        <w:tc>
          <w:tcPr>
            <w:tcW w:w="90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CPA</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E699"/>
            <w:noWrap/>
            <w:vAlign w:val="center"/>
            <w:hideMark/>
          </w:tcPr>
          <w:p w:rsidR="00913429" w:rsidRDefault="00E143F0">
            <w:pPr>
              <w:spacing w:after="0" w:line="240" w:lineRule="auto"/>
              <w:rPr>
                <w:rFonts w:ascii="Calibri" w:eastAsia="Times New Roman" w:hAnsi="Calibri"/>
                <w:b/>
                <w:bCs/>
                <w:noProof/>
                <w:color w:val="000000"/>
                <w:sz w:val="16"/>
                <w:szCs w:val="16"/>
                <w:lang w:eastAsia="it-IT"/>
              </w:rPr>
            </w:pPr>
            <w:r>
              <w:rPr>
                <w:rFonts w:ascii="Calibri" w:eastAsia="Times New Roman" w:hAnsi="Calibri"/>
                <w:b/>
                <w:bCs/>
                <w:noProof/>
                <w:color w:val="000000"/>
                <w:sz w:val="16"/>
                <w:szCs w:val="16"/>
                <w:lang w:eastAsia="it-IT"/>
              </w:rPr>
              <w:t>KPMG</w:t>
            </w:r>
          </w:p>
        </w:tc>
        <w:tc>
          <w:tcPr>
            <w:tcW w:w="1603"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xml:space="preserve">Evaluation LAB </w:t>
            </w:r>
          </w:p>
        </w:tc>
        <w:tc>
          <w:tcPr>
            <w:tcW w:w="155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xml:space="preserve">Conformity Assessment Body </w:t>
            </w:r>
          </w:p>
        </w:tc>
        <w:tc>
          <w:tcPr>
            <w:tcW w:w="90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CPA</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F2CC"/>
            <w:noWrap/>
            <w:vAlign w:val="center"/>
            <w:hideMark/>
          </w:tcPr>
          <w:p w:rsidR="00913429" w:rsidRDefault="00E143F0">
            <w:pPr>
              <w:spacing w:after="0" w:line="240" w:lineRule="auto"/>
              <w:rPr>
                <w:rFonts w:ascii="Calibri" w:eastAsia="Times New Roman" w:hAnsi="Calibri"/>
                <w:b/>
                <w:bCs/>
                <w:noProof/>
                <w:color w:val="000000"/>
                <w:sz w:val="16"/>
                <w:szCs w:val="16"/>
                <w:lang w:eastAsia="it-IT"/>
              </w:rPr>
            </w:pPr>
            <w:r>
              <w:rPr>
                <w:rFonts w:ascii="Calibri" w:eastAsia="Times New Roman" w:hAnsi="Calibri"/>
                <w:b/>
                <w:bCs/>
                <w:noProof/>
                <w:color w:val="000000"/>
                <w:sz w:val="16"/>
                <w:szCs w:val="16"/>
                <w:lang w:eastAsia="it-IT"/>
              </w:rPr>
              <w:t>Context</w:t>
            </w:r>
          </w:p>
        </w:tc>
        <w:tc>
          <w:tcPr>
            <w:tcW w:w="1603"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xml:space="preserve">Evaluation LAB </w:t>
            </w:r>
          </w:p>
        </w:tc>
        <w:tc>
          <w:tcPr>
            <w:tcW w:w="155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xml:space="preserve">Conformity Assessment Body </w:t>
            </w:r>
          </w:p>
        </w:tc>
        <w:tc>
          <w:tcPr>
            <w:tcW w:w="90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CPA</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E699"/>
            <w:noWrap/>
            <w:vAlign w:val="center"/>
            <w:hideMark/>
          </w:tcPr>
          <w:p w:rsidR="00913429" w:rsidRDefault="00E143F0">
            <w:pPr>
              <w:spacing w:after="0" w:line="240" w:lineRule="auto"/>
              <w:rPr>
                <w:rFonts w:ascii="Calibri" w:eastAsia="Times New Roman" w:hAnsi="Calibri"/>
                <w:b/>
                <w:bCs/>
                <w:noProof/>
                <w:color w:val="000000"/>
                <w:sz w:val="16"/>
                <w:szCs w:val="16"/>
                <w:lang w:eastAsia="it-IT"/>
              </w:rPr>
            </w:pPr>
            <w:r>
              <w:rPr>
                <w:rFonts w:ascii="Calibri" w:eastAsia="Times New Roman" w:hAnsi="Calibri"/>
                <w:b/>
                <w:bCs/>
                <w:noProof/>
                <w:color w:val="000000"/>
                <w:sz w:val="16"/>
                <w:szCs w:val="16"/>
                <w:lang w:eastAsia="it-IT"/>
              </w:rPr>
              <w:t>Dnv-Gl</w:t>
            </w:r>
          </w:p>
        </w:tc>
        <w:tc>
          <w:tcPr>
            <w:tcW w:w="1603"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xml:space="preserve">Evaluation LAB </w:t>
            </w:r>
          </w:p>
        </w:tc>
        <w:tc>
          <w:tcPr>
            <w:tcW w:w="155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xml:space="preserve">Conformity Assessment Body </w:t>
            </w:r>
          </w:p>
        </w:tc>
        <w:tc>
          <w:tcPr>
            <w:tcW w:w="90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CPA</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F2CC"/>
            <w:noWrap/>
            <w:vAlign w:val="center"/>
            <w:hideMark/>
          </w:tcPr>
          <w:p w:rsidR="00913429" w:rsidRDefault="00E143F0">
            <w:pPr>
              <w:spacing w:after="0" w:line="240" w:lineRule="auto"/>
              <w:rPr>
                <w:rFonts w:ascii="Calibri" w:eastAsia="Times New Roman" w:hAnsi="Calibri"/>
                <w:b/>
                <w:bCs/>
                <w:noProof/>
                <w:color w:val="000000"/>
                <w:sz w:val="16"/>
                <w:szCs w:val="16"/>
                <w:lang w:eastAsia="it-IT"/>
              </w:rPr>
            </w:pPr>
            <w:r>
              <w:rPr>
                <w:rFonts w:ascii="Calibri" w:eastAsia="Times New Roman" w:hAnsi="Calibri"/>
                <w:b/>
                <w:bCs/>
                <w:noProof/>
                <w:color w:val="000000"/>
                <w:sz w:val="16"/>
                <w:szCs w:val="16"/>
                <w:lang w:eastAsia="it-IT"/>
              </w:rPr>
              <w:t>Info-Assure-Ltd</w:t>
            </w:r>
          </w:p>
        </w:tc>
        <w:tc>
          <w:tcPr>
            <w:tcW w:w="1603"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xml:space="preserve">Evaluation LAB </w:t>
            </w:r>
          </w:p>
        </w:tc>
        <w:tc>
          <w:tcPr>
            <w:tcW w:w="155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xml:space="preserve">Conformity Assessment Body </w:t>
            </w:r>
          </w:p>
        </w:tc>
        <w:tc>
          <w:tcPr>
            <w:tcW w:w="90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CPA</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E699"/>
            <w:noWrap/>
            <w:vAlign w:val="center"/>
            <w:hideMark/>
          </w:tcPr>
          <w:p w:rsidR="00913429" w:rsidRDefault="00E143F0">
            <w:pPr>
              <w:spacing w:after="0" w:line="240" w:lineRule="auto"/>
              <w:rPr>
                <w:rFonts w:ascii="Calibri" w:eastAsia="Times New Roman" w:hAnsi="Calibri"/>
                <w:b/>
                <w:bCs/>
                <w:noProof/>
                <w:color w:val="000000"/>
                <w:sz w:val="16"/>
                <w:szCs w:val="16"/>
                <w:lang w:eastAsia="it-IT"/>
              </w:rPr>
            </w:pPr>
            <w:r>
              <w:rPr>
                <w:rFonts w:ascii="Calibri" w:eastAsia="Times New Roman" w:hAnsi="Calibri"/>
                <w:b/>
                <w:bCs/>
                <w:noProof/>
                <w:color w:val="000000"/>
                <w:sz w:val="16"/>
                <w:szCs w:val="16"/>
                <w:lang w:eastAsia="it-IT"/>
              </w:rPr>
              <w:t>NCC Group</w:t>
            </w:r>
          </w:p>
        </w:tc>
        <w:tc>
          <w:tcPr>
            <w:tcW w:w="1603"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xml:space="preserve">Evaluation LAB </w:t>
            </w:r>
          </w:p>
        </w:tc>
        <w:tc>
          <w:tcPr>
            <w:tcW w:w="155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xml:space="preserve">Conformity Assessment Body </w:t>
            </w:r>
          </w:p>
        </w:tc>
        <w:tc>
          <w:tcPr>
            <w:tcW w:w="90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CPA</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F2CC"/>
            <w:noWrap/>
            <w:vAlign w:val="center"/>
            <w:hideMark/>
          </w:tcPr>
          <w:p w:rsidR="00913429" w:rsidRDefault="00E143F0">
            <w:pPr>
              <w:spacing w:after="0" w:line="240" w:lineRule="auto"/>
              <w:rPr>
                <w:rFonts w:ascii="Calibri" w:eastAsia="Times New Roman" w:hAnsi="Calibri"/>
                <w:b/>
                <w:bCs/>
                <w:noProof/>
                <w:color w:val="000000"/>
                <w:sz w:val="16"/>
                <w:szCs w:val="16"/>
                <w:lang w:eastAsia="it-IT"/>
              </w:rPr>
            </w:pPr>
            <w:r>
              <w:rPr>
                <w:rFonts w:ascii="Calibri" w:eastAsia="Times New Roman" w:hAnsi="Calibri"/>
                <w:b/>
                <w:bCs/>
                <w:noProof/>
                <w:color w:val="000000"/>
                <w:sz w:val="16"/>
                <w:szCs w:val="16"/>
                <w:lang w:eastAsia="it-IT"/>
              </w:rPr>
              <w:t>Siventure</w:t>
            </w:r>
          </w:p>
        </w:tc>
        <w:tc>
          <w:tcPr>
            <w:tcW w:w="1603"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xml:space="preserve">Evaluation LAB </w:t>
            </w:r>
          </w:p>
        </w:tc>
        <w:tc>
          <w:tcPr>
            <w:tcW w:w="155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xml:space="preserve">Conformity Assessment Body </w:t>
            </w:r>
          </w:p>
        </w:tc>
        <w:tc>
          <w:tcPr>
            <w:tcW w:w="90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CPA</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E699"/>
            <w:noWrap/>
            <w:vAlign w:val="center"/>
            <w:hideMark/>
          </w:tcPr>
          <w:p w:rsidR="00913429" w:rsidRDefault="00E143F0">
            <w:pPr>
              <w:spacing w:after="0" w:line="240" w:lineRule="auto"/>
              <w:rPr>
                <w:rFonts w:ascii="Calibri" w:eastAsia="Times New Roman" w:hAnsi="Calibri"/>
                <w:b/>
                <w:bCs/>
                <w:noProof/>
                <w:color w:val="000000"/>
                <w:sz w:val="16"/>
                <w:szCs w:val="16"/>
                <w:lang w:eastAsia="it-IT"/>
              </w:rPr>
            </w:pPr>
            <w:r>
              <w:rPr>
                <w:rFonts w:ascii="Calibri" w:eastAsia="Times New Roman" w:hAnsi="Calibri"/>
                <w:b/>
                <w:bCs/>
                <w:noProof/>
                <w:color w:val="000000"/>
                <w:sz w:val="16"/>
                <w:szCs w:val="16"/>
                <w:lang w:eastAsia="it-IT"/>
              </w:rPr>
              <w:t>CGI IT UK Ltd</w:t>
            </w:r>
          </w:p>
        </w:tc>
        <w:tc>
          <w:tcPr>
            <w:tcW w:w="1603"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xml:space="preserve">Evaluation LAB </w:t>
            </w:r>
          </w:p>
        </w:tc>
        <w:tc>
          <w:tcPr>
            <w:tcW w:w="155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xml:space="preserve">Conformity Assessment Body </w:t>
            </w:r>
          </w:p>
        </w:tc>
        <w:tc>
          <w:tcPr>
            <w:tcW w:w="90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CPA</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F2CC"/>
            <w:noWrap/>
            <w:vAlign w:val="center"/>
            <w:hideMark/>
          </w:tcPr>
          <w:p w:rsidR="00913429" w:rsidRDefault="00E143F0">
            <w:pPr>
              <w:spacing w:after="0" w:line="240" w:lineRule="auto"/>
              <w:rPr>
                <w:rFonts w:ascii="Calibri" w:eastAsia="Times New Roman" w:hAnsi="Calibri"/>
                <w:b/>
                <w:bCs/>
                <w:noProof/>
                <w:color w:val="000000"/>
                <w:sz w:val="16"/>
                <w:szCs w:val="16"/>
                <w:lang w:eastAsia="it-IT"/>
              </w:rPr>
            </w:pPr>
            <w:r>
              <w:rPr>
                <w:rFonts w:ascii="Calibri" w:eastAsia="Times New Roman" w:hAnsi="Calibri"/>
                <w:b/>
                <w:bCs/>
                <w:noProof/>
                <w:color w:val="000000"/>
                <w:sz w:val="16"/>
                <w:szCs w:val="16"/>
                <w:lang w:eastAsia="it-IT"/>
              </w:rPr>
              <w:t>EDSI</w:t>
            </w:r>
          </w:p>
        </w:tc>
        <w:tc>
          <w:tcPr>
            <w:tcW w:w="1603"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Evaluation LAB</w:t>
            </w:r>
          </w:p>
        </w:tc>
        <w:tc>
          <w:tcPr>
            <w:tcW w:w="155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xml:space="preserve">Conformity Assessment Body </w:t>
            </w:r>
          </w:p>
        </w:tc>
        <w:tc>
          <w:tcPr>
            <w:tcW w:w="90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CSPN</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E699"/>
            <w:noWrap/>
            <w:vAlign w:val="center"/>
            <w:hideMark/>
          </w:tcPr>
          <w:p w:rsidR="00913429" w:rsidRDefault="00E143F0">
            <w:pPr>
              <w:spacing w:after="0" w:line="240" w:lineRule="auto"/>
              <w:rPr>
                <w:rFonts w:ascii="Calibri" w:eastAsia="Times New Roman" w:hAnsi="Calibri"/>
                <w:b/>
                <w:bCs/>
                <w:noProof/>
                <w:color w:val="000000"/>
                <w:sz w:val="16"/>
                <w:szCs w:val="16"/>
                <w:lang w:eastAsia="it-IT"/>
              </w:rPr>
            </w:pPr>
            <w:r>
              <w:rPr>
                <w:rFonts w:ascii="Calibri" w:eastAsia="Times New Roman" w:hAnsi="Calibri"/>
                <w:b/>
                <w:bCs/>
                <w:noProof/>
                <w:color w:val="000000"/>
                <w:sz w:val="16"/>
                <w:szCs w:val="16"/>
                <w:lang w:eastAsia="it-IT"/>
              </w:rPr>
              <w:t>Lexfo</w:t>
            </w:r>
          </w:p>
        </w:tc>
        <w:tc>
          <w:tcPr>
            <w:tcW w:w="1603"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Evaluation LAB</w:t>
            </w:r>
          </w:p>
        </w:tc>
        <w:tc>
          <w:tcPr>
            <w:tcW w:w="155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xml:space="preserve">Conformity Assessment Body </w:t>
            </w:r>
          </w:p>
        </w:tc>
        <w:tc>
          <w:tcPr>
            <w:tcW w:w="90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CSPN</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F2CC"/>
            <w:noWrap/>
            <w:vAlign w:val="center"/>
            <w:hideMark/>
          </w:tcPr>
          <w:p w:rsidR="00913429" w:rsidRDefault="00E143F0">
            <w:pPr>
              <w:spacing w:after="0" w:line="240" w:lineRule="auto"/>
              <w:rPr>
                <w:rFonts w:ascii="Calibri" w:eastAsia="Times New Roman" w:hAnsi="Calibri"/>
                <w:b/>
                <w:bCs/>
                <w:noProof/>
                <w:color w:val="000000"/>
                <w:sz w:val="16"/>
                <w:szCs w:val="16"/>
                <w:lang w:eastAsia="it-IT"/>
              </w:rPr>
            </w:pPr>
            <w:r>
              <w:rPr>
                <w:rFonts w:ascii="Calibri" w:eastAsia="Times New Roman" w:hAnsi="Calibri"/>
                <w:b/>
                <w:bCs/>
                <w:noProof/>
                <w:color w:val="000000"/>
                <w:sz w:val="16"/>
                <w:szCs w:val="16"/>
                <w:lang w:eastAsia="it-IT"/>
              </w:rPr>
              <w:t>QuarksLab</w:t>
            </w:r>
          </w:p>
        </w:tc>
        <w:tc>
          <w:tcPr>
            <w:tcW w:w="1603"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Evaluation LAB</w:t>
            </w:r>
          </w:p>
        </w:tc>
        <w:tc>
          <w:tcPr>
            <w:tcW w:w="155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xml:space="preserve">Conformity Assessment Body </w:t>
            </w:r>
          </w:p>
        </w:tc>
        <w:tc>
          <w:tcPr>
            <w:tcW w:w="90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CSPN</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E699"/>
            <w:noWrap/>
            <w:vAlign w:val="center"/>
            <w:hideMark/>
          </w:tcPr>
          <w:p w:rsidR="00913429" w:rsidRDefault="00E143F0">
            <w:pPr>
              <w:spacing w:after="0" w:line="240" w:lineRule="auto"/>
              <w:rPr>
                <w:rFonts w:ascii="Calibri" w:eastAsia="Times New Roman" w:hAnsi="Calibri"/>
                <w:b/>
                <w:bCs/>
                <w:noProof/>
                <w:color w:val="000000"/>
                <w:sz w:val="16"/>
                <w:szCs w:val="16"/>
                <w:lang w:eastAsia="it-IT"/>
              </w:rPr>
            </w:pPr>
            <w:r>
              <w:rPr>
                <w:rFonts w:ascii="Calibri" w:eastAsia="Times New Roman" w:hAnsi="Calibri"/>
                <w:b/>
                <w:bCs/>
                <w:noProof/>
                <w:color w:val="000000"/>
                <w:sz w:val="16"/>
                <w:szCs w:val="16"/>
                <w:lang w:eastAsia="it-IT"/>
              </w:rPr>
              <w:t>Serma Safety</w:t>
            </w:r>
          </w:p>
        </w:tc>
        <w:tc>
          <w:tcPr>
            <w:tcW w:w="1603"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Evaluation LAB</w:t>
            </w:r>
          </w:p>
        </w:tc>
        <w:tc>
          <w:tcPr>
            <w:tcW w:w="155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xml:space="preserve">Conformity Assessment Body </w:t>
            </w:r>
          </w:p>
        </w:tc>
        <w:tc>
          <w:tcPr>
            <w:tcW w:w="90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CSPN</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F2CC"/>
            <w:noWrap/>
            <w:vAlign w:val="center"/>
            <w:hideMark/>
          </w:tcPr>
          <w:p w:rsidR="00913429" w:rsidRDefault="00E143F0">
            <w:pPr>
              <w:spacing w:after="0" w:line="240" w:lineRule="auto"/>
              <w:rPr>
                <w:rFonts w:ascii="Calibri" w:eastAsia="Times New Roman" w:hAnsi="Calibri"/>
                <w:b/>
                <w:bCs/>
                <w:noProof/>
                <w:color w:val="000000"/>
                <w:sz w:val="16"/>
                <w:szCs w:val="16"/>
                <w:lang w:eastAsia="it-IT"/>
              </w:rPr>
            </w:pPr>
            <w:r>
              <w:rPr>
                <w:rFonts w:ascii="Calibri" w:eastAsia="Times New Roman" w:hAnsi="Calibri"/>
                <w:b/>
                <w:bCs/>
                <w:noProof/>
                <w:color w:val="000000"/>
                <w:sz w:val="16"/>
                <w:szCs w:val="16"/>
                <w:lang w:eastAsia="it-IT"/>
              </w:rPr>
              <w:t>Synacktiv</w:t>
            </w:r>
          </w:p>
        </w:tc>
        <w:tc>
          <w:tcPr>
            <w:tcW w:w="1603"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Evaluation LAB</w:t>
            </w:r>
          </w:p>
        </w:tc>
        <w:tc>
          <w:tcPr>
            <w:tcW w:w="155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xml:space="preserve">Conformity Assessment Body </w:t>
            </w:r>
          </w:p>
        </w:tc>
        <w:tc>
          <w:tcPr>
            <w:tcW w:w="90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CSPN</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E699"/>
            <w:noWrap/>
            <w:vAlign w:val="center"/>
            <w:hideMark/>
          </w:tcPr>
          <w:p w:rsidR="00913429" w:rsidRDefault="00E143F0">
            <w:pPr>
              <w:spacing w:after="0" w:line="240" w:lineRule="auto"/>
              <w:rPr>
                <w:rFonts w:ascii="Calibri" w:eastAsia="Times New Roman" w:hAnsi="Calibri"/>
                <w:b/>
                <w:bCs/>
                <w:noProof/>
                <w:color w:val="000000"/>
                <w:sz w:val="16"/>
                <w:szCs w:val="16"/>
                <w:lang w:eastAsia="it-IT"/>
              </w:rPr>
            </w:pPr>
            <w:r>
              <w:rPr>
                <w:rFonts w:ascii="Calibri" w:eastAsia="Times New Roman" w:hAnsi="Calibri"/>
                <w:b/>
                <w:bCs/>
                <w:noProof/>
                <w:color w:val="000000"/>
                <w:sz w:val="16"/>
                <w:szCs w:val="16"/>
                <w:lang w:eastAsia="it-IT"/>
              </w:rPr>
              <w:t>Trusted Labs</w:t>
            </w:r>
          </w:p>
        </w:tc>
        <w:tc>
          <w:tcPr>
            <w:tcW w:w="1603"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Evaluation LAB</w:t>
            </w:r>
          </w:p>
        </w:tc>
        <w:tc>
          <w:tcPr>
            <w:tcW w:w="155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xml:space="preserve">Conformity Assessment Body </w:t>
            </w:r>
          </w:p>
        </w:tc>
        <w:tc>
          <w:tcPr>
            <w:tcW w:w="90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CSPN</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F2CC"/>
            <w:noWrap/>
            <w:vAlign w:val="center"/>
            <w:hideMark/>
          </w:tcPr>
          <w:p w:rsidR="00913429" w:rsidRDefault="00E143F0">
            <w:pPr>
              <w:spacing w:after="0" w:line="240" w:lineRule="auto"/>
              <w:rPr>
                <w:rFonts w:ascii="Calibri" w:eastAsia="Times New Roman" w:hAnsi="Calibri"/>
                <w:b/>
                <w:bCs/>
                <w:noProof/>
                <w:color w:val="000000"/>
                <w:sz w:val="16"/>
                <w:szCs w:val="16"/>
                <w:lang w:eastAsia="it-IT"/>
              </w:rPr>
            </w:pPr>
            <w:r>
              <w:rPr>
                <w:rFonts w:ascii="Calibri" w:eastAsia="Times New Roman" w:hAnsi="Calibri"/>
                <w:b/>
                <w:bCs/>
                <w:noProof/>
                <w:color w:val="000000"/>
                <w:sz w:val="16"/>
                <w:szCs w:val="16"/>
                <w:lang w:eastAsia="it-IT"/>
              </w:rPr>
              <w:t>Blancco</w:t>
            </w:r>
          </w:p>
        </w:tc>
        <w:tc>
          <w:tcPr>
            <w:tcW w:w="1603"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val="fr-FR" w:eastAsia="it-IT"/>
              </w:rPr>
            </w:pPr>
            <w:r>
              <w:rPr>
                <w:rFonts w:ascii="Calibri" w:eastAsia="Times New Roman" w:hAnsi="Calibri"/>
                <w:noProof/>
                <w:color w:val="000000"/>
                <w:sz w:val="16"/>
                <w:szCs w:val="16"/>
                <w:lang w:val="fr-FR" w:eastAsia="it-IT"/>
              </w:rPr>
              <w:t>CPA-CC -CSPN fragmentation example</w:t>
            </w:r>
          </w:p>
        </w:tc>
        <w:tc>
          <w:tcPr>
            <w:tcW w:w="155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val="fr-FR" w:eastAsia="it-IT"/>
              </w:rPr>
            </w:pPr>
            <w:r>
              <w:rPr>
                <w:rFonts w:ascii="Calibri" w:eastAsia="Times New Roman" w:hAnsi="Calibri"/>
                <w:noProof/>
                <w:color w:val="000000"/>
                <w:sz w:val="16"/>
                <w:szCs w:val="16"/>
                <w:lang w:val="fr-FR" w:eastAsia="it-IT"/>
              </w:rPr>
              <w:t> </w:t>
            </w:r>
          </w:p>
        </w:tc>
        <w:tc>
          <w:tcPr>
            <w:tcW w:w="90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CPA, CC, CSPN</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E699"/>
            <w:noWrap/>
            <w:vAlign w:val="center"/>
            <w:hideMark/>
          </w:tcPr>
          <w:p w:rsidR="00913429" w:rsidRDefault="00E143F0">
            <w:pPr>
              <w:spacing w:after="0" w:line="240" w:lineRule="auto"/>
              <w:rPr>
                <w:rFonts w:ascii="Calibri" w:eastAsia="Times New Roman" w:hAnsi="Calibri"/>
                <w:b/>
                <w:bCs/>
                <w:noProof/>
                <w:color w:val="000000"/>
                <w:sz w:val="16"/>
                <w:szCs w:val="16"/>
                <w:lang w:eastAsia="it-IT"/>
              </w:rPr>
            </w:pPr>
            <w:r>
              <w:rPr>
                <w:rFonts w:ascii="Calibri" w:eastAsia="Times New Roman" w:hAnsi="Calibri"/>
                <w:b/>
                <w:bCs/>
                <w:noProof/>
                <w:color w:val="000000"/>
                <w:sz w:val="16"/>
                <w:szCs w:val="16"/>
                <w:lang w:eastAsia="it-IT"/>
              </w:rPr>
              <w:t>ANNSI</w:t>
            </w:r>
          </w:p>
        </w:tc>
        <w:tc>
          <w:tcPr>
            <w:tcW w:w="1603"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French CB</w:t>
            </w:r>
          </w:p>
        </w:tc>
        <w:tc>
          <w:tcPr>
            <w:tcW w:w="155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Conformity assessment and Certification Authorities</w:t>
            </w:r>
          </w:p>
        </w:tc>
        <w:tc>
          <w:tcPr>
            <w:tcW w:w="90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F2CC"/>
            <w:noWrap/>
            <w:vAlign w:val="center"/>
            <w:hideMark/>
          </w:tcPr>
          <w:p w:rsidR="00913429" w:rsidRDefault="00E143F0">
            <w:pPr>
              <w:spacing w:after="0" w:line="240" w:lineRule="auto"/>
              <w:rPr>
                <w:rFonts w:ascii="Calibri" w:eastAsia="Times New Roman" w:hAnsi="Calibri"/>
                <w:b/>
                <w:bCs/>
                <w:noProof/>
                <w:color w:val="000000"/>
                <w:sz w:val="16"/>
                <w:szCs w:val="16"/>
                <w:lang w:eastAsia="it-IT"/>
              </w:rPr>
            </w:pPr>
            <w:r>
              <w:rPr>
                <w:rFonts w:ascii="Calibri" w:eastAsia="Times New Roman" w:hAnsi="Calibri"/>
                <w:b/>
                <w:bCs/>
                <w:noProof/>
                <w:color w:val="000000"/>
                <w:sz w:val="16"/>
                <w:szCs w:val="16"/>
                <w:lang w:eastAsia="it-IT"/>
              </w:rPr>
              <w:t>CCN</w:t>
            </w:r>
          </w:p>
        </w:tc>
        <w:tc>
          <w:tcPr>
            <w:tcW w:w="1603"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Spanish CB</w:t>
            </w:r>
          </w:p>
        </w:tc>
        <w:tc>
          <w:tcPr>
            <w:tcW w:w="155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xml:space="preserve">Conformity </w:t>
            </w:r>
            <w:r>
              <w:rPr>
                <w:rFonts w:ascii="Calibri" w:eastAsia="Times New Roman" w:hAnsi="Calibri"/>
                <w:noProof/>
                <w:color w:val="000000"/>
                <w:sz w:val="16"/>
                <w:szCs w:val="16"/>
                <w:lang w:eastAsia="it-IT"/>
              </w:rPr>
              <w:t>assessment and Certification Authorities</w:t>
            </w:r>
          </w:p>
        </w:tc>
        <w:tc>
          <w:tcPr>
            <w:tcW w:w="90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E699"/>
            <w:noWrap/>
            <w:vAlign w:val="center"/>
            <w:hideMark/>
          </w:tcPr>
          <w:p w:rsidR="00913429" w:rsidRDefault="00E143F0">
            <w:pPr>
              <w:spacing w:after="0" w:line="240" w:lineRule="auto"/>
              <w:rPr>
                <w:rFonts w:ascii="Calibri" w:eastAsia="Times New Roman" w:hAnsi="Calibri"/>
                <w:b/>
                <w:bCs/>
                <w:noProof/>
                <w:color w:val="000000"/>
                <w:sz w:val="16"/>
                <w:szCs w:val="16"/>
                <w:lang w:eastAsia="it-IT"/>
              </w:rPr>
            </w:pPr>
            <w:r>
              <w:rPr>
                <w:rFonts w:ascii="Calibri" w:eastAsia="Times New Roman" w:hAnsi="Calibri"/>
                <w:b/>
                <w:bCs/>
                <w:noProof/>
                <w:color w:val="000000"/>
                <w:sz w:val="16"/>
                <w:szCs w:val="16"/>
                <w:lang w:eastAsia="it-IT"/>
              </w:rPr>
              <w:t>BSI</w:t>
            </w:r>
          </w:p>
        </w:tc>
        <w:tc>
          <w:tcPr>
            <w:tcW w:w="1603"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German CB</w:t>
            </w:r>
          </w:p>
        </w:tc>
        <w:tc>
          <w:tcPr>
            <w:tcW w:w="155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Conformity assessment and Certification Authorities</w:t>
            </w:r>
          </w:p>
        </w:tc>
        <w:tc>
          <w:tcPr>
            <w:tcW w:w="90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auto" w:fill="FFF0CC" w:themeFill="accent2" w:themeFillTint="33"/>
            <w:noWrap/>
            <w:vAlign w:val="center"/>
          </w:tcPr>
          <w:p w:rsidR="00913429" w:rsidRDefault="00E143F0">
            <w:pPr>
              <w:spacing w:after="0" w:line="240" w:lineRule="auto"/>
              <w:rPr>
                <w:rFonts w:ascii="Calibri" w:eastAsia="Times New Roman" w:hAnsi="Calibri"/>
                <w:b/>
                <w:bCs/>
                <w:noProof/>
                <w:color w:val="000000"/>
                <w:sz w:val="16"/>
                <w:szCs w:val="16"/>
                <w:lang w:eastAsia="it-IT"/>
              </w:rPr>
            </w:pPr>
            <w:r>
              <w:rPr>
                <w:rFonts w:ascii="Calibri" w:eastAsia="Times New Roman" w:hAnsi="Calibri"/>
                <w:b/>
                <w:bCs/>
                <w:noProof/>
                <w:color w:val="000000"/>
                <w:sz w:val="16"/>
                <w:szCs w:val="16"/>
                <w:lang w:eastAsia="it-IT"/>
              </w:rPr>
              <w:t>BSI</w:t>
            </w:r>
          </w:p>
        </w:tc>
        <w:tc>
          <w:tcPr>
            <w:tcW w:w="1603" w:type="pct"/>
            <w:tcBorders>
              <w:top w:val="nil"/>
              <w:left w:val="nil"/>
              <w:bottom w:val="single" w:sz="4" w:space="0" w:color="auto"/>
              <w:right w:val="single" w:sz="4" w:space="0" w:color="auto"/>
            </w:tcBorders>
            <w:shd w:val="clear" w:color="auto" w:fill="FFF0CC" w:themeFill="accent2" w:themeFillTint="33"/>
            <w:vAlign w:val="center"/>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German CB</w:t>
            </w:r>
          </w:p>
        </w:tc>
        <w:tc>
          <w:tcPr>
            <w:tcW w:w="1556" w:type="pct"/>
            <w:tcBorders>
              <w:top w:val="nil"/>
              <w:left w:val="nil"/>
              <w:bottom w:val="single" w:sz="4" w:space="0" w:color="auto"/>
              <w:right w:val="single" w:sz="4" w:space="0" w:color="auto"/>
            </w:tcBorders>
            <w:shd w:val="clear" w:color="auto" w:fill="FFF0CC" w:themeFill="accent2" w:themeFillTint="33"/>
            <w:vAlign w:val="center"/>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Conformity assessment and Certification Authorities</w:t>
            </w:r>
          </w:p>
        </w:tc>
        <w:tc>
          <w:tcPr>
            <w:tcW w:w="906" w:type="pct"/>
            <w:tcBorders>
              <w:top w:val="nil"/>
              <w:left w:val="nil"/>
              <w:bottom w:val="single" w:sz="4" w:space="0" w:color="auto"/>
              <w:right w:val="single" w:sz="4" w:space="0" w:color="auto"/>
            </w:tcBorders>
            <w:shd w:val="clear" w:color="auto" w:fill="FFF0CC" w:themeFill="accent2" w:themeFillTint="33"/>
            <w:vAlign w:val="center"/>
          </w:tcPr>
          <w:p w:rsidR="00913429" w:rsidRDefault="00913429">
            <w:pPr>
              <w:spacing w:after="0" w:line="240" w:lineRule="auto"/>
              <w:jc w:val="center"/>
              <w:rPr>
                <w:rFonts w:ascii="Calibri" w:eastAsia="Times New Roman" w:hAnsi="Calibri"/>
                <w:noProof/>
                <w:color w:val="000000"/>
                <w:sz w:val="16"/>
                <w:szCs w:val="16"/>
                <w:lang w:eastAsia="it-IT"/>
              </w:rPr>
            </w:pP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E699"/>
            <w:noWrap/>
            <w:vAlign w:val="center"/>
          </w:tcPr>
          <w:p w:rsidR="00913429" w:rsidRDefault="00E143F0">
            <w:pPr>
              <w:spacing w:after="0" w:line="240" w:lineRule="auto"/>
              <w:rPr>
                <w:rFonts w:ascii="Calibri" w:eastAsia="Times New Roman" w:hAnsi="Calibri"/>
                <w:b/>
                <w:bCs/>
                <w:noProof/>
                <w:color w:val="000000"/>
                <w:sz w:val="16"/>
                <w:szCs w:val="16"/>
                <w:lang w:eastAsia="it-IT"/>
              </w:rPr>
            </w:pPr>
            <w:r>
              <w:rPr>
                <w:rFonts w:ascii="Calibri" w:eastAsia="Times New Roman" w:hAnsi="Calibri"/>
                <w:b/>
                <w:bCs/>
                <w:noProof/>
                <w:color w:val="000000"/>
                <w:sz w:val="16"/>
                <w:szCs w:val="16"/>
                <w:lang w:eastAsia="it-IT"/>
              </w:rPr>
              <w:t>BSI</w:t>
            </w:r>
          </w:p>
        </w:tc>
        <w:tc>
          <w:tcPr>
            <w:tcW w:w="1603" w:type="pct"/>
            <w:tcBorders>
              <w:top w:val="nil"/>
              <w:left w:val="nil"/>
              <w:bottom w:val="single" w:sz="4" w:space="0" w:color="auto"/>
              <w:right w:val="single" w:sz="4" w:space="0" w:color="auto"/>
            </w:tcBorders>
            <w:shd w:val="clear" w:color="000000" w:fill="FFE699"/>
            <w:vAlign w:val="center"/>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German CB</w:t>
            </w:r>
          </w:p>
        </w:tc>
        <w:tc>
          <w:tcPr>
            <w:tcW w:w="1556" w:type="pct"/>
            <w:tcBorders>
              <w:top w:val="nil"/>
              <w:left w:val="nil"/>
              <w:bottom w:val="single" w:sz="4" w:space="0" w:color="auto"/>
              <w:right w:val="single" w:sz="4" w:space="0" w:color="auto"/>
            </w:tcBorders>
            <w:shd w:val="clear" w:color="000000" w:fill="FFE699"/>
            <w:vAlign w:val="center"/>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Conformity assessment and Certification Authorities</w:t>
            </w:r>
          </w:p>
        </w:tc>
        <w:tc>
          <w:tcPr>
            <w:tcW w:w="906" w:type="pct"/>
            <w:tcBorders>
              <w:top w:val="nil"/>
              <w:left w:val="nil"/>
              <w:bottom w:val="single" w:sz="4" w:space="0" w:color="auto"/>
              <w:right w:val="single" w:sz="4" w:space="0" w:color="auto"/>
            </w:tcBorders>
            <w:shd w:val="clear" w:color="000000" w:fill="FFE699"/>
            <w:vAlign w:val="center"/>
          </w:tcPr>
          <w:p w:rsidR="00913429" w:rsidRDefault="00913429">
            <w:pPr>
              <w:spacing w:after="0" w:line="240" w:lineRule="auto"/>
              <w:jc w:val="center"/>
              <w:rPr>
                <w:rFonts w:ascii="Calibri" w:eastAsia="Times New Roman" w:hAnsi="Calibri"/>
                <w:noProof/>
                <w:color w:val="000000"/>
                <w:sz w:val="16"/>
                <w:szCs w:val="16"/>
                <w:lang w:eastAsia="it-IT"/>
              </w:rPr>
            </w:pP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F2CC"/>
            <w:noWrap/>
            <w:vAlign w:val="center"/>
            <w:hideMark/>
          </w:tcPr>
          <w:p w:rsidR="00913429" w:rsidRDefault="00E143F0">
            <w:pPr>
              <w:spacing w:after="0" w:line="240" w:lineRule="auto"/>
              <w:rPr>
                <w:rFonts w:ascii="Calibri" w:eastAsia="Times New Roman" w:hAnsi="Calibri"/>
                <w:b/>
                <w:bCs/>
                <w:noProof/>
                <w:color w:val="000000"/>
                <w:sz w:val="16"/>
                <w:szCs w:val="16"/>
                <w:lang w:eastAsia="it-IT"/>
              </w:rPr>
            </w:pPr>
            <w:r>
              <w:rPr>
                <w:rFonts w:ascii="Calibri" w:eastAsia="Times New Roman" w:hAnsi="Calibri"/>
                <w:b/>
                <w:bCs/>
                <w:noProof/>
                <w:color w:val="000000"/>
                <w:sz w:val="16"/>
                <w:szCs w:val="16"/>
                <w:lang w:eastAsia="it-IT"/>
              </w:rPr>
              <w:t>NSCS</w:t>
            </w:r>
          </w:p>
        </w:tc>
        <w:tc>
          <w:tcPr>
            <w:tcW w:w="1603"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UK</w:t>
            </w:r>
            <w:r>
              <w:rPr>
                <w:rFonts w:ascii="Calibri" w:eastAsia="Times New Roman" w:hAnsi="Calibri"/>
                <w:noProof/>
                <w:color w:val="000000"/>
                <w:sz w:val="16"/>
                <w:szCs w:val="16"/>
                <w:lang w:eastAsia="it-IT"/>
              </w:rPr>
              <w:t xml:space="preserve"> CB</w:t>
            </w:r>
          </w:p>
        </w:tc>
        <w:tc>
          <w:tcPr>
            <w:tcW w:w="155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Conformity assessment and Certification Authorities</w:t>
            </w:r>
          </w:p>
        </w:tc>
        <w:tc>
          <w:tcPr>
            <w:tcW w:w="90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E699"/>
            <w:noWrap/>
            <w:vAlign w:val="center"/>
            <w:hideMark/>
          </w:tcPr>
          <w:p w:rsidR="00913429" w:rsidRDefault="00E143F0">
            <w:pPr>
              <w:spacing w:after="0" w:line="240" w:lineRule="auto"/>
              <w:rPr>
                <w:rFonts w:ascii="Calibri" w:eastAsia="Times New Roman" w:hAnsi="Calibri"/>
                <w:b/>
                <w:bCs/>
                <w:noProof/>
                <w:color w:val="000000"/>
                <w:sz w:val="16"/>
                <w:szCs w:val="16"/>
                <w:lang w:eastAsia="it-IT"/>
              </w:rPr>
            </w:pPr>
            <w:r>
              <w:rPr>
                <w:rFonts w:ascii="Calibri" w:eastAsia="Times New Roman" w:hAnsi="Calibri"/>
                <w:b/>
                <w:bCs/>
                <w:noProof/>
                <w:color w:val="000000"/>
                <w:sz w:val="16"/>
                <w:szCs w:val="16"/>
                <w:lang w:eastAsia="it-IT"/>
              </w:rPr>
              <w:t>FICORA</w:t>
            </w:r>
          </w:p>
        </w:tc>
        <w:tc>
          <w:tcPr>
            <w:tcW w:w="1603"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Finland CB</w:t>
            </w:r>
          </w:p>
        </w:tc>
        <w:tc>
          <w:tcPr>
            <w:tcW w:w="155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Conformity assessment and Certification Authorities</w:t>
            </w:r>
          </w:p>
        </w:tc>
        <w:tc>
          <w:tcPr>
            <w:tcW w:w="90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F2CC"/>
            <w:noWrap/>
            <w:vAlign w:val="center"/>
            <w:hideMark/>
          </w:tcPr>
          <w:p w:rsidR="00913429" w:rsidRDefault="00E143F0">
            <w:pPr>
              <w:spacing w:after="0" w:line="240" w:lineRule="auto"/>
              <w:rPr>
                <w:rFonts w:ascii="Calibri" w:eastAsia="Times New Roman" w:hAnsi="Calibri"/>
                <w:b/>
                <w:bCs/>
                <w:noProof/>
                <w:color w:val="000000"/>
                <w:sz w:val="16"/>
                <w:szCs w:val="16"/>
                <w:lang w:eastAsia="it-IT"/>
              </w:rPr>
            </w:pPr>
            <w:r>
              <w:rPr>
                <w:rFonts w:ascii="Calibri" w:eastAsia="Times New Roman" w:hAnsi="Calibri"/>
                <w:b/>
                <w:bCs/>
                <w:noProof/>
                <w:color w:val="000000"/>
                <w:sz w:val="16"/>
                <w:szCs w:val="16"/>
                <w:lang w:eastAsia="it-IT"/>
              </w:rPr>
              <w:t>SERTIT</w:t>
            </w:r>
          </w:p>
        </w:tc>
        <w:tc>
          <w:tcPr>
            <w:tcW w:w="1603"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Norvegian CB</w:t>
            </w:r>
          </w:p>
        </w:tc>
        <w:tc>
          <w:tcPr>
            <w:tcW w:w="155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Conformity assessment and Certification Authorities</w:t>
            </w:r>
          </w:p>
        </w:tc>
        <w:tc>
          <w:tcPr>
            <w:tcW w:w="90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E699"/>
            <w:noWrap/>
            <w:vAlign w:val="center"/>
            <w:hideMark/>
          </w:tcPr>
          <w:p w:rsidR="00913429" w:rsidRDefault="00E143F0">
            <w:pPr>
              <w:spacing w:after="0" w:line="240" w:lineRule="auto"/>
              <w:rPr>
                <w:rFonts w:ascii="Calibri" w:eastAsia="Times New Roman" w:hAnsi="Calibri"/>
                <w:b/>
                <w:bCs/>
                <w:noProof/>
                <w:color w:val="000000"/>
                <w:sz w:val="16"/>
                <w:szCs w:val="16"/>
                <w:lang w:eastAsia="it-IT"/>
              </w:rPr>
            </w:pPr>
            <w:r>
              <w:rPr>
                <w:rFonts w:ascii="Calibri" w:eastAsia="Times New Roman" w:hAnsi="Calibri"/>
                <w:b/>
                <w:bCs/>
                <w:noProof/>
                <w:color w:val="000000"/>
                <w:sz w:val="16"/>
                <w:szCs w:val="16"/>
                <w:lang w:eastAsia="it-IT"/>
              </w:rPr>
              <w:t>NLNCSA</w:t>
            </w:r>
          </w:p>
        </w:tc>
        <w:tc>
          <w:tcPr>
            <w:tcW w:w="1603"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Netherlands CB</w:t>
            </w:r>
          </w:p>
        </w:tc>
        <w:tc>
          <w:tcPr>
            <w:tcW w:w="155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xml:space="preserve">Conformity assessment and </w:t>
            </w:r>
            <w:r>
              <w:rPr>
                <w:rFonts w:ascii="Calibri" w:eastAsia="Times New Roman" w:hAnsi="Calibri"/>
                <w:noProof/>
                <w:color w:val="000000"/>
                <w:sz w:val="16"/>
                <w:szCs w:val="16"/>
                <w:lang w:eastAsia="it-IT"/>
              </w:rPr>
              <w:t>Certification Authorities</w:t>
            </w:r>
          </w:p>
        </w:tc>
        <w:tc>
          <w:tcPr>
            <w:tcW w:w="90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F2CC"/>
            <w:noWrap/>
            <w:vAlign w:val="center"/>
            <w:hideMark/>
          </w:tcPr>
          <w:p w:rsidR="00913429" w:rsidRDefault="00E143F0">
            <w:pPr>
              <w:spacing w:after="0" w:line="240" w:lineRule="auto"/>
              <w:rPr>
                <w:rFonts w:ascii="Calibri" w:eastAsia="Times New Roman" w:hAnsi="Calibri"/>
                <w:b/>
                <w:bCs/>
                <w:noProof/>
                <w:color w:val="000000"/>
                <w:sz w:val="16"/>
                <w:szCs w:val="16"/>
                <w:lang w:eastAsia="it-IT"/>
              </w:rPr>
            </w:pPr>
            <w:r>
              <w:rPr>
                <w:rFonts w:ascii="Calibri" w:eastAsia="Times New Roman" w:hAnsi="Calibri"/>
                <w:b/>
                <w:bCs/>
                <w:noProof/>
                <w:color w:val="000000"/>
                <w:sz w:val="16"/>
                <w:szCs w:val="16"/>
                <w:lang w:eastAsia="it-IT"/>
              </w:rPr>
              <w:t>OCSI</w:t>
            </w:r>
          </w:p>
        </w:tc>
        <w:tc>
          <w:tcPr>
            <w:tcW w:w="1603"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Italian CB</w:t>
            </w:r>
          </w:p>
        </w:tc>
        <w:tc>
          <w:tcPr>
            <w:tcW w:w="155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Conformity assessment and Certification Authorities</w:t>
            </w:r>
          </w:p>
        </w:tc>
        <w:tc>
          <w:tcPr>
            <w:tcW w:w="90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E699"/>
            <w:noWrap/>
            <w:vAlign w:val="center"/>
            <w:hideMark/>
          </w:tcPr>
          <w:p w:rsidR="00913429" w:rsidRDefault="00E143F0">
            <w:pPr>
              <w:spacing w:after="0" w:line="240" w:lineRule="auto"/>
              <w:rPr>
                <w:rFonts w:ascii="Calibri" w:eastAsia="Times New Roman" w:hAnsi="Calibri"/>
                <w:b/>
                <w:bCs/>
                <w:noProof/>
                <w:color w:val="000000"/>
                <w:sz w:val="16"/>
                <w:szCs w:val="16"/>
                <w:lang w:eastAsia="it-IT"/>
              </w:rPr>
            </w:pPr>
            <w:r>
              <w:rPr>
                <w:rFonts w:ascii="Calibri" w:eastAsia="Times New Roman" w:hAnsi="Calibri"/>
                <w:b/>
                <w:bCs/>
                <w:noProof/>
                <w:color w:val="000000"/>
                <w:sz w:val="16"/>
                <w:szCs w:val="16"/>
                <w:lang w:eastAsia="it-IT"/>
              </w:rPr>
              <w:t>NASK</w:t>
            </w:r>
          </w:p>
        </w:tc>
        <w:tc>
          <w:tcPr>
            <w:tcW w:w="1603"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Poland CB</w:t>
            </w:r>
          </w:p>
        </w:tc>
        <w:tc>
          <w:tcPr>
            <w:tcW w:w="155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Conformity assessment and Certification Authorities</w:t>
            </w:r>
          </w:p>
        </w:tc>
        <w:tc>
          <w:tcPr>
            <w:tcW w:w="90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F2CC"/>
            <w:noWrap/>
            <w:vAlign w:val="center"/>
            <w:hideMark/>
          </w:tcPr>
          <w:p w:rsidR="00913429" w:rsidRDefault="00E143F0">
            <w:pPr>
              <w:spacing w:after="0" w:line="240" w:lineRule="auto"/>
              <w:rPr>
                <w:rFonts w:ascii="Calibri" w:eastAsia="Times New Roman" w:hAnsi="Calibri"/>
                <w:b/>
                <w:bCs/>
                <w:noProof/>
                <w:color w:val="000000"/>
                <w:sz w:val="16"/>
                <w:szCs w:val="16"/>
                <w:lang w:eastAsia="it-IT"/>
              </w:rPr>
            </w:pPr>
            <w:r>
              <w:rPr>
                <w:rFonts w:ascii="Calibri" w:eastAsia="Times New Roman" w:hAnsi="Calibri"/>
                <w:b/>
                <w:bCs/>
                <w:noProof/>
                <w:color w:val="000000"/>
                <w:sz w:val="16"/>
                <w:szCs w:val="16"/>
                <w:lang w:eastAsia="it-IT"/>
              </w:rPr>
              <w:t>Bundeskanzleramt</w:t>
            </w:r>
          </w:p>
        </w:tc>
        <w:tc>
          <w:tcPr>
            <w:tcW w:w="1603"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Austria CB</w:t>
            </w:r>
          </w:p>
        </w:tc>
        <w:tc>
          <w:tcPr>
            <w:tcW w:w="155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Conformity assessment and Certification Authorities</w:t>
            </w:r>
          </w:p>
        </w:tc>
        <w:tc>
          <w:tcPr>
            <w:tcW w:w="90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E699"/>
            <w:noWrap/>
            <w:vAlign w:val="center"/>
            <w:hideMark/>
          </w:tcPr>
          <w:p w:rsidR="00913429" w:rsidRDefault="00E143F0">
            <w:pPr>
              <w:spacing w:after="0" w:line="240" w:lineRule="auto"/>
              <w:rPr>
                <w:rFonts w:ascii="Calibri" w:eastAsia="Times New Roman" w:hAnsi="Calibri"/>
                <w:b/>
                <w:bCs/>
                <w:noProof/>
                <w:color w:val="000000"/>
                <w:sz w:val="16"/>
                <w:szCs w:val="16"/>
                <w:lang w:eastAsia="it-IT"/>
              </w:rPr>
            </w:pPr>
            <w:r>
              <w:rPr>
                <w:rFonts w:ascii="Calibri" w:eastAsia="Times New Roman" w:hAnsi="Calibri"/>
                <w:b/>
                <w:bCs/>
                <w:noProof/>
                <w:color w:val="000000"/>
                <w:sz w:val="16"/>
                <w:szCs w:val="16"/>
                <w:lang w:eastAsia="it-IT"/>
              </w:rPr>
              <w:t>FMV</w:t>
            </w:r>
          </w:p>
        </w:tc>
        <w:tc>
          <w:tcPr>
            <w:tcW w:w="1603"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Sweden CB</w:t>
            </w:r>
          </w:p>
        </w:tc>
        <w:tc>
          <w:tcPr>
            <w:tcW w:w="155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Conformity assessment and Certification Authorities</w:t>
            </w:r>
          </w:p>
        </w:tc>
        <w:tc>
          <w:tcPr>
            <w:tcW w:w="90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F2CC"/>
            <w:noWrap/>
            <w:vAlign w:val="center"/>
            <w:hideMark/>
          </w:tcPr>
          <w:p w:rsidR="00913429" w:rsidRDefault="00E143F0">
            <w:pPr>
              <w:spacing w:after="0" w:line="240" w:lineRule="auto"/>
              <w:rPr>
                <w:rFonts w:ascii="Calibri" w:eastAsia="Times New Roman" w:hAnsi="Calibri"/>
                <w:b/>
                <w:bCs/>
                <w:noProof/>
                <w:color w:val="000000"/>
                <w:sz w:val="16"/>
                <w:szCs w:val="16"/>
                <w:lang w:eastAsia="it-IT"/>
              </w:rPr>
            </w:pPr>
            <w:r>
              <w:rPr>
                <w:rFonts w:ascii="Calibri" w:eastAsia="Times New Roman" w:hAnsi="Calibri"/>
                <w:b/>
                <w:bCs/>
                <w:noProof/>
                <w:color w:val="000000"/>
                <w:sz w:val="16"/>
                <w:szCs w:val="16"/>
                <w:lang w:eastAsia="it-IT"/>
              </w:rPr>
              <w:t>JHAS</w:t>
            </w:r>
          </w:p>
        </w:tc>
        <w:tc>
          <w:tcPr>
            <w:tcW w:w="1603"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Smart card JIL WG</w:t>
            </w:r>
          </w:p>
        </w:tc>
        <w:tc>
          <w:tcPr>
            <w:tcW w:w="155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Vendor(Product/Service)</w:t>
            </w:r>
          </w:p>
        </w:tc>
        <w:tc>
          <w:tcPr>
            <w:tcW w:w="90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E699"/>
            <w:noWrap/>
            <w:vAlign w:val="center"/>
            <w:hideMark/>
          </w:tcPr>
          <w:p w:rsidR="00913429" w:rsidRDefault="00E143F0">
            <w:pPr>
              <w:spacing w:after="0" w:line="240" w:lineRule="auto"/>
              <w:rPr>
                <w:rFonts w:ascii="Calibri" w:eastAsia="Times New Roman" w:hAnsi="Calibri"/>
                <w:b/>
                <w:bCs/>
                <w:noProof/>
                <w:color w:val="000000"/>
                <w:sz w:val="16"/>
                <w:szCs w:val="16"/>
                <w:lang w:eastAsia="it-IT"/>
              </w:rPr>
            </w:pPr>
            <w:r>
              <w:rPr>
                <w:rFonts w:ascii="Calibri" w:eastAsia="Times New Roman" w:hAnsi="Calibri"/>
                <w:b/>
                <w:bCs/>
                <w:noProof/>
                <w:color w:val="000000"/>
                <w:sz w:val="16"/>
                <w:szCs w:val="16"/>
                <w:lang w:eastAsia="it-IT"/>
              </w:rPr>
              <w:t>JEDS</w:t>
            </w:r>
          </w:p>
        </w:tc>
        <w:tc>
          <w:tcPr>
            <w:tcW w:w="1603"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HW devices JIWL WG</w:t>
            </w:r>
          </w:p>
        </w:tc>
        <w:tc>
          <w:tcPr>
            <w:tcW w:w="155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Vendor(Product/Service)</w:t>
            </w:r>
          </w:p>
        </w:tc>
        <w:tc>
          <w:tcPr>
            <w:tcW w:w="90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F2CC"/>
            <w:noWrap/>
            <w:vAlign w:val="center"/>
            <w:hideMark/>
          </w:tcPr>
          <w:p w:rsidR="00913429" w:rsidRDefault="00E143F0">
            <w:pPr>
              <w:spacing w:after="0" w:line="240" w:lineRule="auto"/>
              <w:rPr>
                <w:rFonts w:ascii="Calibri" w:eastAsia="Times New Roman" w:hAnsi="Calibri"/>
                <w:b/>
                <w:bCs/>
                <w:noProof/>
                <w:color w:val="000000"/>
                <w:sz w:val="16"/>
                <w:szCs w:val="16"/>
                <w:lang w:eastAsia="it-IT"/>
              </w:rPr>
            </w:pPr>
            <w:r>
              <w:rPr>
                <w:rFonts w:ascii="Calibri" w:eastAsia="Times New Roman" w:hAnsi="Calibri"/>
                <w:b/>
                <w:bCs/>
                <w:noProof/>
                <w:color w:val="000000"/>
                <w:sz w:val="16"/>
                <w:szCs w:val="16"/>
                <w:lang w:eastAsia="it-IT"/>
              </w:rPr>
              <w:t>Eurosmart (gemalto)</w:t>
            </w:r>
          </w:p>
        </w:tc>
        <w:tc>
          <w:tcPr>
            <w:tcW w:w="1603"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Smart card Community</w:t>
            </w:r>
          </w:p>
        </w:tc>
        <w:tc>
          <w:tcPr>
            <w:tcW w:w="155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Vendor(Product/Service)</w:t>
            </w:r>
          </w:p>
        </w:tc>
        <w:tc>
          <w:tcPr>
            <w:tcW w:w="90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E699"/>
            <w:noWrap/>
            <w:vAlign w:val="center"/>
            <w:hideMark/>
          </w:tcPr>
          <w:p w:rsidR="00913429" w:rsidRDefault="00E143F0">
            <w:pPr>
              <w:spacing w:after="0" w:line="240" w:lineRule="auto"/>
              <w:rPr>
                <w:rFonts w:ascii="Calibri" w:eastAsia="Times New Roman" w:hAnsi="Calibri"/>
                <w:b/>
                <w:noProof/>
                <w:color w:val="000000"/>
                <w:sz w:val="16"/>
                <w:szCs w:val="16"/>
                <w:lang w:eastAsia="it-IT"/>
              </w:rPr>
            </w:pPr>
            <w:r>
              <w:rPr>
                <w:rFonts w:ascii="Calibri" w:eastAsia="Times New Roman" w:hAnsi="Calibri"/>
                <w:b/>
                <w:noProof/>
                <w:color w:val="000000"/>
                <w:sz w:val="16"/>
                <w:szCs w:val="16"/>
                <w:lang w:eastAsia="it-IT"/>
              </w:rPr>
              <w:t>ESMIG</w:t>
            </w:r>
          </w:p>
        </w:tc>
        <w:tc>
          <w:tcPr>
            <w:tcW w:w="1603"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xml:space="preserve">Smart Meters </w:t>
            </w:r>
            <w:r>
              <w:rPr>
                <w:rFonts w:ascii="Calibri" w:eastAsia="Times New Roman" w:hAnsi="Calibri"/>
                <w:noProof/>
                <w:color w:val="000000"/>
                <w:sz w:val="16"/>
                <w:szCs w:val="16"/>
                <w:lang w:eastAsia="it-IT"/>
              </w:rPr>
              <w:t>Association</w:t>
            </w:r>
          </w:p>
        </w:tc>
        <w:tc>
          <w:tcPr>
            <w:tcW w:w="155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European &amp; International Organizations</w:t>
            </w:r>
          </w:p>
        </w:tc>
        <w:tc>
          <w:tcPr>
            <w:tcW w:w="90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Smart-meters</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F2CC"/>
            <w:noWrap/>
            <w:vAlign w:val="center"/>
            <w:hideMark/>
          </w:tcPr>
          <w:p w:rsidR="00913429" w:rsidRDefault="00E143F0">
            <w:pPr>
              <w:spacing w:after="0" w:line="240" w:lineRule="auto"/>
              <w:rPr>
                <w:rFonts w:ascii="Calibri" w:eastAsia="Times New Roman" w:hAnsi="Calibri"/>
                <w:b/>
                <w:noProof/>
                <w:color w:val="000000"/>
                <w:sz w:val="16"/>
                <w:szCs w:val="16"/>
                <w:lang w:eastAsia="it-IT"/>
              </w:rPr>
            </w:pPr>
            <w:r>
              <w:rPr>
                <w:rFonts w:ascii="Calibri" w:eastAsia="Times New Roman" w:hAnsi="Calibri"/>
                <w:b/>
                <w:noProof/>
                <w:color w:val="000000"/>
                <w:sz w:val="16"/>
                <w:szCs w:val="16"/>
                <w:lang w:eastAsia="it-IT"/>
              </w:rPr>
              <w:t>ESMIG</w:t>
            </w:r>
          </w:p>
        </w:tc>
        <w:tc>
          <w:tcPr>
            <w:tcW w:w="1603"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Smart Meters Association</w:t>
            </w:r>
          </w:p>
        </w:tc>
        <w:tc>
          <w:tcPr>
            <w:tcW w:w="155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European &amp; International Organizations</w:t>
            </w:r>
          </w:p>
        </w:tc>
        <w:tc>
          <w:tcPr>
            <w:tcW w:w="90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Smart-meters</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E699"/>
            <w:noWrap/>
            <w:vAlign w:val="center"/>
            <w:hideMark/>
          </w:tcPr>
          <w:p w:rsidR="00913429" w:rsidRDefault="00E143F0">
            <w:pPr>
              <w:spacing w:after="0" w:line="240" w:lineRule="auto"/>
              <w:rPr>
                <w:rFonts w:ascii="Calibri" w:eastAsia="Times New Roman" w:hAnsi="Calibri"/>
                <w:b/>
                <w:noProof/>
                <w:color w:val="000000"/>
                <w:sz w:val="16"/>
                <w:szCs w:val="16"/>
                <w:lang w:eastAsia="it-IT"/>
              </w:rPr>
            </w:pPr>
            <w:r>
              <w:rPr>
                <w:rFonts w:ascii="Calibri" w:eastAsia="Times New Roman" w:hAnsi="Calibri"/>
                <w:b/>
                <w:noProof/>
                <w:color w:val="000000"/>
                <w:sz w:val="16"/>
                <w:szCs w:val="16"/>
                <w:lang w:eastAsia="it-IT"/>
              </w:rPr>
              <w:t>EMVco</w:t>
            </w:r>
          </w:p>
        </w:tc>
        <w:tc>
          <w:tcPr>
            <w:tcW w:w="1603"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w:t>
            </w:r>
          </w:p>
        </w:tc>
        <w:tc>
          <w:tcPr>
            <w:tcW w:w="155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End-users</w:t>
            </w:r>
          </w:p>
        </w:tc>
        <w:tc>
          <w:tcPr>
            <w:tcW w:w="90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F2CC"/>
            <w:noWrap/>
            <w:vAlign w:val="center"/>
            <w:hideMark/>
          </w:tcPr>
          <w:p w:rsidR="00913429" w:rsidRDefault="00E143F0">
            <w:pPr>
              <w:spacing w:after="0" w:line="240" w:lineRule="auto"/>
              <w:rPr>
                <w:rFonts w:ascii="Calibri" w:eastAsia="Times New Roman" w:hAnsi="Calibri"/>
                <w:b/>
                <w:noProof/>
                <w:color w:val="000000"/>
                <w:sz w:val="16"/>
                <w:szCs w:val="16"/>
                <w:lang w:eastAsia="it-IT"/>
              </w:rPr>
            </w:pPr>
            <w:r>
              <w:rPr>
                <w:rFonts w:ascii="Calibri" w:eastAsia="Times New Roman" w:hAnsi="Calibri"/>
                <w:b/>
                <w:noProof/>
                <w:color w:val="000000"/>
                <w:sz w:val="16"/>
                <w:szCs w:val="16"/>
                <w:lang w:eastAsia="it-IT"/>
              </w:rPr>
              <w:t>NXP</w:t>
            </w:r>
          </w:p>
        </w:tc>
        <w:tc>
          <w:tcPr>
            <w:tcW w:w="1603"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Semi condusctors Industry</w:t>
            </w:r>
          </w:p>
        </w:tc>
        <w:tc>
          <w:tcPr>
            <w:tcW w:w="155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Vendor (Product/Service)</w:t>
            </w:r>
          </w:p>
        </w:tc>
        <w:tc>
          <w:tcPr>
            <w:tcW w:w="90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Semi-conductors</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E699"/>
            <w:noWrap/>
            <w:vAlign w:val="center"/>
            <w:hideMark/>
          </w:tcPr>
          <w:p w:rsidR="00913429" w:rsidRDefault="00E143F0">
            <w:pPr>
              <w:spacing w:after="0" w:line="240" w:lineRule="auto"/>
              <w:rPr>
                <w:rFonts w:ascii="Calibri" w:eastAsia="Times New Roman" w:hAnsi="Calibri"/>
                <w:b/>
                <w:noProof/>
                <w:color w:val="000000"/>
                <w:sz w:val="16"/>
                <w:szCs w:val="16"/>
                <w:lang w:eastAsia="it-IT"/>
              </w:rPr>
            </w:pPr>
            <w:r>
              <w:rPr>
                <w:rFonts w:ascii="Calibri" w:eastAsia="Times New Roman" w:hAnsi="Calibri"/>
                <w:b/>
                <w:noProof/>
                <w:color w:val="000000"/>
                <w:sz w:val="16"/>
                <w:szCs w:val="16"/>
                <w:lang w:eastAsia="it-IT"/>
              </w:rPr>
              <w:t>Infineon</w:t>
            </w:r>
          </w:p>
        </w:tc>
        <w:tc>
          <w:tcPr>
            <w:tcW w:w="1603"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xml:space="preserve">Semi </w:t>
            </w:r>
            <w:r>
              <w:rPr>
                <w:rFonts w:ascii="Calibri" w:eastAsia="Times New Roman" w:hAnsi="Calibri"/>
                <w:noProof/>
                <w:color w:val="000000"/>
                <w:sz w:val="16"/>
                <w:szCs w:val="16"/>
                <w:lang w:eastAsia="it-IT"/>
              </w:rPr>
              <w:t>condusctors Industry</w:t>
            </w:r>
          </w:p>
        </w:tc>
        <w:tc>
          <w:tcPr>
            <w:tcW w:w="155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Vendor (Product/Service)</w:t>
            </w:r>
          </w:p>
        </w:tc>
        <w:tc>
          <w:tcPr>
            <w:tcW w:w="90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Semi-conductors</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F2CC"/>
            <w:noWrap/>
            <w:vAlign w:val="center"/>
            <w:hideMark/>
          </w:tcPr>
          <w:p w:rsidR="00913429" w:rsidRDefault="00E143F0">
            <w:pPr>
              <w:spacing w:after="0" w:line="240" w:lineRule="auto"/>
              <w:rPr>
                <w:rFonts w:ascii="Calibri" w:eastAsia="Times New Roman" w:hAnsi="Calibri"/>
                <w:b/>
                <w:bCs/>
                <w:noProof/>
                <w:color w:val="000000"/>
                <w:sz w:val="16"/>
                <w:szCs w:val="16"/>
                <w:lang w:eastAsia="it-IT"/>
              </w:rPr>
            </w:pPr>
            <w:r>
              <w:rPr>
                <w:rFonts w:ascii="Calibri" w:eastAsia="Times New Roman" w:hAnsi="Calibri"/>
                <w:b/>
                <w:bCs/>
                <w:noProof/>
                <w:color w:val="000000"/>
                <w:sz w:val="16"/>
                <w:szCs w:val="16"/>
                <w:lang w:eastAsia="it-IT"/>
              </w:rPr>
              <w:t>BEAMA</w:t>
            </w:r>
          </w:p>
        </w:tc>
        <w:tc>
          <w:tcPr>
            <w:tcW w:w="1603"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val="fr-BE" w:eastAsia="it-IT"/>
              </w:rPr>
            </w:pPr>
            <w:r>
              <w:rPr>
                <w:rFonts w:ascii="Calibri" w:eastAsia="Times New Roman" w:hAnsi="Calibri"/>
                <w:noProof/>
                <w:color w:val="000000"/>
                <w:sz w:val="16"/>
                <w:szCs w:val="16"/>
                <w:lang w:val="fr-BE" w:eastAsia="it-IT"/>
              </w:rPr>
              <w:t>UK association for T&amp;D europe</w:t>
            </w:r>
          </w:p>
        </w:tc>
        <w:tc>
          <w:tcPr>
            <w:tcW w:w="155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Vendor (Product/Service)</w:t>
            </w:r>
          </w:p>
        </w:tc>
        <w:tc>
          <w:tcPr>
            <w:tcW w:w="90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Smart-meters</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E699"/>
            <w:noWrap/>
            <w:vAlign w:val="center"/>
            <w:hideMark/>
          </w:tcPr>
          <w:p w:rsidR="00913429" w:rsidRDefault="00E143F0">
            <w:pPr>
              <w:spacing w:after="0" w:line="240" w:lineRule="auto"/>
              <w:rPr>
                <w:rFonts w:ascii="Calibri" w:eastAsia="Times New Roman" w:hAnsi="Calibri"/>
                <w:b/>
                <w:noProof/>
                <w:color w:val="000000"/>
                <w:sz w:val="16"/>
                <w:szCs w:val="16"/>
                <w:lang w:eastAsia="it-IT"/>
              </w:rPr>
            </w:pPr>
            <w:r>
              <w:rPr>
                <w:rFonts w:ascii="Calibri" w:eastAsia="Times New Roman" w:hAnsi="Calibri"/>
                <w:b/>
                <w:noProof/>
                <w:color w:val="000000"/>
                <w:sz w:val="16"/>
                <w:szCs w:val="16"/>
                <w:lang w:eastAsia="it-IT"/>
              </w:rPr>
              <w:t>GIMELEC</w:t>
            </w:r>
          </w:p>
        </w:tc>
        <w:tc>
          <w:tcPr>
            <w:tcW w:w="1603"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val="fr-FR" w:eastAsia="it-IT"/>
              </w:rPr>
            </w:pPr>
            <w:r>
              <w:rPr>
                <w:rFonts w:ascii="Calibri" w:eastAsia="Times New Roman" w:hAnsi="Calibri"/>
                <w:noProof/>
                <w:color w:val="000000"/>
                <w:sz w:val="16"/>
                <w:szCs w:val="16"/>
                <w:lang w:val="fr-FR" w:eastAsia="it-IT"/>
              </w:rPr>
              <w:t>FR association for T&amp;D europe</w:t>
            </w:r>
          </w:p>
        </w:tc>
        <w:tc>
          <w:tcPr>
            <w:tcW w:w="155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Vendor (Product/Service)</w:t>
            </w:r>
          </w:p>
        </w:tc>
        <w:tc>
          <w:tcPr>
            <w:tcW w:w="90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Smart-meters</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F2CC"/>
            <w:noWrap/>
            <w:vAlign w:val="center"/>
            <w:hideMark/>
          </w:tcPr>
          <w:p w:rsidR="00913429" w:rsidRDefault="00E143F0">
            <w:pPr>
              <w:spacing w:after="0" w:line="240" w:lineRule="auto"/>
              <w:rPr>
                <w:rFonts w:ascii="Calibri" w:eastAsia="Times New Roman" w:hAnsi="Calibri"/>
                <w:b/>
                <w:noProof/>
                <w:color w:val="000000"/>
                <w:sz w:val="16"/>
                <w:szCs w:val="16"/>
                <w:lang w:eastAsia="it-IT"/>
              </w:rPr>
            </w:pPr>
            <w:r>
              <w:rPr>
                <w:rFonts w:ascii="Calibri" w:eastAsia="Times New Roman" w:hAnsi="Calibri"/>
                <w:b/>
                <w:noProof/>
                <w:color w:val="000000"/>
                <w:sz w:val="16"/>
                <w:szCs w:val="16"/>
                <w:lang w:eastAsia="it-IT"/>
              </w:rPr>
              <w:t>AFBELL</w:t>
            </w:r>
          </w:p>
        </w:tc>
        <w:tc>
          <w:tcPr>
            <w:tcW w:w="1603"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val="fr-FR" w:eastAsia="it-IT"/>
              </w:rPr>
            </w:pPr>
            <w:r>
              <w:rPr>
                <w:rFonts w:ascii="Calibri" w:eastAsia="Times New Roman" w:hAnsi="Calibri"/>
                <w:noProof/>
                <w:color w:val="000000"/>
                <w:sz w:val="16"/>
                <w:szCs w:val="16"/>
                <w:lang w:val="fr-FR" w:eastAsia="it-IT"/>
              </w:rPr>
              <w:t>SP association for T&amp;D europe</w:t>
            </w:r>
          </w:p>
        </w:tc>
        <w:tc>
          <w:tcPr>
            <w:tcW w:w="155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Vendor (Product/Service)</w:t>
            </w:r>
          </w:p>
        </w:tc>
        <w:tc>
          <w:tcPr>
            <w:tcW w:w="90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Smart-meters</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E699"/>
            <w:noWrap/>
            <w:vAlign w:val="center"/>
            <w:hideMark/>
          </w:tcPr>
          <w:p w:rsidR="00913429" w:rsidRDefault="00E143F0">
            <w:pPr>
              <w:spacing w:after="0" w:line="240" w:lineRule="auto"/>
              <w:rPr>
                <w:rFonts w:ascii="Calibri" w:eastAsia="Times New Roman" w:hAnsi="Calibri"/>
                <w:b/>
                <w:noProof/>
                <w:color w:val="000000"/>
                <w:sz w:val="16"/>
                <w:szCs w:val="16"/>
                <w:lang w:eastAsia="it-IT"/>
              </w:rPr>
            </w:pPr>
            <w:r>
              <w:rPr>
                <w:rFonts w:ascii="Calibri" w:eastAsia="Times New Roman" w:hAnsi="Calibri"/>
                <w:b/>
                <w:noProof/>
                <w:color w:val="000000"/>
                <w:sz w:val="16"/>
                <w:szCs w:val="16"/>
                <w:lang w:eastAsia="it-IT"/>
              </w:rPr>
              <w:t>ANIMEE</w:t>
            </w:r>
          </w:p>
        </w:tc>
        <w:tc>
          <w:tcPr>
            <w:tcW w:w="1603"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val="fr-FR" w:eastAsia="it-IT"/>
              </w:rPr>
            </w:pPr>
            <w:r>
              <w:rPr>
                <w:rFonts w:ascii="Calibri" w:eastAsia="Times New Roman" w:hAnsi="Calibri"/>
                <w:noProof/>
                <w:color w:val="000000"/>
                <w:sz w:val="16"/>
                <w:szCs w:val="16"/>
                <w:lang w:val="fr-FR" w:eastAsia="it-IT"/>
              </w:rPr>
              <w:t>PT association for T&amp;D europe</w:t>
            </w:r>
          </w:p>
        </w:tc>
        <w:tc>
          <w:tcPr>
            <w:tcW w:w="155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Vendor (Product/Service)</w:t>
            </w:r>
          </w:p>
        </w:tc>
        <w:tc>
          <w:tcPr>
            <w:tcW w:w="90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Smart-meters</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F2CC"/>
            <w:noWrap/>
            <w:vAlign w:val="center"/>
            <w:hideMark/>
          </w:tcPr>
          <w:p w:rsidR="00913429" w:rsidRDefault="00E143F0">
            <w:pPr>
              <w:spacing w:after="0" w:line="240" w:lineRule="auto"/>
              <w:rPr>
                <w:rFonts w:ascii="Calibri" w:eastAsia="Times New Roman" w:hAnsi="Calibri"/>
                <w:b/>
                <w:noProof/>
                <w:color w:val="000000"/>
                <w:sz w:val="16"/>
                <w:szCs w:val="16"/>
                <w:lang w:eastAsia="it-IT"/>
              </w:rPr>
            </w:pPr>
            <w:r>
              <w:rPr>
                <w:rFonts w:ascii="Calibri" w:eastAsia="Times New Roman" w:hAnsi="Calibri"/>
                <w:b/>
                <w:noProof/>
                <w:color w:val="000000"/>
                <w:sz w:val="16"/>
                <w:szCs w:val="16"/>
                <w:lang w:eastAsia="it-IT"/>
              </w:rPr>
              <w:t>ANIE</w:t>
            </w:r>
          </w:p>
        </w:tc>
        <w:tc>
          <w:tcPr>
            <w:tcW w:w="1603"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IT association for T&amp;D europe</w:t>
            </w:r>
          </w:p>
        </w:tc>
        <w:tc>
          <w:tcPr>
            <w:tcW w:w="155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Vendor (Product/Service)</w:t>
            </w:r>
          </w:p>
        </w:tc>
        <w:tc>
          <w:tcPr>
            <w:tcW w:w="90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Smart-meters</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E699"/>
            <w:noWrap/>
            <w:vAlign w:val="center"/>
            <w:hideMark/>
          </w:tcPr>
          <w:p w:rsidR="00913429" w:rsidRDefault="00E143F0">
            <w:pPr>
              <w:spacing w:after="0" w:line="240" w:lineRule="auto"/>
              <w:rPr>
                <w:rFonts w:ascii="Calibri" w:eastAsia="Times New Roman" w:hAnsi="Calibri"/>
                <w:b/>
                <w:noProof/>
                <w:color w:val="000000"/>
                <w:sz w:val="16"/>
                <w:szCs w:val="16"/>
                <w:lang w:eastAsia="it-IT"/>
              </w:rPr>
            </w:pPr>
            <w:r>
              <w:rPr>
                <w:rFonts w:ascii="Calibri" w:eastAsia="Times New Roman" w:hAnsi="Calibri"/>
                <w:b/>
                <w:noProof/>
                <w:color w:val="000000"/>
                <w:sz w:val="16"/>
                <w:szCs w:val="16"/>
                <w:lang w:eastAsia="it-IT"/>
              </w:rPr>
              <w:t>SWISSMEM</w:t>
            </w:r>
          </w:p>
        </w:tc>
        <w:tc>
          <w:tcPr>
            <w:tcW w:w="1603"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val="fr-BE" w:eastAsia="it-IT"/>
              </w:rPr>
            </w:pPr>
            <w:r>
              <w:rPr>
                <w:rFonts w:ascii="Calibri" w:eastAsia="Times New Roman" w:hAnsi="Calibri"/>
                <w:noProof/>
                <w:color w:val="000000"/>
                <w:sz w:val="16"/>
                <w:szCs w:val="16"/>
                <w:lang w:val="fr-BE" w:eastAsia="it-IT"/>
              </w:rPr>
              <w:t>CH association for T&amp;D europe</w:t>
            </w:r>
          </w:p>
        </w:tc>
        <w:tc>
          <w:tcPr>
            <w:tcW w:w="155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Vendor (Product/Service)</w:t>
            </w:r>
          </w:p>
        </w:tc>
        <w:tc>
          <w:tcPr>
            <w:tcW w:w="90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Smart-meters</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F2CC"/>
            <w:noWrap/>
            <w:vAlign w:val="center"/>
            <w:hideMark/>
          </w:tcPr>
          <w:p w:rsidR="00913429" w:rsidRDefault="00E143F0">
            <w:pPr>
              <w:spacing w:after="0" w:line="240" w:lineRule="auto"/>
              <w:rPr>
                <w:rFonts w:ascii="Calibri" w:eastAsia="Times New Roman" w:hAnsi="Calibri"/>
                <w:b/>
                <w:noProof/>
                <w:color w:val="000000"/>
                <w:sz w:val="16"/>
                <w:szCs w:val="16"/>
                <w:lang w:eastAsia="it-IT"/>
              </w:rPr>
            </w:pPr>
            <w:r>
              <w:rPr>
                <w:rFonts w:ascii="Calibri" w:eastAsia="Times New Roman" w:hAnsi="Calibri"/>
                <w:b/>
                <w:noProof/>
                <w:color w:val="000000"/>
                <w:sz w:val="16"/>
                <w:szCs w:val="16"/>
                <w:lang w:eastAsia="it-IT"/>
              </w:rPr>
              <w:t>FEEI</w:t>
            </w:r>
          </w:p>
        </w:tc>
        <w:tc>
          <w:tcPr>
            <w:tcW w:w="1603"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val="fr-BE" w:eastAsia="it-IT"/>
              </w:rPr>
            </w:pPr>
            <w:r>
              <w:rPr>
                <w:rFonts w:ascii="Calibri" w:eastAsia="Times New Roman" w:hAnsi="Calibri"/>
                <w:noProof/>
                <w:color w:val="000000"/>
                <w:sz w:val="16"/>
                <w:szCs w:val="16"/>
                <w:lang w:val="fr-BE" w:eastAsia="it-IT"/>
              </w:rPr>
              <w:t>AT association for T&amp;D europe</w:t>
            </w:r>
          </w:p>
        </w:tc>
        <w:tc>
          <w:tcPr>
            <w:tcW w:w="155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Vendor (Product/Service)</w:t>
            </w:r>
          </w:p>
        </w:tc>
        <w:tc>
          <w:tcPr>
            <w:tcW w:w="90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Smart-meters</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E699"/>
            <w:noWrap/>
            <w:vAlign w:val="center"/>
            <w:hideMark/>
          </w:tcPr>
          <w:p w:rsidR="00913429" w:rsidRDefault="00E143F0">
            <w:pPr>
              <w:spacing w:after="0" w:line="240" w:lineRule="auto"/>
              <w:rPr>
                <w:rFonts w:ascii="Calibri" w:eastAsia="Times New Roman" w:hAnsi="Calibri"/>
                <w:b/>
                <w:noProof/>
                <w:color w:val="000000"/>
                <w:sz w:val="16"/>
                <w:szCs w:val="16"/>
                <w:lang w:eastAsia="it-IT"/>
              </w:rPr>
            </w:pPr>
            <w:r>
              <w:rPr>
                <w:rFonts w:ascii="Calibri" w:eastAsia="Times New Roman" w:hAnsi="Calibri"/>
                <w:b/>
                <w:noProof/>
                <w:color w:val="000000"/>
                <w:sz w:val="16"/>
                <w:szCs w:val="16"/>
                <w:lang w:eastAsia="it-IT"/>
              </w:rPr>
              <w:t>ZVEI</w:t>
            </w:r>
          </w:p>
        </w:tc>
        <w:tc>
          <w:tcPr>
            <w:tcW w:w="1603"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val="fr-FR" w:eastAsia="it-IT"/>
              </w:rPr>
            </w:pPr>
            <w:r>
              <w:rPr>
                <w:rFonts w:ascii="Calibri" w:eastAsia="Times New Roman" w:hAnsi="Calibri"/>
                <w:noProof/>
                <w:color w:val="000000"/>
                <w:sz w:val="16"/>
                <w:szCs w:val="16"/>
                <w:lang w:val="fr-FR" w:eastAsia="it-IT"/>
              </w:rPr>
              <w:t>GE association for T&amp;D europe</w:t>
            </w:r>
          </w:p>
        </w:tc>
        <w:tc>
          <w:tcPr>
            <w:tcW w:w="155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Vendor (Product/Service)</w:t>
            </w:r>
          </w:p>
        </w:tc>
        <w:tc>
          <w:tcPr>
            <w:tcW w:w="90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Smart-meters</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F2CC"/>
            <w:noWrap/>
            <w:vAlign w:val="center"/>
            <w:hideMark/>
          </w:tcPr>
          <w:p w:rsidR="00913429" w:rsidRDefault="00E143F0">
            <w:pPr>
              <w:spacing w:after="0" w:line="240" w:lineRule="auto"/>
              <w:rPr>
                <w:rFonts w:ascii="Calibri" w:eastAsia="Times New Roman" w:hAnsi="Calibri"/>
                <w:b/>
                <w:noProof/>
                <w:color w:val="000000"/>
                <w:sz w:val="16"/>
                <w:szCs w:val="16"/>
                <w:lang w:eastAsia="it-IT"/>
              </w:rPr>
            </w:pPr>
            <w:r>
              <w:rPr>
                <w:rFonts w:ascii="Calibri" w:eastAsia="Times New Roman" w:hAnsi="Calibri"/>
                <w:b/>
                <w:noProof/>
                <w:color w:val="000000"/>
                <w:sz w:val="16"/>
                <w:szCs w:val="16"/>
                <w:lang w:eastAsia="it-IT"/>
              </w:rPr>
              <w:t>AGORIA</w:t>
            </w:r>
          </w:p>
        </w:tc>
        <w:tc>
          <w:tcPr>
            <w:tcW w:w="1603"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BE association for T&amp;D europe</w:t>
            </w:r>
          </w:p>
        </w:tc>
        <w:tc>
          <w:tcPr>
            <w:tcW w:w="155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Vendor (Product/Service)</w:t>
            </w:r>
          </w:p>
        </w:tc>
        <w:tc>
          <w:tcPr>
            <w:tcW w:w="90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Smart-meters</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E699"/>
            <w:noWrap/>
            <w:vAlign w:val="center"/>
            <w:hideMark/>
          </w:tcPr>
          <w:p w:rsidR="00913429" w:rsidRDefault="00E143F0">
            <w:pPr>
              <w:spacing w:after="0" w:line="240" w:lineRule="auto"/>
              <w:rPr>
                <w:rFonts w:ascii="Calibri" w:eastAsia="Times New Roman" w:hAnsi="Calibri"/>
                <w:b/>
                <w:noProof/>
                <w:color w:val="000000"/>
                <w:sz w:val="16"/>
                <w:szCs w:val="16"/>
                <w:lang w:eastAsia="it-IT"/>
              </w:rPr>
            </w:pPr>
            <w:r>
              <w:rPr>
                <w:rFonts w:ascii="Calibri" w:eastAsia="Times New Roman" w:hAnsi="Calibri"/>
                <w:b/>
                <w:noProof/>
                <w:color w:val="000000"/>
                <w:sz w:val="16"/>
                <w:szCs w:val="16"/>
                <w:lang w:eastAsia="it-IT"/>
              </w:rPr>
              <w:t>FEDET</w:t>
            </w:r>
          </w:p>
        </w:tc>
        <w:tc>
          <w:tcPr>
            <w:tcW w:w="1603"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val="fr-BE" w:eastAsia="it-IT"/>
              </w:rPr>
            </w:pPr>
            <w:r>
              <w:rPr>
                <w:rFonts w:ascii="Calibri" w:eastAsia="Times New Roman" w:hAnsi="Calibri"/>
                <w:noProof/>
                <w:color w:val="000000"/>
                <w:sz w:val="16"/>
                <w:szCs w:val="16"/>
                <w:lang w:val="fr-BE" w:eastAsia="it-IT"/>
              </w:rPr>
              <w:t xml:space="preserve">NL </w:t>
            </w:r>
            <w:r>
              <w:rPr>
                <w:rFonts w:ascii="Calibri" w:eastAsia="Times New Roman" w:hAnsi="Calibri"/>
                <w:noProof/>
                <w:color w:val="000000"/>
                <w:sz w:val="16"/>
                <w:szCs w:val="16"/>
                <w:lang w:val="fr-BE" w:eastAsia="it-IT"/>
              </w:rPr>
              <w:t>association for T&amp;D europe</w:t>
            </w:r>
          </w:p>
        </w:tc>
        <w:tc>
          <w:tcPr>
            <w:tcW w:w="155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Vendor (Product/Service)</w:t>
            </w:r>
          </w:p>
        </w:tc>
        <w:tc>
          <w:tcPr>
            <w:tcW w:w="90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Smart-meters</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F2CC"/>
            <w:noWrap/>
            <w:vAlign w:val="center"/>
            <w:hideMark/>
          </w:tcPr>
          <w:p w:rsidR="00913429" w:rsidRDefault="00E143F0">
            <w:pPr>
              <w:spacing w:after="0" w:line="240" w:lineRule="auto"/>
              <w:rPr>
                <w:rFonts w:ascii="Calibri" w:eastAsia="Times New Roman" w:hAnsi="Calibri"/>
                <w:b/>
                <w:noProof/>
                <w:color w:val="000000"/>
                <w:sz w:val="16"/>
                <w:szCs w:val="16"/>
                <w:lang w:eastAsia="it-IT"/>
              </w:rPr>
            </w:pPr>
            <w:r>
              <w:rPr>
                <w:rFonts w:ascii="Calibri" w:eastAsia="Times New Roman" w:hAnsi="Calibri"/>
                <w:b/>
                <w:noProof/>
                <w:color w:val="000000"/>
                <w:sz w:val="16"/>
                <w:szCs w:val="16"/>
                <w:lang w:eastAsia="it-IT"/>
              </w:rPr>
              <w:t>EMSAD</w:t>
            </w:r>
          </w:p>
        </w:tc>
        <w:tc>
          <w:tcPr>
            <w:tcW w:w="1603"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val="fr-FR" w:eastAsia="it-IT"/>
              </w:rPr>
            </w:pPr>
            <w:r>
              <w:rPr>
                <w:rFonts w:ascii="Calibri" w:eastAsia="Times New Roman" w:hAnsi="Calibri"/>
                <w:noProof/>
                <w:color w:val="000000"/>
                <w:sz w:val="16"/>
                <w:szCs w:val="16"/>
                <w:lang w:val="fr-FR" w:eastAsia="it-IT"/>
              </w:rPr>
              <w:t>TK association for T&amp;D europe</w:t>
            </w:r>
          </w:p>
        </w:tc>
        <w:tc>
          <w:tcPr>
            <w:tcW w:w="155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Vendor (Product/Service)</w:t>
            </w:r>
          </w:p>
        </w:tc>
        <w:tc>
          <w:tcPr>
            <w:tcW w:w="90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Smart-meters</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E699"/>
            <w:noWrap/>
            <w:vAlign w:val="center"/>
            <w:hideMark/>
          </w:tcPr>
          <w:p w:rsidR="00913429" w:rsidRDefault="00E143F0">
            <w:pPr>
              <w:spacing w:after="0" w:line="240" w:lineRule="auto"/>
              <w:rPr>
                <w:rFonts w:ascii="Calibri" w:eastAsia="Times New Roman" w:hAnsi="Calibri"/>
                <w:b/>
                <w:bCs/>
                <w:noProof/>
                <w:color w:val="000000"/>
                <w:sz w:val="16"/>
                <w:szCs w:val="16"/>
                <w:lang w:eastAsia="it-IT"/>
              </w:rPr>
            </w:pPr>
            <w:r>
              <w:rPr>
                <w:rFonts w:ascii="Calibri" w:eastAsia="Times New Roman" w:hAnsi="Calibri"/>
                <w:b/>
                <w:bCs/>
                <w:noProof/>
                <w:color w:val="000000"/>
                <w:sz w:val="16"/>
                <w:szCs w:val="16"/>
                <w:lang w:eastAsia="it-IT"/>
              </w:rPr>
              <w:t>AEM</w:t>
            </w:r>
          </w:p>
        </w:tc>
        <w:tc>
          <w:tcPr>
            <w:tcW w:w="1603"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w:t>
            </w:r>
          </w:p>
        </w:tc>
        <w:tc>
          <w:tcPr>
            <w:tcW w:w="155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Vendor (Product/Service)</w:t>
            </w:r>
          </w:p>
        </w:tc>
        <w:tc>
          <w:tcPr>
            <w:tcW w:w="90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Smart-meters</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F2CC"/>
            <w:noWrap/>
            <w:vAlign w:val="center"/>
            <w:hideMark/>
          </w:tcPr>
          <w:p w:rsidR="00913429" w:rsidRDefault="00E143F0">
            <w:pPr>
              <w:spacing w:after="0" w:line="240" w:lineRule="auto"/>
              <w:rPr>
                <w:rFonts w:ascii="Calibri" w:eastAsia="Times New Roman" w:hAnsi="Calibri"/>
                <w:b/>
                <w:noProof/>
                <w:color w:val="000000"/>
                <w:sz w:val="16"/>
                <w:szCs w:val="16"/>
                <w:lang w:eastAsia="it-IT"/>
              </w:rPr>
            </w:pPr>
            <w:r>
              <w:rPr>
                <w:rFonts w:ascii="Calibri" w:eastAsia="Times New Roman" w:hAnsi="Calibri"/>
                <w:b/>
                <w:noProof/>
                <w:color w:val="000000"/>
                <w:sz w:val="16"/>
                <w:szCs w:val="16"/>
                <w:lang w:eastAsia="it-IT"/>
              </w:rPr>
              <w:t>Bitron</w:t>
            </w:r>
          </w:p>
        </w:tc>
        <w:tc>
          <w:tcPr>
            <w:tcW w:w="1603"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w:t>
            </w:r>
          </w:p>
        </w:tc>
        <w:tc>
          <w:tcPr>
            <w:tcW w:w="155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Vendor (Product/Service)</w:t>
            </w:r>
          </w:p>
        </w:tc>
        <w:tc>
          <w:tcPr>
            <w:tcW w:w="90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Smart-meters</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E699"/>
            <w:noWrap/>
            <w:vAlign w:val="center"/>
            <w:hideMark/>
          </w:tcPr>
          <w:p w:rsidR="00913429" w:rsidRDefault="00E143F0">
            <w:pPr>
              <w:spacing w:after="0" w:line="240" w:lineRule="auto"/>
              <w:rPr>
                <w:rFonts w:ascii="Calibri" w:eastAsia="Times New Roman" w:hAnsi="Calibri"/>
                <w:b/>
                <w:bCs/>
                <w:noProof/>
                <w:color w:val="000000"/>
                <w:sz w:val="16"/>
                <w:szCs w:val="16"/>
                <w:lang w:eastAsia="it-IT"/>
              </w:rPr>
            </w:pPr>
            <w:r>
              <w:rPr>
                <w:rFonts w:ascii="Calibri" w:eastAsia="Times New Roman" w:hAnsi="Calibri"/>
                <w:b/>
                <w:bCs/>
                <w:noProof/>
                <w:color w:val="000000"/>
                <w:sz w:val="16"/>
                <w:szCs w:val="16"/>
                <w:lang w:eastAsia="it-IT"/>
              </w:rPr>
              <w:t>CESI</w:t>
            </w:r>
          </w:p>
        </w:tc>
        <w:tc>
          <w:tcPr>
            <w:tcW w:w="1603"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w:t>
            </w:r>
          </w:p>
        </w:tc>
        <w:tc>
          <w:tcPr>
            <w:tcW w:w="155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End-users</w:t>
            </w:r>
          </w:p>
        </w:tc>
        <w:tc>
          <w:tcPr>
            <w:tcW w:w="90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Smart-meters</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F2CC"/>
            <w:noWrap/>
            <w:vAlign w:val="center"/>
            <w:hideMark/>
          </w:tcPr>
          <w:p w:rsidR="00913429" w:rsidRDefault="00E143F0">
            <w:pPr>
              <w:spacing w:after="0" w:line="240" w:lineRule="auto"/>
              <w:rPr>
                <w:rFonts w:ascii="Calibri" w:eastAsia="Times New Roman" w:hAnsi="Calibri"/>
                <w:b/>
                <w:bCs/>
                <w:noProof/>
                <w:color w:val="000000"/>
                <w:sz w:val="16"/>
                <w:szCs w:val="16"/>
                <w:lang w:eastAsia="it-IT"/>
              </w:rPr>
            </w:pPr>
            <w:r>
              <w:rPr>
                <w:rFonts w:ascii="Calibri" w:eastAsia="Times New Roman" w:hAnsi="Calibri"/>
                <w:b/>
                <w:bCs/>
                <w:noProof/>
                <w:color w:val="000000"/>
                <w:sz w:val="16"/>
                <w:szCs w:val="16"/>
                <w:lang w:eastAsia="it-IT"/>
              </w:rPr>
              <w:t>e-distribuzione</w:t>
            </w:r>
          </w:p>
        </w:tc>
        <w:tc>
          <w:tcPr>
            <w:tcW w:w="1603"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w:t>
            </w:r>
          </w:p>
        </w:tc>
        <w:tc>
          <w:tcPr>
            <w:tcW w:w="155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End-users</w:t>
            </w:r>
          </w:p>
        </w:tc>
        <w:tc>
          <w:tcPr>
            <w:tcW w:w="90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Smart-meters</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E699"/>
            <w:noWrap/>
            <w:vAlign w:val="center"/>
            <w:hideMark/>
          </w:tcPr>
          <w:p w:rsidR="00913429" w:rsidRDefault="00E143F0">
            <w:pPr>
              <w:spacing w:after="0" w:line="240" w:lineRule="auto"/>
              <w:rPr>
                <w:rFonts w:ascii="Calibri" w:eastAsia="Times New Roman" w:hAnsi="Calibri"/>
                <w:b/>
                <w:bCs/>
                <w:noProof/>
                <w:color w:val="000000"/>
                <w:sz w:val="16"/>
                <w:szCs w:val="16"/>
                <w:lang w:eastAsia="it-IT"/>
              </w:rPr>
            </w:pPr>
            <w:r>
              <w:rPr>
                <w:rFonts w:ascii="Calibri" w:eastAsia="Times New Roman" w:hAnsi="Calibri"/>
                <w:b/>
                <w:bCs/>
                <w:noProof/>
                <w:color w:val="000000"/>
                <w:sz w:val="16"/>
                <w:szCs w:val="16"/>
                <w:lang w:eastAsia="it-IT"/>
              </w:rPr>
              <w:t>Prodti</w:t>
            </w:r>
          </w:p>
        </w:tc>
        <w:tc>
          <w:tcPr>
            <w:tcW w:w="1603"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Academics / no profit foundation</w:t>
            </w:r>
          </w:p>
        </w:tc>
        <w:tc>
          <w:tcPr>
            <w:tcW w:w="155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w:t>
            </w:r>
          </w:p>
        </w:tc>
        <w:tc>
          <w:tcPr>
            <w:tcW w:w="90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Smart-meters</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F2CC"/>
            <w:noWrap/>
            <w:vAlign w:val="center"/>
            <w:hideMark/>
          </w:tcPr>
          <w:p w:rsidR="00913429" w:rsidRDefault="00E143F0">
            <w:pPr>
              <w:spacing w:after="0" w:line="240" w:lineRule="auto"/>
              <w:rPr>
                <w:rFonts w:ascii="Calibri" w:eastAsia="Times New Roman" w:hAnsi="Calibri"/>
                <w:b/>
                <w:bCs/>
                <w:noProof/>
                <w:color w:val="000000"/>
                <w:sz w:val="16"/>
                <w:szCs w:val="16"/>
                <w:lang w:eastAsia="it-IT"/>
              </w:rPr>
            </w:pPr>
            <w:r>
              <w:rPr>
                <w:rFonts w:ascii="Calibri" w:eastAsia="Times New Roman" w:hAnsi="Calibri"/>
                <w:b/>
                <w:bCs/>
                <w:noProof/>
                <w:color w:val="000000"/>
                <w:sz w:val="16"/>
                <w:szCs w:val="16"/>
                <w:lang w:eastAsia="it-IT"/>
              </w:rPr>
              <w:t>Sagemcom Broadband Sas</w:t>
            </w:r>
          </w:p>
        </w:tc>
        <w:tc>
          <w:tcPr>
            <w:tcW w:w="1603"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w:t>
            </w:r>
          </w:p>
        </w:tc>
        <w:tc>
          <w:tcPr>
            <w:tcW w:w="155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End-users</w:t>
            </w:r>
          </w:p>
        </w:tc>
        <w:tc>
          <w:tcPr>
            <w:tcW w:w="90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Smart-meters</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E699"/>
            <w:noWrap/>
            <w:vAlign w:val="center"/>
            <w:hideMark/>
          </w:tcPr>
          <w:p w:rsidR="00913429" w:rsidRDefault="00E143F0">
            <w:pPr>
              <w:spacing w:after="0" w:line="240" w:lineRule="auto"/>
              <w:rPr>
                <w:rFonts w:ascii="Calibri" w:eastAsia="Times New Roman" w:hAnsi="Calibri"/>
                <w:b/>
                <w:noProof/>
                <w:color w:val="000000"/>
                <w:sz w:val="16"/>
                <w:szCs w:val="16"/>
                <w:lang w:eastAsia="it-IT"/>
              </w:rPr>
            </w:pPr>
            <w:r>
              <w:rPr>
                <w:rFonts w:ascii="Calibri" w:eastAsia="Times New Roman" w:hAnsi="Calibri"/>
                <w:b/>
                <w:noProof/>
                <w:color w:val="000000"/>
                <w:sz w:val="16"/>
                <w:szCs w:val="16"/>
                <w:lang w:eastAsia="it-IT"/>
              </w:rPr>
              <w:t>Schneider electric</w:t>
            </w:r>
          </w:p>
        </w:tc>
        <w:tc>
          <w:tcPr>
            <w:tcW w:w="1603"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w:t>
            </w:r>
          </w:p>
        </w:tc>
        <w:tc>
          <w:tcPr>
            <w:tcW w:w="155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Vendor (Product/Service)</w:t>
            </w:r>
          </w:p>
        </w:tc>
        <w:tc>
          <w:tcPr>
            <w:tcW w:w="90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Smart-meters</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F2CC"/>
            <w:noWrap/>
            <w:vAlign w:val="center"/>
            <w:hideMark/>
          </w:tcPr>
          <w:p w:rsidR="00913429" w:rsidRDefault="00E143F0">
            <w:pPr>
              <w:spacing w:after="0" w:line="240" w:lineRule="auto"/>
              <w:rPr>
                <w:rFonts w:ascii="Calibri" w:eastAsia="Times New Roman" w:hAnsi="Calibri"/>
                <w:b/>
                <w:bCs/>
                <w:noProof/>
                <w:color w:val="000000"/>
                <w:sz w:val="16"/>
                <w:szCs w:val="16"/>
                <w:lang w:eastAsia="it-IT"/>
              </w:rPr>
            </w:pPr>
            <w:r>
              <w:rPr>
                <w:rFonts w:ascii="Calibri" w:eastAsia="Times New Roman" w:hAnsi="Calibri"/>
                <w:b/>
                <w:bCs/>
                <w:noProof/>
                <w:color w:val="000000"/>
                <w:sz w:val="16"/>
                <w:szCs w:val="16"/>
                <w:lang w:eastAsia="it-IT"/>
              </w:rPr>
              <w:t>TelecontroSTM</w:t>
            </w:r>
          </w:p>
        </w:tc>
        <w:tc>
          <w:tcPr>
            <w:tcW w:w="1603"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w:t>
            </w:r>
          </w:p>
        </w:tc>
        <w:tc>
          <w:tcPr>
            <w:tcW w:w="155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End-users</w:t>
            </w:r>
          </w:p>
        </w:tc>
        <w:tc>
          <w:tcPr>
            <w:tcW w:w="90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Smart-meters</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E699"/>
            <w:noWrap/>
            <w:vAlign w:val="center"/>
            <w:hideMark/>
          </w:tcPr>
          <w:p w:rsidR="00913429" w:rsidRDefault="00E143F0">
            <w:pPr>
              <w:spacing w:after="0" w:line="240" w:lineRule="auto"/>
              <w:rPr>
                <w:rFonts w:ascii="Calibri" w:eastAsia="Times New Roman" w:hAnsi="Calibri"/>
                <w:b/>
                <w:bCs/>
                <w:noProof/>
                <w:color w:val="000000"/>
                <w:sz w:val="16"/>
                <w:szCs w:val="16"/>
                <w:lang w:eastAsia="it-IT"/>
              </w:rPr>
            </w:pPr>
            <w:r>
              <w:rPr>
                <w:rFonts w:ascii="Calibri" w:eastAsia="Times New Roman" w:hAnsi="Calibri"/>
                <w:b/>
                <w:bCs/>
                <w:noProof/>
                <w:color w:val="000000"/>
                <w:sz w:val="16"/>
                <w:szCs w:val="16"/>
                <w:lang w:eastAsia="it-IT"/>
              </w:rPr>
              <w:t>Atmel</w:t>
            </w:r>
          </w:p>
        </w:tc>
        <w:tc>
          <w:tcPr>
            <w:tcW w:w="1603"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w:t>
            </w:r>
          </w:p>
        </w:tc>
        <w:tc>
          <w:tcPr>
            <w:tcW w:w="155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Vendor (Product/Service)</w:t>
            </w:r>
          </w:p>
        </w:tc>
        <w:tc>
          <w:tcPr>
            <w:tcW w:w="90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Smart-meters</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F2CC"/>
            <w:noWrap/>
            <w:vAlign w:val="center"/>
            <w:hideMark/>
          </w:tcPr>
          <w:p w:rsidR="00913429" w:rsidRDefault="00E143F0">
            <w:pPr>
              <w:spacing w:after="0" w:line="240" w:lineRule="auto"/>
              <w:rPr>
                <w:rFonts w:ascii="Calibri" w:eastAsia="Times New Roman" w:hAnsi="Calibri"/>
                <w:b/>
                <w:noProof/>
                <w:color w:val="000000"/>
                <w:sz w:val="16"/>
                <w:szCs w:val="16"/>
                <w:lang w:eastAsia="it-IT"/>
              </w:rPr>
            </w:pPr>
            <w:r>
              <w:rPr>
                <w:rFonts w:ascii="Calibri" w:eastAsia="Times New Roman" w:hAnsi="Calibri"/>
                <w:b/>
                <w:noProof/>
                <w:color w:val="000000"/>
                <w:sz w:val="16"/>
                <w:szCs w:val="16"/>
                <w:lang w:eastAsia="it-IT"/>
              </w:rPr>
              <w:t>Ayesa</w:t>
            </w:r>
          </w:p>
        </w:tc>
        <w:tc>
          <w:tcPr>
            <w:tcW w:w="1603"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w:t>
            </w:r>
          </w:p>
        </w:tc>
        <w:tc>
          <w:tcPr>
            <w:tcW w:w="155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Vendor (Product/Service)</w:t>
            </w:r>
          </w:p>
        </w:tc>
        <w:tc>
          <w:tcPr>
            <w:tcW w:w="90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Smart-meters</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E699"/>
            <w:noWrap/>
            <w:vAlign w:val="center"/>
            <w:hideMark/>
          </w:tcPr>
          <w:p w:rsidR="00913429" w:rsidRDefault="00E143F0">
            <w:pPr>
              <w:spacing w:after="0" w:line="240" w:lineRule="auto"/>
              <w:rPr>
                <w:rFonts w:ascii="Calibri" w:eastAsia="Times New Roman" w:hAnsi="Calibri"/>
                <w:b/>
                <w:bCs/>
                <w:noProof/>
                <w:color w:val="000000"/>
                <w:sz w:val="16"/>
                <w:szCs w:val="16"/>
                <w:lang w:eastAsia="it-IT"/>
              </w:rPr>
            </w:pPr>
            <w:r>
              <w:rPr>
                <w:rFonts w:ascii="Calibri" w:eastAsia="Times New Roman" w:hAnsi="Calibri"/>
                <w:b/>
                <w:bCs/>
                <w:noProof/>
                <w:color w:val="000000"/>
                <w:sz w:val="16"/>
                <w:szCs w:val="16"/>
                <w:lang w:eastAsia="it-IT"/>
              </w:rPr>
              <w:t>MAC</w:t>
            </w:r>
          </w:p>
        </w:tc>
        <w:tc>
          <w:tcPr>
            <w:tcW w:w="1603"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w:t>
            </w:r>
          </w:p>
        </w:tc>
        <w:tc>
          <w:tcPr>
            <w:tcW w:w="155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Vendor (Product/Service)</w:t>
            </w:r>
          </w:p>
        </w:tc>
        <w:tc>
          <w:tcPr>
            <w:tcW w:w="90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Smart-meters</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F2CC"/>
            <w:noWrap/>
            <w:vAlign w:val="center"/>
            <w:hideMark/>
          </w:tcPr>
          <w:p w:rsidR="00913429" w:rsidRDefault="00E143F0">
            <w:pPr>
              <w:spacing w:after="0" w:line="240" w:lineRule="auto"/>
              <w:rPr>
                <w:rFonts w:ascii="Calibri" w:eastAsia="Times New Roman" w:hAnsi="Calibri"/>
                <w:b/>
                <w:bCs/>
                <w:noProof/>
                <w:color w:val="000000"/>
                <w:sz w:val="16"/>
                <w:szCs w:val="16"/>
                <w:lang w:eastAsia="it-IT"/>
              </w:rPr>
            </w:pPr>
            <w:r>
              <w:rPr>
                <w:rFonts w:ascii="Calibri" w:eastAsia="Times New Roman" w:hAnsi="Calibri"/>
                <w:b/>
                <w:bCs/>
                <w:noProof/>
                <w:color w:val="000000"/>
                <w:sz w:val="16"/>
                <w:szCs w:val="16"/>
                <w:lang w:eastAsia="it-IT"/>
              </w:rPr>
              <w:t>landgyr</w:t>
            </w:r>
          </w:p>
        </w:tc>
        <w:tc>
          <w:tcPr>
            <w:tcW w:w="1603"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Smart meter vendor, CPA certified smart meter product</w:t>
            </w:r>
          </w:p>
        </w:tc>
        <w:tc>
          <w:tcPr>
            <w:tcW w:w="155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Vendor (Product/Service)</w:t>
            </w:r>
          </w:p>
        </w:tc>
        <w:tc>
          <w:tcPr>
            <w:tcW w:w="90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Smart-meters</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E699"/>
            <w:noWrap/>
            <w:vAlign w:val="center"/>
            <w:hideMark/>
          </w:tcPr>
          <w:p w:rsidR="00913429" w:rsidRDefault="00E143F0">
            <w:pPr>
              <w:spacing w:after="0" w:line="240" w:lineRule="auto"/>
              <w:rPr>
                <w:rFonts w:ascii="Calibri" w:eastAsia="Times New Roman" w:hAnsi="Calibri"/>
                <w:b/>
                <w:noProof/>
                <w:color w:val="000000"/>
                <w:sz w:val="16"/>
                <w:szCs w:val="16"/>
                <w:lang w:eastAsia="it-IT"/>
              </w:rPr>
            </w:pPr>
            <w:r>
              <w:rPr>
                <w:rFonts w:ascii="Calibri" w:eastAsia="Times New Roman" w:hAnsi="Calibri"/>
                <w:b/>
                <w:noProof/>
                <w:color w:val="000000"/>
                <w:sz w:val="16"/>
                <w:szCs w:val="16"/>
                <w:lang w:eastAsia="it-IT"/>
              </w:rPr>
              <w:t>EDMI Europe</w:t>
            </w:r>
          </w:p>
        </w:tc>
        <w:tc>
          <w:tcPr>
            <w:tcW w:w="1603"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Smart meter vendor, CPA certified smart meter product</w:t>
            </w:r>
          </w:p>
        </w:tc>
        <w:tc>
          <w:tcPr>
            <w:tcW w:w="155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Vendor (Product/Service)</w:t>
            </w:r>
          </w:p>
        </w:tc>
        <w:tc>
          <w:tcPr>
            <w:tcW w:w="90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Smart-meters</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F2CC"/>
            <w:noWrap/>
            <w:vAlign w:val="center"/>
            <w:hideMark/>
          </w:tcPr>
          <w:p w:rsidR="00913429" w:rsidRDefault="00E143F0">
            <w:pPr>
              <w:spacing w:after="0" w:line="240" w:lineRule="auto"/>
              <w:rPr>
                <w:rFonts w:ascii="Calibri" w:eastAsia="Times New Roman" w:hAnsi="Calibri"/>
                <w:b/>
                <w:noProof/>
                <w:color w:val="000000"/>
                <w:sz w:val="16"/>
                <w:szCs w:val="16"/>
                <w:lang w:eastAsia="it-IT"/>
              </w:rPr>
            </w:pPr>
            <w:r>
              <w:rPr>
                <w:rFonts w:ascii="Calibri" w:eastAsia="Times New Roman" w:hAnsi="Calibri"/>
                <w:b/>
                <w:noProof/>
                <w:color w:val="000000"/>
                <w:sz w:val="16"/>
                <w:szCs w:val="16"/>
                <w:lang w:eastAsia="it-IT"/>
              </w:rPr>
              <w:t>Siemens</w:t>
            </w:r>
          </w:p>
        </w:tc>
        <w:tc>
          <w:tcPr>
            <w:tcW w:w="1603"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w:t>
            </w:r>
          </w:p>
        </w:tc>
        <w:tc>
          <w:tcPr>
            <w:tcW w:w="155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Vendor(Product/Service)</w:t>
            </w:r>
          </w:p>
        </w:tc>
        <w:tc>
          <w:tcPr>
            <w:tcW w:w="90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Smart-meters</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E699"/>
            <w:noWrap/>
            <w:vAlign w:val="center"/>
            <w:hideMark/>
          </w:tcPr>
          <w:p w:rsidR="00913429" w:rsidRDefault="00E143F0">
            <w:pPr>
              <w:spacing w:after="0" w:line="240" w:lineRule="auto"/>
              <w:rPr>
                <w:rFonts w:ascii="Calibri" w:eastAsia="Times New Roman" w:hAnsi="Calibri"/>
                <w:b/>
                <w:bCs/>
                <w:noProof/>
                <w:color w:val="000000"/>
                <w:sz w:val="16"/>
                <w:szCs w:val="16"/>
                <w:lang w:eastAsia="it-IT"/>
              </w:rPr>
            </w:pPr>
            <w:r>
              <w:rPr>
                <w:rFonts w:ascii="Calibri" w:eastAsia="Times New Roman" w:hAnsi="Calibri"/>
                <w:b/>
                <w:bCs/>
                <w:noProof/>
                <w:color w:val="000000"/>
                <w:sz w:val="16"/>
                <w:szCs w:val="16"/>
                <w:lang w:eastAsia="it-IT"/>
              </w:rPr>
              <w:t>ST Microelectronics</w:t>
            </w:r>
          </w:p>
        </w:tc>
        <w:tc>
          <w:tcPr>
            <w:tcW w:w="1603"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Global Semiconductors company</w:t>
            </w:r>
          </w:p>
        </w:tc>
        <w:tc>
          <w:tcPr>
            <w:tcW w:w="155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Vendor(Product/Service)</w:t>
            </w:r>
          </w:p>
        </w:tc>
        <w:tc>
          <w:tcPr>
            <w:tcW w:w="90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Semi-conductors</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F2CC"/>
            <w:noWrap/>
            <w:vAlign w:val="center"/>
            <w:hideMark/>
          </w:tcPr>
          <w:p w:rsidR="00913429" w:rsidRDefault="00E143F0">
            <w:pPr>
              <w:spacing w:after="0" w:line="240" w:lineRule="auto"/>
              <w:rPr>
                <w:rFonts w:ascii="Calibri" w:eastAsia="Times New Roman" w:hAnsi="Calibri"/>
                <w:b/>
                <w:noProof/>
                <w:color w:val="000000"/>
                <w:sz w:val="16"/>
                <w:szCs w:val="16"/>
                <w:lang w:eastAsia="it-IT"/>
              </w:rPr>
            </w:pPr>
            <w:r>
              <w:rPr>
                <w:rFonts w:ascii="Calibri" w:eastAsia="Times New Roman" w:hAnsi="Calibri"/>
                <w:b/>
                <w:noProof/>
                <w:color w:val="000000"/>
                <w:sz w:val="16"/>
                <w:szCs w:val="16"/>
                <w:lang w:eastAsia="it-IT"/>
              </w:rPr>
              <w:t>ESIA</w:t>
            </w:r>
          </w:p>
        </w:tc>
        <w:tc>
          <w:tcPr>
            <w:tcW w:w="1603"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xml:space="preserve">Voice </w:t>
            </w:r>
            <w:r>
              <w:rPr>
                <w:rFonts w:ascii="Calibri" w:eastAsia="Times New Roman" w:hAnsi="Calibri"/>
                <w:noProof/>
                <w:color w:val="000000"/>
                <w:sz w:val="16"/>
                <w:szCs w:val="16"/>
                <w:lang w:eastAsia="it-IT"/>
              </w:rPr>
              <w:t>of the Semiconductor Industry in Europe</w:t>
            </w:r>
          </w:p>
        </w:tc>
        <w:tc>
          <w:tcPr>
            <w:tcW w:w="155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European &amp; International Organizations</w:t>
            </w:r>
          </w:p>
        </w:tc>
        <w:tc>
          <w:tcPr>
            <w:tcW w:w="90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Semi-conductors</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E699"/>
            <w:noWrap/>
            <w:vAlign w:val="center"/>
            <w:hideMark/>
          </w:tcPr>
          <w:p w:rsidR="00913429" w:rsidRDefault="00E143F0">
            <w:pPr>
              <w:spacing w:after="0" w:line="240" w:lineRule="auto"/>
              <w:rPr>
                <w:rFonts w:ascii="Calibri" w:eastAsia="Times New Roman" w:hAnsi="Calibri"/>
                <w:b/>
                <w:bCs/>
                <w:noProof/>
                <w:color w:val="000000"/>
                <w:sz w:val="16"/>
                <w:szCs w:val="16"/>
                <w:lang w:eastAsia="it-IT"/>
              </w:rPr>
            </w:pPr>
            <w:r>
              <w:rPr>
                <w:rFonts w:ascii="Calibri" w:eastAsia="Times New Roman" w:hAnsi="Calibri"/>
                <w:b/>
                <w:bCs/>
                <w:noProof/>
                <w:color w:val="000000"/>
                <w:sz w:val="16"/>
                <w:szCs w:val="16"/>
                <w:lang w:eastAsia="it-IT"/>
              </w:rPr>
              <w:t>UEAPME</w:t>
            </w:r>
          </w:p>
        </w:tc>
        <w:tc>
          <w:tcPr>
            <w:tcW w:w="1603"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Voice of SMEs in Europe</w:t>
            </w:r>
          </w:p>
        </w:tc>
        <w:tc>
          <w:tcPr>
            <w:tcW w:w="155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European &amp; International Organizations</w:t>
            </w:r>
          </w:p>
        </w:tc>
        <w:tc>
          <w:tcPr>
            <w:tcW w:w="90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SMEs</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F2CC"/>
            <w:noWrap/>
            <w:vAlign w:val="center"/>
            <w:hideMark/>
          </w:tcPr>
          <w:p w:rsidR="00913429" w:rsidRDefault="00E143F0">
            <w:pPr>
              <w:spacing w:after="0" w:line="240" w:lineRule="auto"/>
              <w:rPr>
                <w:rFonts w:ascii="Calibri" w:eastAsia="Times New Roman" w:hAnsi="Calibri"/>
                <w:b/>
                <w:bCs/>
                <w:noProof/>
                <w:color w:val="000000"/>
                <w:sz w:val="16"/>
                <w:szCs w:val="16"/>
                <w:lang w:eastAsia="it-IT"/>
              </w:rPr>
            </w:pPr>
            <w:r>
              <w:rPr>
                <w:rFonts w:ascii="Calibri" w:eastAsia="Times New Roman" w:hAnsi="Calibri"/>
                <w:b/>
                <w:bCs/>
                <w:noProof/>
                <w:color w:val="000000"/>
                <w:sz w:val="16"/>
                <w:szCs w:val="16"/>
                <w:lang w:eastAsia="it-IT"/>
              </w:rPr>
              <w:t>Digital SME Alliance</w:t>
            </w:r>
          </w:p>
        </w:tc>
        <w:tc>
          <w:tcPr>
            <w:tcW w:w="1603"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xml:space="preserve">European association exclusively focused on representing the </w:t>
            </w:r>
            <w:r>
              <w:rPr>
                <w:rFonts w:ascii="Calibri" w:eastAsia="Times New Roman" w:hAnsi="Calibri"/>
                <w:noProof/>
                <w:color w:val="000000"/>
                <w:sz w:val="16"/>
                <w:szCs w:val="16"/>
                <w:lang w:eastAsia="it-IT"/>
              </w:rPr>
              <w:t>interests of the SME community in the ICT sector.</w:t>
            </w:r>
          </w:p>
        </w:tc>
        <w:tc>
          <w:tcPr>
            <w:tcW w:w="155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European &amp; International Organizations</w:t>
            </w:r>
          </w:p>
        </w:tc>
        <w:tc>
          <w:tcPr>
            <w:tcW w:w="90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SMEs</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E699"/>
            <w:noWrap/>
            <w:vAlign w:val="center"/>
            <w:hideMark/>
          </w:tcPr>
          <w:p w:rsidR="00913429" w:rsidRDefault="00E143F0">
            <w:pPr>
              <w:spacing w:after="0" w:line="240" w:lineRule="auto"/>
              <w:rPr>
                <w:rFonts w:ascii="Calibri" w:eastAsia="Times New Roman" w:hAnsi="Calibri"/>
                <w:b/>
                <w:bCs/>
                <w:noProof/>
                <w:color w:val="000000"/>
                <w:sz w:val="16"/>
                <w:szCs w:val="16"/>
                <w:lang w:eastAsia="it-IT"/>
              </w:rPr>
            </w:pPr>
            <w:r>
              <w:rPr>
                <w:rFonts w:ascii="Calibri" w:eastAsia="Times New Roman" w:hAnsi="Calibri"/>
                <w:b/>
                <w:bCs/>
                <w:noProof/>
                <w:color w:val="000000"/>
                <w:sz w:val="16"/>
                <w:szCs w:val="16"/>
                <w:lang w:eastAsia="it-IT"/>
              </w:rPr>
              <w:t>SBS</w:t>
            </w:r>
          </w:p>
        </w:tc>
        <w:tc>
          <w:tcPr>
            <w:tcW w:w="1603"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Represent and defend small SMEs interests in the standardisation process at European and international levels</w:t>
            </w:r>
          </w:p>
        </w:tc>
        <w:tc>
          <w:tcPr>
            <w:tcW w:w="155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European &amp; International Organizations</w:t>
            </w:r>
          </w:p>
        </w:tc>
        <w:tc>
          <w:tcPr>
            <w:tcW w:w="90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SMEs</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F2CC"/>
            <w:noWrap/>
            <w:vAlign w:val="center"/>
            <w:hideMark/>
          </w:tcPr>
          <w:p w:rsidR="00913429" w:rsidRDefault="00E143F0">
            <w:pPr>
              <w:spacing w:after="0" w:line="240" w:lineRule="auto"/>
              <w:rPr>
                <w:rFonts w:ascii="Calibri" w:eastAsia="Times New Roman" w:hAnsi="Calibri"/>
                <w:b/>
                <w:bCs/>
                <w:noProof/>
                <w:color w:val="000000"/>
                <w:sz w:val="16"/>
                <w:szCs w:val="16"/>
                <w:lang w:eastAsia="it-IT"/>
              </w:rPr>
            </w:pPr>
            <w:r>
              <w:rPr>
                <w:rFonts w:ascii="Calibri" w:eastAsia="Times New Roman" w:hAnsi="Calibri"/>
                <w:b/>
                <w:bCs/>
                <w:noProof/>
                <w:color w:val="000000"/>
                <w:sz w:val="16"/>
                <w:szCs w:val="16"/>
                <w:lang w:eastAsia="it-IT"/>
              </w:rPr>
              <w:t>ANIE</w:t>
            </w:r>
          </w:p>
        </w:tc>
        <w:tc>
          <w:tcPr>
            <w:tcW w:w="1603"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w:t>
            </w:r>
          </w:p>
        </w:tc>
        <w:tc>
          <w:tcPr>
            <w:tcW w:w="155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Vendor (Product/Service)</w:t>
            </w:r>
          </w:p>
        </w:tc>
        <w:tc>
          <w:tcPr>
            <w:tcW w:w="90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Semi-conductors</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E699"/>
            <w:noWrap/>
            <w:vAlign w:val="center"/>
            <w:hideMark/>
          </w:tcPr>
          <w:p w:rsidR="00913429" w:rsidRDefault="00E143F0">
            <w:pPr>
              <w:spacing w:after="0" w:line="240" w:lineRule="auto"/>
              <w:rPr>
                <w:rFonts w:ascii="Calibri" w:eastAsia="Times New Roman" w:hAnsi="Calibri"/>
                <w:b/>
                <w:bCs/>
                <w:noProof/>
                <w:color w:val="000000"/>
                <w:sz w:val="16"/>
                <w:szCs w:val="16"/>
                <w:lang w:eastAsia="it-IT"/>
              </w:rPr>
            </w:pPr>
            <w:r>
              <w:rPr>
                <w:rFonts w:ascii="Calibri" w:eastAsia="Times New Roman" w:hAnsi="Calibri"/>
                <w:b/>
                <w:bCs/>
                <w:noProof/>
                <w:color w:val="000000"/>
                <w:sz w:val="16"/>
                <w:szCs w:val="16"/>
                <w:lang w:eastAsia="it-IT"/>
              </w:rPr>
              <w:t>Fraunhofer Group</w:t>
            </w:r>
          </w:p>
        </w:tc>
        <w:tc>
          <w:tcPr>
            <w:tcW w:w="1603"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Service provider for R&amp;D in the areas of microelectronics and smart systems integration</w:t>
            </w:r>
          </w:p>
        </w:tc>
        <w:tc>
          <w:tcPr>
            <w:tcW w:w="155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Vendor (Product/Service)</w:t>
            </w:r>
          </w:p>
        </w:tc>
        <w:tc>
          <w:tcPr>
            <w:tcW w:w="90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Semi-conductors</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F2CC"/>
            <w:noWrap/>
            <w:vAlign w:val="center"/>
            <w:hideMark/>
          </w:tcPr>
          <w:p w:rsidR="00913429" w:rsidRDefault="00E143F0">
            <w:pPr>
              <w:spacing w:after="0" w:line="240" w:lineRule="auto"/>
              <w:rPr>
                <w:rFonts w:ascii="Calibri" w:eastAsia="Times New Roman" w:hAnsi="Calibri"/>
                <w:b/>
                <w:bCs/>
                <w:noProof/>
                <w:color w:val="000000"/>
                <w:sz w:val="16"/>
                <w:szCs w:val="16"/>
                <w:lang w:eastAsia="it-IT"/>
              </w:rPr>
            </w:pPr>
            <w:r>
              <w:rPr>
                <w:rFonts w:ascii="Calibri" w:eastAsia="Times New Roman" w:hAnsi="Calibri"/>
                <w:b/>
                <w:bCs/>
                <w:noProof/>
                <w:color w:val="000000"/>
                <w:sz w:val="16"/>
                <w:szCs w:val="16"/>
                <w:lang w:eastAsia="it-IT"/>
              </w:rPr>
              <w:t>GlobalFoundries</w:t>
            </w:r>
          </w:p>
        </w:tc>
        <w:tc>
          <w:tcPr>
            <w:tcW w:w="1603"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xml:space="preserve">leading full-service semiconductor design, </w:t>
            </w:r>
            <w:r>
              <w:rPr>
                <w:rFonts w:ascii="Calibri" w:eastAsia="Times New Roman" w:hAnsi="Calibri"/>
                <w:noProof/>
                <w:color w:val="000000"/>
                <w:sz w:val="16"/>
                <w:szCs w:val="16"/>
                <w:lang w:eastAsia="it-IT"/>
              </w:rPr>
              <w:t>development, fabrication and innovation company with locations across the globe.</w:t>
            </w:r>
          </w:p>
        </w:tc>
        <w:tc>
          <w:tcPr>
            <w:tcW w:w="155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Vendor (Product/Service)</w:t>
            </w:r>
          </w:p>
        </w:tc>
        <w:tc>
          <w:tcPr>
            <w:tcW w:w="90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Semi-conductors</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E699"/>
            <w:noWrap/>
            <w:vAlign w:val="center"/>
            <w:hideMark/>
          </w:tcPr>
          <w:p w:rsidR="00913429" w:rsidRDefault="00E143F0">
            <w:pPr>
              <w:spacing w:after="0" w:line="240" w:lineRule="auto"/>
              <w:rPr>
                <w:rFonts w:ascii="Calibri" w:eastAsia="Times New Roman" w:hAnsi="Calibri"/>
                <w:b/>
                <w:bCs/>
                <w:noProof/>
                <w:color w:val="000000"/>
                <w:sz w:val="16"/>
                <w:szCs w:val="16"/>
                <w:lang w:eastAsia="it-IT"/>
              </w:rPr>
            </w:pPr>
            <w:r>
              <w:rPr>
                <w:rFonts w:ascii="Calibri" w:eastAsia="Times New Roman" w:hAnsi="Calibri"/>
                <w:b/>
                <w:bCs/>
                <w:noProof/>
                <w:color w:val="000000"/>
                <w:sz w:val="16"/>
                <w:szCs w:val="16"/>
                <w:lang w:eastAsia="it-IT"/>
              </w:rPr>
              <w:t>Imec</w:t>
            </w:r>
          </w:p>
        </w:tc>
        <w:tc>
          <w:tcPr>
            <w:tcW w:w="1603"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R&amp;D solutions, innovation services applicable to both products and services</w:t>
            </w:r>
          </w:p>
        </w:tc>
        <w:tc>
          <w:tcPr>
            <w:tcW w:w="155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Vendor (Product/Service)</w:t>
            </w:r>
          </w:p>
        </w:tc>
        <w:tc>
          <w:tcPr>
            <w:tcW w:w="90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Semi-conductors</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F2CC"/>
            <w:noWrap/>
            <w:vAlign w:val="center"/>
            <w:hideMark/>
          </w:tcPr>
          <w:p w:rsidR="00913429" w:rsidRDefault="00E143F0">
            <w:pPr>
              <w:spacing w:after="0" w:line="240" w:lineRule="auto"/>
              <w:rPr>
                <w:rFonts w:ascii="Calibri" w:eastAsia="Times New Roman" w:hAnsi="Calibri"/>
                <w:b/>
                <w:bCs/>
                <w:noProof/>
                <w:color w:val="000000"/>
                <w:sz w:val="16"/>
                <w:szCs w:val="16"/>
                <w:lang w:eastAsia="it-IT"/>
              </w:rPr>
            </w:pPr>
            <w:r>
              <w:rPr>
                <w:rFonts w:ascii="Calibri" w:eastAsia="Times New Roman" w:hAnsi="Calibri"/>
                <w:b/>
                <w:bCs/>
                <w:noProof/>
                <w:color w:val="000000"/>
                <w:sz w:val="16"/>
                <w:szCs w:val="16"/>
                <w:lang w:eastAsia="it-IT"/>
              </w:rPr>
              <w:t>Micron</w:t>
            </w:r>
          </w:p>
        </w:tc>
        <w:tc>
          <w:tcPr>
            <w:tcW w:w="1603"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global leader in the semiconductor industry</w:t>
            </w:r>
          </w:p>
        </w:tc>
        <w:tc>
          <w:tcPr>
            <w:tcW w:w="155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Vendor (Product/Service)</w:t>
            </w:r>
          </w:p>
        </w:tc>
        <w:tc>
          <w:tcPr>
            <w:tcW w:w="90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Semi-conductors</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E699"/>
            <w:noWrap/>
            <w:vAlign w:val="center"/>
            <w:hideMark/>
          </w:tcPr>
          <w:p w:rsidR="00913429" w:rsidRDefault="00E143F0">
            <w:pPr>
              <w:spacing w:after="0" w:line="240" w:lineRule="auto"/>
              <w:rPr>
                <w:rFonts w:ascii="Calibri" w:eastAsia="Times New Roman" w:hAnsi="Calibri"/>
                <w:b/>
                <w:bCs/>
                <w:noProof/>
                <w:color w:val="000000"/>
                <w:sz w:val="16"/>
                <w:szCs w:val="16"/>
                <w:lang w:eastAsia="it-IT"/>
              </w:rPr>
            </w:pPr>
            <w:r>
              <w:rPr>
                <w:rFonts w:ascii="Calibri" w:eastAsia="Times New Roman" w:hAnsi="Calibri"/>
                <w:b/>
                <w:bCs/>
                <w:noProof/>
                <w:color w:val="000000"/>
                <w:sz w:val="16"/>
                <w:szCs w:val="16"/>
                <w:lang w:eastAsia="it-IT"/>
              </w:rPr>
              <w:t>TDK</w:t>
            </w:r>
          </w:p>
        </w:tc>
        <w:tc>
          <w:tcPr>
            <w:tcW w:w="1603"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Semiconductor Solutions for Automotive and Industrial Electronics</w:t>
            </w:r>
          </w:p>
        </w:tc>
        <w:tc>
          <w:tcPr>
            <w:tcW w:w="155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Vendor (Product/Service)</w:t>
            </w:r>
          </w:p>
        </w:tc>
        <w:tc>
          <w:tcPr>
            <w:tcW w:w="90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Semi-conductors</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F2CC"/>
            <w:noWrap/>
            <w:vAlign w:val="center"/>
            <w:hideMark/>
          </w:tcPr>
          <w:p w:rsidR="00913429" w:rsidRDefault="00E143F0">
            <w:pPr>
              <w:spacing w:after="0" w:line="240" w:lineRule="auto"/>
              <w:rPr>
                <w:rFonts w:ascii="Calibri" w:eastAsia="Times New Roman" w:hAnsi="Calibri"/>
                <w:b/>
                <w:bCs/>
                <w:noProof/>
                <w:color w:val="000000"/>
                <w:sz w:val="16"/>
                <w:szCs w:val="16"/>
                <w:lang w:eastAsia="it-IT"/>
              </w:rPr>
            </w:pPr>
            <w:r>
              <w:rPr>
                <w:rFonts w:ascii="Calibri" w:eastAsia="Times New Roman" w:hAnsi="Calibri"/>
                <w:b/>
                <w:bCs/>
                <w:noProof/>
                <w:color w:val="000000"/>
                <w:sz w:val="16"/>
                <w:szCs w:val="16"/>
                <w:lang w:eastAsia="it-IT"/>
              </w:rPr>
              <w:t>Namium</w:t>
            </w:r>
          </w:p>
        </w:tc>
        <w:tc>
          <w:tcPr>
            <w:tcW w:w="1603"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xml:space="preserve">Advanced assembly and test services to a global </w:t>
            </w:r>
            <w:r>
              <w:rPr>
                <w:rFonts w:ascii="Calibri" w:eastAsia="Times New Roman" w:hAnsi="Calibri"/>
                <w:noProof/>
                <w:color w:val="000000"/>
                <w:sz w:val="16"/>
                <w:szCs w:val="16"/>
                <w:lang w:eastAsia="it-IT"/>
              </w:rPr>
              <w:t>customer base of semiconductor companies</w:t>
            </w:r>
          </w:p>
        </w:tc>
        <w:tc>
          <w:tcPr>
            <w:tcW w:w="155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Vendor (Product/Service)</w:t>
            </w:r>
          </w:p>
        </w:tc>
        <w:tc>
          <w:tcPr>
            <w:tcW w:w="90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Semi-conductors</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E699"/>
            <w:noWrap/>
            <w:vAlign w:val="center"/>
            <w:hideMark/>
          </w:tcPr>
          <w:p w:rsidR="00913429" w:rsidRDefault="00E143F0">
            <w:pPr>
              <w:spacing w:after="0" w:line="240" w:lineRule="auto"/>
              <w:rPr>
                <w:rFonts w:ascii="Calibri" w:eastAsia="Times New Roman" w:hAnsi="Calibri"/>
                <w:b/>
                <w:bCs/>
                <w:noProof/>
                <w:color w:val="000000"/>
                <w:sz w:val="16"/>
                <w:szCs w:val="16"/>
                <w:lang w:eastAsia="it-IT"/>
              </w:rPr>
            </w:pPr>
            <w:r>
              <w:rPr>
                <w:rFonts w:ascii="Calibri" w:eastAsia="Times New Roman" w:hAnsi="Calibri"/>
                <w:b/>
                <w:bCs/>
                <w:noProof/>
                <w:color w:val="000000"/>
                <w:sz w:val="16"/>
                <w:szCs w:val="16"/>
                <w:lang w:eastAsia="it-IT"/>
              </w:rPr>
              <w:t>Rhom</w:t>
            </w:r>
          </w:p>
        </w:tc>
        <w:tc>
          <w:tcPr>
            <w:tcW w:w="1603"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Semiconductor Corporate</w:t>
            </w:r>
          </w:p>
        </w:tc>
        <w:tc>
          <w:tcPr>
            <w:tcW w:w="155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Vendor (Product/Service)</w:t>
            </w:r>
          </w:p>
        </w:tc>
        <w:tc>
          <w:tcPr>
            <w:tcW w:w="90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Semi-conductors</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F2CC"/>
            <w:noWrap/>
            <w:vAlign w:val="center"/>
            <w:hideMark/>
          </w:tcPr>
          <w:p w:rsidR="00913429" w:rsidRDefault="00E143F0">
            <w:pPr>
              <w:spacing w:after="0" w:line="240" w:lineRule="auto"/>
              <w:rPr>
                <w:rFonts w:ascii="Calibri" w:eastAsia="Times New Roman" w:hAnsi="Calibri"/>
                <w:b/>
                <w:bCs/>
                <w:noProof/>
                <w:color w:val="000000"/>
                <w:sz w:val="16"/>
                <w:szCs w:val="16"/>
                <w:lang w:eastAsia="it-IT"/>
              </w:rPr>
            </w:pPr>
            <w:r>
              <w:rPr>
                <w:rFonts w:ascii="Calibri" w:eastAsia="Times New Roman" w:hAnsi="Calibri"/>
                <w:b/>
                <w:bCs/>
                <w:noProof/>
                <w:color w:val="000000"/>
                <w:sz w:val="16"/>
                <w:szCs w:val="16"/>
                <w:lang w:eastAsia="it-IT"/>
              </w:rPr>
              <w:t>FAB</w:t>
            </w:r>
          </w:p>
        </w:tc>
        <w:tc>
          <w:tcPr>
            <w:tcW w:w="1603"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The world’s largest analog/mixed-signal foundry group</w:t>
            </w:r>
          </w:p>
        </w:tc>
        <w:tc>
          <w:tcPr>
            <w:tcW w:w="155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Vendor (Product/Service)</w:t>
            </w:r>
          </w:p>
        </w:tc>
        <w:tc>
          <w:tcPr>
            <w:tcW w:w="90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Semi-conductors</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E699"/>
            <w:noWrap/>
            <w:vAlign w:val="center"/>
            <w:hideMark/>
          </w:tcPr>
          <w:p w:rsidR="00913429" w:rsidRDefault="00E143F0">
            <w:pPr>
              <w:spacing w:after="0" w:line="240" w:lineRule="auto"/>
              <w:rPr>
                <w:rFonts w:ascii="Calibri" w:eastAsia="Times New Roman" w:hAnsi="Calibri"/>
                <w:b/>
                <w:bCs/>
                <w:noProof/>
                <w:color w:val="000000"/>
                <w:sz w:val="16"/>
                <w:szCs w:val="16"/>
                <w:lang w:eastAsia="it-IT"/>
              </w:rPr>
            </w:pPr>
            <w:r>
              <w:rPr>
                <w:rFonts w:ascii="Calibri" w:eastAsia="Times New Roman" w:hAnsi="Calibri"/>
                <w:b/>
                <w:bCs/>
                <w:noProof/>
                <w:color w:val="000000"/>
                <w:sz w:val="16"/>
                <w:szCs w:val="16"/>
                <w:lang w:eastAsia="it-IT"/>
              </w:rPr>
              <w:t>Texas Instruments</w:t>
            </w:r>
          </w:p>
        </w:tc>
        <w:tc>
          <w:tcPr>
            <w:tcW w:w="1603"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Global semiconductor company operating in 35 countries</w:t>
            </w:r>
          </w:p>
        </w:tc>
        <w:tc>
          <w:tcPr>
            <w:tcW w:w="155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Vendor (Product/Service)</w:t>
            </w:r>
          </w:p>
        </w:tc>
        <w:tc>
          <w:tcPr>
            <w:tcW w:w="90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Semi-conductors</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F2CC"/>
            <w:noWrap/>
            <w:vAlign w:val="center"/>
            <w:hideMark/>
          </w:tcPr>
          <w:p w:rsidR="00913429" w:rsidRDefault="00E143F0">
            <w:pPr>
              <w:spacing w:after="0" w:line="240" w:lineRule="auto"/>
              <w:rPr>
                <w:rFonts w:ascii="Calibri" w:eastAsia="Times New Roman" w:hAnsi="Calibri"/>
                <w:b/>
                <w:bCs/>
                <w:noProof/>
                <w:color w:val="000000"/>
                <w:sz w:val="16"/>
                <w:szCs w:val="16"/>
                <w:lang w:eastAsia="it-IT"/>
              </w:rPr>
            </w:pPr>
            <w:r>
              <w:rPr>
                <w:rFonts w:ascii="Calibri" w:eastAsia="Times New Roman" w:hAnsi="Calibri"/>
                <w:b/>
                <w:bCs/>
                <w:noProof/>
                <w:color w:val="000000"/>
                <w:sz w:val="16"/>
                <w:szCs w:val="16"/>
                <w:lang w:eastAsia="it-IT"/>
              </w:rPr>
              <w:t>Nuki</w:t>
            </w:r>
          </w:p>
        </w:tc>
        <w:tc>
          <w:tcPr>
            <w:tcW w:w="1603"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Turn smartphone into smart keys</w:t>
            </w:r>
          </w:p>
        </w:tc>
        <w:tc>
          <w:tcPr>
            <w:tcW w:w="155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Vendor (Product/Service)</w:t>
            </w:r>
          </w:p>
        </w:tc>
        <w:tc>
          <w:tcPr>
            <w:tcW w:w="90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Smart-Lock Door</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E699"/>
            <w:noWrap/>
            <w:vAlign w:val="center"/>
            <w:hideMark/>
          </w:tcPr>
          <w:p w:rsidR="00913429" w:rsidRDefault="00E143F0">
            <w:pPr>
              <w:spacing w:after="0" w:line="240" w:lineRule="auto"/>
              <w:rPr>
                <w:rFonts w:ascii="Calibri" w:eastAsia="Times New Roman" w:hAnsi="Calibri"/>
                <w:b/>
                <w:bCs/>
                <w:noProof/>
                <w:color w:val="000000"/>
                <w:sz w:val="16"/>
                <w:szCs w:val="16"/>
                <w:lang w:eastAsia="it-IT"/>
              </w:rPr>
            </w:pPr>
            <w:r>
              <w:rPr>
                <w:rFonts w:ascii="Calibri" w:eastAsia="Times New Roman" w:hAnsi="Calibri"/>
                <w:b/>
                <w:bCs/>
                <w:noProof/>
                <w:color w:val="000000"/>
                <w:sz w:val="16"/>
                <w:szCs w:val="16"/>
                <w:lang w:eastAsia="it-IT"/>
              </w:rPr>
              <w:t>August</w:t>
            </w:r>
          </w:p>
        </w:tc>
        <w:tc>
          <w:tcPr>
            <w:tcW w:w="1603"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xml:space="preserve">Design products and services that let everyday people </w:t>
            </w:r>
            <w:r>
              <w:rPr>
                <w:rFonts w:ascii="Calibri" w:eastAsia="Times New Roman" w:hAnsi="Calibri"/>
                <w:noProof/>
                <w:color w:val="000000"/>
                <w:sz w:val="16"/>
                <w:szCs w:val="16"/>
                <w:lang w:eastAsia="it-IT"/>
              </w:rPr>
              <w:t>monitor and manage entry into their homes from wherever they are</w:t>
            </w:r>
          </w:p>
        </w:tc>
        <w:tc>
          <w:tcPr>
            <w:tcW w:w="155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Vendor (Product/Service)</w:t>
            </w:r>
          </w:p>
        </w:tc>
        <w:tc>
          <w:tcPr>
            <w:tcW w:w="90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Smart-Lock Door</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F2CC"/>
            <w:noWrap/>
            <w:vAlign w:val="center"/>
            <w:hideMark/>
          </w:tcPr>
          <w:p w:rsidR="00913429" w:rsidRDefault="00E143F0">
            <w:pPr>
              <w:spacing w:after="0" w:line="240" w:lineRule="auto"/>
              <w:rPr>
                <w:rFonts w:ascii="Calibri" w:eastAsia="Times New Roman" w:hAnsi="Calibri"/>
                <w:b/>
                <w:bCs/>
                <w:noProof/>
                <w:color w:val="000000"/>
                <w:sz w:val="16"/>
                <w:szCs w:val="16"/>
                <w:lang w:eastAsia="it-IT"/>
              </w:rPr>
            </w:pPr>
            <w:r>
              <w:rPr>
                <w:rFonts w:ascii="Calibri" w:eastAsia="Times New Roman" w:hAnsi="Calibri"/>
                <w:b/>
                <w:bCs/>
                <w:noProof/>
                <w:color w:val="000000"/>
                <w:sz w:val="16"/>
                <w:szCs w:val="16"/>
                <w:lang w:eastAsia="it-IT"/>
              </w:rPr>
              <w:t>Igloohome</w:t>
            </w:r>
          </w:p>
        </w:tc>
        <w:tc>
          <w:tcPr>
            <w:tcW w:w="1603"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Makes homes and properties smarter</w:t>
            </w:r>
          </w:p>
        </w:tc>
        <w:tc>
          <w:tcPr>
            <w:tcW w:w="155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Vendor (Product/Service)</w:t>
            </w:r>
          </w:p>
        </w:tc>
        <w:tc>
          <w:tcPr>
            <w:tcW w:w="90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Smart-Lock Door</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E699"/>
            <w:noWrap/>
            <w:vAlign w:val="center"/>
            <w:hideMark/>
          </w:tcPr>
          <w:p w:rsidR="00913429" w:rsidRDefault="00E143F0">
            <w:pPr>
              <w:spacing w:after="0" w:line="240" w:lineRule="auto"/>
              <w:rPr>
                <w:rFonts w:ascii="Calibri" w:eastAsia="Times New Roman" w:hAnsi="Calibri"/>
                <w:b/>
                <w:bCs/>
                <w:noProof/>
                <w:color w:val="000000"/>
                <w:sz w:val="16"/>
                <w:szCs w:val="16"/>
                <w:lang w:eastAsia="it-IT"/>
              </w:rPr>
            </w:pPr>
            <w:r>
              <w:rPr>
                <w:rFonts w:ascii="Calibri" w:eastAsia="Times New Roman" w:hAnsi="Calibri"/>
                <w:b/>
                <w:bCs/>
                <w:noProof/>
                <w:color w:val="000000"/>
                <w:sz w:val="16"/>
                <w:szCs w:val="16"/>
                <w:lang w:eastAsia="it-IT"/>
              </w:rPr>
              <w:t>Mul-T-Lock</w:t>
            </w:r>
          </w:p>
        </w:tc>
        <w:tc>
          <w:tcPr>
            <w:tcW w:w="1603"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High Security Locking and access control solution</w:t>
            </w:r>
          </w:p>
        </w:tc>
        <w:tc>
          <w:tcPr>
            <w:tcW w:w="155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Vendor (Product/Service)</w:t>
            </w:r>
          </w:p>
        </w:tc>
        <w:tc>
          <w:tcPr>
            <w:tcW w:w="90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Smart-Lock Door</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F2CC"/>
            <w:noWrap/>
            <w:vAlign w:val="center"/>
            <w:hideMark/>
          </w:tcPr>
          <w:p w:rsidR="00913429" w:rsidRDefault="00E143F0">
            <w:pPr>
              <w:spacing w:after="0" w:line="240" w:lineRule="auto"/>
              <w:rPr>
                <w:rFonts w:ascii="Calibri" w:eastAsia="Times New Roman" w:hAnsi="Calibri"/>
                <w:b/>
                <w:bCs/>
                <w:noProof/>
                <w:color w:val="000000"/>
                <w:sz w:val="16"/>
                <w:szCs w:val="16"/>
                <w:lang w:eastAsia="it-IT"/>
              </w:rPr>
            </w:pPr>
            <w:r>
              <w:rPr>
                <w:rFonts w:ascii="Calibri" w:eastAsia="Times New Roman" w:hAnsi="Calibri"/>
                <w:b/>
                <w:bCs/>
                <w:noProof/>
                <w:color w:val="000000"/>
                <w:sz w:val="16"/>
                <w:szCs w:val="16"/>
                <w:lang w:eastAsia="it-IT"/>
              </w:rPr>
              <w:t>Friday</w:t>
            </w:r>
          </w:p>
        </w:tc>
        <w:tc>
          <w:tcPr>
            <w:tcW w:w="1603"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The world's smallest smartlock</w:t>
            </w:r>
          </w:p>
        </w:tc>
        <w:tc>
          <w:tcPr>
            <w:tcW w:w="155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Vendor (Product/Service)</w:t>
            </w:r>
          </w:p>
        </w:tc>
        <w:tc>
          <w:tcPr>
            <w:tcW w:w="90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Smart-Lock Door</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E699"/>
            <w:noWrap/>
            <w:vAlign w:val="center"/>
            <w:hideMark/>
          </w:tcPr>
          <w:p w:rsidR="00913429" w:rsidRDefault="00E143F0">
            <w:pPr>
              <w:spacing w:after="0" w:line="240" w:lineRule="auto"/>
              <w:rPr>
                <w:rFonts w:ascii="Calibri" w:eastAsia="Times New Roman" w:hAnsi="Calibri"/>
                <w:b/>
                <w:bCs/>
                <w:noProof/>
                <w:color w:val="000000"/>
                <w:sz w:val="16"/>
                <w:szCs w:val="16"/>
                <w:lang w:eastAsia="it-IT"/>
              </w:rPr>
            </w:pPr>
            <w:r>
              <w:rPr>
                <w:rFonts w:ascii="Calibri" w:eastAsia="Times New Roman" w:hAnsi="Calibri"/>
                <w:b/>
                <w:bCs/>
                <w:noProof/>
                <w:color w:val="000000"/>
                <w:sz w:val="16"/>
                <w:szCs w:val="16"/>
                <w:lang w:eastAsia="it-IT"/>
              </w:rPr>
              <w:t>SmartLOCK</w:t>
            </w:r>
          </w:p>
        </w:tc>
        <w:tc>
          <w:tcPr>
            <w:tcW w:w="1603"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market leader in connected access solutions</w:t>
            </w:r>
          </w:p>
        </w:tc>
        <w:tc>
          <w:tcPr>
            <w:tcW w:w="155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Vendor (Product/Service)</w:t>
            </w:r>
          </w:p>
        </w:tc>
        <w:tc>
          <w:tcPr>
            <w:tcW w:w="90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Smart-Lock Door</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F2CC"/>
            <w:noWrap/>
            <w:vAlign w:val="center"/>
            <w:hideMark/>
          </w:tcPr>
          <w:p w:rsidR="00913429" w:rsidRDefault="00E143F0">
            <w:pPr>
              <w:spacing w:after="0" w:line="240" w:lineRule="auto"/>
              <w:rPr>
                <w:rFonts w:ascii="Calibri" w:eastAsia="Times New Roman" w:hAnsi="Calibri"/>
                <w:b/>
                <w:bCs/>
                <w:noProof/>
                <w:color w:val="000000"/>
                <w:sz w:val="16"/>
                <w:szCs w:val="16"/>
                <w:lang w:eastAsia="it-IT"/>
              </w:rPr>
            </w:pPr>
            <w:r>
              <w:rPr>
                <w:rFonts w:ascii="Calibri" w:eastAsia="Times New Roman" w:hAnsi="Calibri"/>
                <w:b/>
                <w:bCs/>
                <w:noProof/>
                <w:color w:val="000000"/>
                <w:sz w:val="16"/>
                <w:szCs w:val="16"/>
                <w:lang w:eastAsia="it-IT"/>
              </w:rPr>
              <w:t>DanaLock</w:t>
            </w:r>
          </w:p>
        </w:tc>
        <w:tc>
          <w:tcPr>
            <w:tcW w:w="1603"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Danish smart-lock company</w:t>
            </w:r>
          </w:p>
        </w:tc>
        <w:tc>
          <w:tcPr>
            <w:tcW w:w="155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Vendor (Product/Service)</w:t>
            </w:r>
          </w:p>
        </w:tc>
        <w:tc>
          <w:tcPr>
            <w:tcW w:w="90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Smart-Lock Door</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E699"/>
            <w:noWrap/>
            <w:vAlign w:val="center"/>
            <w:hideMark/>
          </w:tcPr>
          <w:p w:rsidR="00913429" w:rsidRDefault="00E143F0">
            <w:pPr>
              <w:spacing w:after="0" w:line="240" w:lineRule="auto"/>
              <w:rPr>
                <w:rFonts w:ascii="Calibri" w:eastAsia="Times New Roman" w:hAnsi="Calibri"/>
                <w:b/>
                <w:bCs/>
                <w:noProof/>
                <w:color w:val="000000"/>
                <w:sz w:val="16"/>
                <w:szCs w:val="16"/>
                <w:lang w:eastAsia="it-IT"/>
              </w:rPr>
            </w:pPr>
            <w:r>
              <w:rPr>
                <w:rFonts w:ascii="Calibri" w:eastAsia="Times New Roman" w:hAnsi="Calibri"/>
                <w:b/>
                <w:bCs/>
                <w:noProof/>
                <w:color w:val="000000"/>
                <w:sz w:val="16"/>
                <w:szCs w:val="16"/>
                <w:lang w:eastAsia="it-IT"/>
              </w:rPr>
              <w:t>Clay</w:t>
            </w:r>
          </w:p>
        </w:tc>
        <w:tc>
          <w:tcPr>
            <w:tcW w:w="1603"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Wireless, cloud-based smart lock technology company</w:t>
            </w:r>
          </w:p>
        </w:tc>
        <w:tc>
          <w:tcPr>
            <w:tcW w:w="155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Vendor (Product/Service)</w:t>
            </w:r>
          </w:p>
        </w:tc>
        <w:tc>
          <w:tcPr>
            <w:tcW w:w="90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Smart-Lock Door</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E699"/>
            <w:noWrap/>
            <w:vAlign w:val="center"/>
            <w:hideMark/>
          </w:tcPr>
          <w:p w:rsidR="00913429" w:rsidRDefault="00E143F0">
            <w:pPr>
              <w:spacing w:after="0" w:line="240" w:lineRule="auto"/>
              <w:rPr>
                <w:rFonts w:ascii="Calibri" w:eastAsia="Times New Roman" w:hAnsi="Calibri"/>
                <w:b/>
                <w:bCs/>
                <w:noProof/>
                <w:color w:val="000000"/>
                <w:sz w:val="16"/>
                <w:szCs w:val="16"/>
                <w:lang w:eastAsia="it-IT"/>
              </w:rPr>
            </w:pPr>
            <w:r>
              <w:rPr>
                <w:rFonts w:ascii="Calibri" w:eastAsia="Times New Roman" w:hAnsi="Calibri"/>
                <w:b/>
                <w:bCs/>
                <w:noProof/>
                <w:color w:val="000000"/>
                <w:sz w:val="16"/>
                <w:szCs w:val="16"/>
                <w:lang w:eastAsia="it-IT"/>
              </w:rPr>
              <w:t>Smart Video &amp; Sensing Limited</w:t>
            </w:r>
          </w:p>
        </w:tc>
        <w:tc>
          <w:tcPr>
            <w:tcW w:w="1603"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xml:space="preserve">Value Added Reseller (VAR) of optical based survey solutions, Video Incident </w:t>
            </w:r>
            <w:r>
              <w:rPr>
                <w:rFonts w:ascii="Calibri" w:eastAsia="Times New Roman" w:hAnsi="Calibri"/>
                <w:noProof/>
                <w:color w:val="000000"/>
                <w:sz w:val="16"/>
                <w:szCs w:val="16"/>
                <w:lang w:eastAsia="it-IT"/>
              </w:rPr>
              <w:t>detection systems / Video Analytics and high end digital CCTV</w:t>
            </w:r>
          </w:p>
        </w:tc>
        <w:tc>
          <w:tcPr>
            <w:tcW w:w="155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Vendor (Product/Service)</w:t>
            </w:r>
          </w:p>
        </w:tc>
        <w:tc>
          <w:tcPr>
            <w:tcW w:w="90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Smart-CCTV</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F2CC"/>
            <w:noWrap/>
            <w:vAlign w:val="center"/>
            <w:hideMark/>
          </w:tcPr>
          <w:p w:rsidR="00913429" w:rsidRDefault="00E143F0">
            <w:pPr>
              <w:spacing w:after="0" w:line="240" w:lineRule="auto"/>
              <w:rPr>
                <w:rFonts w:ascii="Calibri" w:eastAsia="Times New Roman" w:hAnsi="Calibri"/>
                <w:b/>
                <w:bCs/>
                <w:noProof/>
                <w:color w:val="000000"/>
                <w:sz w:val="16"/>
                <w:szCs w:val="16"/>
                <w:lang w:eastAsia="it-IT"/>
              </w:rPr>
            </w:pPr>
            <w:r>
              <w:rPr>
                <w:rFonts w:ascii="Calibri" w:eastAsia="Times New Roman" w:hAnsi="Calibri"/>
                <w:b/>
                <w:bCs/>
                <w:noProof/>
                <w:color w:val="000000"/>
                <w:sz w:val="16"/>
                <w:szCs w:val="16"/>
                <w:lang w:eastAsia="it-IT"/>
              </w:rPr>
              <w:t>Smartvue</w:t>
            </w:r>
          </w:p>
        </w:tc>
        <w:tc>
          <w:tcPr>
            <w:tcW w:w="1603"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IoT video solutions</w:t>
            </w:r>
          </w:p>
        </w:tc>
        <w:tc>
          <w:tcPr>
            <w:tcW w:w="155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Vendor (Product/Service)</w:t>
            </w:r>
          </w:p>
        </w:tc>
        <w:tc>
          <w:tcPr>
            <w:tcW w:w="90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Smart-CCTV</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E699"/>
            <w:noWrap/>
            <w:vAlign w:val="center"/>
            <w:hideMark/>
          </w:tcPr>
          <w:p w:rsidR="00913429" w:rsidRDefault="00E143F0">
            <w:pPr>
              <w:spacing w:after="0" w:line="240" w:lineRule="auto"/>
              <w:rPr>
                <w:rFonts w:ascii="Calibri" w:eastAsia="Times New Roman" w:hAnsi="Calibri"/>
                <w:b/>
                <w:bCs/>
                <w:noProof/>
                <w:color w:val="000000"/>
                <w:sz w:val="16"/>
                <w:szCs w:val="16"/>
                <w:lang w:eastAsia="it-IT"/>
              </w:rPr>
            </w:pPr>
            <w:r>
              <w:rPr>
                <w:rFonts w:ascii="Calibri" w:eastAsia="Times New Roman" w:hAnsi="Calibri"/>
                <w:b/>
                <w:bCs/>
                <w:noProof/>
                <w:color w:val="000000"/>
                <w:sz w:val="16"/>
                <w:szCs w:val="16"/>
                <w:lang w:eastAsia="it-IT"/>
              </w:rPr>
              <w:t>Swann</w:t>
            </w:r>
          </w:p>
        </w:tc>
        <w:tc>
          <w:tcPr>
            <w:tcW w:w="1603"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xml:space="preserve">Global leader in security monitoring, consumer electronics and security-centric </w:t>
            </w:r>
            <w:r>
              <w:rPr>
                <w:rFonts w:ascii="Calibri" w:eastAsia="Times New Roman" w:hAnsi="Calibri"/>
                <w:noProof/>
                <w:color w:val="000000"/>
                <w:sz w:val="16"/>
                <w:szCs w:val="16"/>
                <w:lang w:eastAsia="it-IT"/>
              </w:rPr>
              <w:t>solutions for the smart homes and businesses of today and tomorrow</w:t>
            </w:r>
          </w:p>
        </w:tc>
        <w:tc>
          <w:tcPr>
            <w:tcW w:w="155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Vendor (Product/Service)</w:t>
            </w:r>
          </w:p>
        </w:tc>
        <w:tc>
          <w:tcPr>
            <w:tcW w:w="90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Smart-CCTV</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F2CC"/>
            <w:noWrap/>
            <w:vAlign w:val="center"/>
            <w:hideMark/>
          </w:tcPr>
          <w:p w:rsidR="00913429" w:rsidRDefault="00E143F0">
            <w:pPr>
              <w:spacing w:after="0" w:line="240" w:lineRule="auto"/>
              <w:rPr>
                <w:rFonts w:ascii="Calibri" w:eastAsia="Times New Roman" w:hAnsi="Calibri"/>
                <w:b/>
                <w:bCs/>
                <w:noProof/>
                <w:color w:val="000000"/>
                <w:sz w:val="16"/>
                <w:szCs w:val="16"/>
                <w:lang w:eastAsia="it-IT"/>
              </w:rPr>
            </w:pPr>
            <w:r>
              <w:rPr>
                <w:rFonts w:ascii="Calibri" w:eastAsia="Times New Roman" w:hAnsi="Calibri"/>
                <w:b/>
                <w:bCs/>
                <w:noProof/>
                <w:color w:val="000000"/>
                <w:sz w:val="16"/>
                <w:szCs w:val="16"/>
                <w:lang w:eastAsia="it-IT"/>
              </w:rPr>
              <w:t xml:space="preserve">Graz University, Austria </w:t>
            </w:r>
          </w:p>
        </w:tc>
        <w:tc>
          <w:tcPr>
            <w:tcW w:w="1603"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w:t>
            </w:r>
          </w:p>
        </w:tc>
        <w:tc>
          <w:tcPr>
            <w:tcW w:w="155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Other</w:t>
            </w:r>
          </w:p>
        </w:tc>
        <w:tc>
          <w:tcPr>
            <w:tcW w:w="90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Semi-conductors</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E699"/>
            <w:noWrap/>
            <w:vAlign w:val="center"/>
            <w:hideMark/>
          </w:tcPr>
          <w:p w:rsidR="00913429" w:rsidRDefault="00E143F0">
            <w:pPr>
              <w:spacing w:after="0" w:line="240" w:lineRule="auto"/>
              <w:rPr>
                <w:rFonts w:ascii="Calibri" w:eastAsia="Times New Roman" w:hAnsi="Calibri"/>
                <w:b/>
                <w:bCs/>
                <w:noProof/>
                <w:color w:val="000000"/>
                <w:sz w:val="16"/>
                <w:szCs w:val="16"/>
                <w:lang w:eastAsia="it-IT"/>
              </w:rPr>
            </w:pPr>
            <w:r>
              <w:rPr>
                <w:rFonts w:ascii="Calibri" w:eastAsia="Times New Roman" w:hAnsi="Calibri"/>
                <w:b/>
                <w:bCs/>
                <w:noProof/>
                <w:color w:val="000000"/>
                <w:sz w:val="16"/>
                <w:szCs w:val="16"/>
                <w:lang w:eastAsia="it-IT"/>
              </w:rPr>
              <w:t>STMicroelectronics</w:t>
            </w:r>
          </w:p>
        </w:tc>
        <w:tc>
          <w:tcPr>
            <w:tcW w:w="1603"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w:t>
            </w:r>
          </w:p>
        </w:tc>
        <w:tc>
          <w:tcPr>
            <w:tcW w:w="155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Vendor (Product/Service)</w:t>
            </w:r>
          </w:p>
        </w:tc>
        <w:tc>
          <w:tcPr>
            <w:tcW w:w="90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Semi-conductors</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F2CC"/>
            <w:noWrap/>
            <w:vAlign w:val="center"/>
            <w:hideMark/>
          </w:tcPr>
          <w:p w:rsidR="00913429" w:rsidRDefault="00E143F0">
            <w:pPr>
              <w:spacing w:after="0" w:line="240" w:lineRule="auto"/>
              <w:rPr>
                <w:rFonts w:ascii="Calibri" w:eastAsia="Times New Roman" w:hAnsi="Calibri"/>
                <w:b/>
                <w:bCs/>
                <w:noProof/>
                <w:color w:val="000000"/>
                <w:sz w:val="16"/>
                <w:szCs w:val="16"/>
                <w:lang w:eastAsia="it-IT"/>
              </w:rPr>
            </w:pPr>
            <w:r>
              <w:rPr>
                <w:rFonts w:ascii="Calibri" w:eastAsia="Times New Roman" w:hAnsi="Calibri"/>
                <w:b/>
                <w:bCs/>
                <w:noProof/>
                <w:color w:val="000000"/>
                <w:sz w:val="16"/>
                <w:szCs w:val="16"/>
                <w:lang w:eastAsia="it-IT"/>
              </w:rPr>
              <w:t>Infineon Technologies</w:t>
            </w:r>
          </w:p>
        </w:tc>
        <w:tc>
          <w:tcPr>
            <w:tcW w:w="1603"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w:t>
            </w:r>
          </w:p>
        </w:tc>
        <w:tc>
          <w:tcPr>
            <w:tcW w:w="155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xml:space="preserve">Vendor </w:t>
            </w:r>
            <w:r>
              <w:rPr>
                <w:rFonts w:ascii="Calibri" w:eastAsia="Times New Roman" w:hAnsi="Calibri"/>
                <w:noProof/>
                <w:color w:val="000000"/>
                <w:sz w:val="16"/>
                <w:szCs w:val="16"/>
                <w:lang w:eastAsia="it-IT"/>
              </w:rPr>
              <w:t>(Product/Service)</w:t>
            </w:r>
          </w:p>
        </w:tc>
        <w:tc>
          <w:tcPr>
            <w:tcW w:w="90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Semi-conductors</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E699"/>
            <w:noWrap/>
            <w:vAlign w:val="center"/>
            <w:hideMark/>
          </w:tcPr>
          <w:p w:rsidR="00913429" w:rsidRDefault="00E143F0">
            <w:pPr>
              <w:spacing w:after="0" w:line="240" w:lineRule="auto"/>
              <w:rPr>
                <w:rFonts w:ascii="Calibri" w:eastAsia="Times New Roman" w:hAnsi="Calibri"/>
                <w:b/>
                <w:bCs/>
                <w:noProof/>
                <w:color w:val="000000"/>
                <w:sz w:val="16"/>
                <w:szCs w:val="16"/>
                <w:lang w:eastAsia="it-IT"/>
              </w:rPr>
            </w:pPr>
            <w:r>
              <w:rPr>
                <w:rFonts w:ascii="Calibri" w:eastAsia="Times New Roman" w:hAnsi="Calibri"/>
                <w:b/>
                <w:bCs/>
                <w:noProof/>
                <w:color w:val="000000"/>
                <w:sz w:val="16"/>
                <w:szCs w:val="16"/>
                <w:lang w:eastAsia="it-IT"/>
              </w:rPr>
              <w:t>Infineon Technologies</w:t>
            </w:r>
          </w:p>
        </w:tc>
        <w:tc>
          <w:tcPr>
            <w:tcW w:w="1603"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w:t>
            </w:r>
          </w:p>
        </w:tc>
        <w:tc>
          <w:tcPr>
            <w:tcW w:w="155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Vendor (Product/Service)</w:t>
            </w:r>
          </w:p>
        </w:tc>
        <w:tc>
          <w:tcPr>
            <w:tcW w:w="90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Semi-conductors</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F2CC"/>
            <w:noWrap/>
            <w:vAlign w:val="center"/>
            <w:hideMark/>
          </w:tcPr>
          <w:p w:rsidR="00913429" w:rsidRDefault="00E143F0">
            <w:pPr>
              <w:spacing w:after="0" w:line="240" w:lineRule="auto"/>
              <w:rPr>
                <w:rFonts w:ascii="Calibri" w:eastAsia="Times New Roman" w:hAnsi="Calibri"/>
                <w:b/>
                <w:bCs/>
                <w:noProof/>
                <w:color w:val="000000"/>
                <w:sz w:val="16"/>
                <w:szCs w:val="16"/>
                <w:lang w:eastAsia="it-IT"/>
              </w:rPr>
            </w:pPr>
            <w:r>
              <w:rPr>
                <w:rFonts w:ascii="Calibri" w:eastAsia="Times New Roman" w:hAnsi="Calibri"/>
                <w:b/>
                <w:bCs/>
                <w:noProof/>
                <w:color w:val="000000"/>
                <w:sz w:val="16"/>
                <w:szCs w:val="16"/>
                <w:lang w:eastAsia="it-IT"/>
              </w:rPr>
              <w:t>Infineon Technologies</w:t>
            </w:r>
          </w:p>
        </w:tc>
        <w:tc>
          <w:tcPr>
            <w:tcW w:w="1603"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w:t>
            </w:r>
          </w:p>
        </w:tc>
        <w:tc>
          <w:tcPr>
            <w:tcW w:w="155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Vendor (Product/Service)</w:t>
            </w:r>
          </w:p>
        </w:tc>
        <w:tc>
          <w:tcPr>
            <w:tcW w:w="90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Semi-conductors</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E699"/>
            <w:noWrap/>
            <w:vAlign w:val="center"/>
            <w:hideMark/>
          </w:tcPr>
          <w:p w:rsidR="00913429" w:rsidRDefault="00E143F0">
            <w:pPr>
              <w:spacing w:after="0" w:line="240" w:lineRule="auto"/>
              <w:rPr>
                <w:rFonts w:ascii="Calibri" w:eastAsia="Times New Roman" w:hAnsi="Calibri"/>
                <w:b/>
                <w:bCs/>
                <w:noProof/>
                <w:color w:val="000000"/>
                <w:sz w:val="16"/>
                <w:szCs w:val="16"/>
                <w:lang w:eastAsia="it-IT"/>
              </w:rPr>
            </w:pPr>
            <w:r>
              <w:rPr>
                <w:rFonts w:ascii="Calibri" w:eastAsia="Times New Roman" w:hAnsi="Calibri"/>
                <w:b/>
                <w:bCs/>
                <w:noProof/>
                <w:color w:val="000000"/>
                <w:sz w:val="16"/>
                <w:szCs w:val="16"/>
                <w:lang w:eastAsia="it-IT"/>
              </w:rPr>
              <w:t>Leonardo</w:t>
            </w:r>
          </w:p>
        </w:tc>
        <w:tc>
          <w:tcPr>
            <w:tcW w:w="1603"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w:t>
            </w:r>
          </w:p>
        </w:tc>
        <w:tc>
          <w:tcPr>
            <w:tcW w:w="155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Vendor (Product/Service)</w:t>
            </w:r>
          </w:p>
        </w:tc>
        <w:tc>
          <w:tcPr>
            <w:tcW w:w="90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Semi-conductors</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F2CC"/>
            <w:noWrap/>
            <w:vAlign w:val="center"/>
            <w:hideMark/>
          </w:tcPr>
          <w:p w:rsidR="00913429" w:rsidRDefault="00E143F0">
            <w:pPr>
              <w:spacing w:after="0" w:line="240" w:lineRule="auto"/>
              <w:rPr>
                <w:rFonts w:ascii="Calibri" w:eastAsia="Times New Roman" w:hAnsi="Calibri"/>
                <w:b/>
                <w:bCs/>
                <w:noProof/>
                <w:color w:val="000000"/>
                <w:sz w:val="16"/>
                <w:szCs w:val="16"/>
                <w:lang w:eastAsia="it-IT"/>
              </w:rPr>
            </w:pPr>
            <w:r>
              <w:rPr>
                <w:rFonts w:ascii="Calibri" w:eastAsia="Times New Roman" w:hAnsi="Calibri"/>
                <w:b/>
                <w:bCs/>
                <w:noProof/>
                <w:color w:val="000000"/>
                <w:sz w:val="16"/>
                <w:szCs w:val="16"/>
                <w:lang w:eastAsia="it-IT"/>
              </w:rPr>
              <w:t>Radboud University, The Netherlands</w:t>
            </w:r>
          </w:p>
        </w:tc>
        <w:tc>
          <w:tcPr>
            <w:tcW w:w="1603"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w:t>
            </w:r>
          </w:p>
        </w:tc>
        <w:tc>
          <w:tcPr>
            <w:tcW w:w="155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Other</w:t>
            </w:r>
          </w:p>
        </w:tc>
        <w:tc>
          <w:tcPr>
            <w:tcW w:w="90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Semi-conductors</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E699"/>
            <w:noWrap/>
            <w:vAlign w:val="center"/>
            <w:hideMark/>
          </w:tcPr>
          <w:p w:rsidR="00913429" w:rsidRDefault="00E143F0">
            <w:pPr>
              <w:spacing w:after="0" w:line="240" w:lineRule="auto"/>
              <w:rPr>
                <w:rFonts w:ascii="Calibri" w:eastAsia="Times New Roman" w:hAnsi="Calibri"/>
                <w:b/>
                <w:bCs/>
                <w:noProof/>
                <w:color w:val="000000"/>
                <w:sz w:val="16"/>
                <w:szCs w:val="16"/>
                <w:lang w:eastAsia="it-IT"/>
              </w:rPr>
            </w:pPr>
            <w:r>
              <w:rPr>
                <w:rFonts w:ascii="Calibri" w:eastAsia="Times New Roman" w:hAnsi="Calibri"/>
                <w:b/>
                <w:bCs/>
                <w:noProof/>
                <w:color w:val="000000"/>
                <w:sz w:val="16"/>
                <w:szCs w:val="16"/>
                <w:lang w:eastAsia="it-IT"/>
              </w:rPr>
              <w:t>ENS, France</w:t>
            </w:r>
          </w:p>
        </w:tc>
        <w:tc>
          <w:tcPr>
            <w:tcW w:w="1603"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w:t>
            </w:r>
          </w:p>
        </w:tc>
        <w:tc>
          <w:tcPr>
            <w:tcW w:w="155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Other</w:t>
            </w:r>
          </w:p>
        </w:tc>
        <w:tc>
          <w:tcPr>
            <w:tcW w:w="90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Semi-conductors</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F2CC"/>
            <w:noWrap/>
            <w:vAlign w:val="center"/>
            <w:hideMark/>
          </w:tcPr>
          <w:p w:rsidR="00913429" w:rsidRDefault="00E143F0">
            <w:pPr>
              <w:spacing w:after="0" w:line="240" w:lineRule="auto"/>
              <w:rPr>
                <w:rFonts w:ascii="Calibri" w:eastAsia="Times New Roman" w:hAnsi="Calibri"/>
                <w:b/>
                <w:noProof/>
                <w:color w:val="000000"/>
                <w:sz w:val="16"/>
                <w:szCs w:val="16"/>
                <w:lang w:eastAsia="it-IT"/>
              </w:rPr>
            </w:pPr>
            <w:r>
              <w:rPr>
                <w:rFonts w:ascii="Calibri" w:eastAsia="Times New Roman" w:hAnsi="Calibri"/>
                <w:b/>
                <w:noProof/>
                <w:color w:val="000000"/>
                <w:sz w:val="16"/>
                <w:szCs w:val="16"/>
                <w:lang w:eastAsia="it-IT"/>
              </w:rPr>
              <w:t>Eurosmart</w:t>
            </w:r>
          </w:p>
        </w:tc>
        <w:tc>
          <w:tcPr>
            <w:tcW w:w="1603"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Is an international association located in Brussels representing the Voice of the Smart Security Industry for multi-sector applications</w:t>
            </w:r>
          </w:p>
        </w:tc>
        <w:tc>
          <w:tcPr>
            <w:tcW w:w="155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European &amp; International Organizations</w:t>
            </w:r>
          </w:p>
        </w:tc>
        <w:tc>
          <w:tcPr>
            <w:tcW w:w="90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xml:space="preserve">Smart </w:t>
            </w:r>
            <w:r>
              <w:rPr>
                <w:rFonts w:ascii="Calibri" w:eastAsia="Times New Roman" w:hAnsi="Calibri"/>
                <w:noProof/>
                <w:color w:val="000000"/>
                <w:sz w:val="16"/>
                <w:szCs w:val="16"/>
                <w:lang w:eastAsia="it-IT"/>
              </w:rPr>
              <w:t>Security Industry</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E699"/>
            <w:noWrap/>
            <w:vAlign w:val="center"/>
            <w:hideMark/>
          </w:tcPr>
          <w:p w:rsidR="00913429" w:rsidRDefault="00E143F0">
            <w:pPr>
              <w:spacing w:after="0" w:line="240" w:lineRule="auto"/>
              <w:rPr>
                <w:rFonts w:ascii="Calibri" w:eastAsia="Times New Roman" w:hAnsi="Calibri"/>
                <w:b/>
                <w:noProof/>
                <w:color w:val="000000"/>
                <w:sz w:val="16"/>
                <w:szCs w:val="16"/>
                <w:lang w:eastAsia="it-IT"/>
              </w:rPr>
            </w:pPr>
            <w:r>
              <w:rPr>
                <w:rFonts w:ascii="Calibri" w:eastAsia="Times New Roman" w:hAnsi="Calibri"/>
                <w:b/>
                <w:noProof/>
                <w:color w:val="000000"/>
                <w:sz w:val="16"/>
                <w:szCs w:val="16"/>
                <w:lang w:eastAsia="it-IT"/>
              </w:rPr>
              <w:t>Eurosmart</w:t>
            </w:r>
          </w:p>
        </w:tc>
        <w:tc>
          <w:tcPr>
            <w:tcW w:w="1603"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Is an international association located in Brussels representing the Voice of the Smart Security Industry for multi-sector applications</w:t>
            </w:r>
          </w:p>
        </w:tc>
        <w:tc>
          <w:tcPr>
            <w:tcW w:w="155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European &amp; International Organizations</w:t>
            </w:r>
          </w:p>
        </w:tc>
        <w:tc>
          <w:tcPr>
            <w:tcW w:w="90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Smart Security Industry</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F2CC"/>
            <w:noWrap/>
            <w:vAlign w:val="center"/>
            <w:hideMark/>
          </w:tcPr>
          <w:p w:rsidR="00913429" w:rsidRDefault="00E143F0">
            <w:pPr>
              <w:spacing w:after="0" w:line="240" w:lineRule="auto"/>
              <w:rPr>
                <w:rFonts w:ascii="Calibri" w:eastAsia="Times New Roman" w:hAnsi="Calibri"/>
                <w:b/>
                <w:noProof/>
                <w:color w:val="000000"/>
                <w:sz w:val="16"/>
                <w:szCs w:val="16"/>
                <w:lang w:eastAsia="it-IT"/>
              </w:rPr>
            </w:pPr>
            <w:r>
              <w:rPr>
                <w:rFonts w:ascii="Calibri" w:eastAsia="Times New Roman" w:hAnsi="Calibri"/>
                <w:b/>
                <w:noProof/>
                <w:color w:val="000000"/>
                <w:sz w:val="16"/>
                <w:szCs w:val="16"/>
                <w:lang w:eastAsia="it-IT"/>
              </w:rPr>
              <w:t>Eurosmart</w:t>
            </w:r>
          </w:p>
        </w:tc>
        <w:tc>
          <w:tcPr>
            <w:tcW w:w="1603"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xml:space="preserve">Is an </w:t>
            </w:r>
            <w:r>
              <w:rPr>
                <w:rFonts w:ascii="Calibri" w:eastAsia="Times New Roman" w:hAnsi="Calibri"/>
                <w:noProof/>
                <w:color w:val="000000"/>
                <w:sz w:val="16"/>
                <w:szCs w:val="16"/>
                <w:lang w:eastAsia="it-IT"/>
              </w:rPr>
              <w:t>international association located in Brussels representing the Voice of the Smart Security Industry for multi-sector applications</w:t>
            </w:r>
          </w:p>
        </w:tc>
        <w:tc>
          <w:tcPr>
            <w:tcW w:w="155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European &amp; International Organizations</w:t>
            </w:r>
          </w:p>
        </w:tc>
        <w:tc>
          <w:tcPr>
            <w:tcW w:w="90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Smart Security Industry</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E699"/>
            <w:noWrap/>
            <w:vAlign w:val="center"/>
            <w:hideMark/>
          </w:tcPr>
          <w:p w:rsidR="00913429" w:rsidRDefault="00E143F0">
            <w:pPr>
              <w:spacing w:after="0" w:line="240" w:lineRule="auto"/>
              <w:rPr>
                <w:rFonts w:ascii="Calibri" w:eastAsia="Times New Roman" w:hAnsi="Calibri"/>
                <w:b/>
                <w:bCs/>
                <w:noProof/>
                <w:color w:val="000000"/>
                <w:sz w:val="16"/>
                <w:szCs w:val="16"/>
                <w:lang w:eastAsia="it-IT"/>
              </w:rPr>
            </w:pPr>
            <w:r>
              <w:rPr>
                <w:rFonts w:ascii="Calibri" w:eastAsia="Times New Roman" w:hAnsi="Calibri"/>
                <w:b/>
                <w:bCs/>
                <w:noProof/>
                <w:color w:val="000000"/>
                <w:sz w:val="16"/>
                <w:szCs w:val="16"/>
                <w:lang w:eastAsia="it-IT"/>
              </w:rPr>
              <w:t>ST Microelectronics</w:t>
            </w:r>
          </w:p>
        </w:tc>
        <w:tc>
          <w:tcPr>
            <w:tcW w:w="1603"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Global semiconductor company</w:t>
            </w:r>
          </w:p>
        </w:tc>
        <w:tc>
          <w:tcPr>
            <w:tcW w:w="155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 xml:space="preserve">Vendor </w:t>
            </w:r>
            <w:r>
              <w:rPr>
                <w:rFonts w:ascii="Calibri" w:eastAsia="Times New Roman" w:hAnsi="Calibri"/>
                <w:noProof/>
                <w:color w:val="000000"/>
                <w:sz w:val="16"/>
                <w:szCs w:val="16"/>
                <w:lang w:eastAsia="it-IT"/>
              </w:rPr>
              <w:t>(Product/Service)</w:t>
            </w:r>
          </w:p>
        </w:tc>
        <w:tc>
          <w:tcPr>
            <w:tcW w:w="906" w:type="pct"/>
            <w:tcBorders>
              <w:top w:val="nil"/>
              <w:left w:val="nil"/>
              <w:bottom w:val="single" w:sz="4" w:space="0" w:color="auto"/>
              <w:right w:val="single" w:sz="4" w:space="0" w:color="auto"/>
            </w:tcBorders>
            <w:shd w:val="clear" w:color="000000" w:fill="FFE699"/>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Semi-conductors</w:t>
            </w:r>
          </w:p>
        </w:tc>
      </w:tr>
      <w:tr w:rsidR="00913429">
        <w:trPr>
          <w:trHeight w:val="454"/>
          <w:jc w:val="center"/>
        </w:trPr>
        <w:tc>
          <w:tcPr>
            <w:tcW w:w="934" w:type="pct"/>
            <w:tcBorders>
              <w:top w:val="nil"/>
              <w:left w:val="single" w:sz="4" w:space="0" w:color="auto"/>
              <w:bottom w:val="single" w:sz="4" w:space="0" w:color="auto"/>
              <w:right w:val="single" w:sz="4" w:space="0" w:color="auto"/>
            </w:tcBorders>
            <w:shd w:val="clear" w:color="000000" w:fill="FFF2CC"/>
            <w:noWrap/>
            <w:vAlign w:val="center"/>
            <w:hideMark/>
          </w:tcPr>
          <w:p w:rsidR="00913429" w:rsidRDefault="00E143F0">
            <w:pPr>
              <w:spacing w:after="0" w:line="240" w:lineRule="auto"/>
              <w:rPr>
                <w:rFonts w:ascii="Calibri" w:eastAsia="Times New Roman" w:hAnsi="Calibri"/>
                <w:b/>
                <w:bCs/>
                <w:noProof/>
                <w:color w:val="000000"/>
                <w:sz w:val="16"/>
                <w:szCs w:val="16"/>
                <w:lang w:eastAsia="it-IT"/>
              </w:rPr>
            </w:pPr>
            <w:r>
              <w:rPr>
                <w:rFonts w:ascii="Calibri" w:eastAsia="Times New Roman" w:hAnsi="Calibri"/>
                <w:b/>
                <w:bCs/>
                <w:noProof/>
                <w:color w:val="000000"/>
                <w:sz w:val="16"/>
                <w:szCs w:val="16"/>
                <w:lang w:eastAsia="it-IT"/>
              </w:rPr>
              <w:t>ST Microelectronics</w:t>
            </w:r>
          </w:p>
        </w:tc>
        <w:tc>
          <w:tcPr>
            <w:tcW w:w="1603"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Global semiconductor company</w:t>
            </w:r>
          </w:p>
        </w:tc>
        <w:tc>
          <w:tcPr>
            <w:tcW w:w="155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Vendor (Product/Service)</w:t>
            </w:r>
          </w:p>
        </w:tc>
        <w:tc>
          <w:tcPr>
            <w:tcW w:w="906" w:type="pct"/>
            <w:tcBorders>
              <w:top w:val="nil"/>
              <w:left w:val="nil"/>
              <w:bottom w:val="single" w:sz="4" w:space="0" w:color="auto"/>
              <w:right w:val="single" w:sz="4" w:space="0" w:color="auto"/>
            </w:tcBorders>
            <w:shd w:val="clear" w:color="000000" w:fill="FFF2CC"/>
            <w:vAlign w:val="center"/>
            <w:hideMark/>
          </w:tcPr>
          <w:p w:rsidR="00913429" w:rsidRDefault="00E143F0">
            <w:pPr>
              <w:spacing w:after="0" w:line="240" w:lineRule="auto"/>
              <w:jc w:val="center"/>
              <w:rPr>
                <w:rFonts w:ascii="Calibri" w:eastAsia="Times New Roman" w:hAnsi="Calibri"/>
                <w:noProof/>
                <w:color w:val="000000"/>
                <w:sz w:val="16"/>
                <w:szCs w:val="16"/>
                <w:lang w:eastAsia="it-IT"/>
              </w:rPr>
            </w:pPr>
            <w:r>
              <w:rPr>
                <w:rFonts w:ascii="Calibri" w:eastAsia="Times New Roman" w:hAnsi="Calibri"/>
                <w:noProof/>
                <w:color w:val="000000"/>
                <w:sz w:val="16"/>
                <w:szCs w:val="16"/>
                <w:lang w:eastAsia="it-IT"/>
              </w:rPr>
              <w:t>Semi-conductors</w:t>
            </w:r>
          </w:p>
        </w:tc>
      </w:tr>
    </w:tbl>
    <w:p w:rsidR="00913429" w:rsidRDefault="00913429">
      <w:pPr>
        <w:rPr>
          <w:rFonts w:cs="Georgia"/>
          <w:noProof/>
          <w:color w:val="000000"/>
          <w:lang w:eastAsia="it-IT"/>
        </w:rPr>
      </w:pPr>
    </w:p>
    <w:p w:rsidR="00913429" w:rsidRDefault="00E143F0">
      <w:pPr>
        <w:pStyle w:val="Heading4"/>
        <w:rPr>
          <w:noProof/>
        </w:rPr>
      </w:pPr>
      <w:r>
        <w:rPr>
          <w:noProof/>
        </w:rPr>
        <w:t>Critical Infrastructures</w:t>
      </w:r>
    </w:p>
    <w:p w:rsidR="00913429" w:rsidRDefault="00913429">
      <w:pPr>
        <w:pStyle w:val="Paragrafoelenco1"/>
        <w:numPr>
          <w:ilvl w:val="0"/>
          <w:numId w:val="0"/>
        </w:numPr>
        <w:rPr>
          <w:noProof/>
        </w:rPr>
      </w:pPr>
    </w:p>
    <w:tbl>
      <w:tblPr>
        <w:tblW w:w="0" w:type="auto"/>
        <w:tblInd w:w="866" w:type="dxa"/>
        <w:tblLayout w:type="fixed"/>
        <w:tblCellMar>
          <w:left w:w="0" w:type="dxa"/>
          <w:right w:w="0" w:type="dxa"/>
        </w:tblCellMar>
        <w:tblLook w:val="04A0" w:firstRow="1" w:lastRow="0" w:firstColumn="1" w:lastColumn="0" w:noHBand="0" w:noVBand="1"/>
      </w:tblPr>
      <w:tblGrid>
        <w:gridCol w:w="1417"/>
        <w:gridCol w:w="3969"/>
        <w:gridCol w:w="1134"/>
        <w:gridCol w:w="1418"/>
      </w:tblGrid>
      <w:tr w:rsidR="00913429">
        <w:trPr>
          <w:trHeight w:val="624"/>
          <w:tblHeader/>
        </w:trPr>
        <w:tc>
          <w:tcPr>
            <w:tcW w:w="1417" w:type="dxa"/>
            <w:tcBorders>
              <w:top w:val="single" w:sz="8" w:space="0" w:color="auto"/>
              <w:left w:val="single" w:sz="8" w:space="0" w:color="auto"/>
              <w:bottom w:val="nil"/>
              <w:right w:val="single" w:sz="4" w:space="0" w:color="auto"/>
            </w:tcBorders>
            <w:shd w:val="clear" w:color="000000" w:fill="4472C4"/>
            <w:tcMar>
              <w:top w:w="15" w:type="dxa"/>
              <w:left w:w="15" w:type="dxa"/>
              <w:bottom w:w="0" w:type="dxa"/>
              <w:right w:w="15" w:type="dxa"/>
            </w:tcMar>
            <w:vAlign w:val="center"/>
            <w:hideMark/>
          </w:tcPr>
          <w:p w:rsidR="00913429" w:rsidRDefault="00E143F0">
            <w:pPr>
              <w:spacing w:after="2" w:line="240" w:lineRule="auto"/>
              <w:jc w:val="center"/>
              <w:rPr>
                <w:rFonts w:ascii="Calibri" w:hAnsi="Calibri"/>
                <w:b/>
                <w:bCs/>
                <w:noProof/>
                <w:color w:val="FFFFFF"/>
                <w:sz w:val="16"/>
                <w:szCs w:val="16"/>
                <w:lang w:val="it-IT" w:eastAsia="it-IT"/>
              </w:rPr>
            </w:pPr>
            <w:r>
              <w:rPr>
                <w:rFonts w:ascii="Calibri" w:hAnsi="Calibri"/>
                <w:b/>
                <w:bCs/>
                <w:noProof/>
                <w:color w:val="FFFFFF"/>
                <w:sz w:val="16"/>
                <w:szCs w:val="16"/>
              </w:rPr>
              <w:t>Recipient</w:t>
            </w:r>
          </w:p>
        </w:tc>
        <w:tc>
          <w:tcPr>
            <w:tcW w:w="3969" w:type="dxa"/>
            <w:tcBorders>
              <w:top w:val="single" w:sz="8" w:space="0" w:color="auto"/>
              <w:left w:val="single" w:sz="8" w:space="0" w:color="auto"/>
              <w:bottom w:val="nil"/>
              <w:right w:val="single" w:sz="4" w:space="0" w:color="auto"/>
            </w:tcBorders>
            <w:shd w:val="clear" w:color="000000" w:fill="4472C4"/>
            <w:tcMar>
              <w:top w:w="15" w:type="dxa"/>
              <w:left w:w="15" w:type="dxa"/>
              <w:bottom w:w="0" w:type="dxa"/>
              <w:right w:w="15" w:type="dxa"/>
            </w:tcMar>
            <w:vAlign w:val="center"/>
            <w:hideMark/>
          </w:tcPr>
          <w:p w:rsidR="00913429" w:rsidRDefault="00E143F0">
            <w:pPr>
              <w:spacing w:after="2"/>
              <w:jc w:val="center"/>
              <w:rPr>
                <w:rFonts w:ascii="Calibri" w:hAnsi="Calibri"/>
                <w:b/>
                <w:bCs/>
                <w:noProof/>
                <w:color w:val="FFFFFF"/>
                <w:sz w:val="16"/>
                <w:szCs w:val="16"/>
              </w:rPr>
            </w:pPr>
            <w:r>
              <w:rPr>
                <w:rFonts w:ascii="Calibri" w:hAnsi="Calibri"/>
                <w:b/>
                <w:bCs/>
                <w:noProof/>
                <w:color w:val="FFFFFF"/>
                <w:sz w:val="16"/>
                <w:szCs w:val="16"/>
              </w:rPr>
              <w:t>Brief Description</w:t>
            </w:r>
          </w:p>
        </w:tc>
        <w:tc>
          <w:tcPr>
            <w:tcW w:w="1134" w:type="dxa"/>
            <w:tcBorders>
              <w:top w:val="single" w:sz="8" w:space="0" w:color="auto"/>
              <w:left w:val="single" w:sz="8" w:space="0" w:color="auto"/>
              <w:bottom w:val="nil"/>
              <w:right w:val="single" w:sz="4" w:space="0" w:color="auto"/>
            </w:tcBorders>
            <w:shd w:val="clear" w:color="000000" w:fill="4472C4"/>
            <w:tcMar>
              <w:top w:w="15" w:type="dxa"/>
              <w:left w:w="15" w:type="dxa"/>
              <w:bottom w:w="0" w:type="dxa"/>
              <w:right w:w="15" w:type="dxa"/>
            </w:tcMar>
            <w:vAlign w:val="center"/>
            <w:hideMark/>
          </w:tcPr>
          <w:p w:rsidR="00913429" w:rsidRDefault="00E143F0">
            <w:pPr>
              <w:spacing w:after="2"/>
              <w:jc w:val="center"/>
              <w:rPr>
                <w:rFonts w:ascii="Calibri" w:hAnsi="Calibri"/>
                <w:b/>
                <w:bCs/>
                <w:noProof/>
                <w:color w:val="FFFFFF"/>
                <w:sz w:val="16"/>
                <w:szCs w:val="16"/>
              </w:rPr>
            </w:pPr>
            <w:r>
              <w:rPr>
                <w:rFonts w:ascii="Calibri" w:hAnsi="Calibri"/>
                <w:b/>
                <w:bCs/>
                <w:noProof/>
                <w:color w:val="FFFFFF"/>
                <w:sz w:val="16"/>
                <w:szCs w:val="16"/>
              </w:rPr>
              <w:t>Classification</w:t>
            </w:r>
          </w:p>
        </w:tc>
        <w:tc>
          <w:tcPr>
            <w:tcW w:w="1418" w:type="dxa"/>
            <w:tcBorders>
              <w:top w:val="single" w:sz="8" w:space="0" w:color="auto"/>
              <w:left w:val="single" w:sz="8" w:space="0" w:color="auto"/>
              <w:bottom w:val="nil"/>
              <w:right w:val="single" w:sz="4" w:space="0" w:color="auto"/>
            </w:tcBorders>
            <w:shd w:val="clear" w:color="000000" w:fill="4472C4"/>
            <w:tcMar>
              <w:top w:w="15" w:type="dxa"/>
              <w:left w:w="15" w:type="dxa"/>
              <w:bottom w:w="0" w:type="dxa"/>
              <w:right w:w="15" w:type="dxa"/>
            </w:tcMar>
            <w:vAlign w:val="center"/>
            <w:hideMark/>
          </w:tcPr>
          <w:p w:rsidR="00913429" w:rsidRDefault="00E143F0">
            <w:pPr>
              <w:spacing w:after="2"/>
              <w:jc w:val="center"/>
              <w:rPr>
                <w:rFonts w:ascii="Calibri" w:hAnsi="Calibri"/>
                <w:b/>
                <w:bCs/>
                <w:noProof/>
                <w:color w:val="FFFFFF"/>
                <w:sz w:val="16"/>
                <w:szCs w:val="16"/>
              </w:rPr>
            </w:pPr>
            <w:r>
              <w:rPr>
                <w:rFonts w:ascii="Calibri" w:hAnsi="Calibri"/>
                <w:b/>
                <w:bCs/>
                <w:noProof/>
                <w:color w:val="FFFFFF"/>
                <w:sz w:val="16"/>
                <w:szCs w:val="16"/>
              </w:rPr>
              <w:t>Domain</w:t>
            </w:r>
          </w:p>
        </w:tc>
      </w:tr>
      <w:tr w:rsidR="00913429">
        <w:trPr>
          <w:trHeight w:val="20"/>
        </w:trPr>
        <w:tc>
          <w:tcPr>
            <w:tcW w:w="1417" w:type="dxa"/>
            <w:tcBorders>
              <w:top w:val="single" w:sz="4" w:space="0" w:color="auto"/>
              <w:left w:val="single" w:sz="4" w:space="0" w:color="auto"/>
              <w:bottom w:val="single" w:sz="4" w:space="0" w:color="auto"/>
              <w:right w:val="single" w:sz="4" w:space="0" w:color="auto"/>
            </w:tcBorders>
            <w:shd w:val="clear" w:color="000000" w:fill="FFE699"/>
            <w:noWrap/>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World Energy Council</w:t>
            </w:r>
          </w:p>
        </w:tc>
        <w:tc>
          <w:tcPr>
            <w:tcW w:w="3969" w:type="dxa"/>
            <w:tcBorders>
              <w:top w:val="single" w:sz="4" w:space="0" w:color="auto"/>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Network of Energy stakeholders</w:t>
            </w:r>
          </w:p>
        </w:tc>
        <w:tc>
          <w:tcPr>
            <w:tcW w:w="1134" w:type="dxa"/>
            <w:tcBorders>
              <w:top w:val="single" w:sz="4" w:space="0" w:color="auto"/>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Operator</w:t>
            </w:r>
          </w:p>
        </w:tc>
        <w:tc>
          <w:tcPr>
            <w:tcW w:w="1418" w:type="dxa"/>
            <w:tcBorders>
              <w:top w:val="single" w:sz="4" w:space="0" w:color="auto"/>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Energy</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F2CC"/>
            <w:noWrap/>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ServiTecno</w:t>
            </w:r>
          </w:p>
        </w:tc>
        <w:tc>
          <w:tcPr>
            <w:tcW w:w="3969"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Software and Iot for companies</w:t>
            </w:r>
          </w:p>
        </w:tc>
        <w:tc>
          <w:tcPr>
            <w:tcW w:w="1134"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Producer</w:t>
            </w:r>
          </w:p>
        </w:tc>
        <w:tc>
          <w:tcPr>
            <w:tcW w:w="1418"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Energy, Healthcare</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E699"/>
            <w:noWrap/>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STE S.p.a</w:t>
            </w:r>
          </w:p>
        </w:tc>
        <w:tc>
          <w:tcPr>
            <w:tcW w:w="396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Innovation and  &amp; Communication Technology</w:t>
            </w:r>
          </w:p>
        </w:tc>
        <w:tc>
          <w:tcPr>
            <w:tcW w:w="1134"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Operator</w:t>
            </w:r>
          </w:p>
        </w:tc>
        <w:tc>
          <w:tcPr>
            <w:tcW w:w="1418"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Energy</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F2CC"/>
            <w:noWrap/>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RSE Spa, T&amp;D Techologies Dpt</w:t>
            </w:r>
          </w:p>
        </w:tc>
        <w:tc>
          <w:tcPr>
            <w:tcW w:w="3969"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Ricerca Sul Sistema Energetico</w:t>
            </w:r>
          </w:p>
        </w:tc>
        <w:tc>
          <w:tcPr>
            <w:tcW w:w="1134"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Operator</w:t>
            </w:r>
          </w:p>
        </w:tc>
        <w:tc>
          <w:tcPr>
            <w:tcW w:w="1418"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Energy</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E699"/>
            <w:noWrap/>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AIIC</w:t>
            </w:r>
          </w:p>
        </w:tc>
        <w:tc>
          <w:tcPr>
            <w:tcW w:w="396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lang w:val="it-IT"/>
              </w:rPr>
            </w:pPr>
            <w:r>
              <w:rPr>
                <w:rFonts w:ascii="Calibri" w:hAnsi="Calibri"/>
                <w:noProof/>
                <w:color w:val="000000"/>
                <w:sz w:val="16"/>
                <w:szCs w:val="16"/>
                <w:lang w:val="it-IT"/>
              </w:rPr>
              <w:t xml:space="preserve">Associazione </w:t>
            </w:r>
            <w:r>
              <w:rPr>
                <w:rFonts w:ascii="Calibri" w:hAnsi="Calibri"/>
                <w:noProof/>
                <w:color w:val="000000"/>
                <w:sz w:val="16"/>
                <w:szCs w:val="16"/>
                <w:lang w:val="it-IT"/>
              </w:rPr>
              <w:t>Italiana esperti Infratttutture Critiche</w:t>
            </w:r>
          </w:p>
        </w:tc>
        <w:tc>
          <w:tcPr>
            <w:tcW w:w="1134"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Operator</w:t>
            </w:r>
          </w:p>
        </w:tc>
        <w:tc>
          <w:tcPr>
            <w:tcW w:w="1418"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Energy, Healthcare, Transport, Finance</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F2CC"/>
            <w:noWrap/>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Marsh</w:t>
            </w:r>
          </w:p>
        </w:tc>
        <w:tc>
          <w:tcPr>
            <w:tcW w:w="3969"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Insurance Broking, cybersecurity services for transports</w:t>
            </w:r>
          </w:p>
        </w:tc>
        <w:tc>
          <w:tcPr>
            <w:tcW w:w="1134"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Operator</w:t>
            </w:r>
          </w:p>
        </w:tc>
        <w:tc>
          <w:tcPr>
            <w:tcW w:w="1418"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Transportation</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E699"/>
            <w:noWrap/>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Avantune</w:t>
            </w:r>
          </w:p>
        </w:tc>
        <w:tc>
          <w:tcPr>
            <w:tcW w:w="396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startup, cloud services, Member of the AIIC</w:t>
            </w:r>
          </w:p>
        </w:tc>
        <w:tc>
          <w:tcPr>
            <w:tcW w:w="1134"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Producer</w:t>
            </w:r>
          </w:p>
        </w:tc>
        <w:tc>
          <w:tcPr>
            <w:tcW w:w="1418"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Finance</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F2CC"/>
            <w:noWrap/>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Digital</w:t>
            </w:r>
            <w:r>
              <w:rPr>
                <w:rFonts w:ascii="Calibri" w:hAnsi="Calibri"/>
                <w:b/>
                <w:bCs/>
                <w:noProof/>
                <w:color w:val="000000"/>
                <w:sz w:val="16"/>
                <w:szCs w:val="16"/>
              </w:rPr>
              <w:t xml:space="preserve"> Europe</w:t>
            </w:r>
          </w:p>
        </w:tc>
        <w:tc>
          <w:tcPr>
            <w:tcW w:w="3969"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Services for Digital transfromation in the fields of finance and Healthcare</w:t>
            </w:r>
          </w:p>
        </w:tc>
        <w:tc>
          <w:tcPr>
            <w:tcW w:w="1134"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Producer</w:t>
            </w:r>
          </w:p>
        </w:tc>
        <w:tc>
          <w:tcPr>
            <w:tcW w:w="1418"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Fianance, Healthcare</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E699"/>
            <w:noWrap/>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Data Security Solutions</w:t>
            </w:r>
          </w:p>
        </w:tc>
        <w:tc>
          <w:tcPr>
            <w:tcW w:w="396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Data security solutions, including for the Healthcare system, based in Riga, Latvia</w:t>
            </w:r>
          </w:p>
        </w:tc>
        <w:tc>
          <w:tcPr>
            <w:tcW w:w="1134"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Producer</w:t>
            </w:r>
          </w:p>
        </w:tc>
        <w:tc>
          <w:tcPr>
            <w:tcW w:w="1418"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Healthcare</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 xml:space="preserve">CER </w:t>
            </w:r>
            <w:r>
              <w:rPr>
                <w:rFonts w:ascii="Calibri" w:hAnsi="Calibri"/>
                <w:b/>
                <w:bCs/>
                <w:noProof/>
                <w:color w:val="000000"/>
                <w:sz w:val="16"/>
                <w:szCs w:val="16"/>
              </w:rPr>
              <w:t>(Community of European Railway and Infrastructure Companies)</w:t>
            </w:r>
          </w:p>
        </w:tc>
        <w:tc>
          <w:tcPr>
            <w:tcW w:w="3969"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CER represent the interests of its members on the EU policy-making scene, in particular to support an improved business and regulatory environment for European railway operators and railway infra</w:t>
            </w:r>
            <w:r>
              <w:rPr>
                <w:rFonts w:ascii="Calibri" w:hAnsi="Calibri"/>
                <w:noProof/>
                <w:color w:val="000000"/>
                <w:sz w:val="16"/>
                <w:szCs w:val="16"/>
              </w:rPr>
              <w:t>structure companies.</w:t>
            </w:r>
          </w:p>
        </w:tc>
        <w:tc>
          <w:tcPr>
            <w:tcW w:w="1134"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Operator</w:t>
            </w:r>
          </w:p>
        </w:tc>
        <w:tc>
          <w:tcPr>
            <w:tcW w:w="1418"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Transport</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E699"/>
            <w:noWrap/>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Taxify.eu</w:t>
            </w:r>
          </w:p>
        </w:tc>
        <w:tc>
          <w:tcPr>
            <w:tcW w:w="3969" w:type="dxa"/>
            <w:tcBorders>
              <w:top w:val="nil"/>
              <w:left w:val="nil"/>
              <w:bottom w:val="single" w:sz="4" w:space="0" w:color="auto"/>
              <w:right w:val="single" w:sz="4" w:space="0" w:color="auto"/>
            </w:tcBorders>
            <w:shd w:val="clear" w:color="000000" w:fill="FFE699"/>
            <w:noWrap/>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lang w:val="it-IT"/>
              </w:rPr>
            </w:pPr>
            <w:r>
              <w:rPr>
                <w:rFonts w:ascii="Calibri" w:hAnsi="Calibri"/>
                <w:noProof/>
                <w:color w:val="000000"/>
                <w:sz w:val="16"/>
                <w:szCs w:val="16"/>
                <w:lang w:val="it-IT"/>
              </w:rPr>
              <w:t>ridesharing app in Europe &amp; Africa - Estonia</w:t>
            </w:r>
          </w:p>
        </w:tc>
        <w:tc>
          <w:tcPr>
            <w:tcW w:w="1134"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Operator</w:t>
            </w:r>
          </w:p>
        </w:tc>
        <w:tc>
          <w:tcPr>
            <w:tcW w:w="1418"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Transportation</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F2CC"/>
            <w:noWrap/>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NewBanking</w:t>
            </w:r>
          </w:p>
        </w:tc>
        <w:tc>
          <w:tcPr>
            <w:tcW w:w="3969"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Based in Denmark. Services for Financial digital security and blockchains. NewBanking (www.newbanking.com) delivers verified</w:t>
            </w:r>
            <w:r>
              <w:rPr>
                <w:rFonts w:ascii="Calibri" w:hAnsi="Calibri"/>
                <w:noProof/>
                <w:color w:val="000000"/>
                <w:sz w:val="16"/>
                <w:szCs w:val="16"/>
              </w:rPr>
              <w:t xml:space="preserve"> money - KYC with payments - as a service to enterprise customers</w:t>
            </w:r>
          </w:p>
        </w:tc>
        <w:tc>
          <w:tcPr>
            <w:tcW w:w="1134"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Producer</w:t>
            </w:r>
          </w:p>
        </w:tc>
        <w:tc>
          <w:tcPr>
            <w:tcW w:w="1418"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Finance</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E699"/>
            <w:noWrap/>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ESI Group</w:t>
            </w:r>
          </w:p>
        </w:tc>
        <w:tc>
          <w:tcPr>
            <w:tcW w:w="396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 xml:space="preserve">The ESI Group specialise in Material Physics and are innovators in Virtual Prototyping addressing the need for products and processes which are both smart and </w:t>
            </w:r>
            <w:r>
              <w:rPr>
                <w:rFonts w:ascii="Calibri" w:hAnsi="Calibri"/>
                <w:noProof/>
                <w:color w:val="000000"/>
                <w:sz w:val="16"/>
                <w:szCs w:val="16"/>
              </w:rPr>
              <w:t>autonomous, thus supporting industry in digital transformation</w:t>
            </w:r>
          </w:p>
        </w:tc>
        <w:tc>
          <w:tcPr>
            <w:tcW w:w="1134"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Operator</w:t>
            </w:r>
          </w:p>
        </w:tc>
        <w:tc>
          <w:tcPr>
            <w:tcW w:w="1418"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Energy</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F2CC"/>
            <w:noWrap/>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Kraft CERT</w:t>
            </w:r>
          </w:p>
        </w:tc>
        <w:tc>
          <w:tcPr>
            <w:tcW w:w="3969"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Cybersecurity for the National Energy Sector in Norway</w:t>
            </w:r>
          </w:p>
        </w:tc>
        <w:tc>
          <w:tcPr>
            <w:tcW w:w="1134"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Producer</w:t>
            </w:r>
          </w:p>
        </w:tc>
        <w:tc>
          <w:tcPr>
            <w:tcW w:w="1418"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Energy</w:t>
            </w:r>
          </w:p>
        </w:tc>
      </w:tr>
      <w:tr w:rsidR="00913429">
        <w:trPr>
          <w:trHeight w:val="20"/>
        </w:trPr>
        <w:tc>
          <w:tcPr>
            <w:tcW w:w="1417" w:type="dxa"/>
            <w:tcBorders>
              <w:top w:val="nil"/>
              <w:left w:val="single" w:sz="4" w:space="0" w:color="auto"/>
              <w:bottom w:val="nil"/>
              <w:right w:val="single" w:sz="4" w:space="0" w:color="auto"/>
            </w:tcBorders>
            <w:shd w:val="clear" w:color="000000" w:fill="FFE699"/>
            <w:noWrap/>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Ansaldo Energia S.p.A.</w:t>
            </w:r>
          </w:p>
        </w:tc>
        <w:tc>
          <w:tcPr>
            <w:tcW w:w="3969" w:type="dxa"/>
            <w:tcBorders>
              <w:top w:val="nil"/>
              <w:left w:val="nil"/>
              <w:bottom w:val="nil"/>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leading international player in the power generation industry,</w:t>
            </w:r>
          </w:p>
        </w:tc>
        <w:tc>
          <w:tcPr>
            <w:tcW w:w="1134" w:type="dxa"/>
            <w:tcBorders>
              <w:top w:val="nil"/>
              <w:left w:val="nil"/>
              <w:bottom w:val="nil"/>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Producer</w:t>
            </w:r>
          </w:p>
        </w:tc>
        <w:tc>
          <w:tcPr>
            <w:tcW w:w="1418" w:type="dxa"/>
            <w:tcBorders>
              <w:top w:val="nil"/>
              <w:left w:val="nil"/>
              <w:bottom w:val="nil"/>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Energy</w:t>
            </w:r>
          </w:p>
        </w:tc>
      </w:tr>
      <w:tr w:rsidR="00913429">
        <w:trPr>
          <w:trHeight w:val="20"/>
        </w:trPr>
        <w:tc>
          <w:tcPr>
            <w:tcW w:w="1417" w:type="dxa"/>
            <w:tcBorders>
              <w:top w:val="single" w:sz="4" w:space="0" w:color="auto"/>
              <w:left w:val="single" w:sz="4" w:space="0" w:color="auto"/>
              <w:bottom w:val="single" w:sz="4" w:space="0" w:color="auto"/>
              <w:right w:val="single" w:sz="4" w:space="0" w:color="auto"/>
            </w:tcBorders>
            <w:shd w:val="clear" w:color="000000" w:fill="FFF2CC"/>
            <w:noWrap/>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SOFTECO</w:t>
            </w:r>
          </w:p>
        </w:tc>
        <w:tc>
          <w:tcPr>
            <w:tcW w:w="3969" w:type="dxa"/>
            <w:tcBorders>
              <w:top w:val="single" w:sz="4" w:space="0" w:color="auto"/>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IT Solutions for business development, Transport, Finance, Energy</w:t>
            </w:r>
          </w:p>
        </w:tc>
        <w:tc>
          <w:tcPr>
            <w:tcW w:w="1134" w:type="dxa"/>
            <w:tcBorders>
              <w:top w:val="single" w:sz="4" w:space="0" w:color="auto"/>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Producer</w:t>
            </w:r>
          </w:p>
        </w:tc>
        <w:tc>
          <w:tcPr>
            <w:tcW w:w="1418" w:type="dxa"/>
            <w:tcBorders>
              <w:top w:val="single" w:sz="4" w:space="0" w:color="auto"/>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Transportation, Finance, Energy</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Newron Pharmaceuticals</w:t>
            </w:r>
          </w:p>
        </w:tc>
        <w:tc>
          <w:tcPr>
            <w:tcW w:w="396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Leader in the development of innovative therapies for Central Nervous System (CNS)</w:t>
            </w:r>
          </w:p>
        </w:tc>
        <w:tc>
          <w:tcPr>
            <w:tcW w:w="1134"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Producer</w:t>
            </w:r>
          </w:p>
        </w:tc>
        <w:tc>
          <w:tcPr>
            <w:tcW w:w="1418"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Healthcare</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Bayer AG</w:t>
            </w:r>
          </w:p>
        </w:tc>
        <w:tc>
          <w:tcPr>
            <w:tcW w:w="3969"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Major Pharmaceutical company in Europe</w:t>
            </w:r>
          </w:p>
        </w:tc>
        <w:tc>
          <w:tcPr>
            <w:tcW w:w="1134"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Producer</w:t>
            </w:r>
          </w:p>
        </w:tc>
        <w:tc>
          <w:tcPr>
            <w:tcW w:w="1418"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Healthcare</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E699"/>
            <w:noWrap/>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Philips</w:t>
            </w:r>
          </w:p>
        </w:tc>
        <w:tc>
          <w:tcPr>
            <w:tcW w:w="396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A leading health technology</w:t>
            </w:r>
          </w:p>
        </w:tc>
        <w:tc>
          <w:tcPr>
            <w:tcW w:w="1134"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Producer</w:t>
            </w:r>
          </w:p>
        </w:tc>
        <w:tc>
          <w:tcPr>
            <w:tcW w:w="1418"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Heathcare</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F2CC"/>
            <w:noWrap/>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Air France KLM</w:t>
            </w:r>
          </w:p>
        </w:tc>
        <w:tc>
          <w:tcPr>
            <w:tcW w:w="3969" w:type="dxa"/>
            <w:tcBorders>
              <w:top w:val="nil"/>
              <w:left w:val="nil"/>
              <w:bottom w:val="single" w:sz="4" w:space="0" w:color="auto"/>
              <w:right w:val="single" w:sz="4" w:space="0" w:color="auto"/>
            </w:tcBorders>
            <w:shd w:val="clear" w:color="000000" w:fill="FFF2CC"/>
            <w:noWrap/>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France's major airline</w:t>
            </w:r>
          </w:p>
        </w:tc>
        <w:tc>
          <w:tcPr>
            <w:tcW w:w="1134"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Operator</w:t>
            </w:r>
          </w:p>
        </w:tc>
        <w:tc>
          <w:tcPr>
            <w:tcW w:w="1418"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Transportation</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E699"/>
            <w:noWrap/>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Easyjet</w:t>
            </w:r>
          </w:p>
        </w:tc>
        <w:tc>
          <w:tcPr>
            <w:tcW w:w="3969" w:type="dxa"/>
            <w:tcBorders>
              <w:top w:val="nil"/>
              <w:left w:val="nil"/>
              <w:bottom w:val="single" w:sz="4" w:space="0" w:color="auto"/>
              <w:right w:val="single" w:sz="4" w:space="0" w:color="auto"/>
            </w:tcBorders>
            <w:shd w:val="clear" w:color="000000" w:fill="FFE699"/>
            <w:noWrap/>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Europe's leading airline</w:t>
            </w:r>
          </w:p>
        </w:tc>
        <w:tc>
          <w:tcPr>
            <w:tcW w:w="1134"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Operator</w:t>
            </w:r>
          </w:p>
        </w:tc>
        <w:tc>
          <w:tcPr>
            <w:tcW w:w="1418"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Transportation</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F2CC"/>
            <w:noWrap/>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lang w:val="it-IT"/>
              </w:rPr>
            </w:pPr>
            <w:r>
              <w:rPr>
                <w:rFonts w:ascii="Calibri" w:hAnsi="Calibri"/>
                <w:b/>
                <w:bCs/>
                <w:noProof/>
                <w:color w:val="000000"/>
                <w:sz w:val="16"/>
                <w:szCs w:val="16"/>
                <w:lang w:val="it-IT"/>
              </w:rPr>
              <w:t>FERROVIE DELLO STATO ITALIANE S.p.A.</w:t>
            </w:r>
          </w:p>
        </w:tc>
        <w:tc>
          <w:tcPr>
            <w:tcW w:w="3969" w:type="dxa"/>
            <w:tcBorders>
              <w:top w:val="nil"/>
              <w:left w:val="nil"/>
              <w:bottom w:val="single" w:sz="4" w:space="0" w:color="auto"/>
              <w:right w:val="single" w:sz="4" w:space="0" w:color="auto"/>
            </w:tcBorders>
            <w:shd w:val="clear" w:color="000000" w:fill="FFF2CC"/>
            <w:noWrap/>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Italy's railway company</w:t>
            </w:r>
          </w:p>
        </w:tc>
        <w:tc>
          <w:tcPr>
            <w:tcW w:w="1134"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Operator</w:t>
            </w:r>
          </w:p>
        </w:tc>
        <w:tc>
          <w:tcPr>
            <w:tcW w:w="1418"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Transportation</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E699"/>
            <w:noWrap/>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SNCF</w:t>
            </w:r>
          </w:p>
        </w:tc>
        <w:tc>
          <w:tcPr>
            <w:tcW w:w="3969" w:type="dxa"/>
            <w:tcBorders>
              <w:top w:val="nil"/>
              <w:left w:val="nil"/>
              <w:bottom w:val="single" w:sz="4" w:space="0" w:color="auto"/>
              <w:right w:val="single" w:sz="4" w:space="0" w:color="auto"/>
            </w:tcBorders>
            <w:shd w:val="clear" w:color="000000" w:fill="FFE699"/>
            <w:noWrap/>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France's railway company</w:t>
            </w:r>
          </w:p>
        </w:tc>
        <w:tc>
          <w:tcPr>
            <w:tcW w:w="1134"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Operator</w:t>
            </w:r>
          </w:p>
        </w:tc>
        <w:tc>
          <w:tcPr>
            <w:tcW w:w="1418"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Transportation</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F2CC"/>
            <w:noWrap/>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Deutsche Bahn AG</w:t>
            </w:r>
          </w:p>
        </w:tc>
        <w:tc>
          <w:tcPr>
            <w:tcW w:w="3969" w:type="dxa"/>
            <w:tcBorders>
              <w:top w:val="nil"/>
              <w:left w:val="nil"/>
              <w:bottom w:val="single" w:sz="4" w:space="0" w:color="auto"/>
              <w:right w:val="single" w:sz="4" w:space="0" w:color="auto"/>
            </w:tcBorders>
            <w:shd w:val="clear" w:color="000000" w:fill="FFF2CC"/>
            <w:noWrap/>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Germany's railway company</w:t>
            </w:r>
          </w:p>
        </w:tc>
        <w:tc>
          <w:tcPr>
            <w:tcW w:w="1134"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Operator</w:t>
            </w:r>
          </w:p>
        </w:tc>
        <w:tc>
          <w:tcPr>
            <w:tcW w:w="1418"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Transportation</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E699"/>
            <w:noWrap/>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lang w:val="de-DE"/>
              </w:rPr>
            </w:pPr>
            <w:r>
              <w:rPr>
                <w:rFonts w:ascii="Calibri" w:hAnsi="Calibri"/>
                <w:b/>
                <w:bCs/>
                <w:noProof/>
                <w:color w:val="000000"/>
                <w:sz w:val="16"/>
                <w:szCs w:val="16"/>
                <w:lang w:val="de-DE"/>
              </w:rPr>
              <w:t>F. Hoffmann-La Roche Ltd</w:t>
            </w:r>
          </w:p>
        </w:tc>
        <w:tc>
          <w:tcPr>
            <w:tcW w:w="3969" w:type="dxa"/>
            <w:tcBorders>
              <w:top w:val="nil"/>
              <w:left w:val="nil"/>
              <w:bottom w:val="single" w:sz="4" w:space="0" w:color="auto"/>
              <w:right w:val="single" w:sz="4" w:space="0" w:color="auto"/>
            </w:tcBorders>
            <w:shd w:val="clear" w:color="000000" w:fill="FFE699"/>
            <w:noWrap/>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 xml:space="preserve">A global pioneer in </w:t>
            </w:r>
            <w:r>
              <w:rPr>
                <w:rFonts w:ascii="Calibri" w:hAnsi="Calibri"/>
                <w:noProof/>
                <w:color w:val="000000"/>
                <w:sz w:val="16"/>
                <w:szCs w:val="16"/>
              </w:rPr>
              <w:t>pharmaceuticals and diagnostics</w:t>
            </w:r>
          </w:p>
        </w:tc>
        <w:tc>
          <w:tcPr>
            <w:tcW w:w="1134"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Producer</w:t>
            </w:r>
          </w:p>
        </w:tc>
        <w:tc>
          <w:tcPr>
            <w:tcW w:w="1418"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Healthcare</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F2CC"/>
            <w:noWrap/>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Finance Norway</w:t>
            </w:r>
          </w:p>
        </w:tc>
        <w:tc>
          <w:tcPr>
            <w:tcW w:w="3969" w:type="dxa"/>
            <w:tcBorders>
              <w:top w:val="nil"/>
              <w:left w:val="nil"/>
              <w:bottom w:val="single" w:sz="4" w:space="0" w:color="auto"/>
              <w:right w:val="single" w:sz="4" w:space="0" w:color="auto"/>
            </w:tcBorders>
            <w:shd w:val="clear" w:color="000000" w:fill="FFF2CC"/>
            <w:noWrap/>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Financial services in Norway</w:t>
            </w:r>
          </w:p>
        </w:tc>
        <w:tc>
          <w:tcPr>
            <w:tcW w:w="1134"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Operator</w:t>
            </w:r>
          </w:p>
        </w:tc>
        <w:tc>
          <w:tcPr>
            <w:tcW w:w="1418"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Finance</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E699"/>
            <w:noWrap/>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ING Group</w:t>
            </w:r>
          </w:p>
        </w:tc>
        <w:tc>
          <w:tcPr>
            <w:tcW w:w="3969" w:type="dxa"/>
            <w:tcBorders>
              <w:top w:val="nil"/>
              <w:left w:val="nil"/>
              <w:bottom w:val="single" w:sz="4" w:space="0" w:color="auto"/>
              <w:right w:val="single" w:sz="4" w:space="0" w:color="auto"/>
            </w:tcBorders>
            <w:shd w:val="clear" w:color="000000" w:fill="FFE699"/>
            <w:noWrap/>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Financial products and services</w:t>
            </w:r>
          </w:p>
        </w:tc>
        <w:tc>
          <w:tcPr>
            <w:tcW w:w="1134"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Producer</w:t>
            </w:r>
          </w:p>
        </w:tc>
        <w:tc>
          <w:tcPr>
            <w:tcW w:w="1418"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Finance</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F2CC"/>
            <w:noWrap/>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AXA</w:t>
            </w:r>
          </w:p>
        </w:tc>
        <w:tc>
          <w:tcPr>
            <w:tcW w:w="3969"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Pan European and global Insurance player headquartered in France. AXA strives</w:t>
            </w:r>
            <w:r>
              <w:rPr>
                <w:rFonts w:ascii="Calibri" w:hAnsi="Calibri"/>
                <w:noProof/>
                <w:color w:val="000000"/>
                <w:sz w:val="16"/>
                <w:szCs w:val="16"/>
              </w:rPr>
              <w:t xml:space="preserve"> for an integrated single market in the Insurance sector.</w:t>
            </w:r>
          </w:p>
        </w:tc>
        <w:tc>
          <w:tcPr>
            <w:tcW w:w="1134"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Operator</w:t>
            </w:r>
          </w:p>
        </w:tc>
        <w:tc>
          <w:tcPr>
            <w:tcW w:w="1418"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Finance</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E699"/>
            <w:noWrap/>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lang w:val="it-IT"/>
              </w:rPr>
            </w:pPr>
            <w:r>
              <w:rPr>
                <w:rFonts w:ascii="Calibri" w:hAnsi="Calibri"/>
                <w:b/>
                <w:bCs/>
                <w:noProof/>
                <w:color w:val="000000"/>
                <w:sz w:val="16"/>
                <w:szCs w:val="16"/>
                <w:lang w:val="it-IT"/>
              </w:rPr>
              <w:t>Assicurazioni Generali S.p.A</w:t>
            </w:r>
          </w:p>
        </w:tc>
        <w:tc>
          <w:tcPr>
            <w:tcW w:w="3969" w:type="dxa"/>
            <w:tcBorders>
              <w:top w:val="nil"/>
              <w:left w:val="nil"/>
              <w:bottom w:val="single" w:sz="4" w:space="0" w:color="auto"/>
              <w:right w:val="single" w:sz="4" w:space="0" w:color="auto"/>
            </w:tcBorders>
            <w:shd w:val="clear" w:color="000000" w:fill="FFE699"/>
            <w:noWrap/>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Leading insurance company in Italy</w:t>
            </w:r>
          </w:p>
        </w:tc>
        <w:tc>
          <w:tcPr>
            <w:tcW w:w="1134"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Operator</w:t>
            </w:r>
          </w:p>
        </w:tc>
        <w:tc>
          <w:tcPr>
            <w:tcW w:w="1418"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Finance</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F2CC"/>
            <w:noWrap/>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Société Générale</w:t>
            </w:r>
          </w:p>
        </w:tc>
        <w:tc>
          <w:tcPr>
            <w:tcW w:w="3969" w:type="dxa"/>
            <w:tcBorders>
              <w:top w:val="nil"/>
              <w:left w:val="nil"/>
              <w:bottom w:val="single" w:sz="4" w:space="0" w:color="auto"/>
              <w:right w:val="single" w:sz="4" w:space="0" w:color="auto"/>
            </w:tcBorders>
            <w:shd w:val="clear" w:color="000000" w:fill="FFF2CC"/>
            <w:noWrap/>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French Bank</w:t>
            </w:r>
          </w:p>
        </w:tc>
        <w:tc>
          <w:tcPr>
            <w:tcW w:w="1134"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Operator</w:t>
            </w:r>
          </w:p>
        </w:tc>
        <w:tc>
          <w:tcPr>
            <w:tcW w:w="1418"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Finance</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E699"/>
            <w:noWrap/>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HSBC Holdings PLC</w:t>
            </w:r>
          </w:p>
        </w:tc>
        <w:tc>
          <w:tcPr>
            <w:tcW w:w="396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 xml:space="preserve">HSBC is one of the world's </w:t>
            </w:r>
            <w:r>
              <w:rPr>
                <w:rFonts w:ascii="Calibri" w:hAnsi="Calibri"/>
                <w:noProof/>
                <w:color w:val="000000"/>
                <w:sz w:val="16"/>
                <w:szCs w:val="16"/>
              </w:rPr>
              <w:t>largest banking and financial services organisations</w:t>
            </w:r>
          </w:p>
        </w:tc>
        <w:tc>
          <w:tcPr>
            <w:tcW w:w="1134"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Operator</w:t>
            </w:r>
          </w:p>
        </w:tc>
        <w:tc>
          <w:tcPr>
            <w:tcW w:w="1418"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Finance</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F2CC"/>
            <w:noWrap/>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Aviva Plc</w:t>
            </w:r>
          </w:p>
        </w:tc>
        <w:tc>
          <w:tcPr>
            <w:tcW w:w="3969"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UK's largest insurer with strong businesses in selected European markets</w:t>
            </w:r>
          </w:p>
        </w:tc>
        <w:tc>
          <w:tcPr>
            <w:tcW w:w="1134"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Operator</w:t>
            </w:r>
          </w:p>
        </w:tc>
        <w:tc>
          <w:tcPr>
            <w:tcW w:w="1418"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Finance</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E699"/>
            <w:noWrap/>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Shire</w:t>
            </w:r>
          </w:p>
        </w:tc>
        <w:tc>
          <w:tcPr>
            <w:tcW w:w="3969" w:type="dxa"/>
            <w:tcBorders>
              <w:top w:val="nil"/>
              <w:left w:val="nil"/>
              <w:bottom w:val="single" w:sz="4" w:space="0" w:color="auto"/>
              <w:right w:val="single" w:sz="4" w:space="0" w:color="auto"/>
            </w:tcBorders>
            <w:shd w:val="clear" w:color="000000" w:fill="FFE699"/>
            <w:noWrap/>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Leading global biotechnology company</w:t>
            </w:r>
          </w:p>
        </w:tc>
        <w:tc>
          <w:tcPr>
            <w:tcW w:w="1134"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Producer</w:t>
            </w:r>
          </w:p>
        </w:tc>
        <w:tc>
          <w:tcPr>
            <w:tcW w:w="1418"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Healthcare</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F2CC"/>
            <w:noWrap/>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Sanofi</w:t>
            </w:r>
          </w:p>
        </w:tc>
        <w:tc>
          <w:tcPr>
            <w:tcW w:w="3969" w:type="dxa"/>
            <w:tcBorders>
              <w:top w:val="nil"/>
              <w:left w:val="nil"/>
              <w:bottom w:val="single" w:sz="4" w:space="0" w:color="auto"/>
              <w:right w:val="single" w:sz="4" w:space="0" w:color="auto"/>
            </w:tcBorders>
            <w:shd w:val="clear" w:color="000000" w:fill="FFF2CC"/>
            <w:noWrap/>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 xml:space="preserve">Global </w:t>
            </w:r>
            <w:r>
              <w:rPr>
                <w:rFonts w:ascii="Calibri" w:hAnsi="Calibri"/>
                <w:noProof/>
                <w:color w:val="000000"/>
                <w:sz w:val="16"/>
                <w:szCs w:val="16"/>
              </w:rPr>
              <w:t>healthcare leader</w:t>
            </w:r>
          </w:p>
        </w:tc>
        <w:tc>
          <w:tcPr>
            <w:tcW w:w="1134"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Producer</w:t>
            </w:r>
          </w:p>
        </w:tc>
        <w:tc>
          <w:tcPr>
            <w:tcW w:w="1418"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Healthcare</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E699"/>
            <w:noWrap/>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AstraZeneca</w:t>
            </w:r>
          </w:p>
        </w:tc>
        <w:tc>
          <w:tcPr>
            <w:tcW w:w="396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Global research-based biopharmaceutical company headquartered in the UK.</w:t>
            </w:r>
          </w:p>
        </w:tc>
        <w:tc>
          <w:tcPr>
            <w:tcW w:w="1134"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Operator</w:t>
            </w:r>
          </w:p>
        </w:tc>
        <w:tc>
          <w:tcPr>
            <w:tcW w:w="1418"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Healthcare</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F2CC"/>
            <w:noWrap/>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Alitalia</w:t>
            </w:r>
          </w:p>
        </w:tc>
        <w:tc>
          <w:tcPr>
            <w:tcW w:w="3969" w:type="dxa"/>
            <w:tcBorders>
              <w:top w:val="nil"/>
              <w:left w:val="nil"/>
              <w:bottom w:val="single" w:sz="4" w:space="0" w:color="auto"/>
              <w:right w:val="single" w:sz="4" w:space="0" w:color="auto"/>
            </w:tcBorders>
            <w:shd w:val="clear" w:color="000000" w:fill="FFF2CC"/>
            <w:noWrap/>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Italian ariline</w:t>
            </w:r>
          </w:p>
        </w:tc>
        <w:tc>
          <w:tcPr>
            <w:tcW w:w="1134"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Operator</w:t>
            </w:r>
          </w:p>
        </w:tc>
        <w:tc>
          <w:tcPr>
            <w:tcW w:w="1418"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Transportation</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E699"/>
            <w:noWrap/>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lang w:val="it-IT"/>
              </w:rPr>
            </w:pPr>
            <w:r>
              <w:rPr>
                <w:rFonts w:ascii="Calibri" w:hAnsi="Calibri"/>
                <w:b/>
                <w:bCs/>
                <w:noProof/>
                <w:color w:val="000000"/>
                <w:sz w:val="16"/>
                <w:szCs w:val="16"/>
                <w:lang w:val="it-IT"/>
              </w:rPr>
              <w:t>Meridiana fly S.p.A.</w:t>
            </w:r>
          </w:p>
        </w:tc>
        <w:tc>
          <w:tcPr>
            <w:tcW w:w="3969" w:type="dxa"/>
            <w:tcBorders>
              <w:top w:val="nil"/>
              <w:left w:val="nil"/>
              <w:bottom w:val="single" w:sz="4" w:space="0" w:color="auto"/>
              <w:right w:val="single" w:sz="4" w:space="0" w:color="auto"/>
            </w:tcBorders>
            <w:shd w:val="clear" w:color="000000" w:fill="FFE699"/>
            <w:noWrap/>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Italian ariline</w:t>
            </w:r>
          </w:p>
        </w:tc>
        <w:tc>
          <w:tcPr>
            <w:tcW w:w="1134"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Operator</w:t>
            </w:r>
          </w:p>
        </w:tc>
        <w:tc>
          <w:tcPr>
            <w:tcW w:w="1418"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Transportation</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F2CC"/>
            <w:noWrap/>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Tap Portugal</w:t>
            </w:r>
          </w:p>
        </w:tc>
        <w:tc>
          <w:tcPr>
            <w:tcW w:w="3969" w:type="dxa"/>
            <w:tcBorders>
              <w:top w:val="nil"/>
              <w:left w:val="nil"/>
              <w:bottom w:val="single" w:sz="4" w:space="0" w:color="auto"/>
              <w:right w:val="single" w:sz="4" w:space="0" w:color="auto"/>
            </w:tcBorders>
            <w:shd w:val="clear" w:color="000000" w:fill="FFF2CC"/>
            <w:noWrap/>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Portoguese Airline</w:t>
            </w:r>
          </w:p>
        </w:tc>
        <w:tc>
          <w:tcPr>
            <w:tcW w:w="1134"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Operator</w:t>
            </w:r>
          </w:p>
        </w:tc>
        <w:tc>
          <w:tcPr>
            <w:tcW w:w="1418"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Transportation</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GlaxoSmithKline</w:t>
            </w:r>
          </w:p>
        </w:tc>
        <w:tc>
          <w:tcPr>
            <w:tcW w:w="3969" w:type="dxa"/>
            <w:tcBorders>
              <w:top w:val="nil"/>
              <w:left w:val="nil"/>
              <w:bottom w:val="single" w:sz="4" w:space="0" w:color="auto"/>
              <w:right w:val="single" w:sz="4" w:space="0" w:color="auto"/>
            </w:tcBorders>
            <w:shd w:val="clear" w:color="000000" w:fill="FFE699"/>
            <w:noWrap/>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Global healthcare company, based in UK</w:t>
            </w:r>
          </w:p>
        </w:tc>
        <w:tc>
          <w:tcPr>
            <w:tcW w:w="1134"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Operator</w:t>
            </w:r>
          </w:p>
        </w:tc>
        <w:tc>
          <w:tcPr>
            <w:tcW w:w="1418"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Heathcare</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F2CC"/>
            <w:noWrap/>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Crédit Agricole S.A.</w:t>
            </w:r>
          </w:p>
        </w:tc>
        <w:tc>
          <w:tcPr>
            <w:tcW w:w="3969" w:type="dxa"/>
            <w:tcBorders>
              <w:top w:val="nil"/>
              <w:left w:val="nil"/>
              <w:bottom w:val="single" w:sz="4" w:space="0" w:color="auto"/>
              <w:right w:val="single" w:sz="4" w:space="0" w:color="auto"/>
            </w:tcBorders>
            <w:shd w:val="clear" w:color="000000" w:fill="FFF2CC"/>
            <w:noWrap/>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Bank and Insurance</w:t>
            </w:r>
          </w:p>
        </w:tc>
        <w:tc>
          <w:tcPr>
            <w:tcW w:w="1134"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Operator</w:t>
            </w:r>
          </w:p>
        </w:tc>
        <w:tc>
          <w:tcPr>
            <w:tcW w:w="1418"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Finance</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E699"/>
            <w:noWrap/>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BNP Paribas Personal Finance</w:t>
            </w:r>
          </w:p>
        </w:tc>
        <w:tc>
          <w:tcPr>
            <w:tcW w:w="3969" w:type="dxa"/>
            <w:tcBorders>
              <w:top w:val="nil"/>
              <w:left w:val="nil"/>
              <w:bottom w:val="single" w:sz="4" w:space="0" w:color="auto"/>
              <w:right w:val="single" w:sz="4" w:space="0" w:color="auto"/>
            </w:tcBorders>
            <w:shd w:val="clear" w:color="000000" w:fill="FFE699"/>
            <w:noWrap/>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Bank and Insurance</w:t>
            </w:r>
          </w:p>
        </w:tc>
        <w:tc>
          <w:tcPr>
            <w:tcW w:w="1134"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Operator</w:t>
            </w:r>
          </w:p>
        </w:tc>
        <w:tc>
          <w:tcPr>
            <w:tcW w:w="1418"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Finance</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F2CC"/>
            <w:noWrap/>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UK Finance</w:t>
            </w:r>
          </w:p>
        </w:tc>
        <w:tc>
          <w:tcPr>
            <w:tcW w:w="3969"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UK Finance represents nearly 300 of the leading firms providing finance, banking, markets and payments-related services in or from the UK.</w:t>
            </w:r>
          </w:p>
        </w:tc>
        <w:tc>
          <w:tcPr>
            <w:tcW w:w="1134" w:type="dxa"/>
            <w:tcBorders>
              <w:top w:val="nil"/>
              <w:left w:val="nil"/>
              <w:bottom w:val="single" w:sz="4" w:space="0" w:color="auto"/>
              <w:right w:val="single" w:sz="4" w:space="0" w:color="auto"/>
            </w:tcBorders>
            <w:shd w:val="clear" w:color="000000" w:fill="FFF2CC"/>
            <w:noWrap/>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Operator</w:t>
            </w:r>
          </w:p>
        </w:tc>
        <w:tc>
          <w:tcPr>
            <w:tcW w:w="1418" w:type="dxa"/>
            <w:tcBorders>
              <w:top w:val="nil"/>
              <w:left w:val="nil"/>
              <w:bottom w:val="single" w:sz="4" w:space="0" w:color="auto"/>
              <w:right w:val="single" w:sz="4" w:space="0" w:color="auto"/>
            </w:tcBorders>
            <w:shd w:val="clear" w:color="000000" w:fill="FFF2CC"/>
            <w:noWrap/>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Finance</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E699"/>
            <w:noWrap/>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Nederlandse Waterschapsbank</w:t>
            </w:r>
          </w:p>
        </w:tc>
        <w:tc>
          <w:tcPr>
            <w:tcW w:w="396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 xml:space="preserve">Nederlandse Waterschapsbank N.V. (NWB Bank) is a leading </w:t>
            </w:r>
            <w:r>
              <w:rPr>
                <w:rFonts w:ascii="Calibri" w:hAnsi="Calibri"/>
                <w:noProof/>
                <w:color w:val="000000"/>
                <w:sz w:val="16"/>
                <w:szCs w:val="16"/>
              </w:rPr>
              <w:t>financial services provider for the public sector.</w:t>
            </w:r>
          </w:p>
        </w:tc>
        <w:tc>
          <w:tcPr>
            <w:tcW w:w="1134"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Operator</w:t>
            </w:r>
          </w:p>
        </w:tc>
        <w:tc>
          <w:tcPr>
            <w:tcW w:w="1418"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Finance</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F2CC"/>
            <w:noWrap/>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PPRO Financial Ltd</w:t>
            </w:r>
          </w:p>
        </w:tc>
        <w:tc>
          <w:tcPr>
            <w:tcW w:w="3969"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 xml:space="preserve">PPRO Group is a cross-border e-payment specialist removing the complexity of international e-commerce payments by acquiring, collecting and processing an extensive </w:t>
            </w:r>
            <w:r>
              <w:rPr>
                <w:rFonts w:ascii="Calibri" w:hAnsi="Calibri"/>
                <w:noProof/>
                <w:color w:val="000000"/>
                <w:sz w:val="16"/>
                <w:szCs w:val="16"/>
              </w:rPr>
              <w:t>range of alternative payments methods for PSPs under one contract, through one platform and one single integration.</w:t>
            </w:r>
          </w:p>
        </w:tc>
        <w:tc>
          <w:tcPr>
            <w:tcW w:w="1134"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Producer</w:t>
            </w:r>
          </w:p>
        </w:tc>
        <w:tc>
          <w:tcPr>
            <w:tcW w:w="1418"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Finance</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E699"/>
            <w:noWrap/>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CLECAT - European association for forwarding, transport, logistic and Customs services</w:t>
            </w:r>
          </w:p>
        </w:tc>
        <w:tc>
          <w:tcPr>
            <w:tcW w:w="396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 xml:space="preserve">CLECAT was established in 1958 in </w:t>
            </w:r>
            <w:r>
              <w:rPr>
                <w:rFonts w:ascii="Calibri" w:hAnsi="Calibri"/>
                <w:noProof/>
                <w:color w:val="000000"/>
                <w:sz w:val="16"/>
                <w:szCs w:val="16"/>
              </w:rPr>
              <w:t>Antwerp, it is now located in Brussels and it represents the interests of 24 members (consisting of national organisations of EU freight related service providers, as well as various observer and associate members).</w:t>
            </w:r>
          </w:p>
        </w:tc>
        <w:tc>
          <w:tcPr>
            <w:tcW w:w="1134"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Operator</w:t>
            </w:r>
          </w:p>
        </w:tc>
        <w:tc>
          <w:tcPr>
            <w:tcW w:w="1418"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Transportation</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Virtu Financial</w:t>
            </w:r>
            <w:r>
              <w:rPr>
                <w:rFonts w:ascii="Calibri" w:hAnsi="Calibri"/>
                <w:b/>
                <w:bCs/>
                <w:noProof/>
                <w:color w:val="000000"/>
                <w:sz w:val="16"/>
                <w:szCs w:val="16"/>
              </w:rPr>
              <w:t xml:space="preserve"> Ireland Limited</w:t>
            </w:r>
          </w:p>
        </w:tc>
        <w:tc>
          <w:tcPr>
            <w:tcW w:w="3969"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Virtu Financial Ireland Limited is a wholly owned subsidiary of Virtu Financial, Inc. and is a market-leading liquidity provider in European markets with a focus on equities, exchange traded funds and exchange traded derivatives.</w:t>
            </w:r>
          </w:p>
        </w:tc>
        <w:tc>
          <w:tcPr>
            <w:tcW w:w="1134"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Operator</w:t>
            </w:r>
          </w:p>
        </w:tc>
        <w:tc>
          <w:tcPr>
            <w:tcW w:w="1418"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Finance</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E699"/>
            <w:noWrap/>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Morgan Stanley</w:t>
            </w:r>
          </w:p>
        </w:tc>
        <w:tc>
          <w:tcPr>
            <w:tcW w:w="396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Morgan Stanley (NYSE: MS) is a leading global financial services firm providing investment banking, securities, wealth management and investment management services.</w:t>
            </w:r>
          </w:p>
        </w:tc>
        <w:tc>
          <w:tcPr>
            <w:tcW w:w="1134"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Operator</w:t>
            </w:r>
          </w:p>
        </w:tc>
        <w:tc>
          <w:tcPr>
            <w:tcW w:w="1418"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Finance</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FEXCO Merchant Services Unlimited Company</w:t>
            </w:r>
          </w:p>
        </w:tc>
        <w:tc>
          <w:tcPr>
            <w:tcW w:w="3969"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Provider of Innovative Fintech, Payments &amp; Business Solutions for merchants, acquirers and other businesses</w:t>
            </w:r>
          </w:p>
        </w:tc>
        <w:tc>
          <w:tcPr>
            <w:tcW w:w="1134"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Operator</w:t>
            </w:r>
          </w:p>
        </w:tc>
        <w:tc>
          <w:tcPr>
            <w:tcW w:w="1418"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Finance</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E699"/>
            <w:noWrap/>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Kreditech Holding SSL GmbH</w:t>
            </w:r>
          </w:p>
        </w:tc>
        <w:tc>
          <w:tcPr>
            <w:tcW w:w="396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Improving financial freedom for the underbanked by the use of technology.</w:t>
            </w:r>
          </w:p>
        </w:tc>
        <w:tc>
          <w:tcPr>
            <w:tcW w:w="1134"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Operator</w:t>
            </w:r>
          </w:p>
        </w:tc>
        <w:tc>
          <w:tcPr>
            <w:tcW w:w="1418"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Finance</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F2CC"/>
            <w:noWrap/>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Groupe GTI</w:t>
            </w:r>
          </w:p>
        </w:tc>
        <w:tc>
          <w:tcPr>
            <w:tcW w:w="3969"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Financial operations, with a focus in the field of structured finance and asset securitization.</w:t>
            </w:r>
          </w:p>
        </w:tc>
        <w:tc>
          <w:tcPr>
            <w:tcW w:w="1134"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Producer</w:t>
            </w:r>
          </w:p>
        </w:tc>
        <w:tc>
          <w:tcPr>
            <w:tcW w:w="1418"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Finance</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E699"/>
            <w:noWrap/>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Febelfin</w:t>
            </w:r>
          </w:p>
        </w:tc>
        <w:tc>
          <w:tcPr>
            <w:tcW w:w="396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 xml:space="preserve">Febelfin vzw/asbl (non-profit association) is the Belgian Financial Sector Federation. It tries to reconcile the interests of its </w:t>
            </w:r>
            <w:r>
              <w:rPr>
                <w:rFonts w:ascii="Calibri" w:hAnsi="Calibri"/>
                <w:noProof/>
                <w:color w:val="000000"/>
                <w:sz w:val="16"/>
                <w:szCs w:val="16"/>
              </w:rPr>
              <w:t>members with those of the policy makers, supervisors, trade associations and pressure groups at the national and European level.</w:t>
            </w:r>
          </w:p>
        </w:tc>
        <w:tc>
          <w:tcPr>
            <w:tcW w:w="1134"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Operator</w:t>
            </w:r>
          </w:p>
        </w:tc>
        <w:tc>
          <w:tcPr>
            <w:tcW w:w="1418"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Finance</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F2CC"/>
            <w:noWrap/>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Fintech France</w:t>
            </w:r>
          </w:p>
        </w:tc>
        <w:tc>
          <w:tcPr>
            <w:tcW w:w="3969"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Promoting French Fintech Abroad</w:t>
            </w:r>
          </w:p>
        </w:tc>
        <w:tc>
          <w:tcPr>
            <w:tcW w:w="1134"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Producer</w:t>
            </w:r>
          </w:p>
        </w:tc>
        <w:tc>
          <w:tcPr>
            <w:tcW w:w="1418"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Finance</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E699"/>
            <w:noWrap/>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 xml:space="preserve">UIRR, International Union for Road-Rail </w:t>
            </w:r>
            <w:r>
              <w:rPr>
                <w:rFonts w:ascii="Calibri" w:hAnsi="Calibri"/>
                <w:b/>
                <w:bCs/>
                <w:noProof/>
                <w:color w:val="000000"/>
                <w:sz w:val="16"/>
                <w:szCs w:val="16"/>
              </w:rPr>
              <w:t>Combined Transport</w:t>
            </w:r>
          </w:p>
        </w:tc>
        <w:tc>
          <w:tcPr>
            <w:tcW w:w="396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 xml:space="preserve">The International Union for Road-Rail Combined Transport (UIRR) represents European road-rail Combined Transport operators, as well as Transhipment Terminal Managers, who organise this ecologically and economically sustainable system of </w:t>
            </w:r>
            <w:r>
              <w:rPr>
                <w:rFonts w:ascii="Calibri" w:hAnsi="Calibri"/>
                <w:noProof/>
                <w:color w:val="000000"/>
                <w:sz w:val="16"/>
                <w:szCs w:val="16"/>
              </w:rPr>
              <w:t>freight transport.</w:t>
            </w:r>
          </w:p>
        </w:tc>
        <w:tc>
          <w:tcPr>
            <w:tcW w:w="1134"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Operator</w:t>
            </w:r>
          </w:p>
        </w:tc>
        <w:tc>
          <w:tcPr>
            <w:tcW w:w="1418"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Transportation</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UITP - International Association of Public Transport</w:t>
            </w:r>
          </w:p>
        </w:tc>
        <w:tc>
          <w:tcPr>
            <w:tcW w:w="3969"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UITP covers all modes of public transport - bus and other road collective transport, rail including tramway, metro, light rail, regional and suburban railways,</w:t>
            </w:r>
            <w:r>
              <w:rPr>
                <w:rFonts w:ascii="Calibri" w:hAnsi="Calibri"/>
                <w:noProof/>
                <w:color w:val="000000"/>
                <w:sz w:val="16"/>
                <w:szCs w:val="16"/>
              </w:rPr>
              <w:t xml:space="preserve"> and waterborne transport. It represents collective transport in a broader sense.</w:t>
            </w:r>
          </w:p>
        </w:tc>
        <w:tc>
          <w:tcPr>
            <w:tcW w:w="1134"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Operator</w:t>
            </w:r>
          </w:p>
        </w:tc>
        <w:tc>
          <w:tcPr>
            <w:tcW w:w="1418"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Transportation</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E699"/>
            <w:noWrap/>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Olivetti</w:t>
            </w:r>
          </w:p>
        </w:tc>
        <w:tc>
          <w:tcPr>
            <w:tcW w:w="396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 xml:space="preserve">Olivetti S.p.A. is an Italian manufacturer of typewriters, computers, tablets, smartphones, printers, etc. Today it is also specialized in </w:t>
            </w:r>
            <w:r>
              <w:rPr>
                <w:rFonts w:ascii="Calibri" w:hAnsi="Calibri"/>
                <w:noProof/>
                <w:color w:val="000000"/>
                <w:sz w:val="16"/>
                <w:szCs w:val="16"/>
              </w:rPr>
              <w:t>Cloud Computing, ICT and much more</w:t>
            </w:r>
          </w:p>
        </w:tc>
        <w:tc>
          <w:tcPr>
            <w:tcW w:w="1134"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Producer</w:t>
            </w:r>
          </w:p>
        </w:tc>
        <w:tc>
          <w:tcPr>
            <w:tcW w:w="1418"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Energy</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F2CC"/>
            <w:noWrap/>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Cisco</w:t>
            </w:r>
          </w:p>
        </w:tc>
        <w:tc>
          <w:tcPr>
            <w:tcW w:w="3969"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American multinational technology conglomerate, specialised into specific tech markets</w:t>
            </w:r>
          </w:p>
        </w:tc>
        <w:tc>
          <w:tcPr>
            <w:tcW w:w="1134"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Producer</w:t>
            </w:r>
          </w:p>
        </w:tc>
        <w:tc>
          <w:tcPr>
            <w:tcW w:w="1418"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Energy</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E699"/>
            <w:noWrap/>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ING Group</w:t>
            </w:r>
          </w:p>
        </w:tc>
        <w:tc>
          <w:tcPr>
            <w:tcW w:w="396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 xml:space="preserve">Dutch multinational banking and financial services corporation headquartered in </w:t>
            </w:r>
            <w:r>
              <w:rPr>
                <w:rFonts w:ascii="Calibri" w:hAnsi="Calibri"/>
                <w:noProof/>
                <w:color w:val="000000"/>
                <w:sz w:val="16"/>
                <w:szCs w:val="16"/>
              </w:rPr>
              <w:t>Amsterdam. Its primary businesses are retail banking, direct banking, commercial banking, investment banking, asset management, and insurance services.</w:t>
            </w:r>
          </w:p>
        </w:tc>
        <w:tc>
          <w:tcPr>
            <w:tcW w:w="1134"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Operator</w:t>
            </w:r>
          </w:p>
        </w:tc>
        <w:tc>
          <w:tcPr>
            <w:tcW w:w="1418"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Finance</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F2CC"/>
            <w:noWrap/>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Addison Lee</w:t>
            </w:r>
          </w:p>
        </w:tc>
        <w:tc>
          <w:tcPr>
            <w:tcW w:w="3969" w:type="dxa"/>
            <w:tcBorders>
              <w:top w:val="nil"/>
              <w:left w:val="nil"/>
              <w:bottom w:val="single" w:sz="4" w:space="0" w:color="auto"/>
              <w:right w:val="single" w:sz="4" w:space="0" w:color="auto"/>
            </w:tcBorders>
            <w:shd w:val="clear" w:color="000000" w:fill="FFF2CC"/>
            <w:noWrap/>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London-based private hire company</w:t>
            </w:r>
          </w:p>
        </w:tc>
        <w:tc>
          <w:tcPr>
            <w:tcW w:w="1134"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Operator</w:t>
            </w:r>
          </w:p>
        </w:tc>
        <w:tc>
          <w:tcPr>
            <w:tcW w:w="1418"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Transportation</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E699"/>
            <w:noWrap/>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Allianz</w:t>
            </w:r>
          </w:p>
        </w:tc>
        <w:tc>
          <w:tcPr>
            <w:tcW w:w="396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 xml:space="preserve">German </w:t>
            </w:r>
            <w:r>
              <w:rPr>
                <w:rFonts w:ascii="Calibri" w:hAnsi="Calibri"/>
                <w:noProof/>
                <w:color w:val="000000"/>
                <w:sz w:val="16"/>
                <w:szCs w:val="16"/>
              </w:rPr>
              <w:t>financial services company headquartered in Munich, Germany. Its core businesses are insurance and asset management</w:t>
            </w:r>
          </w:p>
        </w:tc>
        <w:tc>
          <w:tcPr>
            <w:tcW w:w="1134"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Operator</w:t>
            </w:r>
          </w:p>
        </w:tc>
        <w:tc>
          <w:tcPr>
            <w:tcW w:w="1418"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Finance</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F2CC"/>
            <w:noWrap/>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Banco Santander</w:t>
            </w:r>
          </w:p>
        </w:tc>
        <w:tc>
          <w:tcPr>
            <w:tcW w:w="3969"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Spanish banking group</w:t>
            </w:r>
          </w:p>
        </w:tc>
        <w:tc>
          <w:tcPr>
            <w:tcW w:w="1134"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Operator</w:t>
            </w:r>
          </w:p>
        </w:tc>
        <w:tc>
          <w:tcPr>
            <w:tcW w:w="1418"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Finance</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E699"/>
            <w:noWrap/>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HSBC</w:t>
            </w:r>
          </w:p>
        </w:tc>
        <w:tc>
          <w:tcPr>
            <w:tcW w:w="396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British] multinational banking and financial services holding</w:t>
            </w:r>
            <w:r>
              <w:rPr>
                <w:rFonts w:ascii="Calibri" w:hAnsi="Calibri"/>
                <w:noProof/>
                <w:color w:val="000000"/>
                <w:sz w:val="16"/>
                <w:szCs w:val="16"/>
              </w:rPr>
              <w:t xml:space="preserve"> company</w:t>
            </w:r>
          </w:p>
        </w:tc>
        <w:tc>
          <w:tcPr>
            <w:tcW w:w="1134"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Operator</w:t>
            </w:r>
          </w:p>
        </w:tc>
        <w:tc>
          <w:tcPr>
            <w:tcW w:w="1418"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Finance</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F2CC"/>
            <w:noWrap/>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Orange</w:t>
            </w:r>
          </w:p>
        </w:tc>
        <w:tc>
          <w:tcPr>
            <w:tcW w:w="3969"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French multinational telecommunications corporation</w:t>
            </w:r>
          </w:p>
        </w:tc>
        <w:tc>
          <w:tcPr>
            <w:tcW w:w="1134"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Operator</w:t>
            </w:r>
          </w:p>
        </w:tc>
        <w:tc>
          <w:tcPr>
            <w:tcW w:w="1418"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Telecommunications</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E699"/>
            <w:noWrap/>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Vodafone</w:t>
            </w:r>
          </w:p>
        </w:tc>
        <w:tc>
          <w:tcPr>
            <w:tcW w:w="396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Multinational telecommunications company</w:t>
            </w:r>
          </w:p>
        </w:tc>
        <w:tc>
          <w:tcPr>
            <w:tcW w:w="1134"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Operator</w:t>
            </w:r>
          </w:p>
        </w:tc>
        <w:tc>
          <w:tcPr>
            <w:tcW w:w="1418"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Telecommunications</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F2CC"/>
            <w:noWrap/>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Telefonica</w:t>
            </w:r>
          </w:p>
        </w:tc>
        <w:tc>
          <w:tcPr>
            <w:tcW w:w="3969"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 xml:space="preserve">Spanish multinational broadband and </w:t>
            </w:r>
            <w:r>
              <w:rPr>
                <w:rFonts w:ascii="Calibri" w:hAnsi="Calibri"/>
                <w:noProof/>
                <w:color w:val="000000"/>
                <w:sz w:val="16"/>
                <w:szCs w:val="16"/>
              </w:rPr>
              <w:t>telecommunications provider</w:t>
            </w:r>
          </w:p>
        </w:tc>
        <w:tc>
          <w:tcPr>
            <w:tcW w:w="1134"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Operator</w:t>
            </w:r>
          </w:p>
        </w:tc>
        <w:tc>
          <w:tcPr>
            <w:tcW w:w="1418"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Telecommunications</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E699"/>
            <w:noWrap/>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Ryanair</w:t>
            </w:r>
          </w:p>
        </w:tc>
        <w:tc>
          <w:tcPr>
            <w:tcW w:w="396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Irish low-cost airline</w:t>
            </w:r>
          </w:p>
        </w:tc>
        <w:tc>
          <w:tcPr>
            <w:tcW w:w="1134"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Operator</w:t>
            </w:r>
          </w:p>
        </w:tc>
        <w:tc>
          <w:tcPr>
            <w:tcW w:w="1418"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Transportation</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F2CC"/>
            <w:noWrap/>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CIPRE</w:t>
            </w:r>
          </w:p>
        </w:tc>
        <w:tc>
          <w:tcPr>
            <w:tcW w:w="3969"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lang w:val="fr-BE"/>
              </w:rPr>
            </w:pPr>
            <w:r>
              <w:rPr>
                <w:rFonts w:ascii="Calibri" w:hAnsi="Calibri"/>
                <w:noProof/>
                <w:color w:val="000000"/>
                <w:sz w:val="16"/>
                <w:szCs w:val="16"/>
                <w:lang w:val="fr-BE"/>
              </w:rPr>
              <w:t>Critical Infrastructure protection &amp; resilience europe</w:t>
            </w:r>
          </w:p>
        </w:tc>
        <w:tc>
          <w:tcPr>
            <w:tcW w:w="1134"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Expert</w:t>
            </w:r>
          </w:p>
        </w:tc>
        <w:tc>
          <w:tcPr>
            <w:tcW w:w="1418"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Energy</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E699"/>
            <w:noWrap/>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FCA</w:t>
            </w:r>
          </w:p>
        </w:tc>
        <w:tc>
          <w:tcPr>
            <w:tcW w:w="3969" w:type="dxa"/>
            <w:tcBorders>
              <w:top w:val="nil"/>
              <w:left w:val="nil"/>
              <w:bottom w:val="single" w:sz="4" w:space="0" w:color="auto"/>
              <w:right w:val="single" w:sz="4" w:space="0" w:color="auto"/>
            </w:tcBorders>
            <w:shd w:val="clear" w:color="000000" w:fill="FFE699"/>
            <w:noWrap/>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Financial regulatory body in the United Kingdom</w:t>
            </w:r>
          </w:p>
        </w:tc>
        <w:tc>
          <w:tcPr>
            <w:tcW w:w="1134"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Operator</w:t>
            </w:r>
          </w:p>
        </w:tc>
        <w:tc>
          <w:tcPr>
            <w:tcW w:w="1418"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Finance</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F2CC"/>
            <w:noWrap/>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Payments UK</w:t>
            </w:r>
          </w:p>
        </w:tc>
        <w:tc>
          <w:tcPr>
            <w:tcW w:w="3969"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300 firms in the UK providing credit, banking, markets and payment-related services</w:t>
            </w:r>
          </w:p>
        </w:tc>
        <w:tc>
          <w:tcPr>
            <w:tcW w:w="1134"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Operator</w:t>
            </w:r>
          </w:p>
        </w:tc>
        <w:tc>
          <w:tcPr>
            <w:tcW w:w="1418"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Finance</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E699"/>
            <w:noWrap/>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London Digital Security Centre (LDSC)</w:t>
            </w:r>
          </w:p>
        </w:tc>
        <w:tc>
          <w:tcPr>
            <w:tcW w:w="396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ActionFraud is the UK's national fraud and cyber crime reporting centre</w:t>
            </w:r>
          </w:p>
        </w:tc>
        <w:tc>
          <w:tcPr>
            <w:tcW w:w="1134"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Operator</w:t>
            </w:r>
          </w:p>
        </w:tc>
        <w:tc>
          <w:tcPr>
            <w:tcW w:w="1418"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Finance</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F2CC"/>
            <w:noWrap/>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Belgian Cybersecurity Coalition</w:t>
            </w:r>
          </w:p>
        </w:tc>
        <w:tc>
          <w:tcPr>
            <w:tcW w:w="3969"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The Cyber Security Coalition brings together the academic world, the public authorities and the private sector in Belgium to fight against cybercrime.</w:t>
            </w:r>
          </w:p>
        </w:tc>
        <w:tc>
          <w:tcPr>
            <w:tcW w:w="1134"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Operator</w:t>
            </w:r>
          </w:p>
        </w:tc>
        <w:tc>
          <w:tcPr>
            <w:tcW w:w="1418"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Telecommunications, Security</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E699"/>
            <w:noWrap/>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CISQ</w:t>
            </w:r>
          </w:p>
        </w:tc>
        <w:tc>
          <w:tcPr>
            <w:tcW w:w="396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 xml:space="preserve">The Consortium for IT </w:t>
            </w:r>
            <w:r>
              <w:rPr>
                <w:rFonts w:ascii="Calibri" w:hAnsi="Calibri"/>
                <w:noProof/>
                <w:color w:val="000000"/>
                <w:sz w:val="16"/>
                <w:szCs w:val="16"/>
              </w:rPr>
              <w:t>Software Quality (CISQ) is an IT industry group comprising IT executives from the Global 2000, systems integrators, outsourced service providers, and software technology vendors committed to making improvements in the quality of IT application software</w:t>
            </w:r>
          </w:p>
        </w:tc>
        <w:tc>
          <w:tcPr>
            <w:tcW w:w="1134"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Ope</w:t>
            </w:r>
            <w:r>
              <w:rPr>
                <w:rFonts w:ascii="Calibri" w:hAnsi="Calibri"/>
                <w:noProof/>
                <w:color w:val="000000"/>
                <w:sz w:val="16"/>
                <w:szCs w:val="16"/>
              </w:rPr>
              <w:t>rator</w:t>
            </w:r>
          </w:p>
        </w:tc>
        <w:tc>
          <w:tcPr>
            <w:tcW w:w="1418"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IT, Certification</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F2CC"/>
            <w:noWrap/>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Deutsche Bahn (DB)</w:t>
            </w:r>
          </w:p>
        </w:tc>
        <w:tc>
          <w:tcPr>
            <w:tcW w:w="3969"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German railway company</w:t>
            </w:r>
          </w:p>
        </w:tc>
        <w:tc>
          <w:tcPr>
            <w:tcW w:w="1134"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Operator</w:t>
            </w:r>
          </w:p>
        </w:tc>
        <w:tc>
          <w:tcPr>
            <w:tcW w:w="1418"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Transport</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E699"/>
            <w:noWrap/>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ATOS R&amp;I (ARI)</w:t>
            </w:r>
          </w:p>
        </w:tc>
        <w:tc>
          <w:tcPr>
            <w:tcW w:w="396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Global leader in digital transformation with approximately 100000 employees in 72 countries and annual revenue of around € 12 billion.</w:t>
            </w:r>
          </w:p>
        </w:tc>
        <w:tc>
          <w:tcPr>
            <w:tcW w:w="1134"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Operator</w:t>
            </w:r>
          </w:p>
        </w:tc>
        <w:tc>
          <w:tcPr>
            <w:tcW w:w="1418"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Security</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NATO ENERGY SECURITY CENTRE OF EXCELLENCE</w:t>
            </w:r>
          </w:p>
        </w:tc>
        <w:tc>
          <w:tcPr>
            <w:tcW w:w="3969"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Energy security research center of NATO</w:t>
            </w:r>
          </w:p>
        </w:tc>
        <w:tc>
          <w:tcPr>
            <w:tcW w:w="1134"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Expert</w:t>
            </w:r>
          </w:p>
        </w:tc>
        <w:tc>
          <w:tcPr>
            <w:tcW w:w="1418"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Energy</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Royal Holloway University of London</w:t>
            </w:r>
          </w:p>
        </w:tc>
        <w:tc>
          <w:tcPr>
            <w:tcW w:w="396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University of London with an Information Security Group</w:t>
            </w:r>
          </w:p>
        </w:tc>
        <w:tc>
          <w:tcPr>
            <w:tcW w:w="1134"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Expert</w:t>
            </w:r>
          </w:p>
        </w:tc>
        <w:tc>
          <w:tcPr>
            <w:tcW w:w="1418"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Energy</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University of Twente</w:t>
            </w:r>
          </w:p>
        </w:tc>
        <w:tc>
          <w:tcPr>
            <w:tcW w:w="3969"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 xml:space="preserve">University of Twente,  with a </w:t>
            </w:r>
            <w:r>
              <w:rPr>
                <w:rFonts w:ascii="Calibri" w:hAnsi="Calibri"/>
                <w:noProof/>
                <w:color w:val="000000"/>
                <w:sz w:val="16"/>
                <w:szCs w:val="16"/>
              </w:rPr>
              <w:t>Cyber Security and Safety Group</w:t>
            </w:r>
          </w:p>
        </w:tc>
        <w:tc>
          <w:tcPr>
            <w:tcW w:w="1134"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Expert</w:t>
            </w:r>
          </w:p>
        </w:tc>
        <w:tc>
          <w:tcPr>
            <w:tcW w:w="1418"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Energy</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lang w:val="de-DE"/>
              </w:rPr>
            </w:pPr>
            <w:r>
              <w:rPr>
                <w:rFonts w:ascii="Calibri" w:hAnsi="Calibri"/>
                <w:b/>
                <w:bCs/>
                <w:noProof/>
                <w:color w:val="000000"/>
                <w:sz w:val="16"/>
                <w:szCs w:val="16"/>
                <w:lang w:val="de-DE"/>
              </w:rPr>
              <w:t>Universität der Bundeswehr München &amp; Cyber Security Research Lab of Airbus</w:t>
            </w:r>
          </w:p>
        </w:tc>
        <w:tc>
          <w:tcPr>
            <w:tcW w:w="396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Cyber Security Laboratories</w:t>
            </w:r>
          </w:p>
        </w:tc>
        <w:tc>
          <w:tcPr>
            <w:tcW w:w="1134"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Expert</w:t>
            </w:r>
          </w:p>
        </w:tc>
        <w:tc>
          <w:tcPr>
            <w:tcW w:w="1418"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Energy</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F2CC"/>
            <w:noWrap/>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Fire Eye</w:t>
            </w:r>
          </w:p>
        </w:tc>
        <w:tc>
          <w:tcPr>
            <w:tcW w:w="3969"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 xml:space="preserve">Cybersecurity company that provides products and services to protect against </w:t>
            </w:r>
            <w:r>
              <w:rPr>
                <w:rFonts w:ascii="Calibri" w:hAnsi="Calibri"/>
                <w:noProof/>
                <w:color w:val="000000"/>
                <w:sz w:val="16"/>
                <w:szCs w:val="16"/>
              </w:rPr>
              <w:t>advanced cyber threats,</w:t>
            </w:r>
          </w:p>
        </w:tc>
        <w:tc>
          <w:tcPr>
            <w:tcW w:w="1134"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Producer</w:t>
            </w:r>
          </w:p>
        </w:tc>
        <w:tc>
          <w:tcPr>
            <w:tcW w:w="1418"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Finance</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E699"/>
            <w:noWrap/>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RSE (ricerca sistema energetico)</w:t>
            </w:r>
          </w:p>
        </w:tc>
        <w:tc>
          <w:tcPr>
            <w:tcW w:w="396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Research company in the energy field</w:t>
            </w:r>
          </w:p>
        </w:tc>
        <w:tc>
          <w:tcPr>
            <w:tcW w:w="1134"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Expert</w:t>
            </w:r>
          </w:p>
        </w:tc>
        <w:tc>
          <w:tcPr>
            <w:tcW w:w="1418"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Finance, Security</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F2CC"/>
            <w:noWrap/>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Certiquality</w:t>
            </w:r>
          </w:p>
        </w:tc>
        <w:tc>
          <w:tcPr>
            <w:tcW w:w="3969"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Italian certification body</w:t>
            </w:r>
          </w:p>
        </w:tc>
        <w:tc>
          <w:tcPr>
            <w:tcW w:w="1134"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Expert</w:t>
            </w:r>
          </w:p>
        </w:tc>
        <w:tc>
          <w:tcPr>
            <w:tcW w:w="1418"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IT, Certification</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E699"/>
            <w:noWrap/>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University of Malaga, Spain</w:t>
            </w:r>
          </w:p>
        </w:tc>
        <w:tc>
          <w:tcPr>
            <w:tcW w:w="396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University of Malaga</w:t>
            </w:r>
          </w:p>
        </w:tc>
        <w:tc>
          <w:tcPr>
            <w:tcW w:w="1134"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Expert</w:t>
            </w:r>
          </w:p>
        </w:tc>
        <w:tc>
          <w:tcPr>
            <w:tcW w:w="1418"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Energy</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F2CC"/>
            <w:noWrap/>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Acris GmbH</w:t>
            </w:r>
          </w:p>
        </w:tc>
        <w:tc>
          <w:tcPr>
            <w:tcW w:w="3969"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Manufacturer of Healthcare products and technologies</w:t>
            </w:r>
          </w:p>
        </w:tc>
        <w:tc>
          <w:tcPr>
            <w:tcW w:w="1134"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Producer</w:t>
            </w:r>
          </w:p>
        </w:tc>
        <w:tc>
          <w:tcPr>
            <w:tcW w:w="1418"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Health Care</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European Cyber Security Organisation (ECSO) ASBL</w:t>
            </w:r>
          </w:p>
        </w:tc>
        <w:tc>
          <w:tcPr>
            <w:tcW w:w="396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ECSO represents the industry-led contractual counterpart to the European Commission for the implementation</w:t>
            </w:r>
            <w:r>
              <w:rPr>
                <w:rFonts w:ascii="Calibri" w:hAnsi="Calibri"/>
                <w:noProof/>
                <w:color w:val="000000"/>
                <w:sz w:val="16"/>
                <w:szCs w:val="16"/>
              </w:rPr>
              <w:t xml:space="preserve"> of the Cyber Security contractual Public-Private Partnership (cPPP).</w:t>
            </w:r>
          </w:p>
        </w:tc>
        <w:tc>
          <w:tcPr>
            <w:tcW w:w="1134"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Operator</w:t>
            </w:r>
          </w:p>
        </w:tc>
        <w:tc>
          <w:tcPr>
            <w:tcW w:w="1418"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IT, Security</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EOS’ Civil Aviation Security Working Group Chair</w:t>
            </w:r>
          </w:p>
        </w:tc>
        <w:tc>
          <w:tcPr>
            <w:tcW w:w="3969"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EOS Security Screening and Detection Technologies Working Group</w:t>
            </w:r>
          </w:p>
        </w:tc>
        <w:tc>
          <w:tcPr>
            <w:tcW w:w="1134"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Operator</w:t>
            </w:r>
          </w:p>
        </w:tc>
        <w:tc>
          <w:tcPr>
            <w:tcW w:w="1418"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Transport</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E699"/>
            <w:noWrap/>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EOS Urban security project</w:t>
            </w:r>
          </w:p>
        </w:tc>
        <w:tc>
          <w:tcPr>
            <w:tcW w:w="396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EOS’ Working Groups seek the establishment of a meaningful public-private dialogue to further their domains’ objectives in partnerships where user demands are met by feasible security solutions and services for the protection of Europe and its citizens’</w:t>
            </w:r>
          </w:p>
        </w:tc>
        <w:tc>
          <w:tcPr>
            <w:tcW w:w="1134"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Op</w:t>
            </w:r>
            <w:r>
              <w:rPr>
                <w:rFonts w:ascii="Calibri" w:hAnsi="Calibri"/>
                <w:noProof/>
                <w:color w:val="000000"/>
                <w:sz w:val="16"/>
                <w:szCs w:val="16"/>
              </w:rPr>
              <w:t>erator</w:t>
            </w:r>
          </w:p>
        </w:tc>
        <w:tc>
          <w:tcPr>
            <w:tcW w:w="1418"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Transport</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F2CC"/>
            <w:noWrap/>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Smiths Detection</w:t>
            </w:r>
          </w:p>
        </w:tc>
        <w:tc>
          <w:tcPr>
            <w:tcW w:w="3969"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Industry expert manufacturer of security detection devices</w:t>
            </w:r>
          </w:p>
        </w:tc>
        <w:tc>
          <w:tcPr>
            <w:tcW w:w="1134"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Producer</w:t>
            </w:r>
          </w:p>
        </w:tc>
        <w:tc>
          <w:tcPr>
            <w:tcW w:w="1418"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Transport</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E699"/>
            <w:noWrap/>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SC SAFETECH INNOVATIONS SRL</w:t>
            </w:r>
          </w:p>
        </w:tc>
        <w:tc>
          <w:tcPr>
            <w:tcW w:w="3969" w:type="dxa"/>
            <w:tcBorders>
              <w:top w:val="nil"/>
              <w:left w:val="nil"/>
              <w:bottom w:val="single" w:sz="4" w:space="0" w:color="auto"/>
              <w:right w:val="single" w:sz="4" w:space="0" w:color="auto"/>
            </w:tcBorders>
            <w:shd w:val="clear" w:color="000000" w:fill="FFE699"/>
            <w:noWrap/>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Cyber security solutions, including infrastructures</w:t>
            </w:r>
          </w:p>
        </w:tc>
        <w:tc>
          <w:tcPr>
            <w:tcW w:w="1134"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Operator</w:t>
            </w:r>
          </w:p>
        </w:tc>
        <w:tc>
          <w:tcPr>
            <w:tcW w:w="1418"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Finance</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F2CC"/>
            <w:noWrap/>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Easy Smart Grid GmbH</w:t>
            </w:r>
          </w:p>
        </w:tc>
        <w:tc>
          <w:tcPr>
            <w:tcW w:w="3969"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 xml:space="preserve">Developing an </w:t>
            </w:r>
            <w:r>
              <w:rPr>
                <w:rFonts w:ascii="Calibri" w:hAnsi="Calibri"/>
                <w:noProof/>
                <w:color w:val="000000"/>
                <w:sz w:val="16"/>
                <w:szCs w:val="16"/>
              </w:rPr>
              <w:t>innovative smart grid solution</w:t>
            </w:r>
          </w:p>
        </w:tc>
        <w:tc>
          <w:tcPr>
            <w:tcW w:w="1134"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Producer</w:t>
            </w:r>
          </w:p>
        </w:tc>
        <w:tc>
          <w:tcPr>
            <w:tcW w:w="1418"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Energy</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European Electronic Component Manufacturers Association</w:t>
            </w:r>
          </w:p>
        </w:tc>
        <w:tc>
          <w:tcPr>
            <w:tcW w:w="396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 xml:space="preserve">Under the EECA's umbrella organization, there are 2 autonomous industry associations </w:t>
            </w:r>
            <w:r>
              <w:rPr>
                <w:rFonts w:ascii="Calibri" w:hAnsi="Calibri"/>
                <w:noProof/>
                <w:color w:val="000000"/>
                <w:sz w:val="16"/>
                <w:szCs w:val="16"/>
              </w:rPr>
              <w:br/>
            </w:r>
            <w:r>
              <w:rPr>
                <w:rFonts w:ascii="Calibri" w:hAnsi="Calibri"/>
                <w:noProof/>
                <w:color w:val="000000"/>
                <w:sz w:val="16"/>
                <w:szCs w:val="16"/>
              </w:rPr>
              <w:t xml:space="preserve"> with members coming from the manufacturing and related industries as well as from national associations</w:t>
            </w:r>
          </w:p>
        </w:tc>
        <w:tc>
          <w:tcPr>
            <w:tcW w:w="1134"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Producer</w:t>
            </w:r>
          </w:p>
        </w:tc>
        <w:tc>
          <w:tcPr>
            <w:tcW w:w="1418"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Energy</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European Passive Components Industry Association</w:t>
            </w:r>
          </w:p>
        </w:tc>
        <w:tc>
          <w:tcPr>
            <w:tcW w:w="3969"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 xml:space="preserve">Represent and promote the common interests of the Passive Components Manufacturers </w:t>
            </w:r>
            <w:r>
              <w:rPr>
                <w:rFonts w:ascii="Calibri" w:hAnsi="Calibri"/>
                <w:noProof/>
                <w:color w:val="000000"/>
                <w:sz w:val="16"/>
                <w:szCs w:val="16"/>
              </w:rPr>
              <w:t>active in Europe to ensure an open and transparent market for Passive Components in Europe as part of the global market place</w:t>
            </w:r>
          </w:p>
        </w:tc>
        <w:tc>
          <w:tcPr>
            <w:tcW w:w="1134"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Producer</w:t>
            </w:r>
          </w:p>
        </w:tc>
        <w:tc>
          <w:tcPr>
            <w:tcW w:w="1418"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Energy</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E699"/>
            <w:noWrap/>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Oracle Utilities</w:t>
            </w:r>
          </w:p>
        </w:tc>
        <w:tc>
          <w:tcPr>
            <w:tcW w:w="396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Solutions for Global Utility companies, including the Energy Sector</w:t>
            </w:r>
          </w:p>
        </w:tc>
        <w:tc>
          <w:tcPr>
            <w:tcW w:w="1134"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Producer</w:t>
            </w:r>
          </w:p>
        </w:tc>
        <w:tc>
          <w:tcPr>
            <w:tcW w:w="1418"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Energy</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F2CC"/>
            <w:noWrap/>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Vattenfall</w:t>
            </w:r>
          </w:p>
        </w:tc>
        <w:tc>
          <w:tcPr>
            <w:tcW w:w="3969"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Swedish power company</w:t>
            </w:r>
          </w:p>
        </w:tc>
        <w:tc>
          <w:tcPr>
            <w:tcW w:w="1134"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Operator</w:t>
            </w:r>
          </w:p>
        </w:tc>
        <w:tc>
          <w:tcPr>
            <w:tcW w:w="1418"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Energy</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E699"/>
            <w:noWrap/>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EVB Energy Solutions</w:t>
            </w:r>
          </w:p>
        </w:tc>
        <w:tc>
          <w:tcPr>
            <w:tcW w:w="396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German Energy company</w:t>
            </w:r>
          </w:p>
        </w:tc>
        <w:tc>
          <w:tcPr>
            <w:tcW w:w="1134"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Operator</w:t>
            </w:r>
          </w:p>
        </w:tc>
        <w:tc>
          <w:tcPr>
            <w:tcW w:w="1418"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Energy</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F2CC"/>
            <w:noWrap/>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Alliander</w:t>
            </w:r>
          </w:p>
        </w:tc>
        <w:tc>
          <w:tcPr>
            <w:tcW w:w="3969"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Energy network company</w:t>
            </w:r>
          </w:p>
        </w:tc>
        <w:tc>
          <w:tcPr>
            <w:tcW w:w="1134"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Operator</w:t>
            </w:r>
          </w:p>
        </w:tc>
        <w:tc>
          <w:tcPr>
            <w:tcW w:w="1418"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Energy</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E699"/>
            <w:noWrap/>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Echelon</w:t>
            </w:r>
          </w:p>
        </w:tc>
        <w:tc>
          <w:tcPr>
            <w:tcW w:w="396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IoT Company, specialized in Smart Cities</w:t>
            </w:r>
          </w:p>
        </w:tc>
        <w:tc>
          <w:tcPr>
            <w:tcW w:w="1134"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Operator</w:t>
            </w:r>
          </w:p>
        </w:tc>
        <w:tc>
          <w:tcPr>
            <w:tcW w:w="1418"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Energy</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F2CC"/>
            <w:noWrap/>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Ferranti Computer Systems</w:t>
            </w:r>
          </w:p>
        </w:tc>
        <w:tc>
          <w:tcPr>
            <w:tcW w:w="3969"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 xml:space="preserve">Ferranti </w:t>
            </w:r>
            <w:r>
              <w:rPr>
                <w:rFonts w:ascii="Calibri" w:hAnsi="Calibri"/>
                <w:noProof/>
                <w:color w:val="000000"/>
                <w:sz w:val="16"/>
                <w:szCs w:val="16"/>
              </w:rPr>
              <w:t>Computer Systems helps organizations improve their business through smart implementation, also in the energy field</w:t>
            </w:r>
          </w:p>
        </w:tc>
        <w:tc>
          <w:tcPr>
            <w:tcW w:w="1134"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Operator and Producer</w:t>
            </w:r>
          </w:p>
        </w:tc>
        <w:tc>
          <w:tcPr>
            <w:tcW w:w="1418"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Energy</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E699"/>
            <w:noWrap/>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Seas-NVE</w:t>
            </w:r>
          </w:p>
        </w:tc>
        <w:tc>
          <w:tcPr>
            <w:tcW w:w="396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Danish power company</w:t>
            </w:r>
          </w:p>
        </w:tc>
        <w:tc>
          <w:tcPr>
            <w:tcW w:w="1134"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Operator</w:t>
            </w:r>
          </w:p>
        </w:tc>
        <w:tc>
          <w:tcPr>
            <w:tcW w:w="1418"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Energy</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F2CC"/>
            <w:noWrap/>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Fondazione Politecnico di Milano</w:t>
            </w:r>
          </w:p>
        </w:tc>
        <w:tc>
          <w:tcPr>
            <w:tcW w:w="3969"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Developpement  research Center</w:t>
            </w:r>
          </w:p>
        </w:tc>
        <w:tc>
          <w:tcPr>
            <w:tcW w:w="1134"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Expert</w:t>
            </w:r>
          </w:p>
        </w:tc>
        <w:tc>
          <w:tcPr>
            <w:tcW w:w="1418"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Energy</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Tuv Rheinland</w:t>
            </w:r>
          </w:p>
        </w:tc>
        <w:tc>
          <w:tcPr>
            <w:tcW w:w="396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German businesses that provide inspection and product certification services</w:t>
            </w:r>
          </w:p>
        </w:tc>
        <w:tc>
          <w:tcPr>
            <w:tcW w:w="1134"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Expert</w:t>
            </w:r>
          </w:p>
        </w:tc>
        <w:tc>
          <w:tcPr>
            <w:tcW w:w="1418"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IT Certification</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Gruppo Acea</w:t>
            </w:r>
          </w:p>
        </w:tc>
        <w:tc>
          <w:tcPr>
            <w:tcW w:w="3969"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Multi-Utility Company for develpment in the field of energy</w:t>
            </w:r>
          </w:p>
        </w:tc>
        <w:tc>
          <w:tcPr>
            <w:tcW w:w="1134"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Operator</w:t>
            </w:r>
          </w:p>
        </w:tc>
        <w:tc>
          <w:tcPr>
            <w:tcW w:w="1418"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Energy</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TeleTrusT</w:t>
            </w:r>
          </w:p>
        </w:tc>
        <w:tc>
          <w:tcPr>
            <w:tcW w:w="396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 xml:space="preserve">Widespread competence </w:t>
            </w:r>
            <w:r>
              <w:rPr>
                <w:rFonts w:ascii="Calibri" w:hAnsi="Calibri"/>
                <w:noProof/>
                <w:color w:val="000000"/>
                <w:sz w:val="16"/>
                <w:szCs w:val="16"/>
              </w:rPr>
              <w:t>network for IT security comprising members from industry, administration, consultancy and research as well as national and international partner organizations with similar objectives</w:t>
            </w:r>
          </w:p>
        </w:tc>
        <w:tc>
          <w:tcPr>
            <w:tcW w:w="1134"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Operator</w:t>
            </w:r>
          </w:p>
        </w:tc>
        <w:tc>
          <w:tcPr>
            <w:tcW w:w="1418"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Telecommunications</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Rohde &amp; Schwarz Cybersecurity</w:t>
            </w:r>
          </w:p>
        </w:tc>
        <w:tc>
          <w:tcPr>
            <w:tcW w:w="3969"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 xml:space="preserve">Award-winning </w:t>
            </w:r>
            <w:r>
              <w:rPr>
                <w:rFonts w:ascii="Calibri" w:hAnsi="Calibri"/>
                <w:noProof/>
                <w:color w:val="000000"/>
                <w:sz w:val="16"/>
                <w:szCs w:val="16"/>
              </w:rPr>
              <w:t>IT security solutions</w:t>
            </w:r>
          </w:p>
        </w:tc>
        <w:tc>
          <w:tcPr>
            <w:tcW w:w="1134"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Producer</w:t>
            </w:r>
          </w:p>
        </w:tc>
        <w:tc>
          <w:tcPr>
            <w:tcW w:w="1418"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Telecommunications</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TÜViT</w:t>
            </w:r>
          </w:p>
        </w:tc>
        <w:tc>
          <w:tcPr>
            <w:tcW w:w="396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IT tester</w:t>
            </w:r>
          </w:p>
        </w:tc>
        <w:tc>
          <w:tcPr>
            <w:tcW w:w="1134"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Expert</w:t>
            </w:r>
          </w:p>
        </w:tc>
        <w:tc>
          <w:tcPr>
            <w:tcW w:w="1418"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IT Security</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Atsec information security GmbH</w:t>
            </w:r>
          </w:p>
        </w:tc>
        <w:tc>
          <w:tcPr>
            <w:tcW w:w="3969"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Independent, privately-owned company that focuses on providing laboratory and consulting services for information security</w:t>
            </w:r>
          </w:p>
        </w:tc>
        <w:tc>
          <w:tcPr>
            <w:tcW w:w="1134"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Operator</w:t>
            </w:r>
          </w:p>
        </w:tc>
        <w:tc>
          <w:tcPr>
            <w:tcW w:w="1418"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 xml:space="preserve">IT </w:t>
            </w:r>
            <w:r>
              <w:rPr>
                <w:rFonts w:ascii="Calibri" w:hAnsi="Calibri"/>
                <w:noProof/>
                <w:color w:val="000000"/>
                <w:sz w:val="16"/>
                <w:szCs w:val="16"/>
              </w:rPr>
              <w:t>Security</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CenterTools Software SE</w:t>
            </w:r>
          </w:p>
        </w:tc>
        <w:tc>
          <w:tcPr>
            <w:tcW w:w="396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IT Secure Solutions</w:t>
            </w:r>
          </w:p>
        </w:tc>
        <w:tc>
          <w:tcPr>
            <w:tcW w:w="1134"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Producer</w:t>
            </w:r>
          </w:p>
        </w:tc>
        <w:tc>
          <w:tcPr>
            <w:tcW w:w="1418"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IT Security</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Detack GmbH</w:t>
            </w:r>
          </w:p>
        </w:tc>
        <w:tc>
          <w:tcPr>
            <w:tcW w:w="3969"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Independent supplier of quality IT security auditing and consulting services</w:t>
            </w:r>
          </w:p>
        </w:tc>
        <w:tc>
          <w:tcPr>
            <w:tcW w:w="1134"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Expert</w:t>
            </w:r>
          </w:p>
        </w:tc>
        <w:tc>
          <w:tcPr>
            <w:tcW w:w="1418"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IT Security</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eco - Association of the Internet Industry e.V</w:t>
            </w:r>
          </w:p>
        </w:tc>
        <w:tc>
          <w:tcPr>
            <w:tcW w:w="396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 xml:space="preserve">Largest Internet </w:t>
            </w:r>
            <w:r>
              <w:rPr>
                <w:rFonts w:ascii="Calibri" w:hAnsi="Calibri"/>
                <w:noProof/>
                <w:color w:val="000000"/>
                <w:sz w:val="16"/>
                <w:szCs w:val="16"/>
              </w:rPr>
              <w:t>industry association in Europe</w:t>
            </w:r>
          </w:p>
        </w:tc>
        <w:tc>
          <w:tcPr>
            <w:tcW w:w="1134"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Producer</w:t>
            </w:r>
          </w:p>
        </w:tc>
        <w:tc>
          <w:tcPr>
            <w:tcW w:w="1418"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IT Security</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itWatch GmbH</w:t>
            </w:r>
          </w:p>
        </w:tc>
        <w:tc>
          <w:tcPr>
            <w:tcW w:w="3969"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Leading provider of secure device management</w:t>
            </w:r>
          </w:p>
        </w:tc>
        <w:tc>
          <w:tcPr>
            <w:tcW w:w="1134"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Producer</w:t>
            </w:r>
          </w:p>
        </w:tc>
        <w:tc>
          <w:tcPr>
            <w:tcW w:w="1418"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IT Security</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NCP engineering GmbH</w:t>
            </w:r>
          </w:p>
        </w:tc>
        <w:tc>
          <w:tcPr>
            <w:tcW w:w="396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IT Security Solutions for Fintech</w:t>
            </w:r>
          </w:p>
        </w:tc>
        <w:tc>
          <w:tcPr>
            <w:tcW w:w="1134"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Producer</w:t>
            </w:r>
          </w:p>
        </w:tc>
        <w:tc>
          <w:tcPr>
            <w:tcW w:w="1418"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Finance</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secunet Security Networks AG</w:t>
            </w:r>
          </w:p>
        </w:tc>
        <w:tc>
          <w:tcPr>
            <w:tcW w:w="3969"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 xml:space="preserve">Leading German </w:t>
            </w:r>
            <w:r>
              <w:rPr>
                <w:rFonts w:ascii="Calibri" w:hAnsi="Calibri"/>
                <w:noProof/>
                <w:color w:val="000000"/>
                <w:sz w:val="16"/>
                <w:szCs w:val="16"/>
              </w:rPr>
              <w:t>providers of high-quality IT security.</w:t>
            </w:r>
          </w:p>
        </w:tc>
        <w:tc>
          <w:tcPr>
            <w:tcW w:w="1134"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Producer</w:t>
            </w:r>
          </w:p>
        </w:tc>
        <w:tc>
          <w:tcPr>
            <w:tcW w:w="1418"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Healthcare</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RHEA Group</w:t>
            </w:r>
          </w:p>
        </w:tc>
        <w:tc>
          <w:tcPr>
            <w:tcW w:w="396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Highly specialized engineering international group of companies providing products</w:t>
            </w:r>
          </w:p>
        </w:tc>
        <w:tc>
          <w:tcPr>
            <w:tcW w:w="1134"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Producer</w:t>
            </w:r>
          </w:p>
        </w:tc>
        <w:tc>
          <w:tcPr>
            <w:tcW w:w="1418"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Finance, Cloud</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World Security Report</w:t>
            </w:r>
          </w:p>
        </w:tc>
        <w:tc>
          <w:tcPr>
            <w:tcW w:w="3969"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Research Center and Publications</w:t>
            </w:r>
          </w:p>
        </w:tc>
        <w:tc>
          <w:tcPr>
            <w:tcW w:w="1134"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Expert</w:t>
            </w:r>
          </w:p>
        </w:tc>
        <w:tc>
          <w:tcPr>
            <w:tcW w:w="1418"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Transport</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Dreger Group GmbH</w:t>
            </w:r>
          </w:p>
        </w:tc>
        <w:tc>
          <w:tcPr>
            <w:tcW w:w="396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Consulting Company for Fintech</w:t>
            </w:r>
          </w:p>
        </w:tc>
        <w:tc>
          <w:tcPr>
            <w:tcW w:w="1134"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Expert</w:t>
            </w:r>
          </w:p>
        </w:tc>
        <w:tc>
          <w:tcPr>
            <w:tcW w:w="1418"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Finance</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Friedrich-Alexander-University</w:t>
            </w:r>
          </w:p>
        </w:tc>
        <w:tc>
          <w:tcPr>
            <w:tcW w:w="3969"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Research Center and Publications</w:t>
            </w:r>
          </w:p>
        </w:tc>
        <w:tc>
          <w:tcPr>
            <w:tcW w:w="1134"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Expert</w:t>
            </w:r>
          </w:p>
        </w:tc>
        <w:tc>
          <w:tcPr>
            <w:tcW w:w="1418"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Finance</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Seconda Unviersità di Napoli</w:t>
            </w:r>
          </w:p>
        </w:tc>
        <w:tc>
          <w:tcPr>
            <w:tcW w:w="396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Research Center and Publications</w:t>
            </w:r>
          </w:p>
        </w:tc>
        <w:tc>
          <w:tcPr>
            <w:tcW w:w="1134"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Expert</w:t>
            </w:r>
          </w:p>
        </w:tc>
        <w:tc>
          <w:tcPr>
            <w:tcW w:w="1418"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Finance</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Academia General Militar</w:t>
            </w:r>
          </w:p>
        </w:tc>
        <w:tc>
          <w:tcPr>
            <w:tcW w:w="3969"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Research</w:t>
            </w:r>
            <w:r>
              <w:rPr>
                <w:rFonts w:ascii="Calibri" w:hAnsi="Calibri"/>
                <w:noProof/>
                <w:color w:val="000000"/>
                <w:sz w:val="16"/>
                <w:szCs w:val="16"/>
              </w:rPr>
              <w:t xml:space="preserve"> Center and Publications</w:t>
            </w:r>
          </w:p>
        </w:tc>
        <w:tc>
          <w:tcPr>
            <w:tcW w:w="1134"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Expert</w:t>
            </w:r>
          </w:p>
        </w:tc>
        <w:tc>
          <w:tcPr>
            <w:tcW w:w="1418"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Energy</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AVL List GmbH</w:t>
            </w:r>
          </w:p>
        </w:tc>
        <w:tc>
          <w:tcPr>
            <w:tcW w:w="396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Austrian-based automotive consulting firm as well as an independent research institute</w:t>
            </w:r>
          </w:p>
        </w:tc>
        <w:tc>
          <w:tcPr>
            <w:tcW w:w="1134"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Operator</w:t>
            </w:r>
          </w:p>
        </w:tc>
        <w:tc>
          <w:tcPr>
            <w:tcW w:w="1418"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Transport</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IMDEA Software Institute</w:t>
            </w:r>
          </w:p>
        </w:tc>
        <w:tc>
          <w:tcPr>
            <w:tcW w:w="3969"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 xml:space="preserve">Madrid Institute for Advanced Studies in Software Development </w:t>
            </w:r>
            <w:r>
              <w:rPr>
                <w:rFonts w:ascii="Calibri" w:hAnsi="Calibri"/>
                <w:noProof/>
                <w:color w:val="000000"/>
                <w:sz w:val="16"/>
                <w:szCs w:val="16"/>
              </w:rPr>
              <w:t>Technologies</w:t>
            </w:r>
          </w:p>
        </w:tc>
        <w:tc>
          <w:tcPr>
            <w:tcW w:w="1134"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Expert</w:t>
            </w:r>
          </w:p>
        </w:tc>
        <w:tc>
          <w:tcPr>
            <w:tcW w:w="1418"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Finance</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ONRIX gcv</w:t>
            </w:r>
          </w:p>
        </w:tc>
        <w:tc>
          <w:tcPr>
            <w:tcW w:w="396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Company networked with various other consultants and professionals, each with specific core competences and capabilities</w:t>
            </w:r>
          </w:p>
        </w:tc>
        <w:tc>
          <w:tcPr>
            <w:tcW w:w="1134"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Operator</w:t>
            </w:r>
          </w:p>
        </w:tc>
        <w:tc>
          <w:tcPr>
            <w:tcW w:w="1418"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Finance</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BNY Mellon Investment Management</w:t>
            </w:r>
          </w:p>
        </w:tc>
        <w:tc>
          <w:tcPr>
            <w:tcW w:w="3969"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 xml:space="preserve">Privately owned investment manager. The firm </w:t>
            </w:r>
            <w:r>
              <w:rPr>
                <w:rFonts w:ascii="Calibri" w:hAnsi="Calibri"/>
                <w:noProof/>
                <w:color w:val="000000"/>
                <w:sz w:val="16"/>
                <w:szCs w:val="16"/>
              </w:rPr>
              <w:t>provides sub-advisory services to its client</w:t>
            </w:r>
          </w:p>
        </w:tc>
        <w:tc>
          <w:tcPr>
            <w:tcW w:w="1134"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Operator</w:t>
            </w:r>
          </w:p>
        </w:tc>
        <w:tc>
          <w:tcPr>
            <w:tcW w:w="1418"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Finance</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Bit4id</w:t>
            </w:r>
          </w:p>
        </w:tc>
        <w:tc>
          <w:tcPr>
            <w:tcW w:w="396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IT Security Provider</w:t>
            </w:r>
          </w:p>
        </w:tc>
        <w:tc>
          <w:tcPr>
            <w:tcW w:w="1134"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Producer</w:t>
            </w:r>
          </w:p>
        </w:tc>
        <w:tc>
          <w:tcPr>
            <w:tcW w:w="1418"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Finance</w:t>
            </w:r>
          </w:p>
        </w:tc>
      </w:tr>
      <w:tr w:rsidR="00913429">
        <w:trPr>
          <w:trHeight w:val="20"/>
        </w:trPr>
        <w:tc>
          <w:tcPr>
            <w:tcW w:w="1417"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b/>
                <w:bCs/>
                <w:noProof/>
                <w:color w:val="000000"/>
                <w:sz w:val="16"/>
                <w:szCs w:val="16"/>
              </w:rPr>
            </w:pPr>
            <w:r>
              <w:rPr>
                <w:rFonts w:ascii="Calibri" w:hAnsi="Calibri"/>
                <w:b/>
                <w:bCs/>
                <w:noProof/>
                <w:color w:val="000000"/>
                <w:sz w:val="16"/>
                <w:szCs w:val="16"/>
              </w:rPr>
              <w:t>Security Affairs</w:t>
            </w:r>
          </w:p>
        </w:tc>
        <w:tc>
          <w:tcPr>
            <w:tcW w:w="3969"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Major European Journal on IT Security</w:t>
            </w:r>
          </w:p>
        </w:tc>
        <w:tc>
          <w:tcPr>
            <w:tcW w:w="1134"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Expert</w:t>
            </w:r>
          </w:p>
        </w:tc>
        <w:tc>
          <w:tcPr>
            <w:tcW w:w="1418"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rsidR="00913429" w:rsidRDefault="00E143F0">
            <w:pPr>
              <w:spacing w:after="2"/>
              <w:rPr>
                <w:rFonts w:ascii="Calibri" w:hAnsi="Calibri"/>
                <w:noProof/>
                <w:color w:val="000000"/>
                <w:sz w:val="16"/>
                <w:szCs w:val="16"/>
              </w:rPr>
            </w:pPr>
            <w:r>
              <w:rPr>
                <w:rFonts w:ascii="Calibri" w:hAnsi="Calibri"/>
                <w:noProof/>
                <w:color w:val="000000"/>
                <w:sz w:val="16"/>
                <w:szCs w:val="16"/>
              </w:rPr>
              <w:t>Finance</w:t>
            </w:r>
          </w:p>
        </w:tc>
      </w:tr>
    </w:tbl>
    <w:p w:rsidR="00913429" w:rsidRDefault="00E143F0">
      <w:pPr>
        <w:pStyle w:val="Paragrafoelenco1"/>
        <w:numPr>
          <w:ilvl w:val="0"/>
          <w:numId w:val="0"/>
        </w:numPr>
        <w:rPr>
          <w:noProof/>
        </w:rPr>
      </w:pPr>
      <w:r>
        <w:rPr>
          <w:noProof/>
        </w:rPr>
        <w:t xml:space="preserve"> </w:t>
      </w:r>
      <w:r>
        <w:rPr>
          <w:noProof/>
        </w:rPr>
        <w:br w:type="page"/>
      </w:r>
    </w:p>
    <w:p w:rsidR="00913429" w:rsidRDefault="00E143F0">
      <w:pPr>
        <w:keepNext/>
        <w:keepLines/>
        <w:tabs>
          <w:tab w:val="left" w:pos="993"/>
        </w:tabs>
        <w:spacing w:after="120"/>
        <w:ind w:left="360" w:right="-23"/>
        <w:outlineLvl w:val="1"/>
        <w:rPr>
          <w:rFonts w:eastAsia="SimHei"/>
          <w:b/>
          <w:bCs/>
          <w:i/>
          <w:noProof/>
          <w:color w:val="DC6900"/>
          <w:sz w:val="32"/>
          <w:szCs w:val="26"/>
        </w:rPr>
      </w:pPr>
      <w:bookmarkStart w:id="66" w:name="_Toc485221427"/>
      <w:bookmarkStart w:id="67" w:name="_Toc485473777"/>
      <w:bookmarkStart w:id="68" w:name="_Toc486180427"/>
      <w:bookmarkStart w:id="69" w:name="_Toc486428526"/>
      <w:bookmarkStart w:id="70" w:name="_Toc486428704"/>
      <w:bookmarkStart w:id="71" w:name="_Toc486434070"/>
      <w:bookmarkStart w:id="72" w:name="_Toc488141492"/>
      <w:bookmarkStart w:id="73" w:name="_Toc488141600"/>
      <w:bookmarkStart w:id="74" w:name="_Toc488225910"/>
      <w:bookmarkStart w:id="75" w:name="_Toc488686349"/>
      <w:bookmarkStart w:id="76" w:name="_Toc488686409"/>
      <w:bookmarkStart w:id="77" w:name="_Toc488686505"/>
      <w:bookmarkStart w:id="78" w:name="_Toc489544140"/>
      <w:bookmarkStart w:id="79" w:name="_Toc489605352"/>
      <w:bookmarkStart w:id="80" w:name="_Toc489608100"/>
      <w:bookmarkStart w:id="81" w:name="_Toc492396454"/>
      <w:bookmarkStart w:id="82" w:name="_Toc492396561"/>
      <w:bookmarkStart w:id="83" w:name="_Toc492396562"/>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rPr>
          <w:rFonts w:eastAsia="SimHei"/>
          <w:b/>
          <w:bCs/>
          <w:i/>
          <w:noProof/>
          <w:color w:val="DC6900"/>
          <w:sz w:val="32"/>
          <w:szCs w:val="26"/>
        </w:rPr>
        <w:t>7.4 An overview of criticism related to Common Criteria</w:t>
      </w:r>
      <w:bookmarkEnd w:id="83"/>
    </w:p>
    <w:p w:rsidR="00913429" w:rsidRDefault="00E143F0">
      <w:pPr>
        <w:shd w:val="clear" w:color="auto" w:fill="FFFFFF"/>
        <w:spacing w:after="0"/>
        <w:jc w:val="both"/>
        <w:rPr>
          <w:noProof/>
          <w:color w:val="000000" w:themeColor="text1"/>
        </w:rPr>
      </w:pPr>
      <w:r>
        <w:rPr>
          <w:noProof/>
        </w:rPr>
        <w:t xml:space="preserve">The Common </w:t>
      </w:r>
      <w:r>
        <w:rPr>
          <w:noProof/>
        </w:rPr>
        <w:t>Criteria evaluation and certification is one of the most commonly used process to improve the trust in the security of evaluated products. Nevertheless, this methodology has a lot of problems and side effects that lead to limitations of which the enduser s</w:t>
      </w:r>
      <w:r>
        <w:rPr>
          <w:noProof/>
        </w:rPr>
        <w:t>hould be aware</w:t>
      </w:r>
      <w:r>
        <w:rPr>
          <w:rStyle w:val="FootnoteReference"/>
          <w:noProof/>
        </w:rPr>
        <w:footnoteReference w:id="16"/>
      </w:r>
      <w:r>
        <w:rPr>
          <w:noProof/>
        </w:rPr>
        <w:t xml:space="preserve">. </w:t>
      </w:r>
    </w:p>
    <w:p w:rsidR="00913429" w:rsidRDefault="00E143F0">
      <w:pPr>
        <w:spacing w:after="0"/>
        <w:jc w:val="both"/>
        <w:rPr>
          <w:noProof/>
        </w:rPr>
      </w:pPr>
      <w:r>
        <w:rPr>
          <w:noProof/>
        </w:rPr>
        <w:t>For the manufacturer, the main goal of security evaluation is to obtain a degree (such as CC certificate) which validates the security level of his product. Despite the CC certification gives many advantages to the manufacturers, on the o</w:t>
      </w:r>
      <w:r>
        <w:rPr>
          <w:noProof/>
        </w:rPr>
        <w:t xml:space="preserve">ther side CC presents various limits. </w:t>
      </w:r>
    </w:p>
    <w:p w:rsidR="00913429" w:rsidRDefault="00E143F0">
      <w:pPr>
        <w:pStyle w:val="ListParagraph"/>
        <w:spacing w:after="0"/>
        <w:ind w:left="0"/>
        <w:jc w:val="both"/>
        <w:rPr>
          <w:b/>
          <w:noProof/>
          <w:lang w:val="en-GB"/>
        </w:rPr>
      </w:pPr>
      <w:r>
        <w:rPr>
          <w:b/>
          <w:noProof/>
          <w:lang w:val="en-GB"/>
        </w:rPr>
        <w:t>Limit in perimeter</w:t>
      </w:r>
    </w:p>
    <w:p w:rsidR="00913429" w:rsidRDefault="00E143F0">
      <w:pPr>
        <w:pStyle w:val="ListParagraph"/>
        <w:spacing w:after="0"/>
        <w:ind w:left="0"/>
        <w:jc w:val="both"/>
        <w:rPr>
          <w:noProof/>
          <w:lang w:val="en-GB"/>
        </w:rPr>
      </w:pPr>
      <w:r>
        <w:rPr>
          <w:noProof/>
          <w:lang w:val="en-GB"/>
        </w:rPr>
        <w:t>One very famous limit of the common criteria is that an initiator can voluntarily restrict the scope of the Target Of Evaluation (TOE) in order to exclude some part of the IT product that would be s</w:t>
      </w:r>
      <w:r>
        <w:rPr>
          <w:noProof/>
          <w:lang w:val="en-GB"/>
        </w:rPr>
        <w:t>ubjected to some flaws. Indeed, the initiator very often starts the security evaluation of the overall IT product and in the same time that the security evaluation is conducted, some flaws are found and he reduces the scope of the TOE. It is thus of the re</w:t>
      </w:r>
      <w:r>
        <w:rPr>
          <w:noProof/>
          <w:lang w:val="en-GB"/>
        </w:rPr>
        <w:t>sponsibility of the customer to verify the scope that the certificate covers. Two other limits of the common criteria are still focused on the scope of the TOE. First limit, the scope of the TOE is very static after the issuance of the certificate and each</w:t>
      </w:r>
      <w:r>
        <w:rPr>
          <w:noProof/>
          <w:lang w:val="en-GB"/>
        </w:rPr>
        <w:t xml:space="preserve"> change in the scope of the product implies to evaluate again the product. To cope with this problem, a process of maintenance has been set up to follow each modification in an IT product. Second limit, even if the product is a software platform able to su</w:t>
      </w:r>
      <w:r>
        <w:rPr>
          <w:noProof/>
          <w:lang w:val="en-GB"/>
        </w:rPr>
        <w:t xml:space="preserve">pport several applications (like Java Card could be) and that this platform is certified, it is not allowed to make the composition of it with a new application that could have been already certified. However in the fictive example aforementioned both the </w:t>
      </w:r>
      <w:r>
        <w:rPr>
          <w:noProof/>
          <w:lang w:val="en-GB"/>
        </w:rPr>
        <w:t>platform (more precisely its scope) and the application (its scope too) have been certified. Since it is allowed to do such composition, the national body forbids evaluating an application alone independently of the platform on which it will run. We can su</w:t>
      </w:r>
      <w:r>
        <w:rPr>
          <w:noProof/>
          <w:lang w:val="en-GB"/>
        </w:rPr>
        <w:t>mmarize this problem as a lack of dynamicity of the scope and even if the common criteria security evaluation. It is a pity since it will be helpful to reduce the overall cost and time of the security evaluation. It would be nice to reach the time to marke</w:t>
      </w:r>
      <w:r>
        <w:rPr>
          <w:noProof/>
          <w:lang w:val="en-GB"/>
        </w:rPr>
        <w:t>t needs. This limit regarding the short lifecycle of the certificate is very close of the static aspect of the scope of the TOE. Indeed, the certificate is only valid at the time of its issuance. This short delay is explained by the possibility that new at</w:t>
      </w:r>
      <w:r>
        <w:rPr>
          <w:noProof/>
          <w:lang w:val="en-GB"/>
        </w:rPr>
        <w:t xml:space="preserve">tacks could have been discovered just at the time of the issuance or just after. </w:t>
      </w:r>
    </w:p>
    <w:p w:rsidR="00913429" w:rsidRDefault="00E143F0">
      <w:pPr>
        <w:pStyle w:val="ListParagraph"/>
        <w:spacing w:after="0"/>
        <w:ind w:left="0"/>
        <w:jc w:val="both"/>
        <w:rPr>
          <w:noProof/>
          <w:lang w:val="en-GB"/>
        </w:rPr>
      </w:pPr>
      <w:r>
        <w:rPr>
          <w:noProof/>
          <w:lang w:val="en-GB"/>
        </w:rPr>
        <w:t>Integrating flaws or new attacks</w:t>
      </w:r>
    </w:p>
    <w:p w:rsidR="00913429" w:rsidRDefault="00E143F0">
      <w:pPr>
        <w:pStyle w:val="ListParagraph"/>
        <w:spacing w:after="0"/>
        <w:ind w:left="0"/>
        <w:jc w:val="both"/>
        <w:rPr>
          <w:noProof/>
          <w:lang w:val="en-GB"/>
        </w:rPr>
      </w:pPr>
      <w:r>
        <w:rPr>
          <w:noProof/>
          <w:lang w:val="en-GB"/>
        </w:rPr>
        <w:t>Even if the product could be finally not sensitive to theses new attacks, with a fixed context, some new attacks haven’t taken into account in the product conception. To limit this delay, the conception and the evaluation must be scheduled in parallel way.</w:t>
      </w:r>
      <w:r>
        <w:rPr>
          <w:noProof/>
          <w:lang w:val="en-GB"/>
        </w:rPr>
        <w:t xml:space="preserve"> But with this method, flaws must be corrected in time and all depending process must be re-evaluated. Moreover during this additive delay for evaluation, the market requirements can change. A new component can appear with more capacities, more security an</w:t>
      </w:r>
      <w:r>
        <w:rPr>
          <w:noProof/>
          <w:lang w:val="en-GB"/>
        </w:rPr>
        <w:t xml:space="preserve">d with a lower price. Hence the delay between the product conception and the sale must be as short as possible. </w:t>
      </w:r>
    </w:p>
    <w:p w:rsidR="00913429" w:rsidRDefault="00913429">
      <w:pPr>
        <w:pStyle w:val="ListParagraph"/>
        <w:spacing w:after="0"/>
        <w:ind w:left="0"/>
        <w:jc w:val="both"/>
        <w:rPr>
          <w:noProof/>
          <w:lang w:val="en-GB"/>
        </w:rPr>
      </w:pPr>
    </w:p>
    <w:p w:rsidR="00913429" w:rsidRDefault="00E143F0">
      <w:pPr>
        <w:pStyle w:val="ListParagraph"/>
        <w:spacing w:after="0"/>
        <w:ind w:left="0"/>
        <w:jc w:val="both"/>
        <w:rPr>
          <w:b/>
          <w:noProof/>
          <w:lang w:val="en-GB"/>
        </w:rPr>
      </w:pPr>
      <w:r>
        <w:rPr>
          <w:b/>
          <w:noProof/>
          <w:lang w:val="en-GB"/>
        </w:rPr>
        <w:t xml:space="preserve">Product distribution </w:t>
      </w:r>
    </w:p>
    <w:p w:rsidR="00913429" w:rsidRDefault="00E143F0">
      <w:pPr>
        <w:pStyle w:val="ListParagraph"/>
        <w:spacing w:after="0"/>
        <w:ind w:left="0"/>
        <w:jc w:val="both"/>
        <w:rPr>
          <w:noProof/>
          <w:lang w:val="en-GB"/>
        </w:rPr>
      </w:pPr>
      <w:r>
        <w:rPr>
          <w:noProof/>
          <w:lang w:val="en-GB"/>
        </w:rPr>
        <w:t>When a product is certified, it is deployed on the market. However an analysis of what happens starting to the deploymen</w:t>
      </w:r>
      <w:r>
        <w:rPr>
          <w:noProof/>
          <w:lang w:val="en-GB"/>
        </w:rPr>
        <w:t>t time shows that any element enabling to ensure traceability and thus to maintain the chain of trust, have been set up. In the following, the problems can be raised and will be illustrated using as example the smart card products. The company considered h</w:t>
      </w:r>
      <w:r>
        <w:rPr>
          <w:noProof/>
          <w:lang w:val="en-GB"/>
        </w:rPr>
        <w:t>ere could be a bank, a mobile operator, in short a large company which has an important need of smart cards. In general this company will be directly provided by the chosen manufacturer and not by the retailers. Moreover this major company is very often th</w:t>
      </w:r>
      <w:r>
        <w:rPr>
          <w:noProof/>
          <w:lang w:val="en-GB"/>
        </w:rPr>
        <w:t>e initiator of the evaluation (or at least the privileged target of the manufacturer for which it has funded itself the evaluation). At the time of the products reception phase, several types of problems can exist or even to coexist:</w:t>
      </w:r>
    </w:p>
    <w:p w:rsidR="00913429" w:rsidRDefault="00E143F0">
      <w:pPr>
        <w:pStyle w:val="ListParagraph"/>
        <w:numPr>
          <w:ilvl w:val="0"/>
          <w:numId w:val="77"/>
        </w:numPr>
        <w:spacing w:after="0"/>
        <w:contextualSpacing w:val="0"/>
        <w:jc w:val="both"/>
        <w:rPr>
          <w:noProof/>
          <w:lang w:val="en-GB"/>
        </w:rPr>
      </w:pPr>
      <w:r>
        <w:rPr>
          <w:noProof/>
          <w:lang w:val="en-GB"/>
        </w:rPr>
        <w:t>problems due to a negl</w:t>
      </w:r>
      <w:r>
        <w:rPr>
          <w:noProof/>
          <w:lang w:val="en-GB"/>
        </w:rPr>
        <w:t>igence: there is an error in the batches or in the production line and the company does not receive the good cards. Normally the procedures of delivery defined by the CC (ADO/DEL) and of audit of the production sites make it possible to be sure that such a</w:t>
      </w:r>
      <w:r>
        <w:rPr>
          <w:noProof/>
          <w:lang w:val="en-GB"/>
        </w:rPr>
        <w:t xml:space="preserve"> trouble is not possible (in theory). </w:t>
      </w:r>
    </w:p>
    <w:p w:rsidR="00913429" w:rsidRDefault="00E143F0">
      <w:pPr>
        <w:pStyle w:val="ListParagraph"/>
        <w:numPr>
          <w:ilvl w:val="0"/>
          <w:numId w:val="77"/>
        </w:numPr>
        <w:spacing w:after="0"/>
        <w:contextualSpacing w:val="0"/>
        <w:jc w:val="both"/>
        <w:rPr>
          <w:noProof/>
          <w:lang w:val="en-GB"/>
        </w:rPr>
      </w:pPr>
      <w:r>
        <w:rPr>
          <w:noProof/>
          <w:lang w:val="en-GB"/>
        </w:rPr>
        <w:t>problems due to an ill will of economical type: to save money the manufacturer has used more powerful (hardware/software) components during the evaluation and lost-cost and less powerful components in production. Once</w:t>
      </w:r>
      <w:r>
        <w:rPr>
          <w:noProof/>
          <w:lang w:val="en-GB"/>
        </w:rPr>
        <w:t xml:space="preserve"> again the procedures of delivery and audit make it possible to counter this trouble (in theory).</w:t>
      </w:r>
    </w:p>
    <w:p w:rsidR="00913429" w:rsidRDefault="00E143F0">
      <w:pPr>
        <w:pStyle w:val="ListParagraph"/>
        <w:numPr>
          <w:ilvl w:val="0"/>
          <w:numId w:val="77"/>
        </w:numPr>
        <w:spacing w:after="0"/>
        <w:contextualSpacing w:val="0"/>
        <w:jc w:val="both"/>
        <w:rPr>
          <w:noProof/>
          <w:lang w:val="en-GB"/>
        </w:rPr>
      </w:pPr>
      <w:r>
        <w:rPr>
          <w:noProof/>
          <w:lang w:val="en-GB"/>
        </w:rPr>
        <w:t>problem due to an ill will of mischievous type: for example, modification by the manufacturer of a batch of cards for specific reasons (desire to mischief, ba</w:t>
      </w:r>
      <w:r>
        <w:rPr>
          <w:noProof/>
          <w:lang w:val="en-GB"/>
        </w:rPr>
        <w:t xml:space="preserve">ckdoor to keep the possibility to correct possible security problems later). As for the previous case, there cannot theoretically occur. </w:t>
      </w:r>
    </w:p>
    <w:p w:rsidR="00913429" w:rsidRDefault="00E143F0">
      <w:pPr>
        <w:pStyle w:val="ListParagraph"/>
        <w:numPr>
          <w:ilvl w:val="0"/>
          <w:numId w:val="77"/>
        </w:numPr>
        <w:spacing w:after="0"/>
        <w:contextualSpacing w:val="0"/>
        <w:jc w:val="both"/>
        <w:rPr>
          <w:noProof/>
          <w:lang w:val="en-GB"/>
        </w:rPr>
      </w:pPr>
      <w:r>
        <w:rPr>
          <w:noProof/>
          <w:lang w:val="en-GB"/>
        </w:rPr>
        <w:t>distribution problem: according to procedures of delivery defined by the CC, the company receives from the manufacture</w:t>
      </w:r>
      <w:r>
        <w:rPr>
          <w:noProof/>
          <w:lang w:val="en-GB"/>
        </w:rPr>
        <w:t xml:space="preserve">r the good ordered cards (same model that that evaluated) and it is perfect. </w:t>
      </w:r>
    </w:p>
    <w:p w:rsidR="00913429" w:rsidRDefault="00E143F0">
      <w:pPr>
        <w:pStyle w:val="ListParagraph"/>
        <w:spacing w:after="0"/>
        <w:ind w:left="0"/>
        <w:jc w:val="both"/>
        <w:rPr>
          <w:noProof/>
          <w:lang w:val="en-GB"/>
        </w:rPr>
      </w:pPr>
      <w:r>
        <w:rPr>
          <w:noProof/>
          <w:lang w:val="en-GB"/>
        </w:rPr>
        <w:t>At end-user level, the same problem appears. How can he be sure that the proposed product is secure? It seems important since for example, in the case of the banking world, its o</w:t>
      </w:r>
      <w:r>
        <w:rPr>
          <w:noProof/>
          <w:lang w:val="en-GB"/>
        </w:rPr>
        <w:t>wn money depends on the card security. He should trust his service supplier whereas this one is perhaps not able itself to have a full trust in its product. Clearly the limits of trust in CC certification are related to the absence of proof attached to the</w:t>
      </w:r>
      <w:r>
        <w:rPr>
          <w:noProof/>
          <w:lang w:val="en-GB"/>
        </w:rPr>
        <w:t xml:space="preserve"> product. </w:t>
      </w:r>
    </w:p>
    <w:p w:rsidR="00913429" w:rsidRDefault="00913429">
      <w:pPr>
        <w:pStyle w:val="ListParagraph"/>
        <w:spacing w:after="0"/>
        <w:ind w:left="0"/>
        <w:jc w:val="both"/>
        <w:rPr>
          <w:noProof/>
          <w:lang w:val="en-GB"/>
        </w:rPr>
      </w:pPr>
    </w:p>
    <w:p w:rsidR="00913429" w:rsidRDefault="00E143F0">
      <w:pPr>
        <w:pStyle w:val="ListParagraph"/>
        <w:spacing w:after="0"/>
        <w:ind w:left="0"/>
        <w:jc w:val="both"/>
        <w:rPr>
          <w:b/>
          <w:noProof/>
          <w:lang w:val="en-GB"/>
        </w:rPr>
      </w:pPr>
      <w:r>
        <w:rPr>
          <w:b/>
          <w:noProof/>
          <w:lang w:val="en-GB"/>
        </w:rPr>
        <w:t xml:space="preserve">Conformity of penetration tests. </w:t>
      </w:r>
    </w:p>
    <w:p w:rsidR="00913429" w:rsidRDefault="00E143F0">
      <w:pPr>
        <w:pStyle w:val="ListParagraph"/>
        <w:spacing w:after="0"/>
        <w:ind w:left="0"/>
        <w:jc w:val="both"/>
        <w:rPr>
          <w:noProof/>
          <w:lang w:val="en-GB"/>
        </w:rPr>
      </w:pPr>
      <w:r>
        <w:rPr>
          <w:noProof/>
          <w:lang w:val="en-GB"/>
        </w:rPr>
        <w:t>To verify the security of the product, some tests are achieved in the Vulnerability analysis part. Vulnerability analysis consists of the identification of flaws potentially introduced in the different refineme</w:t>
      </w:r>
      <w:r>
        <w:rPr>
          <w:noProof/>
          <w:lang w:val="en-GB"/>
        </w:rPr>
        <w:t>nt steps of the development. It results in the definition of penetration tests through the collection of the necessary information concerning: the completeness of the security functions, the dependencies between all security requirements and whether any of</w:t>
      </w:r>
      <w:r>
        <w:rPr>
          <w:noProof/>
          <w:lang w:val="en-GB"/>
        </w:rPr>
        <w:t xml:space="preserve"> the security requirements can be undermined through unexpected behavior of the system. These potential vulnerabilities are assessed through penetration testing to determine whether they could, in practice, be exploitable to compromise the security of the </w:t>
      </w:r>
      <w:r>
        <w:rPr>
          <w:noProof/>
          <w:lang w:val="en-GB"/>
        </w:rPr>
        <w:t>system. The number and the complexity of theses tests depend on the assurance level indicated in the main document (Security Target document). One must verify that the security functions are efficient through these tests. Some attack paths use different ki</w:t>
      </w:r>
      <w:r>
        <w:rPr>
          <w:noProof/>
          <w:lang w:val="en-GB"/>
        </w:rPr>
        <w:t xml:space="preserve">nd of attack and knowledge. But the execution of theses tests is made in different ways by the ITSEF Centers. There is no homologated set of attack but what the evaluator wants to do or what he can do. The effective level of the vulnerability tests depend </w:t>
      </w:r>
      <w:r>
        <w:rPr>
          <w:noProof/>
          <w:lang w:val="en-GB"/>
        </w:rPr>
        <w:t>on the center quality and knowledge. Hence a same product can be evaluated as good by one center and as bad by another center. However theses differences are limited by the certification authority which asks for complementary tests if doubts on security le</w:t>
      </w:r>
      <w:r>
        <w:rPr>
          <w:noProof/>
          <w:lang w:val="en-GB"/>
        </w:rPr>
        <w:t xml:space="preserve">vel appear. This choice of management facilitates the mind of initiative to create / to invent new tests. If the list of attacks was fixed as for tests of validity, it would not correspond to the reality of the reel world. </w:t>
      </w:r>
    </w:p>
    <w:p w:rsidR="00913429" w:rsidRDefault="00913429">
      <w:pPr>
        <w:pStyle w:val="ListParagraph"/>
        <w:spacing w:after="0"/>
        <w:ind w:left="0"/>
        <w:jc w:val="both"/>
        <w:rPr>
          <w:noProof/>
          <w:lang w:val="en-GB"/>
        </w:rPr>
      </w:pPr>
    </w:p>
    <w:p w:rsidR="00913429" w:rsidRDefault="00E143F0">
      <w:pPr>
        <w:pStyle w:val="ListParagraph"/>
        <w:spacing w:after="0"/>
        <w:ind w:left="0"/>
        <w:jc w:val="both"/>
        <w:rPr>
          <w:b/>
          <w:noProof/>
          <w:lang w:val="en-GB"/>
        </w:rPr>
      </w:pPr>
      <w:r>
        <w:rPr>
          <w:b/>
          <w:noProof/>
          <w:lang w:val="en-GB"/>
        </w:rPr>
        <w:t xml:space="preserve">Problems of interpretation </w:t>
      </w:r>
    </w:p>
    <w:p w:rsidR="00913429" w:rsidRDefault="00E143F0">
      <w:pPr>
        <w:pStyle w:val="ListParagraph"/>
        <w:spacing w:after="0"/>
        <w:ind w:left="0"/>
        <w:jc w:val="both"/>
        <w:rPr>
          <w:noProof/>
          <w:lang w:val="en-GB"/>
        </w:rPr>
      </w:pPr>
      <w:r>
        <w:rPr>
          <w:noProof/>
          <w:lang w:val="en-GB"/>
        </w:rPr>
        <w:t xml:space="preserve">The problems of interpretation are split in two sorts: </w:t>
      </w:r>
    </w:p>
    <w:p w:rsidR="00913429" w:rsidRDefault="00E143F0">
      <w:pPr>
        <w:pStyle w:val="ListParagraph"/>
        <w:numPr>
          <w:ilvl w:val="0"/>
          <w:numId w:val="78"/>
        </w:numPr>
        <w:spacing w:after="0"/>
        <w:contextualSpacing w:val="0"/>
        <w:jc w:val="both"/>
        <w:rPr>
          <w:noProof/>
          <w:lang w:val="en-GB"/>
        </w:rPr>
      </w:pPr>
      <w:r>
        <w:rPr>
          <w:noProof/>
          <w:lang w:val="en-GB"/>
        </w:rPr>
        <w:t>difficulties in the intrinsic comprehension of the criteria: it is exactly the same thing that the laws (a paper can understand differently according to the situation, the use, the past abuses, etc.):</w:t>
      </w:r>
      <w:r>
        <w:rPr>
          <w:noProof/>
          <w:lang w:val="en-GB"/>
        </w:rPr>
        <w:t xml:space="preserve"> it is necessary to legislate. An international committee exists to limit this kind of difficulty (</w:t>
      </w:r>
      <w:hyperlink r:id="rId53" w:history="1">
        <w:r>
          <w:rPr>
            <w:rStyle w:val="Hyperlink"/>
            <w:noProof/>
            <w:lang w:val="en-GB"/>
          </w:rPr>
          <w:t>http://www.commoncriteriaportal.org/interpretations.html</w:t>
        </w:r>
      </w:hyperlink>
      <w:r>
        <w:rPr>
          <w:noProof/>
          <w:lang w:val="en-GB"/>
        </w:rPr>
        <w:t>)</w:t>
      </w:r>
    </w:p>
    <w:p w:rsidR="00913429" w:rsidRDefault="00E143F0">
      <w:pPr>
        <w:pStyle w:val="ListParagraph"/>
        <w:numPr>
          <w:ilvl w:val="0"/>
          <w:numId w:val="78"/>
        </w:numPr>
        <w:spacing w:after="0"/>
        <w:contextualSpacing w:val="0"/>
        <w:jc w:val="both"/>
        <w:rPr>
          <w:b/>
          <w:smallCaps/>
          <w:noProof/>
          <w:lang w:val="en-GB"/>
        </w:rPr>
      </w:pPr>
      <w:r>
        <w:rPr>
          <w:noProof/>
          <w:lang w:val="en-GB"/>
        </w:rPr>
        <w:t>difficulties in terms of t</w:t>
      </w:r>
      <w:r>
        <w:rPr>
          <w:noProof/>
          <w:lang w:val="en-GB"/>
        </w:rPr>
        <w:t xml:space="preserve">ranslation in the language of the country. The used terms do not necessarily exist and can be understood or felt in a different way. (Ex: the term "freedom" will not be understood / felt in the same way into different countries) </w:t>
      </w:r>
    </w:p>
    <w:p w:rsidR="00913429" w:rsidRDefault="00913429">
      <w:pPr>
        <w:spacing w:after="0"/>
        <w:ind w:left="720"/>
        <w:jc w:val="both"/>
        <w:rPr>
          <w:noProof/>
        </w:rPr>
      </w:pPr>
    </w:p>
    <w:p w:rsidR="00913429" w:rsidRDefault="00E143F0">
      <w:pPr>
        <w:spacing w:after="0"/>
        <w:jc w:val="both"/>
        <w:rPr>
          <w:noProof/>
        </w:rPr>
      </w:pPr>
      <w:r>
        <w:rPr>
          <w:noProof/>
        </w:rPr>
        <w:t>Moreover, as shown in the</w:t>
      </w:r>
      <w:r>
        <w:rPr>
          <w:noProof/>
        </w:rPr>
        <w:t xml:space="preserve"> study “Analyzing Common Criteria Shortcomings to Improve its Efficacy”, in the view of industry-related security researchers and various stakeholders identifies some main problems of CC. </w:t>
      </w:r>
    </w:p>
    <w:p w:rsidR="00913429" w:rsidRDefault="00E143F0">
      <w:pPr>
        <w:spacing w:after="0"/>
        <w:jc w:val="both"/>
        <w:rPr>
          <w:noProof/>
        </w:rPr>
      </w:pPr>
      <w:r>
        <w:rPr>
          <w:noProof/>
        </w:rPr>
        <w:t xml:space="preserve">The most common problems identified within the study are: </w:t>
      </w:r>
    </w:p>
    <w:p w:rsidR="00913429" w:rsidRDefault="00E143F0">
      <w:pPr>
        <w:pStyle w:val="ListParagraph"/>
        <w:numPr>
          <w:ilvl w:val="0"/>
          <w:numId w:val="79"/>
        </w:numPr>
        <w:spacing w:after="0"/>
        <w:contextualSpacing w:val="0"/>
        <w:jc w:val="both"/>
        <w:rPr>
          <w:noProof/>
          <w:lang w:val="en-GB"/>
        </w:rPr>
      </w:pPr>
      <w:r>
        <w:rPr>
          <w:noProof/>
          <w:lang w:val="en-GB"/>
        </w:rPr>
        <w:t>The whol</w:t>
      </w:r>
      <w:r>
        <w:rPr>
          <w:noProof/>
          <w:lang w:val="en-GB"/>
        </w:rPr>
        <w:t xml:space="preserve">e process of the evaluation is costly to fulfil the CC requirements in a sense of expenditure, time and production. </w:t>
      </w:r>
    </w:p>
    <w:p w:rsidR="00913429" w:rsidRDefault="00E143F0">
      <w:pPr>
        <w:pStyle w:val="ListParagraph"/>
        <w:numPr>
          <w:ilvl w:val="0"/>
          <w:numId w:val="79"/>
        </w:numPr>
        <w:spacing w:after="0"/>
        <w:contextualSpacing w:val="0"/>
        <w:jc w:val="both"/>
        <w:rPr>
          <w:noProof/>
          <w:lang w:val="en-GB"/>
        </w:rPr>
      </w:pPr>
      <w:r>
        <w:rPr>
          <w:noProof/>
          <w:lang w:val="en-GB"/>
        </w:rPr>
        <w:t>The EALs (i.e. 5, 6, and 7) are known as the higher assurance level for US and European member’s countries who signed the MRA agreement, wh</w:t>
      </w:r>
      <w:r>
        <w:rPr>
          <w:noProof/>
          <w:lang w:val="en-GB"/>
        </w:rPr>
        <w:t xml:space="preserve">ich is a challenge for new member’s countries. </w:t>
      </w:r>
    </w:p>
    <w:p w:rsidR="00913429" w:rsidRDefault="00E143F0">
      <w:pPr>
        <w:pStyle w:val="ListParagraph"/>
        <w:numPr>
          <w:ilvl w:val="0"/>
          <w:numId w:val="79"/>
        </w:numPr>
        <w:spacing w:after="0"/>
        <w:contextualSpacing w:val="0"/>
        <w:jc w:val="both"/>
        <w:rPr>
          <w:noProof/>
          <w:lang w:val="en-GB"/>
        </w:rPr>
      </w:pPr>
      <w:r>
        <w:rPr>
          <w:noProof/>
          <w:lang w:val="en-GB"/>
        </w:rPr>
        <w:t xml:space="preserve">Outsized IT systems evaluation is very complex because evaluation zoom-in to the system components and evaluate each unit. After the evaluation zoom-out and viewing the system as a whole, the task is very </w:t>
      </w:r>
      <w:r>
        <w:rPr>
          <w:noProof/>
          <w:lang w:val="en-GB"/>
        </w:rPr>
        <w:t>much complex and sometime impossible to recombine</w:t>
      </w:r>
      <w:r>
        <w:rPr>
          <w:rStyle w:val="FootnoteReference"/>
          <w:noProof/>
          <w:lang w:val="en-GB"/>
        </w:rPr>
        <w:footnoteReference w:id="17"/>
      </w:r>
      <w:r>
        <w:rPr>
          <w:noProof/>
          <w:lang w:val="en-GB"/>
        </w:rPr>
        <w:t xml:space="preserve">. </w:t>
      </w:r>
    </w:p>
    <w:p w:rsidR="00913429" w:rsidRDefault="00E143F0">
      <w:pPr>
        <w:pStyle w:val="ListParagraph"/>
        <w:numPr>
          <w:ilvl w:val="0"/>
          <w:numId w:val="79"/>
        </w:numPr>
        <w:spacing w:after="0"/>
        <w:contextualSpacing w:val="0"/>
        <w:jc w:val="both"/>
        <w:rPr>
          <w:noProof/>
          <w:lang w:val="en-GB"/>
        </w:rPr>
      </w:pPr>
      <w:r>
        <w:rPr>
          <w:noProof/>
          <w:lang w:val="en-GB"/>
        </w:rPr>
        <w:t xml:space="preserve">The attempt and time required placing evaluation confirmation and certification is very hard job that by the time the work is finished, the artefact in evaluation is usually outdated. </w:t>
      </w:r>
    </w:p>
    <w:p w:rsidR="00913429" w:rsidRDefault="00E143F0">
      <w:pPr>
        <w:pStyle w:val="ListParagraph"/>
        <w:numPr>
          <w:ilvl w:val="0"/>
          <w:numId w:val="79"/>
        </w:numPr>
        <w:spacing w:after="0"/>
        <w:contextualSpacing w:val="0"/>
        <w:jc w:val="both"/>
        <w:rPr>
          <w:noProof/>
          <w:lang w:val="en-GB"/>
        </w:rPr>
      </w:pPr>
      <w:r>
        <w:rPr>
          <w:noProof/>
          <w:lang w:val="en-GB"/>
        </w:rPr>
        <w:t>From industry poin</w:t>
      </w:r>
      <w:r>
        <w:rPr>
          <w:noProof/>
          <w:lang w:val="en-GB"/>
        </w:rPr>
        <w:t xml:space="preserve">t of view there is some input but have slight impact on the CC assessment. </w:t>
      </w:r>
    </w:p>
    <w:p w:rsidR="00913429" w:rsidRDefault="00E143F0">
      <w:pPr>
        <w:pStyle w:val="ListParagraph"/>
        <w:numPr>
          <w:ilvl w:val="0"/>
          <w:numId w:val="79"/>
        </w:numPr>
        <w:spacing w:after="0"/>
        <w:contextualSpacing w:val="0"/>
        <w:jc w:val="both"/>
        <w:rPr>
          <w:noProof/>
          <w:lang w:val="en-GB"/>
        </w:rPr>
      </w:pPr>
      <w:r>
        <w:rPr>
          <w:noProof/>
          <w:lang w:val="en-GB"/>
        </w:rPr>
        <w:t xml:space="preserve">From the evaluation point of view CC is just paperwork the actual product is not properly evaluated. However, this point is for the lower level of EALs not for the higher level. </w:t>
      </w:r>
    </w:p>
    <w:p w:rsidR="00913429" w:rsidRDefault="00E143F0">
      <w:pPr>
        <w:pStyle w:val="ListParagraph"/>
        <w:numPr>
          <w:ilvl w:val="0"/>
          <w:numId w:val="79"/>
        </w:numPr>
        <w:spacing w:after="0"/>
        <w:contextualSpacing w:val="0"/>
        <w:jc w:val="both"/>
        <w:rPr>
          <w:noProof/>
          <w:lang w:val="en-GB"/>
        </w:rPr>
      </w:pPr>
      <w:r>
        <w:rPr>
          <w:noProof/>
          <w:lang w:val="en-GB"/>
        </w:rPr>
        <w:t>C</w:t>
      </w:r>
      <w:r>
        <w:rPr>
          <w:noProof/>
          <w:lang w:val="en-GB"/>
        </w:rPr>
        <w:t xml:space="preserve">C discriminates against Free and Open Source Software because these are not dependent on any type of criteria for evaluation. </w:t>
      </w:r>
    </w:p>
    <w:p w:rsidR="00913429" w:rsidRDefault="00E143F0">
      <w:pPr>
        <w:pStyle w:val="ListParagraph"/>
        <w:numPr>
          <w:ilvl w:val="0"/>
          <w:numId w:val="79"/>
        </w:numPr>
        <w:spacing w:after="0"/>
        <w:contextualSpacing w:val="0"/>
        <w:jc w:val="both"/>
        <w:rPr>
          <w:b/>
          <w:smallCaps/>
          <w:noProof/>
          <w:lang w:val="en-GB"/>
        </w:rPr>
      </w:pPr>
      <w:r>
        <w:rPr>
          <w:noProof/>
          <w:lang w:val="en-GB"/>
        </w:rPr>
        <w:t>Quick raise in extent, strength, rigor for TOE at high EALs, but not for PP, produce a generalization hole that is costly to over</w:t>
      </w:r>
      <w:r>
        <w:rPr>
          <w:noProof/>
          <w:lang w:val="en-GB"/>
        </w:rPr>
        <w:t xml:space="preserve">pass. </w:t>
      </w:r>
    </w:p>
    <w:p w:rsidR="00913429" w:rsidRDefault="00913429">
      <w:pPr>
        <w:spacing w:after="0"/>
        <w:ind w:left="720"/>
        <w:jc w:val="both"/>
        <w:rPr>
          <w:noProof/>
        </w:rPr>
      </w:pPr>
    </w:p>
    <w:p w:rsidR="00913429" w:rsidRDefault="00E143F0">
      <w:pPr>
        <w:spacing w:after="120"/>
        <w:jc w:val="both"/>
        <w:rPr>
          <w:noProof/>
        </w:rPr>
      </w:pPr>
      <w:r>
        <w:rPr>
          <w:noProof/>
        </w:rPr>
        <w:t>Another study entitled “</w:t>
      </w:r>
      <w:r>
        <w:rPr>
          <w:i/>
          <w:noProof/>
        </w:rPr>
        <w:t>Common Criteria: Its Limitations and Advice on Improvement</w:t>
      </w:r>
      <w:r>
        <w:rPr>
          <w:noProof/>
        </w:rPr>
        <w:t>”</w:t>
      </w:r>
      <w:r>
        <w:rPr>
          <w:rStyle w:val="FootnoteReference"/>
          <w:noProof/>
        </w:rPr>
        <w:footnoteReference w:id="18"/>
      </w:r>
      <w:r>
        <w:rPr>
          <w:noProof/>
        </w:rPr>
        <w:t xml:space="preserve">  confirms the shortcomings and limitations of CC shown above. In fact, some issues are related to evaluation process. Especially, CC is criticized as being costly </w:t>
      </w:r>
      <w:r>
        <w:rPr>
          <w:noProof/>
        </w:rPr>
        <w:t>and time consuming. Meanwhile, there are issues in general evaluation methodology. Particularly, its limitation on vulnerability analysis is eminent: CC is not good at addressing security flaws in product implementation. The methodology of vulnerability as</w:t>
      </w:r>
      <w:r>
        <w:rPr>
          <w:noProof/>
        </w:rPr>
        <w:t xml:space="preserve">sessment in CC is too generic, not rigorous to identify vulnerability in implemetation, and does not take into account vulnerabilities specific to individual technology area. </w:t>
      </w:r>
    </w:p>
    <w:p w:rsidR="00913429" w:rsidRDefault="00E143F0">
      <w:pPr>
        <w:spacing w:after="0"/>
        <w:jc w:val="both"/>
        <w:rPr>
          <w:noProof/>
        </w:rPr>
      </w:pPr>
      <w:r>
        <w:rPr>
          <w:noProof/>
        </w:rPr>
        <w:t>As exposed within the article “</w:t>
      </w:r>
      <w:r>
        <w:rPr>
          <w:i/>
          <w:noProof/>
        </w:rPr>
        <w:t>Symantec: Common Criteria is bad for you”,</w:t>
      </w:r>
      <w:r>
        <w:rPr>
          <w:noProof/>
        </w:rPr>
        <w:t xml:space="preserve"> vendor</w:t>
      </w:r>
      <w:r>
        <w:rPr>
          <w:noProof/>
        </w:rPr>
        <w:t xml:space="preserve">s have to pay hundreds of thousands of dollars to get their products evaluated, and the evaluations ' which are conducted by third-party testing firms ' can take up to a year. </w:t>
      </w:r>
    </w:p>
    <w:p w:rsidR="00913429" w:rsidRDefault="00E143F0">
      <w:pPr>
        <w:spacing w:after="0"/>
        <w:jc w:val="both"/>
        <w:rPr>
          <w:noProof/>
        </w:rPr>
      </w:pPr>
      <w:r>
        <w:rPr>
          <w:noProof/>
        </w:rPr>
        <w:t>As a result, agencies may have to install older, already-obsolete versions of s</w:t>
      </w:r>
      <w:r>
        <w:rPr>
          <w:noProof/>
        </w:rPr>
        <w:t xml:space="preserve">oftware in order to comply with NSTISSP. With security products in particular, this is a dangerous practice, as updates are frequently added to these products in order to address recent vulnerabilities, </w:t>
      </w:r>
    </w:p>
    <w:p w:rsidR="00913429" w:rsidRDefault="00E143F0">
      <w:pPr>
        <w:spacing w:after="0"/>
        <w:jc w:val="both"/>
        <w:rPr>
          <w:noProof/>
        </w:rPr>
      </w:pPr>
      <w:r>
        <w:rPr>
          <w:noProof/>
        </w:rPr>
        <w:t>As a result, by the time most companies can assemble</w:t>
      </w:r>
      <w:r>
        <w:rPr>
          <w:noProof/>
        </w:rPr>
        <w:t xml:space="preserve"> adequate information for a Security Target, they are already halfway through the development cycle. </w:t>
      </w:r>
    </w:p>
    <w:p w:rsidR="00913429" w:rsidRDefault="00E143F0">
      <w:pPr>
        <w:spacing w:after="0" w:line="240" w:lineRule="auto"/>
        <w:jc w:val="both"/>
        <w:rPr>
          <w:noProof/>
        </w:rPr>
      </w:pPr>
      <w:r>
        <w:rPr>
          <w:noProof/>
        </w:rPr>
        <w:t>After many years of development, there are still many limitations in Common Criteria. It shall have to continuously improve to be relevant to current deve</w:t>
      </w:r>
      <w:r>
        <w:rPr>
          <w:noProof/>
        </w:rPr>
        <w:t>lopment of security assurance. Adoption of security practices into the development life cycle (e.g., threat and risk analysis, misuse and abuse case generation, analysis of implementation representation to detect any implementation defects, risk-based secu</w:t>
      </w:r>
      <w:r>
        <w:rPr>
          <w:noProof/>
        </w:rPr>
        <w:t>rity testing, vulnerability analysis, and penetration testing, etc.) can not only improve the security assurance but also facilitate the evaluation process. All in all, the goal of improving the security assurance cannot be achieved only through the third-</w:t>
      </w:r>
      <w:r>
        <w:rPr>
          <w:noProof/>
        </w:rPr>
        <w:t xml:space="preserve">party evaluation and certification;t it needs the developer to reasonably retrofit and introduce good security practices into its product development life cycle. </w:t>
      </w:r>
    </w:p>
    <w:p w:rsidR="00913429" w:rsidRDefault="00E143F0">
      <w:pPr>
        <w:spacing w:after="0" w:line="240" w:lineRule="auto"/>
        <w:rPr>
          <w:noProof/>
        </w:rPr>
      </w:pPr>
      <w:r>
        <w:rPr>
          <w:noProof/>
        </w:rPr>
        <w:br w:type="page"/>
      </w:r>
    </w:p>
    <w:p w:rsidR="00913429" w:rsidRDefault="00E143F0">
      <w:pPr>
        <w:keepNext/>
        <w:keepLines/>
        <w:tabs>
          <w:tab w:val="left" w:pos="993"/>
        </w:tabs>
        <w:spacing w:after="120"/>
        <w:ind w:left="360" w:right="-23"/>
        <w:outlineLvl w:val="1"/>
        <w:rPr>
          <w:rFonts w:eastAsia="SimHei"/>
          <w:b/>
          <w:bCs/>
          <w:i/>
          <w:noProof/>
          <w:color w:val="DC6900"/>
          <w:sz w:val="32"/>
          <w:szCs w:val="26"/>
        </w:rPr>
      </w:pPr>
      <w:bookmarkStart w:id="84" w:name="_Toc492396563"/>
      <w:r>
        <w:rPr>
          <w:rFonts w:eastAsia="SimHei"/>
          <w:b/>
          <w:bCs/>
          <w:i/>
          <w:noProof/>
          <w:color w:val="DC6900"/>
          <w:sz w:val="32"/>
          <w:szCs w:val="26"/>
        </w:rPr>
        <w:t>7.5 Cyber Security market Insights</w:t>
      </w:r>
      <w:bookmarkEnd w:id="84"/>
    </w:p>
    <w:p w:rsidR="00913429" w:rsidRDefault="00E143F0">
      <w:pPr>
        <w:pStyle w:val="BodyText"/>
        <w:spacing w:after="0"/>
        <w:rPr>
          <w:noProof/>
        </w:rPr>
      </w:pPr>
      <w:r>
        <w:rPr>
          <w:noProof/>
        </w:rPr>
        <w:t xml:space="preserve">The European Commission has mandated PwC and LSEC for a </w:t>
      </w:r>
      <w:r>
        <w:rPr>
          <w:noProof/>
        </w:rPr>
        <w:t>Cyber Security Market Study that should be completed within 2017. On the 6</w:t>
      </w:r>
      <w:r>
        <w:rPr>
          <w:noProof/>
          <w:vertAlign w:val="superscript"/>
        </w:rPr>
        <w:t>th</w:t>
      </w:r>
      <w:r>
        <w:rPr>
          <w:noProof/>
        </w:rPr>
        <w:t xml:space="preserve"> June 2017 in Brussels, European Cyber Security Organisation (ECSO) with PwC and LSEC have organised a “Fact Finding Workshop” in order to share the first preliminary results of th</w:t>
      </w:r>
      <w:r>
        <w:rPr>
          <w:noProof/>
        </w:rPr>
        <w:t>e study “Cyber Security Industry Market Analysis (CIMA)”</w:t>
      </w:r>
      <w:r>
        <w:rPr>
          <w:rStyle w:val="FootnoteReference"/>
          <w:noProof/>
        </w:rPr>
        <w:footnoteReference w:id="19"/>
      </w:r>
      <w:r>
        <w:rPr>
          <w:noProof/>
        </w:rPr>
        <w:t xml:space="preserve">. </w:t>
      </w:r>
    </w:p>
    <w:p w:rsidR="00913429" w:rsidRDefault="00E143F0">
      <w:pPr>
        <w:pStyle w:val="BodyText"/>
        <w:spacing w:before="0" w:after="0"/>
        <w:rPr>
          <w:noProof/>
        </w:rPr>
      </w:pPr>
      <w:r>
        <w:rPr>
          <w:noProof/>
        </w:rPr>
        <w:t>The purpose of the study is to assess how cybersecurity challenges can become an EU competitive advantage and propose a European industrial cybersecurity roadmap. In addition, it should also inves</w:t>
      </w:r>
      <w:r>
        <w:rPr>
          <w:noProof/>
        </w:rPr>
        <w:t xml:space="preserve">tigate how the cybersecurity industrial tissue in Europe needs to be developed to support the European organisations, governments, infrastructures, enterprises, services and manufacturing industries. </w:t>
      </w:r>
    </w:p>
    <w:p w:rsidR="00913429" w:rsidRDefault="00E143F0">
      <w:pPr>
        <w:pStyle w:val="BodyText"/>
        <w:spacing w:before="0" w:after="120"/>
        <w:rPr>
          <w:noProof/>
        </w:rPr>
      </w:pPr>
      <w:r>
        <w:rPr>
          <w:noProof/>
        </w:rPr>
        <w:t xml:space="preserve">The value of Global Cyber Market has reached </w:t>
      </w:r>
      <w:r>
        <w:rPr>
          <w:b/>
          <w:noProof/>
        </w:rPr>
        <w:t>640 billio</w:t>
      </w:r>
      <w:r>
        <w:rPr>
          <w:b/>
          <w:noProof/>
        </w:rPr>
        <w:t>n euros</w:t>
      </w:r>
      <w:r>
        <w:rPr>
          <w:noProof/>
        </w:rPr>
        <w:t xml:space="preserve"> in 2016 increasing compared to 2015 (512 billion euros). The Value of EU Cyber Market increased by 17.4% compared to 2015 reaching </w:t>
      </w:r>
      <w:r>
        <w:rPr>
          <w:b/>
          <w:noProof/>
        </w:rPr>
        <w:t>157 billion euros</w:t>
      </w:r>
      <w:r>
        <w:rPr>
          <w:noProof/>
        </w:rPr>
        <w:t xml:space="preserve"> of Sales. EU Cyber Market accounts for 26,3% of global market.</w:t>
      </w:r>
    </w:p>
    <w:p w:rsidR="00913429" w:rsidRDefault="00913429">
      <w:pPr>
        <w:pStyle w:val="BodyText"/>
        <w:spacing w:before="0" w:after="120"/>
        <w:rPr>
          <w:noProof/>
        </w:rPr>
      </w:pPr>
    </w:p>
    <w:p w:rsidR="00913429" w:rsidRDefault="00E143F0">
      <w:pPr>
        <w:keepNext/>
        <w:spacing w:after="0" w:line="240" w:lineRule="auto"/>
        <w:rPr>
          <w:noProof/>
        </w:rPr>
      </w:pPr>
      <w:r>
        <w:rPr>
          <w:noProof/>
          <w:lang w:eastAsia="en-GB"/>
        </w:rPr>
        <w:drawing>
          <wp:inline distT="0" distB="0" distL="0" distR="0" wp14:anchorId="5133D994" wp14:editId="4D2EE2E6">
            <wp:extent cx="6106795" cy="1534602"/>
            <wp:effectExtent l="0" t="0" r="0" b="889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23326" cy="1538756"/>
                    </a:xfrm>
                    <a:prstGeom prst="rect">
                      <a:avLst/>
                    </a:prstGeom>
                  </pic:spPr>
                </pic:pic>
              </a:graphicData>
            </a:graphic>
          </wp:inline>
        </w:drawing>
      </w:r>
    </w:p>
    <w:p w:rsidR="00913429" w:rsidRDefault="00E143F0">
      <w:pPr>
        <w:pStyle w:val="Caption"/>
        <w:jc w:val="center"/>
        <w:rPr>
          <w:noProof/>
        </w:rPr>
      </w:pPr>
      <w:r>
        <w:rPr>
          <w:noProof/>
        </w:rPr>
        <w:t>Figure- Global vs EU Cyber Market</w:t>
      </w:r>
      <w:r>
        <w:rPr>
          <w:noProof/>
        </w:rPr>
        <w:t xml:space="preserve"> 2014 through 2016</w:t>
      </w:r>
    </w:p>
    <w:p w:rsidR="00913429" w:rsidRDefault="00913429">
      <w:pPr>
        <w:rPr>
          <w:noProof/>
        </w:rPr>
      </w:pPr>
    </w:p>
    <w:p w:rsidR="00913429" w:rsidRDefault="00E143F0">
      <w:pPr>
        <w:spacing w:after="0" w:line="240" w:lineRule="auto"/>
        <w:jc w:val="both"/>
        <w:rPr>
          <w:noProof/>
        </w:rPr>
      </w:pPr>
      <w:r>
        <w:rPr>
          <w:noProof/>
        </w:rPr>
        <w:t xml:space="preserve">Sales by EU country shows consistently strong growth for the past two years: growth to 2016 ranges between 14-20%. Moreover, the largest economy does not always equate to the largest growth. </w:t>
      </w:r>
    </w:p>
    <w:p w:rsidR="00913429" w:rsidRDefault="00E143F0">
      <w:pPr>
        <w:spacing w:after="120" w:line="240" w:lineRule="auto"/>
        <w:jc w:val="both"/>
        <w:rPr>
          <w:noProof/>
        </w:rPr>
      </w:pPr>
      <w:r>
        <w:rPr>
          <w:noProof/>
        </w:rPr>
        <w:t>Together with sales, the number of companies</w:t>
      </w:r>
      <w:r>
        <w:rPr>
          <w:noProof/>
        </w:rPr>
        <w:t xml:space="preserve"> on the cyber market is growing: in 2016 the number of cyber companies in the world reached </w:t>
      </w:r>
      <w:r>
        <w:rPr>
          <w:b/>
          <w:noProof/>
        </w:rPr>
        <w:t>222 thousands</w:t>
      </w:r>
      <w:r>
        <w:rPr>
          <w:noProof/>
        </w:rPr>
        <w:t xml:space="preserve"> increasing by 19% from 2015. In Europe, nearly </w:t>
      </w:r>
      <w:r>
        <w:rPr>
          <w:b/>
          <w:noProof/>
        </w:rPr>
        <w:t>60 thousands companies</w:t>
      </w:r>
      <w:r>
        <w:rPr>
          <w:noProof/>
        </w:rPr>
        <w:t xml:space="preserve"> operated in 2016 increasing by 18,2% from 2015. </w:t>
      </w:r>
    </w:p>
    <w:p w:rsidR="00913429" w:rsidRDefault="00E143F0">
      <w:pPr>
        <w:keepNext/>
        <w:spacing w:after="120" w:line="240" w:lineRule="auto"/>
        <w:rPr>
          <w:noProof/>
        </w:rPr>
      </w:pPr>
      <w:r>
        <w:rPr>
          <w:noProof/>
          <w:lang w:eastAsia="en-GB"/>
        </w:rPr>
        <w:drawing>
          <wp:inline distT="0" distB="0" distL="0" distR="0" wp14:anchorId="1AC36D1F" wp14:editId="563DF063">
            <wp:extent cx="6106795" cy="1261745"/>
            <wp:effectExtent l="0" t="0" r="8255"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106795" cy="1261745"/>
                    </a:xfrm>
                    <a:prstGeom prst="rect">
                      <a:avLst/>
                    </a:prstGeom>
                  </pic:spPr>
                </pic:pic>
              </a:graphicData>
            </a:graphic>
          </wp:inline>
        </w:drawing>
      </w:r>
    </w:p>
    <w:p w:rsidR="00913429" w:rsidRDefault="00E143F0">
      <w:pPr>
        <w:pStyle w:val="Caption"/>
        <w:jc w:val="center"/>
        <w:rPr>
          <w:noProof/>
        </w:rPr>
      </w:pPr>
      <w:r>
        <w:rPr>
          <w:noProof/>
        </w:rPr>
        <w:t>Figure - Global vs European n</w:t>
      </w:r>
      <w:r>
        <w:rPr>
          <w:noProof/>
        </w:rPr>
        <w:t>umber of Cyber security related companies</w:t>
      </w:r>
    </w:p>
    <w:p w:rsidR="00913429" w:rsidRDefault="00E143F0">
      <w:pPr>
        <w:jc w:val="both"/>
        <w:rPr>
          <w:noProof/>
        </w:rPr>
      </w:pPr>
      <w:r>
        <w:rPr>
          <w:noProof/>
        </w:rPr>
        <w:t>The number of Global Cyber employment is increasing according to the growth of the global cyber market: in 2016 the Global Cyber Employment reached 3,7 million increasing by 18% from 2015. In Europe, it is possible</w:t>
      </w:r>
      <w:r>
        <w:rPr>
          <w:noProof/>
        </w:rPr>
        <w:t xml:space="preserve"> to note the same growth: 17,5% increase from 2015 reaching the number of 910 thousands employees.</w:t>
      </w:r>
    </w:p>
    <w:p w:rsidR="00913429" w:rsidRDefault="00E143F0">
      <w:pPr>
        <w:jc w:val="both"/>
        <w:rPr>
          <w:noProof/>
        </w:rPr>
      </w:pPr>
      <w:r>
        <w:rPr>
          <w:noProof/>
        </w:rPr>
        <w:t>To have a better overview on the global cyber security market, the demand for cybersecurity solutions from the sectors identified in the NIS Directive is ana</w:t>
      </w:r>
      <w:r>
        <w:rPr>
          <w:noProof/>
        </w:rPr>
        <w:t>lysed with a high-level segmentation to provide quantitative analysis of the market size and forecasts:</w:t>
      </w:r>
    </w:p>
    <w:p w:rsidR="00913429" w:rsidRDefault="00E143F0">
      <w:pPr>
        <w:pStyle w:val="ListParagraph"/>
        <w:numPr>
          <w:ilvl w:val="0"/>
          <w:numId w:val="110"/>
        </w:numPr>
        <w:jc w:val="both"/>
        <w:rPr>
          <w:noProof/>
          <w:lang w:val="en-GB"/>
        </w:rPr>
      </w:pPr>
      <w:r>
        <w:rPr>
          <w:noProof/>
          <w:lang w:val="en-GB"/>
        </w:rPr>
        <w:t>“Government” – including any department, organisation or agency that is Security-specific and funded by government. For the UK, that would including Hom</w:t>
      </w:r>
      <w:r>
        <w:rPr>
          <w:noProof/>
          <w:lang w:val="en-GB"/>
        </w:rPr>
        <w:t>e Office, UKTI, Police and public security organisations.</w:t>
      </w:r>
    </w:p>
    <w:p w:rsidR="00913429" w:rsidRDefault="00E143F0">
      <w:pPr>
        <w:pStyle w:val="ListParagraph"/>
        <w:numPr>
          <w:ilvl w:val="0"/>
          <w:numId w:val="110"/>
        </w:numPr>
        <w:jc w:val="both"/>
        <w:rPr>
          <w:noProof/>
          <w:lang w:val="en-GB"/>
        </w:rPr>
      </w:pPr>
      <w:r>
        <w:rPr>
          <w:noProof/>
          <w:lang w:val="en-GB"/>
        </w:rPr>
        <w:t>“Other Public” – including any public funded not listed above i.e. local government and those responsible for the security of public places (amongst other responsibilities).</w:t>
      </w:r>
    </w:p>
    <w:p w:rsidR="00913429" w:rsidRDefault="00E143F0">
      <w:pPr>
        <w:pStyle w:val="ListParagraph"/>
        <w:numPr>
          <w:ilvl w:val="0"/>
          <w:numId w:val="110"/>
        </w:numPr>
        <w:jc w:val="both"/>
        <w:rPr>
          <w:noProof/>
          <w:lang w:val="en-GB"/>
        </w:rPr>
      </w:pPr>
      <w:r>
        <w:rPr>
          <w:noProof/>
          <w:lang w:val="en-GB"/>
        </w:rPr>
        <w:t>“Private Sector” – inclu</w:t>
      </w:r>
      <w:r>
        <w:rPr>
          <w:noProof/>
          <w:lang w:val="en-GB"/>
        </w:rPr>
        <w:t>ding a wide range of industries like Utilities, Manufacturing, Energy etc.</w:t>
      </w:r>
    </w:p>
    <w:p w:rsidR="00913429" w:rsidRDefault="00E143F0">
      <w:pPr>
        <w:jc w:val="both"/>
        <w:rPr>
          <w:noProof/>
        </w:rPr>
      </w:pPr>
      <w:r>
        <w:rPr>
          <w:noProof/>
        </w:rPr>
        <w:t xml:space="preserve">The range for each segment vary globally: </w:t>
      </w:r>
    </w:p>
    <w:p w:rsidR="00913429" w:rsidRDefault="00E143F0">
      <w:pPr>
        <w:pStyle w:val="ListParagraph"/>
        <w:numPr>
          <w:ilvl w:val="0"/>
          <w:numId w:val="111"/>
        </w:numPr>
        <w:jc w:val="both"/>
        <w:rPr>
          <w:noProof/>
          <w:lang w:val="en-GB"/>
        </w:rPr>
      </w:pPr>
      <w:r>
        <w:rPr>
          <w:noProof/>
          <w:lang w:val="en-GB"/>
        </w:rPr>
        <w:t xml:space="preserve">Government = 18% to 26%, </w:t>
      </w:r>
    </w:p>
    <w:p w:rsidR="00913429" w:rsidRDefault="00E143F0">
      <w:pPr>
        <w:pStyle w:val="ListParagraph"/>
        <w:numPr>
          <w:ilvl w:val="0"/>
          <w:numId w:val="111"/>
        </w:numPr>
        <w:jc w:val="both"/>
        <w:rPr>
          <w:noProof/>
          <w:lang w:val="en-GB"/>
        </w:rPr>
      </w:pPr>
      <w:r>
        <w:rPr>
          <w:noProof/>
          <w:lang w:val="en-GB"/>
        </w:rPr>
        <w:t xml:space="preserve">Other Public Agencies = 13% to 23% and </w:t>
      </w:r>
    </w:p>
    <w:p w:rsidR="00913429" w:rsidRDefault="00E143F0">
      <w:pPr>
        <w:pStyle w:val="ListParagraph"/>
        <w:numPr>
          <w:ilvl w:val="0"/>
          <w:numId w:val="111"/>
        </w:numPr>
        <w:jc w:val="both"/>
        <w:rPr>
          <w:noProof/>
          <w:lang w:val="en-GB"/>
        </w:rPr>
      </w:pPr>
      <w:r>
        <w:rPr>
          <w:noProof/>
          <w:lang w:val="en-GB"/>
        </w:rPr>
        <w:t>Commercial = 51% to 70%</w:t>
      </w:r>
    </w:p>
    <w:p w:rsidR="00913429" w:rsidRDefault="00E143F0">
      <w:pPr>
        <w:jc w:val="both"/>
        <w:rPr>
          <w:noProof/>
        </w:rPr>
      </w:pPr>
      <w:r>
        <w:rPr>
          <w:noProof/>
        </w:rPr>
        <w:t xml:space="preserve">Growth forecasts for Europe are between 11% and </w:t>
      </w:r>
      <w:r>
        <w:rPr>
          <w:noProof/>
        </w:rPr>
        <w:t>13% to 2021. This percentage is slightly less than global forecast growth. Both for Europe and globally, the forecast is lower than actual growth in last two years and is likely to be underestimating future shore-term growth.</w:t>
      </w:r>
    </w:p>
    <w:p w:rsidR="00913429" w:rsidRDefault="00E143F0">
      <w:pPr>
        <w:keepNext/>
        <w:spacing w:after="0"/>
        <w:jc w:val="center"/>
        <w:rPr>
          <w:noProof/>
        </w:rPr>
      </w:pPr>
      <w:r>
        <w:rPr>
          <w:noProof/>
          <w:lang w:eastAsia="en-GB"/>
        </w:rPr>
        <w:drawing>
          <wp:inline distT="0" distB="0" distL="0" distR="0" wp14:anchorId="213BF3A9" wp14:editId="13FF713D">
            <wp:extent cx="2348393" cy="2130949"/>
            <wp:effectExtent l="0" t="0" r="0" b="317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368459" cy="2149157"/>
                    </a:xfrm>
                    <a:prstGeom prst="rect">
                      <a:avLst/>
                    </a:prstGeom>
                  </pic:spPr>
                </pic:pic>
              </a:graphicData>
            </a:graphic>
          </wp:inline>
        </w:drawing>
      </w:r>
    </w:p>
    <w:p w:rsidR="00913429" w:rsidRDefault="00E143F0">
      <w:pPr>
        <w:pStyle w:val="Caption"/>
        <w:jc w:val="center"/>
        <w:rPr>
          <w:noProof/>
        </w:rPr>
      </w:pPr>
      <w:r>
        <w:rPr>
          <w:noProof/>
        </w:rPr>
        <w:t>Figure - Analysts Growth For</w:t>
      </w:r>
      <w:r>
        <w:rPr>
          <w:noProof/>
        </w:rPr>
        <w:t>ecast</w:t>
      </w:r>
    </w:p>
    <w:p w:rsidR="00913429" w:rsidRDefault="00913429">
      <w:pPr>
        <w:rPr>
          <w:noProof/>
        </w:rPr>
      </w:pPr>
    </w:p>
    <w:p w:rsidR="00913429" w:rsidRDefault="00E143F0">
      <w:pPr>
        <w:jc w:val="both"/>
        <w:rPr>
          <w:noProof/>
        </w:rPr>
      </w:pPr>
      <w:r>
        <w:rPr>
          <w:noProof/>
        </w:rPr>
        <w:t xml:space="preserve">To measure the degree of innovation, the study has adopted market (demand for) innovation as an appropriate and quantifiable measure of performance. This is applied by country and by product / service. Standard metrics, taken from industry practice </w:t>
      </w:r>
      <w:r>
        <w:rPr>
          <w:noProof/>
        </w:rPr>
        <w:t>and collected from a wide variety of industry sources, include:</w:t>
      </w:r>
    </w:p>
    <w:p w:rsidR="00913429" w:rsidRDefault="00E143F0">
      <w:pPr>
        <w:pStyle w:val="ListParagraph"/>
        <w:numPr>
          <w:ilvl w:val="0"/>
          <w:numId w:val="112"/>
        </w:numPr>
        <w:jc w:val="both"/>
        <w:rPr>
          <w:noProof/>
          <w:lang w:val="en-GB"/>
        </w:rPr>
      </w:pPr>
      <w:r>
        <w:rPr>
          <w:noProof/>
          <w:lang w:val="en-GB"/>
        </w:rPr>
        <w:t>Number new products/services per annum (pull)</w:t>
      </w:r>
    </w:p>
    <w:p w:rsidR="00913429" w:rsidRDefault="00E143F0">
      <w:pPr>
        <w:pStyle w:val="ListParagraph"/>
        <w:numPr>
          <w:ilvl w:val="0"/>
          <w:numId w:val="112"/>
        </w:numPr>
        <w:jc w:val="both"/>
        <w:rPr>
          <w:noProof/>
          <w:lang w:val="en-GB"/>
        </w:rPr>
      </w:pPr>
      <w:r>
        <w:rPr>
          <w:noProof/>
          <w:lang w:val="en-GB"/>
        </w:rPr>
        <w:t>Value of new products/services per annum (pull)</w:t>
      </w:r>
    </w:p>
    <w:p w:rsidR="00913429" w:rsidRDefault="00E143F0">
      <w:pPr>
        <w:pStyle w:val="ListParagraph"/>
        <w:numPr>
          <w:ilvl w:val="0"/>
          <w:numId w:val="112"/>
        </w:numPr>
        <w:jc w:val="both"/>
        <w:rPr>
          <w:noProof/>
          <w:lang w:val="en-GB"/>
        </w:rPr>
      </w:pPr>
      <w:r>
        <w:rPr>
          <w:noProof/>
          <w:lang w:val="en-GB"/>
        </w:rPr>
        <w:t>New product as % of total sales (pull)</w:t>
      </w:r>
    </w:p>
    <w:p w:rsidR="00913429" w:rsidRDefault="00E143F0">
      <w:pPr>
        <w:pStyle w:val="ListParagraph"/>
        <w:numPr>
          <w:ilvl w:val="0"/>
          <w:numId w:val="112"/>
        </w:numPr>
        <w:jc w:val="both"/>
        <w:rPr>
          <w:noProof/>
          <w:lang w:val="en-GB"/>
        </w:rPr>
      </w:pPr>
      <w:r>
        <w:rPr>
          <w:noProof/>
          <w:lang w:val="en-GB"/>
        </w:rPr>
        <w:t>Average investment in R&amp;D per annum (push)</w:t>
      </w:r>
    </w:p>
    <w:p w:rsidR="00913429" w:rsidRDefault="00E143F0">
      <w:pPr>
        <w:keepNext/>
        <w:spacing w:after="0"/>
        <w:rPr>
          <w:noProof/>
        </w:rPr>
      </w:pPr>
      <w:r>
        <w:rPr>
          <w:noProof/>
          <w:lang w:eastAsia="en-GB"/>
        </w:rPr>
        <w:drawing>
          <wp:inline distT="0" distB="0" distL="0" distR="0" wp14:anchorId="49A7F8A4" wp14:editId="4BFA905B">
            <wp:extent cx="6106795" cy="4246245"/>
            <wp:effectExtent l="0" t="0" r="8255" b="190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106795" cy="4246245"/>
                    </a:xfrm>
                    <a:prstGeom prst="rect">
                      <a:avLst/>
                    </a:prstGeom>
                  </pic:spPr>
                </pic:pic>
              </a:graphicData>
            </a:graphic>
          </wp:inline>
        </w:drawing>
      </w:r>
    </w:p>
    <w:p w:rsidR="00913429" w:rsidRDefault="00E143F0">
      <w:pPr>
        <w:pStyle w:val="Caption"/>
        <w:spacing w:after="360"/>
        <w:jc w:val="center"/>
        <w:rPr>
          <w:noProof/>
        </w:rPr>
      </w:pPr>
      <w:r>
        <w:rPr>
          <w:noProof/>
        </w:rPr>
        <w:t xml:space="preserve">Figure - </w:t>
      </w:r>
      <w:r>
        <w:rPr>
          <w:noProof/>
        </w:rPr>
        <w:t>Country Cyber Innovations - Whole Sector</w:t>
      </w:r>
    </w:p>
    <w:p w:rsidR="00913429" w:rsidRDefault="00E143F0">
      <w:pPr>
        <w:spacing w:after="0" w:line="240" w:lineRule="auto"/>
        <w:rPr>
          <w:b/>
          <w:noProof/>
        </w:rPr>
      </w:pPr>
      <w:r>
        <w:rPr>
          <w:b/>
          <w:noProof/>
        </w:rPr>
        <w:t>Graphic shows:</w:t>
      </w:r>
    </w:p>
    <w:p w:rsidR="00913429" w:rsidRDefault="00E143F0">
      <w:pPr>
        <w:pStyle w:val="ListParagraph"/>
        <w:numPr>
          <w:ilvl w:val="0"/>
          <w:numId w:val="113"/>
        </w:numPr>
        <w:spacing w:after="0"/>
        <w:rPr>
          <w:noProof/>
          <w:lang w:val="en-GB"/>
        </w:rPr>
      </w:pPr>
      <w:r>
        <w:rPr>
          <w:noProof/>
          <w:lang w:val="en-GB"/>
        </w:rPr>
        <w:t>Horizontal axis = new product as % of sales</w:t>
      </w:r>
    </w:p>
    <w:p w:rsidR="00913429" w:rsidRDefault="00E143F0">
      <w:pPr>
        <w:pStyle w:val="ListParagraph"/>
        <w:numPr>
          <w:ilvl w:val="0"/>
          <w:numId w:val="113"/>
        </w:numPr>
        <w:spacing w:after="0"/>
        <w:rPr>
          <w:noProof/>
          <w:lang w:val="en-GB"/>
        </w:rPr>
      </w:pPr>
      <w:r>
        <w:rPr>
          <w:noProof/>
          <w:lang w:val="en-GB"/>
        </w:rPr>
        <w:t>Vertical axis = new product per annum</w:t>
      </w:r>
    </w:p>
    <w:p w:rsidR="00913429" w:rsidRDefault="00E143F0">
      <w:pPr>
        <w:pStyle w:val="ListParagraph"/>
        <w:numPr>
          <w:ilvl w:val="0"/>
          <w:numId w:val="113"/>
        </w:numPr>
        <w:spacing w:after="120"/>
        <w:rPr>
          <w:noProof/>
          <w:lang w:val="en-GB"/>
        </w:rPr>
      </w:pPr>
      <w:r>
        <w:rPr>
          <w:noProof/>
          <w:lang w:val="en-GB"/>
        </w:rPr>
        <w:t>Bubble = value of new product sales</w:t>
      </w:r>
    </w:p>
    <w:p w:rsidR="00913429" w:rsidRDefault="00E143F0">
      <w:pPr>
        <w:spacing w:after="0"/>
        <w:rPr>
          <w:noProof/>
        </w:rPr>
      </w:pPr>
      <w:r>
        <w:rPr>
          <w:noProof/>
        </w:rPr>
        <w:t xml:space="preserve">Axis ranges are narrow at this aggregated level but extend (and are more </w:t>
      </w:r>
      <w:r>
        <w:rPr>
          <w:noProof/>
        </w:rPr>
        <w:t>meaningful) at the sub sector level.</w:t>
      </w:r>
    </w:p>
    <w:p w:rsidR="00913429" w:rsidRDefault="00913429">
      <w:pPr>
        <w:spacing w:after="0"/>
        <w:rPr>
          <w:noProof/>
        </w:rPr>
      </w:pPr>
    </w:p>
    <w:p w:rsidR="00913429" w:rsidRDefault="00E143F0">
      <w:pPr>
        <w:spacing w:after="0"/>
        <w:rPr>
          <w:noProof/>
        </w:rPr>
      </w:pPr>
      <w:r>
        <w:rPr>
          <w:noProof/>
        </w:rPr>
        <w:t xml:space="preserve">The cybersecurity market has also been analysed by looking at the import and export flows of cybersecurity products. </w:t>
      </w:r>
    </w:p>
    <w:p w:rsidR="00913429" w:rsidRDefault="00E143F0">
      <w:pPr>
        <w:spacing w:after="0"/>
        <w:rPr>
          <w:noProof/>
        </w:rPr>
      </w:pPr>
      <w:r>
        <w:rPr>
          <w:noProof/>
        </w:rPr>
        <w:t>In 2016, the first country that exported the largest quantity of cybersecurity products is China. Th</w:t>
      </w:r>
      <w:r>
        <w:rPr>
          <w:noProof/>
        </w:rPr>
        <w:t>e analysis shows that four EU countries fall within the top 12 exporters of Cybersecurity products.</w:t>
      </w:r>
    </w:p>
    <w:p w:rsidR="00913429" w:rsidRDefault="00E143F0">
      <w:pPr>
        <w:keepNext/>
        <w:spacing w:after="0"/>
        <w:rPr>
          <w:noProof/>
        </w:rPr>
      </w:pPr>
      <w:r>
        <w:rPr>
          <w:noProof/>
          <w:lang w:eastAsia="en-GB"/>
        </w:rPr>
        <w:drawing>
          <wp:inline distT="0" distB="0" distL="0" distR="0" wp14:anchorId="6680D8A9" wp14:editId="7804B0EB">
            <wp:extent cx="6097290" cy="1916264"/>
            <wp:effectExtent l="0" t="0" r="0" b="825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141379" cy="1930120"/>
                    </a:xfrm>
                    <a:prstGeom prst="rect">
                      <a:avLst/>
                    </a:prstGeom>
                  </pic:spPr>
                </pic:pic>
              </a:graphicData>
            </a:graphic>
          </wp:inline>
        </w:drawing>
      </w:r>
    </w:p>
    <w:p w:rsidR="00913429" w:rsidRDefault="00E143F0">
      <w:pPr>
        <w:pStyle w:val="Caption"/>
        <w:spacing w:after="240"/>
        <w:jc w:val="center"/>
        <w:rPr>
          <w:noProof/>
        </w:rPr>
      </w:pPr>
      <w:r>
        <w:rPr>
          <w:noProof/>
        </w:rPr>
        <w:t>Figure - Top 12 Exporters (EURm)</w:t>
      </w:r>
    </w:p>
    <w:p w:rsidR="00913429" w:rsidRDefault="00E143F0">
      <w:pPr>
        <w:keepNext/>
        <w:spacing w:after="120"/>
        <w:rPr>
          <w:noProof/>
        </w:rPr>
      </w:pPr>
      <w:r>
        <w:rPr>
          <w:noProof/>
          <w:lang w:eastAsia="en-GB"/>
        </w:rPr>
        <w:drawing>
          <wp:inline distT="0" distB="0" distL="0" distR="0" wp14:anchorId="67042C4B" wp14:editId="26241BEE">
            <wp:extent cx="6106795" cy="1852654"/>
            <wp:effectExtent l="0" t="0" r="825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119824" cy="1856607"/>
                    </a:xfrm>
                    <a:prstGeom prst="rect">
                      <a:avLst/>
                    </a:prstGeom>
                  </pic:spPr>
                </pic:pic>
              </a:graphicData>
            </a:graphic>
          </wp:inline>
        </w:drawing>
      </w:r>
    </w:p>
    <w:p w:rsidR="00913429" w:rsidRDefault="00E143F0">
      <w:pPr>
        <w:pStyle w:val="Caption"/>
        <w:spacing w:after="240"/>
        <w:jc w:val="center"/>
        <w:rPr>
          <w:noProof/>
        </w:rPr>
      </w:pPr>
      <w:r>
        <w:rPr>
          <w:noProof/>
        </w:rPr>
        <w:t>Figure - Export Destinations</w:t>
      </w:r>
    </w:p>
    <w:p w:rsidR="00913429" w:rsidRDefault="00E143F0">
      <w:pPr>
        <w:spacing w:after="120"/>
        <w:rPr>
          <w:noProof/>
        </w:rPr>
      </w:pPr>
      <w:r>
        <w:rPr>
          <w:noProof/>
        </w:rPr>
        <w:t>In the end, looking at the market import side, the highest value importers are Germany, Fr</w:t>
      </w:r>
      <w:r>
        <w:rPr>
          <w:noProof/>
        </w:rPr>
        <w:t>ance and Italy.</w:t>
      </w:r>
    </w:p>
    <w:p w:rsidR="00913429" w:rsidRDefault="00E143F0">
      <w:pPr>
        <w:keepNext/>
        <w:spacing w:after="0"/>
        <w:jc w:val="center"/>
        <w:rPr>
          <w:noProof/>
        </w:rPr>
      </w:pPr>
      <w:r>
        <w:rPr>
          <w:noProof/>
          <w:lang w:eastAsia="en-GB"/>
        </w:rPr>
        <w:drawing>
          <wp:inline distT="0" distB="0" distL="0" distR="0" wp14:anchorId="52503567" wp14:editId="6A1D963E">
            <wp:extent cx="3458818" cy="3694430"/>
            <wp:effectExtent l="0" t="0" r="8890" b="127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r="1571"/>
                    <a:stretch/>
                  </pic:blipFill>
                  <pic:spPr bwMode="auto">
                    <a:xfrm>
                      <a:off x="0" y="0"/>
                      <a:ext cx="3478046" cy="3714968"/>
                    </a:xfrm>
                    <a:prstGeom prst="rect">
                      <a:avLst/>
                    </a:prstGeom>
                    <a:ln>
                      <a:noFill/>
                    </a:ln>
                    <a:extLst>
                      <a:ext uri="{53640926-AAD7-44D8-BBD7-CCE9431645EC}">
                        <a14:shadowObscured xmlns:a14="http://schemas.microsoft.com/office/drawing/2010/main"/>
                      </a:ext>
                    </a:extLst>
                  </pic:spPr>
                </pic:pic>
              </a:graphicData>
            </a:graphic>
          </wp:inline>
        </w:drawing>
      </w:r>
    </w:p>
    <w:p w:rsidR="00913429" w:rsidRDefault="00E143F0">
      <w:pPr>
        <w:pStyle w:val="Caption"/>
        <w:jc w:val="center"/>
        <w:rPr>
          <w:noProof/>
          <w:lang w:val="fr-FR"/>
        </w:rPr>
      </w:pPr>
      <w:r>
        <w:rPr>
          <w:noProof/>
          <w:lang w:val="fr-FR"/>
        </w:rPr>
        <w:t xml:space="preserve">Figura </w:t>
      </w:r>
      <w:r>
        <w:rPr>
          <w:noProof/>
        </w:rPr>
        <w:fldChar w:fldCharType="begin"/>
      </w:r>
      <w:r>
        <w:rPr>
          <w:noProof/>
          <w:lang w:val="fr-FR"/>
        </w:rPr>
        <w:instrText xml:space="preserve"> SEQ Figura \* ARABIC </w:instrText>
      </w:r>
      <w:r>
        <w:rPr>
          <w:noProof/>
        </w:rPr>
        <w:fldChar w:fldCharType="separate"/>
      </w:r>
      <w:r>
        <w:rPr>
          <w:noProof/>
          <w:lang w:val="fr-FR"/>
        </w:rPr>
        <w:t>1</w:t>
      </w:r>
      <w:r>
        <w:rPr>
          <w:noProof/>
        </w:rPr>
        <w:fldChar w:fldCharType="end"/>
      </w:r>
      <w:r>
        <w:rPr>
          <w:noProof/>
          <w:lang w:val="fr-FR"/>
        </w:rPr>
        <w:t xml:space="preserve"> - EU Cyber Imports</w:t>
      </w:r>
    </w:p>
    <w:p w:rsidR="00913429" w:rsidRDefault="00E143F0">
      <w:pPr>
        <w:spacing w:after="0" w:line="240" w:lineRule="auto"/>
        <w:rPr>
          <w:noProof/>
          <w:lang w:val="fr-FR"/>
        </w:rPr>
      </w:pPr>
      <w:r>
        <w:rPr>
          <w:noProof/>
          <w:lang w:val="fr-FR"/>
        </w:rPr>
        <w:br w:type="page"/>
      </w:r>
    </w:p>
    <w:p w:rsidR="00913429" w:rsidRDefault="00E143F0">
      <w:pPr>
        <w:pStyle w:val="ListParagraph"/>
        <w:keepNext/>
        <w:keepLines/>
        <w:numPr>
          <w:ilvl w:val="1"/>
          <w:numId w:val="93"/>
        </w:numPr>
        <w:tabs>
          <w:tab w:val="left" w:pos="993"/>
        </w:tabs>
        <w:spacing w:after="120"/>
        <w:ind w:right="-23"/>
        <w:outlineLvl w:val="1"/>
        <w:rPr>
          <w:rFonts w:eastAsia="SimHei"/>
          <w:b/>
          <w:bCs/>
          <w:i/>
          <w:noProof/>
          <w:color w:val="DC6900"/>
          <w:sz w:val="32"/>
          <w:szCs w:val="26"/>
          <w:lang w:val="en-GB"/>
        </w:rPr>
      </w:pPr>
      <w:bookmarkStart w:id="85" w:name="_Toc492396564"/>
      <w:r>
        <w:rPr>
          <w:rFonts w:eastAsia="SimHei"/>
          <w:b/>
          <w:bCs/>
          <w:i/>
          <w:noProof/>
          <w:color w:val="DC6900"/>
          <w:sz w:val="32"/>
          <w:szCs w:val="26"/>
          <w:lang w:val="en-GB"/>
        </w:rPr>
        <w:t>Case Study – “The impact of an EU wide Certification Scheme on Smart-Meter Industry”</w:t>
      </w:r>
      <w:bookmarkEnd w:id="85"/>
    </w:p>
    <w:p w:rsidR="00913429" w:rsidRDefault="00913429">
      <w:pPr>
        <w:spacing w:after="120"/>
        <w:jc w:val="both"/>
        <w:rPr>
          <w:b/>
          <w:noProof/>
        </w:rPr>
      </w:pPr>
    </w:p>
    <w:tbl>
      <w:tblPr>
        <w:tblStyle w:val="MediumList2-Accent6"/>
        <w:tblW w:w="0" w:type="auto"/>
        <w:tblLook w:val="04A0" w:firstRow="1" w:lastRow="0" w:firstColumn="1" w:lastColumn="0" w:noHBand="0" w:noVBand="1"/>
      </w:tblPr>
      <w:tblGrid>
        <w:gridCol w:w="9834"/>
      </w:tblGrid>
      <w:tr w:rsidR="00913429" w:rsidTr="0091342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834" w:type="dxa"/>
          </w:tcPr>
          <w:p w:rsidR="00913429" w:rsidRDefault="00E143F0">
            <w:pPr>
              <w:spacing w:after="120"/>
              <w:jc w:val="center"/>
              <w:rPr>
                <w:b/>
                <w:noProof/>
              </w:rPr>
            </w:pPr>
            <w:r>
              <w:rPr>
                <w:b/>
                <w:noProof/>
              </w:rPr>
              <w:t xml:space="preserve">A smart-meter company, which wants to sell its products </w:t>
            </w:r>
            <w:r>
              <w:rPr>
                <w:b/>
                <w:noProof/>
              </w:rPr>
              <w:br/>
              <w:t>in two Member States e.g. France and UK.</w:t>
            </w:r>
          </w:p>
          <w:p w:rsidR="00913429" w:rsidRDefault="00913429">
            <w:pPr>
              <w:spacing w:after="120"/>
              <w:jc w:val="both"/>
              <w:rPr>
                <w:b/>
                <w:noProof/>
              </w:rPr>
            </w:pPr>
          </w:p>
        </w:tc>
      </w:tr>
    </w:tbl>
    <w:tbl>
      <w:tblPr>
        <w:tblStyle w:val="MediumList2-Accent62"/>
        <w:tblW w:w="0" w:type="auto"/>
        <w:tblLook w:val="04A0" w:firstRow="1" w:lastRow="0" w:firstColumn="1" w:lastColumn="0" w:noHBand="0" w:noVBand="1"/>
      </w:tblPr>
      <w:tblGrid>
        <w:gridCol w:w="1682"/>
        <w:gridCol w:w="4492"/>
        <w:gridCol w:w="3402"/>
      </w:tblGrid>
      <w:tr w:rsidR="00913429" w:rsidTr="00913429">
        <w:trPr>
          <w:cnfStyle w:val="100000000000" w:firstRow="1" w:lastRow="0" w:firstColumn="0" w:lastColumn="0" w:oddVBand="0" w:evenVBand="0" w:oddHBand="0" w:evenHBand="0" w:firstRowFirstColumn="0" w:firstRowLastColumn="0" w:lastRowFirstColumn="0" w:lastRowLastColumn="0"/>
          <w:trHeight w:val="251"/>
        </w:trPr>
        <w:tc>
          <w:tcPr>
            <w:cnfStyle w:val="001000000100" w:firstRow="0" w:lastRow="0" w:firstColumn="1" w:lastColumn="0" w:oddVBand="0" w:evenVBand="0" w:oddHBand="0" w:evenHBand="0" w:firstRowFirstColumn="1" w:firstRowLastColumn="0" w:lastRowFirstColumn="0" w:lastRowLastColumn="0"/>
            <w:tcW w:w="1682" w:type="dxa"/>
          </w:tcPr>
          <w:p w:rsidR="00913429" w:rsidRDefault="00913429">
            <w:pPr>
              <w:spacing w:after="120" w:line="240" w:lineRule="auto"/>
              <w:jc w:val="both"/>
              <w:rPr>
                <w:b/>
                <w:noProof/>
                <w:szCs w:val="22"/>
              </w:rPr>
            </w:pPr>
          </w:p>
        </w:tc>
        <w:tc>
          <w:tcPr>
            <w:tcW w:w="4492" w:type="dxa"/>
            <w:tcBorders>
              <w:right w:val="single" w:sz="4" w:space="0" w:color="auto"/>
            </w:tcBorders>
          </w:tcPr>
          <w:p w:rsidR="00913429" w:rsidRDefault="00E143F0">
            <w:pPr>
              <w:spacing w:after="120" w:line="240" w:lineRule="auto"/>
              <w:jc w:val="center"/>
              <w:cnfStyle w:val="100000000000" w:firstRow="1" w:lastRow="0" w:firstColumn="0" w:lastColumn="0" w:oddVBand="0" w:evenVBand="0" w:oddHBand="0" w:evenHBand="0" w:firstRowFirstColumn="0" w:firstRowLastColumn="0" w:lastRowFirstColumn="0" w:lastRowLastColumn="0"/>
              <w:rPr>
                <w:b/>
                <w:noProof/>
                <w:szCs w:val="22"/>
              </w:rPr>
            </w:pPr>
            <w:r>
              <w:rPr>
                <w:b/>
                <w:noProof/>
                <w:szCs w:val="22"/>
              </w:rPr>
              <w:t>Now</w:t>
            </w:r>
          </w:p>
        </w:tc>
        <w:tc>
          <w:tcPr>
            <w:tcW w:w="3402" w:type="dxa"/>
            <w:tcBorders>
              <w:left w:val="single" w:sz="4" w:space="0" w:color="auto"/>
            </w:tcBorders>
          </w:tcPr>
          <w:p w:rsidR="00913429" w:rsidRDefault="00E143F0">
            <w:pPr>
              <w:spacing w:after="120" w:line="240" w:lineRule="auto"/>
              <w:jc w:val="center"/>
              <w:cnfStyle w:val="100000000000" w:firstRow="1" w:lastRow="0" w:firstColumn="0" w:lastColumn="0" w:oddVBand="0" w:evenVBand="0" w:oddHBand="0" w:evenHBand="0" w:firstRowFirstColumn="0" w:firstRowLastColumn="0" w:lastRowFirstColumn="0" w:lastRowLastColumn="0"/>
              <w:rPr>
                <w:b/>
                <w:noProof/>
                <w:szCs w:val="22"/>
              </w:rPr>
            </w:pPr>
            <w:r>
              <w:rPr>
                <w:b/>
                <w:noProof/>
                <w:szCs w:val="22"/>
              </w:rPr>
              <w:t>Future</w:t>
            </w:r>
          </w:p>
        </w:tc>
      </w:tr>
      <w:tr w:rsidR="00913429" w:rsidTr="00913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dxa"/>
          </w:tcPr>
          <w:p w:rsidR="00913429" w:rsidRDefault="00913429">
            <w:pPr>
              <w:spacing w:after="120" w:line="240" w:lineRule="auto"/>
              <w:jc w:val="center"/>
              <w:rPr>
                <w:b/>
                <w:noProof/>
              </w:rPr>
            </w:pPr>
          </w:p>
          <w:p w:rsidR="00913429" w:rsidRDefault="00E143F0">
            <w:pPr>
              <w:spacing w:after="120" w:line="240" w:lineRule="auto"/>
              <w:jc w:val="center"/>
              <w:rPr>
                <w:b/>
                <w:noProof/>
              </w:rPr>
            </w:pPr>
            <w:r>
              <w:rPr>
                <w:b/>
                <w:noProof/>
              </w:rPr>
              <w:t>Requirements</w:t>
            </w:r>
          </w:p>
        </w:tc>
        <w:tc>
          <w:tcPr>
            <w:tcW w:w="4492" w:type="dxa"/>
            <w:tcBorders>
              <w:right w:val="single" w:sz="4" w:space="0" w:color="auto"/>
            </w:tcBorders>
          </w:tcPr>
          <w:p w:rsidR="00913429" w:rsidRDefault="00E143F0">
            <w:pPr>
              <w:numPr>
                <w:ilvl w:val="0"/>
                <w:numId w:val="135"/>
              </w:numPr>
              <w:spacing w:line="240" w:lineRule="auto"/>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2"/>
                <w:lang w:eastAsia="en-GB"/>
              </w:rPr>
            </w:pPr>
            <w:r>
              <w:rPr>
                <w:rFonts w:ascii="Times New Roman" w:hAnsi="Times New Roman"/>
                <w:noProof/>
                <w:sz w:val="22"/>
              </w:rPr>
              <w:t>I</w:t>
            </w:r>
            <w:r>
              <w:rPr>
                <w:rFonts w:ascii="Times New Roman" w:hAnsi="Times New Roman"/>
                <w:i/>
                <w:noProof/>
                <w:sz w:val="22"/>
                <w:lang w:eastAsia="en-GB"/>
              </w:rPr>
              <w:t>n order to sell in UK and France manufacturers have to certify against different schemes:</w:t>
            </w:r>
          </w:p>
          <w:p w:rsidR="00913429" w:rsidRDefault="00E143F0">
            <w:pPr>
              <w:pStyle w:val="ListParagraph"/>
              <w:numPr>
                <w:ilvl w:val="1"/>
                <w:numId w:val="135"/>
              </w:numPr>
              <w:spacing w:after="120"/>
              <w:ind w:left="108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2"/>
                <w:lang w:eastAsia="en-GB"/>
              </w:rPr>
            </w:pPr>
            <w:r>
              <w:rPr>
                <w:rFonts w:ascii="Times New Roman" w:hAnsi="Times New Roman"/>
                <w:i/>
                <w:noProof/>
                <w:sz w:val="22"/>
                <w:lang w:eastAsia="en-GB"/>
              </w:rPr>
              <w:t xml:space="preserve">CPA (Commercial Product Assurance) in UK, </w:t>
            </w:r>
          </w:p>
          <w:p w:rsidR="00913429" w:rsidRDefault="00E143F0">
            <w:pPr>
              <w:pStyle w:val="ListParagraph"/>
              <w:numPr>
                <w:ilvl w:val="1"/>
                <w:numId w:val="135"/>
              </w:numPr>
              <w:spacing w:after="120"/>
              <w:ind w:left="1080"/>
              <w:contextualSpacing w:val="0"/>
              <w:jc w:val="both"/>
              <w:cnfStyle w:val="000000100000" w:firstRow="0" w:lastRow="0" w:firstColumn="0" w:lastColumn="0" w:oddVBand="0" w:evenVBand="0" w:oddHBand="1" w:evenHBand="0" w:firstRowFirstColumn="0" w:firstRowLastColumn="0" w:lastRowFirstColumn="0" w:lastRowLastColumn="0"/>
              <w:rPr>
                <w:i/>
                <w:noProof/>
                <w:sz w:val="18"/>
                <w:lang w:val="fr-BE"/>
              </w:rPr>
            </w:pPr>
            <w:r>
              <w:rPr>
                <w:rFonts w:ascii="Times New Roman" w:hAnsi="Times New Roman"/>
                <w:i/>
                <w:noProof/>
                <w:sz w:val="22"/>
                <w:lang w:val="fr-BE" w:eastAsia="en-GB"/>
              </w:rPr>
              <w:t>CSPN (Certification de Sécurité de Premier Niveau) in France</w:t>
            </w:r>
          </w:p>
        </w:tc>
        <w:tc>
          <w:tcPr>
            <w:tcW w:w="3402" w:type="dxa"/>
            <w:tcBorders>
              <w:left w:val="single" w:sz="4" w:space="0" w:color="auto"/>
            </w:tcBorders>
          </w:tcPr>
          <w:p w:rsidR="00913429" w:rsidRDefault="00E143F0">
            <w:pPr>
              <w:pStyle w:val="ListParagraph"/>
              <w:numPr>
                <w:ilvl w:val="1"/>
                <w:numId w:val="135"/>
              </w:numPr>
              <w:spacing w:after="120"/>
              <w:ind w:left="360"/>
              <w:jc w:val="both"/>
              <w:cnfStyle w:val="000000100000" w:firstRow="0" w:lastRow="0" w:firstColumn="0" w:lastColumn="0" w:oddVBand="0" w:evenVBand="0" w:oddHBand="1" w:evenHBand="0" w:firstRowFirstColumn="0" w:firstRowLastColumn="0" w:lastRowFirstColumn="0" w:lastRowLastColumn="0"/>
              <w:rPr>
                <w:b/>
                <w:noProof/>
                <w:lang w:val="en-GB"/>
              </w:rPr>
            </w:pPr>
            <w:r>
              <w:rPr>
                <w:rFonts w:ascii="Times New Roman" w:hAnsi="Times New Roman"/>
                <w:noProof/>
                <w:sz w:val="22"/>
                <w:lang w:val="en-GB" w:eastAsia="en-GB"/>
              </w:rPr>
              <w:t xml:space="preserve">Manufacturers will need to </w:t>
            </w:r>
            <w:r>
              <w:rPr>
                <w:rFonts w:ascii="Times New Roman" w:hAnsi="Times New Roman"/>
                <w:noProof/>
                <w:sz w:val="22"/>
                <w:lang w:val="en-GB" w:eastAsia="en-GB"/>
              </w:rPr>
              <w:t>undergo a single certification process, as envisaged in the future European certification scheme for smart meters. The resulting certificate will be accepted by all public authorities in Member States.</w:t>
            </w:r>
            <w:r>
              <w:rPr>
                <w:rFonts w:ascii="Times New Roman" w:hAnsi="Times New Roman"/>
                <w:b/>
                <w:noProof/>
                <w:sz w:val="22"/>
                <w:lang w:val="en-GB" w:eastAsia="en-GB"/>
              </w:rPr>
              <w:t xml:space="preserve"> </w:t>
            </w:r>
          </w:p>
        </w:tc>
      </w:tr>
      <w:tr w:rsidR="00913429" w:rsidTr="00913429">
        <w:trPr>
          <w:trHeight w:val="2301"/>
        </w:trPr>
        <w:tc>
          <w:tcPr>
            <w:cnfStyle w:val="001000000000" w:firstRow="0" w:lastRow="0" w:firstColumn="1" w:lastColumn="0" w:oddVBand="0" w:evenVBand="0" w:oddHBand="0" w:evenHBand="0" w:firstRowFirstColumn="0" w:firstRowLastColumn="0" w:lastRowFirstColumn="0" w:lastRowLastColumn="0"/>
            <w:tcW w:w="1682" w:type="dxa"/>
          </w:tcPr>
          <w:p w:rsidR="00913429" w:rsidRDefault="00913429">
            <w:pPr>
              <w:spacing w:after="120" w:line="240" w:lineRule="auto"/>
              <w:jc w:val="center"/>
              <w:rPr>
                <w:b/>
                <w:noProof/>
              </w:rPr>
            </w:pPr>
          </w:p>
          <w:p w:rsidR="00913429" w:rsidRDefault="00913429">
            <w:pPr>
              <w:spacing w:after="120" w:line="240" w:lineRule="auto"/>
              <w:jc w:val="center"/>
              <w:rPr>
                <w:b/>
                <w:noProof/>
              </w:rPr>
            </w:pPr>
          </w:p>
          <w:p w:rsidR="00913429" w:rsidRDefault="00913429">
            <w:pPr>
              <w:spacing w:after="120" w:line="240" w:lineRule="auto"/>
              <w:jc w:val="center"/>
              <w:rPr>
                <w:b/>
                <w:noProof/>
              </w:rPr>
            </w:pPr>
          </w:p>
          <w:p w:rsidR="00913429" w:rsidRDefault="00913429">
            <w:pPr>
              <w:spacing w:after="120" w:line="240" w:lineRule="auto"/>
              <w:jc w:val="center"/>
              <w:rPr>
                <w:b/>
                <w:noProof/>
              </w:rPr>
            </w:pPr>
          </w:p>
          <w:p w:rsidR="00913429" w:rsidRDefault="00E143F0">
            <w:pPr>
              <w:spacing w:after="120" w:line="240" w:lineRule="auto"/>
              <w:jc w:val="center"/>
              <w:rPr>
                <w:b/>
                <w:noProof/>
              </w:rPr>
            </w:pPr>
            <w:r>
              <w:rPr>
                <w:b/>
                <w:noProof/>
              </w:rPr>
              <w:t>Cost</w:t>
            </w:r>
          </w:p>
        </w:tc>
        <w:tc>
          <w:tcPr>
            <w:tcW w:w="4492" w:type="dxa"/>
            <w:tcBorders>
              <w:right w:val="single" w:sz="4" w:space="0" w:color="auto"/>
            </w:tcBorders>
          </w:tcPr>
          <w:p w:rsidR="00913429" w:rsidRDefault="00E143F0">
            <w:pPr>
              <w:pStyle w:val="ListParagraph"/>
              <w:numPr>
                <w:ilvl w:val="0"/>
                <w:numId w:val="199"/>
              </w:numPr>
              <w:spacing w:after="120"/>
              <w:ind w:left="360"/>
              <w:jc w:val="both"/>
              <w:cnfStyle w:val="000000000000" w:firstRow="0" w:lastRow="0" w:firstColumn="0" w:lastColumn="0" w:oddVBand="0" w:evenVBand="0" w:oddHBand="0" w:evenHBand="0" w:firstRowFirstColumn="0" w:firstRowLastColumn="0" w:lastRowFirstColumn="0" w:lastRowLastColumn="0"/>
              <w:rPr>
                <w:noProof/>
                <w:lang w:val="en-GB"/>
              </w:rPr>
            </w:pPr>
            <w:r>
              <w:rPr>
                <w:rFonts w:ascii="Times New Roman" w:hAnsi="Times New Roman"/>
                <w:noProof/>
                <w:sz w:val="22"/>
                <w:lang w:val="en-GB" w:eastAsia="en-GB"/>
              </w:rPr>
              <w:t>The overall cost is at least 300</w:t>
            </w:r>
            <w:r>
              <w:rPr>
                <w:rFonts w:ascii="Times New Roman" w:hAnsi="Times New Roman"/>
                <w:noProof/>
                <w:sz w:val="22"/>
                <w:lang w:val="en-GB"/>
              </w:rPr>
              <w:t xml:space="preserve"> </w:t>
            </w:r>
            <w:r>
              <w:rPr>
                <w:rFonts w:ascii="Times New Roman" w:hAnsi="Times New Roman"/>
                <w:noProof/>
                <w:sz w:val="22"/>
                <w:lang w:val="en-GB" w:eastAsia="en-GB"/>
              </w:rPr>
              <w:t xml:space="preserve">thousand euros for the two markets (about 150 thousand euro in UK and about 150 thousand euros in France). </w:t>
            </w:r>
            <w:r>
              <w:rPr>
                <w:rFonts w:ascii="Times New Roman" w:hAnsi="Times New Roman"/>
                <w:noProof/>
                <w:sz w:val="22"/>
                <w:lang w:val="en-GB"/>
              </w:rPr>
              <w:t xml:space="preserve"> </w:t>
            </w:r>
          </w:p>
        </w:tc>
        <w:tc>
          <w:tcPr>
            <w:tcW w:w="3402" w:type="dxa"/>
            <w:tcBorders>
              <w:left w:val="single" w:sz="4" w:space="0" w:color="auto"/>
            </w:tcBorders>
          </w:tcPr>
          <w:p w:rsidR="00913429" w:rsidRDefault="00E143F0">
            <w:pPr>
              <w:pStyle w:val="ListParagraph"/>
              <w:numPr>
                <w:ilvl w:val="0"/>
                <w:numId w:val="199"/>
              </w:numPr>
              <w:spacing w:after="0"/>
              <w:ind w:left="360"/>
              <w:jc w:val="both"/>
              <w:cnfStyle w:val="000000000000" w:firstRow="0" w:lastRow="0" w:firstColumn="0" w:lastColumn="0" w:oddVBand="0" w:evenVBand="0" w:oddHBand="0" w:evenHBand="0" w:firstRowFirstColumn="0" w:firstRowLastColumn="0" w:lastRowFirstColumn="0" w:lastRowLastColumn="0"/>
              <w:rPr>
                <w:b/>
                <w:noProof/>
                <w:lang w:val="en-US"/>
              </w:rPr>
            </w:pPr>
            <w:r>
              <w:rPr>
                <w:rFonts w:ascii="Times New Roman" w:hAnsi="Times New Roman"/>
                <w:noProof/>
                <w:sz w:val="22"/>
                <w:lang w:val="en-US" w:eastAsia="en-GB"/>
              </w:rPr>
              <w:t>The estimation of</w:t>
            </w:r>
            <w:r>
              <w:rPr>
                <w:rFonts w:ascii="Times New Roman" w:hAnsi="Times New Roman"/>
                <w:noProof/>
                <w:sz w:val="22"/>
                <w:lang w:val="en-GB" w:eastAsia="en-GB"/>
              </w:rPr>
              <w:t xml:space="preserve"> </w:t>
            </w:r>
            <w:r>
              <w:rPr>
                <w:rFonts w:ascii="Times New Roman" w:hAnsi="Times New Roman"/>
                <w:noProof/>
                <w:sz w:val="22"/>
                <w:lang w:val="en" w:eastAsia="en-GB"/>
              </w:rPr>
              <w:t xml:space="preserve">costs saving ranges up </w:t>
            </w:r>
            <w:r>
              <w:rPr>
                <w:rFonts w:ascii="Times New Roman" w:hAnsi="Times New Roman"/>
                <w:b/>
                <w:noProof/>
                <w:sz w:val="22"/>
                <w:lang w:val="en" w:eastAsia="en-GB"/>
              </w:rPr>
              <w:t>to 80% of current costs</w:t>
            </w:r>
          </w:p>
        </w:tc>
      </w:tr>
      <w:tr w:rsidR="00913429" w:rsidTr="00913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dxa"/>
          </w:tcPr>
          <w:p w:rsidR="00913429" w:rsidRDefault="00913429">
            <w:pPr>
              <w:spacing w:after="120" w:line="240" w:lineRule="auto"/>
              <w:jc w:val="center"/>
              <w:rPr>
                <w:b/>
                <w:noProof/>
              </w:rPr>
            </w:pPr>
          </w:p>
          <w:p w:rsidR="00913429" w:rsidRDefault="00E143F0">
            <w:pPr>
              <w:spacing w:after="120" w:line="240" w:lineRule="auto"/>
              <w:jc w:val="center"/>
              <w:rPr>
                <w:b/>
                <w:noProof/>
              </w:rPr>
            </w:pPr>
            <w:r>
              <w:rPr>
                <w:b/>
                <w:noProof/>
              </w:rPr>
              <w:t>Time</w:t>
            </w:r>
          </w:p>
        </w:tc>
        <w:tc>
          <w:tcPr>
            <w:tcW w:w="4492" w:type="dxa"/>
            <w:tcBorders>
              <w:right w:val="single" w:sz="4" w:space="0" w:color="auto"/>
            </w:tcBorders>
          </w:tcPr>
          <w:p w:rsidR="00913429" w:rsidRDefault="00E143F0">
            <w:pPr>
              <w:numPr>
                <w:ilvl w:val="0"/>
                <w:numId w:val="150"/>
              </w:num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2"/>
                <w:lang w:eastAsia="en-GB"/>
              </w:rPr>
            </w:pPr>
            <w:r>
              <w:rPr>
                <w:rFonts w:ascii="Times New Roman" w:hAnsi="Times New Roman"/>
                <w:b/>
                <w:noProof/>
                <w:sz w:val="22"/>
                <w:lang w:eastAsia="en-GB"/>
              </w:rPr>
              <w:t xml:space="preserve">6 to 18 months. </w:t>
            </w:r>
            <w:r>
              <w:rPr>
                <w:rFonts w:ascii="Times New Roman" w:hAnsi="Times New Roman"/>
                <w:noProof/>
                <w:sz w:val="22"/>
                <w:lang w:eastAsia="en-GB"/>
              </w:rPr>
              <w:t>This estimate takes into account:</w:t>
            </w:r>
          </w:p>
          <w:p w:rsidR="00913429" w:rsidRDefault="00E143F0">
            <w:pPr>
              <w:numPr>
                <w:ilvl w:val="1"/>
                <w:numId w:val="150"/>
              </w:num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2"/>
                <w:lang w:eastAsia="en-GB"/>
              </w:rPr>
            </w:pPr>
            <w:r>
              <w:rPr>
                <w:rFonts w:ascii="Times New Roman" w:hAnsi="Times New Roman"/>
                <w:noProof/>
                <w:sz w:val="22"/>
                <w:lang w:eastAsia="en-GB"/>
              </w:rPr>
              <w:t xml:space="preserve">Completion of multiple  </w:t>
            </w:r>
            <w:r>
              <w:rPr>
                <w:rFonts w:ascii="Times New Roman" w:hAnsi="Times New Roman"/>
                <w:noProof/>
                <w:sz w:val="22"/>
                <w:lang w:eastAsia="en-GB"/>
              </w:rPr>
              <w:t>certifications processes and supporting documentation</w:t>
            </w:r>
          </w:p>
          <w:p w:rsidR="00913429" w:rsidRDefault="00E143F0">
            <w:pPr>
              <w:numPr>
                <w:ilvl w:val="1"/>
                <w:numId w:val="150"/>
              </w:num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2"/>
                <w:lang w:eastAsia="en-GB"/>
              </w:rPr>
            </w:pPr>
            <w:r>
              <w:rPr>
                <w:rFonts w:ascii="Times New Roman" w:hAnsi="Times New Roman"/>
                <w:b/>
                <w:noProof/>
                <w:sz w:val="22"/>
                <w:lang w:eastAsia="en-GB"/>
              </w:rPr>
              <w:t xml:space="preserve"> </w:t>
            </w:r>
            <w:r>
              <w:rPr>
                <w:rFonts w:ascii="Times New Roman" w:hAnsi="Times New Roman"/>
                <w:noProof/>
                <w:sz w:val="22"/>
                <w:lang w:eastAsia="en-GB"/>
              </w:rPr>
              <w:t>Identification of various requirements that a vendors needs to comply with.</w:t>
            </w:r>
          </w:p>
          <w:p w:rsidR="00913429" w:rsidRDefault="00E143F0">
            <w:pPr>
              <w:numPr>
                <w:ilvl w:val="1"/>
                <w:numId w:val="150"/>
              </w:num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2"/>
                <w:lang w:eastAsia="en-GB"/>
              </w:rPr>
            </w:pPr>
            <w:r>
              <w:rPr>
                <w:rFonts w:ascii="Times New Roman" w:hAnsi="Times New Roman"/>
                <w:noProof/>
                <w:sz w:val="22"/>
                <w:lang w:eastAsia="en-GB"/>
              </w:rPr>
              <w:t>limited</w:t>
            </w:r>
            <w:r>
              <w:rPr>
                <w:rFonts w:ascii="Times New Roman" w:hAnsi="Times New Roman"/>
                <w:b/>
                <w:noProof/>
                <w:sz w:val="22"/>
                <w:lang w:eastAsia="en-GB"/>
              </w:rPr>
              <w:t xml:space="preserve"> </w:t>
            </w:r>
            <w:r>
              <w:rPr>
                <w:rFonts w:ascii="Times New Roman" w:hAnsi="Times New Roman"/>
                <w:noProof/>
                <w:sz w:val="22"/>
                <w:lang w:eastAsia="en-GB"/>
              </w:rPr>
              <w:t>number of conformity assessment bodies able to certify against the requirements of different schemes.</w:t>
            </w:r>
          </w:p>
          <w:p w:rsidR="00913429" w:rsidRDefault="00913429">
            <w:pPr>
              <w:spacing w:after="120" w:line="240" w:lineRule="auto"/>
              <w:ind w:left="360"/>
              <w:contextualSpacing/>
              <w:jc w:val="both"/>
              <w:cnfStyle w:val="000000100000" w:firstRow="0" w:lastRow="0" w:firstColumn="0" w:lastColumn="0" w:oddVBand="0" w:evenVBand="0" w:oddHBand="1" w:evenHBand="0" w:firstRowFirstColumn="0" w:firstRowLastColumn="0" w:lastRowFirstColumn="0" w:lastRowLastColumn="0"/>
              <w:rPr>
                <w:b/>
                <w:noProof/>
              </w:rPr>
            </w:pPr>
          </w:p>
        </w:tc>
        <w:tc>
          <w:tcPr>
            <w:tcW w:w="3402" w:type="dxa"/>
            <w:tcBorders>
              <w:left w:val="single" w:sz="4" w:space="0" w:color="auto"/>
            </w:tcBorders>
          </w:tcPr>
          <w:p w:rsidR="00913429" w:rsidRDefault="00E143F0">
            <w:pPr>
              <w:numPr>
                <w:ilvl w:val="0"/>
                <w:numId w:val="150"/>
              </w:num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2"/>
                <w:lang w:eastAsia="en-GB"/>
              </w:rPr>
            </w:pPr>
            <w:r>
              <w:rPr>
                <w:rFonts w:ascii="Times New Roman" w:hAnsi="Times New Roman"/>
                <w:b/>
                <w:noProof/>
                <w:sz w:val="22"/>
                <w:lang w:eastAsia="en-GB"/>
              </w:rPr>
              <w:t>Faster process</w:t>
            </w:r>
            <w:r>
              <w:rPr>
                <w:rFonts w:ascii="Times New Roman" w:hAnsi="Times New Roman"/>
                <w:noProof/>
                <w:sz w:val="22"/>
                <w:lang w:eastAsia="en-GB"/>
              </w:rPr>
              <w:t xml:space="preserve"> that takes into account:</w:t>
            </w:r>
          </w:p>
          <w:p w:rsidR="00913429" w:rsidRDefault="00E143F0">
            <w:pPr>
              <w:numPr>
                <w:ilvl w:val="1"/>
                <w:numId w:val="150"/>
              </w:numPr>
              <w:spacing w:line="240" w:lineRule="auto"/>
              <w:ind w:left="707" w:hanging="283"/>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2"/>
                <w:lang w:eastAsia="en-GB"/>
              </w:rPr>
            </w:pPr>
            <w:r>
              <w:rPr>
                <w:rFonts w:ascii="Times New Roman" w:hAnsi="Times New Roman"/>
                <w:noProof/>
                <w:sz w:val="22"/>
                <w:lang w:eastAsia="en-GB"/>
              </w:rPr>
              <w:t>Role of ENISA that provides information needed for compliance with the European scheme (e.g. specialised conformity assessment; documentation)</w:t>
            </w:r>
          </w:p>
          <w:p w:rsidR="00913429" w:rsidRDefault="00E143F0">
            <w:pPr>
              <w:spacing w:after="120" w:line="240" w:lineRule="auto"/>
              <w:contextualSpacing/>
              <w:jc w:val="both"/>
              <w:cnfStyle w:val="000000100000" w:firstRow="0" w:lastRow="0" w:firstColumn="0" w:lastColumn="0" w:oddVBand="0" w:evenVBand="0" w:oddHBand="1" w:evenHBand="0" w:firstRowFirstColumn="0" w:firstRowLastColumn="0" w:lastRowFirstColumn="0" w:lastRowLastColumn="0"/>
              <w:rPr>
                <w:noProof/>
              </w:rPr>
            </w:pPr>
            <w:r>
              <w:rPr>
                <w:rFonts w:ascii="Times New Roman" w:hAnsi="Times New Roman"/>
                <w:noProof/>
                <w:sz w:val="22"/>
                <w:lang w:eastAsia="en-GB"/>
              </w:rPr>
              <w:t xml:space="preserve">Completion of single process : no multiple certifications are needed and capacities of </w:t>
            </w:r>
            <w:r>
              <w:rPr>
                <w:rFonts w:ascii="Times New Roman" w:hAnsi="Times New Roman"/>
                <w:noProof/>
                <w:sz w:val="22"/>
                <w:lang w:eastAsia="en-GB"/>
              </w:rPr>
              <w:t>existing CABs can be used more efficiently</w:t>
            </w:r>
          </w:p>
        </w:tc>
      </w:tr>
      <w:tr w:rsidR="00913429" w:rsidTr="00913429">
        <w:tc>
          <w:tcPr>
            <w:cnfStyle w:val="001000000000" w:firstRow="0" w:lastRow="0" w:firstColumn="1" w:lastColumn="0" w:oddVBand="0" w:evenVBand="0" w:oddHBand="0" w:evenHBand="0" w:firstRowFirstColumn="0" w:firstRowLastColumn="0" w:lastRowFirstColumn="0" w:lastRowLastColumn="0"/>
            <w:tcW w:w="1682" w:type="dxa"/>
          </w:tcPr>
          <w:p w:rsidR="00913429" w:rsidRDefault="00913429">
            <w:pPr>
              <w:spacing w:after="120" w:line="240" w:lineRule="auto"/>
              <w:jc w:val="center"/>
              <w:rPr>
                <w:b/>
                <w:noProof/>
              </w:rPr>
            </w:pPr>
          </w:p>
          <w:p w:rsidR="00913429" w:rsidRDefault="00E143F0">
            <w:pPr>
              <w:spacing w:after="120" w:line="240" w:lineRule="auto"/>
              <w:jc w:val="center"/>
              <w:rPr>
                <w:b/>
                <w:noProof/>
              </w:rPr>
            </w:pPr>
            <w:r>
              <w:rPr>
                <w:b/>
                <w:noProof/>
              </w:rPr>
              <w:t xml:space="preserve">Other </w:t>
            </w:r>
          </w:p>
        </w:tc>
        <w:tc>
          <w:tcPr>
            <w:tcW w:w="4492" w:type="dxa"/>
            <w:tcBorders>
              <w:right w:val="single" w:sz="4" w:space="0" w:color="auto"/>
            </w:tcBorders>
          </w:tcPr>
          <w:p w:rsidR="00913429" w:rsidRDefault="00E143F0">
            <w:pPr>
              <w:spacing w:after="120" w:line="240" w:lineRule="auto"/>
              <w:contextualSpacing/>
              <w:jc w:val="both"/>
              <w:cnfStyle w:val="000000000000" w:firstRow="0" w:lastRow="0" w:firstColumn="0" w:lastColumn="0" w:oddVBand="0" w:evenVBand="0" w:oddHBand="0" w:evenHBand="0" w:firstRowFirstColumn="0" w:firstRowLastColumn="0" w:lastRowFirstColumn="0" w:lastRowLastColumn="0"/>
              <w:rPr>
                <w:noProof/>
              </w:rPr>
            </w:pPr>
            <w:r>
              <w:rPr>
                <w:rFonts w:ascii="Times New Roman" w:hAnsi="Times New Roman"/>
                <w:b/>
                <w:noProof/>
                <w:sz w:val="22"/>
                <w:lang w:eastAsia="en-GB"/>
              </w:rPr>
              <w:t>Different methodologies</w:t>
            </w:r>
            <w:r>
              <w:rPr>
                <w:rFonts w:ascii="Times New Roman" w:hAnsi="Times New Roman"/>
                <w:noProof/>
                <w:sz w:val="22"/>
                <w:lang w:eastAsia="en-GB"/>
              </w:rPr>
              <w:t xml:space="preserve"> for risk assessment and definition of security requirements </w:t>
            </w:r>
          </w:p>
        </w:tc>
        <w:tc>
          <w:tcPr>
            <w:tcW w:w="3402" w:type="dxa"/>
            <w:tcBorders>
              <w:left w:val="single" w:sz="4" w:space="0" w:color="auto"/>
            </w:tcBorders>
          </w:tcPr>
          <w:p w:rsidR="00913429" w:rsidRDefault="00E143F0">
            <w:pPr>
              <w:spacing w:after="120" w:line="240" w:lineRule="auto"/>
              <w:contextualSpacing/>
              <w:jc w:val="both"/>
              <w:cnfStyle w:val="000000000000" w:firstRow="0" w:lastRow="0" w:firstColumn="0" w:lastColumn="0" w:oddVBand="0" w:evenVBand="0" w:oddHBand="0" w:evenHBand="0" w:firstRowFirstColumn="0" w:firstRowLastColumn="0" w:lastRowFirstColumn="0" w:lastRowLastColumn="0"/>
              <w:rPr>
                <w:noProof/>
              </w:rPr>
            </w:pPr>
            <w:r>
              <w:rPr>
                <w:rFonts w:ascii="Times New Roman" w:hAnsi="Times New Roman"/>
                <w:b/>
                <w:noProof/>
                <w:sz w:val="22"/>
                <w:lang w:eastAsia="en-GB"/>
              </w:rPr>
              <w:t>Standard methodologies</w:t>
            </w:r>
            <w:r>
              <w:rPr>
                <w:rFonts w:ascii="Times New Roman" w:hAnsi="Times New Roman"/>
                <w:noProof/>
                <w:sz w:val="22"/>
                <w:lang w:eastAsia="en-GB"/>
              </w:rPr>
              <w:t xml:space="preserve"> for risk assessment and definition of security requirements</w:t>
            </w:r>
          </w:p>
        </w:tc>
      </w:tr>
    </w:tbl>
    <w:p w:rsidR="00913429" w:rsidRDefault="00913429">
      <w:pPr>
        <w:spacing w:after="120" w:line="259" w:lineRule="auto"/>
        <w:jc w:val="both"/>
        <w:rPr>
          <w:b/>
          <w:noProof/>
          <w:szCs w:val="22"/>
        </w:rPr>
      </w:pPr>
    </w:p>
    <w:p w:rsidR="00913429" w:rsidRDefault="00913429">
      <w:pPr>
        <w:spacing w:after="120" w:line="259" w:lineRule="auto"/>
        <w:jc w:val="both"/>
        <w:rPr>
          <w:b/>
          <w:noProof/>
          <w:szCs w:val="22"/>
        </w:rPr>
      </w:pPr>
    </w:p>
    <w:p w:rsidR="00913429" w:rsidRDefault="00913429">
      <w:pPr>
        <w:spacing w:after="120" w:line="259" w:lineRule="auto"/>
        <w:jc w:val="both"/>
        <w:rPr>
          <w:b/>
          <w:noProof/>
          <w:szCs w:val="22"/>
        </w:rPr>
      </w:pPr>
    </w:p>
    <w:p w:rsidR="00913429" w:rsidRDefault="00913429">
      <w:pPr>
        <w:spacing w:after="120" w:line="259" w:lineRule="auto"/>
        <w:jc w:val="both"/>
        <w:rPr>
          <w:b/>
          <w:noProof/>
          <w:szCs w:val="22"/>
        </w:rPr>
      </w:pPr>
    </w:p>
    <w:p w:rsidR="00913429" w:rsidRDefault="00E143F0">
      <w:pPr>
        <w:spacing w:after="120" w:line="259" w:lineRule="auto"/>
        <w:jc w:val="both"/>
        <w:rPr>
          <w:b/>
          <w:noProof/>
          <w:szCs w:val="22"/>
        </w:rPr>
      </w:pPr>
      <w:r>
        <w:rPr>
          <w:b/>
          <w:noProof/>
          <w:szCs w:val="22"/>
        </w:rPr>
        <w:t xml:space="preserve">Full Description: </w:t>
      </w:r>
    </w:p>
    <w:p w:rsidR="00913429" w:rsidRDefault="00E143F0">
      <w:pPr>
        <w:spacing w:after="120" w:line="259" w:lineRule="auto"/>
        <w:jc w:val="both"/>
        <w:rPr>
          <w:noProof/>
          <w:szCs w:val="22"/>
        </w:rPr>
      </w:pPr>
      <w:r>
        <w:rPr>
          <w:b/>
          <w:noProof/>
          <w:szCs w:val="22"/>
        </w:rPr>
        <w:t xml:space="preserve">Methodology: </w:t>
      </w:r>
      <w:r>
        <w:rPr>
          <w:noProof/>
          <w:szCs w:val="22"/>
        </w:rPr>
        <w:t xml:space="preserve">The research methodology of this case study is based on literature retrieved from desk research and on the analysis of multiple interviews with cybersecurity experts and professionals working in the Smart-Meter Industry. </w:t>
      </w:r>
    </w:p>
    <w:p w:rsidR="00913429" w:rsidRDefault="00E143F0">
      <w:pPr>
        <w:spacing w:after="160" w:line="259" w:lineRule="auto"/>
        <w:jc w:val="both"/>
        <w:rPr>
          <w:b/>
          <w:noProof/>
          <w:szCs w:val="22"/>
        </w:rPr>
      </w:pPr>
      <w:r>
        <w:rPr>
          <w:b/>
          <w:noProof/>
          <w:szCs w:val="22"/>
        </w:rPr>
        <w:t xml:space="preserve">Background: </w:t>
      </w:r>
      <w:r>
        <w:rPr>
          <w:noProof/>
          <w:szCs w:val="22"/>
        </w:rPr>
        <w:t>By May 20</w:t>
      </w:r>
      <w:r>
        <w:rPr>
          <w:noProof/>
          <w:szCs w:val="22"/>
        </w:rPr>
        <w:t>14, Member States committed to rolling out close to 200 million smart meters for electricity and 45 million for gas by 2020 at a total potential investment of €45 billion. By 2020, it is expected that almost 72% of European consumers will have a smart mete</w:t>
      </w:r>
      <w:r>
        <w:rPr>
          <w:noProof/>
          <w:szCs w:val="22"/>
        </w:rPr>
        <w:t>r for electricity while 40% will have one for gas. Up to date, 80 million smart meters have been installed in the EU28 and Norway, which constitutes 30% of the overall European electricity metering points</w:t>
      </w:r>
      <w:r>
        <w:rPr>
          <w:noProof/>
          <w:szCs w:val="22"/>
          <w:vertAlign w:val="superscript"/>
        </w:rPr>
        <w:footnoteReference w:id="20"/>
      </w:r>
      <w:r>
        <w:rPr>
          <w:noProof/>
          <w:szCs w:val="22"/>
        </w:rPr>
        <w:t>. With potentially millions of networked end-points</w:t>
      </w:r>
      <w:r>
        <w:rPr>
          <w:noProof/>
          <w:szCs w:val="22"/>
        </w:rPr>
        <w:t xml:space="preserve">, there are significant cyber threats organizations and consumers will be exposed to. </w:t>
      </w:r>
    </w:p>
    <w:p w:rsidR="00913429" w:rsidRDefault="00E143F0">
      <w:pPr>
        <w:spacing w:after="160" w:line="259" w:lineRule="auto"/>
        <w:jc w:val="both"/>
        <w:rPr>
          <w:noProof/>
          <w:szCs w:val="22"/>
        </w:rPr>
      </w:pPr>
      <w:r>
        <w:rPr>
          <w:b/>
          <w:noProof/>
          <w:szCs w:val="22"/>
        </w:rPr>
        <w:t>Fragmentation of the Smart Meter Industry:</w:t>
      </w:r>
      <w:r>
        <w:rPr>
          <w:noProof/>
          <w:szCs w:val="22"/>
        </w:rPr>
        <w:t xml:space="preserve"> Various and not fully coordinated certification initiatives across Europe are increasing fragmentation in the domain of ICT certification and therefore also for Smart-Meter Industry, resulting in duplication of efforts and waste of resources. The non-exha</w:t>
      </w:r>
      <w:r>
        <w:rPr>
          <w:noProof/>
          <w:szCs w:val="22"/>
        </w:rPr>
        <w:t xml:space="preserve">ustive list of certification schemes applicable to Smart Meters across Europe includes, among others: </w:t>
      </w:r>
    </w:p>
    <w:p w:rsidR="00913429" w:rsidRDefault="00E143F0">
      <w:pPr>
        <w:numPr>
          <w:ilvl w:val="0"/>
          <w:numId w:val="135"/>
        </w:numPr>
        <w:spacing w:after="160" w:line="259" w:lineRule="auto"/>
        <w:ind w:left="360"/>
        <w:contextualSpacing/>
        <w:jc w:val="both"/>
        <w:rPr>
          <w:noProof/>
          <w:szCs w:val="22"/>
        </w:rPr>
      </w:pPr>
      <w:r>
        <w:rPr>
          <w:noProof/>
          <w:szCs w:val="22"/>
        </w:rPr>
        <w:t xml:space="preserve">CPA (Commercial Product Assurance) is the certification scheme recognised in UK, </w:t>
      </w:r>
    </w:p>
    <w:p w:rsidR="00913429" w:rsidRDefault="00E143F0">
      <w:pPr>
        <w:numPr>
          <w:ilvl w:val="0"/>
          <w:numId w:val="135"/>
        </w:numPr>
        <w:spacing w:after="160" w:line="259" w:lineRule="auto"/>
        <w:ind w:left="360"/>
        <w:contextualSpacing/>
        <w:jc w:val="both"/>
        <w:rPr>
          <w:noProof/>
          <w:szCs w:val="22"/>
          <w:lang w:val="fr-FR"/>
        </w:rPr>
      </w:pPr>
      <w:r>
        <w:rPr>
          <w:noProof/>
          <w:szCs w:val="22"/>
          <w:lang w:val="fr-FR"/>
        </w:rPr>
        <w:t>CSPN (Certification de Sécurité de Premier Niveau) is the certification</w:t>
      </w:r>
      <w:r>
        <w:rPr>
          <w:noProof/>
          <w:szCs w:val="22"/>
          <w:lang w:val="fr-FR"/>
        </w:rPr>
        <w:t xml:space="preserve"> scheme recognised in France,</w:t>
      </w:r>
    </w:p>
    <w:p w:rsidR="00913429" w:rsidRDefault="00E143F0">
      <w:pPr>
        <w:numPr>
          <w:ilvl w:val="0"/>
          <w:numId w:val="135"/>
        </w:numPr>
        <w:spacing w:after="160" w:line="259" w:lineRule="auto"/>
        <w:ind w:left="360"/>
        <w:contextualSpacing/>
        <w:jc w:val="both"/>
        <w:rPr>
          <w:noProof/>
          <w:szCs w:val="22"/>
        </w:rPr>
      </w:pPr>
      <w:r>
        <w:rPr>
          <w:noProof/>
          <w:szCs w:val="22"/>
        </w:rPr>
        <w:t xml:space="preserve">A protection profile based on Common Criteria is the certification scheme recognised by BSI in Germany.  </w:t>
      </w:r>
    </w:p>
    <w:p w:rsidR="00913429" w:rsidRDefault="00913429">
      <w:pPr>
        <w:spacing w:after="160" w:line="259" w:lineRule="auto"/>
        <w:contextualSpacing/>
        <w:jc w:val="both"/>
        <w:rPr>
          <w:noProof/>
          <w:szCs w:val="22"/>
        </w:rPr>
      </w:pPr>
    </w:p>
    <w:p w:rsidR="00913429" w:rsidRDefault="00E143F0">
      <w:pPr>
        <w:spacing w:after="160" w:line="259" w:lineRule="auto"/>
        <w:jc w:val="both"/>
        <w:rPr>
          <w:noProof/>
          <w:szCs w:val="22"/>
        </w:rPr>
      </w:pPr>
      <w:r>
        <w:rPr>
          <w:noProof/>
          <w:szCs w:val="22"/>
          <w:lang w:val="en-US"/>
        </w:rPr>
        <w:t>T</w:t>
      </w:r>
      <w:r>
        <w:rPr>
          <w:noProof/>
          <w:szCs w:val="22"/>
        </w:rPr>
        <w:t xml:space="preserve">hese three European Countries </w:t>
      </w:r>
      <w:r>
        <w:rPr>
          <w:b/>
          <w:noProof/>
          <w:szCs w:val="22"/>
        </w:rPr>
        <w:t>do not recognise</w:t>
      </w:r>
      <w:r>
        <w:rPr>
          <w:noProof/>
          <w:szCs w:val="22"/>
        </w:rPr>
        <w:t xml:space="preserve"> each other their certification scheme. </w:t>
      </w:r>
    </w:p>
    <w:p w:rsidR="00913429" w:rsidRDefault="00E143F0">
      <w:pPr>
        <w:spacing w:after="160" w:line="259" w:lineRule="auto"/>
        <w:jc w:val="both"/>
        <w:rPr>
          <w:noProof/>
          <w:szCs w:val="22"/>
        </w:rPr>
      </w:pPr>
      <w:r>
        <w:rPr>
          <w:noProof/>
          <w:szCs w:val="22"/>
          <w:lang w:val="en-US"/>
        </w:rPr>
        <w:t xml:space="preserve">The processes of certification </w:t>
      </w:r>
      <w:r>
        <w:rPr>
          <w:noProof/>
          <w:szCs w:val="22"/>
          <w:lang w:val="en-US"/>
        </w:rPr>
        <w:t xml:space="preserve">are based on national requirements. In the UK, they are called security objectives. Based on these requirements and objectives, each MS has defined a security certification approach at a national level. </w:t>
      </w:r>
      <w:r>
        <w:rPr>
          <w:noProof/>
          <w:szCs w:val="22"/>
        </w:rPr>
        <w:t>There are also national communications infrastructure</w:t>
      </w:r>
      <w:r>
        <w:rPr>
          <w:noProof/>
          <w:szCs w:val="22"/>
        </w:rPr>
        <w:t xml:space="preserve"> for devices connected to smart-meters including interfaces with the different stakeholders involved such as the German Smart Meter “</w:t>
      </w:r>
      <w:r>
        <w:rPr>
          <w:b/>
          <w:noProof/>
          <w:szCs w:val="22"/>
        </w:rPr>
        <w:t>Gateway</w:t>
      </w:r>
      <w:r>
        <w:rPr>
          <w:noProof/>
          <w:szCs w:val="22"/>
        </w:rPr>
        <w:t>” and in the UK the so-called “</w:t>
      </w:r>
      <w:r>
        <w:rPr>
          <w:b/>
          <w:noProof/>
          <w:szCs w:val="22"/>
        </w:rPr>
        <w:t>Communication Hub</w:t>
      </w:r>
      <w:r>
        <w:rPr>
          <w:noProof/>
          <w:szCs w:val="22"/>
        </w:rPr>
        <w:t xml:space="preserve">”. Other national initiatives are emerging as the </w:t>
      </w:r>
      <w:r>
        <w:rPr>
          <w:b/>
          <w:noProof/>
          <w:szCs w:val="22"/>
        </w:rPr>
        <w:t xml:space="preserve">Dutch Smart Meter </w:t>
      </w:r>
      <w:r>
        <w:rPr>
          <w:b/>
          <w:noProof/>
          <w:szCs w:val="22"/>
        </w:rPr>
        <w:t>Requirements</w:t>
      </w:r>
      <w:r>
        <w:rPr>
          <w:noProof/>
          <w:szCs w:val="22"/>
        </w:rPr>
        <w:t xml:space="preserve"> (DSMR) developed by the Dutch national organization of DSO’s “Netbeheer Nederland”. If Member States across Europe continue not to accept each other Certification schemes, each Member States will continue to improve its own Certification schem</w:t>
      </w:r>
      <w:r>
        <w:rPr>
          <w:noProof/>
          <w:szCs w:val="22"/>
        </w:rPr>
        <w:t xml:space="preserve">e and this could create a strong legacy making harmonisation more difficult. </w:t>
      </w:r>
      <w:r>
        <w:rPr>
          <w:noProof/>
          <w:szCs w:val="22"/>
          <w:lang w:val="en-US"/>
        </w:rPr>
        <w:t xml:space="preserve">Another problem regards a European accordance on minimum requirements, on documentations and tests results for the same functionality and in the same language, ready and accepted </w:t>
      </w:r>
      <w:r>
        <w:rPr>
          <w:noProof/>
          <w:szCs w:val="22"/>
          <w:lang w:val="en-US"/>
        </w:rPr>
        <w:t>by the different authorities of different countries.</w:t>
      </w:r>
      <w:r>
        <w:rPr>
          <w:noProof/>
          <w:szCs w:val="22"/>
        </w:rPr>
        <w:t xml:space="preserve"> Furthermore, such fragmentation is also happening on the evaluation side; the three different Certification Schemes mentioned above require three different methodology of evaluation</w:t>
      </w:r>
      <w:r>
        <w:rPr>
          <w:noProof/>
          <w:szCs w:val="22"/>
          <w:lang w:val="en-US"/>
        </w:rPr>
        <w:t xml:space="preserve"> and i</w:t>
      </w:r>
      <w:r>
        <w:rPr>
          <w:noProof/>
          <w:szCs w:val="22"/>
        </w:rPr>
        <w:t>t’s not always s</w:t>
      </w:r>
      <w:r>
        <w:rPr>
          <w:noProof/>
          <w:szCs w:val="22"/>
        </w:rPr>
        <w:t>ure that they give the same results</w:t>
      </w:r>
      <w:r>
        <w:rPr>
          <w:noProof/>
          <w:szCs w:val="22"/>
          <w:lang w:val="en-US"/>
        </w:rPr>
        <w:t xml:space="preserve">. </w:t>
      </w:r>
      <w:r>
        <w:rPr>
          <w:noProof/>
          <w:szCs w:val="22"/>
        </w:rPr>
        <w:t>There are only limited number of Conformity Assessment Body (CAB) that are able to certify against the requirements of different schemes and the evaluation period for Smart meters products, as above mentioned, usually c</w:t>
      </w:r>
      <w:r>
        <w:rPr>
          <w:noProof/>
          <w:szCs w:val="22"/>
        </w:rPr>
        <w:t xml:space="preserve">an last from </w:t>
      </w:r>
      <w:r>
        <w:rPr>
          <w:b/>
          <w:noProof/>
          <w:szCs w:val="22"/>
        </w:rPr>
        <w:t>6 months to 18 months</w:t>
      </w:r>
      <w:r>
        <w:rPr>
          <w:noProof/>
          <w:szCs w:val="22"/>
        </w:rPr>
        <w:t xml:space="preserve">. In this way, additional market entry barrier are created. </w:t>
      </w:r>
    </w:p>
    <w:p w:rsidR="00913429" w:rsidRDefault="00E143F0">
      <w:pPr>
        <w:spacing w:after="160" w:line="259" w:lineRule="auto"/>
        <w:jc w:val="both"/>
        <w:rPr>
          <w:noProof/>
          <w:szCs w:val="22"/>
        </w:rPr>
      </w:pPr>
      <w:r>
        <w:rPr>
          <w:b/>
          <w:noProof/>
          <w:szCs w:val="22"/>
        </w:rPr>
        <w:t>Cost for Certification:</w:t>
      </w:r>
      <w:r>
        <w:rPr>
          <w:noProof/>
          <w:szCs w:val="22"/>
        </w:rPr>
        <w:t xml:space="preserve"> The proliferation of national certification scheme increases costs for businesses operating cross-border and is likely to create obstacle</w:t>
      </w:r>
      <w:r>
        <w:rPr>
          <w:noProof/>
          <w:szCs w:val="22"/>
        </w:rPr>
        <w:t xml:space="preserve">s for the internal market, as it raises the costs for companies/vendors operating across borders. This barrier is more significant for small and medium sized enterprises, which have usually less resources to dedicate to certification programmes. </w:t>
      </w:r>
    </w:p>
    <w:p w:rsidR="00913429" w:rsidRDefault="00E143F0">
      <w:pPr>
        <w:spacing w:after="160" w:line="259" w:lineRule="auto"/>
        <w:jc w:val="both"/>
        <w:rPr>
          <w:b/>
          <w:noProof/>
          <w:szCs w:val="22"/>
          <w:lang w:val="en"/>
        </w:rPr>
      </w:pPr>
      <w:r>
        <w:rPr>
          <w:noProof/>
          <w:szCs w:val="22"/>
        </w:rPr>
        <w:t>To provid</w:t>
      </w:r>
      <w:r>
        <w:rPr>
          <w:noProof/>
          <w:szCs w:val="22"/>
        </w:rPr>
        <w:t>e concrete example, considering that the cost of certification depends on products, evaluation assurance level needed or components to be evaluated, the cost of certification can reach more than 1 million euros and the SMEs are out of this gain. For BSI “</w:t>
      </w:r>
      <w:r>
        <w:rPr>
          <w:b/>
          <w:noProof/>
          <w:szCs w:val="22"/>
        </w:rPr>
        <w:t>S</w:t>
      </w:r>
      <w:r>
        <w:rPr>
          <w:b/>
          <w:noProof/>
          <w:szCs w:val="22"/>
        </w:rPr>
        <w:t>mart Meter Gateway</w:t>
      </w:r>
      <w:r>
        <w:rPr>
          <w:noProof/>
          <w:szCs w:val="22"/>
        </w:rPr>
        <w:t xml:space="preserve">” certificate the cost is much more than </w:t>
      </w:r>
      <w:r>
        <w:rPr>
          <w:b/>
          <w:noProof/>
          <w:szCs w:val="22"/>
        </w:rPr>
        <w:t>one million</w:t>
      </w:r>
      <w:r>
        <w:rPr>
          <w:noProof/>
          <w:szCs w:val="22"/>
        </w:rPr>
        <w:t xml:space="preserve"> </w:t>
      </w:r>
      <w:r>
        <w:rPr>
          <w:b/>
          <w:noProof/>
          <w:szCs w:val="22"/>
        </w:rPr>
        <w:t>euros</w:t>
      </w:r>
      <w:r>
        <w:rPr>
          <w:noProof/>
          <w:szCs w:val="22"/>
        </w:rPr>
        <w:t>. The cost for smart meters certification in UK is almost</w:t>
      </w:r>
      <w:r>
        <w:rPr>
          <w:b/>
          <w:noProof/>
          <w:szCs w:val="22"/>
        </w:rPr>
        <w:t xml:space="preserve"> 150 thousand euro</w:t>
      </w:r>
      <w:r>
        <w:rPr>
          <w:noProof/>
          <w:szCs w:val="22"/>
        </w:rPr>
        <w:t xml:space="preserve">. In France, the cost it is similar to the UK, about </w:t>
      </w:r>
      <w:r>
        <w:rPr>
          <w:b/>
          <w:noProof/>
          <w:szCs w:val="22"/>
        </w:rPr>
        <w:t>150 thousand euros</w:t>
      </w:r>
      <w:r>
        <w:rPr>
          <w:noProof/>
          <w:szCs w:val="22"/>
        </w:rPr>
        <w:t xml:space="preserve"> </w:t>
      </w:r>
      <w:r>
        <w:rPr>
          <w:b/>
          <w:noProof/>
          <w:szCs w:val="22"/>
        </w:rPr>
        <w:t>or more.</w:t>
      </w:r>
      <w:r>
        <w:rPr>
          <w:noProof/>
          <w:szCs w:val="22"/>
        </w:rPr>
        <w:t xml:space="preserve"> In Netherlands, the aver</w:t>
      </w:r>
      <w:r>
        <w:rPr>
          <w:noProof/>
          <w:szCs w:val="22"/>
        </w:rPr>
        <w:t xml:space="preserve">age costs of a certification under Baseline Security Product Assessment (BSPA) scheme are approximately </w:t>
      </w:r>
      <w:r>
        <w:rPr>
          <w:b/>
          <w:noProof/>
          <w:szCs w:val="22"/>
        </w:rPr>
        <w:t>40 thousand euros</w:t>
      </w:r>
      <w:r>
        <w:rPr>
          <w:noProof/>
          <w:szCs w:val="22"/>
        </w:rPr>
        <w:t>. The significant difference of costs for certification between Germany and other Member States have various reasons.</w:t>
      </w:r>
      <w:r>
        <w:rPr>
          <w:noProof/>
          <w:szCs w:val="22"/>
          <w:lang w:val="en-US"/>
        </w:rPr>
        <w:t xml:space="preserve"> France is for ins</w:t>
      </w:r>
      <w:r>
        <w:rPr>
          <w:noProof/>
          <w:szCs w:val="22"/>
          <w:lang w:val="en-US"/>
        </w:rPr>
        <w:t>tance more focused on testing in a fixed time: given a fixed time the device has to pass all the security tests during that time. At the end of the fixed time, a finale report is sent on whether it is working fine or not. The German approach has a higher l</w:t>
      </w:r>
      <w:r>
        <w:rPr>
          <w:noProof/>
          <w:szCs w:val="22"/>
          <w:lang w:val="en-US"/>
        </w:rPr>
        <w:t xml:space="preserve">evel of tests and assurance. On the other hand in UK and in France a security assessment is performed on one product, while in Germany the whole infrastructure need to be tested and certified. </w:t>
      </w:r>
      <w:r>
        <w:rPr>
          <w:noProof/>
          <w:szCs w:val="22"/>
        </w:rPr>
        <w:t>Considering that these National Certification schemes are not m</w:t>
      </w:r>
      <w:r>
        <w:rPr>
          <w:noProof/>
          <w:szCs w:val="22"/>
        </w:rPr>
        <w:t xml:space="preserve">utually recognised, smart meters companies should sustain additional costs in order to enter another Member State’s market. In fact, the total cost for certification usually ranges </w:t>
      </w:r>
      <w:r>
        <w:rPr>
          <w:b/>
          <w:noProof/>
          <w:szCs w:val="22"/>
        </w:rPr>
        <w:t>from 150 thousand euros to 1 million euros and more.</w:t>
      </w:r>
      <w:r>
        <w:rPr>
          <w:noProof/>
          <w:szCs w:val="22"/>
          <w:lang w:val="en-US"/>
        </w:rPr>
        <w:t xml:space="preserve"> </w:t>
      </w:r>
      <w:r>
        <w:rPr>
          <w:noProof/>
          <w:szCs w:val="22"/>
        </w:rPr>
        <w:t>Only one of the bigges</w:t>
      </w:r>
      <w:r>
        <w:rPr>
          <w:noProof/>
          <w:szCs w:val="22"/>
        </w:rPr>
        <w:t>t smart-metering companies is starting a certification to enter other markets and all the other companies are present only in the German market. In this context, one of the most important barrier to trade for the smart metering industry are the costs for c</w:t>
      </w:r>
      <w:r>
        <w:rPr>
          <w:noProof/>
          <w:szCs w:val="22"/>
        </w:rPr>
        <w:t>ertification. In the absence of an EU wide certification framework a Smart Meters company that wants to access the French market must certificate its products under the CSPN scheme and once again under the CPA scheme to enter the UK market, therefore it wo</w:t>
      </w:r>
      <w:r>
        <w:rPr>
          <w:noProof/>
          <w:szCs w:val="22"/>
        </w:rPr>
        <w:t xml:space="preserve">uld pay </w:t>
      </w:r>
      <w:r>
        <w:rPr>
          <w:b/>
          <w:noProof/>
          <w:szCs w:val="22"/>
        </w:rPr>
        <w:t>300 thousand euros</w:t>
      </w:r>
      <w:r>
        <w:rPr>
          <w:noProof/>
          <w:szCs w:val="22"/>
        </w:rPr>
        <w:t>. With an EU wide framework, being the product certification of France deemed as equivalent to the one in the UK, the smart-meter company will have to certificate only once but will access the French and English market paying a co</w:t>
      </w:r>
      <w:r>
        <w:rPr>
          <w:noProof/>
          <w:szCs w:val="22"/>
        </w:rPr>
        <w:t xml:space="preserve">st of around 150 thousand euros and a </w:t>
      </w:r>
      <w:r>
        <w:rPr>
          <w:b/>
          <w:noProof/>
          <w:szCs w:val="22"/>
        </w:rPr>
        <w:t>direct saving of 150 thousand euros</w:t>
      </w:r>
      <w:r>
        <w:rPr>
          <w:noProof/>
          <w:szCs w:val="22"/>
        </w:rPr>
        <w:t xml:space="preserve">. More in general, it is estimated that the introduction of an EU wide certification framework </w:t>
      </w:r>
      <w:r>
        <w:rPr>
          <w:noProof/>
          <w:szCs w:val="22"/>
          <w:lang w:val="en"/>
        </w:rPr>
        <w:t xml:space="preserve">could lead to smart meters companies </w:t>
      </w:r>
      <w:r>
        <w:rPr>
          <w:b/>
          <w:noProof/>
          <w:szCs w:val="22"/>
          <w:lang w:val="en"/>
        </w:rPr>
        <w:t>saving up to 80% on costs.</w:t>
      </w:r>
    </w:p>
    <w:p w:rsidR="00913429" w:rsidRDefault="00E143F0">
      <w:pPr>
        <w:spacing w:after="160" w:line="259" w:lineRule="auto"/>
        <w:jc w:val="both"/>
        <w:rPr>
          <w:noProof/>
          <w:szCs w:val="22"/>
        </w:rPr>
      </w:pPr>
      <w:r>
        <w:rPr>
          <w:b/>
          <w:noProof/>
          <w:szCs w:val="22"/>
        </w:rPr>
        <w:t>Benefits for the Smart M</w:t>
      </w:r>
      <w:r>
        <w:rPr>
          <w:b/>
          <w:noProof/>
          <w:szCs w:val="22"/>
        </w:rPr>
        <w:t>eter Industry of an EU wide Certification Framework:</w:t>
      </w:r>
      <w:r>
        <w:rPr>
          <w:noProof/>
          <w:szCs w:val="22"/>
        </w:rPr>
        <w:t xml:space="preserve"> For the Smart-Meters industry a European scheme would be a valuable policy option. It would make certification schemes mutually recognised across Europe, standardise a methodology on how risks are assess</w:t>
      </w:r>
      <w:r>
        <w:rPr>
          <w:noProof/>
          <w:szCs w:val="22"/>
        </w:rPr>
        <w:t>ed and how security requirements are defined. Moreover, it would be very important to have flexibility in certification scheme, determine also on the risk connected to the product evaluated and the risk connected to the location of the product. The introdu</w:t>
      </w:r>
      <w:r>
        <w:rPr>
          <w:noProof/>
          <w:szCs w:val="22"/>
        </w:rPr>
        <w:t>ction of an EU wide Certification scheme will produce many benefits for the Smart Meters industry including:</w:t>
      </w:r>
    </w:p>
    <w:p w:rsidR="00913429" w:rsidRDefault="00E143F0">
      <w:pPr>
        <w:numPr>
          <w:ilvl w:val="0"/>
          <w:numId w:val="136"/>
        </w:numPr>
        <w:spacing w:after="160" w:line="259" w:lineRule="auto"/>
        <w:contextualSpacing/>
        <w:jc w:val="both"/>
        <w:rPr>
          <w:noProof/>
          <w:szCs w:val="22"/>
        </w:rPr>
      </w:pPr>
      <w:r>
        <w:rPr>
          <w:noProof/>
          <w:szCs w:val="22"/>
        </w:rPr>
        <w:t xml:space="preserve">the reduction of fragmentation, </w:t>
      </w:r>
    </w:p>
    <w:p w:rsidR="00913429" w:rsidRDefault="00E143F0">
      <w:pPr>
        <w:numPr>
          <w:ilvl w:val="0"/>
          <w:numId w:val="136"/>
        </w:numPr>
        <w:spacing w:after="160" w:line="259" w:lineRule="auto"/>
        <w:contextualSpacing/>
        <w:jc w:val="both"/>
        <w:rPr>
          <w:noProof/>
          <w:szCs w:val="22"/>
        </w:rPr>
      </w:pPr>
      <w:r>
        <w:rPr>
          <w:noProof/>
          <w:szCs w:val="22"/>
        </w:rPr>
        <w:t xml:space="preserve">the reduction of market barriers, </w:t>
      </w:r>
    </w:p>
    <w:p w:rsidR="00913429" w:rsidRDefault="00E143F0">
      <w:pPr>
        <w:numPr>
          <w:ilvl w:val="0"/>
          <w:numId w:val="136"/>
        </w:numPr>
        <w:spacing w:after="160" w:line="259" w:lineRule="auto"/>
        <w:contextualSpacing/>
        <w:jc w:val="both"/>
        <w:rPr>
          <w:noProof/>
          <w:szCs w:val="22"/>
        </w:rPr>
      </w:pPr>
      <w:r>
        <w:rPr>
          <w:noProof/>
          <w:szCs w:val="22"/>
        </w:rPr>
        <w:t>the reduction of the costs for certification.</w:t>
      </w:r>
    </w:p>
    <w:p w:rsidR="00913429" w:rsidRDefault="00913429">
      <w:pPr>
        <w:spacing w:after="160" w:line="259" w:lineRule="auto"/>
        <w:contextualSpacing/>
        <w:jc w:val="both"/>
        <w:rPr>
          <w:noProof/>
          <w:szCs w:val="22"/>
        </w:rPr>
      </w:pPr>
    </w:p>
    <w:p w:rsidR="00913429" w:rsidRDefault="00E143F0">
      <w:pPr>
        <w:spacing w:after="160" w:line="259" w:lineRule="auto"/>
        <w:jc w:val="both"/>
        <w:rPr>
          <w:noProof/>
          <w:szCs w:val="22"/>
        </w:rPr>
      </w:pPr>
      <w:r>
        <w:rPr>
          <w:b/>
          <w:noProof/>
          <w:szCs w:val="22"/>
        </w:rPr>
        <w:t xml:space="preserve">Conclusion: </w:t>
      </w:r>
      <w:r>
        <w:rPr>
          <w:noProof/>
          <w:szCs w:val="22"/>
        </w:rPr>
        <w:t>There is no common b</w:t>
      </w:r>
      <w:r>
        <w:rPr>
          <w:noProof/>
          <w:szCs w:val="22"/>
        </w:rPr>
        <w:t>aseline set of security requirements that can be recognized by all participating EU Member States. At least three Member States have defined their own protection profiles. These requirements are different per country, based on different standards and adopt</w:t>
      </w:r>
      <w:r>
        <w:rPr>
          <w:noProof/>
          <w:szCs w:val="22"/>
        </w:rPr>
        <w:t>ed by technical committees. There is no scheme that includes all aspects and enables a pan European approach</w:t>
      </w:r>
      <w:r>
        <w:rPr>
          <w:noProof/>
          <w:szCs w:val="22"/>
          <w:vertAlign w:val="superscript"/>
        </w:rPr>
        <w:footnoteReference w:id="21"/>
      </w:r>
      <w:r>
        <w:rPr>
          <w:noProof/>
          <w:szCs w:val="22"/>
        </w:rPr>
        <w:t xml:space="preserve">. In order to improve the current situation and to reduce the market fragmentation and the costs for certification, the introduction of an EU wide </w:t>
      </w:r>
      <w:r>
        <w:rPr>
          <w:noProof/>
          <w:szCs w:val="22"/>
        </w:rPr>
        <w:t>Certification scheme could have a positive impact</w:t>
      </w:r>
      <w:r>
        <w:rPr>
          <w:noProof/>
          <w:szCs w:val="22"/>
          <w:lang w:val="en-US"/>
        </w:rPr>
        <w:t xml:space="preserve"> </w:t>
      </w:r>
      <w:r>
        <w:rPr>
          <w:noProof/>
          <w:szCs w:val="22"/>
        </w:rPr>
        <w:t>for the Smart Meter Industry. A European framework would reduce also the information asymmetry on security requirements of ICT products and make the European Market less fragmented.</w:t>
      </w:r>
    </w:p>
    <w:p w:rsidR="00913429" w:rsidRDefault="00913429">
      <w:pPr>
        <w:spacing w:after="0" w:line="240" w:lineRule="auto"/>
        <w:rPr>
          <w:noProof/>
        </w:rPr>
      </w:pPr>
    </w:p>
    <w:p w:rsidR="00913429" w:rsidRDefault="00E143F0">
      <w:pPr>
        <w:spacing w:after="0" w:line="240" w:lineRule="auto"/>
        <w:rPr>
          <w:noProof/>
        </w:rPr>
      </w:pPr>
      <w:r>
        <w:rPr>
          <w:noProof/>
        </w:rPr>
        <w:br w:type="page"/>
      </w:r>
    </w:p>
    <w:p w:rsidR="00913429" w:rsidRDefault="00E143F0">
      <w:pPr>
        <w:pStyle w:val="ListParagraph"/>
        <w:keepNext/>
        <w:keepLines/>
        <w:numPr>
          <w:ilvl w:val="1"/>
          <w:numId w:val="93"/>
        </w:numPr>
        <w:tabs>
          <w:tab w:val="left" w:pos="993"/>
        </w:tabs>
        <w:spacing w:after="120"/>
        <w:ind w:right="-23"/>
        <w:outlineLvl w:val="1"/>
        <w:rPr>
          <w:rFonts w:eastAsia="SimHei"/>
          <w:b/>
          <w:bCs/>
          <w:i/>
          <w:noProof/>
          <w:color w:val="DC6900"/>
          <w:sz w:val="32"/>
          <w:szCs w:val="26"/>
          <w:lang w:val="en-GB"/>
        </w:rPr>
      </w:pPr>
      <w:bookmarkStart w:id="86" w:name="_Toc492396565"/>
      <w:r>
        <w:rPr>
          <w:rFonts w:eastAsia="SimHei"/>
          <w:b/>
          <w:bCs/>
          <w:i/>
          <w:noProof/>
          <w:color w:val="DC6900"/>
          <w:sz w:val="32"/>
          <w:szCs w:val="26"/>
          <w:lang w:val="en-GB"/>
        </w:rPr>
        <w:t xml:space="preserve">Case Study – “The </w:t>
      </w:r>
      <w:r>
        <w:rPr>
          <w:rFonts w:eastAsia="SimHei"/>
          <w:b/>
          <w:bCs/>
          <w:i/>
          <w:noProof/>
          <w:color w:val="DC6900"/>
          <w:sz w:val="32"/>
          <w:szCs w:val="26"/>
          <w:lang w:val="en-GB"/>
        </w:rPr>
        <w:t>impact of an EU wide Certification Scheme on Alarm Systems Industry”</w:t>
      </w:r>
      <w:bookmarkEnd w:id="86"/>
    </w:p>
    <w:p w:rsidR="00913429" w:rsidRDefault="00913429">
      <w:pPr>
        <w:pStyle w:val="Paragrafoelenco1"/>
        <w:numPr>
          <w:ilvl w:val="0"/>
          <w:numId w:val="0"/>
        </w:numPr>
        <w:rPr>
          <w:rFonts w:eastAsia="SimHei"/>
          <w:noProof/>
        </w:rPr>
      </w:pPr>
    </w:p>
    <w:p w:rsidR="00913429" w:rsidRDefault="00913429">
      <w:pPr>
        <w:pStyle w:val="Paragrafoelenco1"/>
        <w:numPr>
          <w:ilvl w:val="0"/>
          <w:numId w:val="0"/>
        </w:numPr>
        <w:rPr>
          <w:rFonts w:eastAsia="SimHei"/>
          <w:noProof/>
        </w:rPr>
      </w:pPr>
    </w:p>
    <w:tbl>
      <w:tblPr>
        <w:tblStyle w:val="MediumList2-Accent6"/>
        <w:tblW w:w="0" w:type="auto"/>
        <w:tblLook w:val="04A0" w:firstRow="1" w:lastRow="0" w:firstColumn="1" w:lastColumn="0" w:noHBand="0" w:noVBand="1"/>
      </w:tblPr>
      <w:tblGrid>
        <w:gridCol w:w="1682"/>
        <w:gridCol w:w="4096"/>
        <w:gridCol w:w="3798"/>
      </w:tblGrid>
      <w:tr w:rsidR="00913429" w:rsidTr="00913429">
        <w:trPr>
          <w:cnfStyle w:val="100000000000" w:firstRow="1" w:lastRow="0" w:firstColumn="0" w:lastColumn="0" w:oddVBand="0" w:evenVBand="0" w:oddHBand="0" w:evenHBand="0" w:firstRowFirstColumn="0" w:firstRowLastColumn="0" w:lastRowFirstColumn="0" w:lastRowLastColumn="0"/>
          <w:trHeight w:val="251"/>
        </w:trPr>
        <w:tc>
          <w:tcPr>
            <w:cnfStyle w:val="001000000100" w:firstRow="0" w:lastRow="0" w:firstColumn="1" w:lastColumn="0" w:oddVBand="0" w:evenVBand="0" w:oddHBand="0" w:evenHBand="0" w:firstRowFirstColumn="1" w:firstRowLastColumn="0" w:lastRowFirstColumn="0" w:lastRowLastColumn="0"/>
            <w:tcW w:w="1682" w:type="dxa"/>
          </w:tcPr>
          <w:p w:rsidR="00913429" w:rsidRDefault="00913429">
            <w:pPr>
              <w:spacing w:after="120"/>
              <w:jc w:val="both"/>
              <w:rPr>
                <w:b/>
                <w:noProof/>
              </w:rPr>
            </w:pPr>
          </w:p>
        </w:tc>
        <w:tc>
          <w:tcPr>
            <w:tcW w:w="4096" w:type="dxa"/>
            <w:tcBorders>
              <w:right w:val="single" w:sz="4" w:space="0" w:color="auto"/>
            </w:tcBorders>
          </w:tcPr>
          <w:p w:rsidR="00913429" w:rsidRDefault="00E143F0">
            <w:pPr>
              <w:spacing w:after="120"/>
              <w:jc w:val="center"/>
              <w:cnfStyle w:val="100000000000" w:firstRow="1" w:lastRow="0" w:firstColumn="0" w:lastColumn="0" w:oddVBand="0" w:evenVBand="0" w:oddHBand="0" w:evenHBand="0" w:firstRowFirstColumn="0" w:firstRowLastColumn="0" w:lastRowFirstColumn="0" w:lastRowLastColumn="0"/>
              <w:rPr>
                <w:b/>
                <w:noProof/>
              </w:rPr>
            </w:pPr>
            <w:r>
              <w:rPr>
                <w:b/>
                <w:noProof/>
              </w:rPr>
              <w:t>Now</w:t>
            </w:r>
          </w:p>
        </w:tc>
        <w:tc>
          <w:tcPr>
            <w:tcW w:w="3798" w:type="dxa"/>
            <w:tcBorders>
              <w:left w:val="single" w:sz="4" w:space="0" w:color="auto"/>
            </w:tcBorders>
          </w:tcPr>
          <w:p w:rsidR="00913429" w:rsidRDefault="00E143F0">
            <w:pPr>
              <w:spacing w:after="120"/>
              <w:jc w:val="center"/>
              <w:cnfStyle w:val="100000000000" w:firstRow="1" w:lastRow="0" w:firstColumn="0" w:lastColumn="0" w:oddVBand="0" w:evenVBand="0" w:oddHBand="0" w:evenHBand="0" w:firstRowFirstColumn="0" w:firstRowLastColumn="0" w:lastRowFirstColumn="0" w:lastRowLastColumn="0"/>
              <w:rPr>
                <w:b/>
                <w:noProof/>
              </w:rPr>
            </w:pPr>
            <w:r>
              <w:rPr>
                <w:b/>
                <w:noProof/>
              </w:rPr>
              <w:t>Future</w:t>
            </w:r>
          </w:p>
        </w:tc>
      </w:tr>
      <w:tr w:rsidR="00913429" w:rsidTr="00913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dxa"/>
          </w:tcPr>
          <w:p w:rsidR="00913429" w:rsidRDefault="00913429">
            <w:pPr>
              <w:spacing w:after="120"/>
              <w:jc w:val="center"/>
              <w:rPr>
                <w:b/>
                <w:noProof/>
              </w:rPr>
            </w:pPr>
          </w:p>
          <w:p w:rsidR="00913429" w:rsidRDefault="00E143F0">
            <w:pPr>
              <w:spacing w:after="120"/>
              <w:jc w:val="center"/>
              <w:rPr>
                <w:b/>
                <w:noProof/>
              </w:rPr>
            </w:pPr>
            <w:r>
              <w:rPr>
                <w:b/>
                <w:noProof/>
              </w:rPr>
              <w:t>Requirements</w:t>
            </w:r>
          </w:p>
        </w:tc>
        <w:tc>
          <w:tcPr>
            <w:tcW w:w="4096" w:type="dxa"/>
            <w:tcBorders>
              <w:right w:val="single" w:sz="4" w:space="0" w:color="auto"/>
            </w:tcBorders>
          </w:tcPr>
          <w:p w:rsidR="00913429" w:rsidRDefault="00E143F0">
            <w:pPr>
              <w:pStyle w:val="ListParagraph"/>
              <w:numPr>
                <w:ilvl w:val="0"/>
                <w:numId w:val="197"/>
              </w:numPr>
              <w:spacing w:after="120"/>
              <w:jc w:val="both"/>
              <w:cnfStyle w:val="000000100000" w:firstRow="0" w:lastRow="0" w:firstColumn="0" w:lastColumn="0" w:oddVBand="0" w:evenVBand="0" w:oddHBand="1" w:evenHBand="0" w:firstRowFirstColumn="0" w:firstRowLastColumn="0" w:lastRowFirstColumn="0" w:lastRowLastColumn="0"/>
              <w:rPr>
                <w:rFonts w:eastAsia="SimHei"/>
                <w:i/>
                <w:noProof/>
                <w:sz w:val="18"/>
                <w:lang w:val="en-GB"/>
              </w:rPr>
            </w:pPr>
            <w:r>
              <w:rPr>
                <w:rFonts w:ascii="Times New Roman" w:eastAsia="Arial" w:hAnsi="Times New Roman"/>
                <w:noProof/>
                <w:sz w:val="22"/>
                <w:lang w:val="en-GB"/>
              </w:rPr>
              <w:t xml:space="preserve">A </w:t>
            </w:r>
            <w:r>
              <w:rPr>
                <w:rFonts w:ascii="Times New Roman" w:eastAsia="Arial" w:hAnsi="Times New Roman"/>
                <w:noProof/>
                <w:sz w:val="22"/>
                <w:szCs w:val="22"/>
                <w:lang w:val="en-GB"/>
              </w:rPr>
              <w:t>manufacturer</w:t>
            </w:r>
            <w:r>
              <w:rPr>
                <w:rFonts w:ascii="Times New Roman" w:eastAsia="Arial" w:hAnsi="Times New Roman"/>
                <w:noProof/>
                <w:sz w:val="22"/>
                <w:lang w:val="en-GB"/>
              </w:rPr>
              <w:t xml:space="preserve"> of a security alarm system</w:t>
            </w:r>
            <w:r>
              <w:rPr>
                <w:rFonts w:ascii="Times New Roman" w:eastAsia="Arial" w:hAnsi="Times New Roman"/>
                <w:noProof/>
                <w:sz w:val="22"/>
                <w:szCs w:val="22"/>
                <w:lang w:val="en-GB"/>
              </w:rPr>
              <w:t>s</w:t>
            </w:r>
            <w:r>
              <w:rPr>
                <w:rFonts w:ascii="Times New Roman" w:eastAsia="Arial" w:hAnsi="Times New Roman"/>
                <w:noProof/>
                <w:sz w:val="22"/>
                <w:lang w:val="en-GB"/>
              </w:rPr>
              <w:t xml:space="preserve"> seeking to supply their product throughout the EU will typically need to apply for 10-15 certificates requested in </w:t>
            </w:r>
            <w:r>
              <w:rPr>
                <w:rFonts w:ascii="Times New Roman" w:eastAsia="Arial" w:hAnsi="Times New Roman"/>
                <w:noProof/>
                <w:sz w:val="22"/>
                <w:lang w:val="en-GB"/>
              </w:rPr>
              <w:t>different Member States</w:t>
            </w:r>
          </w:p>
        </w:tc>
        <w:tc>
          <w:tcPr>
            <w:tcW w:w="3798" w:type="dxa"/>
            <w:tcBorders>
              <w:left w:val="single" w:sz="4" w:space="0" w:color="auto"/>
            </w:tcBorders>
          </w:tcPr>
          <w:p w:rsidR="00913429" w:rsidRDefault="00E143F0">
            <w:pPr>
              <w:numPr>
                <w:ilvl w:val="0"/>
                <w:numId w:val="150"/>
              </w:numPr>
              <w:spacing w:before="120" w:after="120" w:line="240"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Arial" w:hAnsi="Times New Roman"/>
                <w:noProof/>
                <w:sz w:val="22"/>
              </w:rPr>
            </w:pPr>
            <w:r>
              <w:rPr>
                <w:rFonts w:ascii="Times New Roman" w:eastAsia="Arial" w:hAnsi="Times New Roman"/>
                <w:noProof/>
                <w:sz w:val="22"/>
              </w:rPr>
              <w:t>Manufacturer need to undergo a single certification process as envisaged in the future European certification scheme for alarm system. The resulting certificate will be accepted by all public authorities in Member States</w:t>
            </w:r>
          </w:p>
          <w:p w:rsidR="00913429" w:rsidRDefault="00913429">
            <w:pPr>
              <w:pStyle w:val="ListParagraph"/>
              <w:spacing w:after="120"/>
              <w:ind w:left="360"/>
              <w:jc w:val="both"/>
              <w:cnfStyle w:val="000000100000" w:firstRow="0" w:lastRow="0" w:firstColumn="0" w:lastColumn="0" w:oddVBand="0" w:evenVBand="0" w:oddHBand="1" w:evenHBand="0" w:firstRowFirstColumn="0" w:firstRowLastColumn="0" w:lastRowFirstColumn="0" w:lastRowLastColumn="0"/>
              <w:rPr>
                <w:b/>
                <w:noProof/>
                <w:lang w:val="en-GB"/>
              </w:rPr>
            </w:pPr>
          </w:p>
        </w:tc>
      </w:tr>
      <w:tr w:rsidR="00913429" w:rsidTr="00913429">
        <w:trPr>
          <w:trHeight w:val="2425"/>
        </w:trPr>
        <w:tc>
          <w:tcPr>
            <w:cnfStyle w:val="001000000000" w:firstRow="0" w:lastRow="0" w:firstColumn="1" w:lastColumn="0" w:oddVBand="0" w:evenVBand="0" w:oddHBand="0" w:evenHBand="0" w:firstRowFirstColumn="0" w:firstRowLastColumn="0" w:lastRowFirstColumn="0" w:lastRowLastColumn="0"/>
            <w:tcW w:w="1682" w:type="dxa"/>
          </w:tcPr>
          <w:p w:rsidR="00913429" w:rsidRDefault="00913429">
            <w:pPr>
              <w:spacing w:after="120"/>
              <w:jc w:val="center"/>
              <w:rPr>
                <w:b/>
                <w:noProof/>
              </w:rPr>
            </w:pPr>
          </w:p>
          <w:p w:rsidR="00913429" w:rsidRDefault="00E143F0">
            <w:pPr>
              <w:spacing w:after="120"/>
              <w:jc w:val="center"/>
              <w:rPr>
                <w:b/>
                <w:noProof/>
              </w:rPr>
            </w:pPr>
            <w:r>
              <w:rPr>
                <w:b/>
                <w:noProof/>
              </w:rPr>
              <w:t>Cost</w:t>
            </w:r>
          </w:p>
          <w:p w:rsidR="00913429" w:rsidRDefault="00913429">
            <w:pPr>
              <w:spacing w:after="120"/>
              <w:jc w:val="center"/>
              <w:rPr>
                <w:b/>
                <w:noProof/>
              </w:rPr>
            </w:pPr>
          </w:p>
          <w:p w:rsidR="00913429" w:rsidRDefault="00913429">
            <w:pPr>
              <w:spacing w:after="120"/>
              <w:jc w:val="center"/>
              <w:rPr>
                <w:b/>
                <w:noProof/>
              </w:rPr>
            </w:pPr>
          </w:p>
          <w:p w:rsidR="00913429" w:rsidRDefault="00913429">
            <w:pPr>
              <w:spacing w:after="120"/>
              <w:jc w:val="center"/>
              <w:rPr>
                <w:b/>
                <w:noProof/>
              </w:rPr>
            </w:pPr>
          </w:p>
        </w:tc>
        <w:tc>
          <w:tcPr>
            <w:tcW w:w="4096" w:type="dxa"/>
            <w:tcBorders>
              <w:right w:val="single" w:sz="4" w:space="0" w:color="auto"/>
            </w:tcBorders>
          </w:tcPr>
          <w:p w:rsidR="00913429" w:rsidRDefault="00E143F0">
            <w:pPr>
              <w:pStyle w:val="ListParagraph"/>
              <w:numPr>
                <w:ilvl w:val="0"/>
                <w:numId w:val="150"/>
              </w:numPr>
              <w:spacing w:after="120"/>
              <w:cnfStyle w:val="000000000000" w:firstRow="0" w:lastRow="0" w:firstColumn="0" w:lastColumn="0" w:oddVBand="0" w:evenVBand="0" w:oddHBand="0" w:evenHBand="0" w:firstRowFirstColumn="0" w:firstRowLastColumn="0" w:lastRowFirstColumn="0" w:lastRowLastColumn="0"/>
              <w:rPr>
                <w:rFonts w:eastAsia="SimHei"/>
                <w:i/>
                <w:noProof/>
                <w:lang w:val="en-GB"/>
              </w:rPr>
            </w:pPr>
            <w:r>
              <w:rPr>
                <w:rFonts w:ascii="Times New Roman" w:eastAsia="Arial" w:hAnsi="Times New Roman"/>
                <w:noProof/>
                <w:sz w:val="22"/>
                <w:lang w:val="en-GB"/>
              </w:rPr>
              <w:t xml:space="preserve">The costs of certifications of an alarm system are on average (with a large spread depending on the nature of the product) at the level of </w:t>
            </w:r>
            <w:r>
              <w:rPr>
                <w:rFonts w:ascii="Times New Roman" w:eastAsia="Arial" w:hAnsi="Times New Roman"/>
                <w:b/>
                <w:noProof/>
                <w:sz w:val="22"/>
                <w:lang w:val="en-GB"/>
              </w:rPr>
              <w:t>200-300 thousand euros</w:t>
            </w:r>
            <w:r>
              <w:rPr>
                <w:rFonts w:ascii="Times New Roman" w:eastAsia="Arial" w:hAnsi="Times New Roman"/>
                <w:noProof/>
                <w:sz w:val="22"/>
                <w:lang w:val="en-GB"/>
              </w:rPr>
              <w:t xml:space="preserve"> for full access to Europe including all tests</w:t>
            </w:r>
          </w:p>
        </w:tc>
        <w:tc>
          <w:tcPr>
            <w:tcW w:w="3798" w:type="dxa"/>
            <w:tcBorders>
              <w:left w:val="single" w:sz="4" w:space="0" w:color="auto"/>
            </w:tcBorders>
          </w:tcPr>
          <w:p w:rsidR="00913429" w:rsidRDefault="00E143F0">
            <w:pPr>
              <w:numPr>
                <w:ilvl w:val="0"/>
                <w:numId w:val="150"/>
              </w:num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Arial" w:hAnsi="Times New Roman"/>
                <w:b/>
                <w:noProof/>
                <w:sz w:val="22"/>
              </w:rPr>
            </w:pPr>
            <w:r>
              <w:rPr>
                <w:rFonts w:ascii="Times New Roman" w:eastAsia="Arial" w:hAnsi="Times New Roman"/>
                <w:noProof/>
                <w:sz w:val="22"/>
              </w:rPr>
              <w:t>The estimated cost for obtaining a single Europe</w:t>
            </w:r>
            <w:r>
              <w:rPr>
                <w:rFonts w:ascii="Times New Roman" w:eastAsia="Arial" w:hAnsi="Times New Roman"/>
                <w:noProof/>
                <w:sz w:val="22"/>
              </w:rPr>
              <w:t xml:space="preserve">an certificate would amount to </w:t>
            </w:r>
            <w:r>
              <w:rPr>
                <w:rFonts w:ascii="Times New Roman" w:eastAsia="Arial" w:hAnsi="Times New Roman"/>
                <w:b/>
                <w:noProof/>
                <w:sz w:val="22"/>
              </w:rPr>
              <w:t>40-60 thousand euros</w:t>
            </w:r>
          </w:p>
          <w:p w:rsidR="00913429" w:rsidRDefault="00E143F0">
            <w:pPr>
              <w:pStyle w:val="ListParagraph"/>
              <w:numPr>
                <w:ilvl w:val="0"/>
                <w:numId w:val="150"/>
              </w:numPr>
              <w:spacing w:after="0"/>
              <w:jc w:val="both"/>
              <w:cnfStyle w:val="000000000000" w:firstRow="0" w:lastRow="0" w:firstColumn="0" w:lastColumn="0" w:oddVBand="0" w:evenVBand="0" w:oddHBand="0" w:evenHBand="0" w:firstRowFirstColumn="0" w:firstRowLastColumn="0" w:lastRowFirstColumn="0" w:lastRowLastColumn="0"/>
              <w:rPr>
                <w:rFonts w:eastAsia="SimHei"/>
                <w:b/>
                <w:noProof/>
                <w:lang w:val="en-GB"/>
              </w:rPr>
            </w:pPr>
            <w:r>
              <w:rPr>
                <w:rFonts w:ascii="Times New Roman" w:eastAsia="Arial" w:hAnsi="Times New Roman"/>
                <w:noProof/>
                <w:sz w:val="22"/>
                <w:lang w:val="en-GB"/>
              </w:rPr>
              <w:t>A potential impact in terms of cost savings for intruder alarm systems amounts to a range of</w:t>
            </w:r>
            <w:r>
              <w:rPr>
                <w:rFonts w:ascii="Times New Roman" w:eastAsia="Arial" w:hAnsi="Times New Roman"/>
                <w:b/>
                <w:noProof/>
                <w:sz w:val="22"/>
                <w:lang w:val="en-GB"/>
              </w:rPr>
              <w:t xml:space="preserve"> 4.7 million euros to 9.9 million euros per year</w:t>
            </w:r>
          </w:p>
        </w:tc>
      </w:tr>
      <w:tr w:rsidR="00913429" w:rsidTr="00913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dxa"/>
          </w:tcPr>
          <w:p w:rsidR="00913429" w:rsidRDefault="00913429">
            <w:pPr>
              <w:spacing w:after="120"/>
              <w:jc w:val="center"/>
              <w:rPr>
                <w:b/>
                <w:noProof/>
              </w:rPr>
            </w:pPr>
          </w:p>
          <w:p w:rsidR="00913429" w:rsidRDefault="00E143F0">
            <w:pPr>
              <w:spacing w:after="120"/>
              <w:jc w:val="center"/>
              <w:rPr>
                <w:b/>
                <w:noProof/>
              </w:rPr>
            </w:pPr>
            <w:r>
              <w:rPr>
                <w:b/>
                <w:noProof/>
              </w:rPr>
              <w:t>Time</w:t>
            </w:r>
          </w:p>
        </w:tc>
        <w:tc>
          <w:tcPr>
            <w:tcW w:w="4096" w:type="dxa"/>
            <w:tcBorders>
              <w:right w:val="single" w:sz="4" w:space="0" w:color="auto"/>
            </w:tcBorders>
          </w:tcPr>
          <w:p w:rsidR="00913429" w:rsidRDefault="00E143F0">
            <w:pPr>
              <w:numPr>
                <w:ilvl w:val="0"/>
                <w:numId w:val="150"/>
              </w:numPr>
              <w:spacing w:before="120" w:after="120" w:line="240"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Arial" w:hAnsi="Times New Roman"/>
                <w:b/>
                <w:noProof/>
                <w:sz w:val="22"/>
              </w:rPr>
            </w:pPr>
            <w:r>
              <w:rPr>
                <w:rFonts w:ascii="Times New Roman" w:eastAsia="Arial" w:hAnsi="Times New Roman"/>
                <w:b/>
                <w:noProof/>
                <w:sz w:val="22"/>
              </w:rPr>
              <w:t xml:space="preserve">Long “time to market” </w:t>
            </w:r>
            <w:r>
              <w:rPr>
                <w:rFonts w:ascii="Times New Roman" w:eastAsia="Arial" w:hAnsi="Times New Roman"/>
                <w:noProof/>
                <w:sz w:val="22"/>
              </w:rPr>
              <w:t>due to the multiple processes/test</w:t>
            </w:r>
            <w:r>
              <w:rPr>
                <w:rFonts w:ascii="Times New Roman" w:eastAsia="Arial" w:hAnsi="Times New Roman"/>
                <w:noProof/>
                <w:sz w:val="22"/>
              </w:rPr>
              <w:t xml:space="preserve"> to obtain several certifications for a single product</w:t>
            </w:r>
          </w:p>
          <w:p w:rsidR="00913429" w:rsidRDefault="00913429">
            <w:pPr>
              <w:pStyle w:val="ListParagraph"/>
              <w:spacing w:after="120"/>
              <w:ind w:left="360"/>
              <w:jc w:val="both"/>
              <w:cnfStyle w:val="000000100000" w:firstRow="0" w:lastRow="0" w:firstColumn="0" w:lastColumn="0" w:oddVBand="0" w:evenVBand="0" w:oddHBand="1" w:evenHBand="0" w:firstRowFirstColumn="0" w:firstRowLastColumn="0" w:lastRowFirstColumn="0" w:lastRowLastColumn="0"/>
              <w:rPr>
                <w:b/>
                <w:noProof/>
                <w:lang w:val="en-GB"/>
              </w:rPr>
            </w:pPr>
          </w:p>
        </w:tc>
        <w:tc>
          <w:tcPr>
            <w:tcW w:w="3798" w:type="dxa"/>
            <w:tcBorders>
              <w:left w:val="single" w:sz="4" w:space="0" w:color="auto"/>
            </w:tcBorders>
          </w:tcPr>
          <w:p w:rsidR="00913429" w:rsidRDefault="00E143F0">
            <w:pPr>
              <w:numPr>
                <w:ilvl w:val="0"/>
                <w:numId w:val="150"/>
              </w:numPr>
              <w:spacing w:before="120" w:after="120" w:line="240"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Arial" w:hAnsi="Times New Roman"/>
                <w:noProof/>
                <w:sz w:val="22"/>
              </w:rPr>
            </w:pPr>
            <w:r>
              <w:rPr>
                <w:rFonts w:ascii="Times New Roman" w:eastAsia="Arial" w:hAnsi="Times New Roman"/>
                <w:b/>
                <w:noProof/>
                <w:sz w:val="22"/>
              </w:rPr>
              <w:t xml:space="preserve">Reduction </w:t>
            </w:r>
            <w:r>
              <w:rPr>
                <w:rFonts w:ascii="Times New Roman" w:eastAsia="Arial" w:hAnsi="Times New Roman"/>
                <w:noProof/>
                <w:sz w:val="22"/>
              </w:rPr>
              <w:t>of the "time to market" thanks to a single certification process.</w:t>
            </w:r>
            <w:r>
              <w:rPr>
                <w:rFonts w:ascii="Times New Roman" w:hAnsi="Times New Roman"/>
                <w:noProof/>
              </w:rPr>
              <w:t xml:space="preserve"> </w:t>
            </w:r>
            <w:r>
              <w:rPr>
                <w:rFonts w:ascii="Times New Roman" w:eastAsia="Arial" w:hAnsi="Times New Roman"/>
                <w:noProof/>
                <w:sz w:val="22"/>
              </w:rPr>
              <w:t xml:space="preserve">ENISA  would accelerate this process by providing all information and documentation needed for compliance with the European </w:t>
            </w:r>
            <w:r>
              <w:rPr>
                <w:rFonts w:ascii="Times New Roman" w:eastAsia="Arial" w:hAnsi="Times New Roman"/>
                <w:noProof/>
                <w:sz w:val="22"/>
              </w:rPr>
              <w:t>scheme</w:t>
            </w:r>
          </w:p>
          <w:p w:rsidR="00913429" w:rsidRDefault="00913429">
            <w:pPr>
              <w:spacing w:after="120"/>
              <w:cnfStyle w:val="000000100000" w:firstRow="0" w:lastRow="0" w:firstColumn="0" w:lastColumn="0" w:oddVBand="0" w:evenVBand="0" w:oddHBand="1" w:evenHBand="0" w:firstRowFirstColumn="0" w:firstRowLastColumn="0" w:lastRowFirstColumn="0" w:lastRowLastColumn="0"/>
              <w:rPr>
                <w:noProof/>
              </w:rPr>
            </w:pPr>
          </w:p>
        </w:tc>
      </w:tr>
      <w:tr w:rsidR="00913429" w:rsidTr="00913429">
        <w:trPr>
          <w:trHeight w:val="1069"/>
        </w:trPr>
        <w:tc>
          <w:tcPr>
            <w:cnfStyle w:val="001000000000" w:firstRow="0" w:lastRow="0" w:firstColumn="1" w:lastColumn="0" w:oddVBand="0" w:evenVBand="0" w:oddHBand="0" w:evenHBand="0" w:firstRowFirstColumn="0" w:firstRowLastColumn="0" w:lastRowFirstColumn="0" w:lastRowLastColumn="0"/>
            <w:tcW w:w="1682" w:type="dxa"/>
          </w:tcPr>
          <w:p w:rsidR="00913429" w:rsidRDefault="00913429">
            <w:pPr>
              <w:spacing w:after="120"/>
              <w:jc w:val="center"/>
              <w:rPr>
                <w:b/>
                <w:noProof/>
              </w:rPr>
            </w:pPr>
          </w:p>
          <w:p w:rsidR="00913429" w:rsidRDefault="00E143F0">
            <w:pPr>
              <w:spacing w:after="120"/>
              <w:jc w:val="center"/>
              <w:rPr>
                <w:b/>
                <w:noProof/>
              </w:rPr>
            </w:pPr>
            <w:r>
              <w:rPr>
                <w:b/>
                <w:noProof/>
              </w:rPr>
              <w:t xml:space="preserve">Other </w:t>
            </w:r>
          </w:p>
        </w:tc>
        <w:tc>
          <w:tcPr>
            <w:tcW w:w="4096" w:type="dxa"/>
            <w:tcBorders>
              <w:right w:val="single" w:sz="4" w:space="0" w:color="auto"/>
            </w:tcBorders>
          </w:tcPr>
          <w:p w:rsidR="00913429" w:rsidRDefault="00E143F0">
            <w:pPr>
              <w:pStyle w:val="ListParagraph"/>
              <w:numPr>
                <w:ilvl w:val="0"/>
                <w:numId w:val="198"/>
              </w:numPr>
              <w:spacing w:after="120"/>
              <w:ind w:left="360"/>
              <w:cnfStyle w:val="000000000000" w:firstRow="0" w:lastRow="0" w:firstColumn="0" w:lastColumn="0" w:oddVBand="0" w:evenVBand="0" w:oddHBand="0" w:evenHBand="0" w:firstRowFirstColumn="0" w:firstRowLastColumn="0" w:lastRowFirstColumn="0" w:lastRowLastColumn="0"/>
              <w:rPr>
                <w:noProof/>
                <w:lang w:val="en-GB"/>
              </w:rPr>
            </w:pPr>
            <w:r>
              <w:rPr>
                <w:rFonts w:ascii="Times New Roman" w:eastAsia="Arial" w:hAnsi="Times New Roman"/>
                <w:noProof/>
                <w:sz w:val="22"/>
                <w:lang w:val="en-GB"/>
              </w:rPr>
              <w:t>High costs and long duration of certifications are barriers to market for alarm systems. These will deteriorate the competitiveness of the EU industry on the global market.</w:t>
            </w:r>
          </w:p>
        </w:tc>
        <w:tc>
          <w:tcPr>
            <w:tcW w:w="3798" w:type="dxa"/>
            <w:tcBorders>
              <w:left w:val="single" w:sz="4" w:space="0" w:color="auto"/>
            </w:tcBorders>
          </w:tcPr>
          <w:p w:rsidR="00913429" w:rsidRDefault="00E143F0">
            <w:pPr>
              <w:numPr>
                <w:ilvl w:val="0"/>
                <w:numId w:val="150"/>
              </w:numPr>
              <w:spacing w:before="120"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Arial" w:hAnsi="Times New Roman"/>
                <w:noProof/>
                <w:sz w:val="22"/>
              </w:rPr>
            </w:pPr>
            <w:r>
              <w:rPr>
                <w:rFonts w:ascii="Times New Roman" w:eastAsia="Arial" w:hAnsi="Times New Roman"/>
                <w:noProof/>
                <w:sz w:val="22"/>
              </w:rPr>
              <w:t>Enhanced competitiveness of European industry through:</w:t>
            </w:r>
          </w:p>
          <w:p w:rsidR="00913429" w:rsidRDefault="00E143F0">
            <w:pPr>
              <w:numPr>
                <w:ilvl w:val="1"/>
                <w:numId w:val="150"/>
              </w:numPr>
              <w:spacing w:after="120" w:line="240" w:lineRule="auto"/>
              <w:ind w:left="602" w:hanging="277"/>
              <w:contextualSpacing/>
              <w:cnfStyle w:val="000000000000" w:firstRow="0" w:lastRow="0" w:firstColumn="0" w:lastColumn="0" w:oddVBand="0" w:evenVBand="0" w:oddHBand="0" w:evenHBand="0" w:firstRowFirstColumn="0" w:firstRowLastColumn="0" w:lastRowFirstColumn="0" w:lastRowLastColumn="0"/>
              <w:rPr>
                <w:rFonts w:ascii="Times New Roman" w:eastAsia="Arial" w:hAnsi="Times New Roman"/>
                <w:noProof/>
                <w:sz w:val="22"/>
              </w:rPr>
            </w:pPr>
            <w:r>
              <w:rPr>
                <w:rFonts w:ascii="Times New Roman" w:eastAsia="Arial" w:hAnsi="Times New Roman"/>
                <w:noProof/>
                <w:sz w:val="22"/>
              </w:rPr>
              <w:t xml:space="preserve">Reduction of costs and time associated to multiple certification requirements </w:t>
            </w:r>
          </w:p>
          <w:p w:rsidR="00913429" w:rsidRDefault="00E143F0">
            <w:pPr>
              <w:numPr>
                <w:ilvl w:val="1"/>
                <w:numId w:val="150"/>
              </w:numPr>
              <w:spacing w:after="120" w:line="240" w:lineRule="auto"/>
              <w:ind w:left="602" w:hanging="277"/>
              <w:contextualSpacing/>
              <w:cnfStyle w:val="000000000000" w:firstRow="0" w:lastRow="0" w:firstColumn="0" w:lastColumn="0" w:oddVBand="0" w:evenVBand="0" w:oddHBand="0" w:evenHBand="0" w:firstRowFirstColumn="0" w:firstRowLastColumn="0" w:lastRowFirstColumn="0" w:lastRowLastColumn="0"/>
              <w:rPr>
                <w:rFonts w:ascii="Times New Roman" w:eastAsia="Arial" w:hAnsi="Times New Roman"/>
                <w:noProof/>
                <w:sz w:val="22"/>
              </w:rPr>
            </w:pPr>
            <w:r>
              <w:rPr>
                <w:rFonts w:ascii="Times New Roman" w:eastAsia="Arial" w:hAnsi="Times New Roman"/>
                <w:noProof/>
                <w:sz w:val="22"/>
              </w:rPr>
              <w:t>Improved transparency of EU-wide security  requirements needed for this product</w:t>
            </w:r>
          </w:p>
          <w:p w:rsidR="00913429" w:rsidRDefault="00E143F0">
            <w:pPr>
              <w:numPr>
                <w:ilvl w:val="1"/>
                <w:numId w:val="150"/>
              </w:numPr>
              <w:spacing w:after="120" w:line="240" w:lineRule="auto"/>
              <w:ind w:left="602" w:hanging="277"/>
              <w:contextualSpacing/>
              <w:cnfStyle w:val="000000000000" w:firstRow="0" w:lastRow="0" w:firstColumn="0" w:lastColumn="0" w:oddVBand="0" w:evenVBand="0" w:oddHBand="0" w:evenHBand="0" w:firstRowFirstColumn="0" w:firstRowLastColumn="0" w:lastRowFirstColumn="0" w:lastRowLastColumn="0"/>
              <w:rPr>
                <w:b/>
                <w:noProof/>
              </w:rPr>
            </w:pPr>
            <w:r>
              <w:rPr>
                <w:rFonts w:ascii="Times New Roman" w:eastAsia="Arial" w:hAnsi="Times New Roman"/>
                <w:noProof/>
                <w:sz w:val="22"/>
              </w:rPr>
              <w:t>Enhanced competition among EU suppliers</w:t>
            </w:r>
          </w:p>
        </w:tc>
      </w:tr>
    </w:tbl>
    <w:p w:rsidR="00913429" w:rsidRDefault="00913429">
      <w:pPr>
        <w:spacing w:after="120"/>
        <w:jc w:val="both"/>
        <w:rPr>
          <w:b/>
          <w:noProof/>
        </w:rPr>
      </w:pPr>
    </w:p>
    <w:p w:rsidR="00913429" w:rsidRDefault="00E143F0">
      <w:pPr>
        <w:spacing w:after="0" w:line="240" w:lineRule="auto"/>
        <w:rPr>
          <w:b/>
          <w:noProof/>
        </w:rPr>
      </w:pPr>
      <w:r>
        <w:rPr>
          <w:b/>
          <w:noProof/>
        </w:rPr>
        <w:br w:type="page"/>
      </w:r>
    </w:p>
    <w:p w:rsidR="00913429" w:rsidRDefault="00E143F0">
      <w:pPr>
        <w:spacing w:after="120"/>
        <w:jc w:val="both"/>
        <w:rPr>
          <w:b/>
          <w:noProof/>
        </w:rPr>
      </w:pPr>
      <w:r>
        <w:rPr>
          <w:b/>
          <w:noProof/>
        </w:rPr>
        <w:t>Full Description:</w:t>
      </w:r>
    </w:p>
    <w:p w:rsidR="00913429" w:rsidRDefault="00E143F0">
      <w:pPr>
        <w:spacing w:after="120"/>
        <w:jc w:val="both"/>
        <w:rPr>
          <w:noProof/>
        </w:rPr>
      </w:pPr>
      <w:r>
        <w:rPr>
          <w:b/>
          <w:noProof/>
        </w:rPr>
        <w:t xml:space="preserve">Methodology: </w:t>
      </w:r>
      <w:r>
        <w:rPr>
          <w:noProof/>
        </w:rPr>
        <w:t xml:space="preserve">The research methodology of this case study is based on literature retrieved from desk research and on the analysis of the European landscape of Alarm-Systems and Security Industry. </w:t>
      </w:r>
    </w:p>
    <w:p w:rsidR="00913429" w:rsidRDefault="00E143F0">
      <w:pPr>
        <w:tabs>
          <w:tab w:val="num" w:pos="720"/>
        </w:tabs>
        <w:spacing w:after="0"/>
        <w:jc w:val="both"/>
        <w:rPr>
          <w:noProof/>
        </w:rPr>
      </w:pPr>
      <w:r>
        <w:rPr>
          <w:b/>
          <w:noProof/>
        </w:rPr>
        <w:t xml:space="preserve">Background: </w:t>
      </w:r>
      <w:r>
        <w:rPr>
          <w:noProof/>
        </w:rPr>
        <w:t>The security industry in the EU generates a turnover of close</w:t>
      </w:r>
      <w:r>
        <w:rPr>
          <w:noProof/>
        </w:rPr>
        <w:t xml:space="preserve"> to € 200 billion, and creates employment for 4.7 million persons</w:t>
      </w:r>
      <w:r>
        <w:rPr>
          <w:rStyle w:val="FootnoteReference"/>
          <w:noProof/>
        </w:rPr>
        <w:footnoteReference w:id="22"/>
      </w:r>
      <w:r>
        <w:rPr>
          <w:noProof/>
        </w:rPr>
        <w:t xml:space="preserve">. European companies are still among the world leaders in the majority of the segments of the security sector. One of these segments is represented by Alarm Systems Industry. According to a </w:t>
      </w:r>
      <w:r>
        <w:rPr>
          <w:noProof/>
        </w:rPr>
        <w:t xml:space="preserve">new research report by Berg Insight, the number of monitored alarm systems in Europe is forecasted </w:t>
      </w:r>
      <w:r>
        <w:rPr>
          <w:b/>
          <w:noProof/>
        </w:rPr>
        <w:t>to grow from</w:t>
      </w:r>
      <w:r>
        <w:rPr>
          <w:noProof/>
        </w:rPr>
        <w:t xml:space="preserve"> </w:t>
      </w:r>
      <w:r>
        <w:rPr>
          <w:b/>
          <w:noProof/>
        </w:rPr>
        <w:t>8.7 million in 2016</w:t>
      </w:r>
      <w:r>
        <w:rPr>
          <w:noProof/>
        </w:rPr>
        <w:t xml:space="preserve"> at a compound annual growth rate (CAGR) of 4.0 percent </w:t>
      </w:r>
      <w:r>
        <w:rPr>
          <w:b/>
          <w:noProof/>
        </w:rPr>
        <w:t>to reach 10.6 million in 2021</w:t>
      </w:r>
      <w:r>
        <w:rPr>
          <w:rStyle w:val="FootnoteReference"/>
          <w:noProof/>
        </w:rPr>
        <w:footnoteReference w:id="23"/>
      </w:r>
      <w:r>
        <w:rPr>
          <w:noProof/>
        </w:rPr>
        <w:t>. The growing international competition</w:t>
      </w:r>
      <w:r>
        <w:rPr>
          <w:noProof/>
        </w:rPr>
        <w:t xml:space="preserve"> and recent market evolutions do however indicate that the global market shares of European companies could drop significantly over the next years if no action is launched to enhance the competitiveness of the EU security and alarm systems industry. The Se</w:t>
      </w:r>
      <w:r>
        <w:rPr>
          <w:noProof/>
        </w:rPr>
        <w:t>curity market has three distinctive features</w:t>
      </w:r>
      <w:r>
        <w:rPr>
          <w:rStyle w:val="FootnoteReference"/>
          <w:noProof/>
        </w:rPr>
        <w:footnoteReference w:id="24"/>
      </w:r>
      <w:r>
        <w:rPr>
          <w:noProof/>
        </w:rPr>
        <w:t xml:space="preserve">: </w:t>
      </w:r>
    </w:p>
    <w:p w:rsidR="00913429" w:rsidRDefault="00E143F0">
      <w:pPr>
        <w:pStyle w:val="ListParagraph"/>
        <w:numPr>
          <w:ilvl w:val="0"/>
          <w:numId w:val="151"/>
        </w:numPr>
        <w:tabs>
          <w:tab w:val="num" w:pos="720"/>
        </w:tabs>
        <w:spacing w:before="0" w:after="160" w:line="259" w:lineRule="auto"/>
        <w:jc w:val="both"/>
        <w:rPr>
          <w:noProof/>
          <w:lang w:val="en-GB"/>
        </w:rPr>
      </w:pPr>
      <w:r>
        <w:rPr>
          <w:noProof/>
          <w:lang w:val="en-GB"/>
        </w:rPr>
        <w:t>It is a highly fragmented market divided along national or even regional boundaries. Security, being one of the most sensitive policy fields, is one of the areas where Member States are hesitant to give up th</w:t>
      </w:r>
      <w:r>
        <w:rPr>
          <w:noProof/>
          <w:lang w:val="en-GB"/>
        </w:rPr>
        <w:t xml:space="preserve">eir national prerogatives. </w:t>
      </w:r>
    </w:p>
    <w:p w:rsidR="00913429" w:rsidRDefault="00E143F0">
      <w:pPr>
        <w:pStyle w:val="ListParagraph"/>
        <w:numPr>
          <w:ilvl w:val="0"/>
          <w:numId w:val="151"/>
        </w:numPr>
        <w:tabs>
          <w:tab w:val="num" w:pos="720"/>
        </w:tabs>
        <w:spacing w:before="0" w:after="160" w:line="259" w:lineRule="auto"/>
        <w:jc w:val="both"/>
        <w:rPr>
          <w:noProof/>
          <w:lang w:val="en-GB"/>
        </w:rPr>
      </w:pPr>
      <w:r>
        <w:rPr>
          <w:noProof/>
          <w:lang w:val="en-GB"/>
        </w:rPr>
        <w:t>It is an institutional market. In large parts the security market is still an institutional market, i.e. the buyers are public authorities. Even in areas where it is a commercial market, the security requirements are still large</w:t>
      </w:r>
      <w:r>
        <w:rPr>
          <w:noProof/>
          <w:lang w:val="en-GB"/>
        </w:rPr>
        <w:t xml:space="preserve">ly framed through legislation. </w:t>
      </w:r>
    </w:p>
    <w:p w:rsidR="00913429" w:rsidRDefault="00E143F0">
      <w:pPr>
        <w:pStyle w:val="ListParagraph"/>
        <w:numPr>
          <w:ilvl w:val="0"/>
          <w:numId w:val="151"/>
        </w:numPr>
        <w:tabs>
          <w:tab w:val="num" w:pos="720"/>
        </w:tabs>
        <w:spacing w:before="0" w:after="160" w:line="259" w:lineRule="auto"/>
        <w:jc w:val="both"/>
        <w:rPr>
          <w:noProof/>
          <w:lang w:val="en-GB"/>
        </w:rPr>
      </w:pPr>
      <w:r>
        <w:rPr>
          <w:noProof/>
          <w:lang w:val="en-GB"/>
        </w:rPr>
        <w:t xml:space="preserve">It has a strong societal dimension. Whilst security is one of the most essential human needs, it is also a highly sensitive area. Security measures and technologies can have an impact on fundamental rights and often provoke </w:t>
      </w:r>
      <w:r>
        <w:rPr>
          <w:noProof/>
          <w:lang w:val="en-GB"/>
        </w:rPr>
        <w:t>fear of a possible undermining of privacy</w:t>
      </w:r>
    </w:p>
    <w:p w:rsidR="00913429" w:rsidRDefault="00E143F0">
      <w:pPr>
        <w:jc w:val="both"/>
        <w:rPr>
          <w:noProof/>
        </w:rPr>
      </w:pPr>
      <w:r>
        <w:rPr>
          <w:b/>
          <w:noProof/>
        </w:rPr>
        <w:t>Fragmentation of the Security Industry:</w:t>
      </w:r>
      <w:r>
        <w:rPr>
          <w:noProof/>
        </w:rPr>
        <w:t xml:space="preserve"> Various and not fully coordinated certification initiatives across Europe are increasing fragmentation in the domain of ICT certification and therefore also for Security and </w:t>
      </w:r>
      <w:r>
        <w:rPr>
          <w:noProof/>
        </w:rPr>
        <w:t>Alarm Systems Industry which are becoming more and more dependent on the internet, resulting in duplication of efforts and waste of resources. A producer of a security alarm system seeking to supply their product throughout the EU will typically need to ap</w:t>
      </w:r>
      <w:r>
        <w:rPr>
          <w:noProof/>
        </w:rPr>
        <w:t>ply for 10-15 certificates from different Member States</w:t>
      </w:r>
      <w:r>
        <w:rPr>
          <w:rStyle w:val="FootnoteReference"/>
          <w:noProof/>
        </w:rPr>
        <w:footnoteReference w:id="25"/>
      </w:r>
      <w:r>
        <w:rPr>
          <w:noProof/>
        </w:rPr>
        <w:t xml:space="preserve">. The non-exhaustive list of certification schemes applicable to Alarm Systems and Security products across Europe, includes, among others: </w:t>
      </w:r>
    </w:p>
    <w:p w:rsidR="00913429" w:rsidRDefault="00E143F0">
      <w:pPr>
        <w:numPr>
          <w:ilvl w:val="0"/>
          <w:numId w:val="132"/>
        </w:numPr>
        <w:spacing w:before="60" w:after="60"/>
        <w:ind w:left="360"/>
        <w:jc w:val="both"/>
        <w:rPr>
          <w:noProof/>
        </w:rPr>
      </w:pPr>
      <w:r>
        <w:rPr>
          <w:b/>
          <w:noProof/>
        </w:rPr>
        <w:t>CertAlarm:</w:t>
      </w:r>
      <w:r>
        <w:rPr>
          <w:noProof/>
        </w:rPr>
        <w:t xml:space="preserve"> The CertAlarm Certification Schemes provide a pr</w:t>
      </w:r>
      <w:r>
        <w:rPr>
          <w:noProof/>
        </w:rPr>
        <w:t xml:space="preserve">oof of conformity the European (EU) product, system, installation and service standards. The scheme is based on the principle of independent third-party assessment and certification of security products. The CertAlarm Certification includes some standards </w:t>
      </w:r>
      <w:r>
        <w:rPr>
          <w:noProof/>
        </w:rPr>
        <w:t>on IP interoperability implementation based on Web services for each kind of alarm</w:t>
      </w:r>
      <w:r>
        <w:rPr>
          <w:noProof/>
          <w:vertAlign w:val="superscript"/>
        </w:rPr>
        <w:footnoteReference w:id="26"/>
      </w:r>
      <w:r>
        <w:rPr>
          <w:noProof/>
        </w:rPr>
        <w:t>.</w:t>
      </w:r>
    </w:p>
    <w:p w:rsidR="00913429" w:rsidRDefault="00E143F0">
      <w:pPr>
        <w:pStyle w:val="BodyText"/>
        <w:numPr>
          <w:ilvl w:val="0"/>
          <w:numId w:val="132"/>
        </w:numPr>
        <w:ind w:left="360"/>
        <w:rPr>
          <w:b/>
          <w:noProof/>
        </w:rPr>
      </w:pPr>
      <w:r>
        <w:rPr>
          <w:b/>
          <w:noProof/>
        </w:rPr>
        <w:t>Alarm System Certificate</w:t>
      </w:r>
      <w:r>
        <w:rPr>
          <w:rStyle w:val="FootnoteReference"/>
          <w:b/>
          <w:noProof/>
        </w:rPr>
        <w:footnoteReference w:id="27"/>
      </w:r>
      <w:r>
        <w:rPr>
          <w:b/>
          <w:noProof/>
        </w:rPr>
        <w:t xml:space="preserve">: </w:t>
      </w:r>
      <w:r>
        <w:rPr>
          <w:noProof/>
        </w:rPr>
        <w:t xml:space="preserve">The alarm system Certificate is the UL Mark for programs designed to meet the needs of alarm service providers, their customers, and interested </w:t>
      </w:r>
      <w:r>
        <w:rPr>
          <w:noProof/>
        </w:rPr>
        <w:t xml:space="preserve">stakeholders. It is the alarm company’s declaration that the system will be installed, maintained, tested and monitored in accordance with applicable codes and standards. </w:t>
      </w:r>
      <w:r>
        <w:rPr>
          <w:noProof/>
          <w:lang w:val="en-US"/>
        </w:rPr>
        <w:t>The Alarm System Certificate includes a cybersecurity standard (UL 2900)</w:t>
      </w:r>
      <w:r>
        <w:rPr>
          <w:rStyle w:val="FootnoteReference"/>
          <w:noProof/>
          <w:lang w:val="en-US"/>
        </w:rPr>
        <w:footnoteReference w:id="28"/>
      </w:r>
    </w:p>
    <w:p w:rsidR="00913429" w:rsidRDefault="00E143F0">
      <w:pPr>
        <w:pStyle w:val="BodyText"/>
        <w:numPr>
          <w:ilvl w:val="0"/>
          <w:numId w:val="132"/>
        </w:numPr>
        <w:spacing w:after="120"/>
        <w:ind w:left="360"/>
        <w:rPr>
          <w:noProof/>
        </w:rPr>
      </w:pPr>
      <w:r>
        <w:rPr>
          <w:b/>
          <w:noProof/>
        </w:rPr>
        <w:t xml:space="preserve">ONVIF and </w:t>
      </w:r>
      <w:r>
        <w:rPr>
          <w:b/>
          <w:noProof/>
        </w:rPr>
        <w:t>PSIA</w:t>
      </w:r>
      <w:r>
        <w:rPr>
          <w:noProof/>
        </w:rPr>
        <w:t xml:space="preserve">: the Open Network Video Interface Forum (ONVIF) and the Physical Security Interoperability Alliance (PSIA) are two recently created organisations with the aim of developing interoperability standards for Internet Protocol (IP) based security systems. </w:t>
      </w:r>
      <w:r>
        <w:rPr>
          <w:noProof/>
        </w:rPr>
        <w:t xml:space="preserve">Both these bodies are promoting conformity schemes based on manufacturers undertaking their own conformance testing. </w:t>
      </w:r>
      <w:r>
        <w:rPr>
          <w:noProof/>
          <w:lang w:val="en-US"/>
        </w:rPr>
        <w:t>ONVIF’s Profile Q offers the advanced security required in today’s technological world, giving integrators and end users the necessary prot</w:t>
      </w:r>
      <w:r>
        <w:rPr>
          <w:noProof/>
          <w:lang w:val="en-US"/>
        </w:rPr>
        <w:t>ections from today’s cyber security threats, in addition to providing out-of-the-box interoperability</w:t>
      </w:r>
      <w:r>
        <w:rPr>
          <w:rStyle w:val="FootnoteReference"/>
          <w:noProof/>
          <w:lang w:val="en-US"/>
        </w:rPr>
        <w:footnoteReference w:id="29"/>
      </w:r>
      <w:r>
        <w:rPr>
          <w:noProof/>
          <w:lang w:val="en-US"/>
        </w:rPr>
        <w:t xml:space="preserve">. </w:t>
      </w:r>
    </w:p>
    <w:p w:rsidR="00913429" w:rsidRDefault="00E143F0">
      <w:pPr>
        <w:pStyle w:val="BodyText"/>
        <w:numPr>
          <w:ilvl w:val="0"/>
          <w:numId w:val="132"/>
        </w:numPr>
        <w:ind w:left="360"/>
        <w:rPr>
          <w:noProof/>
        </w:rPr>
      </w:pPr>
      <w:r>
        <w:rPr>
          <w:b/>
          <w:noProof/>
        </w:rPr>
        <w:t>EuroPriSe</w:t>
      </w:r>
      <w:r>
        <w:rPr>
          <w:noProof/>
        </w:rPr>
        <w:t xml:space="preserve">: EuroPriSe is a European scheme providing privacy and data protection certification for IT products and IT-based services. </w:t>
      </w:r>
      <w:r>
        <w:rPr>
          <w:noProof/>
          <w:lang w:val="en-US"/>
        </w:rPr>
        <w:t xml:space="preserve">The procedure </w:t>
      </w:r>
      <w:r>
        <w:rPr>
          <w:noProof/>
          <w:lang w:val="en-US"/>
        </w:rPr>
        <w:t>consists of an evaluation of the product or service by admitted legal and IT experts and a validation of the evaluation report by an independent certification authority</w:t>
      </w:r>
      <w:r>
        <w:rPr>
          <w:rStyle w:val="FootnoteReference"/>
          <w:noProof/>
          <w:lang w:val="en-US"/>
        </w:rPr>
        <w:footnoteReference w:id="30"/>
      </w:r>
      <w:r>
        <w:rPr>
          <w:noProof/>
          <w:lang w:val="en-US"/>
        </w:rPr>
        <w:t>.</w:t>
      </w:r>
    </w:p>
    <w:p w:rsidR="00913429" w:rsidRDefault="00E143F0">
      <w:pPr>
        <w:jc w:val="both"/>
        <w:rPr>
          <w:b/>
          <w:noProof/>
        </w:rPr>
      </w:pPr>
      <w:r>
        <w:rPr>
          <w:b/>
          <w:noProof/>
        </w:rPr>
        <w:t>Cost for Certification:</w:t>
      </w:r>
      <w:r>
        <w:rPr>
          <w:noProof/>
        </w:rPr>
        <w:t xml:space="preserve"> The costs of certification of an alarm system are on average </w:t>
      </w:r>
      <w:r>
        <w:rPr>
          <w:noProof/>
        </w:rPr>
        <w:t xml:space="preserve">(with a large spread depending on the nature of the product) at the level of </w:t>
      </w:r>
      <w:r>
        <w:rPr>
          <w:b/>
          <w:noProof/>
        </w:rPr>
        <w:t>200-300 thousand euros</w:t>
      </w:r>
      <w:r>
        <w:rPr>
          <w:noProof/>
        </w:rPr>
        <w:t xml:space="preserve"> for full access to Europe including all tests. Stakeholders indicate that the estimated cost for obtaining a mutually recognised certificate for the same al</w:t>
      </w:r>
      <w:r>
        <w:rPr>
          <w:noProof/>
        </w:rPr>
        <w:t xml:space="preserve">arm system would amount to </w:t>
      </w:r>
      <w:r>
        <w:rPr>
          <w:b/>
          <w:noProof/>
        </w:rPr>
        <w:t>40-60 thousand euros</w:t>
      </w:r>
      <w:r>
        <w:rPr>
          <w:rStyle w:val="FootnoteReference"/>
          <w:b/>
          <w:noProof/>
        </w:rPr>
        <w:footnoteReference w:id="31"/>
      </w:r>
      <w:r>
        <w:rPr>
          <w:noProof/>
        </w:rPr>
        <w:t xml:space="preserve">. Under an EU-wide system of conformity assessment and certification that provides for mutual recognition of certification throughout the EU, security products will have to be certified only once, instead of </w:t>
      </w:r>
      <w:r>
        <w:rPr>
          <w:noProof/>
        </w:rPr>
        <w:t>multiple times. This implies a reduction of costs associated to multiple conformity assessment (i.e. testing) and certification for those products, and in those markets, that are currently required to undergo national conformity assessment and certificatio</w:t>
      </w:r>
      <w:r>
        <w:rPr>
          <w:noProof/>
        </w:rPr>
        <w:t xml:space="preserve">n. A global estimate of the potential impact in terms of cost savings for intruder alarm systems </w:t>
      </w:r>
      <w:r>
        <w:rPr>
          <w:b/>
          <w:noProof/>
        </w:rPr>
        <w:t>amounts to a range of EUR 4.7 million to 9.9 million per year</w:t>
      </w:r>
      <w:r>
        <w:rPr>
          <w:noProof/>
        </w:rPr>
        <w:t>. For other product categories for which national authorities require some form of approval, the e</w:t>
      </w:r>
      <w:r>
        <w:rPr>
          <w:noProof/>
        </w:rPr>
        <w:t xml:space="preserve">valuation of product performance is more often organised on an </w:t>
      </w:r>
      <w:r>
        <w:rPr>
          <w:i/>
          <w:iCs/>
          <w:noProof/>
        </w:rPr>
        <w:t xml:space="preserve">ad hoc </w:t>
      </w:r>
      <w:r>
        <w:rPr>
          <w:noProof/>
        </w:rPr>
        <w:t xml:space="preserve">basis involving a mixture of testing and operational trials. </w:t>
      </w:r>
    </w:p>
    <w:p w:rsidR="00913429" w:rsidRDefault="00E143F0">
      <w:pPr>
        <w:jc w:val="both"/>
        <w:rPr>
          <w:noProof/>
        </w:rPr>
      </w:pPr>
      <w:r>
        <w:rPr>
          <w:b/>
          <w:noProof/>
        </w:rPr>
        <w:t>Benefits for the Alarm-System Industry of an EU wide Certification Framework:</w:t>
      </w:r>
      <w:r>
        <w:rPr>
          <w:noProof/>
        </w:rPr>
        <w:t xml:space="preserve"> Without (effective) action at the EU-level (ba</w:t>
      </w:r>
      <w:r>
        <w:rPr>
          <w:noProof/>
        </w:rPr>
        <w:t>seline), the lack of an internal market for alarm systems products/components will deteriorate the position of the EU industry on the global market. The development of EU-wide harmonised standards and a common conformity assessment procedure is expected to</w:t>
      </w:r>
      <w:r>
        <w:rPr>
          <w:noProof/>
        </w:rPr>
        <w:t xml:space="preserve"> significantly reduce the certification costs for suppliers of intruder alarm systems where they serve multiple national markets in the EU. Moreover, it should reduce costs incurred in developing variants of products that are adapted to comply with differi</w:t>
      </w:r>
      <w:r>
        <w:rPr>
          <w:noProof/>
        </w:rPr>
        <w:t>ng standards and conformity assessment procedures at national level, which industry stakeholders consider often have limited actual impact on product performance for final customers. Removing the need for multiple certifications would enable suppliers of a</w:t>
      </w:r>
      <w:r>
        <w:rPr>
          <w:noProof/>
        </w:rPr>
        <w:t>larm systems to more rapidly access different parts of the EU market which, in turn, could benefit the organisation and scale of production activities. Further, by reducing delays in ‘time to market’ caused through multiple certification requirements, an E</w:t>
      </w:r>
      <w:r>
        <w:rPr>
          <w:noProof/>
        </w:rPr>
        <w:t>U-wide scheme should reduce the risk of new product innovations being replicated by competitors. Thus, an EU wide scheme should increase the potential return and reduce the level of risk associated to investments in research and technology development</w:t>
      </w:r>
      <w:r>
        <w:rPr>
          <w:rStyle w:val="FootnoteReference"/>
          <w:noProof/>
        </w:rPr>
        <w:footnoteReference w:id="32"/>
      </w:r>
      <w:r>
        <w:rPr>
          <w:noProof/>
        </w:rPr>
        <w:t>.</w:t>
      </w:r>
    </w:p>
    <w:p w:rsidR="00913429" w:rsidRDefault="00E143F0">
      <w:pPr>
        <w:jc w:val="both"/>
        <w:rPr>
          <w:noProof/>
        </w:rPr>
      </w:pPr>
      <w:r>
        <w:rPr>
          <w:noProof/>
        </w:rPr>
        <w:t>Th</w:t>
      </w:r>
      <w:r>
        <w:rPr>
          <w:noProof/>
        </w:rPr>
        <w:t>e expected positive consequences of harmonised EU wide certification procedures are:</w:t>
      </w:r>
    </w:p>
    <w:p w:rsidR="00913429" w:rsidRDefault="00E143F0">
      <w:pPr>
        <w:pStyle w:val="ListParagraph"/>
        <w:numPr>
          <w:ilvl w:val="0"/>
          <w:numId w:val="152"/>
        </w:numPr>
        <w:spacing w:before="0" w:after="0" w:line="259" w:lineRule="auto"/>
        <w:jc w:val="both"/>
        <w:rPr>
          <w:noProof/>
          <w:lang w:val="en-GB"/>
        </w:rPr>
      </w:pPr>
      <w:r>
        <w:rPr>
          <w:noProof/>
          <w:lang w:val="en-GB"/>
        </w:rPr>
        <w:t xml:space="preserve">reduction of costs associated to multiple testing; </w:t>
      </w:r>
    </w:p>
    <w:p w:rsidR="00913429" w:rsidRDefault="00E143F0">
      <w:pPr>
        <w:pStyle w:val="ListParagraph"/>
        <w:numPr>
          <w:ilvl w:val="0"/>
          <w:numId w:val="152"/>
        </w:numPr>
        <w:spacing w:before="0" w:after="0" w:line="259" w:lineRule="auto"/>
        <w:jc w:val="both"/>
        <w:rPr>
          <w:noProof/>
        </w:rPr>
      </w:pPr>
      <w:r>
        <w:rPr>
          <w:noProof/>
        </w:rPr>
        <w:t xml:space="preserve">facilitated access to markets; </w:t>
      </w:r>
    </w:p>
    <w:p w:rsidR="00913429" w:rsidRDefault="00E143F0">
      <w:pPr>
        <w:pStyle w:val="ListParagraph"/>
        <w:numPr>
          <w:ilvl w:val="0"/>
          <w:numId w:val="152"/>
        </w:numPr>
        <w:spacing w:before="0" w:after="0" w:line="259" w:lineRule="auto"/>
        <w:jc w:val="both"/>
        <w:rPr>
          <w:noProof/>
          <w:lang w:val="en-GB"/>
        </w:rPr>
      </w:pPr>
      <w:r>
        <w:rPr>
          <w:noProof/>
          <w:lang w:val="en-GB"/>
        </w:rPr>
        <w:t xml:space="preserve">reduction of the "time to market"; </w:t>
      </w:r>
    </w:p>
    <w:p w:rsidR="00913429" w:rsidRDefault="00E143F0">
      <w:pPr>
        <w:pStyle w:val="ListParagraph"/>
        <w:numPr>
          <w:ilvl w:val="0"/>
          <w:numId w:val="152"/>
        </w:numPr>
        <w:spacing w:before="0" w:after="0" w:line="259" w:lineRule="auto"/>
        <w:jc w:val="both"/>
        <w:rPr>
          <w:noProof/>
          <w:lang w:val="en-GB"/>
        </w:rPr>
      </w:pPr>
      <w:r>
        <w:rPr>
          <w:noProof/>
          <w:lang w:val="en-GB"/>
        </w:rPr>
        <w:t>improved transparency of performance requirements a</w:t>
      </w:r>
      <w:r>
        <w:rPr>
          <w:noProof/>
          <w:lang w:val="en-GB"/>
        </w:rPr>
        <w:t>nd standards;</w:t>
      </w:r>
    </w:p>
    <w:p w:rsidR="00913429" w:rsidRDefault="00E143F0">
      <w:pPr>
        <w:pStyle w:val="ListParagraph"/>
        <w:numPr>
          <w:ilvl w:val="0"/>
          <w:numId w:val="152"/>
        </w:numPr>
        <w:spacing w:before="0" w:after="0" w:line="259" w:lineRule="auto"/>
        <w:jc w:val="both"/>
        <w:rPr>
          <w:noProof/>
          <w:lang w:val="en-GB"/>
        </w:rPr>
      </w:pPr>
      <w:r>
        <w:rPr>
          <w:noProof/>
          <w:lang w:val="en-GB"/>
        </w:rPr>
        <w:t xml:space="preserve">enhanced competition among EU suppliers; </w:t>
      </w:r>
    </w:p>
    <w:p w:rsidR="00913429" w:rsidRDefault="00E143F0">
      <w:pPr>
        <w:pStyle w:val="ListParagraph"/>
        <w:numPr>
          <w:ilvl w:val="0"/>
          <w:numId w:val="152"/>
        </w:numPr>
        <w:spacing w:before="0" w:after="0" w:line="259" w:lineRule="auto"/>
        <w:jc w:val="both"/>
        <w:rPr>
          <w:noProof/>
          <w:lang w:val="en-GB"/>
        </w:rPr>
      </w:pPr>
      <w:r>
        <w:rPr>
          <w:noProof/>
          <w:lang w:val="en-GB"/>
        </w:rPr>
        <w:t xml:space="preserve">reduction of costs for conformity assessment and certification (CAC) services and the development of security technologies; </w:t>
      </w:r>
    </w:p>
    <w:p w:rsidR="00913429" w:rsidRDefault="00E143F0">
      <w:pPr>
        <w:pStyle w:val="ListParagraph"/>
        <w:numPr>
          <w:ilvl w:val="0"/>
          <w:numId w:val="152"/>
        </w:numPr>
        <w:spacing w:before="0" w:after="120" w:line="259" w:lineRule="auto"/>
        <w:jc w:val="both"/>
        <w:rPr>
          <w:noProof/>
          <w:lang w:val="en-GB"/>
        </w:rPr>
      </w:pPr>
      <w:r>
        <w:rPr>
          <w:noProof/>
        </w:rPr>
        <w:t>lower prices for security technologies</w:t>
      </w:r>
    </w:p>
    <w:p w:rsidR="00913429" w:rsidRDefault="00E143F0">
      <w:pPr>
        <w:spacing w:after="0" w:line="240" w:lineRule="auto"/>
        <w:jc w:val="both"/>
        <w:rPr>
          <w:noProof/>
        </w:rPr>
      </w:pPr>
      <w:r>
        <w:rPr>
          <w:b/>
          <w:noProof/>
        </w:rPr>
        <w:t xml:space="preserve">Conclusion: </w:t>
      </w:r>
      <w:r>
        <w:rPr>
          <w:noProof/>
        </w:rPr>
        <w:t>In order to ensure the m</w:t>
      </w:r>
      <w:r>
        <w:rPr>
          <w:noProof/>
        </w:rPr>
        <w:t>arket leading position of EU companies over the years to come, the first priority will be to overcome the fragmentation of the EU security markets through the harmonisation of standards and certification procedures for security technologies. The societal a</w:t>
      </w:r>
      <w:r>
        <w:rPr>
          <w:noProof/>
        </w:rPr>
        <w:t>cceptance of security technologies will be promoted through the introduction of the "privacy by design" and "privacy by default" concepts throughout the development of new security technologies. Although a handful of major players dominate both the EU (and</w:t>
      </w:r>
      <w:r>
        <w:rPr>
          <w:noProof/>
        </w:rPr>
        <w:t xml:space="preserve"> US) market, there remain many niche markets that are very attractive for SMEs, either directly or through the supply of specialized products and components to major manufacturers and integrators, and to the installation service market. Conformity assessme</w:t>
      </w:r>
      <w:r>
        <w:rPr>
          <w:noProof/>
        </w:rPr>
        <w:t>nt and certification costs represent a proportionately higher share of total costs for SMEs and consequently a greater market access barrier. Accordingly, they are expected to benefit in particular from the cost savings resulting from EU-wide harmonised st</w:t>
      </w:r>
      <w:r>
        <w:rPr>
          <w:noProof/>
        </w:rPr>
        <w:t>andards and certification procedures. In addition, an EU certification scheme should serve as a recognised mark of product performance and quality that can reduce the importance of ‘reputation effects’ of larger players and local companies, thus facilitati</w:t>
      </w:r>
      <w:r>
        <w:rPr>
          <w:noProof/>
        </w:rPr>
        <w:t>ng SMEs to trade across borders within the EU and even in global markets. Overall, an EU-wide scheme is expected to increase market efficiency in the EU by raising the level of competition – both between EU companies and from outside the EU – and stimulate</w:t>
      </w:r>
      <w:r>
        <w:rPr>
          <w:noProof/>
        </w:rPr>
        <w:t xml:space="preserve"> improvements in industry performance levels (e.g. productivity). It is not expected, however, that the reduction in costs resulting from an EU-wide approach would have a significant impact on the price competitiveness of EU alarm products in international</w:t>
      </w:r>
      <w:r>
        <w:rPr>
          <w:noProof/>
        </w:rPr>
        <w:t xml:space="preserve"> markets. Nonetheless, a less fragmented EU market should encourage investment in research, technology development and innovation, which would have an impact on ‘dynamic’ competitiveness. Further, to the extent that it obtains higher market recognition tha</w:t>
      </w:r>
      <w:r>
        <w:rPr>
          <w:noProof/>
        </w:rPr>
        <w:t>n existing national schemes, an EU-wide certification scheme (providing for a corresponding EU security ‘performance mark’ or ‘quality label’) should contribute to strengthening broader international market awareness and acceptance of EU products</w:t>
      </w:r>
      <w:r>
        <w:rPr>
          <w:rStyle w:val="FootnoteReference"/>
          <w:noProof/>
        </w:rPr>
        <w:footnoteReference w:id="33"/>
      </w:r>
      <w:r>
        <w:rPr>
          <w:noProof/>
        </w:rPr>
        <w:t>.</w:t>
      </w:r>
    </w:p>
    <w:p w:rsidR="00913429" w:rsidRDefault="00913429">
      <w:pPr>
        <w:spacing w:after="0" w:line="240" w:lineRule="auto"/>
        <w:rPr>
          <w:noProof/>
        </w:rPr>
      </w:pPr>
    </w:p>
    <w:p w:rsidR="00913429" w:rsidRDefault="00913429">
      <w:pPr>
        <w:spacing w:after="0" w:line="240" w:lineRule="auto"/>
        <w:rPr>
          <w:noProof/>
        </w:rPr>
      </w:pPr>
    </w:p>
    <w:p w:rsidR="00913429" w:rsidRDefault="00E143F0">
      <w:pPr>
        <w:spacing w:after="0" w:line="240" w:lineRule="auto"/>
        <w:rPr>
          <w:noProof/>
        </w:rPr>
      </w:pPr>
      <w:r>
        <w:rPr>
          <w:noProof/>
        </w:rPr>
        <w:br w:type="page"/>
      </w:r>
    </w:p>
    <w:p w:rsidR="00913429" w:rsidRDefault="00E143F0">
      <w:pPr>
        <w:pStyle w:val="ListParagraph"/>
        <w:keepNext/>
        <w:keepLines/>
        <w:numPr>
          <w:ilvl w:val="1"/>
          <w:numId w:val="93"/>
        </w:numPr>
        <w:tabs>
          <w:tab w:val="left" w:pos="993"/>
        </w:tabs>
        <w:spacing w:after="120"/>
        <w:ind w:right="-23"/>
        <w:outlineLvl w:val="1"/>
        <w:rPr>
          <w:rFonts w:eastAsia="SimHei"/>
          <w:b/>
          <w:bCs/>
          <w:i/>
          <w:noProof/>
          <w:color w:val="DC6900"/>
          <w:sz w:val="32"/>
          <w:szCs w:val="26"/>
          <w:lang w:val="en-GB"/>
        </w:rPr>
      </w:pPr>
      <w:bookmarkStart w:id="87" w:name="_Toc492396566"/>
      <w:r>
        <w:rPr>
          <w:rFonts w:eastAsia="SimHei"/>
          <w:b/>
          <w:bCs/>
          <w:i/>
          <w:noProof/>
          <w:color w:val="DC6900"/>
          <w:sz w:val="32"/>
          <w:szCs w:val="26"/>
          <w:lang w:val="en-GB"/>
        </w:rPr>
        <w:t>Cas</w:t>
      </w:r>
      <w:r>
        <w:rPr>
          <w:rFonts w:eastAsia="SimHei"/>
          <w:b/>
          <w:bCs/>
          <w:i/>
          <w:noProof/>
          <w:color w:val="DC6900"/>
          <w:sz w:val="32"/>
          <w:szCs w:val="26"/>
          <w:lang w:val="en-GB"/>
        </w:rPr>
        <w:t>e Study – “The impact of an EU wide Certification Scheme on Cloud Computing Industry”</w:t>
      </w:r>
      <w:bookmarkEnd w:id="87"/>
    </w:p>
    <w:p w:rsidR="00913429" w:rsidRDefault="00913429">
      <w:pPr>
        <w:rPr>
          <w:noProof/>
        </w:rPr>
      </w:pPr>
    </w:p>
    <w:p w:rsidR="00913429" w:rsidRDefault="00913429">
      <w:pPr>
        <w:rPr>
          <w:noProof/>
        </w:rPr>
      </w:pPr>
    </w:p>
    <w:tbl>
      <w:tblPr>
        <w:tblStyle w:val="MediumList2-Accent63"/>
        <w:tblW w:w="0" w:type="auto"/>
        <w:tblLook w:val="04A0" w:firstRow="1" w:lastRow="0" w:firstColumn="1" w:lastColumn="0" w:noHBand="0" w:noVBand="1"/>
      </w:tblPr>
      <w:tblGrid>
        <w:gridCol w:w="1682"/>
        <w:gridCol w:w="4096"/>
        <w:gridCol w:w="3798"/>
      </w:tblGrid>
      <w:tr w:rsidR="00913429" w:rsidTr="00913429">
        <w:trPr>
          <w:cnfStyle w:val="100000000000" w:firstRow="1" w:lastRow="0" w:firstColumn="0" w:lastColumn="0" w:oddVBand="0" w:evenVBand="0" w:oddHBand="0" w:evenHBand="0" w:firstRowFirstColumn="0" w:firstRowLastColumn="0" w:lastRowFirstColumn="0" w:lastRowLastColumn="0"/>
          <w:trHeight w:val="251"/>
        </w:trPr>
        <w:tc>
          <w:tcPr>
            <w:cnfStyle w:val="001000000100" w:firstRow="0" w:lastRow="0" w:firstColumn="1" w:lastColumn="0" w:oddVBand="0" w:evenVBand="0" w:oddHBand="0" w:evenHBand="0" w:firstRowFirstColumn="1" w:firstRowLastColumn="0" w:lastRowFirstColumn="0" w:lastRowLastColumn="0"/>
            <w:tcW w:w="1682" w:type="dxa"/>
          </w:tcPr>
          <w:p w:rsidR="00913429" w:rsidRDefault="00913429">
            <w:pPr>
              <w:spacing w:after="120" w:line="240" w:lineRule="auto"/>
              <w:jc w:val="both"/>
              <w:rPr>
                <w:b/>
                <w:noProof/>
              </w:rPr>
            </w:pPr>
          </w:p>
        </w:tc>
        <w:tc>
          <w:tcPr>
            <w:tcW w:w="4096" w:type="dxa"/>
            <w:tcBorders>
              <w:right w:val="single" w:sz="4" w:space="0" w:color="auto"/>
            </w:tcBorders>
          </w:tcPr>
          <w:p w:rsidR="00913429" w:rsidRDefault="00E143F0">
            <w:pPr>
              <w:spacing w:after="120" w:line="240" w:lineRule="auto"/>
              <w:jc w:val="center"/>
              <w:cnfStyle w:val="100000000000" w:firstRow="1" w:lastRow="0" w:firstColumn="0" w:lastColumn="0" w:oddVBand="0" w:evenVBand="0" w:oddHBand="0" w:evenHBand="0" w:firstRowFirstColumn="0" w:firstRowLastColumn="0" w:lastRowFirstColumn="0" w:lastRowLastColumn="0"/>
              <w:rPr>
                <w:b/>
                <w:noProof/>
              </w:rPr>
            </w:pPr>
            <w:r>
              <w:rPr>
                <w:b/>
                <w:noProof/>
              </w:rPr>
              <w:t>Now</w:t>
            </w:r>
          </w:p>
        </w:tc>
        <w:tc>
          <w:tcPr>
            <w:tcW w:w="3798" w:type="dxa"/>
            <w:tcBorders>
              <w:left w:val="single" w:sz="4" w:space="0" w:color="auto"/>
            </w:tcBorders>
          </w:tcPr>
          <w:p w:rsidR="00913429" w:rsidRDefault="00E143F0">
            <w:pPr>
              <w:spacing w:after="120" w:line="240" w:lineRule="auto"/>
              <w:jc w:val="center"/>
              <w:cnfStyle w:val="100000000000" w:firstRow="1" w:lastRow="0" w:firstColumn="0" w:lastColumn="0" w:oddVBand="0" w:evenVBand="0" w:oddHBand="0" w:evenHBand="0" w:firstRowFirstColumn="0" w:firstRowLastColumn="0" w:lastRowFirstColumn="0" w:lastRowLastColumn="0"/>
              <w:rPr>
                <w:b/>
                <w:noProof/>
              </w:rPr>
            </w:pPr>
            <w:r>
              <w:rPr>
                <w:b/>
                <w:noProof/>
              </w:rPr>
              <w:t>Future</w:t>
            </w:r>
          </w:p>
        </w:tc>
      </w:tr>
      <w:tr w:rsidR="00913429" w:rsidTr="00913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dxa"/>
          </w:tcPr>
          <w:p w:rsidR="00913429" w:rsidRDefault="00913429">
            <w:pPr>
              <w:spacing w:after="120" w:line="240" w:lineRule="auto"/>
              <w:jc w:val="center"/>
              <w:rPr>
                <w:b/>
                <w:noProof/>
              </w:rPr>
            </w:pPr>
          </w:p>
          <w:p w:rsidR="00913429" w:rsidRDefault="00E143F0">
            <w:pPr>
              <w:spacing w:after="120" w:line="240" w:lineRule="auto"/>
              <w:jc w:val="center"/>
              <w:rPr>
                <w:b/>
                <w:noProof/>
              </w:rPr>
            </w:pPr>
            <w:r>
              <w:rPr>
                <w:b/>
                <w:noProof/>
              </w:rPr>
              <w:t>Requirements</w:t>
            </w:r>
          </w:p>
        </w:tc>
        <w:tc>
          <w:tcPr>
            <w:tcW w:w="4096" w:type="dxa"/>
            <w:tcBorders>
              <w:right w:val="single" w:sz="4" w:space="0" w:color="auto"/>
            </w:tcBorders>
          </w:tcPr>
          <w:p w:rsidR="00913429" w:rsidRDefault="00E143F0">
            <w:pPr>
              <w:pStyle w:val="ListParagraph"/>
              <w:numPr>
                <w:ilvl w:val="0"/>
                <w:numId w:val="193"/>
              </w:numPr>
              <w:spacing w:after="120"/>
              <w:ind w:left="360"/>
              <w:jc w:val="both"/>
              <w:cnfStyle w:val="000000100000" w:firstRow="0" w:lastRow="0" w:firstColumn="0" w:lastColumn="0" w:oddVBand="0" w:evenVBand="0" w:oddHBand="1" w:evenHBand="0" w:firstRowFirstColumn="0" w:firstRowLastColumn="0" w:lastRowFirstColumn="0" w:lastRowLastColumn="0"/>
              <w:rPr>
                <w:rFonts w:eastAsia="SimHei"/>
                <w:i/>
                <w:noProof/>
                <w:sz w:val="18"/>
                <w:lang w:val="en-GB"/>
              </w:rPr>
            </w:pPr>
            <w:r>
              <w:rPr>
                <w:rFonts w:ascii="Times New Roman" w:eastAsia="Arial" w:hAnsi="Times New Roman"/>
                <w:noProof/>
                <w:sz w:val="22"/>
                <w:lang w:val="en-GB"/>
              </w:rPr>
              <w:t xml:space="preserve">In order to sell Cloud Computing Products / Services in France and Germany providers have to certify against: </w:t>
            </w:r>
            <w:r>
              <w:rPr>
                <w:rFonts w:ascii="Times New Roman" w:eastAsia="Arial" w:hAnsi="Times New Roman"/>
                <w:i/>
                <w:noProof/>
                <w:sz w:val="22"/>
                <w:lang w:val="en-GB"/>
              </w:rPr>
              <w:t>SecNumCloud</w:t>
            </w:r>
            <w:r>
              <w:rPr>
                <w:rFonts w:ascii="Times New Roman" w:eastAsia="Arial" w:hAnsi="Times New Roman"/>
                <w:b/>
                <w:noProof/>
                <w:sz w:val="22"/>
                <w:lang w:val="en-GB"/>
              </w:rPr>
              <w:t xml:space="preserve"> and </w:t>
            </w:r>
            <w:r>
              <w:rPr>
                <w:rFonts w:ascii="Times New Roman" w:eastAsia="Arial" w:hAnsi="Times New Roman"/>
                <w:i/>
                <w:noProof/>
                <w:sz w:val="22"/>
                <w:lang w:val="en-GB"/>
              </w:rPr>
              <w:t xml:space="preserve">Compliance </w:t>
            </w:r>
            <w:r>
              <w:rPr>
                <w:rFonts w:ascii="Times New Roman" w:eastAsia="Arial" w:hAnsi="Times New Roman"/>
                <w:i/>
                <w:noProof/>
                <w:sz w:val="22"/>
                <w:lang w:val="en-GB"/>
              </w:rPr>
              <w:t>Controls Catalogue (C5)</w:t>
            </w:r>
          </w:p>
        </w:tc>
        <w:tc>
          <w:tcPr>
            <w:tcW w:w="3798" w:type="dxa"/>
            <w:tcBorders>
              <w:left w:val="single" w:sz="4" w:space="0" w:color="auto"/>
            </w:tcBorders>
          </w:tcPr>
          <w:p w:rsidR="00913429" w:rsidRDefault="00E143F0">
            <w:pPr>
              <w:pStyle w:val="ListParagraph"/>
              <w:numPr>
                <w:ilvl w:val="0"/>
                <w:numId w:val="193"/>
              </w:numPr>
              <w:spacing w:after="120"/>
              <w:ind w:left="360"/>
              <w:jc w:val="both"/>
              <w:cnfStyle w:val="000000100000" w:firstRow="0" w:lastRow="0" w:firstColumn="0" w:lastColumn="0" w:oddVBand="0" w:evenVBand="0" w:oddHBand="1" w:evenHBand="0" w:firstRowFirstColumn="0" w:firstRowLastColumn="0" w:lastRowFirstColumn="0" w:lastRowLastColumn="0"/>
              <w:rPr>
                <w:rFonts w:eastAsia="SimHei"/>
                <w:b/>
                <w:noProof/>
                <w:lang w:val="en-GB"/>
              </w:rPr>
            </w:pPr>
            <w:r>
              <w:rPr>
                <w:rFonts w:ascii="Times New Roman" w:eastAsia="Arial" w:hAnsi="Times New Roman"/>
                <w:noProof/>
                <w:sz w:val="22"/>
                <w:lang w:val="en-GB"/>
              </w:rPr>
              <w:t>Providers need to undergo a single certification process, as envisaged in the future European certification scheme for cloud computing. The resulting certificate will be accepted by all public authorities in Member States</w:t>
            </w:r>
          </w:p>
        </w:tc>
      </w:tr>
      <w:tr w:rsidR="00913429" w:rsidTr="00913429">
        <w:trPr>
          <w:trHeight w:val="1834"/>
        </w:trPr>
        <w:tc>
          <w:tcPr>
            <w:cnfStyle w:val="001000000000" w:firstRow="0" w:lastRow="0" w:firstColumn="1" w:lastColumn="0" w:oddVBand="0" w:evenVBand="0" w:oddHBand="0" w:evenHBand="0" w:firstRowFirstColumn="0" w:firstRowLastColumn="0" w:lastRowFirstColumn="0" w:lastRowLastColumn="0"/>
            <w:tcW w:w="1682" w:type="dxa"/>
          </w:tcPr>
          <w:p w:rsidR="00913429" w:rsidRDefault="00913429">
            <w:pPr>
              <w:spacing w:after="120" w:line="240" w:lineRule="auto"/>
              <w:jc w:val="center"/>
              <w:rPr>
                <w:b/>
                <w:noProof/>
              </w:rPr>
            </w:pPr>
          </w:p>
          <w:p w:rsidR="00913429" w:rsidRDefault="00E143F0">
            <w:pPr>
              <w:spacing w:after="120" w:line="240" w:lineRule="auto"/>
              <w:jc w:val="center"/>
              <w:rPr>
                <w:b/>
                <w:noProof/>
              </w:rPr>
            </w:pPr>
            <w:r>
              <w:rPr>
                <w:b/>
                <w:noProof/>
              </w:rPr>
              <w:t>Cost</w:t>
            </w:r>
          </w:p>
          <w:p w:rsidR="00913429" w:rsidRDefault="00913429">
            <w:pPr>
              <w:spacing w:after="120" w:line="240" w:lineRule="auto"/>
              <w:jc w:val="center"/>
              <w:rPr>
                <w:b/>
                <w:noProof/>
              </w:rPr>
            </w:pPr>
          </w:p>
          <w:p w:rsidR="00913429" w:rsidRDefault="00913429">
            <w:pPr>
              <w:spacing w:after="120" w:line="240" w:lineRule="auto"/>
              <w:jc w:val="center"/>
              <w:rPr>
                <w:b/>
                <w:noProof/>
              </w:rPr>
            </w:pPr>
          </w:p>
          <w:p w:rsidR="00913429" w:rsidRDefault="00913429">
            <w:pPr>
              <w:spacing w:after="120" w:line="240" w:lineRule="auto"/>
              <w:jc w:val="center"/>
              <w:rPr>
                <w:b/>
                <w:noProof/>
              </w:rPr>
            </w:pPr>
          </w:p>
        </w:tc>
        <w:tc>
          <w:tcPr>
            <w:tcW w:w="4096" w:type="dxa"/>
            <w:tcBorders>
              <w:right w:val="single" w:sz="4" w:space="0" w:color="auto"/>
            </w:tcBorders>
          </w:tcPr>
          <w:p w:rsidR="00913429" w:rsidRDefault="00E143F0">
            <w:pPr>
              <w:pStyle w:val="ListParagraph"/>
              <w:numPr>
                <w:ilvl w:val="0"/>
                <w:numId w:val="194"/>
              </w:numPr>
              <w:spacing w:after="120"/>
              <w:ind w:left="360"/>
              <w:jc w:val="both"/>
              <w:cnfStyle w:val="000000000000" w:firstRow="0" w:lastRow="0" w:firstColumn="0" w:lastColumn="0" w:oddVBand="0" w:evenVBand="0" w:oddHBand="0" w:evenHBand="0" w:firstRowFirstColumn="0" w:firstRowLastColumn="0" w:lastRowFirstColumn="0" w:lastRowLastColumn="0"/>
              <w:rPr>
                <w:rFonts w:eastAsia="SimHei"/>
                <w:i/>
                <w:noProof/>
                <w:lang w:val="en-GB"/>
              </w:rPr>
            </w:pPr>
            <w:r>
              <w:rPr>
                <w:rFonts w:ascii="Times New Roman" w:eastAsia="Arial" w:hAnsi="Times New Roman"/>
                <w:noProof/>
                <w:sz w:val="22"/>
                <w:lang w:val="en-GB"/>
              </w:rPr>
              <w:t xml:space="preserve">Costs associated to compliance with different technical rules and multiple testing is estimated around 1.2 billion euro, that accounts for </w:t>
            </w:r>
            <w:r>
              <w:rPr>
                <w:rFonts w:ascii="Times New Roman" w:eastAsia="Arial" w:hAnsi="Times New Roman"/>
                <w:b/>
                <w:noProof/>
                <w:sz w:val="22"/>
                <w:lang w:val="en-GB"/>
              </w:rPr>
              <w:t>2% to 10%</w:t>
            </w:r>
            <w:r>
              <w:rPr>
                <w:rFonts w:ascii="Times New Roman" w:eastAsia="Arial" w:hAnsi="Times New Roman"/>
                <w:noProof/>
                <w:sz w:val="22"/>
                <w:lang w:val="en-GB"/>
              </w:rPr>
              <w:t xml:space="preserve"> of companies' annual expenditures. </w:t>
            </w:r>
          </w:p>
        </w:tc>
        <w:tc>
          <w:tcPr>
            <w:tcW w:w="3798" w:type="dxa"/>
            <w:tcBorders>
              <w:left w:val="single" w:sz="4" w:space="0" w:color="auto"/>
            </w:tcBorders>
          </w:tcPr>
          <w:p w:rsidR="00913429" w:rsidRDefault="00E143F0">
            <w:pPr>
              <w:pStyle w:val="ListParagraph"/>
              <w:numPr>
                <w:ilvl w:val="0"/>
                <w:numId w:val="194"/>
              </w:numPr>
              <w:spacing w:after="0"/>
              <w:ind w:left="360"/>
              <w:jc w:val="both"/>
              <w:cnfStyle w:val="000000000000" w:firstRow="0" w:lastRow="0" w:firstColumn="0" w:lastColumn="0" w:oddVBand="0" w:evenVBand="0" w:oddHBand="0" w:evenHBand="0" w:firstRowFirstColumn="0" w:firstRowLastColumn="0" w:lastRowFirstColumn="0" w:lastRowLastColumn="0"/>
              <w:rPr>
                <w:rFonts w:eastAsia="SimHei"/>
                <w:b/>
                <w:noProof/>
                <w:lang w:val="en-US"/>
              </w:rPr>
            </w:pPr>
            <w:r>
              <w:rPr>
                <w:rFonts w:ascii="Times New Roman" w:eastAsia="Arial" w:hAnsi="Times New Roman"/>
                <w:noProof/>
                <w:sz w:val="22"/>
                <w:lang w:val="en-GB"/>
              </w:rPr>
              <w:t>A</w:t>
            </w:r>
            <w:r>
              <w:rPr>
                <w:rFonts w:ascii="Times New Roman" w:eastAsia="Arial" w:hAnsi="Times New Roman"/>
                <w:noProof/>
                <w:sz w:val="22"/>
                <w:lang w:val="en-US"/>
              </w:rPr>
              <w:t>n increased level of competition, introducing an EU wide Certification</w:t>
            </w:r>
            <w:r>
              <w:rPr>
                <w:rFonts w:ascii="Times New Roman" w:eastAsia="Arial" w:hAnsi="Times New Roman"/>
                <w:noProof/>
                <w:sz w:val="22"/>
                <w:lang w:val="en-US"/>
              </w:rPr>
              <w:t xml:space="preserve"> Scheme, would result in a </w:t>
            </w:r>
            <w:r>
              <w:rPr>
                <w:rFonts w:ascii="Times New Roman" w:eastAsia="Arial" w:hAnsi="Times New Roman"/>
                <w:b/>
                <w:noProof/>
                <w:sz w:val="22"/>
                <w:lang w:val="en-US"/>
              </w:rPr>
              <w:t>yearly saving of € 1.1 billion in the EU public sector alone</w:t>
            </w:r>
            <w:r>
              <w:rPr>
                <w:rFonts w:ascii="Times New Roman" w:eastAsia="Arial" w:hAnsi="Times New Roman"/>
                <w:noProof/>
                <w:sz w:val="22"/>
                <w:lang w:val="en-US"/>
              </w:rPr>
              <w:t xml:space="preserve"> </w:t>
            </w:r>
          </w:p>
        </w:tc>
      </w:tr>
      <w:tr w:rsidR="00913429" w:rsidTr="00913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dxa"/>
          </w:tcPr>
          <w:p w:rsidR="00913429" w:rsidRDefault="00913429">
            <w:pPr>
              <w:spacing w:after="120" w:line="240" w:lineRule="auto"/>
              <w:jc w:val="center"/>
              <w:rPr>
                <w:b/>
                <w:noProof/>
              </w:rPr>
            </w:pPr>
          </w:p>
          <w:p w:rsidR="00913429" w:rsidRDefault="00E143F0">
            <w:pPr>
              <w:spacing w:after="120" w:line="240" w:lineRule="auto"/>
              <w:jc w:val="center"/>
              <w:rPr>
                <w:b/>
                <w:noProof/>
              </w:rPr>
            </w:pPr>
            <w:r>
              <w:rPr>
                <w:b/>
                <w:noProof/>
              </w:rPr>
              <w:t>Time</w:t>
            </w:r>
          </w:p>
        </w:tc>
        <w:tc>
          <w:tcPr>
            <w:tcW w:w="4096" w:type="dxa"/>
            <w:tcBorders>
              <w:right w:val="single" w:sz="4" w:space="0" w:color="auto"/>
            </w:tcBorders>
          </w:tcPr>
          <w:p w:rsidR="00913429" w:rsidRDefault="00E143F0">
            <w:pPr>
              <w:pStyle w:val="ListParagraph"/>
              <w:numPr>
                <w:ilvl w:val="0"/>
                <w:numId w:val="195"/>
              </w:numPr>
              <w:spacing w:after="120"/>
              <w:ind w:left="360"/>
              <w:jc w:val="both"/>
              <w:cnfStyle w:val="000000100000" w:firstRow="0" w:lastRow="0" w:firstColumn="0" w:lastColumn="0" w:oddVBand="0" w:evenVBand="0" w:oddHBand="1" w:evenHBand="0" w:firstRowFirstColumn="0" w:firstRowLastColumn="0" w:lastRowFirstColumn="0" w:lastRowLastColumn="0"/>
              <w:rPr>
                <w:rFonts w:eastAsia="SimHei"/>
                <w:b/>
                <w:noProof/>
                <w:lang w:val="en-GB"/>
              </w:rPr>
            </w:pPr>
            <w:r>
              <w:rPr>
                <w:rFonts w:ascii="Times New Roman" w:eastAsia="Arial" w:hAnsi="Times New Roman"/>
                <w:b/>
                <w:noProof/>
                <w:sz w:val="22"/>
                <w:lang w:val="en-GB"/>
              </w:rPr>
              <w:t xml:space="preserve">Around 7-9 months </w:t>
            </w:r>
            <w:r>
              <w:rPr>
                <w:rFonts w:ascii="Times New Roman" w:eastAsia="Arial" w:hAnsi="Times New Roman"/>
                <w:noProof/>
                <w:sz w:val="22"/>
                <w:lang w:val="en-GB"/>
              </w:rPr>
              <w:t>due to the multiple audit and testing processes to obtain several certifications</w:t>
            </w:r>
          </w:p>
        </w:tc>
        <w:tc>
          <w:tcPr>
            <w:tcW w:w="3798" w:type="dxa"/>
            <w:tcBorders>
              <w:left w:val="single" w:sz="4" w:space="0" w:color="auto"/>
            </w:tcBorders>
          </w:tcPr>
          <w:p w:rsidR="00913429" w:rsidRDefault="00E143F0">
            <w:pPr>
              <w:pStyle w:val="ListParagraph"/>
              <w:numPr>
                <w:ilvl w:val="0"/>
                <w:numId w:val="195"/>
              </w:numPr>
              <w:spacing w:after="120"/>
              <w:ind w:left="360"/>
              <w:jc w:val="both"/>
              <w:cnfStyle w:val="000000100000" w:firstRow="0" w:lastRow="0" w:firstColumn="0" w:lastColumn="0" w:oddVBand="0" w:evenVBand="0" w:oddHBand="1" w:evenHBand="0" w:firstRowFirstColumn="0" w:firstRowLastColumn="0" w:lastRowFirstColumn="0" w:lastRowLastColumn="0"/>
              <w:rPr>
                <w:rFonts w:eastAsia="SimHei"/>
                <w:noProof/>
                <w:lang w:val="en-GB"/>
              </w:rPr>
            </w:pPr>
            <w:r>
              <w:rPr>
                <w:rFonts w:ascii="Times New Roman" w:eastAsia="Arial" w:hAnsi="Times New Roman"/>
                <w:b/>
                <w:noProof/>
                <w:sz w:val="22"/>
                <w:lang w:val="en-GB"/>
              </w:rPr>
              <w:t>Reduced time</w:t>
            </w:r>
            <w:r>
              <w:rPr>
                <w:rFonts w:ascii="Times New Roman" w:eastAsia="Arial" w:hAnsi="Times New Roman"/>
                <w:noProof/>
                <w:sz w:val="22"/>
                <w:lang w:val="en-GB"/>
              </w:rPr>
              <w:t xml:space="preserve">: duration of a single process is estimated to take around 4 to 6 months. ENISA  would accelerate the process by providing the  information needed for compliance with the European scheme </w:t>
            </w:r>
          </w:p>
        </w:tc>
      </w:tr>
      <w:tr w:rsidR="00913429" w:rsidTr="00913429">
        <w:tc>
          <w:tcPr>
            <w:cnfStyle w:val="001000000000" w:firstRow="0" w:lastRow="0" w:firstColumn="1" w:lastColumn="0" w:oddVBand="0" w:evenVBand="0" w:oddHBand="0" w:evenHBand="0" w:firstRowFirstColumn="0" w:firstRowLastColumn="0" w:lastRowFirstColumn="0" w:lastRowLastColumn="0"/>
            <w:tcW w:w="1682" w:type="dxa"/>
          </w:tcPr>
          <w:p w:rsidR="00913429" w:rsidRDefault="00913429">
            <w:pPr>
              <w:spacing w:after="120" w:line="240" w:lineRule="auto"/>
              <w:jc w:val="center"/>
              <w:rPr>
                <w:b/>
                <w:noProof/>
              </w:rPr>
            </w:pPr>
          </w:p>
          <w:p w:rsidR="00913429" w:rsidRDefault="00E143F0">
            <w:pPr>
              <w:spacing w:after="120" w:line="240" w:lineRule="auto"/>
              <w:jc w:val="center"/>
              <w:rPr>
                <w:b/>
                <w:noProof/>
              </w:rPr>
            </w:pPr>
            <w:r>
              <w:rPr>
                <w:b/>
                <w:noProof/>
              </w:rPr>
              <w:t xml:space="preserve">Other </w:t>
            </w:r>
          </w:p>
        </w:tc>
        <w:tc>
          <w:tcPr>
            <w:tcW w:w="4096" w:type="dxa"/>
            <w:tcBorders>
              <w:right w:val="single" w:sz="4" w:space="0" w:color="auto"/>
            </w:tcBorders>
          </w:tcPr>
          <w:p w:rsidR="00913429" w:rsidRDefault="00E143F0">
            <w:pPr>
              <w:pStyle w:val="ListParagraph"/>
              <w:numPr>
                <w:ilvl w:val="0"/>
                <w:numId w:val="196"/>
              </w:numPr>
              <w:spacing w:after="120"/>
              <w:ind w:left="360"/>
              <w:jc w:val="both"/>
              <w:cnfStyle w:val="000000000000" w:firstRow="0" w:lastRow="0" w:firstColumn="0" w:lastColumn="0" w:oddVBand="0" w:evenVBand="0" w:oddHBand="0" w:evenHBand="0" w:firstRowFirstColumn="0" w:firstRowLastColumn="0" w:lastRowFirstColumn="0" w:lastRowLastColumn="0"/>
              <w:rPr>
                <w:rFonts w:eastAsia="SimHei"/>
                <w:noProof/>
              </w:rPr>
            </w:pPr>
            <w:r>
              <w:rPr>
                <w:rFonts w:ascii="Times New Roman" w:eastAsia="Arial" w:hAnsi="Times New Roman"/>
                <w:noProof/>
                <w:sz w:val="22"/>
                <w:lang w:val="en-GB"/>
              </w:rPr>
              <w:t>Faced with co-existence of multiple schemes and standards</w:t>
            </w:r>
            <w:r>
              <w:rPr>
                <w:rStyle w:val="FootnoteReference"/>
                <w:rFonts w:ascii="Times New Roman" w:eastAsia="Arial" w:hAnsi="Times New Roman"/>
                <w:noProof/>
                <w:sz w:val="22"/>
              </w:rPr>
              <w:footnoteReference w:id="34"/>
            </w:r>
            <w:r>
              <w:rPr>
                <w:rFonts w:ascii="Times New Roman" w:eastAsia="Arial" w:hAnsi="Times New Roman"/>
                <w:noProof/>
                <w:sz w:val="22"/>
                <w:lang w:val="en-GB"/>
              </w:rPr>
              <w:t xml:space="preserve">, end-users </w:t>
            </w:r>
            <w:r>
              <w:rPr>
                <w:rFonts w:eastAsia="Arial"/>
                <w:noProof/>
                <w:sz w:val="22"/>
                <w:lang w:val="en-GB"/>
              </w:rPr>
              <w:t xml:space="preserve">(esp. in the banking sector) </w:t>
            </w:r>
            <w:r>
              <w:rPr>
                <w:rFonts w:ascii="Times New Roman" w:eastAsia="Arial" w:hAnsi="Times New Roman"/>
                <w:noProof/>
                <w:sz w:val="22"/>
                <w:lang w:val="en-GB"/>
              </w:rPr>
              <w:t xml:space="preserve">are not able to compare and judge which scheme or standard would best satisfy their particular security requirements. </w:t>
            </w:r>
            <w:r>
              <w:rPr>
                <w:rFonts w:ascii="Times New Roman" w:eastAsia="Arial" w:hAnsi="Times New Roman"/>
                <w:noProof/>
                <w:sz w:val="22"/>
              </w:rPr>
              <w:t xml:space="preserve">This deteriorates the trust in cloud computing services.  </w:t>
            </w:r>
          </w:p>
        </w:tc>
        <w:tc>
          <w:tcPr>
            <w:tcW w:w="3798" w:type="dxa"/>
            <w:tcBorders>
              <w:left w:val="single" w:sz="4" w:space="0" w:color="auto"/>
            </w:tcBorders>
          </w:tcPr>
          <w:p w:rsidR="00913429" w:rsidRDefault="00E143F0">
            <w:pPr>
              <w:numPr>
                <w:ilvl w:val="0"/>
                <w:numId w:val="150"/>
              </w:numPr>
              <w:spacing w:before="120" w:after="12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noProof/>
                <w:sz w:val="22"/>
              </w:rPr>
            </w:pPr>
            <w:r>
              <w:rPr>
                <w:rFonts w:ascii="Times New Roman" w:eastAsia="Arial" w:hAnsi="Times New Roman"/>
                <w:noProof/>
                <w:sz w:val="22"/>
                <w:lang w:val="en-US"/>
              </w:rPr>
              <w:t>The existence of a security certificat</w:t>
            </w:r>
            <w:r>
              <w:rPr>
                <w:rFonts w:ascii="Times New Roman" w:eastAsia="Arial" w:hAnsi="Times New Roman"/>
                <w:noProof/>
                <w:sz w:val="22"/>
                <w:lang w:val="en-US"/>
              </w:rPr>
              <w:t>ion scheme for cloud computing  agreed at EU level,  increases the trust in this service</w:t>
            </w:r>
          </w:p>
          <w:p w:rsidR="00913429" w:rsidRDefault="00E143F0">
            <w:pPr>
              <w:pStyle w:val="ListParagraph"/>
              <w:numPr>
                <w:ilvl w:val="0"/>
                <w:numId w:val="150"/>
              </w:numPr>
              <w:spacing w:after="0"/>
              <w:jc w:val="both"/>
              <w:cnfStyle w:val="000000000000" w:firstRow="0" w:lastRow="0" w:firstColumn="0" w:lastColumn="0" w:oddVBand="0" w:evenVBand="0" w:oddHBand="0" w:evenHBand="0" w:firstRowFirstColumn="0" w:firstRowLastColumn="0" w:lastRowFirstColumn="0" w:lastRowLastColumn="0"/>
              <w:rPr>
                <w:rFonts w:eastAsia="SimHei"/>
                <w:noProof/>
                <w:lang w:val="en-GB"/>
              </w:rPr>
            </w:pPr>
            <w:r>
              <w:rPr>
                <w:rFonts w:ascii="Times New Roman" w:eastAsia="Arial" w:hAnsi="Times New Roman"/>
                <w:noProof/>
                <w:sz w:val="22"/>
                <w:lang w:val="en-US"/>
              </w:rPr>
              <w:t xml:space="preserve">Competitive gain for cloud providers </w:t>
            </w:r>
            <w:r>
              <w:rPr>
                <w:rFonts w:ascii="Times New Roman" w:eastAsia="Arial" w:hAnsi="Times New Roman"/>
                <w:noProof/>
                <w:sz w:val="22"/>
                <w:lang w:val="en-GB"/>
              </w:rPr>
              <w:t xml:space="preserve"> due to </w:t>
            </w:r>
            <w:r>
              <w:rPr>
                <w:rFonts w:ascii="Times New Roman" w:eastAsia="Arial" w:hAnsi="Times New Roman"/>
                <w:noProof/>
                <w:sz w:val="22"/>
                <w:lang w:val="en-US"/>
              </w:rPr>
              <w:t>cost and time reduction</w:t>
            </w:r>
            <w:r>
              <w:rPr>
                <w:rFonts w:ascii="Times New Roman" w:eastAsia="Arial" w:hAnsi="Times New Roman"/>
                <w:b/>
                <w:noProof/>
                <w:sz w:val="22"/>
                <w:lang w:val="en-US"/>
              </w:rPr>
              <w:t xml:space="preserve"> </w:t>
            </w:r>
          </w:p>
        </w:tc>
      </w:tr>
    </w:tbl>
    <w:p w:rsidR="00913429" w:rsidRDefault="00913429">
      <w:pPr>
        <w:spacing w:after="120"/>
        <w:jc w:val="both"/>
        <w:rPr>
          <w:b/>
          <w:noProof/>
        </w:rPr>
      </w:pPr>
    </w:p>
    <w:p w:rsidR="00913429" w:rsidRDefault="00E143F0">
      <w:pPr>
        <w:spacing w:after="0" w:line="240" w:lineRule="auto"/>
        <w:rPr>
          <w:b/>
          <w:noProof/>
        </w:rPr>
      </w:pPr>
      <w:r>
        <w:rPr>
          <w:b/>
          <w:noProof/>
        </w:rPr>
        <w:br w:type="page"/>
      </w:r>
    </w:p>
    <w:p w:rsidR="00913429" w:rsidRDefault="00E143F0">
      <w:pPr>
        <w:spacing w:after="120"/>
        <w:jc w:val="both"/>
        <w:rPr>
          <w:b/>
          <w:noProof/>
        </w:rPr>
      </w:pPr>
      <w:r>
        <w:rPr>
          <w:b/>
          <w:noProof/>
        </w:rPr>
        <w:t>Full Description:</w:t>
      </w:r>
    </w:p>
    <w:p w:rsidR="00913429" w:rsidRDefault="00E143F0">
      <w:pPr>
        <w:spacing w:after="120"/>
        <w:jc w:val="both"/>
        <w:rPr>
          <w:noProof/>
        </w:rPr>
      </w:pPr>
      <w:r>
        <w:rPr>
          <w:b/>
          <w:noProof/>
        </w:rPr>
        <w:t xml:space="preserve">Methodology: </w:t>
      </w:r>
      <w:r>
        <w:rPr>
          <w:noProof/>
        </w:rPr>
        <w:t>This case study is based on information obtained from secondar</w:t>
      </w:r>
      <w:r>
        <w:rPr>
          <w:noProof/>
        </w:rPr>
        <w:t>y sources (literature review), from the analysis of the European landscape of Cloud Computing Industry conducted on the basis of an online search and from interviews conducted with different impacted Stakeholders.</w:t>
      </w:r>
    </w:p>
    <w:p w:rsidR="00913429" w:rsidRDefault="00E143F0">
      <w:pPr>
        <w:autoSpaceDE w:val="0"/>
        <w:autoSpaceDN w:val="0"/>
        <w:adjustRightInd w:val="0"/>
        <w:spacing w:after="120" w:line="240" w:lineRule="auto"/>
        <w:jc w:val="both"/>
        <w:rPr>
          <w:noProof/>
        </w:rPr>
      </w:pPr>
      <w:r>
        <w:rPr>
          <w:b/>
          <w:noProof/>
        </w:rPr>
        <w:t xml:space="preserve">Background: </w:t>
      </w:r>
      <w:r>
        <w:rPr>
          <w:noProof/>
        </w:rPr>
        <w:t>The ongoing digital transforma</w:t>
      </w:r>
      <w:r>
        <w:rPr>
          <w:noProof/>
        </w:rPr>
        <w:t>tion is strategically affecting both private and public sector organisations also in terms of cybersecurity</w:t>
      </w:r>
      <w:r>
        <w:rPr>
          <w:rStyle w:val="FootnoteReference"/>
          <w:noProof/>
        </w:rPr>
        <w:footnoteReference w:id="35"/>
      </w:r>
      <w:r>
        <w:rPr>
          <w:noProof/>
        </w:rPr>
        <w:t>. Cloud computing has the potential to reduce IT expenditure and boost organisational flexibility while at the same time improving the scope for del</w:t>
      </w:r>
      <w:r>
        <w:rPr>
          <w:noProof/>
        </w:rPr>
        <w:t>ivering flexible high-quality new services. Some of the general benefits are reducing costs, increasing the storage capabilities and the chance to adapt in a flexible way to the changing business conditions</w:t>
      </w:r>
      <w:r>
        <w:rPr>
          <w:rStyle w:val="FootnoteReference"/>
          <w:noProof/>
        </w:rPr>
        <w:footnoteReference w:id="36"/>
      </w:r>
      <w:r>
        <w:rPr>
          <w:noProof/>
        </w:rPr>
        <w:t>. These benefits can be applied in a lot of diffe</w:t>
      </w:r>
      <w:r>
        <w:rPr>
          <w:noProof/>
        </w:rPr>
        <w:t xml:space="preserve">rent domains and fields. </w:t>
      </w:r>
    </w:p>
    <w:p w:rsidR="00913429" w:rsidRDefault="00E143F0">
      <w:pPr>
        <w:autoSpaceDE w:val="0"/>
        <w:autoSpaceDN w:val="0"/>
        <w:adjustRightInd w:val="0"/>
        <w:spacing w:after="0" w:line="240" w:lineRule="auto"/>
        <w:jc w:val="both"/>
        <w:rPr>
          <w:noProof/>
        </w:rPr>
      </w:pPr>
      <w:r>
        <w:rPr>
          <w:noProof/>
        </w:rPr>
        <w:t>The increase in the use of Cloud globally is also visible from the Market, over the last two years</w:t>
      </w:r>
      <w:r>
        <w:rPr>
          <w:rStyle w:val="FootnoteReference"/>
          <w:noProof/>
        </w:rPr>
        <w:footnoteReference w:id="37"/>
      </w:r>
      <w:r>
        <w:rPr>
          <w:noProof/>
        </w:rPr>
        <w:t xml:space="preserve">. In 2017, spending on public cloud Infrastructure as a Service hardware and software is forecast to reach </w:t>
      </w:r>
      <w:r>
        <w:rPr>
          <w:b/>
          <w:noProof/>
        </w:rPr>
        <w:t xml:space="preserve">61 billion U.S. dollars </w:t>
      </w:r>
      <w:r>
        <w:rPr>
          <w:b/>
          <w:noProof/>
        </w:rPr>
        <w:t>worldwide</w:t>
      </w:r>
      <w:r>
        <w:rPr>
          <w:rStyle w:val="FootnoteReference"/>
          <w:noProof/>
        </w:rPr>
        <w:footnoteReference w:id="38"/>
      </w:r>
      <w:r>
        <w:rPr>
          <w:noProof/>
        </w:rPr>
        <w:t xml:space="preserve">. According to Gartner, Inc., the highest growth will come from cloud system infrastructure services (IaaS), which is projected to grow </w:t>
      </w:r>
      <w:r>
        <w:rPr>
          <w:b/>
          <w:noProof/>
        </w:rPr>
        <w:t>36.8 percent in 2017 to reach $34.6 billion</w:t>
      </w:r>
      <w:r>
        <w:rPr>
          <w:noProof/>
        </w:rPr>
        <w:t>. Cloud application services (SaaS) is expected to grow 20.1 percen</w:t>
      </w:r>
      <w:r>
        <w:rPr>
          <w:noProof/>
        </w:rPr>
        <w:t>t to reach $46.3 billion</w:t>
      </w:r>
      <w:r>
        <w:rPr>
          <w:rStyle w:val="FootnoteReference"/>
          <w:noProof/>
        </w:rPr>
        <w:footnoteReference w:id="39"/>
      </w:r>
      <w:r>
        <w:rPr>
          <w:noProof/>
        </w:rPr>
        <w:t>.</w:t>
      </w:r>
    </w:p>
    <w:p w:rsidR="00913429" w:rsidRDefault="00E143F0">
      <w:pPr>
        <w:autoSpaceDE w:val="0"/>
        <w:autoSpaceDN w:val="0"/>
        <w:adjustRightInd w:val="0"/>
        <w:spacing w:after="120" w:line="240" w:lineRule="auto"/>
        <w:jc w:val="both"/>
        <w:rPr>
          <w:noProof/>
        </w:rPr>
      </w:pPr>
      <w:r>
        <w:rPr>
          <w:noProof/>
        </w:rPr>
        <w:t xml:space="preserve">Despite its growing influence, concerns regarding cloud computing still remain. There are in fact challenges that it still has to face, such as: </w:t>
      </w:r>
      <w:r>
        <w:rPr>
          <w:b/>
          <w:noProof/>
        </w:rPr>
        <w:t>Data Protection, Data Recovery and Availability, Management Capabilities and Regulat</w:t>
      </w:r>
      <w:r>
        <w:rPr>
          <w:b/>
          <w:noProof/>
        </w:rPr>
        <w:t>ory and Compliance Restriction</w:t>
      </w:r>
      <w:r>
        <w:rPr>
          <w:noProof/>
        </w:rPr>
        <w:t>s</w:t>
      </w:r>
      <w:r>
        <w:rPr>
          <w:rStyle w:val="FootnoteReference"/>
          <w:noProof/>
        </w:rPr>
        <w:footnoteReference w:id="40"/>
      </w:r>
      <w:r>
        <w:rPr>
          <w:noProof/>
        </w:rPr>
        <w:t>.</w:t>
      </w:r>
    </w:p>
    <w:p w:rsidR="00913429" w:rsidRDefault="00E143F0">
      <w:pPr>
        <w:autoSpaceDE w:val="0"/>
        <w:autoSpaceDN w:val="0"/>
        <w:adjustRightInd w:val="0"/>
        <w:spacing w:after="120" w:line="240" w:lineRule="auto"/>
        <w:jc w:val="both"/>
        <w:rPr>
          <w:noProof/>
        </w:rPr>
      </w:pPr>
      <w:r>
        <w:rPr>
          <w:noProof/>
        </w:rPr>
        <w:t xml:space="preserve">Incidents related to Cloud Computing services worry the companies especially for sectors such as Finance where a data breach can cause huge economic and reputable damages. According to representatives from European Banks, </w:t>
      </w:r>
      <w:r>
        <w:rPr>
          <w:noProof/>
        </w:rPr>
        <w:t>they are not very sure if the data are stored in a secure way, especially according to the various jurisdictions of different Countries.</w:t>
      </w:r>
    </w:p>
    <w:p w:rsidR="00913429" w:rsidRDefault="00E143F0">
      <w:pPr>
        <w:autoSpaceDE w:val="0"/>
        <w:autoSpaceDN w:val="0"/>
        <w:adjustRightInd w:val="0"/>
        <w:spacing w:after="120" w:line="240" w:lineRule="auto"/>
        <w:jc w:val="both"/>
        <w:rPr>
          <w:noProof/>
        </w:rPr>
      </w:pPr>
      <w:r>
        <w:rPr>
          <w:noProof/>
        </w:rPr>
        <w:t>Cloud Computing is going to be fundamental for the future. For this reason, it is necessary that it as secure as possib</w:t>
      </w:r>
      <w:r>
        <w:rPr>
          <w:noProof/>
        </w:rPr>
        <w:t xml:space="preserve">le. </w:t>
      </w:r>
    </w:p>
    <w:p w:rsidR="00913429" w:rsidRDefault="00E143F0">
      <w:pPr>
        <w:spacing w:after="120"/>
        <w:jc w:val="both"/>
        <w:rPr>
          <w:noProof/>
        </w:rPr>
      </w:pPr>
      <w:r>
        <w:rPr>
          <w:b/>
          <w:noProof/>
        </w:rPr>
        <w:t>Fragmentation of the Cloud Computing Industry:</w:t>
      </w:r>
      <w:r>
        <w:rPr>
          <w:noProof/>
        </w:rPr>
        <w:t xml:space="preserve"> Cloud service providers offer their services internationally in several markets. Therefore, national approaches for certification and assurance are of limited use to them. National cyber security authorit</w:t>
      </w:r>
      <w:r>
        <w:rPr>
          <w:noProof/>
        </w:rPr>
        <w:t>ies can usually only set national standards, even if other countries use them too</w:t>
      </w:r>
      <w:r>
        <w:rPr>
          <w:rStyle w:val="FootnoteReference"/>
          <w:noProof/>
        </w:rPr>
        <w:footnoteReference w:id="41"/>
      </w:r>
      <w:r>
        <w:rPr>
          <w:noProof/>
        </w:rPr>
        <w:t>. ANSSI (Agence national de la sécurité des systèmes d'information) and the BSI have been very intensively involved with the security of Cloud Computing in recent years. Both</w:t>
      </w:r>
      <w:r>
        <w:rPr>
          <w:noProof/>
        </w:rPr>
        <w:t xml:space="preserve"> authorities arrived at a very similar understanding of the Cloud security standards that need to be met, and both initiated new ways of verifying secure Cloud Computing, since the existing certifications failed to adequately meet the needs in this area. H</w:t>
      </w:r>
      <w:r>
        <w:rPr>
          <w:noProof/>
        </w:rPr>
        <w:t>owever, both authorities pursued different paths</w:t>
      </w:r>
      <w:r>
        <w:rPr>
          <w:rStyle w:val="FootnoteReference"/>
          <w:noProof/>
        </w:rPr>
        <w:footnoteReference w:id="42"/>
      </w:r>
      <w:r>
        <w:rPr>
          <w:noProof/>
        </w:rPr>
        <w:t xml:space="preserve">.  </w:t>
      </w:r>
    </w:p>
    <w:p w:rsidR="00913429" w:rsidRDefault="00E143F0">
      <w:pPr>
        <w:pStyle w:val="ListParagraph"/>
        <w:numPr>
          <w:ilvl w:val="0"/>
          <w:numId w:val="135"/>
        </w:numPr>
        <w:spacing w:before="0" w:after="160" w:line="259" w:lineRule="auto"/>
        <w:ind w:left="360"/>
        <w:jc w:val="both"/>
        <w:rPr>
          <w:noProof/>
          <w:lang w:val="en-GB"/>
        </w:rPr>
      </w:pPr>
      <w:r>
        <w:rPr>
          <w:b/>
          <w:noProof/>
          <w:lang w:val="en-GB"/>
        </w:rPr>
        <w:t>Compliance Controls Catalogue (C5)</w:t>
      </w:r>
      <w:r>
        <w:rPr>
          <w:noProof/>
          <w:lang w:val="en-GB"/>
        </w:rPr>
        <w:t xml:space="preserve"> - The BSI developed the Cloud Computing Compliance Controls Catalogue (C5). This catalogue, which is closely oriented to tried and tested standards, defines the require</w:t>
      </w:r>
      <w:r>
        <w:rPr>
          <w:noProof/>
          <w:lang w:val="en-GB"/>
        </w:rPr>
        <w:t>ments for the secure provision of services critical to businesses, which the Cloud provider must meet. Additionally, the provider must make their offer transparent, such as the location of data processing and the subcontractor. The auditing process is cond</w:t>
      </w:r>
      <w:r>
        <w:rPr>
          <w:noProof/>
          <w:lang w:val="en-GB"/>
        </w:rPr>
        <w:t>ucted in line with the international recognised standard, the ISAE 3000. The audit report is based on standards such as the ISAE 3402 and SOC 2. Auditors and Cloud experts conduct this audit and issue an audit opinion, for which the auditor bears liability</w:t>
      </w:r>
      <w:r>
        <w:rPr>
          <w:noProof/>
          <w:lang w:val="en-GB"/>
        </w:rPr>
        <w:t xml:space="preserve">. The C5 also contains standards for greater protection needs and can be individually extended – for example for a specific industrial sector. The BSI sets the standards and specifies criteria for the audit, but has no further supervisory role with regard </w:t>
      </w:r>
      <w:r>
        <w:rPr>
          <w:noProof/>
          <w:lang w:val="en-GB"/>
        </w:rPr>
        <w:t xml:space="preserve">to specific procedures. </w:t>
      </w:r>
    </w:p>
    <w:p w:rsidR="00913429" w:rsidRDefault="00E143F0">
      <w:pPr>
        <w:pStyle w:val="ListParagraph"/>
        <w:numPr>
          <w:ilvl w:val="0"/>
          <w:numId w:val="135"/>
        </w:numPr>
        <w:spacing w:before="0" w:after="120" w:line="259" w:lineRule="auto"/>
        <w:ind w:left="360"/>
        <w:jc w:val="both"/>
        <w:rPr>
          <w:noProof/>
          <w:lang w:val="en-GB"/>
        </w:rPr>
      </w:pPr>
      <w:r>
        <w:rPr>
          <w:b/>
          <w:noProof/>
          <w:lang w:val="en-GB"/>
        </w:rPr>
        <w:t xml:space="preserve">SecNumCloud </w:t>
      </w:r>
      <w:r>
        <w:rPr>
          <w:noProof/>
          <w:lang w:val="en-GB"/>
        </w:rPr>
        <w:t>- The ANSSI takes a very different approach. The Référentiel SecNumCloud, which is strongly oriented to the ISO/IEC 27001 standard and which supplements it with several specifications of its own, defines the standards r</w:t>
      </w:r>
      <w:r>
        <w:rPr>
          <w:noProof/>
          <w:lang w:val="en-GB"/>
        </w:rPr>
        <w:t xml:space="preserve">equired for secure Cloud Computing. In the Référentiel, there are two levels: sécure and sécure plus, whereby the latter sets higher security standards and limits to France the service provided. Taking this as a basis, the ANSSI has developed a completely </w:t>
      </w:r>
      <w:r>
        <w:rPr>
          <w:noProof/>
          <w:lang w:val="en-GB"/>
        </w:rPr>
        <w:t>new certification of its own, which it has established in France. Cloud providers receive a certificate which is issued by the ANSSI and on which an audit report produced by ANSSI certified auditors is based. For example, providers who want to be certified</w:t>
      </w:r>
      <w:r>
        <w:rPr>
          <w:noProof/>
          <w:lang w:val="en-GB"/>
        </w:rPr>
        <w:t xml:space="preserve"> with SecNumCloud can be audited by AFNOR Certification</w:t>
      </w:r>
      <w:r>
        <w:rPr>
          <w:rStyle w:val="FootnoteReference"/>
          <w:noProof/>
        </w:rPr>
        <w:footnoteReference w:id="43"/>
      </w:r>
      <w:r>
        <w:rPr>
          <w:noProof/>
          <w:lang w:val="en-GB"/>
        </w:rPr>
        <w:t>.</w:t>
      </w:r>
    </w:p>
    <w:p w:rsidR="00913429" w:rsidRDefault="00E143F0">
      <w:pPr>
        <w:spacing w:after="120"/>
        <w:jc w:val="both"/>
        <w:rPr>
          <w:noProof/>
        </w:rPr>
      </w:pPr>
      <w:r>
        <w:rPr>
          <w:noProof/>
        </w:rPr>
        <w:t xml:space="preserve">While the security levels which the BSI and ANSSI would like to see in place are very similar, </w:t>
      </w:r>
      <w:r>
        <w:rPr>
          <w:b/>
          <w:noProof/>
        </w:rPr>
        <w:t>the two very different approaches towards certification and attestation appear to contradict each other</w:t>
      </w:r>
      <w:r>
        <w:rPr>
          <w:noProof/>
        </w:rPr>
        <w:t>.</w:t>
      </w:r>
    </w:p>
    <w:p w:rsidR="00913429" w:rsidRDefault="00E143F0">
      <w:pPr>
        <w:spacing w:after="120"/>
        <w:jc w:val="both"/>
        <w:rPr>
          <w:noProof/>
        </w:rPr>
      </w:pPr>
      <w:r>
        <w:rPr>
          <w:noProof/>
        </w:rPr>
        <w:t xml:space="preserve">Moreover, the list of applicable Standards and Certification Schemes for Cloud Computing across Europe includes, among others: ISO 27001/2, ISO 20000 (ITIL), CSA Open Certification Framework (OCF), Eurocloud, Star Audit, SOC 1-2-3, PCI – DSS, Europrise, </w:t>
      </w:r>
      <w:r>
        <w:rPr>
          <w:noProof/>
        </w:rPr>
        <w:t>FISMA, Cloud Industry Forum Code of Practice, ISACA COBIT, Security Rating (Leet security), TUV certififed.</w:t>
      </w:r>
    </w:p>
    <w:p w:rsidR="00913429" w:rsidRDefault="00E143F0">
      <w:pPr>
        <w:spacing w:after="120"/>
        <w:jc w:val="both"/>
        <w:rPr>
          <w:noProof/>
        </w:rPr>
      </w:pPr>
      <w:r>
        <w:rPr>
          <w:noProof/>
        </w:rPr>
        <w:t>Motivated by the German-French business consultations</w:t>
      </w:r>
      <w:r>
        <w:rPr>
          <w:rStyle w:val="FootnoteReference"/>
          <w:noProof/>
        </w:rPr>
        <w:footnoteReference w:id="44"/>
      </w:r>
      <w:r>
        <w:rPr>
          <w:noProof/>
        </w:rPr>
        <w:t xml:space="preserve"> and based on a high level of mutual trust, the idea therefore emerged of generating a </w:t>
      </w:r>
      <w:r>
        <w:rPr>
          <w:b/>
          <w:noProof/>
        </w:rPr>
        <w:t>new Clo</w:t>
      </w:r>
      <w:r>
        <w:rPr>
          <w:b/>
          <w:noProof/>
        </w:rPr>
        <w:t>ud Label</w:t>
      </w:r>
      <w:r>
        <w:rPr>
          <w:noProof/>
        </w:rPr>
        <w:t>. It stands for the joint Cloud security standards and is suitable evidence that they have been met. The underlying principle on which the label is based is a joint short catalogue with security targets (“core rules”). Naturally, the attestation in</w:t>
      </w:r>
      <w:r>
        <w:rPr>
          <w:noProof/>
        </w:rPr>
        <w:t xml:space="preserve"> accordance with the BSI’s C5 and the ANSSI certification are sufficient to meet these standards. </w:t>
      </w:r>
      <w:r>
        <w:rPr>
          <w:b/>
          <w:noProof/>
        </w:rPr>
        <w:t xml:space="preserve">A provider who already has one of the two certifications can receive this label and as such advertise the security level of their product very easily on both </w:t>
      </w:r>
      <w:r>
        <w:rPr>
          <w:b/>
          <w:noProof/>
        </w:rPr>
        <w:t>markets.</w:t>
      </w:r>
      <w:r>
        <w:rPr>
          <w:noProof/>
        </w:rPr>
        <w:t xml:space="preserve"> The Cloud Label is regarded by the ANSSI and BSI as being an explicitly European initiative, which can also incorporate the certifications of other countries. In this way, the expertise and independent nature of the BSI and ANSSI, as well as their</w:t>
      </w:r>
      <w:r>
        <w:rPr>
          <w:noProof/>
        </w:rPr>
        <w:t xml:space="preserve"> cooperation based on trust, are of benefit to the whole of Europe.</w:t>
      </w:r>
    </w:p>
    <w:p w:rsidR="00913429" w:rsidRDefault="00E143F0">
      <w:pPr>
        <w:jc w:val="both"/>
        <w:rPr>
          <w:noProof/>
        </w:rPr>
      </w:pPr>
      <w:r>
        <w:rPr>
          <w:noProof/>
        </w:rPr>
        <w:t xml:space="preserve">Another European initiative towards a unique approach for ICT Security Certification Schemes comes from </w:t>
      </w:r>
      <w:r>
        <w:rPr>
          <w:b/>
          <w:noProof/>
        </w:rPr>
        <w:t>Horizon 2020 Programme</w:t>
      </w:r>
      <w:r>
        <w:rPr>
          <w:noProof/>
        </w:rPr>
        <w:t>: the project EU-SEC</w:t>
      </w:r>
      <w:r>
        <w:rPr>
          <w:rStyle w:val="FootnoteReference"/>
          <w:noProof/>
        </w:rPr>
        <w:footnoteReference w:id="45"/>
      </w:r>
      <w:r>
        <w:rPr>
          <w:noProof/>
        </w:rPr>
        <w:t>. The EU-SEC, started at the beginning of</w:t>
      </w:r>
      <w:r>
        <w:rPr>
          <w:noProof/>
        </w:rPr>
        <w:t xml:space="preserve"> 2017, will last until 2019 and aims to create a framework under which existing, certification and assurance approaches can co-exist. Furthermore, it will feature a tailored architecture and provide a set of tools to improve the efficiency and effectivenes</w:t>
      </w:r>
      <w:r>
        <w:rPr>
          <w:noProof/>
        </w:rPr>
        <w:t xml:space="preserve">s of current assurance schemes targeting security, governance, risks management and compliance in the Cloud. </w:t>
      </w:r>
    </w:p>
    <w:p w:rsidR="00913429" w:rsidRDefault="00E143F0">
      <w:pPr>
        <w:spacing w:after="0"/>
        <w:jc w:val="both"/>
        <w:rPr>
          <w:noProof/>
        </w:rPr>
      </w:pPr>
      <w:r>
        <w:rPr>
          <w:b/>
          <w:noProof/>
        </w:rPr>
        <w:t>Cost Analysis:</w:t>
      </w:r>
      <w:r>
        <w:rPr>
          <w:noProof/>
        </w:rPr>
        <w:t xml:space="preserve"> An economic paper by economists of DG ECFIN estimated that the cost associated to differences in technical rules and multiple testi</w:t>
      </w:r>
      <w:r>
        <w:rPr>
          <w:noProof/>
        </w:rPr>
        <w:t xml:space="preserve">ng/certification are between </w:t>
      </w:r>
      <w:r>
        <w:rPr>
          <w:b/>
          <w:noProof/>
        </w:rPr>
        <w:t>2% to 10% of companies annual turn-over</w:t>
      </w:r>
      <w:r>
        <w:rPr>
          <w:rStyle w:val="FootnoteReference"/>
          <w:b/>
          <w:noProof/>
        </w:rPr>
        <w:footnoteReference w:id="46"/>
      </w:r>
      <w:r>
        <w:rPr>
          <w:noProof/>
        </w:rPr>
        <w:t>. According to this paper inadequate standards and insufficient mutual recognition, including in the ICT sector, is among the main barriers to the single market. For example, the costs of</w:t>
      </w:r>
      <w:r>
        <w:rPr>
          <w:noProof/>
        </w:rPr>
        <w:t xml:space="preserve"> an ISAE 3000 implementation project, in order to be certified under the Cloud Computing Compliance Controls Catalogue (C5) Scheme, can vary from </w:t>
      </w:r>
      <w:r>
        <w:rPr>
          <w:b/>
          <w:noProof/>
        </w:rPr>
        <w:t>ten thousand USD up to a million USD or even more</w:t>
      </w:r>
      <w:r>
        <w:rPr>
          <w:rStyle w:val="FootnoteReference"/>
          <w:noProof/>
        </w:rPr>
        <w:footnoteReference w:id="47"/>
      </w:r>
      <w:r>
        <w:rPr>
          <w:noProof/>
        </w:rPr>
        <w:t>. The costs for enterprises of product conformity assessment</w:t>
      </w:r>
      <w:r>
        <w:rPr>
          <w:noProof/>
        </w:rPr>
        <w:t xml:space="preserve"> can be substantial and we there is lack of mutual recognition this implies the multiplication of such costs:  for companies offering several product types on a national market of a receiving Member State the costs amount to approximately 2% of their entir</w:t>
      </w:r>
      <w:r>
        <w:rPr>
          <w:noProof/>
        </w:rPr>
        <w:t>e annual turnover on that market, whereas they can reach up to 10% for companies specialized in one specific product type because they do not benefit from economies of scale</w:t>
      </w:r>
      <w:r>
        <w:rPr>
          <w:rStyle w:val="FootnoteReference"/>
          <w:noProof/>
        </w:rPr>
        <w:footnoteReference w:id="48"/>
      </w:r>
      <w:r>
        <w:rPr>
          <w:noProof/>
        </w:rPr>
        <w:t xml:space="preserve">. Even applying the lower bound of 2% only to 60% of the cyber security market to </w:t>
      </w:r>
      <w:r>
        <w:rPr>
          <w:noProof/>
        </w:rPr>
        <w:t xml:space="preserve">be conservative (i.e. assuming 40% of the market concerns products for which certification is no require) </w:t>
      </w:r>
      <w:r>
        <w:rPr>
          <w:b/>
          <w:noProof/>
        </w:rPr>
        <w:t>the costs of lack of mutual recognition reach a figure in the range of 1.2 billion euro</w:t>
      </w:r>
      <w:r>
        <w:rPr>
          <w:noProof/>
        </w:rPr>
        <w:t xml:space="preserve">. </w:t>
      </w:r>
    </w:p>
    <w:p w:rsidR="00913429" w:rsidRDefault="00E143F0">
      <w:pPr>
        <w:spacing w:after="0"/>
        <w:jc w:val="both"/>
        <w:rPr>
          <w:noProof/>
        </w:rPr>
      </w:pPr>
      <w:r>
        <w:rPr>
          <w:noProof/>
        </w:rPr>
        <w:t>Moreover, many organizations are ‘locked’ into their ICT sys</w:t>
      </w:r>
      <w:r>
        <w:rPr>
          <w:noProof/>
        </w:rPr>
        <w:t xml:space="preserve">tems because detailed knowledge about how the system works is available only to the provider, so that when they need to buy new components or licenses only that provider can deliver. </w:t>
      </w:r>
      <w:r>
        <w:rPr>
          <w:b/>
          <w:noProof/>
        </w:rPr>
        <w:t>This lack of competition leads to higher prices and some € 1.1 billion pe</w:t>
      </w:r>
      <w:r>
        <w:rPr>
          <w:b/>
          <w:noProof/>
        </w:rPr>
        <w:t>r year is lost unnecessarily in the public sector alone</w:t>
      </w:r>
      <w:r>
        <w:rPr>
          <w:rStyle w:val="FootnoteReference"/>
          <w:b/>
          <w:noProof/>
        </w:rPr>
        <w:footnoteReference w:id="49"/>
      </w:r>
      <w:r>
        <w:rPr>
          <w:noProof/>
        </w:rPr>
        <w:t>.</w:t>
      </w:r>
    </w:p>
    <w:p w:rsidR="00913429" w:rsidRDefault="00E143F0">
      <w:pPr>
        <w:jc w:val="both"/>
        <w:rPr>
          <w:noProof/>
        </w:rPr>
      </w:pPr>
      <w:r>
        <w:rPr>
          <w:noProof/>
        </w:rPr>
        <w:t>As mentioned in the SWD “A Single Market Strategy for Europe - Analysis and Evidence”</w:t>
      </w:r>
      <w:r>
        <w:rPr>
          <w:rStyle w:val="FootnoteReference"/>
          <w:noProof/>
        </w:rPr>
        <w:footnoteReference w:id="50"/>
      </w:r>
      <w:r>
        <w:rPr>
          <w:noProof/>
        </w:rPr>
        <w:t xml:space="preserve"> a large body of economic studies that show the impact that standard have on economic growth and GDP</w:t>
      </w:r>
      <w:r>
        <w:rPr>
          <w:rStyle w:val="FootnoteReference"/>
          <w:noProof/>
        </w:rPr>
        <w:footnoteReference w:id="51"/>
      </w:r>
      <w:r>
        <w:rPr>
          <w:noProof/>
        </w:rPr>
        <w:t xml:space="preserve">. </w:t>
      </w:r>
      <w:r>
        <w:rPr>
          <w:b/>
          <w:noProof/>
        </w:rPr>
        <w:t>For Franc</w:t>
      </w:r>
      <w:r>
        <w:rPr>
          <w:b/>
          <w:noProof/>
        </w:rPr>
        <w:t>e the impact on growth is estimated at 0.8 %, for United Kingdom at 0.3 % and for Germany at 0.9 % of GDP</w:t>
      </w:r>
      <w:r>
        <w:rPr>
          <w:noProof/>
        </w:rPr>
        <w:t>. To put this in monetary terms, DIN (the German Institute for Standardization) estimates that in Germany alone, standards generate up to EUR 17 billio</w:t>
      </w:r>
      <w:r>
        <w:rPr>
          <w:noProof/>
        </w:rPr>
        <w:t>n a year. A more recent study from the UK 'The Economic Contribution of Standards to the UK Economy' also confirms that the use of standards benefits the national economy: standards contributed to around EUR 11 billion of the EUR 40 billion GDP growth in 2</w:t>
      </w:r>
      <w:r>
        <w:rPr>
          <w:noProof/>
        </w:rPr>
        <w:t>013 (2014 prices) and to around EUR 8.5 billion to UK exports</w:t>
      </w:r>
      <w:r>
        <w:rPr>
          <w:noProof/>
        </w:rPr>
        <w:footnoteReference w:id="52"/>
      </w:r>
      <w:r>
        <w:rPr>
          <w:noProof/>
        </w:rPr>
        <w:t>. The same study shows that standards help to enhance quality, with 70 % of respondents stating that standards had contributed improving the quality of supplier products and services. In the eco</w:t>
      </w:r>
      <w:r>
        <w:rPr>
          <w:noProof/>
        </w:rPr>
        <w:t>nometric models supporting such estimates standards are considered, together with R&amp;D expenditure and patents, as fuelling the knowledge input in the classical production functions. One key hypothesis is that standards can, to some extent, counterbalance s</w:t>
      </w:r>
      <w:r>
        <w:rPr>
          <w:noProof/>
        </w:rPr>
        <w:t xml:space="preserve">ome well-known market failures and the possibility that investments in knowledge by private players are sub-optimal and not sufficient to produce social surplus (externalities). </w:t>
      </w:r>
    </w:p>
    <w:p w:rsidR="00913429" w:rsidRDefault="00E143F0">
      <w:pPr>
        <w:spacing w:after="0"/>
        <w:jc w:val="both"/>
        <w:rPr>
          <w:noProof/>
        </w:rPr>
      </w:pPr>
      <w:r>
        <w:rPr>
          <w:b/>
          <w:noProof/>
        </w:rPr>
        <w:t>Benefits for the Cloud Computing Industry of an EU wide Certification Framewo</w:t>
      </w:r>
      <w:r>
        <w:rPr>
          <w:b/>
          <w:noProof/>
        </w:rPr>
        <w:t>rk:</w:t>
      </w:r>
      <w:r>
        <w:rPr>
          <w:noProof/>
        </w:rPr>
        <w:t xml:space="preserve"> In a world that is increasingly interconnected, it does not make much sense for a State to tackle digital security issues on its own. The new French digital security strategy states France’s will to engage a dialogue both within multilateral organizati</w:t>
      </w:r>
      <w:r>
        <w:rPr>
          <w:noProof/>
        </w:rPr>
        <w:t xml:space="preserve">ons and with long-term trustworthy partners following two objectives: contributing to the global stability of cyberspace as well as reinforcing the States’ own cybersecurity. </w:t>
      </w:r>
    </w:p>
    <w:p w:rsidR="00913429" w:rsidRDefault="00E143F0">
      <w:pPr>
        <w:spacing w:after="0"/>
        <w:jc w:val="both"/>
        <w:rPr>
          <w:noProof/>
        </w:rPr>
      </w:pPr>
      <w:r>
        <w:rPr>
          <w:noProof/>
        </w:rPr>
        <w:t xml:space="preserve">The longstanding and close bilateral cooperation between ANSSI and BSI is based </w:t>
      </w:r>
      <w:r>
        <w:rPr>
          <w:noProof/>
        </w:rPr>
        <w:t xml:space="preserve">on trust and has been greatly facilitated by a shared vision on many strategic and political issues, a common positioning at the national level fulfilling only defensive missions and a comparable high level of technical expertise. </w:t>
      </w:r>
    </w:p>
    <w:p w:rsidR="00913429" w:rsidRDefault="00E143F0">
      <w:pPr>
        <w:spacing w:after="120"/>
        <w:jc w:val="both"/>
        <w:rPr>
          <w:noProof/>
        </w:rPr>
      </w:pPr>
      <w:r>
        <w:rPr>
          <w:noProof/>
        </w:rPr>
        <w:t xml:space="preserve">ANSSI and BSI have been </w:t>
      </w:r>
      <w:r>
        <w:rPr>
          <w:noProof/>
        </w:rPr>
        <w:t>working together in many fields, such as cloud-computing with the creation of a common label for secure cloud service providers, security certification though a very strong support of the international recognition schemes (CCRA and SOG-IS) and industrial s</w:t>
      </w:r>
      <w:r>
        <w:rPr>
          <w:noProof/>
        </w:rPr>
        <w:t xml:space="preserve">ynergies. An EU wide Certification Framework could guide these initiatives in order to avoid the fragmentation of Standards and Certification Schemes across Europe and the further development of National Approaches. The benefits of standardization through </w:t>
      </w:r>
      <w:r>
        <w:rPr>
          <w:noProof/>
        </w:rPr>
        <w:t>an EU wide Certification Scheme include, among others:</w:t>
      </w:r>
    </w:p>
    <w:p w:rsidR="00913429" w:rsidRDefault="00E143F0">
      <w:pPr>
        <w:numPr>
          <w:ilvl w:val="0"/>
          <w:numId w:val="180"/>
        </w:numPr>
        <w:spacing w:after="0" w:line="259" w:lineRule="auto"/>
        <w:jc w:val="both"/>
        <w:rPr>
          <w:noProof/>
        </w:rPr>
      </w:pPr>
      <w:r>
        <w:rPr>
          <w:b/>
          <w:noProof/>
        </w:rPr>
        <w:t>Competitive Advantage</w:t>
      </w:r>
      <w:r>
        <w:rPr>
          <w:noProof/>
        </w:rPr>
        <w:t>. Companies are motivated to participate in standardization because they gain an edge over non-participating companies in terms of insider knowledge. Early access to information is</w:t>
      </w:r>
      <w:r>
        <w:rPr>
          <w:noProof/>
        </w:rPr>
        <w:t xml:space="preserve"> valuable;</w:t>
      </w:r>
    </w:p>
    <w:p w:rsidR="00913429" w:rsidRDefault="00E143F0">
      <w:pPr>
        <w:numPr>
          <w:ilvl w:val="0"/>
          <w:numId w:val="180"/>
        </w:numPr>
        <w:spacing w:after="0" w:line="259" w:lineRule="auto"/>
        <w:jc w:val="both"/>
        <w:rPr>
          <w:noProof/>
        </w:rPr>
      </w:pPr>
      <w:r>
        <w:rPr>
          <w:b/>
          <w:noProof/>
        </w:rPr>
        <w:t>Cost Reduction</w:t>
      </w:r>
      <w:r>
        <w:rPr>
          <w:noProof/>
        </w:rPr>
        <w:t xml:space="preserve">. Standardization lead to lower transaction costs in the economy as a whole, as well as to savings for individual businesses. transaction costs drop considerably as a result of standards, since they make information available and </w:t>
      </w:r>
      <w:r>
        <w:rPr>
          <w:noProof/>
        </w:rPr>
        <w:t>they are accessible to all interested parties;</w:t>
      </w:r>
    </w:p>
    <w:p w:rsidR="00913429" w:rsidRDefault="00E143F0">
      <w:pPr>
        <w:numPr>
          <w:ilvl w:val="0"/>
          <w:numId w:val="180"/>
        </w:numPr>
        <w:spacing w:after="0" w:line="259" w:lineRule="auto"/>
        <w:jc w:val="both"/>
        <w:rPr>
          <w:noProof/>
        </w:rPr>
      </w:pPr>
      <w:r>
        <w:rPr>
          <w:b/>
          <w:noProof/>
        </w:rPr>
        <w:t>Supplier/Client Relationship</w:t>
      </w:r>
      <w:r>
        <w:rPr>
          <w:noProof/>
        </w:rPr>
        <w:t>. Standards can help businesses avoid dependence on a single supplier because the availability of standards opens up the market. The result is a broader choice for businesses and in</w:t>
      </w:r>
      <w:r>
        <w:rPr>
          <w:noProof/>
        </w:rPr>
        <w:t>creased competition among suppliers;</w:t>
      </w:r>
    </w:p>
    <w:p w:rsidR="00913429" w:rsidRDefault="00E143F0">
      <w:pPr>
        <w:numPr>
          <w:ilvl w:val="0"/>
          <w:numId w:val="180"/>
        </w:numPr>
        <w:spacing w:after="0" w:line="259" w:lineRule="auto"/>
        <w:jc w:val="both"/>
        <w:rPr>
          <w:noProof/>
        </w:rPr>
      </w:pPr>
      <w:r>
        <w:rPr>
          <w:b/>
          <w:noProof/>
        </w:rPr>
        <w:t>Standards and R&amp;D</w:t>
      </w:r>
      <w:r>
        <w:rPr>
          <w:noProof/>
        </w:rPr>
        <w:t>. Businesses not only reduce the economic risk of their R&amp;D activities by participating in standardization, but can also lower their R&amp;D costs. When a company can influence the content of standards to i</w:t>
      </w:r>
      <w:r>
        <w:rPr>
          <w:noProof/>
        </w:rPr>
        <w:t>ts advantage, the economic risk is lower. The expense of R&amp;D is potentially reduced when the participants in standards work make their results generally available, and research need not be duplicated</w:t>
      </w:r>
    </w:p>
    <w:p w:rsidR="00913429" w:rsidRDefault="00E143F0">
      <w:pPr>
        <w:numPr>
          <w:ilvl w:val="0"/>
          <w:numId w:val="180"/>
        </w:numPr>
        <w:spacing w:after="120" w:line="259" w:lineRule="auto"/>
        <w:jc w:val="both"/>
        <w:rPr>
          <w:noProof/>
        </w:rPr>
      </w:pPr>
      <w:r>
        <w:rPr>
          <w:b/>
          <w:noProof/>
        </w:rPr>
        <w:t>Raising Trust</w:t>
      </w:r>
      <w:r>
        <w:rPr>
          <w:noProof/>
        </w:rPr>
        <w:t>. An annual report featured on eWeek</w:t>
      </w:r>
      <w:r>
        <w:rPr>
          <w:rStyle w:val="FootnoteReference"/>
          <w:noProof/>
        </w:rPr>
        <w:footnoteReference w:id="53"/>
      </w:r>
      <w:r>
        <w:rPr>
          <w:noProof/>
        </w:rPr>
        <w:t xml:space="preserve"> shows</w:t>
      </w:r>
      <w:r>
        <w:rPr>
          <w:noProof/>
        </w:rPr>
        <w:t xml:space="preserve"> that 73% of survey respondents are worried about cloud computing security. An EU wide Certification Scheme could raise the trust level of companies in the Cloud Computing services, reducing insecurity due to the various jurisdictions of different Countrie</w:t>
      </w:r>
      <w:r>
        <w:rPr>
          <w:noProof/>
        </w:rPr>
        <w:t>s.</w:t>
      </w:r>
    </w:p>
    <w:p w:rsidR="00913429" w:rsidRDefault="00E143F0">
      <w:pPr>
        <w:pStyle w:val="Default"/>
        <w:spacing w:after="120"/>
        <w:jc w:val="both"/>
        <w:rPr>
          <w:rFonts w:ascii="Georgia" w:hAnsi="Georgia" w:cstheme="minorBidi"/>
          <w:noProof/>
          <w:color w:val="auto"/>
          <w:sz w:val="20"/>
          <w:szCs w:val="22"/>
        </w:rPr>
      </w:pPr>
      <w:r>
        <w:rPr>
          <w:rFonts w:ascii="Georgia" w:hAnsi="Georgia" w:cstheme="minorBidi"/>
          <w:b/>
          <w:noProof/>
          <w:color w:val="auto"/>
          <w:sz w:val="20"/>
          <w:szCs w:val="22"/>
          <w:lang w:val="en-GB"/>
        </w:rPr>
        <w:t>Conclusion:</w:t>
      </w:r>
      <w:r>
        <w:rPr>
          <w:b/>
          <w:noProof/>
          <w:lang w:val="en-GB"/>
        </w:rPr>
        <w:t xml:space="preserve"> </w:t>
      </w:r>
      <w:r>
        <w:rPr>
          <w:rFonts w:ascii="Georgia" w:hAnsi="Georgia" w:cstheme="minorBidi"/>
          <w:noProof/>
          <w:color w:val="auto"/>
          <w:sz w:val="20"/>
          <w:szCs w:val="22"/>
        </w:rPr>
        <w:t xml:space="preserve">Even if States are primarily responsible for their national digital security, it is France and Germany’s shared vision that many challenges can best be addressed </w:t>
      </w:r>
      <w:r>
        <w:rPr>
          <w:rFonts w:ascii="Georgia" w:hAnsi="Georgia" w:cstheme="minorBidi"/>
          <w:b/>
          <w:noProof/>
          <w:color w:val="auto"/>
          <w:sz w:val="20"/>
          <w:szCs w:val="22"/>
        </w:rPr>
        <w:t xml:space="preserve">through a common and coordinated effort at European level. </w:t>
      </w:r>
      <w:r>
        <w:rPr>
          <w:rFonts w:ascii="Georgia" w:hAnsi="Georgia" w:cstheme="minorBidi"/>
          <w:noProof/>
          <w:color w:val="auto"/>
          <w:sz w:val="20"/>
          <w:szCs w:val="22"/>
        </w:rPr>
        <w:t>This could be guaran</w:t>
      </w:r>
      <w:r>
        <w:rPr>
          <w:rFonts w:ascii="Georgia" w:hAnsi="Georgia" w:cstheme="minorBidi"/>
          <w:noProof/>
          <w:color w:val="auto"/>
          <w:sz w:val="20"/>
          <w:szCs w:val="22"/>
        </w:rPr>
        <w:t>teed introducing an EU wide Certification Framework, which avoids multiplication of National Approaches, duplication of efforts and waste of resources. Beyond the development of EU Member States’ capacities and cooperation, the EU must as well recognize th</w:t>
      </w:r>
      <w:r>
        <w:rPr>
          <w:rFonts w:ascii="Georgia" w:hAnsi="Georgia" w:cstheme="minorBidi"/>
          <w:noProof/>
          <w:color w:val="auto"/>
          <w:sz w:val="20"/>
          <w:szCs w:val="22"/>
        </w:rPr>
        <w:t>at European digital security is challenged on other fronts, requiring a collective ambition to guarantee Europe’s digital sovereignty. Three challenges in particular are ahead of us</w:t>
      </w:r>
      <w:r>
        <w:rPr>
          <w:rStyle w:val="FootnoteReference"/>
          <w:rFonts w:ascii="Georgia" w:hAnsi="Georgia" w:cstheme="minorBidi"/>
          <w:noProof/>
          <w:color w:val="auto"/>
          <w:sz w:val="20"/>
          <w:szCs w:val="22"/>
        </w:rPr>
        <w:footnoteReference w:id="54"/>
      </w:r>
      <w:r>
        <w:rPr>
          <w:rFonts w:ascii="Georgia" w:hAnsi="Georgia" w:cstheme="minorBidi"/>
          <w:noProof/>
          <w:color w:val="auto"/>
          <w:sz w:val="20"/>
          <w:szCs w:val="22"/>
        </w:rPr>
        <w:t xml:space="preserve">: </w:t>
      </w:r>
    </w:p>
    <w:p w:rsidR="00913429" w:rsidRDefault="00E143F0">
      <w:pPr>
        <w:pStyle w:val="ListParagraph"/>
        <w:numPr>
          <w:ilvl w:val="0"/>
          <w:numId w:val="179"/>
        </w:numPr>
        <w:autoSpaceDE w:val="0"/>
        <w:autoSpaceDN w:val="0"/>
        <w:adjustRightInd w:val="0"/>
        <w:spacing w:before="0" w:after="274"/>
        <w:jc w:val="both"/>
        <w:rPr>
          <w:noProof/>
          <w:lang w:val="en-GB"/>
        </w:rPr>
      </w:pPr>
      <w:r>
        <w:rPr>
          <w:noProof/>
          <w:lang w:val="en-GB"/>
        </w:rPr>
        <w:t>the EU and the Member States’ ability to protect and defend the EU inst</w:t>
      </w:r>
      <w:r>
        <w:rPr>
          <w:noProof/>
          <w:lang w:val="en-GB"/>
        </w:rPr>
        <w:t>itutions, the administrations, the critical infrastructures, the companies and the general public in cyberspace must be ensured;</w:t>
      </w:r>
    </w:p>
    <w:p w:rsidR="00913429" w:rsidRDefault="00E143F0">
      <w:pPr>
        <w:pStyle w:val="ListParagraph"/>
        <w:numPr>
          <w:ilvl w:val="0"/>
          <w:numId w:val="179"/>
        </w:numPr>
        <w:autoSpaceDE w:val="0"/>
        <w:autoSpaceDN w:val="0"/>
        <w:adjustRightInd w:val="0"/>
        <w:spacing w:before="0" w:after="0"/>
        <w:jc w:val="both"/>
        <w:rPr>
          <w:noProof/>
          <w:lang w:val="en-GB"/>
        </w:rPr>
      </w:pPr>
      <w:r>
        <w:rPr>
          <w:noProof/>
          <w:lang w:val="en-GB"/>
        </w:rPr>
        <w:t xml:space="preserve">the EU must actively support the development of sustainable European industries in the field of digital security and guarantee </w:t>
      </w:r>
      <w:r>
        <w:rPr>
          <w:noProof/>
          <w:lang w:val="en-GB"/>
        </w:rPr>
        <w:t xml:space="preserve">Member States’ ability to evaluate and approve the security of digital products and services; </w:t>
      </w:r>
    </w:p>
    <w:p w:rsidR="00913429" w:rsidRDefault="00E143F0">
      <w:pPr>
        <w:pStyle w:val="ListParagraph"/>
        <w:numPr>
          <w:ilvl w:val="0"/>
          <w:numId w:val="179"/>
        </w:numPr>
        <w:autoSpaceDE w:val="0"/>
        <w:autoSpaceDN w:val="0"/>
        <w:adjustRightInd w:val="0"/>
        <w:spacing w:before="0" w:after="0"/>
        <w:jc w:val="both"/>
        <w:rPr>
          <w:noProof/>
          <w:lang w:val="en-GB"/>
        </w:rPr>
      </w:pPr>
      <w:r>
        <w:rPr>
          <w:noProof/>
          <w:lang w:val="en-GB"/>
        </w:rPr>
        <w:t xml:space="preserve">the EU must preserve its capacity to choose autonomously how data and related services should be protected in Europe. </w:t>
      </w:r>
    </w:p>
    <w:p w:rsidR="00913429" w:rsidRDefault="00913429">
      <w:pPr>
        <w:autoSpaceDE w:val="0"/>
        <w:autoSpaceDN w:val="0"/>
        <w:adjustRightInd w:val="0"/>
        <w:spacing w:after="0" w:line="240" w:lineRule="auto"/>
        <w:jc w:val="both"/>
        <w:rPr>
          <w:noProof/>
        </w:rPr>
      </w:pPr>
    </w:p>
    <w:p w:rsidR="00913429" w:rsidRDefault="00E143F0">
      <w:pPr>
        <w:jc w:val="both"/>
        <w:rPr>
          <w:noProof/>
        </w:rPr>
      </w:pPr>
      <w:r>
        <w:rPr>
          <w:noProof/>
        </w:rPr>
        <w:t>Along with like-minded Member States, Fra</w:t>
      </w:r>
      <w:r>
        <w:rPr>
          <w:noProof/>
        </w:rPr>
        <w:t>nce and Germany will closely work together to promote the European digital strategic autonomy, a long-term guarantor of a cyberspace that is more secure and respectful of European values.</w:t>
      </w:r>
    </w:p>
    <w:p w:rsidR="00913429" w:rsidRDefault="00E143F0">
      <w:pPr>
        <w:spacing w:after="0" w:line="240" w:lineRule="auto"/>
        <w:rPr>
          <w:noProof/>
          <w:color w:val="DC6900"/>
          <w:sz w:val="32"/>
          <w:szCs w:val="26"/>
        </w:rPr>
      </w:pPr>
      <w:r>
        <w:rPr>
          <w:noProof/>
          <w:color w:val="DC6900"/>
          <w:sz w:val="32"/>
          <w:szCs w:val="26"/>
        </w:rPr>
        <w:br w:type="page"/>
      </w:r>
    </w:p>
    <w:p w:rsidR="00913429" w:rsidRDefault="00E143F0">
      <w:pPr>
        <w:pStyle w:val="ListParagraph"/>
        <w:keepNext/>
        <w:keepLines/>
        <w:numPr>
          <w:ilvl w:val="1"/>
          <w:numId w:val="93"/>
        </w:numPr>
        <w:tabs>
          <w:tab w:val="left" w:pos="993"/>
        </w:tabs>
        <w:spacing w:after="120"/>
        <w:ind w:right="-23"/>
        <w:outlineLvl w:val="1"/>
        <w:rPr>
          <w:noProof/>
          <w:color w:val="DC6900"/>
          <w:sz w:val="32"/>
          <w:szCs w:val="26"/>
          <w:lang w:val="en-GB"/>
        </w:rPr>
      </w:pPr>
      <w:bookmarkStart w:id="88" w:name="_Toc492396567"/>
      <w:r>
        <w:rPr>
          <w:noProof/>
          <w:color w:val="DC6900"/>
          <w:sz w:val="32"/>
          <w:szCs w:val="26"/>
          <w:lang w:val="en-GB"/>
        </w:rPr>
        <w:t xml:space="preserve">IoT Trust Label - Proposed Requirements as a Basis for Endpoint </w:t>
      </w:r>
      <w:r>
        <w:rPr>
          <w:noProof/>
          <w:color w:val="DC6900"/>
          <w:sz w:val="32"/>
          <w:szCs w:val="26"/>
          <w:lang w:val="en-GB"/>
        </w:rPr>
        <w:t>Trust Labels (from Stakeholder Support)</w:t>
      </w:r>
      <w:bookmarkEnd w:id="88"/>
    </w:p>
    <w:p w:rsidR="00913429" w:rsidRDefault="00E143F0">
      <w:pPr>
        <w:pStyle w:val="CommentText"/>
        <w:spacing w:after="120"/>
        <w:jc w:val="both"/>
        <w:rPr>
          <w:rFonts w:ascii="Georgia" w:hAnsi="Georgia"/>
          <w:noProof/>
          <w:lang w:val="en-GB"/>
        </w:rPr>
      </w:pPr>
      <w:r>
        <w:rPr>
          <w:rFonts w:ascii="Georgia" w:hAnsi="Georgia"/>
          <w:bCs/>
          <w:noProof/>
          <w:lang w:val="en-GB"/>
        </w:rPr>
        <w:t>The IoT Trust Label requirements consist of a set of endpoint guiding principles that enable for an IoT solution to have an intelligent, automated and secure way to manage the device through its lifecycle.  End users</w:t>
      </w:r>
      <w:r>
        <w:rPr>
          <w:rFonts w:ascii="Georgia" w:hAnsi="Georgia"/>
          <w:bCs/>
          <w:noProof/>
          <w:lang w:val="en-GB"/>
        </w:rPr>
        <w:t>, including consumers, enterprises, and service providers, purchasing labeled equipment and services can have confidence as to the level of trustworthiness that vendors are building into their products. The basis of these requirements is that the system an</w:t>
      </w:r>
      <w:r>
        <w:rPr>
          <w:rFonts w:ascii="Georgia" w:hAnsi="Georgia"/>
          <w:bCs/>
          <w:noProof/>
          <w:lang w:val="en-GB"/>
        </w:rPr>
        <w:t xml:space="preserve">d its components should provide protection across the end to end solution – before, during, and after an attack. </w:t>
      </w:r>
    </w:p>
    <w:p w:rsidR="00913429" w:rsidRDefault="00E143F0">
      <w:pPr>
        <w:spacing w:after="120"/>
        <w:jc w:val="both"/>
        <w:rPr>
          <w:bCs/>
          <w:noProof/>
        </w:rPr>
      </w:pPr>
      <w:r>
        <w:rPr>
          <w:bCs/>
          <w:noProof/>
        </w:rPr>
        <w:t>In the context of the IoT, a “Thing” is an endpoint that has network connectivity and a well-designed purpose with constrained functionality a</w:t>
      </w:r>
      <w:r>
        <w:rPr>
          <w:bCs/>
          <w:noProof/>
        </w:rPr>
        <w:t xml:space="preserve">s compared to general purpose IT devices. </w:t>
      </w:r>
      <w:r>
        <w:rPr>
          <w:b/>
          <w:bCs/>
          <w:noProof/>
        </w:rPr>
        <w:t>A trust labeled Thing has additional capabilities that provide owners and operators the confidence that it is designed to be secure and simple to manage</w:t>
      </w:r>
      <w:r>
        <w:rPr>
          <w:bCs/>
          <w:noProof/>
        </w:rPr>
        <w:t>. For the purpose of this trust label document, “Endpoint” and</w:t>
      </w:r>
      <w:r>
        <w:rPr>
          <w:bCs/>
          <w:noProof/>
        </w:rPr>
        <w:t xml:space="preserve"> “Thing” are the same. </w:t>
      </w:r>
    </w:p>
    <w:p w:rsidR="00913429" w:rsidRDefault="00E143F0">
      <w:pPr>
        <w:jc w:val="both"/>
        <w:rPr>
          <w:bCs/>
          <w:noProof/>
        </w:rPr>
      </w:pPr>
      <w:r>
        <w:rPr>
          <w:bCs/>
          <w:noProof/>
        </w:rPr>
        <w:t xml:space="preserve">The IoT Trust Label requirements are intended to improve overall cyber resilience of IoT solutions by addressing common weaknesses with products and ecosystems that provide easy attack vectors.  A second and equally important </w:t>
      </w:r>
      <w:r>
        <w:rPr>
          <w:bCs/>
          <w:noProof/>
        </w:rPr>
        <w:t>outcome is that the end user can have confidence in these products because manufacturers are accountable for what is “built in” to the product.</w:t>
      </w:r>
    </w:p>
    <w:p w:rsidR="00913429" w:rsidRDefault="00E143F0">
      <w:pPr>
        <w:jc w:val="both"/>
        <w:rPr>
          <w:bCs/>
          <w:noProof/>
        </w:rPr>
      </w:pPr>
      <w:r>
        <w:rPr>
          <w:bCs/>
          <w:noProof/>
        </w:rPr>
        <w:t>Labeling is a mechanism of informing interested parties of the capabilities or components of the labeled equipme</w:t>
      </w:r>
      <w:r>
        <w:rPr>
          <w:bCs/>
          <w:noProof/>
        </w:rPr>
        <w:t>nt. The following information should be delivered as part of the label definition:</w:t>
      </w:r>
    </w:p>
    <w:p w:rsidR="00913429" w:rsidRDefault="00E143F0">
      <w:pPr>
        <w:numPr>
          <w:ilvl w:val="0"/>
          <w:numId w:val="153"/>
        </w:numPr>
        <w:spacing w:after="0"/>
        <w:jc w:val="both"/>
        <w:rPr>
          <w:bCs/>
          <w:noProof/>
        </w:rPr>
      </w:pPr>
      <w:r>
        <w:rPr>
          <w:bCs/>
          <w:noProof/>
        </w:rPr>
        <w:t>The actual assertions being made,</w:t>
      </w:r>
    </w:p>
    <w:p w:rsidR="00913429" w:rsidRDefault="00E143F0">
      <w:pPr>
        <w:numPr>
          <w:ilvl w:val="0"/>
          <w:numId w:val="153"/>
        </w:numPr>
        <w:jc w:val="both"/>
        <w:rPr>
          <w:bCs/>
          <w:noProof/>
        </w:rPr>
      </w:pPr>
      <w:r>
        <w:rPr>
          <w:bCs/>
          <w:noProof/>
        </w:rPr>
        <w:t>Identification as to whether assertion is made by vendor or 3rd party testing/certification organization.</w:t>
      </w:r>
    </w:p>
    <w:p w:rsidR="00913429" w:rsidRDefault="00E143F0">
      <w:pPr>
        <w:jc w:val="both"/>
        <w:rPr>
          <w:bCs/>
          <w:noProof/>
        </w:rPr>
      </w:pPr>
      <w:r>
        <w:rPr>
          <w:bCs/>
          <w:noProof/>
        </w:rPr>
        <w:t>Additional information that could</w:t>
      </w:r>
      <w:r>
        <w:rPr>
          <w:bCs/>
          <w:noProof/>
        </w:rPr>
        <w:t xml:space="preserve"> be considered for either part of the label definition or part of the assertions include:</w:t>
      </w:r>
    </w:p>
    <w:p w:rsidR="00913429" w:rsidRDefault="00E143F0">
      <w:pPr>
        <w:numPr>
          <w:ilvl w:val="0"/>
          <w:numId w:val="153"/>
        </w:numPr>
        <w:spacing w:after="0"/>
        <w:jc w:val="both"/>
        <w:rPr>
          <w:bCs/>
          <w:noProof/>
        </w:rPr>
      </w:pPr>
      <w:r>
        <w:rPr>
          <w:bCs/>
          <w:noProof/>
        </w:rPr>
        <w:t>Is this assertion time limited?</w:t>
      </w:r>
    </w:p>
    <w:p w:rsidR="00913429" w:rsidRDefault="00E143F0">
      <w:pPr>
        <w:numPr>
          <w:ilvl w:val="0"/>
          <w:numId w:val="153"/>
        </w:numPr>
        <w:jc w:val="both"/>
        <w:rPr>
          <w:bCs/>
          <w:noProof/>
        </w:rPr>
      </w:pPr>
      <w:r>
        <w:rPr>
          <w:bCs/>
          <w:noProof/>
        </w:rPr>
        <w:t>Is this assertion dependent on external services or facts that might change?</w:t>
      </w:r>
    </w:p>
    <w:p w:rsidR="00913429" w:rsidRDefault="00E143F0">
      <w:pPr>
        <w:jc w:val="both"/>
        <w:rPr>
          <w:bCs/>
          <w:noProof/>
        </w:rPr>
      </w:pPr>
      <w:r>
        <w:rPr>
          <w:bCs/>
          <w:noProof/>
        </w:rPr>
        <w:t>Where the assertions being made are direct facts, it is s</w:t>
      </w:r>
      <w:r>
        <w:rPr>
          <w:bCs/>
          <w:noProof/>
        </w:rPr>
        <w:t>ometimes advantageous to simply list them. For example, the “grams of sugar” within a food serving is a factual statement. A conversion of this direct fact, using an external standard, can be used to help consumers make informed choices. For example, 25g o</w:t>
      </w:r>
      <w:r>
        <w:rPr>
          <w:bCs/>
          <w:noProof/>
        </w:rPr>
        <w:t>f sugar is “50% daily value” and performing this lookup when printing the label is intended to help consumers understand the relevancy of their decision; it saves them a step of doing the lookup or memorizing the recommendations. While advantageous for com</w:t>
      </w:r>
      <w:r>
        <w:rPr>
          <w:bCs/>
          <w:noProof/>
        </w:rPr>
        <w:t>municating with homogenous user base with general agreement concerning the “daily value” metrics, this form of label is less helpful at communicating core information (# of grams) to consumers with custom use cases (for example a vet at zoo attempting to d</w:t>
      </w:r>
      <w:r>
        <w:rPr>
          <w:bCs/>
          <w:noProof/>
        </w:rPr>
        <w:t xml:space="preserve">etermine if the grams of sugar in a snack are appropriate for an orangutan with a different calorie diet, a different daily value for sugar). </w:t>
      </w:r>
    </w:p>
    <w:p w:rsidR="00913429" w:rsidRDefault="00E143F0">
      <w:pPr>
        <w:jc w:val="both"/>
        <w:rPr>
          <w:bCs/>
          <w:noProof/>
        </w:rPr>
      </w:pPr>
      <w:r>
        <w:rPr>
          <w:bCs/>
          <w:noProof/>
        </w:rPr>
        <w:t>Similarly, security labeling provides simple information to the end user for making purchasing decisions. The sit</w:t>
      </w:r>
      <w:r>
        <w:rPr>
          <w:bCs/>
          <w:noProof/>
        </w:rPr>
        <w:t>uation is complicated by the variety of use cases and associated disagreement about the “daily value” metrics. One use case might prioritize lots of confidentiality (sugar) and another might prioritize lots of availability (think “protein” in our nutrition</w:t>
      </w:r>
      <w:r>
        <w:rPr>
          <w:bCs/>
          <w:noProof/>
        </w:rPr>
        <w:t xml:space="preserve"> metaphor). </w:t>
      </w:r>
    </w:p>
    <w:p w:rsidR="00913429" w:rsidRDefault="00E143F0">
      <w:pPr>
        <w:jc w:val="both"/>
        <w:rPr>
          <w:bCs/>
          <w:noProof/>
        </w:rPr>
      </w:pPr>
      <w:r>
        <w:rPr>
          <w:bCs/>
          <w:noProof/>
        </w:rPr>
        <w:t>The labeling method therefore must impart either:</w:t>
      </w:r>
    </w:p>
    <w:p w:rsidR="00913429" w:rsidRDefault="00E143F0">
      <w:pPr>
        <w:numPr>
          <w:ilvl w:val="0"/>
          <w:numId w:val="154"/>
        </w:numPr>
        <w:spacing w:after="0"/>
        <w:jc w:val="both"/>
        <w:rPr>
          <w:bCs/>
          <w:noProof/>
        </w:rPr>
      </w:pPr>
      <w:r>
        <w:rPr>
          <w:bCs/>
          <w:noProof/>
        </w:rPr>
        <w:t>The use case labeling indicates the offer is appropriate for</w:t>
      </w:r>
    </w:p>
    <w:p w:rsidR="00913429" w:rsidRDefault="00E143F0">
      <w:pPr>
        <w:numPr>
          <w:ilvl w:val="0"/>
          <w:numId w:val="154"/>
        </w:numPr>
        <w:spacing w:after="120"/>
        <w:jc w:val="both"/>
        <w:rPr>
          <w:bCs/>
          <w:noProof/>
        </w:rPr>
      </w:pPr>
      <w:r>
        <w:rPr>
          <w:bCs/>
          <w:noProof/>
        </w:rPr>
        <w:t xml:space="preserve">Or, discrete facts that allow the end user to judge appropriateness for arbitrary use cases </w:t>
      </w:r>
    </w:p>
    <w:p w:rsidR="00913429" w:rsidRDefault="00E143F0">
      <w:pPr>
        <w:jc w:val="both"/>
        <w:rPr>
          <w:bCs/>
          <w:noProof/>
        </w:rPr>
      </w:pPr>
      <w:r>
        <w:rPr>
          <w:bCs/>
          <w:noProof/>
        </w:rPr>
        <w:t>There is commonality among use cases in</w:t>
      </w:r>
      <w:r>
        <w:rPr>
          <w:bCs/>
          <w:noProof/>
        </w:rPr>
        <w:t xml:space="preserve"> that, at least with respect to cyber security resilience, it may be useful to combine and generalize facts in a way that imparts high level information without also enforcing a specific use case. This hybrid approach may be more tractable. </w:t>
      </w:r>
    </w:p>
    <w:p w:rsidR="00913429" w:rsidRDefault="00E143F0">
      <w:pPr>
        <w:spacing w:after="0" w:line="240" w:lineRule="auto"/>
        <w:jc w:val="both"/>
        <w:rPr>
          <w:rFonts w:eastAsia="Calibri"/>
          <w:noProof/>
          <w:lang w:val="en-US" w:bidi="he-IL"/>
        </w:rPr>
      </w:pPr>
      <w:r>
        <w:rPr>
          <w:rFonts w:eastAsia="Calibri"/>
          <w:bCs/>
          <w:noProof/>
          <w:lang w:val="en-US" w:bidi="he-IL"/>
        </w:rPr>
        <w:t>Endpoint capab</w:t>
      </w:r>
      <w:r>
        <w:rPr>
          <w:rFonts w:eastAsia="Calibri"/>
          <w:bCs/>
          <w:noProof/>
          <w:lang w:val="en-US" w:bidi="he-IL"/>
        </w:rPr>
        <w:t>ilities will vary greatly depending upon intended application(s), deployment environment, and cost considerations (memory size, computing power, battery life, etc.). As such, the requirements have been aligned to three Trust Label categories that aim to pr</w:t>
      </w:r>
      <w:r>
        <w:rPr>
          <w:rFonts w:eastAsia="Calibri"/>
          <w:bCs/>
          <w:noProof/>
          <w:lang w:val="en-US" w:bidi="he-IL"/>
        </w:rPr>
        <w:t xml:space="preserve">ovide purchasing guidance based on the expected usage of the device and the environment where it operates. </w:t>
      </w:r>
    </w:p>
    <w:p w:rsidR="00913429" w:rsidRDefault="00913429">
      <w:pPr>
        <w:spacing w:after="0" w:line="240" w:lineRule="auto"/>
        <w:jc w:val="both"/>
        <w:rPr>
          <w:rFonts w:eastAsia="Calibri"/>
          <w:noProof/>
          <w:lang w:val="en-US" w:bidi="he-IL"/>
        </w:rPr>
      </w:pPr>
    </w:p>
    <w:p w:rsidR="00913429" w:rsidRDefault="00E143F0">
      <w:pPr>
        <w:numPr>
          <w:ilvl w:val="0"/>
          <w:numId w:val="155"/>
        </w:numPr>
        <w:spacing w:after="0" w:line="240" w:lineRule="auto"/>
        <w:contextualSpacing/>
        <w:jc w:val="both"/>
        <w:rPr>
          <w:rFonts w:eastAsia="Calibri"/>
          <w:noProof/>
          <w:lang w:val="en-US" w:bidi="he-IL"/>
        </w:rPr>
      </w:pPr>
      <w:r>
        <w:rPr>
          <w:rFonts w:eastAsia="Calibri"/>
          <w:b/>
          <w:noProof/>
          <w:lang w:val="en-US" w:bidi="he-IL"/>
        </w:rPr>
        <w:t>Bronze</w:t>
      </w:r>
      <w:r>
        <w:rPr>
          <w:rFonts w:eastAsia="Calibri"/>
          <w:noProof/>
          <w:lang w:val="en-US" w:bidi="he-IL"/>
        </w:rPr>
        <w:t>: The bronze level of IoT device provides the lowest level of assurance and cyber resilience to the end user and does not require any technic</w:t>
      </w:r>
      <w:r>
        <w:rPr>
          <w:rFonts w:eastAsia="Calibri"/>
          <w:noProof/>
          <w:lang w:val="en-US" w:bidi="he-IL"/>
        </w:rPr>
        <w:t>al changes to the product itself.  Vendors provide one-time information describing the device and expected behavior to achieve this level of compliance. Bronze devices rely on their implicit identities to provide the underlying network infrastructure to pr</w:t>
      </w:r>
      <w:r>
        <w:rPr>
          <w:rFonts w:eastAsia="Calibri"/>
          <w:noProof/>
          <w:lang w:val="en-US" w:bidi="he-IL"/>
        </w:rPr>
        <w:t>ovide essential “Before” capabilities in the security, data protection, and privacy areas.</w:t>
      </w:r>
    </w:p>
    <w:p w:rsidR="00913429" w:rsidRDefault="00913429">
      <w:pPr>
        <w:spacing w:after="0" w:line="240" w:lineRule="auto"/>
        <w:ind w:left="720"/>
        <w:contextualSpacing/>
        <w:jc w:val="both"/>
        <w:rPr>
          <w:rFonts w:eastAsia="Calibri"/>
          <w:noProof/>
          <w:lang w:val="en-US" w:bidi="he-IL"/>
        </w:rPr>
      </w:pPr>
    </w:p>
    <w:p w:rsidR="00913429" w:rsidRDefault="00E143F0">
      <w:pPr>
        <w:spacing w:after="0" w:line="240" w:lineRule="auto"/>
        <w:ind w:left="720"/>
        <w:jc w:val="both"/>
        <w:rPr>
          <w:rFonts w:eastAsia="Calibri"/>
          <w:noProof/>
          <w:lang w:val="en-US" w:bidi="he-IL"/>
        </w:rPr>
      </w:pPr>
      <w:r>
        <w:rPr>
          <w:rFonts w:eastAsia="Calibri"/>
          <w:noProof/>
          <w:lang w:val="en-US" w:bidi="he-IL"/>
        </w:rPr>
        <w:t>Devices in the Bronze tier are targeted at buyers that are price sensitive and NOT concerned about the overall security or resilience of the individual device due t</w:t>
      </w:r>
      <w:r>
        <w:rPr>
          <w:rFonts w:eastAsia="Calibri"/>
          <w:noProof/>
          <w:lang w:val="en-US" w:bidi="he-IL"/>
        </w:rPr>
        <w:t xml:space="preserve">o the level of management that can be provided through existing network and security capabilities that exist within the organization to provide before, during, and after protections.  If the device is compromised by an attacker, the buyer accepts the fact </w:t>
      </w:r>
      <w:r>
        <w:rPr>
          <w:rFonts w:eastAsia="Calibri"/>
          <w:noProof/>
          <w:lang w:val="en-US" w:bidi="he-IL"/>
        </w:rPr>
        <w:t xml:space="preserve">that the device would have to be replaced with a new unit. </w:t>
      </w:r>
    </w:p>
    <w:p w:rsidR="00913429" w:rsidRDefault="00913429">
      <w:pPr>
        <w:spacing w:after="0" w:line="240" w:lineRule="auto"/>
        <w:ind w:left="720"/>
        <w:jc w:val="both"/>
        <w:rPr>
          <w:rFonts w:eastAsia="Calibri"/>
          <w:noProof/>
          <w:lang w:val="en-US" w:bidi="he-IL"/>
        </w:rPr>
      </w:pPr>
    </w:p>
    <w:p w:rsidR="00913429" w:rsidRDefault="00E143F0">
      <w:pPr>
        <w:numPr>
          <w:ilvl w:val="0"/>
          <w:numId w:val="155"/>
        </w:numPr>
        <w:spacing w:after="0" w:line="240" w:lineRule="auto"/>
        <w:contextualSpacing/>
        <w:jc w:val="both"/>
        <w:rPr>
          <w:rFonts w:eastAsia="Calibri"/>
          <w:noProof/>
          <w:lang w:val="en-US" w:bidi="he-IL"/>
        </w:rPr>
      </w:pPr>
      <w:r>
        <w:rPr>
          <w:rFonts w:eastAsia="Calibri"/>
          <w:b/>
          <w:noProof/>
          <w:lang w:val="en-US" w:bidi="he-IL"/>
        </w:rPr>
        <w:t>Silver:</w:t>
      </w:r>
      <w:r>
        <w:rPr>
          <w:rFonts w:eastAsia="Calibri"/>
          <w:noProof/>
          <w:lang w:val="en-US" w:bidi="he-IL"/>
        </w:rPr>
        <w:t xml:space="preserve"> In addition to meeting the Bronze level requirements, the Silver level IoT device implements more trustworthy identity and authentication mechanisms, standalone cyber security functionality, and assists the network in enhancing the device’s cyber resilien</w:t>
      </w:r>
      <w:r>
        <w:rPr>
          <w:rFonts w:eastAsia="Calibri"/>
          <w:noProof/>
          <w:lang w:val="en-US" w:bidi="he-IL"/>
        </w:rPr>
        <w:t>ce in the “Before” and “During” attack continuum stages by providing some visibility into the devices security state.  The cybersecurity functionality of the device compliance tested by vendor and the results MAY be shared with customers.  Vendors must als</w:t>
      </w:r>
      <w:r>
        <w:rPr>
          <w:rFonts w:eastAsia="Calibri"/>
          <w:noProof/>
          <w:lang w:val="en-US" w:bidi="he-IL"/>
        </w:rPr>
        <w:t>o provide or contract for any ongoing cloud services that are required to maintain the cyber resilience of the device.</w:t>
      </w:r>
    </w:p>
    <w:p w:rsidR="00913429" w:rsidRDefault="00913429">
      <w:pPr>
        <w:spacing w:after="0" w:line="240" w:lineRule="auto"/>
        <w:jc w:val="both"/>
        <w:rPr>
          <w:rFonts w:eastAsia="Calibri"/>
          <w:noProof/>
          <w:lang w:val="en-US" w:bidi="he-IL"/>
        </w:rPr>
      </w:pPr>
    </w:p>
    <w:p w:rsidR="00913429" w:rsidRDefault="00E143F0">
      <w:pPr>
        <w:spacing w:after="0" w:line="240" w:lineRule="auto"/>
        <w:ind w:left="720"/>
        <w:jc w:val="both"/>
        <w:rPr>
          <w:rFonts w:eastAsia="Calibri"/>
          <w:noProof/>
          <w:lang w:val="en-US" w:bidi="he-IL"/>
        </w:rPr>
      </w:pPr>
      <w:r>
        <w:rPr>
          <w:rFonts w:eastAsia="Calibri"/>
          <w:noProof/>
          <w:lang w:val="en-US" w:bidi="he-IL"/>
        </w:rPr>
        <w:t>Devices in the Silver tier are targeted at buyers that are concerned about the overall cyber security and resilience of the individual d</w:t>
      </w:r>
      <w:r>
        <w:rPr>
          <w:rFonts w:eastAsia="Calibri"/>
          <w:noProof/>
          <w:lang w:val="en-US" w:bidi="he-IL"/>
        </w:rPr>
        <w:t>evices being deployed, but do not have the need or capability to provide ongoing network and security management for their devices.  Unlike the Bronze device, if this class of device is vulnerable to exploit or compromised by an attacker, the vendor provid</w:t>
      </w:r>
      <w:r>
        <w:rPr>
          <w:rFonts w:eastAsia="Calibri"/>
          <w:noProof/>
          <w:lang w:val="en-US" w:bidi="he-IL"/>
        </w:rPr>
        <w:t>es software updates to mitigate security vulnerabilities for a period of time that is made known to the buyer via the trust label.</w:t>
      </w:r>
    </w:p>
    <w:p w:rsidR="00913429" w:rsidRDefault="00913429">
      <w:pPr>
        <w:spacing w:after="0" w:line="240" w:lineRule="auto"/>
        <w:ind w:left="720"/>
        <w:contextualSpacing/>
        <w:jc w:val="both"/>
        <w:rPr>
          <w:rFonts w:eastAsia="Calibri"/>
          <w:noProof/>
          <w:lang w:val="en-US" w:bidi="he-IL"/>
        </w:rPr>
      </w:pPr>
    </w:p>
    <w:p w:rsidR="00913429" w:rsidRDefault="00E143F0">
      <w:pPr>
        <w:numPr>
          <w:ilvl w:val="0"/>
          <w:numId w:val="155"/>
        </w:numPr>
        <w:spacing w:after="0" w:line="240" w:lineRule="auto"/>
        <w:contextualSpacing/>
        <w:jc w:val="both"/>
        <w:rPr>
          <w:rFonts w:eastAsia="Calibri"/>
          <w:bCs/>
          <w:noProof/>
          <w:lang w:val="en-US" w:bidi="he-IL"/>
        </w:rPr>
      </w:pPr>
      <w:r>
        <w:rPr>
          <w:rFonts w:eastAsia="Calibri"/>
          <w:b/>
          <w:noProof/>
          <w:lang w:val="en-US" w:bidi="he-IL"/>
        </w:rPr>
        <w:t xml:space="preserve">Gold: </w:t>
      </w:r>
      <w:r>
        <w:rPr>
          <w:rFonts w:eastAsia="Calibri"/>
          <w:bCs/>
          <w:noProof/>
          <w:lang w:val="en-US" w:bidi="he-IL"/>
        </w:rPr>
        <w:t>In addition to meeting the Silver level requirements, the Gold level IoT device and its vendor provide visibility into</w:t>
      </w:r>
      <w:r>
        <w:rPr>
          <w:rFonts w:eastAsia="Calibri"/>
          <w:bCs/>
          <w:noProof/>
          <w:lang w:val="en-US" w:bidi="he-IL"/>
        </w:rPr>
        <w:t xml:space="preserve"> the security, data, and privacy assertions that are made as well as coverage across the Before, During, and After stages of to the attack continuum.  Secure development lifecycle compliance, independent security testing results, information on data usage </w:t>
      </w:r>
      <w:r>
        <w:rPr>
          <w:rFonts w:eastAsia="Calibri"/>
          <w:bCs/>
          <w:noProof/>
          <w:lang w:val="en-US" w:bidi="he-IL"/>
        </w:rPr>
        <w:t>and protection controls, and the ability to control the personal or customer data usage MUST be readily available for customers.</w:t>
      </w:r>
    </w:p>
    <w:p w:rsidR="00913429" w:rsidRDefault="00913429">
      <w:pPr>
        <w:spacing w:after="0" w:line="240" w:lineRule="auto"/>
        <w:ind w:left="720"/>
        <w:jc w:val="both"/>
        <w:rPr>
          <w:rFonts w:eastAsia="Calibri"/>
          <w:noProof/>
          <w:lang w:val="en-US" w:bidi="he-IL"/>
        </w:rPr>
      </w:pPr>
    </w:p>
    <w:p w:rsidR="00913429" w:rsidRDefault="00E143F0">
      <w:pPr>
        <w:spacing w:line="240" w:lineRule="auto"/>
        <w:ind w:left="720"/>
        <w:jc w:val="both"/>
        <w:rPr>
          <w:rFonts w:eastAsia="Calibri"/>
          <w:noProof/>
          <w:lang w:val="en-US" w:bidi="he-IL"/>
        </w:rPr>
      </w:pPr>
      <w:r>
        <w:rPr>
          <w:rFonts w:eastAsia="Calibri"/>
          <w:noProof/>
          <w:lang w:val="en-US" w:bidi="he-IL"/>
        </w:rPr>
        <w:t>Devices in the Gold tier are targeted at buyers that are extremely sensitive to risks associated with security, data, and priv</w:t>
      </w:r>
      <w:r>
        <w:rPr>
          <w:rFonts w:eastAsia="Calibri"/>
          <w:noProof/>
          <w:lang w:val="en-US" w:bidi="he-IL"/>
        </w:rPr>
        <w:t>acy.  As a result of the increased visibility into the device’s security state, Gold devices are best suited for tight network integration and enable maximum cyber resilience across the attack continuum.</w:t>
      </w:r>
    </w:p>
    <w:p w:rsidR="00913429" w:rsidRDefault="00E143F0">
      <w:pPr>
        <w:spacing w:after="0" w:line="240" w:lineRule="auto"/>
        <w:jc w:val="both"/>
        <w:rPr>
          <w:rFonts w:eastAsia="Calibri"/>
          <w:noProof/>
          <w:lang w:val="en-US" w:bidi="he-IL"/>
        </w:rPr>
      </w:pPr>
      <w:r>
        <w:rPr>
          <w:rFonts w:eastAsia="Calibri"/>
          <w:b/>
          <w:noProof/>
          <w:lang w:val="en-US" w:bidi="he-IL"/>
        </w:rPr>
        <w:t>Bronze Devices</w:t>
      </w:r>
      <w:r>
        <w:rPr>
          <w:rFonts w:eastAsia="Calibri"/>
          <w:noProof/>
          <w:lang w:val="en-US" w:bidi="he-IL"/>
        </w:rPr>
        <w:t>Appropriate use cases for Bronze devic</w:t>
      </w:r>
      <w:r>
        <w:rPr>
          <w:rFonts w:eastAsia="Calibri"/>
          <w:noProof/>
          <w:lang w:val="en-US" w:bidi="he-IL"/>
        </w:rPr>
        <w:t xml:space="preserve">es include areas where the things are deployed within a managed environment that provides appropriate security and safety controls to compensate for the lack of resilience of the actual Thing.  </w:t>
      </w:r>
    </w:p>
    <w:p w:rsidR="00913429" w:rsidRDefault="00913429">
      <w:pPr>
        <w:spacing w:after="0" w:line="240" w:lineRule="auto"/>
        <w:jc w:val="both"/>
        <w:rPr>
          <w:rFonts w:eastAsia="Calibri"/>
          <w:noProof/>
          <w:lang w:val="en-US" w:bidi="he-IL"/>
        </w:rPr>
      </w:pPr>
    </w:p>
    <w:p w:rsidR="00913429" w:rsidRDefault="00E143F0">
      <w:pPr>
        <w:spacing w:after="0" w:line="240" w:lineRule="auto"/>
        <w:jc w:val="both"/>
        <w:rPr>
          <w:rFonts w:eastAsia="Calibri"/>
          <w:noProof/>
          <w:lang w:val="en-US" w:bidi="he-IL"/>
        </w:rPr>
      </w:pPr>
      <w:r>
        <w:rPr>
          <w:rFonts w:eastAsia="Calibri"/>
          <w:noProof/>
          <w:lang w:val="en-US" w:bidi="he-IL"/>
        </w:rPr>
        <w:t>An example of a bronze device would be connected lights depl</w:t>
      </w:r>
      <w:r>
        <w:rPr>
          <w:rFonts w:eastAsia="Calibri"/>
          <w:noProof/>
          <w:lang w:val="en-US" w:bidi="he-IL"/>
        </w:rPr>
        <w:t>oyed within a traditional enterprise network environment where an IT organization is able to layer in appropriate controls based on the Thing manufacturer’s device usage information in order to compensate for the device’s lack of cyber resilience capabilit</w:t>
      </w:r>
      <w:r>
        <w:rPr>
          <w:rFonts w:eastAsia="Calibri"/>
          <w:noProof/>
          <w:lang w:val="en-US" w:bidi="he-IL"/>
        </w:rPr>
        <w:t>ies.</w:t>
      </w:r>
    </w:p>
    <w:p w:rsidR="00913429" w:rsidRDefault="00913429">
      <w:pPr>
        <w:spacing w:after="0" w:line="240" w:lineRule="auto"/>
        <w:jc w:val="both"/>
        <w:rPr>
          <w:rFonts w:eastAsia="Calibri"/>
          <w:noProof/>
          <w:lang w:val="en-US" w:bidi="he-IL"/>
        </w:rPr>
      </w:pPr>
    </w:p>
    <w:p w:rsidR="00913429" w:rsidRDefault="00E143F0">
      <w:pPr>
        <w:spacing w:after="0" w:line="240" w:lineRule="auto"/>
        <w:jc w:val="both"/>
        <w:rPr>
          <w:rFonts w:eastAsia="Calibri"/>
          <w:b/>
          <w:noProof/>
          <w:lang w:val="en-US" w:bidi="he-IL"/>
        </w:rPr>
      </w:pPr>
      <w:bookmarkStart w:id="89" w:name="_Toc487742817"/>
      <w:r>
        <w:rPr>
          <w:rFonts w:eastAsia="Calibri"/>
          <w:b/>
          <w:noProof/>
          <w:lang w:val="en-US" w:bidi="he-IL"/>
        </w:rPr>
        <w:t>Silver Devices</w:t>
      </w:r>
      <w:bookmarkEnd w:id="89"/>
    </w:p>
    <w:p w:rsidR="00913429" w:rsidRDefault="00E143F0">
      <w:pPr>
        <w:spacing w:after="0" w:line="240" w:lineRule="auto"/>
        <w:jc w:val="both"/>
        <w:rPr>
          <w:rFonts w:eastAsia="Calibri"/>
          <w:noProof/>
          <w:lang w:val="en-US" w:bidi="he-IL"/>
        </w:rPr>
      </w:pPr>
      <w:r>
        <w:rPr>
          <w:rFonts w:eastAsia="Calibri"/>
          <w:noProof/>
          <w:lang w:val="en-US" w:bidi="he-IL"/>
        </w:rPr>
        <w:t>Silver devices are well suited for deployment within consumer use cases where an IT organization is not present and/or the consumer in not able to provide sufficient management and control of the devices to protect them against a cyber</w:t>
      </w:r>
      <w:r>
        <w:rPr>
          <w:rFonts w:eastAsia="Calibri"/>
          <w:noProof/>
          <w:lang w:val="en-US" w:bidi="he-IL"/>
        </w:rPr>
        <w:t xml:space="preserve">-attack.  </w:t>
      </w:r>
    </w:p>
    <w:p w:rsidR="00913429" w:rsidRDefault="00913429">
      <w:pPr>
        <w:spacing w:after="0" w:line="240" w:lineRule="auto"/>
        <w:jc w:val="both"/>
        <w:rPr>
          <w:rFonts w:eastAsia="Calibri"/>
          <w:noProof/>
          <w:lang w:val="en-US" w:bidi="he-IL"/>
        </w:rPr>
      </w:pPr>
    </w:p>
    <w:p w:rsidR="00913429" w:rsidRDefault="00E143F0">
      <w:pPr>
        <w:spacing w:after="0" w:line="240" w:lineRule="auto"/>
        <w:jc w:val="both"/>
        <w:rPr>
          <w:rFonts w:eastAsia="Calibri"/>
          <w:noProof/>
          <w:lang w:val="en-US" w:bidi="he-IL"/>
        </w:rPr>
      </w:pPr>
      <w:r>
        <w:rPr>
          <w:rFonts w:eastAsia="Calibri"/>
          <w:noProof/>
          <w:lang w:val="en-US" w:bidi="he-IL"/>
        </w:rPr>
        <w:t>An example of a silver device would be a connected baby monitor that allows the consumer to trust that the device is operating securely and protecting the privacy of the owners.</w:t>
      </w:r>
    </w:p>
    <w:p w:rsidR="00913429" w:rsidRDefault="00913429">
      <w:pPr>
        <w:spacing w:after="0" w:line="240" w:lineRule="auto"/>
        <w:jc w:val="both"/>
        <w:rPr>
          <w:rFonts w:eastAsia="Calibri"/>
          <w:noProof/>
          <w:lang w:val="en-US" w:bidi="he-IL"/>
        </w:rPr>
      </w:pPr>
    </w:p>
    <w:p w:rsidR="00913429" w:rsidRDefault="00E143F0">
      <w:pPr>
        <w:spacing w:after="0" w:line="240" w:lineRule="auto"/>
        <w:jc w:val="both"/>
        <w:rPr>
          <w:rFonts w:eastAsia="Calibri"/>
          <w:b/>
          <w:noProof/>
          <w:lang w:val="en-US" w:bidi="he-IL"/>
        </w:rPr>
      </w:pPr>
      <w:bookmarkStart w:id="90" w:name="_Toc487742818"/>
      <w:r>
        <w:rPr>
          <w:rFonts w:eastAsia="Calibri"/>
          <w:b/>
          <w:noProof/>
          <w:lang w:val="en-US" w:bidi="he-IL"/>
        </w:rPr>
        <w:t>Gold Devices</w:t>
      </w:r>
      <w:bookmarkEnd w:id="90"/>
    </w:p>
    <w:p w:rsidR="00913429" w:rsidRDefault="00E143F0">
      <w:pPr>
        <w:spacing w:after="0" w:line="240" w:lineRule="auto"/>
        <w:jc w:val="both"/>
        <w:rPr>
          <w:rFonts w:eastAsia="Calibri"/>
          <w:noProof/>
          <w:lang w:val="en-US" w:bidi="he-IL"/>
        </w:rPr>
      </w:pPr>
      <w:r>
        <w:rPr>
          <w:rFonts w:eastAsia="Calibri"/>
          <w:noProof/>
          <w:lang w:val="en-US" w:bidi="he-IL"/>
        </w:rPr>
        <w:t>Gold devices are best suited for deployments that re</w:t>
      </w:r>
      <w:r>
        <w:rPr>
          <w:rFonts w:eastAsia="Calibri"/>
          <w:noProof/>
          <w:lang w:val="en-US" w:bidi="he-IL"/>
        </w:rPr>
        <w:t>quire a higher level of assurance that the device is operating in a known to be good state of security due to either the criticality of the use case or sensitivity of the data being processed.</w:t>
      </w:r>
    </w:p>
    <w:p w:rsidR="00913429" w:rsidRDefault="00913429">
      <w:pPr>
        <w:spacing w:after="0" w:line="240" w:lineRule="auto"/>
        <w:jc w:val="both"/>
        <w:rPr>
          <w:rFonts w:eastAsia="Calibri"/>
          <w:noProof/>
          <w:lang w:val="en-US" w:bidi="he-IL"/>
        </w:rPr>
      </w:pPr>
    </w:p>
    <w:p w:rsidR="00913429" w:rsidRDefault="00E143F0">
      <w:pPr>
        <w:spacing w:after="0" w:line="240" w:lineRule="auto"/>
        <w:jc w:val="both"/>
        <w:rPr>
          <w:rFonts w:eastAsia="Calibri"/>
          <w:noProof/>
          <w:lang w:val="en-US" w:bidi="he-IL"/>
        </w:rPr>
      </w:pPr>
      <w:r>
        <w:rPr>
          <w:rFonts w:eastAsia="Calibri"/>
          <w:noProof/>
          <w:lang w:val="en-US" w:bidi="he-IL"/>
        </w:rPr>
        <w:t>An example of a gold device would be an autonomous vehicle bei</w:t>
      </w:r>
      <w:r>
        <w:rPr>
          <w:rFonts w:eastAsia="Calibri"/>
          <w:noProof/>
          <w:lang w:val="en-US" w:bidi="he-IL"/>
        </w:rPr>
        <w:t>ng used by a taxi service where the passengers of the vehicle would ideally be able to be aware of the security state of the vehicle prior to departure.</w:t>
      </w:r>
    </w:p>
    <w:p w:rsidR="00913429" w:rsidRDefault="00913429">
      <w:pPr>
        <w:spacing w:after="0" w:line="240" w:lineRule="auto"/>
        <w:jc w:val="both"/>
        <w:rPr>
          <w:noProof/>
        </w:rPr>
      </w:pPr>
    </w:p>
    <w:p w:rsidR="00913429" w:rsidRDefault="00E143F0">
      <w:pPr>
        <w:spacing w:after="0" w:line="240" w:lineRule="auto"/>
        <w:jc w:val="both"/>
        <w:rPr>
          <w:rFonts w:eastAsia="Calibri"/>
          <w:b/>
          <w:noProof/>
          <w:lang w:val="en-US" w:bidi="he-IL"/>
        </w:rPr>
      </w:pPr>
      <w:bookmarkStart w:id="91" w:name="_Toc487742927"/>
      <w:bookmarkStart w:id="92" w:name="_Ref476321506"/>
      <w:bookmarkStart w:id="93" w:name="_Ref476321781"/>
      <w:bookmarkStart w:id="94" w:name="_Ref471976519"/>
      <w:r>
        <w:rPr>
          <w:rFonts w:eastAsia="Calibri"/>
          <w:b/>
          <w:noProof/>
          <w:lang w:val="en-US" w:bidi="he-IL"/>
        </w:rPr>
        <w:t>Endpoint Capabilities</w:t>
      </w:r>
      <w:bookmarkEnd w:id="91"/>
      <w:r>
        <w:rPr>
          <w:rFonts w:eastAsia="Calibri"/>
          <w:b/>
          <w:noProof/>
          <w:lang w:val="en-US" w:bidi="he-IL"/>
        </w:rPr>
        <w:t xml:space="preserve"> </w:t>
      </w:r>
    </w:p>
    <w:p w:rsidR="00913429" w:rsidRDefault="00E143F0">
      <w:pPr>
        <w:spacing w:after="0" w:line="240" w:lineRule="auto"/>
        <w:jc w:val="both"/>
        <w:rPr>
          <w:rFonts w:eastAsia="Calibri"/>
          <w:noProof/>
          <w:lang w:val="en-US" w:bidi="he-IL"/>
        </w:rPr>
      </w:pPr>
      <w:r>
        <w:rPr>
          <w:rFonts w:eastAsia="Calibri"/>
          <w:noProof/>
          <w:lang w:val="en-US" w:bidi="he-IL"/>
        </w:rPr>
        <w:t xml:space="preserve">Each requirement is specified with an associated compliance level.  Where </w:t>
      </w:r>
      <w:r>
        <w:rPr>
          <w:rFonts w:eastAsia="Calibri"/>
          <w:noProof/>
          <w:lang w:val="en-US" w:bidi="he-IL"/>
        </w:rPr>
        <w:t>applicable, a normative reference and/or open source reference implementation is provided.  For areas where a standard does not exist, or the requirement may be more difficult to measure, we have provided non-normative references.</w:t>
      </w:r>
    </w:p>
    <w:p w:rsidR="00913429" w:rsidRDefault="00913429">
      <w:pPr>
        <w:spacing w:after="0" w:line="240" w:lineRule="auto"/>
        <w:jc w:val="both"/>
        <w:rPr>
          <w:rFonts w:eastAsia="Calibri"/>
          <w:noProof/>
          <w:lang w:val="en-US" w:bidi="he-IL"/>
        </w:rPr>
      </w:pPr>
    </w:p>
    <w:p w:rsidR="00913429" w:rsidRDefault="00E143F0">
      <w:pPr>
        <w:spacing w:after="0" w:line="240" w:lineRule="auto"/>
        <w:jc w:val="both"/>
        <w:rPr>
          <w:rFonts w:eastAsia="Calibri"/>
          <w:noProof/>
          <w:lang w:val="en-US" w:bidi="he-IL"/>
        </w:rPr>
      </w:pPr>
      <w:bookmarkStart w:id="95" w:name="_Toc487742928"/>
      <w:r>
        <w:rPr>
          <w:rFonts w:eastAsia="Calibri"/>
          <w:noProof/>
          <w:lang w:val="en-US" w:bidi="he-IL"/>
        </w:rPr>
        <w:t>Secure Manufacturer-base</w:t>
      </w:r>
      <w:r>
        <w:rPr>
          <w:rFonts w:eastAsia="Calibri"/>
          <w:noProof/>
          <w:lang w:val="en-US" w:bidi="he-IL"/>
        </w:rPr>
        <w:t>d Identity and Certificate Storage (Silver)</w:t>
      </w:r>
      <w:bookmarkEnd w:id="92"/>
      <w:bookmarkEnd w:id="93"/>
      <w:bookmarkEnd w:id="95"/>
    </w:p>
    <w:p w:rsidR="00913429" w:rsidRDefault="00E143F0">
      <w:pPr>
        <w:spacing w:after="0" w:line="240" w:lineRule="auto"/>
        <w:jc w:val="both"/>
        <w:rPr>
          <w:rFonts w:eastAsia="Calibri"/>
          <w:noProof/>
          <w:lang w:val="en-US" w:bidi="he-IL"/>
        </w:rPr>
      </w:pPr>
      <w:r>
        <w:rPr>
          <w:rFonts w:eastAsia="Calibri"/>
          <w:noProof/>
          <w:lang w:val="en-US" w:bidi="he-IL"/>
        </w:rPr>
        <w:t>Endpoints that communicate via IEEE 802 networking MUST contain a certificate (IDevID) along with the MUD-URL, and associated private key for the certificate.  [IEEE802.1AR]</w:t>
      </w:r>
    </w:p>
    <w:p w:rsidR="00913429" w:rsidRDefault="00913429">
      <w:pPr>
        <w:spacing w:after="0" w:line="240" w:lineRule="auto"/>
        <w:jc w:val="both"/>
        <w:rPr>
          <w:rFonts w:eastAsia="Calibri"/>
          <w:noProof/>
          <w:lang w:val="en-US" w:bidi="he-IL"/>
        </w:rPr>
      </w:pPr>
    </w:p>
    <w:p w:rsidR="00913429" w:rsidRDefault="00E143F0">
      <w:pPr>
        <w:spacing w:after="0" w:line="240" w:lineRule="auto"/>
        <w:jc w:val="both"/>
        <w:rPr>
          <w:rFonts w:eastAsia="Calibri"/>
          <w:i/>
          <w:noProof/>
          <w:lang w:val="en-US" w:bidi="he-IL"/>
        </w:rPr>
      </w:pPr>
      <w:bookmarkStart w:id="96" w:name="_Ref476322031"/>
      <w:bookmarkStart w:id="97" w:name="_Toc487742929"/>
      <w:r>
        <w:rPr>
          <w:rFonts w:eastAsia="Calibri"/>
          <w:i/>
          <w:noProof/>
          <w:lang w:val="en-US" w:bidi="he-IL"/>
        </w:rPr>
        <w:t>Secure Local Identity (Silver)</w:t>
      </w:r>
      <w:bookmarkEnd w:id="96"/>
      <w:bookmarkEnd w:id="97"/>
    </w:p>
    <w:p w:rsidR="00913429" w:rsidRDefault="00E143F0">
      <w:pPr>
        <w:spacing w:after="0" w:line="240" w:lineRule="auto"/>
        <w:jc w:val="both"/>
        <w:rPr>
          <w:rFonts w:eastAsia="Calibri"/>
          <w:noProof/>
          <w:lang w:val="en-US" w:bidi="he-IL"/>
        </w:rPr>
      </w:pPr>
      <w:r>
        <w:rPr>
          <w:rFonts w:eastAsia="Calibri"/>
          <w:noProof/>
          <w:lang w:val="en-US" w:bidi="he-IL"/>
        </w:rPr>
        <w:t>Endpoi</w:t>
      </w:r>
      <w:r>
        <w:rPr>
          <w:rFonts w:eastAsia="Calibri"/>
          <w:noProof/>
          <w:lang w:val="en-US" w:bidi="he-IL"/>
        </w:rPr>
        <w:t xml:space="preserve">nts that implement IEEE 802 networking MUST support installation of at least one local certificate (LDevIDs) and associated private keying material. </w:t>
      </w:r>
      <w:bookmarkStart w:id="98" w:name="_Ref476322042"/>
    </w:p>
    <w:p w:rsidR="00913429" w:rsidRDefault="00913429">
      <w:pPr>
        <w:spacing w:after="0" w:line="240" w:lineRule="auto"/>
        <w:jc w:val="both"/>
        <w:rPr>
          <w:rFonts w:eastAsia="Calibri"/>
          <w:noProof/>
          <w:lang w:val="en-US" w:bidi="he-IL"/>
        </w:rPr>
      </w:pPr>
    </w:p>
    <w:p w:rsidR="00913429" w:rsidRDefault="00E143F0">
      <w:pPr>
        <w:spacing w:after="0" w:line="240" w:lineRule="auto"/>
        <w:jc w:val="both"/>
        <w:rPr>
          <w:rFonts w:eastAsia="Calibri"/>
          <w:i/>
          <w:noProof/>
          <w:lang w:val="en-US" w:bidi="he-IL"/>
        </w:rPr>
      </w:pPr>
      <w:bookmarkStart w:id="99" w:name="_Toc487742930"/>
      <w:bookmarkEnd w:id="98"/>
      <w:r>
        <w:rPr>
          <w:rFonts w:eastAsia="Calibri"/>
          <w:i/>
          <w:noProof/>
          <w:lang w:val="en-US" w:bidi="he-IL"/>
        </w:rPr>
        <w:t>Certificate Management (Silver)</w:t>
      </w:r>
      <w:bookmarkEnd w:id="99"/>
    </w:p>
    <w:p w:rsidR="00913429" w:rsidRDefault="00E143F0">
      <w:pPr>
        <w:spacing w:after="0" w:line="240" w:lineRule="auto"/>
        <w:jc w:val="both"/>
        <w:rPr>
          <w:rFonts w:eastAsia="Calibri"/>
          <w:noProof/>
          <w:lang w:val="en-US" w:bidi="he-IL"/>
        </w:rPr>
      </w:pPr>
      <w:r>
        <w:rPr>
          <w:rFonts w:eastAsia="Calibri"/>
          <w:noProof/>
          <w:lang w:val="en-US" w:bidi="he-IL"/>
        </w:rPr>
        <w:t>An Endpoint that communicates via IEEE 802 networking MUST support [RFC70</w:t>
      </w:r>
      <w:r>
        <w:rPr>
          <w:rFonts w:eastAsia="Calibri"/>
          <w:noProof/>
          <w:lang w:val="en-US" w:bidi="he-IL"/>
        </w:rPr>
        <w:t>30], Section 3 on TLS Layer, for certificate management of secure transport.</w:t>
      </w:r>
    </w:p>
    <w:p w:rsidR="00913429" w:rsidRDefault="00913429">
      <w:pPr>
        <w:spacing w:after="0" w:line="240" w:lineRule="auto"/>
        <w:jc w:val="both"/>
        <w:rPr>
          <w:rFonts w:eastAsia="Calibri"/>
          <w:noProof/>
          <w:lang w:val="en-US" w:bidi="he-IL"/>
        </w:rPr>
      </w:pPr>
    </w:p>
    <w:p w:rsidR="00913429" w:rsidRDefault="00E143F0">
      <w:pPr>
        <w:spacing w:after="0" w:line="240" w:lineRule="auto"/>
        <w:jc w:val="both"/>
        <w:rPr>
          <w:rFonts w:eastAsia="Calibri"/>
          <w:i/>
          <w:noProof/>
          <w:lang w:val="en-US" w:bidi="he-IL"/>
        </w:rPr>
      </w:pPr>
      <w:bookmarkStart w:id="100" w:name="_Ref476325232"/>
      <w:bookmarkStart w:id="101" w:name="_Toc487742931"/>
      <w:r>
        <w:rPr>
          <w:rFonts w:eastAsia="Calibri"/>
          <w:i/>
          <w:noProof/>
          <w:lang w:val="en-US" w:bidi="he-IL"/>
        </w:rPr>
        <w:t>Key and Certificate Storage Requirements (Silver)</w:t>
      </w:r>
      <w:bookmarkEnd w:id="100"/>
      <w:bookmarkEnd w:id="101"/>
    </w:p>
    <w:p w:rsidR="00913429" w:rsidRDefault="00E143F0">
      <w:pPr>
        <w:spacing w:after="0" w:line="240" w:lineRule="auto"/>
        <w:jc w:val="both"/>
        <w:rPr>
          <w:rFonts w:eastAsia="Calibri"/>
          <w:noProof/>
          <w:lang w:val="en-US" w:bidi="he-IL"/>
        </w:rPr>
      </w:pPr>
      <w:r>
        <w:rPr>
          <w:rFonts w:eastAsia="Calibri"/>
          <w:noProof/>
          <w:lang w:val="en-US" w:bidi="he-IL"/>
        </w:rPr>
        <w:t>The Endpoint MUST contain the certificate chain used to validate BRSKI vouchers, as well as any trust chains necessary to valida</w:t>
      </w:r>
      <w:r>
        <w:rPr>
          <w:rFonts w:eastAsia="Calibri"/>
          <w:noProof/>
          <w:lang w:val="en-US" w:bidi="he-IL"/>
        </w:rPr>
        <w:t>te signatures on firmware or software updates.</w:t>
      </w:r>
    </w:p>
    <w:p w:rsidR="00913429" w:rsidRDefault="00913429">
      <w:pPr>
        <w:spacing w:after="0" w:line="240" w:lineRule="auto"/>
        <w:jc w:val="both"/>
        <w:rPr>
          <w:rFonts w:eastAsia="Calibri"/>
          <w:noProof/>
          <w:lang w:val="en-US" w:bidi="he-IL"/>
        </w:rPr>
      </w:pPr>
    </w:p>
    <w:p w:rsidR="00913429" w:rsidRDefault="00E143F0">
      <w:pPr>
        <w:spacing w:after="0" w:line="240" w:lineRule="auto"/>
        <w:jc w:val="both"/>
        <w:rPr>
          <w:rFonts w:eastAsia="Calibri"/>
          <w:i/>
          <w:noProof/>
          <w:lang w:val="en-US" w:bidi="he-IL"/>
        </w:rPr>
      </w:pPr>
      <w:bookmarkStart w:id="102" w:name="_Ref476322064"/>
      <w:bookmarkStart w:id="103" w:name="_Toc487742932"/>
      <w:r>
        <w:rPr>
          <w:rFonts w:eastAsia="Calibri"/>
          <w:i/>
          <w:noProof/>
          <w:lang w:val="en-US" w:bidi="he-IL"/>
        </w:rPr>
        <w:t>Secure Storage (Gold)</w:t>
      </w:r>
      <w:bookmarkEnd w:id="102"/>
      <w:bookmarkEnd w:id="103"/>
    </w:p>
    <w:p w:rsidR="00913429" w:rsidRDefault="00E143F0">
      <w:pPr>
        <w:spacing w:after="0" w:line="240" w:lineRule="auto"/>
        <w:jc w:val="both"/>
        <w:rPr>
          <w:rFonts w:eastAsia="Calibri"/>
          <w:noProof/>
          <w:lang w:val="en-US" w:bidi="he-IL"/>
        </w:rPr>
      </w:pPr>
      <w:r>
        <w:rPr>
          <w:rFonts w:eastAsia="Calibri"/>
          <w:noProof/>
          <w:lang w:val="en-US" w:bidi="he-IL"/>
        </w:rPr>
        <w:t>Endpoints MUST store private keying material and certificates in tamperproof storage.</w:t>
      </w:r>
    </w:p>
    <w:p w:rsidR="00913429" w:rsidRDefault="00913429">
      <w:pPr>
        <w:spacing w:after="0" w:line="240" w:lineRule="auto"/>
        <w:jc w:val="both"/>
        <w:rPr>
          <w:rFonts w:eastAsia="Calibri"/>
          <w:noProof/>
          <w:lang w:val="en-US" w:bidi="he-IL"/>
        </w:rPr>
      </w:pPr>
    </w:p>
    <w:p w:rsidR="00913429" w:rsidRDefault="00E143F0">
      <w:pPr>
        <w:spacing w:after="0" w:line="240" w:lineRule="auto"/>
        <w:jc w:val="both"/>
        <w:rPr>
          <w:rFonts w:eastAsia="Calibri"/>
          <w:i/>
          <w:noProof/>
          <w:lang w:val="en-US" w:bidi="he-IL"/>
        </w:rPr>
      </w:pPr>
      <w:bookmarkStart w:id="104" w:name="_Ref476322096"/>
      <w:bookmarkStart w:id="105" w:name="_Toc487742933"/>
      <w:r>
        <w:rPr>
          <w:rFonts w:eastAsia="Calibri"/>
          <w:i/>
          <w:noProof/>
          <w:lang w:val="en-US" w:bidi="he-IL"/>
        </w:rPr>
        <w:t>Random Number Generation (Silver)</w:t>
      </w:r>
      <w:bookmarkEnd w:id="104"/>
      <w:bookmarkEnd w:id="105"/>
    </w:p>
    <w:p w:rsidR="00913429" w:rsidRDefault="00E143F0">
      <w:pPr>
        <w:spacing w:after="0" w:line="240" w:lineRule="auto"/>
        <w:jc w:val="both"/>
        <w:rPr>
          <w:rFonts w:eastAsia="Calibri"/>
          <w:noProof/>
          <w:lang w:val="en-US" w:bidi="he-IL"/>
        </w:rPr>
      </w:pPr>
      <w:r>
        <w:rPr>
          <w:rFonts w:eastAsia="Calibri"/>
          <w:noProof/>
          <w:lang w:val="en-US" w:bidi="he-IL"/>
        </w:rPr>
        <w:t xml:space="preserve">Quality random number generation is required by several of the </w:t>
      </w:r>
      <w:r>
        <w:rPr>
          <w:rFonts w:eastAsia="Calibri"/>
          <w:noProof/>
          <w:lang w:val="en-US" w:bidi="he-IL"/>
        </w:rPr>
        <w:t>security protocols implemented by an Endpoint.</w:t>
      </w:r>
    </w:p>
    <w:p w:rsidR="00913429" w:rsidRDefault="00913429">
      <w:pPr>
        <w:spacing w:after="0" w:line="240" w:lineRule="auto"/>
        <w:jc w:val="both"/>
        <w:rPr>
          <w:rFonts w:eastAsia="Calibri"/>
          <w:noProof/>
          <w:lang w:val="en-US" w:bidi="he-IL"/>
        </w:rPr>
      </w:pPr>
    </w:p>
    <w:p w:rsidR="00913429" w:rsidRDefault="00E143F0">
      <w:pPr>
        <w:spacing w:after="0" w:line="240" w:lineRule="auto"/>
        <w:jc w:val="both"/>
        <w:rPr>
          <w:rFonts w:eastAsia="Calibri"/>
          <w:noProof/>
          <w:lang w:val="en-US" w:bidi="he-IL"/>
        </w:rPr>
      </w:pPr>
      <w:r>
        <w:rPr>
          <w:rFonts w:eastAsia="Calibri"/>
          <w:noProof/>
          <w:lang w:val="en-US" w:bidi="he-IL"/>
        </w:rPr>
        <w:t xml:space="preserve">An Endpoint MUST provide random number generation either through hardware or as compliant with FIPS 140-2 Sections 4.7.1 and 4.9.2 or equivalent standards. </w:t>
      </w:r>
    </w:p>
    <w:p w:rsidR="00913429" w:rsidRDefault="00913429">
      <w:pPr>
        <w:spacing w:after="0" w:line="240" w:lineRule="auto"/>
        <w:jc w:val="both"/>
        <w:rPr>
          <w:rFonts w:eastAsia="Calibri"/>
          <w:noProof/>
          <w:lang w:val="en-US" w:bidi="he-IL"/>
        </w:rPr>
      </w:pPr>
    </w:p>
    <w:p w:rsidR="00913429" w:rsidRDefault="00E143F0">
      <w:pPr>
        <w:spacing w:after="0" w:line="240" w:lineRule="auto"/>
        <w:jc w:val="both"/>
        <w:rPr>
          <w:rFonts w:eastAsia="Calibri"/>
          <w:i/>
          <w:noProof/>
          <w:lang w:val="en-US" w:bidi="he-IL"/>
        </w:rPr>
      </w:pPr>
      <w:bookmarkStart w:id="106" w:name="_Toc487742934"/>
      <w:r>
        <w:rPr>
          <w:rFonts w:eastAsia="Calibri"/>
          <w:i/>
          <w:noProof/>
          <w:lang w:val="en-US" w:bidi="he-IL"/>
        </w:rPr>
        <w:t>Cryptographic Protocol Support</w:t>
      </w:r>
      <w:bookmarkEnd w:id="106"/>
    </w:p>
    <w:p w:rsidR="00913429" w:rsidRDefault="00E143F0">
      <w:pPr>
        <w:spacing w:after="0" w:line="240" w:lineRule="auto"/>
        <w:jc w:val="both"/>
        <w:rPr>
          <w:rFonts w:eastAsia="Calibri"/>
          <w:noProof/>
          <w:lang w:val="en-US" w:bidi="he-IL"/>
        </w:rPr>
      </w:pPr>
      <w:bookmarkStart w:id="107" w:name="_Ref476322131"/>
      <w:bookmarkStart w:id="108" w:name="_Toc487742935"/>
      <w:r>
        <w:rPr>
          <w:rFonts w:eastAsia="Calibri"/>
          <w:noProof/>
          <w:lang w:val="en-US" w:bidi="he-IL"/>
        </w:rPr>
        <w:t>Hash Algorithms (Si</w:t>
      </w:r>
      <w:r>
        <w:rPr>
          <w:rFonts w:eastAsia="Calibri"/>
          <w:noProof/>
          <w:lang w:val="en-US" w:bidi="he-IL"/>
        </w:rPr>
        <w:t>lver)</w:t>
      </w:r>
      <w:bookmarkEnd w:id="107"/>
      <w:bookmarkEnd w:id="108"/>
    </w:p>
    <w:p w:rsidR="00913429" w:rsidRDefault="00E143F0">
      <w:pPr>
        <w:spacing w:after="0" w:line="240" w:lineRule="auto"/>
        <w:jc w:val="both"/>
        <w:rPr>
          <w:rFonts w:eastAsia="Calibri"/>
          <w:noProof/>
          <w:lang w:val="en-US" w:bidi="he-IL"/>
        </w:rPr>
      </w:pPr>
      <w:r>
        <w:rPr>
          <w:rFonts w:eastAsia="Calibri"/>
          <w:noProof/>
          <w:lang w:val="en-US" w:bidi="he-IL"/>
        </w:rPr>
        <w:t xml:space="preserve">An Endpoint MUST minimally support the SHA-256 hash algorithm. Endpoints MAY support stronger suites and algorithms. </w:t>
      </w:r>
    </w:p>
    <w:p w:rsidR="00913429" w:rsidRDefault="00913429">
      <w:pPr>
        <w:spacing w:after="0" w:line="240" w:lineRule="auto"/>
        <w:jc w:val="both"/>
        <w:rPr>
          <w:rFonts w:eastAsia="Calibri"/>
          <w:noProof/>
          <w:lang w:val="en-US" w:bidi="he-IL"/>
        </w:rPr>
      </w:pPr>
    </w:p>
    <w:p w:rsidR="00913429" w:rsidRDefault="00E143F0">
      <w:pPr>
        <w:spacing w:after="0" w:line="240" w:lineRule="auto"/>
        <w:jc w:val="both"/>
        <w:rPr>
          <w:rFonts w:eastAsia="Calibri"/>
          <w:i/>
          <w:noProof/>
          <w:lang w:val="en-US" w:bidi="he-IL"/>
        </w:rPr>
      </w:pPr>
      <w:bookmarkStart w:id="109" w:name="_Ref476322149"/>
      <w:bookmarkStart w:id="110" w:name="_Toc487742936"/>
      <w:r>
        <w:rPr>
          <w:rFonts w:eastAsia="Calibri"/>
          <w:i/>
          <w:noProof/>
          <w:lang w:val="en-US" w:bidi="he-IL"/>
        </w:rPr>
        <w:t>Asymmetric Cryptography: LDevIDs (Silver)</w:t>
      </w:r>
      <w:bookmarkEnd w:id="109"/>
      <w:bookmarkEnd w:id="110"/>
    </w:p>
    <w:p w:rsidR="00913429" w:rsidRDefault="00E143F0">
      <w:pPr>
        <w:spacing w:after="0" w:line="240" w:lineRule="auto"/>
        <w:jc w:val="both"/>
        <w:rPr>
          <w:rFonts w:eastAsia="Calibri"/>
          <w:noProof/>
          <w:lang w:val="en-US" w:bidi="he-IL"/>
        </w:rPr>
      </w:pPr>
      <w:r>
        <w:rPr>
          <w:rFonts w:eastAsia="Calibri"/>
          <w:noProof/>
          <w:lang w:val="en-US" w:bidi="he-IL"/>
        </w:rPr>
        <w:t xml:space="preserve">An Endpoint MUST provide support for Elliptic Curve Cryptography described in [RFC6090] </w:t>
      </w:r>
      <w:r>
        <w:rPr>
          <w:rFonts w:eastAsia="Calibri"/>
          <w:noProof/>
          <w:lang w:val="en-US" w:bidi="he-IL"/>
        </w:rPr>
        <w:t>and [IEEE802.1AR] for use as LDevIDs.</w:t>
      </w:r>
    </w:p>
    <w:p w:rsidR="00913429" w:rsidRDefault="00913429">
      <w:pPr>
        <w:spacing w:after="0" w:line="240" w:lineRule="auto"/>
        <w:jc w:val="both"/>
        <w:rPr>
          <w:rFonts w:eastAsia="Calibri"/>
          <w:noProof/>
          <w:lang w:val="en-US" w:bidi="he-IL"/>
        </w:rPr>
      </w:pPr>
    </w:p>
    <w:p w:rsidR="00913429" w:rsidRDefault="00E143F0">
      <w:pPr>
        <w:spacing w:after="0" w:line="240" w:lineRule="auto"/>
        <w:jc w:val="both"/>
        <w:rPr>
          <w:rFonts w:eastAsia="Calibri"/>
          <w:i/>
          <w:noProof/>
          <w:lang w:val="en-US" w:bidi="he-IL"/>
        </w:rPr>
      </w:pPr>
      <w:bookmarkStart w:id="111" w:name="_Toc487742937"/>
      <w:r>
        <w:rPr>
          <w:rFonts w:eastAsia="Calibri"/>
          <w:i/>
          <w:noProof/>
          <w:lang w:val="en-US" w:bidi="he-IL"/>
        </w:rPr>
        <w:t>Asymmetric Cryptography (IDevIDs) (Silver)</w:t>
      </w:r>
      <w:bookmarkEnd w:id="111"/>
    </w:p>
    <w:p w:rsidR="00913429" w:rsidRDefault="00E143F0">
      <w:pPr>
        <w:spacing w:after="0" w:line="240" w:lineRule="auto"/>
        <w:jc w:val="both"/>
        <w:rPr>
          <w:rFonts w:eastAsia="Calibri"/>
          <w:noProof/>
          <w:lang w:val="en-US" w:bidi="he-IL"/>
        </w:rPr>
      </w:pPr>
      <w:r>
        <w:rPr>
          <w:rFonts w:eastAsia="Calibri"/>
          <w:noProof/>
          <w:lang w:val="en-US" w:bidi="he-IL"/>
        </w:rPr>
        <w:t>An Endpoint MUST support either 2048-bit RSA certificates or ECC certificates as described in [RFC6090] and [IEEE802.1AR] for IDevIDs .</w:t>
      </w:r>
    </w:p>
    <w:p w:rsidR="00913429" w:rsidRDefault="00913429">
      <w:pPr>
        <w:spacing w:after="0" w:line="240" w:lineRule="auto"/>
        <w:jc w:val="both"/>
        <w:rPr>
          <w:rFonts w:eastAsia="Calibri"/>
          <w:noProof/>
          <w:lang w:val="en-US" w:bidi="he-IL"/>
        </w:rPr>
      </w:pPr>
    </w:p>
    <w:p w:rsidR="00913429" w:rsidRDefault="00E143F0">
      <w:pPr>
        <w:spacing w:after="0" w:line="240" w:lineRule="auto"/>
        <w:jc w:val="both"/>
        <w:rPr>
          <w:rFonts w:eastAsia="Calibri"/>
          <w:i/>
          <w:noProof/>
          <w:lang w:val="fr-BE" w:bidi="he-IL"/>
        </w:rPr>
      </w:pPr>
      <w:bookmarkStart w:id="112" w:name="_Toc487742938"/>
      <w:r>
        <w:rPr>
          <w:rFonts w:eastAsia="Calibri"/>
          <w:i/>
          <w:noProof/>
          <w:lang w:val="fr-BE" w:bidi="he-IL"/>
        </w:rPr>
        <w:t>(D)TLS Cipher Suite Support (Silver)</w:t>
      </w:r>
      <w:bookmarkEnd w:id="112"/>
    </w:p>
    <w:p w:rsidR="00913429" w:rsidRDefault="00E143F0">
      <w:pPr>
        <w:spacing w:after="0" w:line="240" w:lineRule="auto"/>
        <w:jc w:val="both"/>
        <w:rPr>
          <w:rFonts w:eastAsia="Calibri"/>
          <w:noProof/>
          <w:lang w:val="en-US" w:bidi="he-IL"/>
        </w:rPr>
      </w:pPr>
      <w:r>
        <w:rPr>
          <w:rFonts w:eastAsia="Calibri"/>
          <w:noProof/>
          <w:lang w:val="en-US" w:bidi="he-IL"/>
        </w:rPr>
        <w:t>Endpoints MUST minimally support the TLS_ECDHE_ECDSA_WITH_AES_128_CCM_8 cipher suite which is detailed within [RFC 7251] for EAP-TLS. This cipher suite will be used for the authentication operations used for both network layer and application layer authent</w:t>
      </w:r>
      <w:r>
        <w:rPr>
          <w:rFonts w:eastAsia="Calibri"/>
          <w:noProof/>
          <w:lang w:val="en-US" w:bidi="he-IL"/>
        </w:rPr>
        <w:t>ication processes.</w:t>
      </w:r>
    </w:p>
    <w:bookmarkEnd w:id="94"/>
    <w:p w:rsidR="00913429" w:rsidRDefault="00913429">
      <w:pPr>
        <w:spacing w:after="0" w:line="240" w:lineRule="auto"/>
        <w:jc w:val="both"/>
        <w:rPr>
          <w:rFonts w:eastAsia="Calibri"/>
          <w:noProof/>
          <w:lang w:val="en-US" w:bidi="he-IL"/>
        </w:rPr>
      </w:pPr>
    </w:p>
    <w:p w:rsidR="00913429" w:rsidRDefault="00E143F0">
      <w:pPr>
        <w:spacing w:after="0" w:line="240" w:lineRule="auto"/>
        <w:jc w:val="both"/>
        <w:rPr>
          <w:rFonts w:eastAsia="Calibri"/>
          <w:i/>
          <w:noProof/>
          <w:lang w:val="en-US" w:bidi="he-IL"/>
        </w:rPr>
      </w:pPr>
      <w:bookmarkStart w:id="113" w:name="_Toc472923646"/>
      <w:bookmarkStart w:id="114" w:name="_Ref476324844"/>
      <w:bookmarkStart w:id="115" w:name="_Toc487742939"/>
      <w:r>
        <w:rPr>
          <w:rFonts w:eastAsia="Calibri"/>
          <w:i/>
          <w:noProof/>
          <w:lang w:val="en-US" w:bidi="he-IL"/>
        </w:rPr>
        <w:t>Endpoint Hardening</w:t>
      </w:r>
      <w:bookmarkEnd w:id="113"/>
      <w:r>
        <w:rPr>
          <w:rFonts w:eastAsia="Calibri"/>
          <w:i/>
          <w:noProof/>
          <w:lang w:val="en-US" w:bidi="he-IL"/>
        </w:rPr>
        <w:t xml:space="preserve"> (Silver)</w:t>
      </w:r>
      <w:bookmarkEnd w:id="114"/>
      <w:bookmarkEnd w:id="115"/>
    </w:p>
    <w:p w:rsidR="00913429" w:rsidRDefault="00E143F0">
      <w:pPr>
        <w:spacing w:after="0" w:line="240" w:lineRule="auto"/>
        <w:jc w:val="both"/>
        <w:rPr>
          <w:rFonts w:eastAsia="Calibri"/>
          <w:noProof/>
          <w:lang w:val="en-US" w:bidi="he-IL"/>
        </w:rPr>
      </w:pPr>
      <w:r>
        <w:rPr>
          <w:rFonts w:eastAsia="Calibri"/>
          <w:noProof/>
          <w:lang w:val="en-US" w:bidi="he-IL"/>
        </w:rPr>
        <w:t>Endpoints MUST only run services that are described in the MUD profile.  Extraneous code MUST be removed prior to Endpoint production.</w:t>
      </w:r>
    </w:p>
    <w:p w:rsidR="00913429" w:rsidRDefault="00913429">
      <w:pPr>
        <w:spacing w:after="0" w:line="240" w:lineRule="auto"/>
        <w:jc w:val="both"/>
        <w:rPr>
          <w:rFonts w:eastAsia="Calibri"/>
          <w:noProof/>
          <w:lang w:val="en-US" w:bidi="he-IL"/>
        </w:rPr>
      </w:pPr>
    </w:p>
    <w:p w:rsidR="00913429" w:rsidRDefault="00E143F0">
      <w:pPr>
        <w:spacing w:after="0" w:line="240" w:lineRule="auto"/>
        <w:jc w:val="both"/>
        <w:rPr>
          <w:rFonts w:eastAsia="Calibri"/>
          <w:i/>
          <w:noProof/>
          <w:lang w:val="en-US" w:bidi="he-IL"/>
        </w:rPr>
      </w:pPr>
      <w:bookmarkStart w:id="116" w:name="_Toc487742940"/>
      <w:r>
        <w:rPr>
          <w:rFonts w:eastAsia="Calibri"/>
          <w:i/>
          <w:noProof/>
          <w:lang w:val="en-US" w:bidi="he-IL"/>
        </w:rPr>
        <w:t>Authentication</w:t>
      </w:r>
      <w:bookmarkEnd w:id="116"/>
    </w:p>
    <w:p w:rsidR="00913429" w:rsidRDefault="00E143F0">
      <w:pPr>
        <w:spacing w:after="0" w:line="240" w:lineRule="auto"/>
        <w:jc w:val="both"/>
        <w:rPr>
          <w:rFonts w:eastAsia="Calibri"/>
          <w:noProof/>
          <w:lang w:val="en-US" w:bidi="he-IL"/>
        </w:rPr>
      </w:pPr>
      <w:r>
        <w:rPr>
          <w:rFonts w:eastAsia="Calibri"/>
          <w:noProof/>
          <w:lang w:val="en-US" w:bidi="he-IL"/>
        </w:rPr>
        <w:t>The focus of this section is Endpoint-2-Network authentic</w:t>
      </w:r>
      <w:r>
        <w:rPr>
          <w:rFonts w:eastAsia="Calibri"/>
          <w:noProof/>
          <w:lang w:val="en-US" w:bidi="he-IL"/>
        </w:rPr>
        <w:t>ation. This includes during initial establishment of secure network connectivity (aka onboarding) and subsequent management activities.</w:t>
      </w:r>
    </w:p>
    <w:p w:rsidR="00913429" w:rsidRDefault="00913429">
      <w:pPr>
        <w:spacing w:after="0" w:line="240" w:lineRule="auto"/>
        <w:jc w:val="both"/>
        <w:rPr>
          <w:rFonts w:eastAsia="Calibri"/>
          <w:noProof/>
          <w:lang w:val="en-US" w:bidi="he-IL"/>
        </w:rPr>
      </w:pPr>
    </w:p>
    <w:p w:rsidR="00913429" w:rsidRDefault="00E143F0">
      <w:pPr>
        <w:spacing w:after="0" w:line="240" w:lineRule="auto"/>
        <w:jc w:val="both"/>
        <w:rPr>
          <w:rFonts w:eastAsia="Calibri"/>
          <w:i/>
          <w:noProof/>
          <w:lang w:val="en-US" w:bidi="he-IL"/>
        </w:rPr>
      </w:pPr>
      <w:bookmarkStart w:id="117" w:name="_Ref476324589"/>
      <w:bookmarkStart w:id="118" w:name="_Toc487742941"/>
      <w:r>
        <w:rPr>
          <w:rFonts w:eastAsia="Calibri"/>
          <w:i/>
          <w:noProof/>
          <w:lang w:val="en-US" w:bidi="he-IL"/>
        </w:rPr>
        <w:t>EAP-TLS (Gold)</w:t>
      </w:r>
      <w:bookmarkEnd w:id="117"/>
      <w:bookmarkEnd w:id="118"/>
    </w:p>
    <w:p w:rsidR="00913429" w:rsidRDefault="00E143F0">
      <w:pPr>
        <w:spacing w:after="0" w:line="240" w:lineRule="auto"/>
        <w:jc w:val="both"/>
        <w:rPr>
          <w:rFonts w:eastAsia="Calibri"/>
          <w:noProof/>
          <w:lang w:val="en-US" w:bidi="he-IL"/>
        </w:rPr>
      </w:pPr>
      <w:r>
        <w:rPr>
          <w:rFonts w:eastAsia="Calibri"/>
          <w:noProof/>
          <w:lang w:val="en-US" w:bidi="he-IL"/>
        </w:rPr>
        <w:t>Endpoints using IEEE 802.3 (wired Ethernet) MUST support [IEEE 802.1x] using the EAP-TLS [RFC5216] EAP m</w:t>
      </w:r>
      <w:r>
        <w:rPr>
          <w:rFonts w:eastAsia="Calibri"/>
          <w:noProof/>
          <w:lang w:val="en-US" w:bidi="he-IL"/>
        </w:rPr>
        <w:t>ethod.  Endpoints that have IEEE 802.11 transceivers MUST make use of [IEEE802.11] security in conjunction with [IEEE802.1X] (WPA Enterprise) to exchange [IEEE802.1AR] certificates.</w:t>
      </w:r>
    </w:p>
    <w:p w:rsidR="00913429" w:rsidRDefault="00913429">
      <w:pPr>
        <w:spacing w:after="0" w:line="240" w:lineRule="auto"/>
        <w:jc w:val="both"/>
        <w:rPr>
          <w:rFonts w:eastAsia="Calibri"/>
          <w:noProof/>
          <w:lang w:val="en-US" w:bidi="he-IL"/>
        </w:rPr>
      </w:pPr>
    </w:p>
    <w:p w:rsidR="00913429" w:rsidRDefault="00E143F0">
      <w:pPr>
        <w:spacing w:after="0" w:line="240" w:lineRule="auto"/>
        <w:jc w:val="both"/>
        <w:rPr>
          <w:rFonts w:eastAsia="Calibri"/>
          <w:i/>
          <w:noProof/>
          <w:lang w:val="en-US" w:bidi="he-IL"/>
        </w:rPr>
      </w:pPr>
      <w:bookmarkStart w:id="119" w:name="_Toc487742942"/>
      <w:r>
        <w:rPr>
          <w:rFonts w:eastAsia="Calibri"/>
          <w:i/>
          <w:noProof/>
          <w:lang w:val="en-US" w:bidi="he-IL"/>
        </w:rPr>
        <w:t>IEEE 802.1x (Silver)</w:t>
      </w:r>
      <w:bookmarkEnd w:id="119"/>
    </w:p>
    <w:p w:rsidR="00913429" w:rsidRDefault="00E143F0">
      <w:pPr>
        <w:spacing w:after="0" w:line="240" w:lineRule="auto"/>
        <w:jc w:val="both"/>
        <w:rPr>
          <w:rFonts w:eastAsia="Calibri"/>
          <w:noProof/>
          <w:lang w:val="en-US" w:bidi="he-IL"/>
        </w:rPr>
      </w:pPr>
      <w:r>
        <w:rPr>
          <w:rFonts w:eastAsia="Calibri"/>
          <w:noProof/>
          <w:lang w:val="en-US" w:bidi="he-IL"/>
        </w:rPr>
        <w:t>Prior to completing onboarding (e.g. obtaining a loc</w:t>
      </w:r>
      <w:r>
        <w:rPr>
          <w:rFonts w:eastAsia="Calibri"/>
          <w:noProof/>
          <w:lang w:val="en-US" w:bidi="he-IL"/>
        </w:rPr>
        <w:t>al trust anchor and LDevID) Endpoints communicating on IEEE 802 networks MUST authenticate using their IDevID and MUST accept the local 802.1X network credentials without validation purely for the purposes of onboarding.</w:t>
      </w:r>
    </w:p>
    <w:p w:rsidR="00913429" w:rsidRDefault="00E143F0">
      <w:pPr>
        <w:spacing w:after="0" w:line="240" w:lineRule="auto"/>
        <w:jc w:val="both"/>
        <w:rPr>
          <w:rFonts w:eastAsia="Calibri"/>
          <w:noProof/>
          <w:lang w:val="en-US" w:bidi="he-IL"/>
        </w:rPr>
      </w:pPr>
      <w:r>
        <w:rPr>
          <w:rFonts w:eastAsia="Calibri"/>
          <w:noProof/>
          <w:lang w:val="en-US" w:bidi="he-IL"/>
        </w:rPr>
        <w:t>[[NOTE: the change-of-authorization</w:t>
      </w:r>
      <w:r>
        <w:rPr>
          <w:rFonts w:eastAsia="Calibri"/>
          <w:noProof/>
          <w:lang w:val="en-US" w:bidi="he-IL"/>
        </w:rPr>
        <w:t xml:space="preserve"> for the 802.1X session after onboarding is complete is not clearly defined]].</w:t>
      </w:r>
    </w:p>
    <w:p w:rsidR="00913429" w:rsidRDefault="00913429">
      <w:pPr>
        <w:spacing w:after="0" w:line="240" w:lineRule="auto"/>
        <w:jc w:val="both"/>
        <w:rPr>
          <w:rFonts w:eastAsia="Calibri"/>
          <w:noProof/>
          <w:lang w:val="en-US" w:bidi="he-IL"/>
        </w:rPr>
      </w:pPr>
    </w:p>
    <w:p w:rsidR="00913429" w:rsidRDefault="00E143F0">
      <w:pPr>
        <w:spacing w:after="0" w:line="240" w:lineRule="auto"/>
        <w:jc w:val="both"/>
        <w:rPr>
          <w:rFonts w:eastAsia="Calibri"/>
          <w:noProof/>
          <w:lang w:val="en-US" w:bidi="he-IL"/>
        </w:rPr>
      </w:pPr>
      <w:r>
        <w:rPr>
          <w:rFonts w:eastAsia="Calibri"/>
          <w:noProof/>
          <w:lang w:val="en-US" w:bidi="he-IL"/>
        </w:rPr>
        <w:t>After LDevID enrollment via onboarding subsequent 802.1X sessions are authenticated using the LDevID. The Endpoint MAY make full use of the connection for management and thing-</w:t>
      </w:r>
      <w:r>
        <w:rPr>
          <w:rFonts w:eastAsia="Calibri"/>
          <w:noProof/>
          <w:lang w:val="en-US" w:bidi="he-IL"/>
        </w:rPr>
        <w:t>to-thing and thing-to-vendor communications.</w:t>
      </w:r>
    </w:p>
    <w:p w:rsidR="00913429" w:rsidRDefault="00913429">
      <w:pPr>
        <w:spacing w:after="0" w:line="240" w:lineRule="auto"/>
        <w:jc w:val="both"/>
        <w:rPr>
          <w:rFonts w:eastAsia="Calibri"/>
          <w:noProof/>
          <w:lang w:val="en-US" w:bidi="he-IL"/>
        </w:rPr>
      </w:pPr>
    </w:p>
    <w:p w:rsidR="00913429" w:rsidRDefault="00E143F0">
      <w:pPr>
        <w:spacing w:after="0" w:line="240" w:lineRule="auto"/>
        <w:jc w:val="both"/>
        <w:rPr>
          <w:rFonts w:eastAsia="Calibri"/>
          <w:noProof/>
          <w:lang w:val="en-US" w:bidi="he-IL"/>
        </w:rPr>
      </w:pPr>
      <w:r>
        <w:rPr>
          <w:rFonts w:eastAsia="Calibri"/>
          <w:noProof/>
          <w:lang w:val="en-US" w:bidi="he-IL"/>
        </w:rPr>
        <w:t xml:space="preserve">The reference implementation for IEEE 802.1X can be found </w:t>
      </w:r>
      <w:hyperlink r:id="rId61">
        <w:r>
          <w:rPr>
            <w:rFonts w:eastAsia="Calibri"/>
            <w:noProof/>
            <w:lang w:bidi="he-IL"/>
          </w:rPr>
          <w:t>here</w:t>
        </w:r>
      </w:hyperlink>
      <w:r>
        <w:rPr>
          <w:rFonts w:eastAsia="Calibri"/>
          <w:noProof/>
          <w:lang w:val="en-US" w:bidi="he-IL"/>
        </w:rPr>
        <w:t xml:space="preserve"> and is available in most Linux distributions.</w:t>
      </w:r>
    </w:p>
    <w:p w:rsidR="00913429" w:rsidRDefault="00913429">
      <w:pPr>
        <w:spacing w:after="0" w:line="240" w:lineRule="auto"/>
        <w:jc w:val="both"/>
        <w:rPr>
          <w:rFonts w:eastAsia="Calibri"/>
          <w:noProof/>
          <w:lang w:val="en-US" w:bidi="he-IL"/>
        </w:rPr>
      </w:pPr>
    </w:p>
    <w:p w:rsidR="00913429" w:rsidRDefault="00E143F0">
      <w:pPr>
        <w:spacing w:after="0" w:line="240" w:lineRule="auto"/>
        <w:jc w:val="both"/>
        <w:rPr>
          <w:rFonts w:eastAsia="Calibri"/>
          <w:i/>
          <w:noProof/>
          <w:lang w:val="en-US" w:bidi="he-IL"/>
        </w:rPr>
      </w:pPr>
      <w:bookmarkStart w:id="120" w:name="_Toc477161345"/>
      <w:bookmarkStart w:id="121" w:name="_Toc487742943"/>
      <w:r>
        <w:rPr>
          <w:rFonts w:eastAsia="Calibri"/>
          <w:i/>
          <w:noProof/>
          <w:lang w:val="en-US" w:bidi="he-IL"/>
        </w:rPr>
        <w:t>Onboarding (Silver)</w:t>
      </w:r>
      <w:bookmarkEnd w:id="120"/>
      <w:bookmarkEnd w:id="121"/>
    </w:p>
    <w:p w:rsidR="00913429" w:rsidRDefault="00E143F0">
      <w:pPr>
        <w:spacing w:after="0" w:line="240" w:lineRule="auto"/>
        <w:jc w:val="both"/>
        <w:rPr>
          <w:rFonts w:eastAsia="Calibri"/>
          <w:noProof/>
          <w:lang w:val="en-US" w:bidi="he-IL"/>
        </w:rPr>
      </w:pPr>
      <w:r>
        <w:rPr>
          <w:rFonts w:eastAsia="Calibri"/>
          <w:noProof/>
          <w:lang w:val="en-US" w:bidi="he-IL"/>
        </w:rPr>
        <w:t>Endpoints MUST initiate BRSKI onboarding, incl</w:t>
      </w:r>
      <w:r>
        <w:rPr>
          <w:rFonts w:eastAsia="Calibri"/>
          <w:noProof/>
          <w:lang w:val="en-US" w:bidi="he-IL"/>
        </w:rPr>
        <w:t xml:space="preserve">uding support for the BRSKI-optional integrated EST enrollment for an LDevID. Network infrastructure MUST only allow BRSKI onboarding for Endpoints that authenticate using their IDevID credential. See [BRSKI] for details. </w:t>
      </w:r>
    </w:p>
    <w:p w:rsidR="00913429" w:rsidRDefault="00913429">
      <w:pPr>
        <w:spacing w:after="0" w:line="240" w:lineRule="auto"/>
        <w:jc w:val="both"/>
        <w:rPr>
          <w:rFonts w:eastAsia="Calibri"/>
          <w:noProof/>
          <w:lang w:val="en-US" w:bidi="he-IL"/>
        </w:rPr>
      </w:pPr>
    </w:p>
    <w:p w:rsidR="00913429" w:rsidRDefault="00E143F0">
      <w:pPr>
        <w:spacing w:after="0" w:line="240" w:lineRule="auto"/>
        <w:jc w:val="both"/>
        <w:rPr>
          <w:rFonts w:eastAsia="Calibri"/>
          <w:noProof/>
          <w:lang w:val="en-US" w:bidi="he-IL"/>
        </w:rPr>
      </w:pPr>
      <w:r>
        <w:rPr>
          <w:rFonts w:eastAsia="Calibri"/>
          <w:noProof/>
          <w:lang w:val="en-US" w:bidi="he-IL"/>
        </w:rPr>
        <w:t xml:space="preserve">The Endpoint MUST fail </w:t>
      </w:r>
      <w:r>
        <w:rPr>
          <w:rFonts w:eastAsia="Calibri"/>
          <w:noProof/>
          <w:lang w:val="en-US" w:bidi="he-IL"/>
        </w:rPr>
        <w:t>gracefully, if attempted connections are rejected.</w:t>
      </w:r>
    </w:p>
    <w:p w:rsidR="00913429" w:rsidRDefault="00913429">
      <w:pPr>
        <w:spacing w:after="0" w:line="240" w:lineRule="auto"/>
        <w:jc w:val="both"/>
        <w:rPr>
          <w:rFonts w:eastAsia="Calibri"/>
          <w:noProof/>
          <w:lang w:val="en-US" w:bidi="he-IL"/>
        </w:rPr>
      </w:pPr>
    </w:p>
    <w:p w:rsidR="00913429" w:rsidRDefault="00E143F0">
      <w:pPr>
        <w:spacing w:after="0" w:line="240" w:lineRule="auto"/>
        <w:jc w:val="both"/>
        <w:rPr>
          <w:rFonts w:eastAsia="Calibri"/>
          <w:i/>
          <w:noProof/>
          <w:lang w:val="en-US" w:bidi="he-IL"/>
        </w:rPr>
      </w:pPr>
      <w:bookmarkStart w:id="122" w:name="_Ref476324971"/>
      <w:bookmarkStart w:id="123" w:name="_Toc487742944"/>
      <w:r>
        <w:rPr>
          <w:rFonts w:eastAsia="Calibri"/>
          <w:i/>
          <w:noProof/>
          <w:lang w:val="en-US" w:bidi="he-IL"/>
        </w:rPr>
        <w:t>Ongoing Key Management (Silver)</w:t>
      </w:r>
      <w:bookmarkEnd w:id="122"/>
      <w:bookmarkEnd w:id="123"/>
    </w:p>
    <w:p w:rsidR="00913429" w:rsidRDefault="00E143F0">
      <w:pPr>
        <w:spacing w:after="0" w:line="240" w:lineRule="auto"/>
        <w:jc w:val="both"/>
        <w:rPr>
          <w:rFonts w:eastAsia="Calibri"/>
          <w:noProof/>
          <w:lang w:val="en-US" w:bidi="he-IL"/>
        </w:rPr>
      </w:pPr>
      <w:r>
        <w:rPr>
          <w:rFonts w:eastAsia="Calibri"/>
          <w:noProof/>
          <w:lang w:val="en-US" w:bidi="he-IL"/>
        </w:rPr>
        <w:t xml:space="preserve">EST supports key renewal.  IoT Trust Label Endpoints that use IEEE 802 networking to communicate MUST renew their LDevIDs via EST no later than 30 days prior to expiration </w:t>
      </w:r>
      <w:r>
        <w:rPr>
          <w:rFonts w:eastAsia="Calibri"/>
          <w:noProof/>
          <w:lang w:val="en-US" w:bidi="he-IL"/>
        </w:rPr>
        <w:t>of the current key, and must log any renewal failures with increasing urgency.</w:t>
      </w:r>
    </w:p>
    <w:p w:rsidR="00913429" w:rsidRDefault="00913429">
      <w:pPr>
        <w:spacing w:after="0" w:line="240" w:lineRule="auto"/>
        <w:jc w:val="both"/>
        <w:rPr>
          <w:rFonts w:eastAsia="Calibri"/>
          <w:noProof/>
          <w:lang w:val="en-US" w:bidi="he-IL"/>
        </w:rPr>
      </w:pPr>
    </w:p>
    <w:p w:rsidR="00913429" w:rsidRDefault="00E143F0">
      <w:pPr>
        <w:spacing w:after="0" w:line="240" w:lineRule="auto"/>
        <w:jc w:val="both"/>
        <w:rPr>
          <w:rFonts w:eastAsia="Calibri"/>
          <w:i/>
          <w:noProof/>
          <w:lang w:val="en-US" w:bidi="he-IL"/>
        </w:rPr>
      </w:pPr>
      <w:bookmarkStart w:id="124" w:name="_Ref476324997"/>
      <w:bookmarkStart w:id="125" w:name="_Toc487742945"/>
      <w:r>
        <w:rPr>
          <w:rFonts w:eastAsia="Calibri"/>
          <w:i/>
          <w:noProof/>
          <w:lang w:val="en-US" w:bidi="he-IL"/>
        </w:rPr>
        <w:t>Transmission and processing of MUD-URLs (Silver)</w:t>
      </w:r>
      <w:bookmarkEnd w:id="124"/>
      <w:bookmarkEnd w:id="125"/>
    </w:p>
    <w:p w:rsidR="00913429" w:rsidRDefault="00E143F0">
      <w:pPr>
        <w:spacing w:after="0" w:line="240" w:lineRule="auto"/>
        <w:jc w:val="both"/>
        <w:rPr>
          <w:rFonts w:eastAsia="Calibri"/>
          <w:noProof/>
          <w:lang w:val="en-US" w:bidi="he-IL"/>
        </w:rPr>
      </w:pPr>
      <w:r>
        <w:rPr>
          <w:rFonts w:eastAsia="Calibri"/>
          <w:noProof/>
          <w:lang w:val="en-US" w:bidi="he-IL"/>
        </w:rPr>
        <w:t xml:space="preserve">A MUD-URL is transmitted as part of a certificate.  If the endpoint cannot find a local registrar for 802.1X or BRSKI, it MUST </w:t>
      </w:r>
      <w:r>
        <w:rPr>
          <w:rFonts w:eastAsia="Calibri"/>
          <w:noProof/>
          <w:lang w:val="en-US" w:bidi="he-IL"/>
        </w:rPr>
        <w:t>transmit the MUD-URL found in the certificate or otherwise configured via LLDP or DHCP.</w:t>
      </w:r>
    </w:p>
    <w:p w:rsidR="00913429" w:rsidRDefault="00913429">
      <w:pPr>
        <w:spacing w:after="0" w:line="240" w:lineRule="auto"/>
        <w:jc w:val="both"/>
        <w:rPr>
          <w:rFonts w:eastAsia="Calibri"/>
          <w:noProof/>
          <w:lang w:val="en-US" w:bidi="he-IL"/>
        </w:rPr>
      </w:pPr>
    </w:p>
    <w:p w:rsidR="00913429" w:rsidRDefault="00E143F0">
      <w:pPr>
        <w:spacing w:after="0" w:line="240" w:lineRule="auto"/>
        <w:jc w:val="both"/>
        <w:rPr>
          <w:rFonts w:eastAsia="Calibri"/>
          <w:noProof/>
          <w:lang w:val="en-US" w:bidi="he-IL"/>
        </w:rPr>
      </w:pPr>
      <w:r>
        <w:rPr>
          <w:rFonts w:eastAsia="Calibri"/>
          <w:noProof/>
          <w:lang w:val="en-US" w:bidi="he-IL"/>
        </w:rPr>
        <w:t xml:space="preserve">A reference implementation for a DHCP client that supports MUD is </w:t>
      </w:r>
      <w:hyperlink r:id="rId62" w:history="1">
        <w:r>
          <w:rPr>
            <w:rFonts w:eastAsia="Calibri"/>
            <w:noProof/>
            <w:lang w:bidi="he-IL"/>
          </w:rPr>
          <w:t>dhcpcd</w:t>
        </w:r>
      </w:hyperlink>
      <w:r>
        <w:rPr>
          <w:rFonts w:eastAsia="Calibri"/>
          <w:noProof/>
          <w:lang w:val="en-US" w:bidi="he-IL"/>
        </w:rPr>
        <w:t xml:space="preserve">, which is distributed with most </w:t>
      </w:r>
      <w:r>
        <w:rPr>
          <w:rFonts w:eastAsia="Calibri"/>
          <w:noProof/>
          <w:lang w:val="en-US" w:bidi="he-IL"/>
        </w:rPr>
        <w:t xml:space="preserve">major distributions.  A second reference implementation is </w:t>
      </w:r>
      <w:hyperlink r:id="rId63" w:history="1">
        <w:r>
          <w:rPr>
            <w:rFonts w:eastAsia="Calibri"/>
            <w:noProof/>
            <w:lang w:bidi="he-IL"/>
          </w:rPr>
          <w:t>dhclient</w:t>
        </w:r>
      </w:hyperlink>
      <w:r>
        <w:rPr>
          <w:rFonts w:eastAsia="Calibri"/>
          <w:noProof/>
          <w:lang w:val="en-US" w:bidi="he-IL"/>
        </w:rPr>
        <w:t xml:space="preserve">, which is distributed by ISC. </w:t>
      </w:r>
    </w:p>
    <w:p w:rsidR="00913429" w:rsidRDefault="00913429">
      <w:pPr>
        <w:spacing w:after="0" w:line="240" w:lineRule="auto"/>
        <w:jc w:val="both"/>
        <w:rPr>
          <w:rFonts w:eastAsia="Calibri"/>
          <w:noProof/>
          <w:lang w:val="en-US" w:bidi="he-IL"/>
        </w:rPr>
      </w:pPr>
    </w:p>
    <w:p w:rsidR="00913429" w:rsidRDefault="00E143F0">
      <w:pPr>
        <w:spacing w:after="0" w:line="240" w:lineRule="auto"/>
        <w:jc w:val="both"/>
        <w:rPr>
          <w:rFonts w:eastAsia="Calibri"/>
          <w:noProof/>
          <w:lang w:val="en-US" w:bidi="he-IL"/>
        </w:rPr>
      </w:pPr>
      <w:r>
        <w:rPr>
          <w:rFonts w:eastAsia="Calibri"/>
          <w:noProof/>
          <w:lang w:val="en-US" w:bidi="he-IL"/>
        </w:rPr>
        <w:t xml:space="preserve">A MUD File generator is available at </w:t>
      </w:r>
      <w:hyperlink r:id="rId64" w:history="1">
        <w:r>
          <w:rPr>
            <w:rFonts w:eastAsia="Calibri"/>
            <w:noProof/>
            <w:lang w:bidi="he-IL"/>
          </w:rPr>
          <w:t>https://w</w:t>
        </w:r>
        <w:r>
          <w:rPr>
            <w:rFonts w:eastAsia="Calibri"/>
            <w:noProof/>
            <w:lang w:bidi="he-IL"/>
          </w:rPr>
          <w:t>ww.ofcourseimright.com/mudmaker/</w:t>
        </w:r>
      </w:hyperlink>
      <w:r>
        <w:rPr>
          <w:rFonts w:eastAsia="Calibri"/>
          <w:noProof/>
          <w:lang w:val="en-US" w:bidi="he-IL"/>
        </w:rPr>
        <w:t>.</w:t>
      </w:r>
    </w:p>
    <w:p w:rsidR="00913429" w:rsidRDefault="00913429">
      <w:pPr>
        <w:spacing w:after="0" w:line="240" w:lineRule="auto"/>
        <w:jc w:val="both"/>
        <w:rPr>
          <w:rFonts w:eastAsia="Calibri"/>
          <w:noProof/>
          <w:lang w:val="en-US" w:bidi="he-IL"/>
        </w:rPr>
      </w:pPr>
    </w:p>
    <w:p w:rsidR="00913429" w:rsidRDefault="00E143F0">
      <w:pPr>
        <w:spacing w:after="0" w:line="240" w:lineRule="auto"/>
        <w:jc w:val="both"/>
        <w:rPr>
          <w:rFonts w:eastAsia="Calibri"/>
          <w:i/>
          <w:noProof/>
          <w:lang w:val="en-US" w:bidi="he-IL"/>
        </w:rPr>
      </w:pPr>
      <w:bookmarkStart w:id="126" w:name="_Ref476325039"/>
      <w:bookmarkStart w:id="127" w:name="_Toc487742946"/>
      <w:r>
        <w:rPr>
          <w:rFonts w:eastAsia="Calibri"/>
          <w:i/>
          <w:noProof/>
          <w:lang w:val="en-US" w:bidi="he-IL"/>
        </w:rPr>
        <w:t>Secure Firmware/Software Update</w:t>
      </w:r>
      <w:bookmarkStart w:id="128" w:name="_Toc474738555"/>
      <w:bookmarkStart w:id="129" w:name="_Toc474741670"/>
      <w:bookmarkStart w:id="130" w:name="_Toc474741752"/>
      <w:bookmarkStart w:id="131" w:name="_Toc474864663"/>
      <w:bookmarkStart w:id="132" w:name="_Toc474741671"/>
      <w:bookmarkStart w:id="133" w:name="_Toc474741753"/>
      <w:bookmarkStart w:id="134" w:name="_Toc474864664"/>
      <w:bookmarkEnd w:id="128"/>
      <w:bookmarkEnd w:id="129"/>
      <w:bookmarkEnd w:id="130"/>
      <w:bookmarkEnd w:id="131"/>
      <w:bookmarkEnd w:id="132"/>
      <w:bookmarkEnd w:id="133"/>
      <w:bookmarkEnd w:id="134"/>
      <w:r>
        <w:rPr>
          <w:rFonts w:eastAsia="Calibri"/>
          <w:i/>
          <w:noProof/>
          <w:lang w:val="en-US" w:bidi="he-IL"/>
        </w:rPr>
        <w:t xml:space="preserve"> (Silver)</w:t>
      </w:r>
      <w:bookmarkEnd w:id="126"/>
      <w:bookmarkEnd w:id="127"/>
    </w:p>
    <w:p w:rsidR="00913429" w:rsidRDefault="00E143F0">
      <w:pPr>
        <w:spacing w:after="0" w:line="240" w:lineRule="auto"/>
        <w:jc w:val="both"/>
        <w:rPr>
          <w:rFonts w:eastAsia="Calibri"/>
          <w:noProof/>
          <w:lang w:val="en-US" w:bidi="he-IL"/>
        </w:rPr>
      </w:pPr>
      <w:r>
        <w:rPr>
          <w:rFonts w:eastAsia="Calibri"/>
          <w:noProof/>
          <w:lang w:val="en-US" w:bidi="he-IL"/>
        </w:rPr>
        <w:t>Endpoints MUST have the ability to securely receive and apply a software and/or firmware update.  All Updates MUST be signed by the manufacturer and Endpoints MUST validate signatu</w:t>
      </w:r>
      <w:r>
        <w:rPr>
          <w:rFonts w:eastAsia="Calibri"/>
          <w:noProof/>
          <w:lang w:val="en-US" w:bidi="he-IL"/>
        </w:rPr>
        <w:t>res. The endpoint MUST be configured to check for an HMAC signature whose key strength is determined by deployment environment. Careful key management processes SHOULD be implemented during code development and release.</w:t>
      </w:r>
    </w:p>
    <w:p w:rsidR="00913429" w:rsidRDefault="00913429">
      <w:pPr>
        <w:spacing w:after="0" w:line="240" w:lineRule="auto"/>
        <w:jc w:val="both"/>
        <w:rPr>
          <w:rFonts w:eastAsia="Calibri"/>
          <w:noProof/>
          <w:lang w:val="en-US" w:bidi="he-IL"/>
        </w:rPr>
      </w:pPr>
    </w:p>
    <w:p w:rsidR="00913429" w:rsidRDefault="00E143F0">
      <w:pPr>
        <w:spacing w:after="0" w:line="240" w:lineRule="auto"/>
        <w:jc w:val="both"/>
        <w:rPr>
          <w:rFonts w:eastAsia="Calibri"/>
          <w:i/>
          <w:noProof/>
          <w:lang w:val="en-US" w:bidi="he-IL"/>
        </w:rPr>
      </w:pPr>
      <w:bookmarkStart w:id="135" w:name="_Ref476321870"/>
      <w:bookmarkStart w:id="136" w:name="_Toc487742947"/>
      <w:r>
        <w:rPr>
          <w:rFonts w:eastAsia="Calibri"/>
          <w:i/>
          <w:noProof/>
          <w:lang w:val="en-US" w:bidi="he-IL"/>
        </w:rPr>
        <w:t>System Event Logging (Silver)</w:t>
      </w:r>
      <w:bookmarkEnd w:id="135"/>
      <w:bookmarkEnd w:id="136"/>
    </w:p>
    <w:p w:rsidR="00913429" w:rsidRDefault="00E143F0">
      <w:pPr>
        <w:spacing w:after="0" w:line="240" w:lineRule="auto"/>
        <w:jc w:val="both"/>
        <w:rPr>
          <w:rFonts w:eastAsia="Calibri"/>
          <w:noProof/>
          <w:lang w:val="en-US" w:bidi="he-IL"/>
        </w:rPr>
      </w:pPr>
      <w:r>
        <w:rPr>
          <w:rFonts w:eastAsia="Calibri"/>
          <w:noProof/>
          <w:lang w:val="en-US" w:bidi="he-IL"/>
        </w:rPr>
        <w:t>Endpo</w:t>
      </w:r>
      <w:r>
        <w:rPr>
          <w:rFonts w:eastAsia="Calibri"/>
          <w:noProof/>
          <w:lang w:val="en-US" w:bidi="he-IL"/>
        </w:rPr>
        <w:t>ints MUST implement SYSLOG to report all anomalous behavior and any supervisory access to provide the necessary visibility for incident monitoring and defense.</w:t>
      </w:r>
    </w:p>
    <w:p w:rsidR="00913429" w:rsidRDefault="00913429">
      <w:pPr>
        <w:spacing w:after="0" w:line="240" w:lineRule="auto"/>
        <w:jc w:val="both"/>
        <w:rPr>
          <w:rFonts w:eastAsia="Calibri"/>
          <w:noProof/>
          <w:lang w:val="en-US" w:bidi="he-IL"/>
        </w:rPr>
      </w:pPr>
    </w:p>
    <w:p w:rsidR="00913429" w:rsidRDefault="00E143F0">
      <w:pPr>
        <w:spacing w:after="0" w:line="240" w:lineRule="auto"/>
        <w:jc w:val="both"/>
        <w:rPr>
          <w:rFonts w:eastAsia="Calibri"/>
          <w:noProof/>
          <w:lang w:val="en-US" w:bidi="he-IL"/>
        </w:rPr>
      </w:pPr>
      <w:r>
        <w:rPr>
          <w:rFonts w:eastAsia="Calibri"/>
          <w:noProof/>
          <w:lang w:val="en-US" w:bidi="he-IL"/>
        </w:rPr>
        <w:t>Examples of supervisory access include:</w:t>
      </w:r>
    </w:p>
    <w:p w:rsidR="00913429" w:rsidRDefault="00E143F0">
      <w:pPr>
        <w:numPr>
          <w:ilvl w:val="0"/>
          <w:numId w:val="155"/>
        </w:numPr>
        <w:spacing w:after="0" w:line="240" w:lineRule="auto"/>
        <w:jc w:val="both"/>
        <w:rPr>
          <w:rFonts w:eastAsia="Calibri"/>
          <w:noProof/>
          <w:lang w:val="en-US" w:bidi="he-IL"/>
        </w:rPr>
      </w:pPr>
      <w:r>
        <w:rPr>
          <w:rFonts w:eastAsia="Calibri"/>
          <w:noProof/>
          <w:lang w:val="en-US" w:bidi="he-IL"/>
        </w:rPr>
        <w:t>Reading the Endpoint state.</w:t>
      </w:r>
    </w:p>
    <w:p w:rsidR="00913429" w:rsidRDefault="00E143F0">
      <w:pPr>
        <w:numPr>
          <w:ilvl w:val="0"/>
          <w:numId w:val="155"/>
        </w:numPr>
        <w:spacing w:after="0" w:line="240" w:lineRule="auto"/>
        <w:jc w:val="both"/>
        <w:rPr>
          <w:rFonts w:eastAsia="Calibri"/>
          <w:noProof/>
          <w:lang w:val="en-US" w:bidi="he-IL"/>
        </w:rPr>
      </w:pPr>
      <w:r>
        <w:rPr>
          <w:rFonts w:eastAsia="Calibri"/>
          <w:noProof/>
          <w:lang w:val="en-US" w:bidi="he-IL"/>
        </w:rPr>
        <w:t>Configuration change to the</w:t>
      </w:r>
      <w:r>
        <w:rPr>
          <w:rFonts w:eastAsia="Calibri"/>
          <w:noProof/>
          <w:lang w:val="en-US" w:bidi="he-IL"/>
        </w:rPr>
        <w:t xml:space="preserve"> Endpoint. </w:t>
      </w:r>
    </w:p>
    <w:p w:rsidR="00913429" w:rsidRDefault="00E143F0">
      <w:pPr>
        <w:numPr>
          <w:ilvl w:val="0"/>
          <w:numId w:val="155"/>
        </w:numPr>
        <w:spacing w:after="0" w:line="240" w:lineRule="auto"/>
        <w:jc w:val="both"/>
        <w:rPr>
          <w:rFonts w:eastAsia="Calibri"/>
          <w:noProof/>
          <w:lang w:val="en-US" w:bidi="he-IL"/>
        </w:rPr>
      </w:pPr>
      <w:r>
        <w:rPr>
          <w:rFonts w:eastAsia="Calibri"/>
          <w:noProof/>
          <w:lang w:val="en-US" w:bidi="he-IL"/>
        </w:rPr>
        <w:t xml:space="preserve">Updating Endpoint software or firmware.  </w:t>
      </w:r>
    </w:p>
    <w:p w:rsidR="00913429" w:rsidRDefault="00913429">
      <w:pPr>
        <w:spacing w:after="0" w:line="240" w:lineRule="auto"/>
        <w:jc w:val="both"/>
        <w:rPr>
          <w:rFonts w:eastAsia="Calibri"/>
          <w:noProof/>
          <w:lang w:val="en-US" w:bidi="he-IL"/>
        </w:rPr>
      </w:pPr>
    </w:p>
    <w:p w:rsidR="00913429" w:rsidRDefault="00E143F0">
      <w:pPr>
        <w:spacing w:after="0" w:line="240" w:lineRule="auto"/>
        <w:jc w:val="both"/>
        <w:rPr>
          <w:rFonts w:eastAsia="Calibri"/>
          <w:noProof/>
          <w:lang w:val="en-US" w:bidi="he-IL"/>
        </w:rPr>
      </w:pPr>
      <w:r>
        <w:rPr>
          <w:rFonts w:eastAsia="Calibri"/>
          <w:noProof/>
          <w:lang w:val="en-US" w:bidi="he-IL"/>
        </w:rPr>
        <w:t xml:space="preserve">Anomalous behavior includes excessive unauthorized access attempts or excessive or inappropriate use of the Endpoint.  An example would be door lock that is repeatedly activated in a very brief period </w:t>
      </w:r>
      <w:r>
        <w:rPr>
          <w:rFonts w:eastAsia="Calibri"/>
          <w:noProof/>
          <w:lang w:val="en-US" w:bidi="he-IL"/>
        </w:rPr>
        <w:t>of time.</w:t>
      </w:r>
    </w:p>
    <w:p w:rsidR="00913429" w:rsidRDefault="00913429">
      <w:pPr>
        <w:spacing w:after="0" w:line="240" w:lineRule="auto"/>
        <w:jc w:val="both"/>
        <w:rPr>
          <w:rFonts w:eastAsia="Calibri"/>
          <w:noProof/>
          <w:lang w:val="en-US" w:bidi="he-IL"/>
        </w:rPr>
      </w:pPr>
    </w:p>
    <w:p w:rsidR="00913429" w:rsidRDefault="00E143F0">
      <w:pPr>
        <w:spacing w:after="0" w:line="240" w:lineRule="auto"/>
        <w:rPr>
          <w:rFonts w:eastAsia="Calibri"/>
          <w:noProof/>
          <w:lang w:val="en-US" w:bidi="he-IL"/>
        </w:rPr>
      </w:pPr>
      <w:r>
        <w:rPr>
          <w:rFonts w:eastAsia="Calibri"/>
          <w:noProof/>
          <w:lang w:val="en-US" w:bidi="he-IL"/>
        </w:rPr>
        <w:t>A normative reference for logging can be found at: http://nvlpubs.nist.gov/nistpubs/Legacy/SP/nistspecialpublication800-92.pdf.</w:t>
      </w:r>
    </w:p>
    <w:p w:rsidR="00913429" w:rsidRDefault="00913429">
      <w:pPr>
        <w:spacing w:after="0" w:line="240" w:lineRule="auto"/>
        <w:jc w:val="both"/>
        <w:rPr>
          <w:rFonts w:eastAsia="Calibri"/>
          <w:noProof/>
          <w:lang w:val="en-US" w:bidi="he-IL"/>
        </w:rPr>
      </w:pPr>
    </w:p>
    <w:p w:rsidR="00913429" w:rsidRDefault="00E143F0">
      <w:pPr>
        <w:spacing w:after="0" w:line="240" w:lineRule="auto"/>
        <w:jc w:val="both"/>
        <w:rPr>
          <w:rFonts w:eastAsia="Calibri"/>
          <w:i/>
          <w:noProof/>
          <w:lang w:val="en-US" w:bidi="he-IL"/>
        </w:rPr>
      </w:pPr>
      <w:bookmarkStart w:id="137" w:name="_Ref476321903"/>
      <w:bookmarkStart w:id="138" w:name="_Toc487742948"/>
      <w:r>
        <w:rPr>
          <w:rFonts w:eastAsia="Calibri"/>
          <w:i/>
          <w:noProof/>
          <w:lang w:val="en-US" w:bidi="he-IL"/>
        </w:rPr>
        <w:t>Secure Event Logging (Silver)</w:t>
      </w:r>
      <w:bookmarkEnd w:id="137"/>
      <w:bookmarkEnd w:id="138"/>
    </w:p>
    <w:p w:rsidR="00913429" w:rsidRDefault="00E143F0">
      <w:pPr>
        <w:spacing w:after="0" w:line="240" w:lineRule="auto"/>
        <w:jc w:val="both"/>
        <w:rPr>
          <w:rFonts w:eastAsia="Calibri"/>
          <w:noProof/>
          <w:lang w:val="en-US" w:bidi="he-IL"/>
        </w:rPr>
      </w:pPr>
      <w:r>
        <w:rPr>
          <w:rFonts w:eastAsia="Calibri"/>
          <w:noProof/>
          <w:lang w:val="en-US" w:bidi="he-IL"/>
        </w:rPr>
        <w:t xml:space="preserve">Event logging MUST be made using syslog over DTLS [RFC6012].  The certificate used to </w:t>
      </w:r>
      <w:r>
        <w:rPr>
          <w:rFonts w:eastAsia="Calibri"/>
          <w:noProof/>
          <w:lang w:val="en-US" w:bidi="he-IL"/>
        </w:rPr>
        <w:t>authenticate to the syslog server SHOULD be the same one established during onboarding operations.</w:t>
      </w:r>
    </w:p>
    <w:p w:rsidR="00913429" w:rsidRDefault="00913429">
      <w:pPr>
        <w:spacing w:after="0" w:line="240" w:lineRule="auto"/>
        <w:jc w:val="both"/>
        <w:rPr>
          <w:rFonts w:eastAsia="Calibri"/>
          <w:noProof/>
          <w:lang w:val="en-US" w:bidi="he-IL"/>
        </w:rPr>
      </w:pPr>
    </w:p>
    <w:p w:rsidR="00913429" w:rsidRDefault="00E143F0">
      <w:pPr>
        <w:spacing w:after="0" w:line="240" w:lineRule="auto"/>
        <w:rPr>
          <w:rFonts w:eastAsia="Calibri"/>
          <w:noProof/>
          <w:lang w:val="en-US" w:bidi="he-IL"/>
        </w:rPr>
      </w:pPr>
      <w:r>
        <w:rPr>
          <w:rFonts w:eastAsia="Calibri"/>
          <w:noProof/>
          <w:lang w:val="en-US" w:bidi="he-IL"/>
        </w:rPr>
        <w:t>A reference implementation for syslog over DTLS can be found at http://www.rsyslog.com/doc/tls_cert_client.html</w:t>
      </w:r>
    </w:p>
    <w:p w:rsidR="00913429" w:rsidRDefault="00913429">
      <w:pPr>
        <w:spacing w:after="0" w:line="240" w:lineRule="auto"/>
        <w:jc w:val="both"/>
        <w:rPr>
          <w:rFonts w:eastAsia="Calibri"/>
          <w:noProof/>
          <w:lang w:val="en-US" w:bidi="he-IL"/>
        </w:rPr>
      </w:pPr>
    </w:p>
    <w:p w:rsidR="00913429" w:rsidRDefault="00E143F0">
      <w:pPr>
        <w:spacing w:after="0" w:line="240" w:lineRule="auto"/>
        <w:jc w:val="both"/>
        <w:rPr>
          <w:rFonts w:eastAsia="Calibri"/>
          <w:i/>
          <w:noProof/>
          <w:lang w:val="en-US" w:bidi="he-IL"/>
        </w:rPr>
      </w:pPr>
      <w:bookmarkStart w:id="139" w:name="_Ref476325183"/>
      <w:bookmarkStart w:id="140" w:name="_Toc487742949"/>
      <w:r>
        <w:rPr>
          <w:rFonts w:eastAsia="Calibri"/>
          <w:i/>
          <w:noProof/>
          <w:lang w:val="en-US" w:bidi="he-IL"/>
        </w:rPr>
        <w:t>Time Distribution (Silver*)</w:t>
      </w:r>
      <w:bookmarkEnd w:id="139"/>
      <w:bookmarkEnd w:id="140"/>
    </w:p>
    <w:p w:rsidR="00913429" w:rsidRDefault="00E143F0">
      <w:pPr>
        <w:spacing w:after="0" w:line="240" w:lineRule="auto"/>
        <w:jc w:val="both"/>
        <w:rPr>
          <w:rFonts w:eastAsia="Calibri"/>
          <w:noProof/>
          <w:lang w:val="en-US" w:bidi="he-IL"/>
        </w:rPr>
      </w:pPr>
      <w:r>
        <w:rPr>
          <w:rFonts w:eastAsia="Calibri"/>
          <w:noProof/>
          <w:lang w:val="en-US" w:bidi="he-IL"/>
        </w:rPr>
        <w:t>During onboardi</w:t>
      </w:r>
      <w:r>
        <w:rPr>
          <w:rFonts w:eastAsia="Calibri"/>
          <w:noProof/>
          <w:lang w:val="en-US" w:bidi="he-IL"/>
        </w:rPr>
        <w:t>ng, the BRSKI protocol is designed to support devices that do not have a real-time clock. The full details are described in the BRSKI document but are summarized as: The network administrator decides if BRSKI vouchers are permanent (timeless) or if they ar</w:t>
      </w:r>
      <w:r>
        <w:rPr>
          <w:rFonts w:eastAsia="Calibri"/>
          <w:noProof/>
          <w:lang w:val="en-US" w:bidi="he-IL"/>
        </w:rPr>
        <w:t>e required to have a cryptographic nonce ensuring freshness for the particular bootstrapping attempt. Certificate validity periods are ignored until BRSKI completes. At this point the device enters a mode in which the certificate authority root certificate</w:t>
      </w:r>
      <w:r>
        <w:rPr>
          <w:rFonts w:eastAsia="Calibri"/>
          <w:noProof/>
          <w:lang w:val="en-US" w:bidi="he-IL"/>
        </w:rPr>
        <w:t xml:space="preserve"> validity period is used to assume a current time window until Network Time Protocol (NTP) time updates narrow the window further. </w:t>
      </w:r>
    </w:p>
    <w:p w:rsidR="00913429" w:rsidRDefault="00913429">
      <w:pPr>
        <w:spacing w:after="0" w:line="240" w:lineRule="auto"/>
        <w:jc w:val="both"/>
        <w:rPr>
          <w:rFonts w:eastAsia="Calibri"/>
          <w:noProof/>
          <w:lang w:val="en-US" w:bidi="he-IL"/>
        </w:rPr>
      </w:pPr>
    </w:p>
    <w:p w:rsidR="00913429" w:rsidRDefault="00E143F0">
      <w:pPr>
        <w:spacing w:after="0" w:line="240" w:lineRule="auto"/>
        <w:jc w:val="both"/>
        <w:rPr>
          <w:rFonts w:eastAsia="Calibri"/>
          <w:noProof/>
          <w:lang w:val="en-US" w:bidi="he-IL"/>
        </w:rPr>
      </w:pPr>
      <w:r>
        <w:rPr>
          <w:rFonts w:eastAsia="Calibri"/>
          <w:noProof/>
          <w:lang w:val="en-US" w:bidi="he-IL"/>
        </w:rPr>
        <w:t>A trusted time source is necessary for the process of certificate validation and reliable system event logging and correlat</w:t>
      </w:r>
      <w:r>
        <w:rPr>
          <w:rFonts w:eastAsia="Calibri"/>
          <w:noProof/>
          <w:lang w:val="en-US" w:bidi="he-IL"/>
        </w:rPr>
        <w:t>ion. Endpoints MUST use either Simple NTP version 4 [RFC4330] or time provided by a trusted and authenticated server as described in Section 5.5.</w:t>
      </w:r>
    </w:p>
    <w:p w:rsidR="00913429" w:rsidRDefault="00913429">
      <w:pPr>
        <w:spacing w:after="0" w:line="240" w:lineRule="auto"/>
        <w:jc w:val="both"/>
        <w:rPr>
          <w:rFonts w:eastAsia="Calibri"/>
          <w:noProof/>
          <w:lang w:val="en-US" w:bidi="he-IL"/>
        </w:rPr>
      </w:pPr>
    </w:p>
    <w:p w:rsidR="00913429" w:rsidRDefault="00E143F0">
      <w:pPr>
        <w:spacing w:after="0" w:line="240" w:lineRule="auto"/>
        <w:jc w:val="both"/>
        <w:rPr>
          <w:rFonts w:eastAsia="Calibri"/>
          <w:noProof/>
          <w:lang w:val="en-US" w:bidi="he-IL"/>
        </w:rPr>
      </w:pPr>
      <w:r>
        <w:rPr>
          <w:rFonts w:eastAsia="Calibri"/>
          <w:noProof/>
          <w:lang w:val="en-US" w:bidi="he-IL"/>
        </w:rPr>
        <w:t>Endpoints MUST periodically write the current time to non-volatile storage, and use that as a base prior to b</w:t>
      </w:r>
      <w:r>
        <w:rPr>
          <w:rFonts w:eastAsia="Calibri"/>
          <w:noProof/>
          <w:lang w:val="en-US" w:bidi="he-IL"/>
        </w:rPr>
        <w:t>eing configured with accurate time.  The purpose of doing so is simply to prevent attackers from using expired certificate to gain unauthorized access to an Endpoint.</w:t>
      </w:r>
    </w:p>
    <w:p w:rsidR="00913429" w:rsidRDefault="00913429">
      <w:pPr>
        <w:spacing w:after="0" w:line="240" w:lineRule="auto"/>
        <w:jc w:val="both"/>
        <w:rPr>
          <w:rFonts w:eastAsia="Calibri"/>
          <w:noProof/>
          <w:lang w:val="en-US" w:bidi="he-IL"/>
        </w:rPr>
      </w:pPr>
    </w:p>
    <w:p w:rsidR="00913429" w:rsidRDefault="00E143F0">
      <w:pPr>
        <w:spacing w:after="0" w:line="240" w:lineRule="auto"/>
        <w:jc w:val="both"/>
        <w:rPr>
          <w:rFonts w:eastAsia="Calibri"/>
          <w:i/>
          <w:noProof/>
          <w:lang w:val="en-US" w:bidi="he-IL"/>
        </w:rPr>
      </w:pPr>
      <w:bookmarkStart w:id="141" w:name="_Toc487742950"/>
      <w:r>
        <w:rPr>
          <w:rFonts w:eastAsia="Calibri"/>
          <w:i/>
          <w:noProof/>
          <w:lang w:val="en-US" w:bidi="he-IL"/>
        </w:rPr>
        <w:t>Privacy</w:t>
      </w:r>
      <w:bookmarkEnd w:id="141"/>
    </w:p>
    <w:p w:rsidR="00913429" w:rsidRDefault="00E143F0">
      <w:pPr>
        <w:spacing w:after="0" w:line="240" w:lineRule="auto"/>
        <w:jc w:val="both"/>
        <w:rPr>
          <w:rFonts w:eastAsia="Calibri"/>
          <w:noProof/>
          <w:lang w:val="en-US" w:bidi="he-IL"/>
        </w:rPr>
      </w:pPr>
      <w:r>
        <w:rPr>
          <w:rFonts w:eastAsia="Calibri"/>
          <w:noProof/>
          <w:lang w:val="en-US" w:bidi="he-IL"/>
        </w:rPr>
        <w:t xml:space="preserve">Endpoints may collect, store, or transmit a variety of information based on the </w:t>
      </w:r>
      <w:r>
        <w:rPr>
          <w:rFonts w:eastAsia="Calibri"/>
          <w:noProof/>
          <w:lang w:val="en-US" w:bidi="he-IL"/>
        </w:rPr>
        <w:t>intended usage of the device and the market vertical. Endpoint manufacturers MUST use [PRENG] or [PbD] principles during the product development cycle.</w:t>
      </w:r>
      <w:r>
        <w:rPr>
          <w:rFonts w:eastAsia="Calibri"/>
          <w:noProof/>
          <w:lang w:val="en-US" w:bidi="he-IL"/>
        </w:rPr>
        <w:br/>
      </w:r>
    </w:p>
    <w:p w:rsidR="00913429" w:rsidRDefault="00E143F0">
      <w:pPr>
        <w:spacing w:after="0" w:line="240" w:lineRule="auto"/>
        <w:jc w:val="both"/>
        <w:rPr>
          <w:rFonts w:eastAsia="Calibri"/>
          <w:i/>
          <w:noProof/>
          <w:lang w:val="en-US" w:bidi="he-IL"/>
        </w:rPr>
      </w:pPr>
      <w:bookmarkStart w:id="142" w:name="_Ref478128603"/>
      <w:bookmarkStart w:id="143" w:name="_Toc487742951"/>
      <w:r>
        <w:rPr>
          <w:rFonts w:eastAsia="Calibri"/>
          <w:i/>
          <w:noProof/>
          <w:lang w:val="en-US" w:bidi="he-IL"/>
        </w:rPr>
        <w:t>Limited Collection (Bronze*)</w:t>
      </w:r>
      <w:bookmarkEnd w:id="142"/>
      <w:bookmarkEnd w:id="143"/>
    </w:p>
    <w:p w:rsidR="00913429" w:rsidRDefault="00E143F0">
      <w:pPr>
        <w:spacing w:after="0" w:line="240" w:lineRule="auto"/>
        <w:jc w:val="both"/>
        <w:rPr>
          <w:rFonts w:eastAsia="Calibri"/>
          <w:noProof/>
          <w:lang w:val="en-US" w:bidi="he-IL"/>
        </w:rPr>
      </w:pPr>
      <w:r>
        <w:rPr>
          <w:rFonts w:eastAsia="Calibri"/>
          <w:noProof/>
          <w:lang w:val="en-US" w:bidi="he-IL"/>
        </w:rPr>
        <w:t>Endpoints MUST only collect the information that is necessary for the stat</w:t>
      </w:r>
      <w:r>
        <w:rPr>
          <w:rFonts w:eastAsia="Calibri"/>
          <w:noProof/>
          <w:lang w:val="en-US" w:bidi="he-IL"/>
        </w:rPr>
        <w:t>ed purpose of the device and that has been communicated to the end user via a standard Privacy Policy that is available from the manufacturer’s website.</w:t>
      </w:r>
    </w:p>
    <w:p w:rsidR="00913429" w:rsidRDefault="00913429">
      <w:pPr>
        <w:spacing w:after="0" w:line="240" w:lineRule="auto"/>
        <w:jc w:val="both"/>
        <w:rPr>
          <w:rFonts w:eastAsia="Calibri"/>
          <w:noProof/>
          <w:lang w:val="en-US" w:bidi="he-IL"/>
        </w:rPr>
      </w:pPr>
    </w:p>
    <w:p w:rsidR="00913429" w:rsidRDefault="00E143F0">
      <w:pPr>
        <w:spacing w:after="0" w:line="240" w:lineRule="auto"/>
        <w:jc w:val="both"/>
        <w:rPr>
          <w:rFonts w:eastAsia="Calibri"/>
          <w:noProof/>
          <w:lang w:val="en-US" w:bidi="he-IL"/>
        </w:rPr>
      </w:pPr>
      <w:r>
        <w:rPr>
          <w:rFonts w:eastAsia="Calibri"/>
          <w:noProof/>
          <w:lang w:val="en-US" w:bidi="he-IL"/>
        </w:rPr>
        <w:t>A normative reference for this requirement is the EU General Data Protection Regulation (GDPR) Article</w:t>
      </w:r>
      <w:r>
        <w:rPr>
          <w:rFonts w:eastAsia="Calibri"/>
          <w:noProof/>
          <w:lang w:val="en-US" w:bidi="he-IL"/>
        </w:rPr>
        <w:t xml:space="preserve"> 5(1c).</w:t>
      </w:r>
    </w:p>
    <w:p w:rsidR="00913429" w:rsidRDefault="00913429">
      <w:pPr>
        <w:spacing w:after="0" w:line="240" w:lineRule="auto"/>
        <w:jc w:val="both"/>
        <w:rPr>
          <w:rFonts w:eastAsia="Calibri"/>
          <w:noProof/>
          <w:lang w:val="en-US" w:bidi="he-IL"/>
        </w:rPr>
      </w:pPr>
    </w:p>
    <w:p w:rsidR="00913429" w:rsidRDefault="00E143F0">
      <w:pPr>
        <w:spacing w:after="0" w:line="240" w:lineRule="auto"/>
        <w:jc w:val="both"/>
        <w:rPr>
          <w:rFonts w:eastAsia="Calibri"/>
          <w:i/>
          <w:noProof/>
          <w:lang w:val="en-US" w:bidi="he-IL"/>
        </w:rPr>
      </w:pPr>
      <w:bookmarkStart w:id="144" w:name="_Toc487742952"/>
      <w:r>
        <w:rPr>
          <w:rFonts w:eastAsia="Calibri"/>
          <w:i/>
          <w:noProof/>
          <w:lang w:val="en-US" w:bidi="he-IL"/>
        </w:rPr>
        <w:t>Controlled User Access to Personally Identifiable Information (Gold*)</w:t>
      </w:r>
      <w:bookmarkEnd w:id="144"/>
    </w:p>
    <w:p w:rsidR="00913429" w:rsidRDefault="00E143F0">
      <w:pPr>
        <w:spacing w:after="0" w:line="240" w:lineRule="auto"/>
        <w:jc w:val="both"/>
        <w:rPr>
          <w:rFonts w:eastAsia="Calibri"/>
          <w:noProof/>
          <w:lang w:val="en-US" w:bidi="he-IL"/>
        </w:rPr>
      </w:pPr>
      <w:r>
        <w:rPr>
          <w:rFonts w:eastAsia="Calibri"/>
          <w:noProof/>
          <w:lang w:val="en-US" w:bidi="he-IL"/>
        </w:rPr>
        <w:t xml:space="preserve">Endpoints MUST protect personally identifiable information from disclosure and modification. The actual implementation will depend on the nature of the Endpoint and associated </w:t>
      </w:r>
      <w:r>
        <w:rPr>
          <w:rFonts w:eastAsia="Calibri"/>
          <w:noProof/>
          <w:lang w:val="en-US" w:bidi="he-IL"/>
        </w:rPr>
        <w:t>service, but an example would be to encrypt information on the device such that only authorized users may access it.</w:t>
      </w:r>
    </w:p>
    <w:p w:rsidR="00913429" w:rsidRDefault="00913429">
      <w:pPr>
        <w:spacing w:after="0" w:line="240" w:lineRule="auto"/>
        <w:jc w:val="both"/>
        <w:rPr>
          <w:rFonts w:eastAsia="Calibri"/>
          <w:noProof/>
          <w:lang w:val="en-US" w:bidi="he-IL"/>
        </w:rPr>
      </w:pPr>
    </w:p>
    <w:p w:rsidR="00913429" w:rsidRDefault="00E143F0">
      <w:pPr>
        <w:spacing w:after="0" w:line="240" w:lineRule="auto"/>
        <w:jc w:val="both"/>
        <w:rPr>
          <w:rFonts w:eastAsia="Calibri"/>
          <w:noProof/>
          <w:lang w:val="en-US" w:bidi="he-IL"/>
        </w:rPr>
      </w:pPr>
      <w:r>
        <w:rPr>
          <w:rFonts w:eastAsia="Calibri"/>
          <w:noProof/>
          <w:lang w:val="en-US" w:bidi="he-IL"/>
        </w:rPr>
        <w:t>A normative reference for this requirement is GDPR Article 5(1f).</w:t>
      </w:r>
    </w:p>
    <w:p w:rsidR="00913429" w:rsidRDefault="00913429">
      <w:pPr>
        <w:spacing w:after="0" w:line="240" w:lineRule="auto"/>
        <w:jc w:val="both"/>
        <w:rPr>
          <w:rFonts w:eastAsia="Calibri"/>
          <w:noProof/>
          <w:lang w:val="en-US" w:bidi="he-IL"/>
        </w:rPr>
      </w:pPr>
    </w:p>
    <w:p w:rsidR="00913429" w:rsidRDefault="00E143F0">
      <w:pPr>
        <w:spacing w:after="0" w:line="240" w:lineRule="auto"/>
        <w:jc w:val="both"/>
        <w:rPr>
          <w:rFonts w:eastAsia="Calibri"/>
          <w:i/>
          <w:noProof/>
          <w:lang w:val="en-US" w:bidi="he-IL"/>
        </w:rPr>
      </w:pPr>
      <w:bookmarkStart w:id="145" w:name="_Toc474741683"/>
      <w:bookmarkStart w:id="146" w:name="_Toc474741765"/>
      <w:bookmarkStart w:id="147" w:name="_Toc474864676"/>
      <w:bookmarkStart w:id="148" w:name="_Toc474741684"/>
      <w:bookmarkStart w:id="149" w:name="_Toc474741766"/>
      <w:bookmarkStart w:id="150" w:name="_Toc474864677"/>
      <w:bookmarkStart w:id="151" w:name="_Toc474741685"/>
      <w:bookmarkStart w:id="152" w:name="_Toc474741767"/>
      <w:bookmarkStart w:id="153" w:name="_Toc474864678"/>
      <w:bookmarkStart w:id="154" w:name="_Toc474741686"/>
      <w:bookmarkStart w:id="155" w:name="_Toc474741768"/>
      <w:bookmarkStart w:id="156" w:name="_Toc474864679"/>
      <w:bookmarkStart w:id="157" w:name="_Toc474741687"/>
      <w:bookmarkStart w:id="158" w:name="_Toc474741769"/>
      <w:bookmarkStart w:id="159" w:name="_Toc474864680"/>
      <w:bookmarkStart w:id="160" w:name="_Toc474741688"/>
      <w:bookmarkStart w:id="161" w:name="_Toc474741770"/>
      <w:bookmarkStart w:id="162" w:name="_Toc474864681"/>
      <w:bookmarkStart w:id="163" w:name="_Toc474741689"/>
      <w:bookmarkStart w:id="164" w:name="_Toc474741771"/>
      <w:bookmarkStart w:id="165" w:name="_Toc474864682"/>
      <w:bookmarkStart w:id="166" w:name="_Toc474741690"/>
      <w:bookmarkStart w:id="167" w:name="_Toc474741772"/>
      <w:bookmarkStart w:id="168" w:name="_Toc474864683"/>
      <w:bookmarkStart w:id="169" w:name="_Toc474741691"/>
      <w:bookmarkStart w:id="170" w:name="_Toc474741773"/>
      <w:bookmarkStart w:id="171" w:name="_Toc474864684"/>
      <w:bookmarkStart w:id="172" w:name="_Toc474741692"/>
      <w:bookmarkStart w:id="173" w:name="_Toc474741774"/>
      <w:bookmarkStart w:id="174" w:name="_Toc474864685"/>
      <w:bookmarkStart w:id="175" w:name="_Toc474741693"/>
      <w:bookmarkStart w:id="176" w:name="_Toc474741775"/>
      <w:bookmarkStart w:id="177" w:name="_Toc474864686"/>
      <w:bookmarkStart w:id="178" w:name="_Toc477094332"/>
      <w:bookmarkStart w:id="179" w:name="_Toc477106551"/>
      <w:bookmarkStart w:id="180" w:name="_Toc477107633"/>
      <w:bookmarkStart w:id="181" w:name="_Toc477109515"/>
      <w:bookmarkStart w:id="182" w:name="_Toc477116912"/>
      <w:bookmarkStart w:id="183" w:name="_Toc477117018"/>
      <w:bookmarkStart w:id="184" w:name="_Toc487742953"/>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r>
        <w:rPr>
          <w:rFonts w:eastAsia="Calibri"/>
          <w:i/>
          <w:noProof/>
          <w:lang w:val="en-US" w:bidi="he-IL"/>
        </w:rPr>
        <w:t>End User Data Removal (Bronze)</w:t>
      </w:r>
      <w:bookmarkEnd w:id="184"/>
    </w:p>
    <w:p w:rsidR="00913429" w:rsidRDefault="00E143F0">
      <w:pPr>
        <w:spacing w:after="0" w:line="240" w:lineRule="auto"/>
        <w:jc w:val="both"/>
        <w:rPr>
          <w:rFonts w:eastAsia="Calibri"/>
          <w:noProof/>
          <w:lang w:val="en-US" w:bidi="he-IL"/>
        </w:rPr>
      </w:pPr>
      <w:r>
        <w:rPr>
          <w:rFonts w:eastAsia="Calibri"/>
          <w:noProof/>
          <w:lang w:val="en-US" w:bidi="he-IL"/>
        </w:rPr>
        <w:t xml:space="preserve">During the lifecycle of an endpoint, it </w:t>
      </w:r>
      <w:r>
        <w:rPr>
          <w:rFonts w:eastAsia="Calibri"/>
          <w:noProof/>
          <w:lang w:val="en-US" w:bidi="he-IL"/>
        </w:rPr>
        <w:t>may be necessary to ensure complete erasure of all end user (personal or customer) data from the device.  This could through a factory reset option or data removal option.  One use-case for data removal would be the event of an endpoint passing from one ow</w:t>
      </w:r>
      <w:r>
        <w:rPr>
          <w:rFonts w:eastAsia="Calibri"/>
          <w:noProof/>
          <w:lang w:val="en-US" w:bidi="he-IL"/>
        </w:rPr>
        <w:t xml:space="preserve">ner to another legally or illegally. </w:t>
      </w:r>
    </w:p>
    <w:p w:rsidR="00913429" w:rsidRDefault="00E143F0">
      <w:pPr>
        <w:spacing w:after="0" w:line="240" w:lineRule="auto"/>
        <w:jc w:val="both"/>
        <w:rPr>
          <w:rFonts w:eastAsia="Calibri"/>
          <w:noProof/>
          <w:lang w:val="en-US" w:bidi="he-IL"/>
        </w:rPr>
      </w:pPr>
      <w:r>
        <w:rPr>
          <w:rFonts w:eastAsia="Calibri"/>
          <w:noProof/>
          <w:lang w:val="en-US" w:bidi="he-IL"/>
        </w:rPr>
        <w:t xml:space="preserve"> </w:t>
      </w:r>
    </w:p>
    <w:p w:rsidR="00913429" w:rsidRDefault="00E143F0">
      <w:pPr>
        <w:spacing w:after="0" w:line="240" w:lineRule="auto"/>
        <w:jc w:val="both"/>
        <w:rPr>
          <w:rFonts w:eastAsia="Calibri"/>
          <w:noProof/>
          <w:lang w:val="en-US" w:bidi="he-IL"/>
        </w:rPr>
      </w:pPr>
      <w:r>
        <w:rPr>
          <w:rFonts w:eastAsia="Calibri"/>
          <w:noProof/>
          <w:lang w:val="en-US" w:bidi="he-IL"/>
        </w:rPr>
        <w:t xml:space="preserve">Endpoints MUST provide a means to remove/erase all end personal and/or customer data.  This includes any data that may be stored on the cloud server. </w:t>
      </w:r>
    </w:p>
    <w:p w:rsidR="00913429" w:rsidRDefault="00913429">
      <w:pPr>
        <w:spacing w:after="0" w:line="240" w:lineRule="auto"/>
        <w:jc w:val="both"/>
        <w:rPr>
          <w:rFonts w:eastAsia="Calibri"/>
          <w:noProof/>
          <w:lang w:val="en-US" w:bidi="he-IL"/>
        </w:rPr>
      </w:pPr>
    </w:p>
    <w:p w:rsidR="00913429" w:rsidRDefault="00E143F0">
      <w:pPr>
        <w:spacing w:after="0" w:line="240" w:lineRule="auto"/>
        <w:jc w:val="both"/>
        <w:rPr>
          <w:rFonts w:eastAsia="Calibri"/>
          <w:noProof/>
          <w:lang w:val="en-US" w:bidi="he-IL"/>
        </w:rPr>
      </w:pPr>
      <w:r>
        <w:rPr>
          <w:rFonts w:eastAsia="Calibri"/>
          <w:noProof/>
          <w:lang w:val="en-US" w:bidi="he-IL"/>
        </w:rPr>
        <w:t xml:space="preserve">A set of normative references for this requirement are GDPR </w:t>
      </w:r>
      <w:r>
        <w:rPr>
          <w:rFonts w:eastAsia="Calibri"/>
          <w:noProof/>
          <w:lang w:val="en-US" w:bidi="he-IL"/>
        </w:rPr>
        <w:t>Article 20 - Portability and Article 17 – Erasure.</w:t>
      </w:r>
    </w:p>
    <w:p w:rsidR="00913429" w:rsidRDefault="00913429">
      <w:pPr>
        <w:spacing w:after="0" w:line="240" w:lineRule="auto"/>
        <w:jc w:val="both"/>
        <w:rPr>
          <w:rFonts w:eastAsia="Calibri"/>
          <w:noProof/>
          <w:lang w:val="en-US" w:bidi="he-IL"/>
        </w:rPr>
      </w:pPr>
    </w:p>
    <w:p w:rsidR="00913429" w:rsidRDefault="00E143F0">
      <w:pPr>
        <w:spacing w:after="0" w:line="240" w:lineRule="auto"/>
        <w:jc w:val="both"/>
        <w:rPr>
          <w:rFonts w:eastAsia="Calibri"/>
          <w:i/>
          <w:noProof/>
          <w:lang w:val="en-US" w:bidi="he-IL"/>
        </w:rPr>
      </w:pPr>
      <w:bookmarkStart w:id="185" w:name="_Toc487742954"/>
      <w:r>
        <w:rPr>
          <w:rFonts w:eastAsia="Calibri"/>
          <w:i/>
          <w:noProof/>
          <w:lang w:val="en-US" w:bidi="he-IL"/>
        </w:rPr>
        <w:t>Service Requirements</w:t>
      </w:r>
      <w:bookmarkEnd w:id="185"/>
    </w:p>
    <w:p w:rsidR="00913429" w:rsidRDefault="00E143F0">
      <w:pPr>
        <w:spacing w:after="0" w:line="240" w:lineRule="auto"/>
        <w:jc w:val="both"/>
        <w:rPr>
          <w:rFonts w:eastAsia="Calibri"/>
          <w:noProof/>
          <w:lang w:val="en-US" w:bidi="he-IL"/>
        </w:rPr>
      </w:pPr>
      <w:r>
        <w:rPr>
          <w:rFonts w:eastAsia="Calibri"/>
          <w:noProof/>
          <w:lang w:val="en-US" w:bidi="he-IL"/>
        </w:rPr>
        <w:t xml:space="preserve">These requirements relate to those necessary procedures and mechanisms that manufacturers must support in order for devices to properly function on an ongoing basis.  </w:t>
      </w:r>
    </w:p>
    <w:p w:rsidR="00913429" w:rsidRDefault="00913429">
      <w:pPr>
        <w:spacing w:after="0" w:line="240" w:lineRule="auto"/>
        <w:jc w:val="both"/>
        <w:rPr>
          <w:rFonts w:eastAsia="Calibri"/>
          <w:noProof/>
          <w:lang w:val="en-US" w:bidi="he-IL"/>
        </w:rPr>
      </w:pPr>
    </w:p>
    <w:p w:rsidR="00913429" w:rsidRDefault="00E143F0">
      <w:pPr>
        <w:spacing w:after="0" w:line="240" w:lineRule="auto"/>
        <w:jc w:val="both"/>
        <w:rPr>
          <w:rFonts w:eastAsia="Calibri"/>
          <w:i/>
          <w:noProof/>
          <w:lang w:val="en-US" w:bidi="he-IL"/>
        </w:rPr>
      </w:pPr>
      <w:bookmarkStart w:id="186" w:name="_Ref476321666"/>
      <w:bookmarkStart w:id="187" w:name="_Ref476321764"/>
      <w:bookmarkStart w:id="188" w:name="_Toc487742955"/>
      <w:r>
        <w:rPr>
          <w:rFonts w:eastAsia="Calibri"/>
          <w:i/>
          <w:noProof/>
          <w:lang w:val="en-US" w:bidi="he-IL"/>
        </w:rPr>
        <w:t>MASA Server</w:t>
      </w:r>
      <w:bookmarkEnd w:id="186"/>
      <w:bookmarkEnd w:id="187"/>
      <w:r>
        <w:rPr>
          <w:rFonts w:eastAsia="Calibri"/>
          <w:i/>
          <w:noProof/>
          <w:lang w:val="en-US" w:bidi="he-IL"/>
        </w:rPr>
        <w:t xml:space="preserve"> (S</w:t>
      </w:r>
      <w:r>
        <w:rPr>
          <w:rFonts w:eastAsia="Calibri"/>
          <w:i/>
          <w:noProof/>
          <w:lang w:val="en-US" w:bidi="he-IL"/>
        </w:rPr>
        <w:t>ilver)</w:t>
      </w:r>
      <w:bookmarkEnd w:id="188"/>
    </w:p>
    <w:p w:rsidR="00913429" w:rsidRDefault="00E143F0">
      <w:pPr>
        <w:spacing w:after="0" w:line="240" w:lineRule="auto"/>
        <w:jc w:val="both"/>
        <w:rPr>
          <w:rFonts w:eastAsia="Calibri"/>
          <w:noProof/>
          <w:lang w:val="en-US" w:bidi="he-IL"/>
        </w:rPr>
      </w:pPr>
      <w:r>
        <w:rPr>
          <w:rFonts w:eastAsia="Calibri"/>
          <w:noProof/>
          <w:lang w:val="en-US" w:bidi="he-IL"/>
        </w:rPr>
        <w:t xml:space="preserve">An IoT Trust Label Manufacturer MUST provide a Manufacturer Authorized Signing Authority (MASA) service in accordance with [BRSKI].   In addition, this service MUST be secure, fault tolerant and available at all times, in order for a new device and </w:t>
      </w:r>
      <w:r>
        <w:rPr>
          <w:rFonts w:eastAsia="Calibri"/>
          <w:noProof/>
          <w:lang w:val="en-US" w:bidi="he-IL"/>
        </w:rPr>
        <w:t>operational network to establish trust in one another.</w:t>
      </w:r>
    </w:p>
    <w:p w:rsidR="00913429" w:rsidRDefault="00913429">
      <w:pPr>
        <w:spacing w:after="0" w:line="240" w:lineRule="auto"/>
        <w:jc w:val="both"/>
        <w:rPr>
          <w:rFonts w:eastAsia="Calibri"/>
          <w:noProof/>
          <w:lang w:val="en-US" w:bidi="he-IL"/>
        </w:rPr>
      </w:pPr>
    </w:p>
    <w:p w:rsidR="00913429" w:rsidRDefault="00E143F0">
      <w:pPr>
        <w:spacing w:after="0" w:line="240" w:lineRule="auto"/>
        <w:jc w:val="both"/>
        <w:rPr>
          <w:rFonts w:eastAsia="Calibri"/>
          <w:noProof/>
          <w:lang w:val="en-US" w:bidi="he-IL"/>
        </w:rPr>
      </w:pPr>
      <w:r>
        <w:rPr>
          <w:rFonts w:eastAsia="Calibri"/>
          <w:noProof/>
          <w:lang w:val="en-US" w:bidi="he-IL"/>
        </w:rPr>
        <w:t>BRSKI supports the issuance of nonce-less vouchers that enable onboarding or recovery operations when the MASA service is not available. This does not impact the requirement that a MASA service be ava</w:t>
      </w:r>
      <w:r>
        <w:rPr>
          <w:rFonts w:eastAsia="Calibri"/>
          <w:noProof/>
          <w:lang w:val="en-US" w:bidi="he-IL"/>
        </w:rPr>
        <w:t xml:space="preserve">ilable when the local network administrator wishes to obtain either nonce-less or nonced onboarding vouchers. </w:t>
      </w:r>
    </w:p>
    <w:p w:rsidR="00913429" w:rsidRDefault="00913429">
      <w:pPr>
        <w:spacing w:after="0" w:line="240" w:lineRule="auto"/>
        <w:jc w:val="both"/>
        <w:rPr>
          <w:rFonts w:eastAsia="Calibri"/>
          <w:noProof/>
          <w:lang w:val="en-US" w:bidi="he-IL"/>
        </w:rPr>
      </w:pPr>
    </w:p>
    <w:p w:rsidR="00913429" w:rsidRDefault="00E143F0">
      <w:pPr>
        <w:spacing w:after="0" w:line="240" w:lineRule="auto"/>
        <w:jc w:val="both"/>
        <w:rPr>
          <w:rFonts w:eastAsia="Calibri"/>
          <w:noProof/>
          <w:lang w:val="en-US" w:bidi="he-IL"/>
        </w:rPr>
      </w:pPr>
      <w:r>
        <w:rPr>
          <w:rFonts w:eastAsia="Calibri"/>
          <w:noProof/>
          <w:lang w:val="en-US" w:bidi="he-IL"/>
        </w:rPr>
        <w:t xml:space="preserve">A third-party MAY initially offer as a trusted service a MASA Server. However, the manufacturer is under no obligation to use that site.  </w:t>
      </w:r>
    </w:p>
    <w:p w:rsidR="00913429" w:rsidRDefault="00E143F0">
      <w:pPr>
        <w:spacing w:after="0" w:line="240" w:lineRule="auto"/>
        <w:jc w:val="both"/>
        <w:rPr>
          <w:rFonts w:eastAsia="Calibri"/>
          <w:i/>
          <w:noProof/>
          <w:lang w:val="en-US" w:bidi="he-IL"/>
        </w:rPr>
      </w:pPr>
      <w:bookmarkStart w:id="189" w:name="_Toc487742956"/>
      <w:r>
        <w:rPr>
          <w:rFonts w:eastAsia="Calibri"/>
          <w:i/>
          <w:noProof/>
          <w:lang w:val="en-US" w:bidi="he-IL"/>
        </w:rPr>
        <w:t xml:space="preserve">MASA </w:t>
      </w:r>
      <w:r>
        <w:rPr>
          <w:rFonts w:eastAsia="Calibri"/>
          <w:i/>
          <w:noProof/>
          <w:lang w:val="en-US" w:bidi="he-IL"/>
        </w:rPr>
        <w:t>Server Logging (Silver)</w:t>
      </w:r>
      <w:bookmarkEnd w:id="189"/>
    </w:p>
    <w:p w:rsidR="00913429" w:rsidRDefault="00E143F0">
      <w:pPr>
        <w:spacing w:after="0" w:line="240" w:lineRule="auto"/>
        <w:jc w:val="both"/>
        <w:rPr>
          <w:rFonts w:eastAsia="Calibri"/>
          <w:noProof/>
          <w:lang w:val="en-US" w:bidi="he-IL"/>
        </w:rPr>
      </w:pPr>
      <w:r>
        <w:rPr>
          <w:rFonts w:eastAsia="Calibri"/>
          <w:noProof/>
          <w:lang w:val="en-US" w:bidi="he-IL"/>
        </w:rPr>
        <w:t>The MASA server MUST maintain logging of all transactions (success and failure) for analytical purposes, such as enabling for the legitimate transfer of ownership with minimal requirements upon the device vendors.  The log is made a</w:t>
      </w:r>
      <w:r>
        <w:rPr>
          <w:rFonts w:eastAsia="Calibri"/>
          <w:noProof/>
          <w:lang w:val="en-US" w:bidi="he-IL"/>
        </w:rPr>
        <w:t>vailable as defined in BRSKI.</w:t>
      </w:r>
    </w:p>
    <w:p w:rsidR="00913429" w:rsidRDefault="00913429">
      <w:pPr>
        <w:spacing w:after="0" w:line="240" w:lineRule="auto"/>
        <w:jc w:val="both"/>
        <w:rPr>
          <w:rFonts w:eastAsia="Calibri"/>
          <w:noProof/>
          <w:lang w:val="en-US" w:bidi="he-IL"/>
        </w:rPr>
      </w:pPr>
    </w:p>
    <w:p w:rsidR="00913429" w:rsidRDefault="00E143F0">
      <w:pPr>
        <w:spacing w:after="0" w:line="240" w:lineRule="auto"/>
        <w:jc w:val="both"/>
        <w:rPr>
          <w:rFonts w:eastAsia="Calibri"/>
          <w:i/>
          <w:noProof/>
          <w:lang w:val="en-US" w:bidi="he-IL"/>
        </w:rPr>
      </w:pPr>
      <w:bookmarkStart w:id="190" w:name="_Ref476321611"/>
      <w:bookmarkStart w:id="191" w:name="_Ref476572614"/>
      <w:bookmarkStart w:id="192" w:name="_Toc487742957"/>
      <w:r>
        <w:rPr>
          <w:rFonts w:eastAsia="Calibri"/>
          <w:i/>
          <w:noProof/>
          <w:lang w:val="en-US" w:bidi="he-IL"/>
        </w:rPr>
        <w:t>MUD Server</w:t>
      </w:r>
      <w:bookmarkEnd w:id="190"/>
      <w:r>
        <w:rPr>
          <w:rFonts w:eastAsia="Calibri"/>
          <w:i/>
          <w:noProof/>
          <w:lang w:val="en-US" w:bidi="he-IL"/>
        </w:rPr>
        <w:t xml:space="preserve"> (Bronze)</w:t>
      </w:r>
      <w:bookmarkEnd w:id="191"/>
      <w:bookmarkEnd w:id="192"/>
    </w:p>
    <w:p w:rsidR="00913429" w:rsidRDefault="00E143F0">
      <w:pPr>
        <w:spacing w:after="0" w:line="240" w:lineRule="auto"/>
        <w:jc w:val="both"/>
        <w:rPr>
          <w:rFonts w:eastAsia="Calibri"/>
          <w:noProof/>
          <w:lang w:val="en-US" w:bidi="he-IL"/>
        </w:rPr>
      </w:pPr>
      <w:r>
        <w:rPr>
          <w:rFonts w:eastAsia="Calibri"/>
          <w:noProof/>
          <w:lang w:val="en-US" w:bidi="he-IL"/>
        </w:rPr>
        <w:t>An IoT Trust Label Manufacturer MUST provide a file server that distributes Manufacturer Usage Description (MUD) files in accordance with [MUD].  This service MUST be fault tolerant and available at all ti</w:t>
      </w:r>
      <w:r>
        <w:rPr>
          <w:rFonts w:eastAsia="Calibri"/>
          <w:noProof/>
          <w:lang w:val="en-US" w:bidi="he-IL"/>
        </w:rPr>
        <w:t>mes, as it is required to establish appropriate network access controls for IoT Trust Label devices.</w:t>
      </w:r>
    </w:p>
    <w:p w:rsidR="00913429" w:rsidRDefault="00913429">
      <w:pPr>
        <w:spacing w:after="0" w:line="240" w:lineRule="auto"/>
        <w:jc w:val="both"/>
        <w:rPr>
          <w:rFonts w:eastAsia="Calibri"/>
          <w:noProof/>
          <w:lang w:val="en-US" w:bidi="he-IL"/>
        </w:rPr>
      </w:pPr>
    </w:p>
    <w:p w:rsidR="00913429" w:rsidRDefault="00E143F0">
      <w:pPr>
        <w:spacing w:after="0" w:line="240" w:lineRule="auto"/>
        <w:jc w:val="both"/>
        <w:rPr>
          <w:rFonts w:eastAsia="Calibri"/>
          <w:noProof/>
          <w:lang w:val="en-US" w:bidi="he-IL"/>
        </w:rPr>
      </w:pPr>
      <w:r>
        <w:rPr>
          <w:rFonts w:eastAsia="Calibri"/>
          <w:noProof/>
          <w:lang w:val="en-US" w:bidi="he-IL"/>
        </w:rPr>
        <w:t>A third-party MAY initially offer as a trusted service a site that an Endpoint manufacturer may use to distribute MUD files.  However, the manufacturer is</w:t>
      </w:r>
      <w:r>
        <w:rPr>
          <w:rFonts w:eastAsia="Calibri"/>
          <w:noProof/>
          <w:lang w:val="en-US" w:bidi="he-IL"/>
        </w:rPr>
        <w:t xml:space="preserve"> under no obligation to use that site.  The service provider will validate signatures of MUD files and vet them for risks prior to them being used in local deployments. </w:t>
      </w:r>
    </w:p>
    <w:p w:rsidR="00913429" w:rsidRDefault="00913429">
      <w:pPr>
        <w:spacing w:after="0" w:line="240" w:lineRule="auto"/>
        <w:jc w:val="both"/>
        <w:rPr>
          <w:rFonts w:eastAsia="Calibri"/>
          <w:noProof/>
          <w:lang w:val="en-US" w:bidi="he-IL"/>
        </w:rPr>
      </w:pPr>
    </w:p>
    <w:p w:rsidR="00913429" w:rsidRDefault="00E143F0">
      <w:pPr>
        <w:spacing w:after="0" w:line="240" w:lineRule="auto"/>
        <w:jc w:val="both"/>
        <w:rPr>
          <w:rFonts w:eastAsia="Calibri"/>
          <w:i/>
          <w:noProof/>
          <w:lang w:val="en-US" w:bidi="he-IL"/>
        </w:rPr>
      </w:pPr>
      <w:bookmarkStart w:id="193" w:name="_Toc487742958"/>
      <w:r>
        <w:rPr>
          <w:rFonts w:eastAsia="Calibri"/>
          <w:i/>
          <w:noProof/>
          <w:lang w:val="en-US" w:bidi="he-IL"/>
        </w:rPr>
        <w:t>Cloud-Based Management Functionality (Gold)</w:t>
      </w:r>
      <w:bookmarkEnd w:id="193"/>
    </w:p>
    <w:p w:rsidR="00913429" w:rsidRDefault="00E143F0">
      <w:pPr>
        <w:spacing w:after="0" w:line="240" w:lineRule="auto"/>
        <w:jc w:val="both"/>
        <w:rPr>
          <w:rFonts w:eastAsia="Calibri"/>
          <w:noProof/>
          <w:lang w:val="en-US" w:bidi="he-IL"/>
        </w:rPr>
      </w:pPr>
      <w:r>
        <w:rPr>
          <w:rFonts w:eastAsia="Calibri"/>
          <w:noProof/>
          <w:lang w:val="en-US" w:bidi="he-IL"/>
        </w:rPr>
        <w:t>IoT Trust Label Endpoints will often esta</w:t>
      </w:r>
      <w:r>
        <w:rPr>
          <w:rFonts w:eastAsia="Calibri"/>
          <w:noProof/>
          <w:lang w:val="en-US" w:bidi="he-IL"/>
        </w:rPr>
        <w:t>blish cloud-based communications in order to satisfy various operational requirements (e.g., firmware upgrade).  Such services may not be reachable by other devices in an IoT Labelled Network unless all specifically allowed by local network administrator o</w:t>
      </w:r>
      <w:r>
        <w:rPr>
          <w:rFonts w:eastAsia="Calibri"/>
          <w:noProof/>
          <w:lang w:val="en-US" w:bidi="he-IL"/>
        </w:rPr>
        <w:t xml:space="preserve">r automatically authorized based on identity and posture of the devices. Manufacturers meeting IOT Trust Label “Silver” requirements MUST clearly label and advertise, in a MUD file or other well-known place, whether Internet access is required for a given </w:t>
      </w:r>
      <w:r>
        <w:rPr>
          <w:rFonts w:eastAsia="Calibri"/>
          <w:noProof/>
          <w:lang w:val="en-US" w:bidi="he-IL"/>
        </w:rPr>
        <w:t>device.</w:t>
      </w:r>
    </w:p>
    <w:p w:rsidR="00913429" w:rsidRDefault="00913429">
      <w:pPr>
        <w:spacing w:after="0" w:line="240" w:lineRule="auto"/>
        <w:jc w:val="both"/>
        <w:rPr>
          <w:rFonts w:eastAsia="Calibri"/>
          <w:noProof/>
          <w:lang w:val="en-US" w:bidi="he-IL"/>
        </w:rPr>
      </w:pPr>
    </w:p>
    <w:p w:rsidR="00913429" w:rsidRDefault="00E143F0">
      <w:pPr>
        <w:spacing w:after="0" w:line="240" w:lineRule="auto"/>
        <w:jc w:val="both"/>
        <w:rPr>
          <w:rFonts w:eastAsia="Calibri"/>
          <w:noProof/>
          <w:lang w:val="en-US" w:bidi="he-IL"/>
        </w:rPr>
      </w:pPr>
      <w:r>
        <w:rPr>
          <w:rFonts w:eastAsia="Calibri"/>
          <w:noProof/>
          <w:lang w:val="en-US" w:bidi="he-IL"/>
        </w:rPr>
        <w:t>All communications to the cloud service MUST make use of TLS 1.2 or higher with the TLS_ECDHE_ECDSA_WITH_AES_128_CCM_8 cryptographic suite.</w:t>
      </w:r>
    </w:p>
    <w:p w:rsidR="00913429" w:rsidRDefault="00913429">
      <w:pPr>
        <w:spacing w:after="0" w:line="240" w:lineRule="auto"/>
        <w:jc w:val="both"/>
        <w:rPr>
          <w:rFonts w:eastAsia="Calibri"/>
          <w:noProof/>
          <w:lang w:val="en-US" w:bidi="he-IL"/>
        </w:rPr>
      </w:pPr>
    </w:p>
    <w:p w:rsidR="00913429" w:rsidRDefault="00E143F0">
      <w:pPr>
        <w:spacing w:after="0" w:line="240" w:lineRule="auto"/>
        <w:jc w:val="both"/>
        <w:rPr>
          <w:rFonts w:eastAsia="Calibri"/>
          <w:noProof/>
          <w:lang w:val="en-US" w:bidi="he-IL"/>
        </w:rPr>
      </w:pPr>
      <w:r>
        <w:rPr>
          <w:rFonts w:eastAsia="Calibri"/>
          <w:noProof/>
          <w:lang w:val="en-US" w:bidi="he-IL"/>
        </w:rPr>
        <w:t xml:space="preserve">Furthermore, any information provided to the manufacturer (logging or customer related) must be explained </w:t>
      </w:r>
      <w:r>
        <w:rPr>
          <w:rFonts w:eastAsia="Calibri"/>
          <w:noProof/>
          <w:lang w:val="en-US" w:bidi="he-IL"/>
        </w:rPr>
        <w:t>clearly to customers prior to collections and transport.  See Privacy requirement about Limited Collection of Data in 0.</w:t>
      </w:r>
    </w:p>
    <w:p w:rsidR="00913429" w:rsidRDefault="00913429">
      <w:pPr>
        <w:spacing w:after="0" w:line="240" w:lineRule="auto"/>
        <w:jc w:val="both"/>
        <w:rPr>
          <w:rFonts w:eastAsia="Calibri"/>
          <w:noProof/>
          <w:lang w:val="en-US" w:bidi="he-IL"/>
        </w:rPr>
      </w:pPr>
    </w:p>
    <w:p w:rsidR="00913429" w:rsidRDefault="00E143F0">
      <w:pPr>
        <w:spacing w:after="0" w:line="240" w:lineRule="auto"/>
        <w:jc w:val="both"/>
        <w:rPr>
          <w:rFonts w:eastAsia="Calibri"/>
          <w:i/>
          <w:noProof/>
          <w:lang w:val="en-US" w:bidi="he-IL"/>
        </w:rPr>
      </w:pPr>
      <w:bookmarkStart w:id="194" w:name="_Toc487742959"/>
      <w:r>
        <w:rPr>
          <w:rFonts w:eastAsia="Calibri"/>
          <w:i/>
          <w:noProof/>
          <w:lang w:val="en-US" w:bidi="he-IL"/>
        </w:rPr>
        <w:t>Identification by Heuristics (Bronze)</w:t>
      </w:r>
      <w:bookmarkEnd w:id="194"/>
    </w:p>
    <w:p w:rsidR="00913429" w:rsidRDefault="00E143F0">
      <w:pPr>
        <w:spacing w:after="0" w:line="240" w:lineRule="auto"/>
        <w:jc w:val="both"/>
        <w:rPr>
          <w:rFonts w:eastAsia="Calibri"/>
          <w:noProof/>
          <w:lang w:val="en-US" w:bidi="he-IL"/>
        </w:rPr>
      </w:pPr>
      <w:r>
        <w:rPr>
          <w:rFonts w:eastAsia="Calibri"/>
          <w:noProof/>
          <w:lang w:val="en-US" w:bidi="he-IL"/>
        </w:rPr>
        <w:t xml:space="preserve">Manufacturers MUST provide a description of device behavior that may be used by the network to </w:t>
      </w:r>
      <w:r>
        <w:rPr>
          <w:rFonts w:eastAsia="Calibri"/>
          <w:noProof/>
          <w:lang w:val="en-US" w:bidi="he-IL"/>
        </w:rPr>
        <w:t>infer identities and apply policies.  This includes MAC address ranges used, services, and any cloud-based addresses.  Note: devices that provide certificates as described in Section 3.1 are exempt from this requirement.</w:t>
      </w:r>
    </w:p>
    <w:p w:rsidR="00913429" w:rsidRDefault="00913429">
      <w:pPr>
        <w:spacing w:after="0" w:line="240" w:lineRule="auto"/>
        <w:jc w:val="both"/>
        <w:rPr>
          <w:rFonts w:eastAsia="Calibri"/>
          <w:noProof/>
          <w:lang w:val="en-US" w:bidi="he-IL"/>
        </w:rPr>
      </w:pPr>
    </w:p>
    <w:p w:rsidR="00913429" w:rsidRDefault="00E143F0">
      <w:pPr>
        <w:spacing w:after="0" w:line="240" w:lineRule="auto"/>
        <w:jc w:val="both"/>
        <w:rPr>
          <w:rFonts w:eastAsia="Calibri"/>
          <w:i/>
          <w:noProof/>
          <w:lang w:val="en-US" w:bidi="he-IL"/>
        </w:rPr>
      </w:pPr>
      <w:bookmarkStart w:id="195" w:name="_Toc487742960"/>
      <w:r>
        <w:rPr>
          <w:rFonts w:eastAsia="Calibri"/>
          <w:i/>
          <w:noProof/>
          <w:lang w:val="en-US" w:bidi="he-IL"/>
        </w:rPr>
        <w:t>Process Requirements</w:t>
      </w:r>
      <w:bookmarkEnd w:id="195"/>
    </w:p>
    <w:p w:rsidR="00913429" w:rsidRDefault="00E143F0">
      <w:pPr>
        <w:spacing w:after="0" w:line="240" w:lineRule="auto"/>
        <w:jc w:val="both"/>
        <w:rPr>
          <w:rFonts w:eastAsia="Calibri"/>
          <w:noProof/>
          <w:lang w:val="en-US" w:bidi="he-IL"/>
        </w:rPr>
      </w:pPr>
      <w:bookmarkStart w:id="196" w:name="_Toc487742961"/>
      <w:r>
        <w:rPr>
          <w:rFonts w:eastAsia="Calibri"/>
          <w:noProof/>
          <w:lang w:val="en-US" w:bidi="he-IL"/>
        </w:rPr>
        <w:t>Product Vulne</w:t>
      </w:r>
      <w:r>
        <w:rPr>
          <w:rFonts w:eastAsia="Calibri"/>
          <w:noProof/>
          <w:lang w:val="en-US" w:bidi="he-IL"/>
        </w:rPr>
        <w:t>rabilities, Incident Reporting and Remediation (Silver)</w:t>
      </w:r>
      <w:bookmarkEnd w:id="196"/>
    </w:p>
    <w:p w:rsidR="00913429" w:rsidRDefault="00E143F0">
      <w:pPr>
        <w:spacing w:after="0" w:line="240" w:lineRule="auto"/>
        <w:jc w:val="both"/>
        <w:rPr>
          <w:rFonts w:eastAsia="Calibri"/>
          <w:noProof/>
          <w:lang w:val="en-US" w:bidi="he-IL"/>
        </w:rPr>
      </w:pPr>
      <w:r>
        <w:rPr>
          <w:rFonts w:eastAsia="Calibri"/>
          <w:noProof/>
          <w:lang w:val="en-US" w:bidi="he-IL"/>
        </w:rPr>
        <w:t>Product vulnerabilities will arise from time to time, either through some flaw in coding practices or through a vulnerable third party library or entity. Endpoint manufacturers MUST have an active pro</w:t>
      </w:r>
      <w:r>
        <w:rPr>
          <w:rFonts w:eastAsia="Calibri"/>
          <w:noProof/>
          <w:lang w:val="en-US" w:bidi="he-IL"/>
        </w:rPr>
        <w:t>duct incident response team (PSIRT), with documented processes and service level agreements that customers and others can easily locate and call to report product vulnerabilities.</w:t>
      </w:r>
    </w:p>
    <w:p w:rsidR="00913429" w:rsidRDefault="00913429">
      <w:pPr>
        <w:spacing w:after="0" w:line="240" w:lineRule="auto"/>
        <w:jc w:val="both"/>
        <w:rPr>
          <w:rFonts w:eastAsia="Calibri"/>
          <w:noProof/>
          <w:lang w:val="en-US" w:bidi="he-IL"/>
        </w:rPr>
      </w:pPr>
    </w:p>
    <w:p w:rsidR="00913429" w:rsidRDefault="00E143F0">
      <w:pPr>
        <w:spacing w:after="0" w:line="240" w:lineRule="auto"/>
        <w:jc w:val="both"/>
        <w:rPr>
          <w:rFonts w:eastAsia="Calibri"/>
          <w:noProof/>
          <w:lang w:val="en-US" w:bidi="he-IL"/>
        </w:rPr>
      </w:pPr>
      <w:r>
        <w:rPr>
          <w:rFonts w:eastAsia="Calibri"/>
          <w:noProof/>
          <w:lang w:val="en-US" w:bidi="he-IL"/>
        </w:rPr>
        <w:t>The European Union Agency for Network and Information Security has publishe</w:t>
      </w:r>
      <w:r>
        <w:rPr>
          <w:rFonts w:eastAsia="Calibri"/>
          <w:noProof/>
          <w:lang w:val="en-US" w:bidi="he-IL"/>
        </w:rPr>
        <w:t xml:space="preserve">d a </w:t>
      </w:r>
      <w:hyperlink r:id="rId65" w:history="1">
        <w:r>
          <w:rPr>
            <w:rFonts w:eastAsia="Calibri"/>
            <w:noProof/>
            <w:lang w:bidi="he-IL"/>
          </w:rPr>
          <w:t>Good Practice Guide on Vulnerability Disclosure.</w:t>
        </w:r>
      </w:hyperlink>
      <w:r>
        <w:rPr>
          <w:rFonts w:eastAsia="Calibri"/>
          <w:noProof/>
          <w:lang w:val="en-US" w:bidi="he-IL"/>
        </w:rPr>
        <w:t xml:space="preserve"> </w:t>
      </w:r>
    </w:p>
    <w:p w:rsidR="00913429" w:rsidRDefault="00913429">
      <w:pPr>
        <w:spacing w:after="0" w:line="240" w:lineRule="auto"/>
        <w:jc w:val="both"/>
        <w:rPr>
          <w:rFonts w:eastAsia="Calibri"/>
          <w:noProof/>
          <w:lang w:val="en-US" w:bidi="he-IL"/>
        </w:rPr>
      </w:pPr>
    </w:p>
    <w:p w:rsidR="00913429" w:rsidRDefault="00E143F0">
      <w:pPr>
        <w:spacing w:after="0" w:line="240" w:lineRule="auto"/>
        <w:jc w:val="both"/>
        <w:rPr>
          <w:rFonts w:eastAsia="Calibri"/>
          <w:i/>
          <w:noProof/>
          <w:lang w:val="en-US" w:bidi="he-IL"/>
        </w:rPr>
      </w:pPr>
      <w:bookmarkStart w:id="197" w:name="_Toc487742962"/>
      <w:r>
        <w:rPr>
          <w:rFonts w:eastAsia="Calibri"/>
          <w:i/>
          <w:noProof/>
          <w:lang w:val="en-US" w:bidi="he-IL"/>
        </w:rPr>
        <w:t>Secure Development Lifecycle (Gold)</w:t>
      </w:r>
      <w:bookmarkEnd w:id="197"/>
    </w:p>
    <w:p w:rsidR="00913429" w:rsidRDefault="00E143F0">
      <w:pPr>
        <w:spacing w:after="0" w:line="240" w:lineRule="auto"/>
        <w:jc w:val="both"/>
        <w:rPr>
          <w:rFonts w:eastAsia="Calibri"/>
          <w:noProof/>
          <w:lang w:val="en-US" w:bidi="he-IL"/>
        </w:rPr>
      </w:pPr>
      <w:r>
        <w:rPr>
          <w:rFonts w:eastAsia="Calibri"/>
          <w:noProof/>
          <w:lang w:val="en-US" w:bidi="he-IL"/>
        </w:rPr>
        <w:t>IoT Trust Label Endpoints are intended to be “trusted” by our customers and our par</w:t>
      </w:r>
      <w:r>
        <w:rPr>
          <w:rFonts w:eastAsia="Calibri"/>
          <w:noProof/>
          <w:lang w:val="en-US" w:bidi="he-IL"/>
        </w:rPr>
        <w:t>tners.  This includes the confidence and assurance that secure (and good) development lifecycle practices are followed in the development and maintenance of the product.  IoT Ready vendors MUST have SDLC Process in place that includes the following element</w:t>
      </w:r>
      <w:r>
        <w:rPr>
          <w:rFonts w:eastAsia="Calibri"/>
          <w:noProof/>
          <w:lang w:val="en-US" w:bidi="he-IL"/>
        </w:rPr>
        <w:t>s at a minimum:</w:t>
      </w:r>
    </w:p>
    <w:p w:rsidR="00913429" w:rsidRDefault="00E143F0">
      <w:pPr>
        <w:numPr>
          <w:ilvl w:val="0"/>
          <w:numId w:val="156"/>
        </w:numPr>
        <w:spacing w:after="0" w:line="240" w:lineRule="auto"/>
        <w:jc w:val="both"/>
        <w:rPr>
          <w:rFonts w:eastAsia="Calibri"/>
          <w:noProof/>
          <w:lang w:val="en-US" w:bidi="he-IL"/>
        </w:rPr>
      </w:pPr>
      <w:r>
        <w:rPr>
          <w:rFonts w:eastAsia="Calibri"/>
          <w:noProof/>
          <w:lang w:val="en-US" w:bidi="he-IL"/>
        </w:rPr>
        <w:t>Training for software developers which includes secure coding techniques and requirements standard C libraries.</w:t>
      </w:r>
    </w:p>
    <w:p w:rsidR="00913429" w:rsidRDefault="00E143F0">
      <w:pPr>
        <w:numPr>
          <w:ilvl w:val="0"/>
          <w:numId w:val="156"/>
        </w:numPr>
        <w:spacing w:after="0" w:line="240" w:lineRule="auto"/>
        <w:jc w:val="both"/>
        <w:rPr>
          <w:rFonts w:eastAsia="Calibri"/>
          <w:noProof/>
          <w:lang w:val="en-US" w:bidi="he-IL"/>
        </w:rPr>
      </w:pPr>
      <w:r>
        <w:rPr>
          <w:rFonts w:eastAsia="Calibri"/>
          <w:noProof/>
          <w:lang w:val="en-US" w:bidi="he-IL"/>
        </w:rPr>
        <w:t>Threat modeling that includes a summary report of findings and a diagram.</w:t>
      </w:r>
    </w:p>
    <w:p w:rsidR="00913429" w:rsidRDefault="00E143F0">
      <w:pPr>
        <w:numPr>
          <w:ilvl w:val="0"/>
          <w:numId w:val="156"/>
        </w:numPr>
        <w:spacing w:after="0" w:line="240" w:lineRule="auto"/>
        <w:jc w:val="both"/>
        <w:rPr>
          <w:rFonts w:eastAsia="Calibri"/>
          <w:noProof/>
          <w:lang w:val="en-US" w:bidi="he-IL"/>
        </w:rPr>
      </w:pPr>
      <w:r>
        <w:rPr>
          <w:rFonts w:eastAsia="Calibri"/>
          <w:noProof/>
          <w:lang w:val="en-US" w:bidi="he-IL"/>
        </w:rPr>
        <w:t xml:space="preserve">Software security testing thru either dynamic or static analysis tools and a report that demonstrates testing was completed and output of testing. </w:t>
      </w:r>
    </w:p>
    <w:p w:rsidR="00913429" w:rsidRDefault="00E143F0">
      <w:pPr>
        <w:spacing w:after="0" w:line="240" w:lineRule="auto"/>
        <w:jc w:val="both"/>
        <w:rPr>
          <w:rFonts w:eastAsia="Calibri"/>
          <w:noProof/>
          <w:lang w:val="en-US" w:bidi="he-IL"/>
        </w:rPr>
      </w:pPr>
      <w:r>
        <w:rPr>
          <w:rFonts w:eastAsia="Calibri"/>
          <w:noProof/>
          <w:lang w:val="en-US" w:bidi="he-IL"/>
        </w:rPr>
        <w:t xml:space="preserve">A way to document and track third party and open source components used in product. </w:t>
      </w:r>
    </w:p>
    <w:p w:rsidR="00913429" w:rsidRDefault="00913429">
      <w:pPr>
        <w:spacing w:after="0" w:line="240" w:lineRule="auto"/>
        <w:jc w:val="both"/>
        <w:rPr>
          <w:rFonts w:eastAsia="Calibri"/>
          <w:noProof/>
          <w:lang w:val="en-US" w:bidi="he-IL"/>
        </w:rPr>
      </w:pPr>
    </w:p>
    <w:p w:rsidR="00913429" w:rsidRDefault="00E143F0">
      <w:pPr>
        <w:spacing w:after="0" w:line="240" w:lineRule="auto"/>
        <w:jc w:val="both"/>
        <w:rPr>
          <w:rFonts w:eastAsia="Calibri"/>
          <w:noProof/>
          <w:lang w:val="en-US" w:bidi="he-IL"/>
        </w:rPr>
      </w:pPr>
      <w:r>
        <w:rPr>
          <w:rFonts w:eastAsia="Calibri"/>
          <w:noProof/>
          <w:lang w:val="en-US" w:bidi="he-IL"/>
        </w:rPr>
        <w:t>A summary of the vendo</w:t>
      </w:r>
      <w:r>
        <w:rPr>
          <w:rFonts w:eastAsia="Calibri"/>
          <w:noProof/>
          <w:lang w:val="en-US" w:bidi="he-IL"/>
        </w:rPr>
        <w:t xml:space="preserve">r’s specific SDLC process MUST be available on their public facing webserver. </w:t>
      </w:r>
    </w:p>
    <w:p w:rsidR="00913429" w:rsidRDefault="00913429">
      <w:pPr>
        <w:spacing w:after="0" w:line="240" w:lineRule="auto"/>
        <w:jc w:val="both"/>
        <w:rPr>
          <w:rFonts w:eastAsia="Calibri"/>
          <w:noProof/>
          <w:lang w:val="en-US" w:bidi="he-IL"/>
        </w:rPr>
      </w:pPr>
    </w:p>
    <w:p w:rsidR="00913429" w:rsidRDefault="00E143F0">
      <w:pPr>
        <w:spacing w:after="0" w:line="240" w:lineRule="auto"/>
        <w:jc w:val="both"/>
        <w:rPr>
          <w:rFonts w:eastAsia="Calibri"/>
          <w:noProof/>
          <w:lang w:val="en-US" w:bidi="he-IL"/>
        </w:rPr>
      </w:pPr>
      <w:r>
        <w:rPr>
          <w:rFonts w:eastAsia="Calibri"/>
          <w:noProof/>
          <w:lang w:val="en-US" w:bidi="he-IL"/>
        </w:rPr>
        <w:t>While this requirement is listed as Gold, it is highly recommended for all IoT Label certification levels.</w:t>
      </w:r>
    </w:p>
    <w:p w:rsidR="00913429" w:rsidRDefault="00913429">
      <w:pPr>
        <w:spacing w:after="0" w:line="240" w:lineRule="auto"/>
        <w:jc w:val="both"/>
        <w:rPr>
          <w:rFonts w:eastAsia="Calibri"/>
          <w:noProof/>
          <w:lang w:val="en-US" w:bidi="he-IL"/>
        </w:rPr>
      </w:pPr>
    </w:p>
    <w:p w:rsidR="00913429" w:rsidRDefault="00E143F0">
      <w:pPr>
        <w:spacing w:after="0" w:line="240" w:lineRule="auto"/>
        <w:jc w:val="both"/>
        <w:rPr>
          <w:rFonts w:eastAsia="Calibri"/>
          <w:noProof/>
          <w:lang w:val="en-US" w:bidi="he-IL"/>
        </w:rPr>
      </w:pPr>
      <w:r>
        <w:rPr>
          <w:rFonts w:eastAsia="Calibri"/>
          <w:noProof/>
          <w:lang w:val="en-US" w:bidi="he-IL"/>
        </w:rPr>
        <w:t xml:space="preserve">Normative Reference: </w:t>
      </w:r>
      <w:hyperlink r:id="rId66" w:history="1">
        <w:r>
          <w:rPr>
            <w:rFonts w:eastAsia="Calibri"/>
            <w:noProof/>
            <w:lang w:bidi="he-IL"/>
          </w:rPr>
          <w:t>NIST Security Considerations in the System Development Lifecycle</w:t>
        </w:r>
      </w:hyperlink>
    </w:p>
    <w:p w:rsidR="00913429" w:rsidRDefault="00913429">
      <w:pPr>
        <w:spacing w:after="0" w:line="240" w:lineRule="auto"/>
        <w:jc w:val="both"/>
        <w:rPr>
          <w:rFonts w:eastAsia="Calibri"/>
          <w:noProof/>
          <w:lang w:val="en-US" w:bidi="he-IL"/>
        </w:rPr>
      </w:pPr>
    </w:p>
    <w:p w:rsidR="00913429" w:rsidRDefault="00E143F0">
      <w:pPr>
        <w:spacing w:after="0" w:line="240" w:lineRule="auto"/>
        <w:jc w:val="both"/>
        <w:rPr>
          <w:rFonts w:eastAsia="Calibri"/>
          <w:i/>
          <w:noProof/>
          <w:lang w:val="en-US" w:bidi="he-IL"/>
        </w:rPr>
      </w:pPr>
      <w:bookmarkStart w:id="198" w:name="_Toc487742963"/>
      <w:r>
        <w:rPr>
          <w:rFonts w:eastAsia="Calibri"/>
          <w:i/>
          <w:noProof/>
          <w:lang w:val="en-US" w:bidi="he-IL"/>
        </w:rPr>
        <w:t>Data Privacy – Right to Erasure (Bronze)</w:t>
      </w:r>
      <w:bookmarkEnd w:id="198"/>
    </w:p>
    <w:p w:rsidR="00913429" w:rsidRDefault="00E143F0">
      <w:pPr>
        <w:spacing w:after="0" w:line="240" w:lineRule="auto"/>
        <w:jc w:val="both"/>
        <w:rPr>
          <w:rFonts w:eastAsia="Calibri"/>
          <w:noProof/>
          <w:lang w:val="en-US" w:bidi="he-IL"/>
        </w:rPr>
      </w:pPr>
      <w:r>
        <w:rPr>
          <w:rFonts w:eastAsia="Calibri"/>
          <w:noProof/>
          <w:lang w:val="en-US" w:bidi="he-IL"/>
        </w:rPr>
        <w:t xml:space="preserve">The manufacturer MUST support the capability for the erasure of end user data at either a point in time when the data no longer provides </w:t>
      </w:r>
      <w:r>
        <w:rPr>
          <w:rFonts w:eastAsia="Calibri"/>
          <w:noProof/>
          <w:lang w:val="en-US" w:bidi="he-IL"/>
        </w:rPr>
        <w:t xml:space="preserve">value for the purpose for which it was collected or the end user withdraws consent for the processing of the data.  </w:t>
      </w:r>
    </w:p>
    <w:p w:rsidR="00913429" w:rsidRDefault="00913429">
      <w:pPr>
        <w:spacing w:after="0" w:line="240" w:lineRule="auto"/>
        <w:jc w:val="both"/>
        <w:rPr>
          <w:rFonts w:eastAsia="Calibri"/>
          <w:noProof/>
          <w:lang w:val="en-US" w:bidi="he-IL"/>
        </w:rPr>
      </w:pPr>
    </w:p>
    <w:p w:rsidR="00913429" w:rsidRDefault="00E143F0">
      <w:pPr>
        <w:spacing w:after="0" w:line="240" w:lineRule="auto"/>
        <w:jc w:val="both"/>
        <w:rPr>
          <w:rFonts w:eastAsia="Calibri"/>
          <w:noProof/>
          <w:lang w:val="en-US" w:bidi="he-IL"/>
        </w:rPr>
      </w:pPr>
      <w:r>
        <w:rPr>
          <w:rFonts w:eastAsia="Calibri"/>
          <w:noProof/>
          <w:lang w:val="en-US" w:bidi="he-IL"/>
        </w:rPr>
        <w:t>A set of normative references for this requirement are GDPR and Article 17 – Erasure.</w:t>
      </w:r>
    </w:p>
    <w:p w:rsidR="00913429" w:rsidRDefault="00913429">
      <w:pPr>
        <w:spacing w:after="0" w:line="240" w:lineRule="auto"/>
        <w:jc w:val="both"/>
        <w:rPr>
          <w:rFonts w:eastAsia="Calibri"/>
          <w:i/>
          <w:noProof/>
          <w:lang w:val="en-US" w:bidi="he-IL"/>
        </w:rPr>
      </w:pPr>
    </w:p>
    <w:p w:rsidR="00913429" w:rsidRDefault="00E143F0">
      <w:pPr>
        <w:spacing w:after="0" w:line="240" w:lineRule="auto"/>
        <w:jc w:val="both"/>
        <w:rPr>
          <w:rFonts w:eastAsia="Calibri"/>
          <w:i/>
          <w:noProof/>
          <w:lang w:val="en-US" w:bidi="he-IL"/>
        </w:rPr>
      </w:pPr>
      <w:bookmarkStart w:id="199" w:name="_Toc487742964"/>
      <w:r>
        <w:rPr>
          <w:rFonts w:eastAsia="Calibri"/>
          <w:i/>
          <w:noProof/>
          <w:lang w:val="en-US" w:bidi="he-IL"/>
        </w:rPr>
        <w:t>Data Privacy – Pseudonymization (Gold)</w:t>
      </w:r>
      <w:bookmarkEnd w:id="199"/>
    </w:p>
    <w:p w:rsidR="00913429" w:rsidRDefault="00E143F0">
      <w:pPr>
        <w:spacing w:after="0" w:line="240" w:lineRule="auto"/>
        <w:jc w:val="both"/>
        <w:rPr>
          <w:rFonts w:eastAsia="Calibri"/>
          <w:noProof/>
          <w:lang w:val="en-US" w:bidi="he-IL"/>
        </w:rPr>
      </w:pPr>
      <w:r>
        <w:rPr>
          <w:rFonts w:eastAsia="Calibri"/>
          <w:noProof/>
          <w:lang w:val="en-US" w:bidi="he-IL"/>
        </w:rPr>
        <w:t xml:space="preserve">The </w:t>
      </w:r>
      <w:r>
        <w:rPr>
          <w:rFonts w:eastAsia="Calibri"/>
          <w:noProof/>
          <w:lang w:val="en-US" w:bidi="he-IL"/>
        </w:rPr>
        <w:t>manufacturer MUST support the use of pseudonymization as a process for protecting end user data in such a way that the data can no longer be attributed to a specific data subject without the use of additional information.</w:t>
      </w:r>
    </w:p>
    <w:p w:rsidR="00913429" w:rsidRDefault="00913429">
      <w:pPr>
        <w:spacing w:after="0" w:line="240" w:lineRule="auto"/>
        <w:jc w:val="both"/>
        <w:rPr>
          <w:rFonts w:eastAsia="Calibri"/>
          <w:noProof/>
          <w:lang w:val="en-US" w:bidi="he-IL"/>
        </w:rPr>
      </w:pPr>
    </w:p>
    <w:p w:rsidR="00913429" w:rsidRDefault="00E143F0">
      <w:pPr>
        <w:spacing w:after="0" w:line="240" w:lineRule="auto"/>
        <w:jc w:val="both"/>
        <w:rPr>
          <w:rFonts w:eastAsia="Calibri"/>
          <w:noProof/>
          <w:lang w:val="en-US" w:bidi="he-IL"/>
        </w:rPr>
      </w:pPr>
      <w:r>
        <w:rPr>
          <w:rFonts w:eastAsia="Calibri"/>
          <w:noProof/>
          <w:lang w:val="en-US" w:bidi="he-IL"/>
        </w:rPr>
        <w:t>A set of normative references for</w:t>
      </w:r>
      <w:r>
        <w:rPr>
          <w:rFonts w:eastAsia="Calibri"/>
          <w:noProof/>
          <w:lang w:val="en-US" w:bidi="he-IL"/>
        </w:rPr>
        <w:t xml:space="preserve"> this requirement are GDPR and Article 6 – Lawfulness of Processing.</w:t>
      </w:r>
    </w:p>
    <w:p w:rsidR="00913429" w:rsidRDefault="00E143F0">
      <w:pPr>
        <w:spacing w:after="0" w:line="240" w:lineRule="auto"/>
        <w:jc w:val="both"/>
        <w:rPr>
          <w:noProof/>
        </w:rPr>
      </w:pPr>
      <w:r>
        <w:rPr>
          <w:noProof/>
        </w:rPr>
        <w:br w:type="page"/>
      </w:r>
    </w:p>
    <w:p w:rsidR="00913429" w:rsidRDefault="00913429">
      <w:pPr>
        <w:spacing w:after="0" w:line="240" w:lineRule="auto"/>
        <w:rPr>
          <w:noProof/>
        </w:rPr>
      </w:pPr>
    </w:p>
    <w:p w:rsidR="00913429" w:rsidRDefault="00E143F0">
      <w:pPr>
        <w:pStyle w:val="ListParagraph"/>
        <w:keepNext/>
        <w:keepLines/>
        <w:numPr>
          <w:ilvl w:val="1"/>
          <w:numId w:val="93"/>
        </w:numPr>
        <w:tabs>
          <w:tab w:val="left" w:pos="993"/>
        </w:tabs>
        <w:spacing w:after="120"/>
        <w:ind w:right="-23"/>
        <w:outlineLvl w:val="1"/>
        <w:rPr>
          <w:noProof/>
          <w:color w:val="DC6900"/>
          <w:sz w:val="32"/>
          <w:szCs w:val="26"/>
          <w:lang w:val="en-GB"/>
        </w:rPr>
      </w:pPr>
      <w:bookmarkStart w:id="200" w:name="_Toc492396568"/>
      <w:r>
        <w:rPr>
          <w:noProof/>
          <w:color w:val="DC6900"/>
          <w:sz w:val="32"/>
          <w:szCs w:val="26"/>
          <w:lang w:val="en-GB"/>
        </w:rPr>
        <w:t>German Ministry of Interior – Study on “Introduction of a label of quality for IT security features of Internet-enabled products”</w:t>
      </w:r>
      <w:bookmarkEnd w:id="200"/>
    </w:p>
    <w:p w:rsidR="00913429" w:rsidRDefault="00E143F0">
      <w:pPr>
        <w:jc w:val="both"/>
        <w:rPr>
          <w:noProof/>
        </w:rPr>
      </w:pPr>
      <w:r>
        <w:rPr>
          <w:noProof/>
        </w:rPr>
        <w:t>Right after the cyber-attacks of on hundreds of thousa</w:t>
      </w:r>
      <w:r>
        <w:rPr>
          <w:noProof/>
        </w:rPr>
        <w:t>nds Router of a German telecommunication group and the "Mirai"-Botnet Attack, IT security has become more and more important for the citizens. In order to face these threats, the Cyber security strategy of the Federal Government included the introduction o</w:t>
      </w:r>
      <w:r>
        <w:rPr>
          <w:noProof/>
        </w:rPr>
        <w:t>f a quality label for IT Security in 2016. To do so, the Federal Ministry of the Interior asked PwC Strategy&amp; to do a research on this topic. In their study, PwC Strategy&amp; organized a representative survey specifically designed for consumer side and set di</w:t>
      </w:r>
      <w:r>
        <w:rPr>
          <w:noProof/>
        </w:rPr>
        <w:t xml:space="preserve">rect interviews with IT manufacturers, in order to understand their interest and potential necessity for an IT Security Certification. </w:t>
      </w:r>
    </w:p>
    <w:p w:rsidR="00913429" w:rsidRDefault="00E143F0">
      <w:pPr>
        <w:jc w:val="both"/>
        <w:rPr>
          <w:noProof/>
        </w:rPr>
      </w:pPr>
      <w:r>
        <w:rPr>
          <w:noProof/>
        </w:rPr>
        <w:t>The necessity of this Certification also comes from the fact that the EU suggested the Member States to increase Cyber S</w:t>
      </w:r>
      <w:r>
        <w:rPr>
          <w:noProof/>
        </w:rPr>
        <w:t>ecurity levels and at the moment the only label initiatives at European level are still at a launch stage (see Trusted Cloud label “and “label ESCloud). Therefore, the IT Security label could function as a pioneer for a European solution.</w:t>
      </w:r>
    </w:p>
    <w:p w:rsidR="00913429" w:rsidRDefault="00E143F0">
      <w:pPr>
        <w:rPr>
          <w:noProof/>
        </w:rPr>
      </w:pPr>
      <w:r>
        <w:rPr>
          <w:noProof/>
          <w:lang w:eastAsia="en-GB"/>
        </w:rPr>
        <w:drawing>
          <wp:inline distT="0" distB="0" distL="0" distR="0" wp14:anchorId="0C19C2F6" wp14:editId="53590333">
            <wp:extent cx="5939790" cy="3282950"/>
            <wp:effectExtent l="0" t="0" r="3810" b="0"/>
            <wp:docPr id="244" name="Picture 244" descr="C:\Users\SSANGIOVAN00\AppData\Local\Microsoft\Windows\INetCache\Content.Word\Cap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SANGIOVAN00\AppData\Local\Microsoft\Windows\INetCache\Content.Word\Capture2.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39790" cy="3282950"/>
                    </a:xfrm>
                    <a:prstGeom prst="rect">
                      <a:avLst/>
                    </a:prstGeom>
                    <a:noFill/>
                    <a:ln>
                      <a:noFill/>
                    </a:ln>
                  </pic:spPr>
                </pic:pic>
              </a:graphicData>
            </a:graphic>
          </wp:inline>
        </w:drawing>
      </w:r>
    </w:p>
    <w:p w:rsidR="00913429" w:rsidRDefault="00E143F0">
      <w:pPr>
        <w:pStyle w:val="Heading4"/>
        <w:rPr>
          <w:noProof/>
        </w:rPr>
      </w:pPr>
      <w:r>
        <w:rPr>
          <w:noProof/>
        </w:rPr>
        <w:t>Customer’s Surv</w:t>
      </w:r>
      <w:r>
        <w:rPr>
          <w:noProof/>
        </w:rPr>
        <w:t xml:space="preserve">ey </w:t>
      </w:r>
    </w:p>
    <w:p w:rsidR="00913429" w:rsidRDefault="00E143F0">
      <w:pPr>
        <w:rPr>
          <w:noProof/>
        </w:rPr>
      </w:pPr>
      <w:r>
        <w:rPr>
          <w:noProof/>
        </w:rPr>
        <w:t xml:space="preserve">PwC Strategy&amp; collected information from the consumer’s side through a survey to which 1.022 interviewees answered in the period from the 2nd to the 8th February, 2017. Their age ranged from the age of 18 to 69 years old. </w:t>
      </w:r>
    </w:p>
    <w:p w:rsidR="00913429" w:rsidRDefault="00E143F0">
      <w:pPr>
        <w:rPr>
          <w:noProof/>
        </w:rPr>
      </w:pPr>
      <w:r>
        <w:rPr>
          <w:noProof/>
        </w:rPr>
        <w:t>Through the survey PwC Strate</w:t>
      </w:r>
      <w:r>
        <w:rPr>
          <w:noProof/>
        </w:rPr>
        <w:t>gy&amp; discovered that:</w:t>
      </w:r>
    </w:p>
    <w:p w:rsidR="00913429" w:rsidRDefault="00E143F0">
      <w:pPr>
        <w:pStyle w:val="ListParagraph"/>
        <w:numPr>
          <w:ilvl w:val="0"/>
          <w:numId w:val="181"/>
        </w:numPr>
        <w:spacing w:before="0" w:after="160" w:line="259" w:lineRule="auto"/>
        <w:rPr>
          <w:noProof/>
          <w:lang w:val="en-GB"/>
        </w:rPr>
      </w:pPr>
      <w:r>
        <w:rPr>
          <w:noProof/>
          <w:lang w:val="en-GB"/>
        </w:rPr>
        <w:t>On security information: 90% of the interviewees would like to receive more information about the security of their IT devices</w:t>
      </w:r>
    </w:p>
    <w:p w:rsidR="00913429" w:rsidRDefault="00E143F0">
      <w:pPr>
        <w:pStyle w:val="ListParagraph"/>
        <w:numPr>
          <w:ilvl w:val="0"/>
          <w:numId w:val="181"/>
        </w:numPr>
        <w:spacing w:before="0" w:after="160" w:line="259" w:lineRule="auto"/>
        <w:rPr>
          <w:noProof/>
        </w:rPr>
      </w:pPr>
      <w:r>
        <w:rPr>
          <w:noProof/>
        </w:rPr>
        <w:t xml:space="preserve">On the buying decision: </w:t>
      </w:r>
    </w:p>
    <w:p w:rsidR="00913429" w:rsidRDefault="00E143F0">
      <w:pPr>
        <w:pStyle w:val="ListParagraph"/>
        <w:numPr>
          <w:ilvl w:val="0"/>
          <w:numId w:val="185"/>
        </w:numPr>
        <w:spacing w:before="0" w:after="160" w:line="259" w:lineRule="auto"/>
        <w:rPr>
          <w:noProof/>
          <w:lang w:val="en-GB"/>
        </w:rPr>
      </w:pPr>
      <w:r>
        <w:rPr>
          <w:noProof/>
          <w:lang w:val="en-GB"/>
        </w:rPr>
        <w:t xml:space="preserve">91% of the interviewees considered the Security of the Device important at the moment of purchase </w:t>
      </w:r>
    </w:p>
    <w:p w:rsidR="00913429" w:rsidRDefault="00E143F0">
      <w:pPr>
        <w:pStyle w:val="ListParagraph"/>
        <w:numPr>
          <w:ilvl w:val="0"/>
          <w:numId w:val="185"/>
        </w:numPr>
        <w:spacing w:before="0" w:after="160" w:line="259" w:lineRule="auto"/>
        <w:rPr>
          <w:noProof/>
          <w:lang w:val="en-GB"/>
        </w:rPr>
      </w:pPr>
      <w:r>
        <w:rPr>
          <w:noProof/>
          <w:lang w:val="en-GB"/>
        </w:rPr>
        <w:t xml:space="preserve">70% of the customers is influenced positively by the presence of a security label. </w:t>
      </w:r>
    </w:p>
    <w:p w:rsidR="00913429" w:rsidRDefault="00E143F0">
      <w:pPr>
        <w:pStyle w:val="ListParagraph"/>
        <w:numPr>
          <w:ilvl w:val="0"/>
          <w:numId w:val="185"/>
        </w:numPr>
        <w:spacing w:before="0" w:after="160" w:line="259" w:lineRule="auto"/>
        <w:rPr>
          <w:noProof/>
          <w:lang w:val="en-GB"/>
        </w:rPr>
      </w:pPr>
      <w:r>
        <w:rPr>
          <w:noProof/>
          <w:lang w:val="en-GB"/>
        </w:rPr>
        <w:t>More than 65% of the customers would be in favor of paying a higher price</w:t>
      </w:r>
      <w:r>
        <w:rPr>
          <w:noProof/>
          <w:lang w:val="en-GB"/>
        </w:rPr>
        <w:t xml:space="preserve"> for security labelled product</w:t>
      </w:r>
    </w:p>
    <w:p w:rsidR="00913429" w:rsidRDefault="00E143F0">
      <w:pPr>
        <w:ind w:left="360"/>
        <w:rPr>
          <w:noProof/>
        </w:rPr>
      </w:pPr>
      <w:r>
        <w:rPr>
          <w:noProof/>
        </w:rPr>
        <w:t>As a consequence of these results, PwC Strategy&amp; found out that an IT security label would be a demarcation characteristic feature from the “less protected” products.</w:t>
      </w:r>
    </w:p>
    <w:p w:rsidR="00913429" w:rsidRDefault="00E143F0">
      <w:pPr>
        <w:rPr>
          <w:noProof/>
        </w:rPr>
      </w:pPr>
      <w:r>
        <w:rPr>
          <w:noProof/>
        </w:rPr>
        <w:t>According to consumer’s priority, the products that should</w:t>
      </w:r>
      <w:r>
        <w:rPr>
          <w:noProof/>
        </w:rPr>
        <w:t xml:space="preserve"> be labelled for their Security are computer and laptop (&gt; 83%), followed by Smartphones and Tablets (82%), while smart Home and electrical appliances and wearables are less relevant.</w:t>
      </w:r>
      <w:r>
        <w:rPr>
          <w:noProof/>
          <w:lang w:eastAsia="en-GB"/>
        </w:rPr>
        <w:drawing>
          <wp:inline distT="0" distB="0" distL="0" distR="0" wp14:anchorId="18DC9F56" wp14:editId="62D9579E">
            <wp:extent cx="5931535" cy="3013710"/>
            <wp:effectExtent l="0" t="0" r="0" b="0"/>
            <wp:docPr id="245" name="Picture 245" descr="Capt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e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31535" cy="3013710"/>
                    </a:xfrm>
                    <a:prstGeom prst="rect">
                      <a:avLst/>
                    </a:prstGeom>
                    <a:noFill/>
                    <a:ln>
                      <a:noFill/>
                    </a:ln>
                  </pic:spPr>
                </pic:pic>
              </a:graphicData>
            </a:graphic>
          </wp:inline>
        </w:drawing>
      </w:r>
    </w:p>
    <w:p w:rsidR="00913429" w:rsidRDefault="00E143F0">
      <w:pPr>
        <w:jc w:val="both"/>
        <w:rPr>
          <w:noProof/>
        </w:rPr>
      </w:pPr>
      <w:r>
        <w:rPr>
          <w:noProof/>
        </w:rPr>
        <w:t>According to the responsibility of who should assure the security of th</w:t>
      </w:r>
      <w:r>
        <w:rPr>
          <w:noProof/>
        </w:rPr>
        <w:t>e products, it was discovered that:</w:t>
      </w:r>
    </w:p>
    <w:p w:rsidR="00913429" w:rsidRDefault="00E143F0">
      <w:pPr>
        <w:pStyle w:val="ListParagraph"/>
        <w:numPr>
          <w:ilvl w:val="0"/>
          <w:numId w:val="184"/>
        </w:numPr>
        <w:spacing w:before="0" w:after="160" w:line="259" w:lineRule="auto"/>
        <w:jc w:val="both"/>
        <w:rPr>
          <w:noProof/>
          <w:lang w:val="en-GB"/>
        </w:rPr>
      </w:pPr>
      <w:r>
        <w:rPr>
          <w:noProof/>
          <w:lang w:val="en-GB"/>
        </w:rPr>
        <w:t>Nearly 90% of the interviewees believe that the responsibility for IT security depends on the manufacturers.</w:t>
      </w:r>
    </w:p>
    <w:p w:rsidR="00913429" w:rsidRDefault="00E143F0">
      <w:pPr>
        <w:pStyle w:val="ListParagraph"/>
        <w:numPr>
          <w:ilvl w:val="0"/>
          <w:numId w:val="184"/>
        </w:numPr>
        <w:spacing w:before="0" w:after="160" w:line="259" w:lineRule="auto"/>
        <w:jc w:val="both"/>
        <w:rPr>
          <w:noProof/>
          <w:lang w:val="en-GB"/>
        </w:rPr>
      </w:pPr>
      <w:r>
        <w:rPr>
          <w:noProof/>
          <w:lang w:val="en-GB"/>
        </w:rPr>
        <w:t>Only 61% see the government (state) as the responsible authority with the obligation for IT security.</w:t>
      </w:r>
    </w:p>
    <w:p w:rsidR="00913429" w:rsidRDefault="00E143F0">
      <w:pPr>
        <w:pStyle w:val="ListParagraph"/>
        <w:numPr>
          <w:ilvl w:val="0"/>
          <w:numId w:val="184"/>
        </w:numPr>
        <w:spacing w:before="0" w:after="160" w:line="259" w:lineRule="auto"/>
        <w:jc w:val="both"/>
        <w:rPr>
          <w:noProof/>
          <w:lang w:val="en-GB"/>
        </w:rPr>
      </w:pPr>
      <w:r>
        <w:rPr>
          <w:noProof/>
          <w:lang w:val="en-GB"/>
        </w:rPr>
        <w:t>More than</w:t>
      </w:r>
      <w:r>
        <w:rPr>
          <w:noProof/>
          <w:lang w:val="en-GB"/>
        </w:rPr>
        <w:t xml:space="preserve"> 82% of the interviewees think that the IT Security Label should come from Stately promoted institute</w:t>
      </w:r>
    </w:p>
    <w:p w:rsidR="00913429" w:rsidRDefault="00E143F0">
      <w:pPr>
        <w:pStyle w:val="ListParagraph"/>
        <w:numPr>
          <w:ilvl w:val="0"/>
          <w:numId w:val="184"/>
        </w:numPr>
        <w:spacing w:before="0" w:after="160" w:line="259" w:lineRule="auto"/>
        <w:jc w:val="both"/>
        <w:rPr>
          <w:noProof/>
          <w:lang w:val="en-GB"/>
        </w:rPr>
      </w:pPr>
      <w:r>
        <w:rPr>
          <w:noProof/>
          <w:lang w:val="en-GB"/>
        </w:rPr>
        <w:t>Only 44% believes that the label should be a responsibility of a private test institute</w:t>
      </w:r>
    </w:p>
    <w:p w:rsidR="00913429" w:rsidRDefault="00E143F0">
      <w:pPr>
        <w:pStyle w:val="ListParagraph"/>
        <w:numPr>
          <w:ilvl w:val="0"/>
          <w:numId w:val="184"/>
        </w:numPr>
        <w:spacing w:before="0" w:after="160" w:line="259" w:lineRule="auto"/>
        <w:jc w:val="both"/>
        <w:rPr>
          <w:noProof/>
          <w:lang w:val="en-GB"/>
        </w:rPr>
      </w:pPr>
      <w:r>
        <w:rPr>
          <w:noProof/>
          <w:lang w:val="en-GB"/>
        </w:rPr>
        <w:t>A majority of the interviewees considers that the assignment of th</w:t>
      </w:r>
      <w:r>
        <w:rPr>
          <w:noProof/>
          <w:lang w:val="en-GB"/>
        </w:rPr>
        <w:t>e security label should not depend from private-economic institutions (57%).</w:t>
      </w:r>
    </w:p>
    <w:p w:rsidR="00913429" w:rsidRDefault="00E143F0">
      <w:pPr>
        <w:jc w:val="both"/>
        <w:rPr>
          <w:b/>
          <w:noProof/>
        </w:rPr>
      </w:pPr>
      <w:r>
        <w:rPr>
          <w:b/>
          <w:noProof/>
        </w:rPr>
        <w:t xml:space="preserve">Manufacturer’s interviews </w:t>
      </w:r>
    </w:p>
    <w:p w:rsidR="00913429" w:rsidRDefault="00E143F0">
      <w:pPr>
        <w:jc w:val="both"/>
        <w:rPr>
          <w:noProof/>
        </w:rPr>
      </w:pPr>
      <w:r>
        <w:rPr>
          <w:noProof/>
        </w:rPr>
        <w:t>PwC Strategy&amp; asked the opinion of 18 relevant manufacturer's enterprises and five groups of the IKT branch on the IT security label,  in the period fro</w:t>
      </w:r>
      <w:r>
        <w:rPr>
          <w:noProof/>
        </w:rPr>
        <w:t xml:space="preserve">m the 1st February to the 7th April, 2017. </w:t>
      </w:r>
    </w:p>
    <w:p w:rsidR="00913429" w:rsidRDefault="00E143F0">
      <w:pPr>
        <w:jc w:val="both"/>
        <w:rPr>
          <w:noProof/>
        </w:rPr>
      </w:pPr>
      <w:r>
        <w:rPr>
          <w:noProof/>
        </w:rPr>
        <w:t>What they found was:</w:t>
      </w:r>
    </w:p>
    <w:p w:rsidR="00913429" w:rsidRDefault="00E143F0">
      <w:pPr>
        <w:jc w:val="both"/>
        <w:rPr>
          <w:noProof/>
        </w:rPr>
      </w:pPr>
      <w:r>
        <w:rPr>
          <w:noProof/>
        </w:rPr>
        <w:t>On the importance of IT Security label for the company</w:t>
      </w:r>
    </w:p>
    <w:p w:rsidR="00913429" w:rsidRDefault="00E143F0">
      <w:pPr>
        <w:pStyle w:val="ListParagraph"/>
        <w:numPr>
          <w:ilvl w:val="0"/>
          <w:numId w:val="182"/>
        </w:numPr>
        <w:spacing w:before="0" w:after="160" w:line="259" w:lineRule="auto"/>
        <w:jc w:val="both"/>
        <w:rPr>
          <w:noProof/>
          <w:lang w:val="en-GB"/>
        </w:rPr>
      </w:pPr>
      <w:r>
        <w:rPr>
          <w:noProof/>
          <w:lang w:val="en-GB"/>
        </w:rPr>
        <w:t>IT security is a central factor in the product development</w:t>
      </w:r>
    </w:p>
    <w:p w:rsidR="00913429" w:rsidRDefault="00E143F0">
      <w:pPr>
        <w:pStyle w:val="ListParagraph"/>
        <w:numPr>
          <w:ilvl w:val="0"/>
          <w:numId w:val="182"/>
        </w:numPr>
        <w:spacing w:before="0" w:after="160" w:line="259" w:lineRule="auto"/>
        <w:jc w:val="both"/>
        <w:rPr>
          <w:noProof/>
          <w:lang w:val="en-GB"/>
        </w:rPr>
      </w:pPr>
      <w:r>
        <w:rPr>
          <w:noProof/>
          <w:lang w:val="en-GB"/>
        </w:rPr>
        <w:t>Manufacturer with higher prices don’t want to endanger their brand by a possi</w:t>
      </w:r>
      <w:r>
        <w:rPr>
          <w:noProof/>
          <w:lang w:val="en-GB"/>
        </w:rPr>
        <w:t>ble security gap in their IT devices</w:t>
      </w:r>
    </w:p>
    <w:p w:rsidR="00913429" w:rsidRDefault="00E143F0">
      <w:pPr>
        <w:pStyle w:val="ListParagraph"/>
        <w:numPr>
          <w:ilvl w:val="0"/>
          <w:numId w:val="182"/>
        </w:numPr>
        <w:spacing w:before="0" w:after="160" w:line="259" w:lineRule="auto"/>
        <w:jc w:val="both"/>
        <w:rPr>
          <w:rFonts w:ascii="Tahoma" w:hAnsi="Tahoma" w:cs="Tahoma"/>
          <w:noProof/>
          <w:sz w:val="21"/>
          <w:szCs w:val="21"/>
          <w:shd w:val="clear" w:color="auto" w:fill="EFEFEF"/>
          <w:lang w:val="en-GB"/>
        </w:rPr>
      </w:pPr>
      <w:r>
        <w:rPr>
          <w:noProof/>
          <w:lang w:val="en-GB"/>
        </w:rPr>
        <w:t>Only very much few enterprises know or use existing security labels in the area of IT security with end user’s focus</w:t>
      </w:r>
    </w:p>
    <w:p w:rsidR="00913429" w:rsidRDefault="00E143F0">
      <w:pPr>
        <w:pStyle w:val="ListParagraph"/>
        <w:numPr>
          <w:ilvl w:val="0"/>
          <w:numId w:val="182"/>
        </w:numPr>
        <w:spacing w:before="0" w:after="160" w:line="259" w:lineRule="auto"/>
        <w:jc w:val="both"/>
        <w:rPr>
          <w:rFonts w:ascii="Tahoma" w:hAnsi="Tahoma" w:cs="Tahoma"/>
          <w:noProof/>
          <w:sz w:val="21"/>
          <w:szCs w:val="21"/>
          <w:shd w:val="clear" w:color="auto" w:fill="EFEFEF"/>
          <w:lang w:val="en-GB"/>
        </w:rPr>
      </w:pPr>
      <w:r>
        <w:rPr>
          <w:noProof/>
          <w:lang w:val="en-GB"/>
        </w:rPr>
        <w:t>If the IT security label would guarantee a uniformed standard at European levels, manufacturer interes</w:t>
      </w:r>
      <w:r>
        <w:rPr>
          <w:noProof/>
          <w:lang w:val="en-GB"/>
        </w:rPr>
        <w:t xml:space="preserve">t would increase remarkably </w:t>
      </w:r>
    </w:p>
    <w:p w:rsidR="00913429" w:rsidRDefault="00E143F0">
      <w:pPr>
        <w:pStyle w:val="ListParagraph"/>
        <w:numPr>
          <w:ilvl w:val="0"/>
          <w:numId w:val="182"/>
        </w:numPr>
        <w:spacing w:before="0" w:after="160" w:line="259" w:lineRule="auto"/>
        <w:jc w:val="both"/>
        <w:rPr>
          <w:rFonts w:ascii="Tahoma" w:hAnsi="Tahoma" w:cs="Tahoma"/>
          <w:noProof/>
          <w:sz w:val="21"/>
          <w:szCs w:val="21"/>
          <w:shd w:val="clear" w:color="auto" w:fill="EFEFEF"/>
          <w:lang w:val="en-GB"/>
        </w:rPr>
      </w:pPr>
      <w:r>
        <w:rPr>
          <w:noProof/>
          <w:lang w:val="en-GB"/>
        </w:rPr>
        <w:t>Enterprises have a bigger interest in an IT Security label in the middle price segment of the marker</w:t>
      </w:r>
    </w:p>
    <w:p w:rsidR="00913429" w:rsidRDefault="00E143F0">
      <w:pPr>
        <w:rPr>
          <w:noProof/>
        </w:rPr>
      </w:pPr>
      <w:r>
        <w:rPr>
          <w:noProof/>
          <w:lang w:eastAsia="en-GB"/>
        </w:rPr>
        <w:drawing>
          <wp:inline distT="0" distB="0" distL="0" distR="0" wp14:anchorId="47033D23" wp14:editId="624D4167">
            <wp:extent cx="5923915" cy="3275965"/>
            <wp:effectExtent l="0" t="0" r="635" b="635"/>
            <wp:docPr id="246" name="Picture 246" descr="Capt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ure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23915" cy="3275965"/>
                    </a:xfrm>
                    <a:prstGeom prst="rect">
                      <a:avLst/>
                    </a:prstGeom>
                    <a:noFill/>
                    <a:ln>
                      <a:noFill/>
                    </a:ln>
                  </pic:spPr>
                </pic:pic>
              </a:graphicData>
            </a:graphic>
          </wp:inline>
        </w:drawing>
      </w:r>
    </w:p>
    <w:p w:rsidR="00913429" w:rsidRDefault="00E143F0">
      <w:pPr>
        <w:jc w:val="both"/>
        <w:rPr>
          <w:b/>
          <w:noProof/>
        </w:rPr>
      </w:pPr>
      <w:r>
        <w:rPr>
          <w:b/>
          <w:noProof/>
        </w:rPr>
        <w:t>Challenges for the certification:</w:t>
      </w:r>
    </w:p>
    <w:p w:rsidR="00913429" w:rsidRDefault="00E143F0">
      <w:pPr>
        <w:pStyle w:val="ListParagraph"/>
        <w:numPr>
          <w:ilvl w:val="0"/>
          <w:numId w:val="183"/>
        </w:numPr>
        <w:spacing w:before="0" w:after="160" w:line="259" w:lineRule="auto"/>
        <w:jc w:val="both"/>
        <w:rPr>
          <w:noProof/>
          <w:lang w:val="en-GB"/>
        </w:rPr>
      </w:pPr>
      <w:r>
        <w:rPr>
          <w:noProof/>
          <w:lang w:val="en-GB"/>
        </w:rPr>
        <w:t>The certification would guaranty IT security only for a limited period of time, since ther</w:t>
      </w:r>
      <w:r>
        <w:rPr>
          <w:noProof/>
          <w:lang w:val="en-GB"/>
        </w:rPr>
        <w:t>e always newer security threats.</w:t>
      </w:r>
    </w:p>
    <w:p w:rsidR="00913429" w:rsidRDefault="00E143F0">
      <w:pPr>
        <w:pStyle w:val="ListParagraph"/>
        <w:numPr>
          <w:ilvl w:val="0"/>
          <w:numId w:val="183"/>
        </w:numPr>
        <w:spacing w:before="0" w:after="160" w:line="259" w:lineRule="auto"/>
        <w:jc w:val="both"/>
        <w:rPr>
          <w:noProof/>
        </w:rPr>
      </w:pPr>
      <w:r>
        <w:rPr>
          <w:noProof/>
          <w:lang w:val="en-GB"/>
        </w:rPr>
        <w:t xml:space="preserve">The security label would be only an indication, not a proof. </w:t>
      </w:r>
      <w:r>
        <w:rPr>
          <w:noProof/>
        </w:rPr>
        <w:t xml:space="preserve">In some cases, the </w:t>
      </w:r>
    </w:p>
    <w:p w:rsidR="00913429" w:rsidRDefault="00E143F0">
      <w:pPr>
        <w:pStyle w:val="ListParagraph"/>
        <w:numPr>
          <w:ilvl w:val="0"/>
          <w:numId w:val="183"/>
        </w:numPr>
        <w:spacing w:before="0" w:after="160" w:line="259" w:lineRule="auto"/>
        <w:jc w:val="both"/>
        <w:rPr>
          <w:noProof/>
          <w:lang w:val="en-GB"/>
        </w:rPr>
      </w:pPr>
      <w:r>
        <w:rPr>
          <w:noProof/>
          <w:lang w:val="en-GB"/>
        </w:rPr>
        <w:t>Enterprises can guarantee no IT security for a certain period in this frame, but minimize only risks or conclude (close) recognized security g</w:t>
      </w:r>
      <w:r>
        <w:rPr>
          <w:noProof/>
          <w:lang w:val="en-GB"/>
        </w:rPr>
        <w:t xml:space="preserve">aps. The consumer has in fact partial responsibility on the security of the IT device. </w:t>
      </w:r>
    </w:p>
    <w:p w:rsidR="00913429" w:rsidRDefault="00E143F0">
      <w:pPr>
        <w:pStyle w:val="ListParagraph"/>
        <w:numPr>
          <w:ilvl w:val="0"/>
          <w:numId w:val="183"/>
        </w:numPr>
        <w:spacing w:before="0" w:after="160" w:line="259" w:lineRule="auto"/>
        <w:jc w:val="both"/>
        <w:rPr>
          <w:noProof/>
          <w:lang w:val="en-GB"/>
        </w:rPr>
      </w:pPr>
      <w:r>
        <w:rPr>
          <w:noProof/>
          <w:lang w:val="en-GB"/>
        </w:rPr>
        <w:t>IT devices have multiple components such as hardware, software and apps. It is important to clarify where the security label applies.</w:t>
      </w:r>
    </w:p>
    <w:p w:rsidR="00913429" w:rsidRDefault="00E143F0">
      <w:pPr>
        <w:jc w:val="both"/>
        <w:rPr>
          <w:b/>
          <w:noProof/>
        </w:rPr>
      </w:pPr>
      <w:r>
        <w:rPr>
          <w:b/>
          <w:noProof/>
        </w:rPr>
        <w:t xml:space="preserve">Patronage of the certification </w:t>
      </w:r>
    </w:p>
    <w:p w:rsidR="00913429" w:rsidRDefault="00E143F0">
      <w:pPr>
        <w:jc w:val="both"/>
        <w:rPr>
          <w:noProof/>
        </w:rPr>
      </w:pPr>
      <w:r>
        <w:rPr>
          <w:noProof/>
        </w:rPr>
        <w:t>Since the BSI would be the responsible for the definition of the criteria, they will have to cooperate with the manufacturers and the consumers’ protectors. The responsible ministries can also cooperate. Even though the BSI is the distributor of the label,</w:t>
      </w:r>
      <w:r>
        <w:rPr>
          <w:noProof/>
        </w:rPr>
        <w:t xml:space="preserve"> the security tests can be done in other external structures. </w:t>
      </w:r>
    </w:p>
    <w:p w:rsidR="00913429" w:rsidRDefault="00E143F0">
      <w:pPr>
        <w:spacing w:after="0" w:line="240" w:lineRule="auto"/>
        <w:rPr>
          <w:rFonts w:eastAsia="Times New Roman"/>
          <w:noProof/>
          <w:color w:val="DC6900"/>
          <w:sz w:val="32"/>
          <w:szCs w:val="26"/>
        </w:rPr>
      </w:pPr>
      <w:r>
        <w:rPr>
          <w:noProof/>
          <w:color w:val="DC6900"/>
          <w:sz w:val="32"/>
          <w:szCs w:val="26"/>
        </w:rPr>
        <w:br w:type="page"/>
      </w:r>
    </w:p>
    <w:p w:rsidR="00913429" w:rsidRDefault="00E143F0">
      <w:pPr>
        <w:pStyle w:val="ListParagraph"/>
        <w:keepNext/>
        <w:keepLines/>
        <w:numPr>
          <w:ilvl w:val="1"/>
          <w:numId w:val="93"/>
        </w:numPr>
        <w:tabs>
          <w:tab w:val="left" w:pos="993"/>
        </w:tabs>
        <w:spacing w:after="120"/>
        <w:ind w:right="-23"/>
        <w:outlineLvl w:val="1"/>
        <w:rPr>
          <w:noProof/>
          <w:color w:val="DC6900"/>
          <w:sz w:val="32"/>
          <w:szCs w:val="26"/>
          <w:lang w:val="en-GB"/>
        </w:rPr>
      </w:pPr>
      <w:bookmarkStart w:id="201" w:name="_Toc492396569"/>
      <w:r>
        <w:rPr>
          <w:noProof/>
          <w:color w:val="DC6900"/>
          <w:sz w:val="32"/>
          <w:szCs w:val="26"/>
          <w:lang w:val="en-GB"/>
        </w:rPr>
        <w:t>Cyber Risks and Cyber Resilience of Critical Infrastructures</w:t>
      </w:r>
      <w:bookmarkEnd w:id="201"/>
    </w:p>
    <w:p w:rsidR="00913429" w:rsidRDefault="00E143F0">
      <w:pPr>
        <w:spacing w:after="60"/>
        <w:jc w:val="both"/>
        <w:rPr>
          <w:noProof/>
        </w:rPr>
      </w:pPr>
      <w:r>
        <w:rPr>
          <w:noProof/>
        </w:rPr>
        <w:t>European Critical Infrastructures constitute those designated critical infrastructures which are of the highest importance for the</w:t>
      </w:r>
      <w:r>
        <w:rPr>
          <w:noProof/>
        </w:rPr>
        <w:t xml:space="preserve"> Community and which if disrupted or destroyed would affect two or more MS, or a single Member State if the critical infrastructure is located in another Member State. This includes transboundary effects resulting from interdependencies between interconnec</w:t>
      </w:r>
      <w:r>
        <w:rPr>
          <w:noProof/>
        </w:rPr>
        <w:t>ted infrastructures across various sectors</w:t>
      </w:r>
      <w:r>
        <w:rPr>
          <w:rStyle w:val="FootnoteReference"/>
          <w:noProof/>
        </w:rPr>
        <w:footnoteReference w:id="55"/>
      </w:r>
      <w:r>
        <w:rPr>
          <w:noProof/>
        </w:rPr>
        <w:t xml:space="preserve">. </w:t>
      </w:r>
    </w:p>
    <w:p w:rsidR="00913429" w:rsidRDefault="00E143F0">
      <w:pPr>
        <w:spacing w:after="60"/>
        <w:jc w:val="both"/>
        <w:rPr>
          <w:noProof/>
        </w:rPr>
      </w:pPr>
      <w:r>
        <w:rPr>
          <w:noProof/>
        </w:rPr>
        <w:t>In the last years, the dependence of critical infrastructures from cyber space has become increasingly important. Europe and the entire world is experiencing a massive growth in connected cyber-physical infrast</w:t>
      </w:r>
      <w:r>
        <w:rPr>
          <w:noProof/>
        </w:rPr>
        <w:t xml:space="preserve">ructures – ranging from IoT-based smart environments to critical infrastructures such as power grids, energy, water and manufacturing systems. </w:t>
      </w:r>
    </w:p>
    <w:p w:rsidR="00913429" w:rsidRDefault="00E143F0">
      <w:pPr>
        <w:spacing w:after="60"/>
        <w:jc w:val="both"/>
        <w:rPr>
          <w:noProof/>
        </w:rPr>
      </w:pPr>
      <w:r>
        <w:rPr>
          <w:noProof/>
        </w:rPr>
        <w:t>The number of connected devices is expected to grow to tens of billions by the year 2020. Very large cyber-physi</w:t>
      </w:r>
      <w:r>
        <w:rPr>
          <w:noProof/>
        </w:rPr>
        <w:t>cal infrastructures are envisioned which will integrate multiple applications run by a variety of stakeholders within a shared fabric. Examples include future industrial environments, infrastructure monitoring technologies and intelligent transportation sy</w:t>
      </w:r>
      <w:r>
        <w:rPr>
          <w:noProof/>
        </w:rPr>
        <w:t>stems. In such contexts, thousands of nodes will be deployed and used by a large number of stakeholders to provide a multitude of services. Such shared fabrics will remain in operation for a long time (potentially decades) and the physical composition, the</w:t>
      </w:r>
      <w:r>
        <w:rPr>
          <w:noProof/>
        </w:rPr>
        <w:t xml:space="preserve"> services provided and the stakeholders involved will change with time. </w:t>
      </w:r>
    </w:p>
    <w:p w:rsidR="00913429" w:rsidRDefault="00E143F0">
      <w:pPr>
        <w:spacing w:after="60"/>
        <w:jc w:val="both"/>
        <w:rPr>
          <w:noProof/>
        </w:rPr>
      </w:pPr>
      <w:r>
        <w:rPr>
          <w:noProof/>
        </w:rPr>
        <w:t xml:space="preserve">In a survey of critical infrastructure organisations in the United States (US), the United Kingdom (UK), France, and Germany, 48% of respondents expressed that it would be likely for </w:t>
      </w:r>
      <w:r>
        <w:rPr>
          <w:noProof/>
        </w:rPr>
        <w:t>a cyber-attack to take down critical infrastructure with the potential loss of life</w:t>
      </w:r>
      <w:r>
        <w:rPr>
          <w:rStyle w:val="FootnoteReference"/>
          <w:noProof/>
        </w:rPr>
        <w:footnoteReference w:id="56"/>
      </w:r>
      <w:r>
        <w:rPr>
          <w:noProof/>
        </w:rPr>
        <w:t>. The scale of future cyber-physical infrastructures and their dynamic nature in terms of stakeholders, services and physical properties over long time periods poses unique</w:t>
      </w:r>
      <w:r>
        <w:rPr>
          <w:noProof/>
        </w:rPr>
        <w:t xml:space="preserve"> security and resilience challenges</w:t>
      </w:r>
      <w:r>
        <w:rPr>
          <w:rStyle w:val="FootnoteReference"/>
          <w:noProof/>
        </w:rPr>
        <w:footnoteReference w:id="57"/>
      </w:r>
      <w:r>
        <w:rPr>
          <w:noProof/>
        </w:rPr>
        <w:t xml:space="preserve">. </w:t>
      </w:r>
    </w:p>
    <w:p w:rsidR="00913429" w:rsidRDefault="00E143F0">
      <w:pPr>
        <w:jc w:val="both"/>
        <w:rPr>
          <w:noProof/>
        </w:rPr>
      </w:pPr>
      <w:r>
        <w:rPr>
          <w:noProof/>
        </w:rPr>
        <w:t xml:space="preserve">In the following paragraphs, four critical infrastructures sectors will be analysed to underline problems, risks and resilience due to the depence from cyber space. </w:t>
      </w:r>
    </w:p>
    <w:p w:rsidR="00913429" w:rsidRDefault="00E143F0">
      <w:pPr>
        <w:pStyle w:val="Heading4"/>
        <w:rPr>
          <w:noProof/>
        </w:rPr>
      </w:pPr>
      <w:r>
        <w:rPr>
          <w:noProof/>
        </w:rPr>
        <w:t xml:space="preserve">Energy Sector </w:t>
      </w:r>
    </w:p>
    <w:p w:rsidR="00913429" w:rsidRDefault="00E143F0">
      <w:pPr>
        <w:spacing w:after="60"/>
        <w:jc w:val="both"/>
        <w:rPr>
          <w:noProof/>
        </w:rPr>
      </w:pPr>
      <w:r>
        <w:rPr>
          <w:noProof/>
        </w:rPr>
        <w:t>New energy technologies such as rene</w:t>
      </w:r>
      <w:r>
        <w:rPr>
          <w:noProof/>
        </w:rPr>
        <w:t>wable generation, electricity storage and electric vehicles will have far-reaching social and economic benefits. These transformations, however, depend upon the employment of ‘smart’ technology, which underpins other digitalisation strategies to deliver th</w:t>
      </w:r>
      <w:r>
        <w:rPr>
          <w:noProof/>
        </w:rPr>
        <w:t xml:space="preserve">e benefits associated with smart cities, health, transport and logistics. </w:t>
      </w:r>
    </w:p>
    <w:p w:rsidR="00913429" w:rsidRDefault="00E143F0">
      <w:pPr>
        <w:spacing w:after="60"/>
        <w:jc w:val="both"/>
        <w:rPr>
          <w:noProof/>
        </w:rPr>
      </w:pPr>
      <w:r>
        <w:rPr>
          <w:noProof/>
        </w:rPr>
        <w:t>The smart energy system is therefore created through the significantly greater use of ICT in the digitalisation of energy production and distribution. The resulting energy transform</w:t>
      </w:r>
      <w:r>
        <w:rPr>
          <w:noProof/>
        </w:rPr>
        <w:t>ation will see increasing decentralization of the energy system and greater inclusion of the consumer across the energy value chain.</w:t>
      </w:r>
      <w:r>
        <w:rPr>
          <w:rStyle w:val="FootnoteReference"/>
          <w:noProof/>
        </w:rPr>
        <w:footnoteReference w:id="58"/>
      </w:r>
      <w:r>
        <w:rPr>
          <w:noProof/>
        </w:rPr>
        <w:t xml:space="preserve"> It is essential to maintain equilibrium in critical infrastructure such as energy, which supports and sustains other criti</w:t>
      </w:r>
      <w:r>
        <w:rPr>
          <w:noProof/>
        </w:rPr>
        <w:t>cal infrastructure. A power outage often has serious consequences due to the cascade effect, inevitably affecting other sectors and their infrastructure</w:t>
      </w:r>
      <w:r>
        <w:rPr>
          <w:rStyle w:val="FootnoteReference"/>
          <w:noProof/>
        </w:rPr>
        <w:footnoteReference w:id="59"/>
      </w:r>
      <w:r>
        <w:rPr>
          <w:noProof/>
        </w:rPr>
        <w:t>. The Ukraine power grid attack</w:t>
      </w:r>
      <w:r>
        <w:rPr>
          <w:rStyle w:val="FootnoteReference"/>
          <w:noProof/>
        </w:rPr>
        <w:footnoteReference w:id="60"/>
      </w:r>
      <w:r>
        <w:rPr>
          <w:noProof/>
        </w:rPr>
        <w:t xml:space="preserve"> in 2015 demonstrated the potential impact of cyber-attacks to the elec</w:t>
      </w:r>
      <w:r>
        <w:rPr>
          <w:noProof/>
        </w:rPr>
        <w:t xml:space="preserve">tricity subsector. This well-planned hack on 3 power-distribution companies caused outages to 80,000 energy customers. </w:t>
      </w:r>
    </w:p>
    <w:p w:rsidR="00913429" w:rsidRDefault="00E143F0">
      <w:pPr>
        <w:spacing w:after="60"/>
        <w:jc w:val="both"/>
        <w:rPr>
          <w:noProof/>
        </w:rPr>
      </w:pPr>
      <w:r>
        <w:rPr>
          <w:noProof/>
        </w:rPr>
        <w:t>The focus of cyber security in the energy sector is to support the reliability and resilience even in the event of a cyber-attack. Unlik</w:t>
      </w:r>
      <w:r>
        <w:rPr>
          <w:noProof/>
        </w:rPr>
        <w:t>e IT systems, a control system in the energy sector that is under attack cannot be easily disconnected from the network as this could potentially result in safety issues, brownouts or even blackouts.</w:t>
      </w:r>
      <w:r>
        <w:rPr>
          <w:rStyle w:val="FootnoteReference"/>
          <w:noProof/>
        </w:rPr>
        <w:footnoteReference w:id="61"/>
      </w:r>
      <w:r>
        <w:rPr>
          <w:noProof/>
        </w:rPr>
        <w:t xml:space="preserve"> The scale of the threat to energy cyber security is mas</w:t>
      </w:r>
      <w:r>
        <w:rPr>
          <w:noProof/>
        </w:rPr>
        <w:t>sively increasing as energy systems develop ubiquitous intelligence and communications capabilities throughout their operations. In addition, development of a cost effective low carbon energy system across the EU will require a more distributed energy syst</w:t>
      </w:r>
      <w:r>
        <w:rPr>
          <w:noProof/>
        </w:rPr>
        <w:t>em, whilst also employing increased inter-connection and cooperation across national boundaries.</w:t>
      </w:r>
      <w:r>
        <w:rPr>
          <w:rStyle w:val="FootnoteReference"/>
          <w:noProof/>
        </w:rPr>
        <w:footnoteReference w:id="62"/>
      </w:r>
      <w:r>
        <w:rPr>
          <w:noProof/>
        </w:rPr>
        <w:t xml:space="preserve"> At the same time, demand for energy is always on the rise. As the German government put it, “New solutions must be found that support the transition to libera</w:t>
      </w:r>
      <w:r>
        <w:rPr>
          <w:noProof/>
        </w:rPr>
        <w:t>lized markets, decentralized and volatile power generation structures, and electro mobility – while also ensuring the maximum possible level of cost-effectiveness, security of supply, and environmental compatibility.” In this context, the security of criti</w:t>
      </w:r>
      <w:r>
        <w:rPr>
          <w:noProof/>
        </w:rPr>
        <w:t>cal infrastructure is a core issue in national, international, and corporate security dialogue and policies.</w:t>
      </w:r>
      <w:r>
        <w:rPr>
          <w:rStyle w:val="FootnoteReference"/>
          <w:noProof/>
        </w:rPr>
        <w:footnoteReference w:id="63"/>
      </w:r>
      <w:r>
        <w:rPr>
          <w:noProof/>
        </w:rPr>
        <w:t xml:space="preserve"> Energy reliability at the European level relies on trans-European connectivity. A failure in one energy system can have a potential cascading effe</w:t>
      </w:r>
      <w:r>
        <w:rPr>
          <w:noProof/>
        </w:rPr>
        <w:t xml:space="preserve">ct across regions as shown in a major European blackout in 2006 caused by a planned disconnection of a transmission line. </w:t>
      </w:r>
    </w:p>
    <w:p w:rsidR="00913429" w:rsidRDefault="00E143F0">
      <w:pPr>
        <w:spacing w:after="60"/>
        <w:jc w:val="both"/>
        <w:rPr>
          <w:noProof/>
        </w:rPr>
      </w:pPr>
      <w:r>
        <w:rPr>
          <w:noProof/>
        </w:rPr>
        <w:t>Despite cyber security being a recent subject, a number of initiatives have already been conducted by Member States in order to enhan</w:t>
      </w:r>
      <w:r>
        <w:rPr>
          <w:noProof/>
        </w:rPr>
        <w:t>ce the country’s ability to face any attack. Member States need to learn about best practice from other sectors or other world regions that deal with highly sensitive information or are subject to cyberattacks on a regular basis. For example</w:t>
      </w:r>
      <w:r>
        <w:rPr>
          <w:rStyle w:val="FootnoteReference"/>
          <w:noProof/>
        </w:rPr>
        <w:footnoteReference w:id="64"/>
      </w:r>
      <w:r>
        <w:rPr>
          <w:noProof/>
        </w:rPr>
        <w:t xml:space="preserve">: </w:t>
      </w:r>
    </w:p>
    <w:p w:rsidR="00913429" w:rsidRDefault="00E143F0">
      <w:pPr>
        <w:pStyle w:val="ListParagraph"/>
        <w:numPr>
          <w:ilvl w:val="0"/>
          <w:numId w:val="140"/>
        </w:numPr>
        <w:spacing w:before="0" w:after="60" w:line="259" w:lineRule="auto"/>
        <w:jc w:val="both"/>
        <w:rPr>
          <w:noProof/>
          <w:lang w:val="en-GB"/>
        </w:rPr>
      </w:pPr>
      <w:r>
        <w:rPr>
          <w:noProof/>
          <w:lang w:val="en-GB"/>
        </w:rPr>
        <w:t xml:space="preserve">In </w:t>
      </w:r>
      <w:r>
        <w:rPr>
          <w:b/>
          <w:noProof/>
          <w:lang w:val="en-GB"/>
        </w:rPr>
        <w:t>Denmark</w:t>
      </w:r>
      <w:r>
        <w:rPr>
          <w:noProof/>
          <w:lang w:val="en-GB"/>
        </w:rPr>
        <w:t>,</w:t>
      </w:r>
      <w:r>
        <w:rPr>
          <w:noProof/>
          <w:lang w:val="en-GB"/>
        </w:rPr>
        <w:t xml:space="preserve"> there is a close exchange of data between the transmission system operator (TSO), DSOs, generators and retailers via a data hub. Energinet.dk (TSO) is responsible for data security in relation to information exchange in the electricity market, but it has </w:t>
      </w:r>
      <w:r>
        <w:rPr>
          <w:noProof/>
          <w:lang w:val="en-GB"/>
        </w:rPr>
        <w:t>outsourced the security service to a third party;</w:t>
      </w:r>
    </w:p>
    <w:p w:rsidR="00913429" w:rsidRDefault="00E143F0">
      <w:pPr>
        <w:pStyle w:val="ListParagraph"/>
        <w:numPr>
          <w:ilvl w:val="0"/>
          <w:numId w:val="140"/>
        </w:numPr>
        <w:spacing w:before="0" w:line="259" w:lineRule="auto"/>
        <w:jc w:val="both"/>
        <w:rPr>
          <w:noProof/>
          <w:lang w:val="en-GB"/>
        </w:rPr>
      </w:pPr>
      <w:r>
        <w:rPr>
          <w:noProof/>
          <w:lang w:val="en-GB"/>
        </w:rPr>
        <w:t xml:space="preserve">In </w:t>
      </w:r>
      <w:r>
        <w:rPr>
          <w:b/>
          <w:noProof/>
          <w:lang w:val="en-GB"/>
        </w:rPr>
        <w:t>Norway</w:t>
      </w:r>
      <w:r>
        <w:rPr>
          <w:noProof/>
          <w:lang w:val="en-GB"/>
        </w:rPr>
        <w:t>, companies are obliged to report major incidents (including cyber security incidents) to the national authority NVE. Apart from that, in 2014 Norway has set up “KraftCERT” (see https://www.kraftce</w:t>
      </w:r>
      <w:r>
        <w:rPr>
          <w:noProof/>
          <w:lang w:val="en-GB"/>
        </w:rPr>
        <w:t xml:space="preserve">rt.no/english/index.html); </w:t>
      </w:r>
    </w:p>
    <w:p w:rsidR="00913429" w:rsidRDefault="00E143F0">
      <w:pPr>
        <w:pStyle w:val="ListParagraph"/>
        <w:numPr>
          <w:ilvl w:val="0"/>
          <w:numId w:val="140"/>
        </w:numPr>
        <w:spacing w:before="0" w:line="259" w:lineRule="auto"/>
        <w:jc w:val="both"/>
        <w:rPr>
          <w:noProof/>
          <w:lang w:val="en-GB"/>
        </w:rPr>
      </w:pPr>
      <w:r>
        <w:rPr>
          <w:noProof/>
          <w:lang w:val="en-GB"/>
        </w:rPr>
        <w:t xml:space="preserve">In </w:t>
      </w:r>
      <w:r>
        <w:rPr>
          <w:b/>
          <w:noProof/>
          <w:lang w:val="en-GB"/>
        </w:rPr>
        <w:t>Austria</w:t>
      </w:r>
      <w:r>
        <w:rPr>
          <w:noProof/>
          <w:lang w:val="en-GB"/>
        </w:rPr>
        <w:t xml:space="preserve">, there is a public-private cooperation in order to set up (voluntary) national security and safety standards for the power industry, carry out a risk assessment and develop an action plan to tackle these risks; </w:t>
      </w:r>
    </w:p>
    <w:p w:rsidR="00913429" w:rsidRDefault="00E143F0">
      <w:pPr>
        <w:pStyle w:val="ListParagraph"/>
        <w:numPr>
          <w:ilvl w:val="0"/>
          <w:numId w:val="140"/>
        </w:numPr>
        <w:spacing w:before="0" w:line="259" w:lineRule="auto"/>
        <w:jc w:val="both"/>
        <w:rPr>
          <w:noProof/>
          <w:lang w:val="en-GB"/>
        </w:rPr>
      </w:pPr>
      <w:r>
        <w:rPr>
          <w:noProof/>
          <w:lang w:val="en-GB"/>
        </w:rPr>
        <w:t xml:space="preserve">In </w:t>
      </w:r>
      <w:r>
        <w:rPr>
          <w:b/>
          <w:noProof/>
          <w:lang w:val="en-GB"/>
        </w:rPr>
        <w:t>Fr</w:t>
      </w:r>
      <w:r>
        <w:rPr>
          <w:b/>
          <w:noProof/>
          <w:lang w:val="en-GB"/>
        </w:rPr>
        <w:t>ance</w:t>
      </w:r>
      <w:r>
        <w:rPr>
          <w:noProof/>
          <w:lang w:val="en-GB"/>
        </w:rPr>
        <w:t>, companies are about to be obliged 12to report large cyber security incidents to the national cyber authority, ANSSI. There is also a CSPN certification for black box testing of product security level. However, there is a lack of mutual recognition wi</w:t>
      </w:r>
      <w:r>
        <w:rPr>
          <w:noProof/>
          <w:lang w:val="en-GB"/>
        </w:rPr>
        <w:t>th other Member States: no market for suppliers, therefore no incentive for certification. That is why it has been mainly used only by Small and Medium Enterprises (SMEs) so far;</w:t>
      </w:r>
    </w:p>
    <w:p w:rsidR="00913429" w:rsidRDefault="00E143F0">
      <w:pPr>
        <w:pStyle w:val="ListParagraph"/>
        <w:numPr>
          <w:ilvl w:val="0"/>
          <w:numId w:val="140"/>
        </w:numPr>
        <w:spacing w:before="0" w:line="259" w:lineRule="auto"/>
        <w:jc w:val="both"/>
        <w:rPr>
          <w:noProof/>
          <w:lang w:val="en-GB"/>
        </w:rPr>
      </w:pPr>
      <w:r>
        <w:rPr>
          <w:noProof/>
          <w:lang w:val="en-GB"/>
        </w:rPr>
        <w:t xml:space="preserve">In </w:t>
      </w:r>
      <w:r>
        <w:rPr>
          <w:b/>
          <w:noProof/>
          <w:lang w:val="en-GB"/>
        </w:rPr>
        <w:t>Sweden</w:t>
      </w:r>
      <w:r>
        <w:rPr>
          <w:noProof/>
          <w:lang w:val="en-GB"/>
        </w:rPr>
        <w:t>, there is a long tradition of cooperation between the energy sector and the responsible authorities regarding all security matters. A common security website for the energy sector (www.energisakerhetsportalen.se) has been developed where all relevant info</w:t>
      </w:r>
      <w:r>
        <w:rPr>
          <w:noProof/>
          <w:lang w:val="en-GB"/>
        </w:rPr>
        <w:t xml:space="preserve">rmation is gathered; </w:t>
      </w:r>
    </w:p>
    <w:p w:rsidR="00913429" w:rsidRDefault="00E143F0">
      <w:pPr>
        <w:pStyle w:val="ListParagraph"/>
        <w:numPr>
          <w:ilvl w:val="0"/>
          <w:numId w:val="140"/>
        </w:numPr>
        <w:spacing w:before="0" w:line="259" w:lineRule="auto"/>
        <w:jc w:val="both"/>
        <w:rPr>
          <w:noProof/>
          <w:lang w:val="en-GB"/>
        </w:rPr>
      </w:pPr>
      <w:r>
        <w:rPr>
          <w:noProof/>
          <w:lang w:val="en-GB"/>
        </w:rPr>
        <w:t xml:space="preserve">In </w:t>
      </w:r>
      <w:r>
        <w:rPr>
          <w:b/>
          <w:noProof/>
          <w:lang w:val="en-GB"/>
        </w:rPr>
        <w:t>Portugal</w:t>
      </w:r>
      <w:r>
        <w:rPr>
          <w:noProof/>
          <w:lang w:val="en-GB"/>
        </w:rPr>
        <w:t>, the National Cyber security Center (CNCS), part of the National Security Authority, ensures effective crisis management, coordinates the operational response to cyberattacks, develops national synergies and enhance intern</w:t>
      </w:r>
      <w:r>
        <w:rPr>
          <w:noProof/>
          <w:lang w:val="en-GB"/>
        </w:rPr>
        <w:t xml:space="preserve">ational cooperation in this field. It has been developing a number of initiatives closely related to the energy sector; </w:t>
      </w:r>
    </w:p>
    <w:p w:rsidR="00913429" w:rsidRDefault="00E143F0">
      <w:pPr>
        <w:pStyle w:val="ListParagraph"/>
        <w:numPr>
          <w:ilvl w:val="0"/>
          <w:numId w:val="140"/>
        </w:numPr>
        <w:spacing w:before="0" w:line="259" w:lineRule="auto"/>
        <w:jc w:val="both"/>
        <w:rPr>
          <w:noProof/>
          <w:lang w:val="en-GB"/>
        </w:rPr>
      </w:pPr>
      <w:r>
        <w:rPr>
          <w:noProof/>
          <w:lang w:val="en-GB"/>
        </w:rPr>
        <w:t xml:space="preserve">In </w:t>
      </w:r>
      <w:r>
        <w:rPr>
          <w:b/>
          <w:noProof/>
          <w:lang w:val="en-GB"/>
        </w:rPr>
        <w:t>Germany</w:t>
      </w:r>
      <w:r>
        <w:rPr>
          <w:noProof/>
          <w:lang w:val="en-GB"/>
        </w:rPr>
        <w:t>, the national IT-Security Act came into force in June 2015. Since May 2016, operators of critical infrastructures in the ene</w:t>
      </w:r>
      <w:r>
        <w:rPr>
          <w:noProof/>
          <w:lang w:val="en-GB"/>
        </w:rPr>
        <w:t>rgy sector are obliged to report network and information security incidents that may have a disruptive effect on the provision of their service. In addition to that, all DSOs and TSOs need to fulfill a catalogue of IT-security measures and implement an Inf</w:t>
      </w:r>
      <w:r>
        <w:rPr>
          <w:noProof/>
          <w:lang w:val="en-GB"/>
        </w:rPr>
        <w:t xml:space="preserve">ormation Security Management System (ISMS) compliant with ISO/IEC 27001. Electricity generation plants that have been identified as critical infrastructures will need to fulfill a different catalogue of IT-security measures that is currently being drafted </w:t>
      </w:r>
      <w:r>
        <w:rPr>
          <w:noProof/>
          <w:lang w:val="en-GB"/>
        </w:rPr>
        <w:t>by the national regulatory authority."</w:t>
      </w:r>
    </w:p>
    <w:p w:rsidR="00913429" w:rsidRDefault="00E143F0">
      <w:pPr>
        <w:spacing w:after="60"/>
        <w:jc w:val="both"/>
        <w:rPr>
          <w:noProof/>
        </w:rPr>
      </w:pPr>
      <w:r>
        <w:rPr>
          <w:noProof/>
        </w:rPr>
        <w:t>Ensuring resilience of the energy supply systems against cyber risks and threats are becoming increasingly important as widespread use of ICT and data communication is becoming the foundation for the functioning of in</w:t>
      </w:r>
      <w:r>
        <w:rPr>
          <w:noProof/>
        </w:rPr>
        <w:t xml:space="preserve">frastructures underlying the energy systems. The increased efficiency in supply services comes with a price: increased exposure to cyber incidents and attacks. In a cross-sector manner, these threats apply to all generation, transmission, distribution and </w:t>
      </w:r>
      <w:r>
        <w:rPr>
          <w:noProof/>
        </w:rPr>
        <w:t xml:space="preserve">process technologies, and to energy market services. </w:t>
      </w:r>
    </w:p>
    <w:p w:rsidR="00913429" w:rsidRDefault="00E143F0">
      <w:pPr>
        <w:jc w:val="both"/>
        <w:rPr>
          <w:noProof/>
        </w:rPr>
      </w:pPr>
      <w:r>
        <w:rPr>
          <w:noProof/>
        </w:rPr>
        <w:t xml:space="preserve">The digitalization of the energy sector also raises the question of how to face the risks and threats of cyber incidents and attacks affecting personal data and strategic energy infrastructure data, </w:t>
      </w:r>
      <w:r>
        <w:rPr>
          <w:noProof/>
        </w:rPr>
        <w:t>which are sometimes crucial for the security of the energy supply.</w:t>
      </w:r>
      <w:r>
        <w:rPr>
          <w:noProof/>
          <w:vertAlign w:val="superscript"/>
        </w:rPr>
        <w:footnoteReference w:id="65"/>
      </w:r>
    </w:p>
    <w:p w:rsidR="00913429" w:rsidRDefault="00E143F0">
      <w:pPr>
        <w:pStyle w:val="Heading4"/>
        <w:rPr>
          <w:noProof/>
        </w:rPr>
      </w:pPr>
      <w:r>
        <w:rPr>
          <w:noProof/>
        </w:rPr>
        <w:t xml:space="preserve">Transportation Sector </w:t>
      </w:r>
    </w:p>
    <w:p w:rsidR="00913429" w:rsidRDefault="00E143F0">
      <w:pPr>
        <w:spacing w:after="60"/>
        <w:jc w:val="both"/>
        <w:rPr>
          <w:noProof/>
        </w:rPr>
      </w:pPr>
      <w:r>
        <w:rPr>
          <w:noProof/>
        </w:rPr>
        <w:t>The integration of several ICT systems for water transport, railways, airports and intelligent public transport, where cyber-physical devices, communication networks</w:t>
      </w:r>
      <w:r>
        <w:rPr>
          <w:noProof/>
        </w:rPr>
        <w:t xml:space="preserve"> and central servers optimise the transport service up to a certain degree of automation, it also has the effect of introducing cyber security risks into transport networks that have not historically been susceptible to such risks. A total of 81% of large </w:t>
      </w:r>
      <w:r>
        <w:rPr>
          <w:noProof/>
        </w:rPr>
        <w:t>businesses and 60% of small businesses suffered a cyber security breach in the past year. €700,000 – € 1,30 million is the averaged cost to a large organisation</w:t>
      </w:r>
      <w:r>
        <w:rPr>
          <w:rStyle w:val="FootnoteReference"/>
          <w:noProof/>
        </w:rPr>
        <w:footnoteReference w:id="66"/>
      </w:r>
      <w:r>
        <w:rPr>
          <w:noProof/>
        </w:rPr>
        <w:t xml:space="preserve">. </w:t>
      </w:r>
    </w:p>
    <w:p w:rsidR="00913429" w:rsidRDefault="00E143F0">
      <w:pPr>
        <w:spacing w:after="60"/>
        <w:jc w:val="both"/>
        <w:rPr>
          <w:noProof/>
        </w:rPr>
      </w:pPr>
      <w:r>
        <w:rPr>
          <w:noProof/>
        </w:rPr>
        <w:t>Some examples of cyber risks for the transportation sectors are related to: Physical asset d</w:t>
      </w:r>
      <w:r>
        <w:rPr>
          <w:noProof/>
        </w:rPr>
        <w:t>amage and associated loss of use, unavailability of IT systems and networks, loss or deletion of data, data breach leading to the compromise of third-party confidential information including personal data, cyber espionage resulting in the compromise of tra</w:t>
      </w:r>
      <w:r>
        <w:rPr>
          <w:noProof/>
        </w:rPr>
        <w:t>de secrets, research and development, and other sensitive information</w:t>
      </w:r>
      <w:r>
        <w:rPr>
          <w:rStyle w:val="FootnoteReference"/>
          <w:noProof/>
        </w:rPr>
        <w:footnoteReference w:id="67"/>
      </w:r>
      <w:r>
        <w:rPr>
          <w:noProof/>
        </w:rPr>
        <w:t>. Risks for railway comes for example when informational systems are attacked leading to unavailability of services for the passenger, like being unable to buy a ticket or digitally chec</w:t>
      </w:r>
      <w:r>
        <w:rPr>
          <w:noProof/>
        </w:rPr>
        <w:t>k a ticket into the system</w:t>
      </w:r>
      <w:r>
        <w:rPr>
          <w:rStyle w:val="FootnoteReference"/>
          <w:noProof/>
        </w:rPr>
        <w:footnoteReference w:id="68"/>
      </w:r>
      <w:r>
        <w:rPr>
          <w:noProof/>
        </w:rPr>
        <w:t xml:space="preserve">. </w:t>
      </w:r>
    </w:p>
    <w:p w:rsidR="00913429" w:rsidRDefault="00E143F0">
      <w:pPr>
        <w:spacing w:after="60"/>
        <w:jc w:val="both"/>
        <w:rPr>
          <w:noProof/>
        </w:rPr>
      </w:pPr>
      <w:r>
        <w:rPr>
          <w:noProof/>
        </w:rPr>
        <w:t>For Smart airports, the introduction of new components and functionalities to facilitate the infrastructure-to-passenger interaction and vice-versa paves the way for new attack vectors or pathways and exposes airport assets to</w:t>
      </w:r>
      <w:r>
        <w:rPr>
          <w:noProof/>
        </w:rPr>
        <w:t xml:space="preserve"> a larger attack surface. These risks include vulnerabilities in ICT and electronic systems as well as the information and data held and processed by such systems. Vulnerabilities can be exploited by malicious actions, but also human errors, system or thir</w:t>
      </w:r>
      <w:r>
        <w:rPr>
          <w:noProof/>
        </w:rPr>
        <w:t xml:space="preserve">d party failures and natural phenomena. </w:t>
      </w:r>
    </w:p>
    <w:p w:rsidR="00913429" w:rsidRDefault="00E143F0">
      <w:pPr>
        <w:jc w:val="both"/>
        <w:rPr>
          <w:noProof/>
        </w:rPr>
      </w:pPr>
      <w:r>
        <w:rPr>
          <w:noProof/>
        </w:rPr>
        <w:t>Therefore, it is imperative to put in place a collaborative model to set goals and define an appropriate cyber security approach to strengthen the aviation system’s resilience against attacks. To this aim, significa</w:t>
      </w:r>
      <w:r>
        <w:rPr>
          <w:noProof/>
        </w:rPr>
        <w:t>nt effort is being invested across the aviation community at different levels, including standardization, security working groups, research and education. Identification of challenges posed by cyber threats, risk assessment approaches and guidelines to enh</w:t>
      </w:r>
      <w:r>
        <w:rPr>
          <w:noProof/>
        </w:rPr>
        <w:t>ance cyber security, either in terms of high-level governance strategies or in terms of specific technological supports, are priorities currently tackled.</w:t>
      </w:r>
      <w:r>
        <w:rPr>
          <w:noProof/>
          <w:vertAlign w:val="superscript"/>
        </w:rPr>
        <w:footnoteReference w:id="69"/>
      </w:r>
    </w:p>
    <w:p w:rsidR="00913429" w:rsidRDefault="00E143F0">
      <w:pPr>
        <w:pStyle w:val="Heading4"/>
        <w:rPr>
          <w:noProof/>
        </w:rPr>
      </w:pPr>
      <w:r>
        <w:rPr>
          <w:noProof/>
        </w:rPr>
        <w:t xml:space="preserve">Finance Sector </w:t>
      </w:r>
    </w:p>
    <w:p w:rsidR="00913429" w:rsidRDefault="00E143F0">
      <w:pPr>
        <w:spacing w:after="60"/>
        <w:jc w:val="both"/>
        <w:rPr>
          <w:noProof/>
        </w:rPr>
      </w:pPr>
      <w:r>
        <w:rPr>
          <w:noProof/>
        </w:rPr>
        <w:t>For the Finance Sector, a complex set of interconnected networks allows real-time da</w:t>
      </w:r>
      <w:r>
        <w:rPr>
          <w:noProof/>
        </w:rPr>
        <w:t>ta exchange thus increasing the efficiency of communications, but, on the other side, it increases the risk of accessibility to confidential information and to critical systems able to control physical assets.</w:t>
      </w:r>
      <w:r>
        <w:rPr>
          <w:rStyle w:val="FootnoteReference"/>
          <w:noProof/>
        </w:rPr>
        <w:footnoteReference w:id="70"/>
      </w:r>
      <w:r>
        <w:rPr>
          <w:noProof/>
        </w:rPr>
        <w:t xml:space="preserve"> </w:t>
      </w:r>
    </w:p>
    <w:p w:rsidR="00913429" w:rsidRDefault="00E143F0">
      <w:pPr>
        <w:spacing w:after="60"/>
        <w:jc w:val="both"/>
        <w:rPr>
          <w:noProof/>
        </w:rPr>
      </w:pPr>
      <w:r>
        <w:rPr>
          <w:noProof/>
        </w:rPr>
        <w:t>Financial IT systems are exposed to a number</w:t>
      </w:r>
      <w:r>
        <w:rPr>
          <w:noProof/>
        </w:rPr>
        <w:t xml:space="preserve"> of hazards which require consistent efforts to operate securely. In recent years, NIS risks have become more complex and their impact can range from low to very high, including domino effects. Such impacts will not be confined to the “virtual” world; a ma</w:t>
      </w:r>
      <w:r>
        <w:rPr>
          <w:noProof/>
        </w:rPr>
        <w:t>jor attack outreach would most certainly impact the assets in safekeeping or in transit.</w:t>
      </w:r>
      <w:r>
        <w:rPr>
          <w:rStyle w:val="FootnoteReference"/>
          <w:noProof/>
        </w:rPr>
        <w:footnoteReference w:id="71"/>
      </w:r>
      <w:r>
        <w:rPr>
          <w:noProof/>
        </w:rPr>
        <w:t xml:space="preserve"> </w:t>
      </w:r>
    </w:p>
    <w:p w:rsidR="00913429" w:rsidRDefault="00E143F0">
      <w:pPr>
        <w:spacing w:after="60"/>
        <w:jc w:val="both"/>
        <w:rPr>
          <w:noProof/>
        </w:rPr>
      </w:pPr>
      <w:r>
        <w:rPr>
          <w:noProof/>
        </w:rPr>
        <w:t xml:space="preserve">Online financial services and lending companies are increasingly being targeted by fraudsters and costing consumers millions of euros around the world, according to </w:t>
      </w:r>
      <w:r>
        <w:rPr>
          <w:noProof/>
        </w:rPr>
        <w:t>research. Cyber-attacks against online lending companies and alternative payment systems increased 122% in 2016, according to ThreatMetrix, a security company that monitors more than 20 billion online transactions a year. The fraud is estimated to have cos</w:t>
      </w:r>
      <w:r>
        <w:rPr>
          <w:noProof/>
        </w:rPr>
        <w:t>t consumers as much as 9 billion euros in 2016, the company said</w:t>
      </w:r>
      <w:r>
        <w:rPr>
          <w:rStyle w:val="FootnoteReference"/>
          <w:noProof/>
        </w:rPr>
        <w:footnoteReference w:id="72"/>
      </w:r>
      <w:r>
        <w:rPr>
          <w:noProof/>
        </w:rPr>
        <w:t>. </w:t>
      </w:r>
    </w:p>
    <w:p w:rsidR="00913429" w:rsidRDefault="00E143F0">
      <w:pPr>
        <w:spacing w:after="60"/>
        <w:jc w:val="both"/>
        <w:rPr>
          <w:noProof/>
        </w:rPr>
      </w:pPr>
      <w:r>
        <w:rPr>
          <w:noProof/>
        </w:rPr>
        <w:t xml:space="preserve">ICT operators, intended as operators who directly manage Internet connections (such as Internet Service Providers and telecom operators), are directly involved in the cybersecurity issues </w:t>
      </w:r>
      <w:r>
        <w:rPr>
          <w:noProof/>
        </w:rPr>
        <w:t>and considered the most liable actors. Due to the fact that they manage ICT infrastructures and connected services, in the case of a successful cyber-attack, they would suffer the most direct consequences, but wide damages would also affect the rest of soc</w:t>
      </w:r>
      <w:r>
        <w:rPr>
          <w:noProof/>
        </w:rPr>
        <w:t>iety.</w:t>
      </w:r>
      <w:r>
        <w:rPr>
          <w:rStyle w:val="FootnoteReference"/>
          <w:noProof/>
        </w:rPr>
        <w:footnoteReference w:id="73"/>
      </w:r>
      <w:r>
        <w:rPr>
          <w:noProof/>
        </w:rPr>
        <w:t xml:space="preserve"> A survey of 1,000 companies who have been victims of a ransomware attack, when cyber criminals lock all the files in a system and demand payment, revealed such breaches on average knock systems down for a full week, costing up to €2,300 a day in los</w:t>
      </w:r>
      <w:r>
        <w:rPr>
          <w:noProof/>
        </w:rPr>
        <w:t>t revenue. Of the affected businesses, more than 250 paid over €5,700 for the safe return of their data. One third could not access their information for a month after the attack, while 15% said it was never recoverable</w:t>
      </w:r>
      <w:r>
        <w:rPr>
          <w:rStyle w:val="FootnoteReference"/>
          <w:noProof/>
        </w:rPr>
        <w:footnoteReference w:id="74"/>
      </w:r>
      <w:r>
        <w:rPr>
          <w:noProof/>
        </w:rPr>
        <w:t xml:space="preserve">. </w:t>
      </w:r>
    </w:p>
    <w:p w:rsidR="00913429" w:rsidRDefault="00E143F0">
      <w:pPr>
        <w:spacing w:after="60"/>
        <w:jc w:val="both"/>
        <w:rPr>
          <w:noProof/>
        </w:rPr>
      </w:pPr>
      <w:r>
        <w:rPr>
          <w:noProof/>
        </w:rPr>
        <w:t>Moreover, Criminals have moved aw</w:t>
      </w:r>
      <w:r>
        <w:rPr>
          <w:noProof/>
        </w:rPr>
        <w:t>ay from cracking metal safes and bank vaults. The money is now in their digital equivalents and these are proving vulnerable to the hackers and crackers of the codes of the digital world. The cryptographic codes of the digital world are extremely hard to b</w:t>
      </w:r>
      <w:r>
        <w:rPr>
          <w:noProof/>
        </w:rPr>
        <w:t>reak, but however hard these may be, they can be vulnerable to being bypassed. In the case of Bitcoin, the ‘wallets’ that hold the currency have proved vulnerable to theft — but the ledger itself has remained resilient, though in principle it would be vuln</w:t>
      </w:r>
      <w:r>
        <w:rPr>
          <w:noProof/>
        </w:rPr>
        <w:t>erable if over 50% of the computer processing power for the Bitcoin ledger fell into the hands of a single malevolent individual or organisation. Indeed, a great strength of distributed ledgers is that they should be highly resilient to attack.</w:t>
      </w:r>
      <w:r>
        <w:rPr>
          <w:rStyle w:val="FootnoteReference"/>
          <w:noProof/>
        </w:rPr>
        <w:footnoteReference w:id="75"/>
      </w:r>
      <w:r>
        <w:rPr>
          <w:noProof/>
        </w:rPr>
        <w:t xml:space="preserve"> </w:t>
      </w:r>
    </w:p>
    <w:p w:rsidR="00913429" w:rsidRDefault="00E143F0">
      <w:pPr>
        <w:spacing w:after="60"/>
        <w:jc w:val="both"/>
        <w:rPr>
          <w:noProof/>
        </w:rPr>
      </w:pPr>
      <w:r>
        <w:rPr>
          <w:noProof/>
        </w:rPr>
        <w:t>Against t</w:t>
      </w:r>
      <w:r>
        <w:rPr>
          <w:noProof/>
        </w:rPr>
        <w:t>his background and according to the “SANS Financial Services Security” Survey</w:t>
      </w:r>
      <w:r>
        <w:rPr>
          <w:rStyle w:val="FootnoteReference"/>
          <w:noProof/>
        </w:rPr>
        <w:footnoteReference w:id="76"/>
      </w:r>
      <w:r>
        <w:rPr>
          <w:noProof/>
        </w:rPr>
        <w:t>, most organizations operating in the finance sector need to be compliant with multiple mandates, which could also explain why so much of their budgets are being spent on complia</w:t>
      </w:r>
      <w:r>
        <w:rPr>
          <w:noProof/>
        </w:rPr>
        <w:t>nce. Maintaining these compliance requirements requires automated tools to help identify overlaps in compliance reporting requirements as they monitor against multiple frameworks. Payment Card Industry Data Security Standard (PCI DSS), a requirement for pr</w:t>
      </w:r>
      <w:r>
        <w:rPr>
          <w:noProof/>
        </w:rPr>
        <w:t>ocessing credit cards, was cited by 50% of respondents as a mandate they adhered to. Other key mandates included Sarbanes-Oxley Act of 2002 (SOX, P.L. 107-204), a requirement for publicly traded companies (49%), and Gramm-Leach-Bliley Act, the Financial Se</w:t>
      </w:r>
      <w:r>
        <w:rPr>
          <w:noProof/>
        </w:rPr>
        <w:t>rvices Modernization Act of 1999 (GLBA, P.L. 106-102; 47%), a requirement for financial institutions. In addition, approximately 37% adhere to the Bank Secrecy Act and 35% to Federal Financial Institutions Examination Council (FFIEC). Almost 45% of the res</w:t>
      </w:r>
      <w:r>
        <w:rPr>
          <w:noProof/>
        </w:rPr>
        <w:t>pondents answered that their organization must be compliant also with State/Regional laws or rules governing financial services systems. Survey respondents also use a range of security frameworks and standards. The top two (49% each) were the ISO 27000 Ser</w:t>
      </w:r>
      <w:r>
        <w:rPr>
          <w:noProof/>
        </w:rPr>
        <w:t xml:space="preserve">ies and PCI DSS for securing card payments. Credit card processors require card issuers and merchant banks to be compliant with PCI DSS as well as to use only service providers that also demonstrate compliance. In November 2013, the PCI Security Standards </w:t>
      </w:r>
      <w:r>
        <w:rPr>
          <w:noProof/>
        </w:rPr>
        <w:t>Council released PCI DSS version 3.0. Another common security framework is COBIT. Published by the Information Systems Audit and Control Association (ISACA), it is a business framework for the governance and management of enterprise IT.</w:t>
      </w:r>
    </w:p>
    <w:p w:rsidR="00913429" w:rsidRDefault="00E143F0">
      <w:pPr>
        <w:jc w:val="both"/>
        <w:rPr>
          <w:noProof/>
        </w:rPr>
      </w:pPr>
      <w:r>
        <w:rPr>
          <w:noProof/>
        </w:rPr>
        <w:t xml:space="preserve">Growing numbers of </w:t>
      </w:r>
      <w:r>
        <w:rPr>
          <w:noProof/>
        </w:rPr>
        <w:t>regulations are attempting to control the potential losses in the financial services industry. The amount organizations spend on meeting regulatory requirements is huge and is getting bigger. But, for every euro spent on completing a regulatory form, there</w:t>
      </w:r>
      <w:r>
        <w:rPr>
          <w:noProof/>
        </w:rPr>
        <w:t xml:space="preserve"> is one less euro available for actually making systems more secure. There is room for legislative reform to move mature organizations away from being compliance driven to focusing on reducing attack surfaces, minimizing vulnerabilities and defending again</w:t>
      </w:r>
      <w:r>
        <w:rPr>
          <w:noProof/>
        </w:rPr>
        <w:t>st threats.</w:t>
      </w:r>
    </w:p>
    <w:p w:rsidR="00913429" w:rsidRDefault="00E143F0">
      <w:pPr>
        <w:pStyle w:val="Heading4"/>
        <w:rPr>
          <w:noProof/>
        </w:rPr>
      </w:pPr>
      <w:r>
        <w:rPr>
          <w:noProof/>
        </w:rPr>
        <w:t xml:space="preserve">Healthcare Sector </w:t>
      </w:r>
    </w:p>
    <w:p w:rsidR="00913429" w:rsidRDefault="00E143F0">
      <w:pPr>
        <w:spacing w:after="60"/>
        <w:jc w:val="both"/>
        <w:rPr>
          <w:noProof/>
        </w:rPr>
      </w:pPr>
      <w:r>
        <w:rPr>
          <w:noProof/>
        </w:rPr>
        <w:t xml:space="preserve">Devices, system components and networks are becoming autonomous, ubiquitous and interconnected. When this technological advancement applies to the healthcare sectors, one of the most traditional critical sectors, the results </w:t>
      </w:r>
      <w:r>
        <w:rPr>
          <w:noProof/>
        </w:rPr>
        <w:t>are remarkable. Connected medical devices transform the way the healthcare industry works, both within hospitals and between different actors of the healthcare industry.</w:t>
      </w:r>
      <w:r>
        <w:rPr>
          <w:rStyle w:val="FootnoteReference"/>
          <w:noProof/>
        </w:rPr>
        <w:footnoteReference w:id="77"/>
      </w:r>
      <w:r>
        <w:rPr>
          <w:noProof/>
        </w:rPr>
        <w:t xml:space="preserve"> </w:t>
      </w:r>
    </w:p>
    <w:p w:rsidR="00913429" w:rsidRDefault="00E143F0">
      <w:pPr>
        <w:spacing w:after="60"/>
        <w:jc w:val="both"/>
        <w:rPr>
          <w:noProof/>
        </w:rPr>
      </w:pPr>
      <w:r>
        <w:rPr>
          <w:noProof/>
        </w:rPr>
        <w:t>In most countries an eHealth strategy exists, following the recommendation of the fi</w:t>
      </w:r>
      <w:r>
        <w:rPr>
          <w:noProof/>
        </w:rPr>
        <w:t>rst EU eHealth Action Plan requesting the Member States to setup such policy documents to describe eHealth specificities, bodies involved and their responsibilities at a national level. Overall, eHealth infrastructures protection falls under the generic um</w:t>
      </w:r>
      <w:r>
        <w:rPr>
          <w:noProof/>
        </w:rPr>
        <w:t xml:space="preserve">brella of CIIP. </w:t>
      </w:r>
    </w:p>
    <w:p w:rsidR="00913429" w:rsidRDefault="00E143F0">
      <w:pPr>
        <w:spacing w:after="60"/>
        <w:jc w:val="both"/>
        <w:rPr>
          <w:noProof/>
        </w:rPr>
      </w:pPr>
      <w:r>
        <w:rPr>
          <w:noProof/>
        </w:rPr>
        <w:t>Currently, there is no specific regulatory framework on critical eHealth infrastructure protection.</w:t>
      </w:r>
      <w:r>
        <w:rPr>
          <w:rStyle w:val="FootnoteReference"/>
          <w:noProof/>
        </w:rPr>
        <w:footnoteReference w:id="78"/>
      </w:r>
      <w:r>
        <w:rPr>
          <w:noProof/>
        </w:rPr>
        <w:t xml:space="preserve"> Not all MS consider eHealth as a critical sector; in some cases eHealth services formulate a different category of emergency services and </w:t>
      </w:r>
      <w:r>
        <w:rPr>
          <w:noProof/>
        </w:rPr>
        <w:t>are not classified as critical, in other cases healthcare ICT services are not considered critical as the environment is considered so isolated that any incident would have small impact. Instead, the complexity of eHealth systems is very high, which render</w:t>
      </w:r>
      <w:r>
        <w:rPr>
          <w:noProof/>
        </w:rPr>
        <w:t>s information quality (completeness, integrity), accessibility and availability a very challenging task. Emerging healthcare data sharing schemes like EHR (Electronic Health Records) or PHR (Patient Health Records) as well as cross-border scenarios further</w:t>
      </w:r>
      <w:r>
        <w:rPr>
          <w:noProof/>
        </w:rPr>
        <w:t xml:space="preserve"> complicate the technological challenges and respective protection requirements.</w:t>
      </w:r>
      <w:r>
        <w:rPr>
          <w:rStyle w:val="FootnoteReference"/>
          <w:noProof/>
        </w:rPr>
        <w:footnoteReference w:id="79"/>
      </w:r>
      <w:r>
        <w:rPr>
          <w:noProof/>
        </w:rPr>
        <w:t xml:space="preserve"> </w:t>
      </w:r>
    </w:p>
    <w:p w:rsidR="00913429" w:rsidRDefault="00E143F0">
      <w:pPr>
        <w:spacing w:after="60"/>
        <w:jc w:val="both"/>
        <w:rPr>
          <w:noProof/>
        </w:rPr>
      </w:pPr>
      <w:r>
        <w:rPr>
          <w:noProof/>
        </w:rPr>
        <w:t>Another major issue affecting cyber security in the case of healthcare is the lifespan of medical devices and equipment. Medical devices like CAT scanners, MRI machines etc.</w:t>
      </w:r>
      <w:r>
        <w:rPr>
          <w:noProof/>
        </w:rPr>
        <w:t xml:space="preserve"> can stay as part of a hospital for more than a decade. This means that new vulnerabilities arise as attackers become more sophisticated. Moreover, this shows that intensive focus should be given in the patching and updating management of these devices. Th</w:t>
      </w:r>
      <w:r>
        <w:rPr>
          <w:noProof/>
        </w:rPr>
        <w:t>e very thin line between usability and security is becoming now more transparent as patching comes second (or even lower) in priority especially as the machines might need to be available at any given moment.</w:t>
      </w:r>
      <w:r>
        <w:rPr>
          <w:rStyle w:val="FootnoteReference"/>
          <w:noProof/>
        </w:rPr>
        <w:footnoteReference w:id="80"/>
      </w:r>
      <w:r>
        <w:rPr>
          <w:noProof/>
        </w:rPr>
        <w:t xml:space="preserve"> </w:t>
      </w:r>
    </w:p>
    <w:p w:rsidR="00913429" w:rsidRDefault="00E143F0">
      <w:pPr>
        <w:spacing w:after="60"/>
        <w:jc w:val="both"/>
        <w:rPr>
          <w:noProof/>
        </w:rPr>
      </w:pPr>
      <w:r>
        <w:rPr>
          <w:noProof/>
        </w:rPr>
        <w:t xml:space="preserve">To provide some quantitative data, according </w:t>
      </w:r>
      <w:r>
        <w:rPr>
          <w:noProof/>
        </w:rPr>
        <w:t>to “Health care and Cyber Security: Increasing Threats Require Increased Capabilities”</w:t>
      </w:r>
      <w:r>
        <w:rPr>
          <w:rStyle w:val="FootnoteReference"/>
          <w:noProof/>
        </w:rPr>
        <w:footnoteReference w:id="81"/>
      </w:r>
      <w:r>
        <w:rPr>
          <w:noProof/>
        </w:rPr>
        <w:t xml:space="preserve"> report, the greatest vulnerabilities for the health sector come from: 65% External Attackers, 48% Sharing Data with Third-Parties, 35% Employee Breaches/Theft, 35% Wireless Computing, 27% Inadequate firewalls. Mature incident and vulnerability management </w:t>
      </w:r>
      <w:r>
        <w:rPr>
          <w:noProof/>
        </w:rPr>
        <w:t>processes are lacking in most organizations, and thus, daily threats are not even reported or managed effectively by many organizations. In fact, there were more than 700,000 hacking attacks in any given minute against healthcare organizations in the fourt</w:t>
      </w:r>
      <w:r>
        <w:rPr>
          <w:noProof/>
        </w:rPr>
        <w:t>h quarter of 2016, according to a study of 450 providers around the world by the threat intelligence arm of cybersecurity vendor Fortinet</w:t>
      </w:r>
      <w:r>
        <w:rPr>
          <w:rStyle w:val="FootnoteReference"/>
          <w:noProof/>
        </w:rPr>
        <w:footnoteReference w:id="82"/>
      </w:r>
      <w:r>
        <w:rPr>
          <w:noProof/>
        </w:rPr>
        <w:t xml:space="preserve">. </w:t>
      </w:r>
    </w:p>
    <w:p w:rsidR="00913429" w:rsidRDefault="00E143F0">
      <w:pPr>
        <w:spacing w:after="60"/>
        <w:jc w:val="both"/>
        <w:rPr>
          <w:noProof/>
        </w:rPr>
      </w:pPr>
      <w:r>
        <w:rPr>
          <w:noProof/>
        </w:rPr>
        <w:t>There is no getting around the huge financial results of a data breach</w:t>
      </w:r>
      <w:r>
        <w:rPr>
          <w:rStyle w:val="FootnoteReference"/>
          <w:noProof/>
        </w:rPr>
        <w:footnoteReference w:id="83"/>
      </w:r>
      <w:r>
        <w:rPr>
          <w:noProof/>
        </w:rPr>
        <w:t>. According to Ponemon Institute's 2016 Cost</w:t>
      </w:r>
      <w:r>
        <w:rPr>
          <w:noProof/>
        </w:rPr>
        <w:t xml:space="preserve"> of Data Breach Study, the average total cost of losing sensitive corporate or personal information is approximately 3,51 billion euros. Per stolen record, businesses and associations can spend anywhere between €130 and $140, with health card information c</w:t>
      </w:r>
      <w:r>
        <w:rPr>
          <w:noProof/>
        </w:rPr>
        <w:t>osting the most to lose, at $311 per record.</w:t>
      </w:r>
    </w:p>
    <w:p w:rsidR="00913429" w:rsidRDefault="00E143F0">
      <w:pPr>
        <w:spacing w:after="60"/>
        <w:jc w:val="both"/>
        <w:rPr>
          <w:noProof/>
        </w:rPr>
      </w:pPr>
      <w:r>
        <w:rPr>
          <w:noProof/>
        </w:rPr>
        <w:t>The majority of data breach costs are associated with resolving the matter, as organizations must pay compliance fines and court fees, invest in forensic and investigation processes, and spend revenue on identit</w:t>
      </w:r>
      <w:r>
        <w:rPr>
          <w:noProof/>
        </w:rPr>
        <w:t>y theft prevention services for customers or employees. Additionally, Ponemon's report noted that turnover of consumers directly impacts business costs, and from then on out, these organizations must spend more on customer acquisition as the reputational l</w:t>
      </w:r>
      <w:r>
        <w:rPr>
          <w:noProof/>
        </w:rPr>
        <w:t>osses of a data breach last a long time.</w:t>
      </w:r>
    </w:p>
    <w:p w:rsidR="00913429" w:rsidRDefault="00E143F0">
      <w:pPr>
        <w:jc w:val="both"/>
        <w:rPr>
          <w:noProof/>
        </w:rPr>
      </w:pPr>
      <w:r>
        <w:rPr>
          <w:noProof/>
        </w:rPr>
        <w:t xml:space="preserve">Healthcare actors including hospitals need to anticipate, prepare for, and respond and adapt not only to incremental change but also to sudden disruption. In smart hospitals, achieving this is more challenging than </w:t>
      </w:r>
      <w:r>
        <w:rPr>
          <w:noProof/>
        </w:rPr>
        <w:t>in traditional hospitals because the number of components that could lead to and be affected by service unavailability is much higher. Moreover, with the constant increase in the use of ICT components/products applied to the healthcare sector, to make sure</w:t>
      </w:r>
      <w:r>
        <w:rPr>
          <w:noProof/>
        </w:rPr>
        <w:t xml:space="preserve"> that security-related requirements from users as well as regulators are met, it is important to involve them into test design and execution at an early stage. In the healthcare context, hospitals should play a key role in the testing activities. For insta</w:t>
      </w:r>
      <w:r>
        <w:rPr>
          <w:noProof/>
        </w:rPr>
        <w:t xml:space="preserve">nce, cross-testing could be performed in a larger number of hospitals before products are released. Moreover, regular penetration testing and mock by through security companies are advisable to assess security levels. Mock attacks could also be useful for </w:t>
      </w:r>
      <w:r>
        <w:rPr>
          <w:noProof/>
        </w:rPr>
        <w:t>hospitals as they allow determining response times.</w:t>
      </w:r>
      <w:r>
        <w:rPr>
          <w:rStyle w:val="FootnoteReference"/>
          <w:noProof/>
        </w:rPr>
        <w:footnoteReference w:id="84"/>
      </w:r>
    </w:p>
    <w:p w:rsidR="00913429" w:rsidRDefault="00913429">
      <w:pPr>
        <w:spacing w:after="0" w:line="240" w:lineRule="auto"/>
        <w:rPr>
          <w:noProof/>
        </w:rPr>
      </w:pPr>
    </w:p>
    <w:p w:rsidR="00913429" w:rsidRDefault="00E143F0">
      <w:pPr>
        <w:spacing w:after="0" w:line="240" w:lineRule="auto"/>
        <w:rPr>
          <w:noProof/>
        </w:rPr>
      </w:pPr>
      <w:r>
        <w:rPr>
          <w:noProof/>
        </w:rPr>
        <w:br w:type="page"/>
      </w:r>
    </w:p>
    <w:p w:rsidR="00913429" w:rsidRDefault="00E143F0">
      <w:pPr>
        <w:pStyle w:val="ListParagraph"/>
        <w:keepNext/>
        <w:keepLines/>
        <w:numPr>
          <w:ilvl w:val="1"/>
          <w:numId w:val="93"/>
        </w:numPr>
        <w:tabs>
          <w:tab w:val="left" w:pos="993"/>
        </w:tabs>
        <w:spacing w:after="120"/>
        <w:ind w:right="-23"/>
        <w:outlineLvl w:val="1"/>
        <w:rPr>
          <w:noProof/>
          <w:color w:val="DC6900"/>
          <w:sz w:val="32"/>
          <w:szCs w:val="26"/>
          <w:lang w:val="en-GB"/>
        </w:rPr>
      </w:pPr>
      <w:bookmarkStart w:id="202" w:name="_Toc492396570"/>
      <w:r>
        <w:rPr>
          <w:noProof/>
          <w:color w:val="DC6900"/>
          <w:sz w:val="32"/>
          <w:szCs w:val="26"/>
          <w:lang w:val="en-GB"/>
        </w:rPr>
        <w:t>The Lack of Appropriate Standards and the Need for a Common International Approach</w:t>
      </w:r>
      <w:bookmarkEnd w:id="202"/>
    </w:p>
    <w:p w:rsidR="00913429" w:rsidRDefault="00E143F0">
      <w:pPr>
        <w:spacing w:after="60"/>
        <w:jc w:val="both"/>
        <w:rPr>
          <w:noProof/>
        </w:rPr>
      </w:pPr>
      <w:r>
        <w:rPr>
          <w:noProof/>
        </w:rPr>
        <w:t>Standards and other standardisation publications are </w:t>
      </w:r>
      <w:r>
        <w:rPr>
          <w:b/>
          <w:bCs/>
          <w:noProof/>
        </w:rPr>
        <w:t>voluntary</w:t>
      </w:r>
      <w:r>
        <w:rPr>
          <w:noProof/>
        </w:rPr>
        <w:t> guidelines providing </w:t>
      </w:r>
      <w:r>
        <w:rPr>
          <w:b/>
          <w:bCs/>
          <w:noProof/>
        </w:rPr>
        <w:t>technical specifications</w:t>
      </w:r>
      <w:r>
        <w:rPr>
          <w:noProof/>
        </w:rPr>
        <w:t xml:space="preserve"> for </w:t>
      </w:r>
      <w:r>
        <w:rPr>
          <w:noProof/>
        </w:rPr>
        <w:t xml:space="preserve">products, services and processes. Standards are developed by private standardisation organisations usually on the initiative of stakeholders who see a need to apply a standard. Although standards as such are voluntary, using them proves that your products </w:t>
      </w:r>
      <w:r>
        <w:rPr>
          <w:noProof/>
        </w:rPr>
        <w:t>and services reach a certain level of quality, safety and reliability. In some cases, standards are referenced in legislation as a </w:t>
      </w:r>
      <w:r>
        <w:rPr>
          <w:b/>
          <w:bCs/>
          <w:noProof/>
        </w:rPr>
        <w:t>preferred way</w:t>
      </w:r>
      <w:r>
        <w:rPr>
          <w:noProof/>
        </w:rPr>
        <w:t> or even as a </w:t>
      </w:r>
      <w:r>
        <w:rPr>
          <w:b/>
          <w:bCs/>
          <w:noProof/>
        </w:rPr>
        <w:t>mandatory requirement</w:t>
      </w:r>
      <w:r>
        <w:rPr>
          <w:noProof/>
        </w:rPr>
        <w:t> to comply with specific laws (i.e. safety legislation or interoperability re</w:t>
      </w:r>
      <w:r>
        <w:rPr>
          <w:noProof/>
        </w:rPr>
        <w:t>quirements).</w:t>
      </w:r>
    </w:p>
    <w:p w:rsidR="00913429" w:rsidRDefault="00E143F0">
      <w:pPr>
        <w:spacing w:after="60"/>
        <w:jc w:val="both"/>
        <w:rPr>
          <w:noProof/>
          <w:lang w:val="en"/>
        </w:rPr>
      </w:pPr>
      <w:r>
        <w:rPr>
          <w:noProof/>
          <w:lang w:val="en"/>
        </w:rPr>
        <w:t>Nations are using standards to meet a variety of objectives, in some cases imposing standards that are competing and contradictory, or excessively restrictive and not interoperable. Standardizing processes and procedures is an essential part o</w:t>
      </w:r>
      <w:r>
        <w:rPr>
          <w:noProof/>
          <w:lang w:val="en"/>
        </w:rPr>
        <w:t>f achieving successful cooperation in a cross-border or cross-community environment. In the absence of standardization, both processes and communication can be rendered ineffective.</w:t>
      </w:r>
    </w:p>
    <w:p w:rsidR="00913429" w:rsidRDefault="00E143F0">
      <w:pPr>
        <w:spacing w:after="60"/>
        <w:jc w:val="both"/>
        <w:rPr>
          <w:noProof/>
          <w:lang w:val="en"/>
        </w:rPr>
      </w:pPr>
      <w:r>
        <w:rPr>
          <w:noProof/>
          <w:lang w:val="en"/>
        </w:rPr>
        <w:t>Standards play a key role in ensuring that security products can be put to</w:t>
      </w:r>
      <w:r>
        <w:rPr>
          <w:noProof/>
          <w:lang w:val="en"/>
        </w:rPr>
        <w:t>gether into systems capable of detecting and responding to real events. In particular, standard interfaces and protocols make systems integration much simpler and allow products to interoperate in heterogeneous environments. Standardization of testing meth</w:t>
      </w:r>
      <w:r>
        <w:rPr>
          <w:noProof/>
          <w:lang w:val="en"/>
        </w:rPr>
        <w:t>ods also makes it possible to compare security products in a meaningful manner (‘benchmarking’) and provides a means for the end user to assess new products or services.</w:t>
      </w:r>
      <w:r>
        <w:rPr>
          <w:rStyle w:val="FootnoteReference"/>
          <w:noProof/>
          <w:lang w:val="en"/>
        </w:rPr>
        <w:footnoteReference w:id="85"/>
      </w:r>
    </w:p>
    <w:p w:rsidR="00913429" w:rsidRDefault="00E143F0">
      <w:pPr>
        <w:spacing w:after="60"/>
        <w:jc w:val="both"/>
        <w:rPr>
          <w:noProof/>
        </w:rPr>
      </w:pPr>
      <w:r>
        <w:rPr>
          <w:noProof/>
        </w:rPr>
        <w:t>The rapid evolution of the IoT market has caused an explosion in the number and varie</w:t>
      </w:r>
      <w:r>
        <w:rPr>
          <w:noProof/>
        </w:rPr>
        <w:t>ty of IoT solutions. Additionally, large amounts of funding are being deployed at IoT startups. Consequently, the focus of the industry has been on manufacturing and producing the right types of hardware to enable those solutions. In the current model, mos</w:t>
      </w:r>
      <w:r>
        <w:rPr>
          <w:noProof/>
        </w:rPr>
        <w:t xml:space="preserve">t IoT solution providers have been building all components of the stack, from the hardware devices to the relevant cloud services or as they would like to name it as "IoT solutions", as a result, there is a </w:t>
      </w:r>
      <w:r>
        <w:rPr>
          <w:b/>
          <w:noProof/>
        </w:rPr>
        <w:t>lack of consistency and standards</w:t>
      </w:r>
      <w:r>
        <w:rPr>
          <w:noProof/>
        </w:rPr>
        <w:t xml:space="preserve"> across the clou</w:t>
      </w:r>
      <w:r>
        <w:rPr>
          <w:noProof/>
        </w:rPr>
        <w:t>d services used by the different IoT solutions.</w:t>
      </w:r>
    </w:p>
    <w:p w:rsidR="00913429" w:rsidRDefault="00E143F0">
      <w:pPr>
        <w:spacing w:after="60"/>
        <w:jc w:val="both"/>
        <w:rPr>
          <w:noProof/>
        </w:rPr>
      </w:pPr>
      <w:r>
        <w:rPr>
          <w:noProof/>
        </w:rPr>
        <w:t>The increasing dependence on ICT goods and services in today’s society emphasizes the need to ensure their security. ICT is responsible for economic growth in Europe and is at the core of daily life. With the</w:t>
      </w:r>
      <w:r>
        <w:rPr>
          <w:noProof/>
        </w:rPr>
        <w:t>se positive developments also come with an increasing risk of ICT dependencies, disruption and failure as well. The question arises on who is responsible for ensuring cyber security and cyber resilience. This is not an easy question to answer as government</w:t>
      </w:r>
      <w:r>
        <w:rPr>
          <w:noProof/>
        </w:rPr>
        <w:t xml:space="preserve">, consumers, ICT providers, companies all have an equal stake in this field. </w:t>
      </w:r>
    </w:p>
    <w:p w:rsidR="00913429" w:rsidRDefault="00E143F0">
      <w:pPr>
        <w:spacing w:after="60"/>
        <w:jc w:val="both"/>
        <w:rPr>
          <w:b/>
          <w:noProof/>
        </w:rPr>
      </w:pPr>
      <w:r>
        <w:rPr>
          <w:noProof/>
        </w:rPr>
        <w:t>Within the</w:t>
      </w:r>
      <w:r>
        <w:rPr>
          <w:noProof/>
          <w:lang w:val="en-US"/>
        </w:rPr>
        <w:t xml:space="preserve"> study</w:t>
      </w:r>
      <w:r>
        <w:rPr>
          <w:noProof/>
        </w:rPr>
        <w:t xml:space="preserve"> “Challenges of security certification in emerging ICT environments”</w:t>
      </w:r>
      <w:r>
        <w:rPr>
          <w:rStyle w:val="FootnoteReference"/>
          <w:noProof/>
        </w:rPr>
        <w:footnoteReference w:id="86"/>
      </w:r>
      <w:r>
        <w:rPr>
          <w:noProof/>
          <w:lang w:val="en-US"/>
        </w:rPr>
        <w:t>, five sectors have been selected to investigate in more detail and to consider a broad spect</w:t>
      </w:r>
      <w:r>
        <w:rPr>
          <w:noProof/>
          <w:lang w:val="en-US"/>
        </w:rPr>
        <w:t xml:space="preserve">rum of different requirements and cases that could lead to certification drivers concerning these devices. The five sectors are </w:t>
      </w:r>
      <w:r>
        <w:rPr>
          <w:noProof/>
        </w:rPr>
        <w:t>E</w:t>
      </w:r>
      <w:r>
        <w:rPr>
          <w:noProof/>
          <w:lang w:val="en-US"/>
        </w:rPr>
        <w:t>nergy, ICT</w:t>
      </w:r>
      <w:r>
        <w:rPr>
          <w:noProof/>
        </w:rPr>
        <w:t>, Health Care, Rail T</w:t>
      </w:r>
      <w:r>
        <w:rPr>
          <w:noProof/>
          <w:lang w:val="en-US"/>
        </w:rPr>
        <w:t>ransp</w:t>
      </w:r>
      <w:r>
        <w:rPr>
          <w:noProof/>
        </w:rPr>
        <w:t>ort and Water T</w:t>
      </w:r>
      <w:r>
        <w:rPr>
          <w:noProof/>
          <w:lang w:val="en-US"/>
        </w:rPr>
        <w:t>ransport. The key finding is that every sector has its own functional and se</w:t>
      </w:r>
      <w:r>
        <w:rPr>
          <w:noProof/>
          <w:lang w:val="en-US"/>
        </w:rPr>
        <w:t>curity challenges which makes the target of a common certification framework a challenge. The energy sector, for example, largely depends on real-time interfaces on process automation level to provide a stable and reliable electrical power supply. The need</w:t>
      </w:r>
      <w:r>
        <w:rPr>
          <w:noProof/>
          <w:lang w:val="en-US"/>
        </w:rPr>
        <w:t xml:space="preserve"> for more real-time data exchange is increasing due to the decentralization of the power grid, increasing penetration of renewables and further integration of markets. On the other hand, the health care sector largely depends on informational systems and i</w:t>
      </w:r>
      <w:r>
        <w:rPr>
          <w:noProof/>
          <w:lang w:val="en-US"/>
        </w:rPr>
        <w:t>nterfaces, like centralized patient databases that are used by companies that provide healthcare. Automation takes place on small scale, for example at hospitals to provide health monitoring. Transportation is mostly about logistics and safety. Finally, tr</w:t>
      </w:r>
      <w:r>
        <w:rPr>
          <w:noProof/>
          <w:lang w:val="en-US"/>
        </w:rPr>
        <w:t>ains on a track need to be able to communicate with the generic infrastructure, while for the water transportation a vessel contains automation systems from office automation to process automation concerning electric power supply and vessel control. At the</w:t>
      </w:r>
      <w:r>
        <w:rPr>
          <w:noProof/>
          <w:lang w:val="en-US"/>
        </w:rPr>
        <w:t xml:space="preserve"> same time, ICT becomes the common processing platform which supports all these different functional and security requirements.</w:t>
      </w:r>
      <w:r>
        <w:rPr>
          <w:b/>
          <w:noProof/>
          <w:lang w:val="en-US"/>
        </w:rPr>
        <w:t xml:space="preserve"> This underlines the (increasing) need for a common approach on standards and frameworks for certification.</w:t>
      </w:r>
    </w:p>
    <w:p w:rsidR="00913429" w:rsidRDefault="00E143F0">
      <w:pPr>
        <w:spacing w:after="60"/>
        <w:jc w:val="both"/>
        <w:rPr>
          <w:noProof/>
          <w:lang w:val="en-US"/>
        </w:rPr>
      </w:pPr>
      <w:r>
        <w:rPr>
          <w:noProof/>
        </w:rPr>
        <w:t xml:space="preserve">When the EU launched </w:t>
      </w:r>
      <w:r>
        <w:rPr>
          <w:noProof/>
        </w:rPr>
        <w:t xml:space="preserve">the strategy for the Digital Single Market, which included cyber security, it also produced Directives on General Data Protection Regulation (GDPR) and Network and Information Security (NIS), to strengthen the protection of consumers. However, the general </w:t>
      </w:r>
      <w:r>
        <w:rPr>
          <w:noProof/>
        </w:rPr>
        <w:t>legal framework in the EU that applies to the sale of goods and services from ICT providers to consumers was not covered properly. Fragmentation is still a major issue</w:t>
      </w:r>
      <w:r>
        <w:rPr>
          <w:i/>
          <w:noProof/>
        </w:rPr>
        <w:t xml:space="preserve">. </w:t>
      </w:r>
      <w:r>
        <w:rPr>
          <w:b/>
          <w:noProof/>
        </w:rPr>
        <w:t>A single market following international standardization is necessary to ensure a consis</w:t>
      </w:r>
      <w:r>
        <w:rPr>
          <w:b/>
          <w:noProof/>
        </w:rPr>
        <w:t>tent approach to the IoT and cybersecurity</w:t>
      </w:r>
      <w:r>
        <w:rPr>
          <w:i/>
          <w:noProof/>
        </w:rPr>
        <w:t>.</w:t>
      </w:r>
      <w:r>
        <w:rPr>
          <w:noProof/>
        </w:rPr>
        <w:t xml:space="preserve"> The development of national efforts that would lead to further fragmentation should be avoided, as it could hinder IoT technologies to unfold its economic and social positive impact</w:t>
      </w:r>
      <w:r>
        <w:rPr>
          <w:rStyle w:val="FootnoteReference"/>
          <w:noProof/>
        </w:rPr>
        <w:footnoteReference w:id="87"/>
      </w:r>
      <w:r>
        <w:rPr>
          <w:noProof/>
        </w:rPr>
        <w:t xml:space="preserve">. </w:t>
      </w:r>
    </w:p>
    <w:p w:rsidR="00913429" w:rsidRDefault="00E143F0">
      <w:pPr>
        <w:pStyle w:val="Heading4"/>
        <w:rPr>
          <w:noProof/>
          <w:lang w:val="en"/>
        </w:rPr>
      </w:pPr>
      <w:r>
        <w:rPr>
          <w:noProof/>
          <w:lang w:val="en"/>
        </w:rPr>
        <w:t>Energy sector</w:t>
      </w:r>
    </w:p>
    <w:p w:rsidR="00913429" w:rsidRDefault="00E143F0">
      <w:pPr>
        <w:jc w:val="both"/>
        <w:rPr>
          <w:noProof/>
        </w:rPr>
      </w:pPr>
      <w:r>
        <w:rPr>
          <w:noProof/>
        </w:rPr>
        <w:t xml:space="preserve">In the </w:t>
      </w:r>
      <w:r>
        <w:rPr>
          <w:noProof/>
        </w:rPr>
        <w:t>progression to smart energy networks the IT and OT environments within energy utilities have become more interconnected and reliant upon one another. In addition, communication technologies and system heterogeneity are increasing the technological complexi</w:t>
      </w:r>
      <w:r>
        <w:rPr>
          <w:noProof/>
        </w:rPr>
        <w:t xml:space="preserve">ty of the energy networks. The security challenges of sub-systems, combined with an increasingly distributed and multi-functional environment, therefore only increases the energy system vulnerability and potential level of cyber threats. Smart grids are a </w:t>
      </w:r>
      <w:r>
        <w:rPr>
          <w:noProof/>
        </w:rPr>
        <w:t>relatively new concept and therefore experience or relevant information regarding security threats or incidents is minimal. As a result, many application-level protocols have been designed without adequate levels of intrinsic security mechanisms which full</w:t>
      </w:r>
      <w:r>
        <w:rPr>
          <w:noProof/>
        </w:rPr>
        <w:t>y address the impacts of a fully integrated smart energy network. A few examples</w:t>
      </w:r>
      <w:r>
        <w:rPr>
          <w:rStyle w:val="FootnoteReference"/>
          <w:noProof/>
        </w:rPr>
        <w:footnoteReference w:id="88"/>
      </w:r>
      <w:r>
        <w:rPr>
          <w:noProof/>
        </w:rPr>
        <w:t xml:space="preserve"> of resulting issues that have been identified include: </w:t>
      </w:r>
    </w:p>
    <w:p w:rsidR="00913429" w:rsidRDefault="00E143F0">
      <w:pPr>
        <w:pStyle w:val="ListParagraph"/>
        <w:numPr>
          <w:ilvl w:val="0"/>
          <w:numId w:val="169"/>
        </w:numPr>
        <w:spacing w:before="0" w:after="160" w:line="259" w:lineRule="auto"/>
        <w:jc w:val="both"/>
        <w:rPr>
          <w:noProof/>
          <w:lang w:val="en-GB"/>
        </w:rPr>
      </w:pPr>
      <w:r>
        <w:rPr>
          <w:noProof/>
          <w:lang w:val="en-GB"/>
        </w:rPr>
        <w:t xml:space="preserve">In 2014, a team of university researchers from Portugal, found a flaw in an encryption standard developed by the Open </w:t>
      </w:r>
      <w:r>
        <w:rPr>
          <w:noProof/>
          <w:lang w:val="en-GB"/>
        </w:rPr>
        <w:t>Smart Grid Protocol (OSGP) Alliance, intended to secure smart grid networks in the EU and adopted by the European Telecommunications Standards Institute (ETSI).</w:t>
      </w:r>
    </w:p>
    <w:p w:rsidR="00913429" w:rsidRDefault="00E143F0">
      <w:pPr>
        <w:pStyle w:val="ListParagraph"/>
        <w:numPr>
          <w:ilvl w:val="0"/>
          <w:numId w:val="169"/>
        </w:numPr>
        <w:spacing w:before="0" w:after="160" w:line="259" w:lineRule="auto"/>
        <w:jc w:val="both"/>
        <w:rPr>
          <w:noProof/>
          <w:lang w:val="en-GB"/>
        </w:rPr>
      </w:pPr>
      <w:r>
        <w:rPr>
          <w:noProof/>
          <w:lang w:val="en-GB"/>
        </w:rPr>
        <w:t>The UK' Government Communications Headquarters (GCHQ) in 2014, intervened in the UK's smart met</w:t>
      </w:r>
      <w:r>
        <w:rPr>
          <w:noProof/>
          <w:lang w:val="en-GB"/>
        </w:rPr>
        <w:t>er roll-out plans due to the proposed use of a single decryption key for all communications between smart meters and energy service providers. This approach created the potential for chaos across the network, as a single hacker could conceivably disable th</w:t>
      </w:r>
      <w:r>
        <w:rPr>
          <w:noProof/>
          <w:lang w:val="en-GB"/>
        </w:rPr>
        <w:t>e entire population’s electricity meters.</w:t>
      </w:r>
    </w:p>
    <w:p w:rsidR="00913429" w:rsidRDefault="00E143F0">
      <w:pPr>
        <w:pStyle w:val="ListParagraph"/>
        <w:numPr>
          <w:ilvl w:val="0"/>
          <w:numId w:val="169"/>
        </w:numPr>
        <w:spacing w:before="0" w:after="160" w:line="259" w:lineRule="auto"/>
        <w:jc w:val="both"/>
        <w:rPr>
          <w:noProof/>
          <w:lang w:val="en-GB"/>
        </w:rPr>
      </w:pPr>
      <w:r>
        <w:rPr>
          <w:noProof/>
          <w:lang w:val="en-GB"/>
        </w:rPr>
        <w:t>Similar concerns were raised from a study conducted by security researchers in Spain in 2014, where millions of network-connected electricity smart meters were deemed susceptible to cyber-attack due to lack of prop</w:t>
      </w:r>
      <w:r>
        <w:rPr>
          <w:noProof/>
          <w:lang w:val="en-GB"/>
        </w:rPr>
        <w:t>er security controls.</w:t>
      </w:r>
    </w:p>
    <w:p w:rsidR="00913429" w:rsidRDefault="00E143F0">
      <w:pPr>
        <w:spacing w:after="60"/>
        <w:jc w:val="both"/>
        <w:rPr>
          <w:noProof/>
        </w:rPr>
      </w:pPr>
      <w:r>
        <w:rPr>
          <w:noProof/>
        </w:rPr>
        <w:t>Typically, protection concepts are prepared at the time of procurement of a system which may take under consideration the risks and threats known at this point in time. Threat and risks are evolving and those legacy systems and device</w:t>
      </w:r>
      <w:r>
        <w:rPr>
          <w:noProof/>
        </w:rPr>
        <w:t>s used in the network do not necessarily comply with up-to-date operational and/or security standards. This reflects one key challenge in energy systems today. Additionally, cyber security in a multi-vendor environment requires interoperability where compo</w:t>
      </w:r>
      <w:r>
        <w:rPr>
          <w:noProof/>
        </w:rPr>
        <w:t>nents should rely on the same set of security standards and requirements used, but these requirements of course vary depending on the operational context.</w:t>
      </w:r>
      <w:r>
        <w:rPr>
          <w:noProof/>
          <w:vertAlign w:val="superscript"/>
        </w:rPr>
        <w:footnoteReference w:id="89"/>
      </w:r>
    </w:p>
    <w:p w:rsidR="00913429" w:rsidRDefault="00E143F0">
      <w:pPr>
        <w:spacing w:after="60"/>
        <w:jc w:val="both"/>
        <w:rPr>
          <w:noProof/>
        </w:rPr>
      </w:pPr>
      <w:r>
        <w:rPr>
          <w:b/>
          <w:noProof/>
        </w:rPr>
        <w:t>The harmonization of security implementation across the European Union is not sufficiently addressed</w:t>
      </w:r>
      <w:r>
        <w:rPr>
          <w:noProof/>
        </w:rPr>
        <w:t xml:space="preserve"> as mainly the common base to rely on international standards and specifications is requested. Consequently, the </w:t>
      </w:r>
      <w:r>
        <w:rPr>
          <w:b/>
          <w:noProof/>
        </w:rPr>
        <w:t>level of implementation is expected to be unequal</w:t>
      </w:r>
      <w:r>
        <w:rPr>
          <w:noProof/>
        </w:rPr>
        <w:t xml:space="preserve"> across European Union.</w:t>
      </w:r>
      <w:r>
        <w:rPr>
          <w:noProof/>
          <w:vertAlign w:val="superscript"/>
        </w:rPr>
        <w:footnoteReference w:id="90"/>
      </w:r>
    </w:p>
    <w:p w:rsidR="00913429" w:rsidRDefault="00E143F0">
      <w:pPr>
        <w:spacing w:after="60"/>
        <w:jc w:val="both"/>
        <w:rPr>
          <w:noProof/>
        </w:rPr>
      </w:pPr>
      <w:r>
        <w:rPr>
          <w:noProof/>
        </w:rPr>
        <w:t>As instance, the architecture of the smart metering infrastructure va</w:t>
      </w:r>
      <w:r>
        <w:rPr>
          <w:noProof/>
        </w:rPr>
        <w:t>ries from country to country with the use of different applications (i.e. DLMS, Meters and More or OSGP), different communication technologies and different regulatory requirements</w:t>
      </w:r>
      <w:r>
        <w:rPr>
          <w:rStyle w:val="FootnoteReference"/>
          <w:noProof/>
        </w:rPr>
        <w:footnoteReference w:id="91"/>
      </w:r>
      <w:r>
        <w:rPr>
          <w:noProof/>
        </w:rPr>
        <w:t>.</w:t>
      </w:r>
    </w:p>
    <w:p w:rsidR="00913429" w:rsidRDefault="00E143F0">
      <w:pPr>
        <w:spacing w:after="60"/>
        <w:jc w:val="both"/>
        <w:rPr>
          <w:noProof/>
        </w:rPr>
      </w:pPr>
      <w:r>
        <w:rPr>
          <w:noProof/>
        </w:rPr>
        <w:t>Protection of the energy grid is a collective responsibility of the respe</w:t>
      </w:r>
      <w:r>
        <w:rPr>
          <w:noProof/>
        </w:rPr>
        <w:t>ctive operators and the Member States. However, the criticality and the interdependency of the grid require a harmonization of the protection of respective systems across the European Union. An appropriate tool to define and develop the protection level of</w:t>
      </w:r>
      <w:r>
        <w:rPr>
          <w:noProof/>
        </w:rPr>
        <w:t xml:space="preserve"> an energy grid is the usage of a cyber security maturity framework, which should be defined at EU level and best based on international standards (e.g. ISO/IEC 27000 series). This would allow a flat assessment scheme against to which Member States and the</w:t>
      </w:r>
      <w:r>
        <w:rPr>
          <w:noProof/>
        </w:rPr>
        <w:t xml:space="preserve"> EU can evaluate the maturity of security within the Member State and the EU and on which the overall resilience of the energy grid within the EU can be measured and assessed while avoiding a scattered view of the EU landscape. Examples of a maturity frame</w:t>
      </w:r>
      <w:r>
        <w:rPr>
          <w:noProof/>
        </w:rPr>
        <w:t>work for the energy grid exist for example by the ES-C2M241 framework for electricity subsector or the ONG-C2M2 framework for the oil and gas subsector from the United States Department of Energy (DoE). An additional advantage of a maturity framework would</w:t>
      </w:r>
      <w:r>
        <w:rPr>
          <w:noProof/>
        </w:rPr>
        <w:t xml:space="preserve"> be to enable and foster use of cyber insurance as one mechanism to cover potential damages by cyber-attacks and by the achievement of a higher maturity level that may result in a lower insurance cost.</w:t>
      </w:r>
      <w:r>
        <w:rPr>
          <w:noProof/>
          <w:vertAlign w:val="superscript"/>
        </w:rPr>
        <w:footnoteReference w:id="92"/>
      </w:r>
    </w:p>
    <w:p w:rsidR="00913429" w:rsidRDefault="00E143F0">
      <w:pPr>
        <w:jc w:val="both"/>
        <w:rPr>
          <w:noProof/>
        </w:rPr>
      </w:pPr>
      <w:r>
        <w:rPr>
          <w:noProof/>
        </w:rPr>
        <w:t>The current lack of standards for smart energy commun</w:t>
      </w:r>
      <w:r>
        <w:rPr>
          <w:noProof/>
        </w:rPr>
        <w:t>ication system design and integration increases the vulnerability of communications networks to cyber-attacks. Such standards and guidelines should in turn provide a basis for the development of a European certification scheme. These communication standard</w:t>
      </w:r>
      <w:r>
        <w:rPr>
          <w:noProof/>
        </w:rPr>
        <w:t>s should include:</w:t>
      </w:r>
    </w:p>
    <w:p w:rsidR="00913429" w:rsidRDefault="00E143F0">
      <w:pPr>
        <w:pStyle w:val="ListParagraph"/>
        <w:numPr>
          <w:ilvl w:val="0"/>
          <w:numId w:val="168"/>
        </w:numPr>
        <w:spacing w:before="0" w:after="160" w:line="259" w:lineRule="auto"/>
        <w:jc w:val="both"/>
        <w:rPr>
          <w:noProof/>
        </w:rPr>
      </w:pPr>
      <w:r>
        <w:rPr>
          <w:noProof/>
        </w:rPr>
        <w:t xml:space="preserve">a common reference architecture, </w:t>
      </w:r>
    </w:p>
    <w:p w:rsidR="00913429" w:rsidRDefault="00E143F0">
      <w:pPr>
        <w:pStyle w:val="ListParagraph"/>
        <w:numPr>
          <w:ilvl w:val="0"/>
          <w:numId w:val="168"/>
        </w:numPr>
        <w:spacing w:before="0" w:after="160" w:line="259" w:lineRule="auto"/>
        <w:jc w:val="both"/>
        <w:rPr>
          <w:noProof/>
          <w:lang w:val="en-GB"/>
        </w:rPr>
      </w:pPr>
      <w:r>
        <w:rPr>
          <w:noProof/>
          <w:lang w:val="en-GB"/>
        </w:rPr>
        <w:t xml:space="preserve">technical and operational requirements for smart energy / grid applications and systems, </w:t>
      </w:r>
    </w:p>
    <w:p w:rsidR="00913429" w:rsidRDefault="00E143F0">
      <w:pPr>
        <w:pStyle w:val="ListParagraph"/>
        <w:numPr>
          <w:ilvl w:val="0"/>
          <w:numId w:val="168"/>
        </w:numPr>
        <w:spacing w:before="0" w:after="160" w:line="259" w:lineRule="auto"/>
        <w:jc w:val="both"/>
        <w:rPr>
          <w:noProof/>
          <w:lang w:val="en-GB"/>
        </w:rPr>
      </w:pPr>
      <w:r>
        <w:rPr>
          <w:noProof/>
          <w:lang w:val="en-GB"/>
        </w:rPr>
        <w:t>remote updates and reconfiguration – providing for smart energy / grid communications systems that utilise updatab</w:t>
      </w:r>
      <w:r>
        <w:rPr>
          <w:noProof/>
          <w:lang w:val="en-GB"/>
        </w:rPr>
        <w:t>le devices to dynamically and remotely update security applications,</w:t>
      </w:r>
    </w:p>
    <w:p w:rsidR="00913429" w:rsidRDefault="00E143F0">
      <w:pPr>
        <w:pStyle w:val="ListParagraph"/>
        <w:numPr>
          <w:ilvl w:val="0"/>
          <w:numId w:val="168"/>
        </w:numPr>
        <w:spacing w:before="0" w:after="60" w:line="259" w:lineRule="auto"/>
        <w:jc w:val="both"/>
        <w:rPr>
          <w:noProof/>
          <w:lang w:val="en-GB"/>
        </w:rPr>
      </w:pPr>
      <w:r>
        <w:rPr>
          <w:noProof/>
          <w:lang w:val="en-GB"/>
        </w:rPr>
        <w:t xml:space="preserve"> a reference risk assessment framework and methodology</w:t>
      </w:r>
      <w:r>
        <w:rPr>
          <w:rStyle w:val="FootnoteReference"/>
          <w:rFonts w:eastAsia="SimHei"/>
          <w:noProof/>
        </w:rPr>
        <w:footnoteReference w:id="93"/>
      </w:r>
    </w:p>
    <w:p w:rsidR="00913429" w:rsidRDefault="00E143F0">
      <w:pPr>
        <w:spacing w:after="0"/>
        <w:jc w:val="both"/>
        <w:rPr>
          <w:noProof/>
        </w:rPr>
      </w:pPr>
      <w:r>
        <w:rPr>
          <w:noProof/>
        </w:rPr>
        <w:t>Another concrete example of lack of standards and common approach for the Energy sector regards the Virtual Power Plants.  A Virtual Power Plant consists of a central IT control system and distributed energy resources (often renewable energy resources like</w:t>
      </w:r>
      <w:r>
        <w:rPr>
          <w:noProof/>
        </w:rPr>
        <w:t xml:space="preserve"> solar, wind, hydropower, and biomass units) as well as flexible power consumers. By networking all participating units through a remote control unit, it establishes a data transfer between the central control system and the participating units. The centra</w:t>
      </w:r>
      <w:r>
        <w:rPr>
          <w:noProof/>
        </w:rPr>
        <w:t xml:space="preserve">l control system is then able to monitor, forecast, and dispatch the networked units. </w:t>
      </w:r>
    </w:p>
    <w:p w:rsidR="00913429" w:rsidRDefault="00E143F0">
      <w:pPr>
        <w:spacing w:after="60"/>
        <w:jc w:val="both"/>
        <w:rPr>
          <w:noProof/>
        </w:rPr>
      </w:pPr>
      <w:r>
        <w:rPr>
          <w:noProof/>
        </w:rPr>
        <w:t>Currently for the security of Virtual Power Plants, the VHPready standard is not mature and finalized yet, therefore there is currently no compliance scheme available. I</w:t>
      </w:r>
      <w:r>
        <w:rPr>
          <w:noProof/>
        </w:rPr>
        <w:t>t is currently focusing on security rules and best practices imposed by other standards like IEC 62351</w:t>
      </w:r>
      <w:r>
        <w:rPr>
          <w:rStyle w:val="FootnoteReference"/>
          <w:noProof/>
        </w:rPr>
        <w:footnoteReference w:id="94"/>
      </w:r>
      <w:r>
        <w:rPr>
          <w:noProof/>
        </w:rPr>
        <w:t>.</w:t>
      </w:r>
    </w:p>
    <w:p w:rsidR="00913429" w:rsidRDefault="00E143F0">
      <w:pPr>
        <w:jc w:val="both"/>
        <w:rPr>
          <w:noProof/>
          <w:lang w:val="en"/>
        </w:rPr>
      </w:pPr>
      <w:r>
        <w:rPr>
          <w:noProof/>
          <w:lang w:val="en"/>
        </w:rPr>
        <w:t xml:space="preserve">Looking at the nuclear energy sector, As no regulation for cyber security currently exist at EU level, </w:t>
      </w:r>
      <w:r>
        <w:rPr>
          <w:b/>
          <w:noProof/>
          <w:lang w:val="en"/>
        </w:rPr>
        <w:t>Member States often simply follow in their natio</w:t>
      </w:r>
      <w:r>
        <w:rPr>
          <w:b/>
          <w:noProof/>
          <w:lang w:val="en"/>
        </w:rPr>
        <w:t>nal approaches</w:t>
      </w:r>
      <w:r>
        <w:rPr>
          <w:noProof/>
          <w:lang w:val="en"/>
        </w:rPr>
        <w:t xml:space="preserve"> on computer security principles and methods developed by the IAEA, which offers a set of cyber security standards supplemented by the voluntary possibility of an advisory service (IPPAS66) of IAEA on State’s request. However, not all EU Memb</w:t>
      </w:r>
      <w:r>
        <w:rPr>
          <w:noProof/>
          <w:lang w:val="en"/>
        </w:rPr>
        <w:t>er States have already an effective legislation and regulation developed or implemented, as can, for example, be seen from the detailed evaluation of the Nuclear Threat Initiative (NTI) on security conditions.</w:t>
      </w:r>
      <w:r>
        <w:rPr>
          <w:rStyle w:val="FootnoteReference"/>
          <w:noProof/>
          <w:lang w:val="en"/>
        </w:rPr>
        <w:footnoteReference w:id="95"/>
      </w:r>
    </w:p>
    <w:p w:rsidR="00913429" w:rsidRDefault="00E143F0">
      <w:pPr>
        <w:pStyle w:val="Heading4"/>
        <w:rPr>
          <w:noProof/>
        </w:rPr>
      </w:pPr>
      <w:r>
        <w:rPr>
          <w:noProof/>
        </w:rPr>
        <w:t xml:space="preserve">Transportation Sector </w:t>
      </w:r>
    </w:p>
    <w:p w:rsidR="00913429" w:rsidRDefault="00E143F0">
      <w:pPr>
        <w:spacing w:after="60"/>
        <w:jc w:val="both"/>
        <w:rPr>
          <w:noProof/>
        </w:rPr>
      </w:pPr>
      <w:r>
        <w:rPr>
          <w:noProof/>
        </w:rPr>
        <w:t xml:space="preserve">There is currently no </w:t>
      </w:r>
      <w:r>
        <w:rPr>
          <w:noProof/>
        </w:rPr>
        <w:t>common EU approach specific to either intelligent or standard public transport, or related framework that specifically address IPT cyber security needs. Potentially the proposed NIS Directive might have an impact on addressing elements of this gap, above a</w:t>
      </w:r>
      <w:r>
        <w:rPr>
          <w:noProof/>
        </w:rPr>
        <w:t>ll in relation to cyber threat reporting, but may need to be expanded to encompass requirements for IPT cyber security within both urban transport networks and national/international rail networks.</w:t>
      </w:r>
    </w:p>
    <w:p w:rsidR="00913429" w:rsidRDefault="00E143F0">
      <w:pPr>
        <w:spacing w:after="60"/>
        <w:jc w:val="both"/>
        <w:rPr>
          <w:noProof/>
        </w:rPr>
      </w:pPr>
      <w:r>
        <w:rPr>
          <w:noProof/>
        </w:rPr>
        <w:t>There is a lack of specific security standards for IPT tha</w:t>
      </w:r>
      <w:r>
        <w:rPr>
          <w:noProof/>
        </w:rPr>
        <w:t>t can address the specific context and security threats faced by IPT assets. Generic standards, such as the ISO27000 series, are not sufficiently useful for the complex reality of IPT and are poorly related to the security environment within which transpor</w:t>
      </w:r>
      <w:r>
        <w:rPr>
          <w:noProof/>
        </w:rPr>
        <w:t>t organisations interact and operate today. It is important that standards are able to accommodate new IPT functionalities and concepts as they become relevant, while being able to remain dynamic, extensible and flexible.</w:t>
      </w:r>
    </w:p>
    <w:p w:rsidR="00913429" w:rsidRDefault="00E143F0">
      <w:pPr>
        <w:spacing w:after="60"/>
        <w:jc w:val="both"/>
        <w:rPr>
          <w:noProof/>
        </w:rPr>
      </w:pPr>
      <w:r>
        <w:rPr>
          <w:noProof/>
        </w:rPr>
        <w:t>The lack of a dedicated cyber secu</w:t>
      </w:r>
      <w:r>
        <w:rPr>
          <w:noProof/>
        </w:rPr>
        <w:t>rity standard for IPT is an obstacle to the adoption of good security principles by IPT operators, manufacturers and solution vendors. With the support of the EC and MS, the industry (private and public sector) should ensure the development and adoption of</w:t>
      </w:r>
      <w:r>
        <w:rPr>
          <w:noProof/>
        </w:rPr>
        <w:t xml:space="preserve"> harmonised standards adapted to the particularities. One or several completing standards could be developed to cover cyber security from various points of views as it has been proposed in other domains (</w:t>
      </w:r>
      <w:r>
        <w:rPr>
          <w:i/>
          <w:iCs/>
          <w:noProof/>
        </w:rPr>
        <w:t xml:space="preserve">e.g. </w:t>
      </w:r>
      <w:r>
        <w:rPr>
          <w:noProof/>
        </w:rPr>
        <w:t>Smart Grids)</w:t>
      </w:r>
      <w:r>
        <w:rPr>
          <w:rStyle w:val="FootnoteReference"/>
          <w:noProof/>
        </w:rPr>
        <w:footnoteReference w:id="96"/>
      </w:r>
      <w:r>
        <w:rPr>
          <w:noProof/>
        </w:rPr>
        <w:t>.</w:t>
      </w:r>
    </w:p>
    <w:p w:rsidR="00913429" w:rsidRDefault="00E143F0">
      <w:pPr>
        <w:spacing w:after="60"/>
        <w:jc w:val="both"/>
        <w:rPr>
          <w:noProof/>
        </w:rPr>
      </w:pPr>
      <w:r>
        <w:rPr>
          <w:noProof/>
        </w:rPr>
        <w:t xml:space="preserve">Many of the component </w:t>
      </w:r>
      <w:r>
        <w:rPr>
          <w:noProof/>
        </w:rPr>
        <w:t xml:space="preserve">technologies that can deliver intelligent and resource-efficient mobility and energy production and use have already been developed. Now industry players from different sectors need to jointly develop and apply solutions that meet, for example, the demand </w:t>
      </w:r>
      <w:r>
        <w:rPr>
          <w:noProof/>
        </w:rPr>
        <w:t>for energy efficiency, alternative fuels and ICT in urban energy efficient applications. At the same time, risks related to the scale-up and integration of these solutions remain. They originate from and are related to regulatory uncertainties, risk averse</w:t>
      </w:r>
      <w:r>
        <w:rPr>
          <w:noProof/>
        </w:rPr>
        <w:t>ness of public procurement concerning innovative solutions, the current absence of standards and the immature market for truly integrated energy, transport and ICT solutions, among other things</w:t>
      </w:r>
      <w:r>
        <w:rPr>
          <w:rStyle w:val="FootnoteReference"/>
          <w:noProof/>
        </w:rPr>
        <w:footnoteReference w:id="97"/>
      </w:r>
      <w:r>
        <w:rPr>
          <w:noProof/>
        </w:rPr>
        <w:t>.</w:t>
      </w:r>
    </w:p>
    <w:p w:rsidR="00913429" w:rsidRDefault="00E143F0">
      <w:pPr>
        <w:spacing w:after="60"/>
        <w:jc w:val="both"/>
        <w:rPr>
          <w:noProof/>
        </w:rPr>
      </w:pPr>
      <w:r>
        <w:rPr>
          <w:noProof/>
        </w:rPr>
        <w:t>A concrete example where the lack of standards affect the Wa</w:t>
      </w:r>
      <w:r>
        <w:rPr>
          <w:noProof/>
        </w:rPr>
        <w:t>ter Transport sector are the IMO mandatory requirements. IMO mandatory requirements for the electronic exchange of information on cargo, crew and passengers have been adopted by the International Maritime Organization (IMO) on 11/04/2016. These include sta</w:t>
      </w:r>
      <w:r>
        <w:rPr>
          <w:noProof/>
        </w:rPr>
        <w:t>ndardized forms for the maximum information required for the general declaration, cargo declaration, crew list and passenger list; and agreed essential minimum information requirements for the ship's stores declaration and crew's effects declaration. Altho</w:t>
      </w:r>
      <w:r>
        <w:rPr>
          <w:noProof/>
        </w:rPr>
        <w:t xml:space="preserve">ugh standards and recommended practices relating to stowaways are updated to include references to relevant sections of the International Ship and Port Facilities’ Security (ISPS) Code, the ISPS audits </w:t>
      </w:r>
      <w:r>
        <w:rPr>
          <w:b/>
          <w:noProof/>
        </w:rPr>
        <w:t>do not currently address the cyber security aspect</w:t>
      </w:r>
      <w:r>
        <w:rPr>
          <w:noProof/>
        </w:rPr>
        <w:t xml:space="preserve"> of </w:t>
      </w:r>
      <w:r>
        <w:rPr>
          <w:noProof/>
        </w:rPr>
        <w:t>the electronic passenger lists</w:t>
      </w:r>
      <w:r>
        <w:rPr>
          <w:rStyle w:val="FootnoteReference"/>
          <w:noProof/>
        </w:rPr>
        <w:footnoteReference w:id="98"/>
      </w:r>
      <w:r>
        <w:rPr>
          <w:noProof/>
        </w:rPr>
        <w:t xml:space="preserve">. </w:t>
      </w:r>
    </w:p>
    <w:p w:rsidR="00913429" w:rsidRDefault="00E143F0">
      <w:pPr>
        <w:spacing w:after="60"/>
        <w:jc w:val="both"/>
        <w:rPr>
          <w:noProof/>
        </w:rPr>
      </w:pPr>
      <w:r>
        <w:rPr>
          <w:noProof/>
        </w:rPr>
        <w:t>Given the highly interconnected and complex nature of transportation networks, there is the need for more sophisticated analysis tools that can capture asset interdependence and cascade-effects among all the involved asset</w:t>
      </w:r>
      <w:r>
        <w:rPr>
          <w:noProof/>
        </w:rPr>
        <w:t>s and different stakeholders. These tools will help capture how interdependencies operate and will heighten impacts in order to develop procedures and policies to improve recovery.</w:t>
      </w:r>
    </w:p>
    <w:p w:rsidR="00913429" w:rsidRDefault="00E143F0">
      <w:pPr>
        <w:jc w:val="both"/>
        <w:rPr>
          <w:noProof/>
        </w:rPr>
      </w:pPr>
      <w:r>
        <w:rPr>
          <w:noProof/>
        </w:rPr>
        <w:t>Risk assessment methodologies that can deal with multiple networked stakeho</w:t>
      </w:r>
      <w:r>
        <w:rPr>
          <w:noProof/>
        </w:rPr>
        <w:t>lders working in collaboration need to be developed. This requires a different mind-set for existing risk management approaches, which often begin by scoping a system (</w:t>
      </w:r>
      <w:r>
        <w:rPr>
          <w:i/>
          <w:iCs/>
          <w:noProof/>
        </w:rPr>
        <w:t xml:space="preserve">i.e. </w:t>
      </w:r>
      <w:r>
        <w:rPr>
          <w:noProof/>
        </w:rPr>
        <w:t xml:space="preserve">defining its borders) prior to a risk assessment based on the individual elements. </w:t>
      </w:r>
      <w:r>
        <w:rPr>
          <w:noProof/>
        </w:rPr>
        <w:t xml:space="preserve">However, in interconnected systems this clear border does not exist. To address this gap we need to redesign risk management systems/approaches so that they operate from a </w:t>
      </w:r>
      <w:r>
        <w:rPr>
          <w:i/>
          <w:iCs/>
          <w:noProof/>
        </w:rPr>
        <w:t xml:space="preserve">stakeholder </w:t>
      </w:r>
      <w:r>
        <w:rPr>
          <w:noProof/>
        </w:rPr>
        <w:t xml:space="preserve">perspective rather than </w:t>
      </w:r>
      <w:r>
        <w:rPr>
          <w:i/>
          <w:iCs/>
          <w:noProof/>
        </w:rPr>
        <w:t xml:space="preserve">border </w:t>
      </w:r>
      <w:r>
        <w:rPr>
          <w:noProof/>
        </w:rPr>
        <w:t>perspective</w:t>
      </w:r>
      <w:r>
        <w:rPr>
          <w:rStyle w:val="FootnoteReference"/>
          <w:noProof/>
        </w:rPr>
        <w:footnoteReference w:id="99"/>
      </w:r>
      <w:r>
        <w:rPr>
          <w:noProof/>
        </w:rPr>
        <w:t>.</w:t>
      </w:r>
    </w:p>
    <w:p w:rsidR="00913429" w:rsidRDefault="00E143F0">
      <w:pPr>
        <w:spacing w:after="0" w:line="240" w:lineRule="auto"/>
        <w:rPr>
          <w:noProof/>
        </w:rPr>
      </w:pPr>
      <w:r>
        <w:rPr>
          <w:noProof/>
        </w:rPr>
        <w:br w:type="page"/>
      </w:r>
    </w:p>
    <w:p w:rsidR="00913429" w:rsidRDefault="00E143F0">
      <w:pPr>
        <w:pStyle w:val="Heading4"/>
        <w:rPr>
          <w:noProof/>
        </w:rPr>
      </w:pPr>
      <w:r>
        <w:rPr>
          <w:noProof/>
        </w:rPr>
        <w:t>Financial Sector</w:t>
      </w:r>
    </w:p>
    <w:p w:rsidR="00913429" w:rsidRDefault="00E143F0">
      <w:pPr>
        <w:spacing w:after="60"/>
        <w:jc w:val="both"/>
        <w:rPr>
          <w:noProof/>
        </w:rPr>
      </w:pPr>
      <w:r>
        <w:rPr>
          <w:noProof/>
        </w:rPr>
        <w:t>The fina</w:t>
      </w:r>
      <w:r>
        <w:rPr>
          <w:noProof/>
        </w:rPr>
        <w:t>ncial industry is more regulated and has more oversight than any other industry on the planet. However, fintech’s do not face the same level of regulation, because they may not fall under FDIC, SEC, or any other number of federal and state agencies. Therei</w:t>
      </w:r>
      <w:r>
        <w:rPr>
          <w:noProof/>
        </w:rPr>
        <w:t>n lies one of the major hurdles to regulation. The sheer volume of oversight agencies creates more complexity in trying to build a singular regulatory policy or framework for the industry. Financial institutions are more regulated, because of the calamitou</w:t>
      </w:r>
      <w:r>
        <w:rPr>
          <w:noProof/>
        </w:rPr>
        <w:t>s disruption and financial instability that will ensue when not properly regulated. Fintech’s create the same types of disruption and instability with data breaches and exposing customer data, because they are creating a larger attack vector for the organi</w:t>
      </w:r>
      <w:r>
        <w:rPr>
          <w:noProof/>
        </w:rPr>
        <w:t>zation utilizing their service offering.</w:t>
      </w:r>
      <w:r>
        <w:rPr>
          <w:noProof/>
          <w:vertAlign w:val="superscript"/>
        </w:rPr>
        <w:footnoteReference w:id="100"/>
      </w:r>
    </w:p>
    <w:p w:rsidR="00913429" w:rsidRDefault="00E143F0">
      <w:pPr>
        <w:spacing w:after="60"/>
        <w:jc w:val="both"/>
        <w:rPr>
          <w:noProof/>
        </w:rPr>
      </w:pPr>
      <w:r>
        <w:rPr>
          <w:noProof/>
        </w:rPr>
        <w:t>Sensor data analytics and, in general, big data technologies, are changing the provision of insurance and other financial services as new sources of data, alternative data, can be taken into account for risk scorin</w:t>
      </w:r>
      <w:r>
        <w:rPr>
          <w:noProof/>
        </w:rPr>
        <w:t>g, pricing and for the provision of tailor-made products.</w:t>
      </w:r>
    </w:p>
    <w:p w:rsidR="00913429" w:rsidRDefault="00E143F0">
      <w:pPr>
        <w:spacing w:after="60"/>
        <w:jc w:val="both"/>
        <w:rPr>
          <w:noProof/>
        </w:rPr>
      </w:pPr>
      <w:r>
        <w:rPr>
          <w:b/>
          <w:noProof/>
        </w:rPr>
        <w:t>The lack of security standardization in the Internet of Things (IoT) and sensor data analytics</w:t>
      </w:r>
      <w:r>
        <w:rPr>
          <w:noProof/>
        </w:rPr>
        <w:t xml:space="preserve"> is an  example of a real challenge we are seeing nowadays and on which the EC and other regulators are </w:t>
      </w:r>
      <w:r>
        <w:rPr>
          <w:noProof/>
        </w:rPr>
        <w:t>beginning to be concerned. IoT manufacturers should increase security measures to protect data. There is also a lack of consensus on the security standards to be used among manufacturers or among countries like China, USA and Europe.</w:t>
      </w:r>
      <w:r>
        <w:rPr>
          <w:rStyle w:val="FootnoteReference"/>
          <w:noProof/>
        </w:rPr>
        <w:footnoteReference w:id="101"/>
      </w:r>
    </w:p>
    <w:p w:rsidR="00913429" w:rsidRDefault="00E143F0">
      <w:pPr>
        <w:spacing w:after="60"/>
        <w:jc w:val="both"/>
        <w:rPr>
          <w:noProof/>
        </w:rPr>
      </w:pPr>
      <w:r>
        <w:rPr>
          <w:noProof/>
        </w:rPr>
        <w:t xml:space="preserve">Organizations in the </w:t>
      </w:r>
      <w:r>
        <w:rPr>
          <w:noProof/>
        </w:rPr>
        <w:t xml:space="preserve">industry also use fewer processes to analyse compromised systems, eliminate the causes of security incidents, and restore affected systems. The lack of security maturity, limited funds, and the low priority placed on security may be major factors for this </w:t>
      </w:r>
      <w:r>
        <w:rPr>
          <w:noProof/>
        </w:rPr>
        <w:t xml:space="preserve">trend. </w:t>
      </w:r>
      <w:r>
        <w:rPr>
          <w:rStyle w:val="FootnoteReference"/>
          <w:noProof/>
        </w:rPr>
        <w:footnoteReference w:id="102"/>
      </w:r>
    </w:p>
    <w:p w:rsidR="00913429" w:rsidRDefault="00E143F0">
      <w:pPr>
        <w:pStyle w:val="Heading4"/>
        <w:rPr>
          <w:noProof/>
          <w:lang w:val="en"/>
        </w:rPr>
      </w:pPr>
      <w:r>
        <w:rPr>
          <w:noProof/>
          <w:lang w:val="en"/>
        </w:rPr>
        <w:t>Healthcare Sector</w:t>
      </w:r>
    </w:p>
    <w:p w:rsidR="00913429" w:rsidRDefault="00E143F0">
      <w:pPr>
        <w:spacing w:after="60"/>
        <w:jc w:val="both"/>
        <w:rPr>
          <w:noProof/>
        </w:rPr>
      </w:pPr>
      <w:r>
        <w:rPr>
          <w:noProof/>
        </w:rPr>
        <w:t>Mobile medical applications or wearable devices allow patient data to be collected. Health events can be captured or monitored and data connected to a private or public cloud. However, as more healthcare devices become network-aw</w:t>
      </w:r>
      <w:r>
        <w:rPr>
          <w:noProof/>
        </w:rPr>
        <w:t>are, it becomes challenging for IoT companies to agree on common interoperability protocols and standards for sharing and protecting data, and for the hardware sensors that collect that data.</w:t>
      </w:r>
    </w:p>
    <w:p w:rsidR="00913429" w:rsidRDefault="00E143F0">
      <w:pPr>
        <w:spacing w:after="60"/>
        <w:jc w:val="both"/>
        <w:rPr>
          <w:noProof/>
          <w:lang w:val="en"/>
        </w:rPr>
      </w:pPr>
      <w:r>
        <w:rPr>
          <w:noProof/>
          <w:lang w:val="en-US"/>
        </w:rPr>
        <w:t>Many implantable medical devices have already wireless capabilit</w:t>
      </w:r>
      <w:r>
        <w:rPr>
          <w:noProof/>
          <w:lang w:val="en-US"/>
        </w:rPr>
        <w:t>ies. Patients and care providers are becoming more and more security aware. Lack of standardization have triggered concerns and raised questions whether products fulfills safety and security standards like the ISO80001.</w:t>
      </w:r>
      <w:r>
        <w:rPr>
          <w:noProof/>
        </w:rPr>
        <w:t xml:space="preserve"> </w:t>
      </w:r>
      <w:r>
        <w:rPr>
          <w:noProof/>
          <w:lang w:val="en"/>
        </w:rPr>
        <w:t>The once seemingly futuristic exploi</w:t>
      </w:r>
      <w:r>
        <w:rPr>
          <w:noProof/>
          <w:lang w:val="en"/>
        </w:rPr>
        <w:t>t of implanted medical devices has been made present with the demonstration of successful attacks against devices such as the insulin pump and pacemakers. Research from the Archimedes, Ann Arbor Research Center for Medical Device Security at the University</w:t>
      </w:r>
      <w:r>
        <w:rPr>
          <w:noProof/>
          <w:lang w:val="en"/>
        </w:rPr>
        <w:t xml:space="preserve"> of Michigan has demonstrated the potential compromise to implanted devices. The lack of device embedded security controls is of greater concern than the incidents they result in. Research has demonstrated that issues such as web interfaces to infusion pum</w:t>
      </w:r>
      <w:r>
        <w:rPr>
          <w:noProof/>
          <w:lang w:val="en"/>
        </w:rPr>
        <w:t>ps, default hard coded administration passwords, access to the Internet through devices connected to internal networks, are just a few of the common vulnerabilities found in devices used in the hospital environment. Embedded web services, with unauthentica</w:t>
      </w:r>
      <w:r>
        <w:rPr>
          <w:noProof/>
          <w:lang w:val="en"/>
        </w:rPr>
        <w:t>ted and unencrypted communication are one of the biggest vulnerabilities, as an attacker can potentially affect these devices remotely from anywhere in the world.</w:t>
      </w:r>
      <w:r>
        <w:rPr>
          <w:noProof/>
          <w:vertAlign w:val="superscript"/>
          <w:lang w:val="en"/>
        </w:rPr>
        <w:footnoteReference w:id="103"/>
      </w:r>
      <w:r>
        <w:rPr>
          <w:noProof/>
          <w:lang w:val="en"/>
        </w:rPr>
        <w:t xml:space="preserve"> </w:t>
      </w:r>
    </w:p>
    <w:p w:rsidR="00913429" w:rsidRDefault="00E143F0">
      <w:pPr>
        <w:spacing w:after="60"/>
        <w:jc w:val="both"/>
        <w:rPr>
          <w:noProof/>
        </w:rPr>
      </w:pPr>
      <w:r>
        <w:rPr>
          <w:noProof/>
        </w:rPr>
        <w:t xml:space="preserve">Security experts compare </w:t>
      </w:r>
      <w:r>
        <w:rPr>
          <w:b/>
          <w:noProof/>
        </w:rPr>
        <w:t>the lack of standards to the wild days of the web of the ’90s</w:t>
      </w:r>
      <w:r>
        <w:rPr>
          <w:noProof/>
        </w:rPr>
        <w:t>. Tod</w:t>
      </w:r>
      <w:r>
        <w:rPr>
          <w:noProof/>
        </w:rPr>
        <w:t>ay competing standards, vendor lock-in, proprietary devices and private networks make it hard for devices to share a common security protocol.</w:t>
      </w:r>
    </w:p>
    <w:p w:rsidR="00913429" w:rsidRDefault="00E143F0">
      <w:pPr>
        <w:spacing w:after="60"/>
        <w:jc w:val="both"/>
        <w:rPr>
          <w:noProof/>
        </w:rPr>
      </w:pPr>
      <w:r>
        <w:rPr>
          <w:noProof/>
        </w:rPr>
        <w:t xml:space="preserve">To that end, healthcare is a microcosm of the larger security challenges that face IoT. A lack of loyalty to one </w:t>
      </w:r>
      <w:r>
        <w:rPr>
          <w:noProof/>
        </w:rPr>
        <w:t>IoT common standard for connected devices in other business environments is one of a number of barriers that is holding back mass adoption broad IoT security protection, say security experts.</w:t>
      </w:r>
    </w:p>
    <w:p w:rsidR="00913429" w:rsidRDefault="00E143F0">
      <w:pPr>
        <w:spacing w:after="60"/>
        <w:jc w:val="both"/>
        <w:rPr>
          <w:noProof/>
        </w:rPr>
      </w:pPr>
      <w:r>
        <w:rPr>
          <w:noProof/>
        </w:rPr>
        <w:t>Gartner argues it’s the sheer number of IoT use cases that contr</w:t>
      </w:r>
      <w:r>
        <w:rPr>
          <w:noProof/>
        </w:rPr>
        <w:t>ibute to a wildly divergent number of approaches to solve IoT problems, which creates interoperability challenges and, ultimately, security gaps</w:t>
      </w:r>
      <w:r>
        <w:rPr>
          <w:rStyle w:val="FootnoteReference"/>
          <w:noProof/>
        </w:rPr>
        <w:footnoteReference w:id="104"/>
      </w:r>
      <w:r>
        <w:rPr>
          <w:noProof/>
        </w:rPr>
        <w:t>.</w:t>
      </w:r>
    </w:p>
    <w:p w:rsidR="00913429" w:rsidRDefault="00E143F0">
      <w:pPr>
        <w:spacing w:after="60"/>
        <w:jc w:val="both"/>
        <w:rPr>
          <w:noProof/>
          <w:lang w:val="en"/>
        </w:rPr>
      </w:pPr>
      <w:r>
        <w:rPr>
          <w:noProof/>
          <w:lang w:val="en"/>
        </w:rPr>
        <w:t xml:space="preserve">Recognition of the increasing vulnerability of medical networks, as well as medical devices connected to </w:t>
      </w:r>
      <w:r>
        <w:rPr>
          <w:noProof/>
          <w:lang w:val="en"/>
        </w:rPr>
        <w:t>these networks, is reflected in the revisions to the international standard International Organization for Standardization (ISO)/IEC 27000-series “Information security management systems” and ISO/IEC 80001 “Application of risk management for IT networks in</w:t>
      </w:r>
      <w:r>
        <w:rPr>
          <w:noProof/>
          <w:lang w:val="en"/>
        </w:rPr>
        <w:t>corporating medical devices”. However, consideration of the threat to the devices themselves and subsequently the resulting patient safety concerns are of greater concern when the connections are to wireless networks.</w:t>
      </w:r>
    </w:p>
    <w:p w:rsidR="00913429" w:rsidRDefault="00E143F0">
      <w:pPr>
        <w:spacing w:after="60"/>
        <w:jc w:val="both"/>
        <w:rPr>
          <w:noProof/>
          <w:lang w:val="en"/>
        </w:rPr>
      </w:pPr>
      <w:r>
        <w:rPr>
          <w:noProof/>
          <w:lang w:val="en"/>
        </w:rPr>
        <w:t>What complicates the security risks wi</w:t>
      </w:r>
      <w:r>
        <w:rPr>
          <w:noProof/>
          <w:lang w:val="en"/>
        </w:rPr>
        <w:t>th medical devices is that these devices expose both data/information and potentially the control of the device itself. In addition, the cybersecurity discipline tends to take a risk approach to any problem. Traditionally security has been viewed as a tech</w:t>
      </w:r>
      <w:r>
        <w:rPr>
          <w:noProof/>
          <w:lang w:val="en"/>
        </w:rPr>
        <w:t>nological solution space, and subsequently the change in the operating environment driven by technology such as wireless, has been focused on controlling the risk with technology. This perspective has gradually altered over time with acknowledgment that th</w:t>
      </w:r>
      <w:r>
        <w:rPr>
          <w:noProof/>
          <w:lang w:val="en"/>
        </w:rPr>
        <w:t>ose practical security solutions in health care need to take a socio-technical approach. Further, for practical security solutions to be effective, research shows that they must, at the very least, consider clinical workflow, if not seamless integration wi</w:t>
      </w:r>
      <w:r>
        <w:rPr>
          <w:noProof/>
          <w:lang w:val="en"/>
        </w:rPr>
        <w:t>th this workflow.</w:t>
      </w:r>
    </w:p>
    <w:p w:rsidR="00913429" w:rsidRDefault="00E143F0">
      <w:pPr>
        <w:spacing w:after="60"/>
        <w:jc w:val="both"/>
        <w:rPr>
          <w:noProof/>
          <w:lang w:val="en"/>
        </w:rPr>
      </w:pPr>
      <w:r>
        <w:rPr>
          <w:noProof/>
          <w:lang w:val="en"/>
        </w:rPr>
        <w:t xml:space="preserve">While there are a number of international standards that are pre-requisites for the certification of medical devices, these are limited to the development and design risk assessment process. </w:t>
      </w:r>
      <w:r>
        <w:rPr>
          <w:b/>
          <w:noProof/>
          <w:lang w:val="en"/>
        </w:rPr>
        <w:t>These standards do not focus on the specificity</w:t>
      </w:r>
      <w:r>
        <w:rPr>
          <w:b/>
          <w:noProof/>
          <w:lang w:val="en"/>
        </w:rPr>
        <w:t xml:space="preserve"> required for cybersecurity within the complex deployment setting</w:t>
      </w:r>
      <w:r>
        <w:rPr>
          <w:noProof/>
          <w:lang w:val="en"/>
        </w:rPr>
        <w:t>. However, since many security flaws and subsequent vulnerabilities are a consequence of poor software design, which may include medical device software.</w:t>
      </w:r>
      <w:r>
        <w:rPr>
          <w:rStyle w:val="FootnoteReference"/>
          <w:noProof/>
          <w:lang w:val="en"/>
        </w:rPr>
        <w:footnoteReference w:id="105"/>
      </w:r>
    </w:p>
    <w:p w:rsidR="00913429" w:rsidRDefault="00E143F0">
      <w:pPr>
        <w:spacing w:after="60"/>
        <w:jc w:val="both"/>
        <w:rPr>
          <w:noProof/>
          <w:lang w:val="en"/>
        </w:rPr>
      </w:pPr>
      <w:r>
        <w:rPr>
          <w:noProof/>
        </w:rPr>
        <w:t>Considering the very sensitive natur</w:t>
      </w:r>
      <w:r>
        <w:rPr>
          <w:noProof/>
        </w:rPr>
        <w:t>e of health data and the vulnerability and easy dissemination of information on electronic format, special attention should be paid to the security of data from EHRs. The Study</w:t>
      </w:r>
      <w:r>
        <w:rPr>
          <w:rStyle w:val="FootnoteReference"/>
          <w:noProof/>
        </w:rPr>
        <w:footnoteReference w:id="106"/>
      </w:r>
      <w:r>
        <w:rPr>
          <w:noProof/>
        </w:rPr>
        <w:t xml:space="preserve"> shows, however, that half of the countries covered have not set specific rules</w:t>
      </w:r>
      <w:r>
        <w:rPr>
          <w:noProof/>
        </w:rPr>
        <w:t xml:space="preserve"> for institutions hosting and managing EHRs, relying instead on the general rules setting security requirements for all types of data controllers. In addition, almost all the countries covered have not gone beyond Directive 95/46/EC in what relates to auth</w:t>
      </w:r>
      <w:r>
        <w:rPr>
          <w:noProof/>
        </w:rPr>
        <w:t>orisation requirements. The authorization procedure to host and process EHRs is, in the vast majority of countries, the same as to host and process other data. Also, only a minority of the countries has set specific auditing requirements for institutions h</w:t>
      </w:r>
      <w:r>
        <w:rPr>
          <w:noProof/>
        </w:rPr>
        <w:t>osting and managing EHRs.</w:t>
      </w:r>
    </w:p>
    <w:p w:rsidR="00913429" w:rsidRDefault="00E143F0">
      <w:pPr>
        <w:spacing w:after="60"/>
        <w:jc w:val="both"/>
        <w:rPr>
          <w:noProof/>
        </w:rPr>
      </w:pPr>
      <w:r>
        <w:rPr>
          <w:noProof/>
        </w:rPr>
        <w:t xml:space="preserve">A binding European legal framework on basic user and access management that should also include operational rules on other security aspects such as end-to-end encryption (currently not possible because of the lack of a common </w:t>
      </w:r>
      <w:r>
        <w:rPr>
          <w:noProof/>
        </w:rPr>
        <w:t>encryption standard) and audit trails (who will be in charge of recovering data events in case of an incident) should be adopted. Agreement is also recommended on a model service level agreement for cloud services with regard to EHRs. The eHealth Network s</w:t>
      </w:r>
      <w:r>
        <w:rPr>
          <w:noProof/>
        </w:rPr>
        <w:t>hould closely follow up the progress made in this context and stimulate the development of European model provisions for cloud SLAs dedicated for eHealth services and EHRs in particular.</w:t>
      </w:r>
    </w:p>
    <w:p w:rsidR="00913429" w:rsidRDefault="00E143F0">
      <w:pPr>
        <w:jc w:val="both"/>
        <w:rPr>
          <w:noProof/>
          <w:lang w:val="en"/>
        </w:rPr>
      </w:pPr>
      <w:r>
        <w:rPr>
          <w:noProof/>
          <w:lang w:val="en"/>
        </w:rPr>
        <w:t>Belgium has developed and uses a standard for the exchange of minimal</w:t>
      </w:r>
      <w:r>
        <w:rPr>
          <w:noProof/>
          <w:lang w:val="en"/>
        </w:rPr>
        <w:t xml:space="preserve"> medical transaction information, called SumEHR. The SumEHR standard was introduced in 2005 and an EHR software package used by a physician should be capable of exporting a SumEHR message for any given patient. Currently more than 80% of all GPs across Bel</w:t>
      </w:r>
      <w:r>
        <w:rPr>
          <w:noProof/>
          <w:lang w:val="en"/>
        </w:rPr>
        <w:t>gium use certified EHR systems with this capability. In Slovakia, health care providers are required to use certified information systems which comply with connectivity and security standards, as well as with rules on identification and authentication of h</w:t>
      </w:r>
      <w:r>
        <w:rPr>
          <w:noProof/>
          <w:lang w:val="en"/>
        </w:rPr>
        <w:t>ealth professionals. In Italy, the draft implementing decree and an annex thereto lay down specific provisions on interoperability.</w:t>
      </w:r>
    </w:p>
    <w:p w:rsidR="00913429" w:rsidRDefault="00E143F0">
      <w:pPr>
        <w:spacing w:after="0" w:line="240" w:lineRule="auto"/>
        <w:rPr>
          <w:noProof/>
          <w:lang w:val="en"/>
        </w:rPr>
      </w:pPr>
      <w:r>
        <w:rPr>
          <w:noProof/>
          <w:lang w:val="en"/>
        </w:rPr>
        <w:br w:type="page"/>
      </w:r>
    </w:p>
    <w:p w:rsidR="00913429" w:rsidRDefault="00E143F0">
      <w:pPr>
        <w:pStyle w:val="ListParagraph"/>
        <w:keepNext/>
        <w:keepLines/>
        <w:numPr>
          <w:ilvl w:val="1"/>
          <w:numId w:val="93"/>
        </w:numPr>
        <w:tabs>
          <w:tab w:val="left" w:pos="993"/>
        </w:tabs>
        <w:spacing w:after="120"/>
        <w:ind w:right="-23"/>
        <w:outlineLvl w:val="1"/>
        <w:rPr>
          <w:noProof/>
          <w:color w:val="DC6900"/>
          <w:sz w:val="32"/>
          <w:szCs w:val="26"/>
        </w:rPr>
      </w:pPr>
      <w:bookmarkStart w:id="203" w:name="_Toc492396571"/>
      <w:r>
        <w:rPr>
          <w:noProof/>
          <w:color w:val="DC6900"/>
          <w:sz w:val="32"/>
          <w:szCs w:val="26"/>
        </w:rPr>
        <w:t>Economics of Standards</w:t>
      </w:r>
      <w:bookmarkEnd w:id="203"/>
    </w:p>
    <w:p w:rsidR="00913429" w:rsidRDefault="00913429">
      <w:pPr>
        <w:rPr>
          <w:noProof/>
        </w:rPr>
      </w:pPr>
    </w:p>
    <w:p w:rsidR="00913429" w:rsidRDefault="00E143F0">
      <w:pPr>
        <w:jc w:val="both"/>
        <w:rPr>
          <w:noProof/>
        </w:rPr>
      </w:pPr>
      <w:r>
        <w:rPr>
          <w:noProof/>
        </w:rPr>
        <w:t>Lack of mutual recognition in cybersecurity certification can be equated to an absence of common t</w:t>
      </w:r>
      <w:r>
        <w:rPr>
          <w:noProof/>
        </w:rPr>
        <w:t>echnical standards; by the same token having common certification criteria for cybersecurity in EU28 would amount to introducing new technical standards. The economics of standardisation in general</w:t>
      </w:r>
      <w:r>
        <w:rPr>
          <w:noProof/>
          <w:vertAlign w:val="superscript"/>
        </w:rPr>
        <w:footnoteReference w:id="107"/>
      </w:r>
      <w:r>
        <w:rPr>
          <w:noProof/>
        </w:rPr>
        <w:t>, and of ICT standards in particular</w:t>
      </w:r>
      <w:r>
        <w:rPr>
          <w:noProof/>
          <w:vertAlign w:val="superscript"/>
        </w:rPr>
        <w:footnoteReference w:id="108"/>
      </w:r>
      <w:r>
        <w:rPr>
          <w:noProof/>
        </w:rPr>
        <w:t>, show that technical</w:t>
      </w:r>
      <w:r>
        <w:rPr>
          <w:noProof/>
        </w:rPr>
        <w:t xml:space="preserve"> standards have positive impacts on R&amp;D and on economic growth. ICT standards embed knowledge that becomes accessible to all and firms can invest the resources released from having to go through multiple certification to R&amp;D. ICT standardisation reduce cos</w:t>
      </w:r>
      <w:r>
        <w:rPr>
          <w:noProof/>
        </w:rPr>
        <w:t>ts (transaction costs and cost reduction), improve competition (using standards to organize markets) or communication and coordination (organizing the development of technology around agreed technical specifications) and in the long run creates selection e</w:t>
      </w:r>
      <w:r>
        <w:rPr>
          <w:noProof/>
        </w:rPr>
        <w:t>fficiencies by pruning the tree of available technical solutions for any given problem and channelling R&amp;D efforts in the most efficient directions. Not surprisingly, as mentioned in the SWD “A Single Market Strategy for Europe - Analysis and Evidence”</w:t>
      </w:r>
      <w:r>
        <w:rPr>
          <w:noProof/>
          <w:vertAlign w:val="superscript"/>
        </w:rPr>
        <w:footnoteReference w:id="109"/>
      </w:r>
      <w:r>
        <w:rPr>
          <w:noProof/>
        </w:rPr>
        <w:t xml:space="preserve"> a </w:t>
      </w:r>
      <w:r>
        <w:rPr>
          <w:noProof/>
        </w:rPr>
        <w:t>large body of economic studies that show the impact that standards have on economic growth and GDP For France the impact on growth is estimated at 0.8 %, for United Kingdom at 0.3 % and for Germany at 0.9 % of GDP. Furthermore, an economic paper by economi</w:t>
      </w:r>
      <w:r>
        <w:rPr>
          <w:noProof/>
        </w:rPr>
        <w:t>sts of DG ECFIN estimated that the cost associated to differences in technical rules and multiple testing/certification are between 2% to 10% of companies’ annual turnover</w:t>
      </w:r>
      <w:r>
        <w:rPr>
          <w:noProof/>
          <w:vertAlign w:val="superscript"/>
        </w:rPr>
        <w:footnoteReference w:id="110"/>
      </w:r>
      <w:r>
        <w:rPr>
          <w:noProof/>
        </w:rPr>
        <w:t xml:space="preserve">. According to this paper inadequate standards and insufficient mutual recognition, </w:t>
      </w:r>
      <w:r>
        <w:rPr>
          <w:noProof/>
        </w:rPr>
        <w:t>including in the ICT sector, is among the main barriers to the single market. The costs for enterprises of product conformity assessment can be substantial and we there is lack of mutual recognition this implies the multiplication of such costs:  for compa</w:t>
      </w:r>
      <w:r>
        <w:rPr>
          <w:noProof/>
        </w:rPr>
        <w:t>nies offering several product types on a national market of a receiving Member State the costs amount to approximately 2% of their entire annual turnover on that market, whereas they can reach up to 10% for companies specialised in one specific product typ</w:t>
      </w:r>
      <w:r>
        <w:rPr>
          <w:noProof/>
        </w:rPr>
        <w:t>e because they do not benefit from economies of scale</w:t>
      </w:r>
      <w:r>
        <w:rPr>
          <w:noProof/>
          <w:vertAlign w:val="superscript"/>
        </w:rPr>
        <w:footnoteReference w:id="111"/>
      </w:r>
      <w:r>
        <w:rPr>
          <w:noProof/>
        </w:rPr>
        <w:t>. Even applying the lower bound of 2% only to 60% of the cyber security market to be conservative (i.e. assuming 40% of the market concerns products for which certification is no require) the costs of l</w:t>
      </w:r>
      <w:r>
        <w:rPr>
          <w:noProof/>
        </w:rPr>
        <w:t>ack of mutual recognition reach a figure in the range of 1.2 billion euro.</w:t>
      </w:r>
    </w:p>
    <w:p w:rsidR="00913429" w:rsidRDefault="00913429">
      <w:pPr>
        <w:jc w:val="both"/>
        <w:rPr>
          <w:noProof/>
        </w:rPr>
      </w:pPr>
    </w:p>
    <w:p w:rsidR="00913429" w:rsidRDefault="00913429">
      <w:pPr>
        <w:jc w:val="both"/>
        <w:rPr>
          <w:noProof/>
        </w:rPr>
      </w:pPr>
    </w:p>
    <w:p w:rsidR="00913429" w:rsidRDefault="00913429">
      <w:pPr>
        <w:jc w:val="both"/>
        <w:rPr>
          <w:noProof/>
          <w:lang w:val="en"/>
        </w:rPr>
      </w:pPr>
    </w:p>
    <w:p w:rsidR="00913429" w:rsidRDefault="00E143F0">
      <w:pPr>
        <w:pStyle w:val="ListParagraph"/>
        <w:keepNext/>
        <w:keepLines/>
        <w:numPr>
          <w:ilvl w:val="1"/>
          <w:numId w:val="93"/>
        </w:numPr>
        <w:tabs>
          <w:tab w:val="left" w:pos="993"/>
        </w:tabs>
        <w:spacing w:after="120"/>
        <w:ind w:right="-23"/>
        <w:outlineLvl w:val="1"/>
        <w:rPr>
          <w:rFonts w:eastAsia="SimHei"/>
          <w:b/>
          <w:bCs/>
          <w:i/>
          <w:noProof/>
          <w:color w:val="DC6900"/>
          <w:sz w:val="32"/>
          <w:szCs w:val="26"/>
          <w:lang w:val="fr-FR"/>
        </w:rPr>
      </w:pPr>
      <w:bookmarkStart w:id="204" w:name="_Toc492396572"/>
      <w:r>
        <w:rPr>
          <w:rFonts w:eastAsia="SimHei"/>
          <w:b/>
          <w:bCs/>
          <w:i/>
          <w:noProof/>
          <w:color w:val="DC6900"/>
          <w:sz w:val="32"/>
          <w:szCs w:val="26"/>
          <w:lang w:val="fr-FR"/>
        </w:rPr>
        <w:t>References</w:t>
      </w:r>
      <w:bookmarkEnd w:id="204"/>
      <w:r>
        <w:rPr>
          <w:rFonts w:eastAsia="SimHei"/>
          <w:b/>
          <w:bCs/>
          <w:i/>
          <w:noProof/>
          <w:color w:val="DC6900"/>
          <w:sz w:val="32"/>
          <w:szCs w:val="26"/>
          <w:lang w:val="fr-FR"/>
        </w:rPr>
        <w:t xml:space="preserve"> </w:t>
      </w:r>
    </w:p>
    <w:p w:rsidR="00913429" w:rsidRDefault="00E143F0">
      <w:pPr>
        <w:pStyle w:val="EndNoteBibliography"/>
        <w:numPr>
          <w:ilvl w:val="0"/>
          <w:numId w:val="0"/>
        </w:numPr>
        <w:spacing w:before="60" w:after="60"/>
        <w:ind w:left="720" w:hanging="360"/>
        <w:rPr>
          <w:noProof/>
          <w:sz w:val="18"/>
          <w:szCs w:val="18"/>
          <w:lang w:val="en-GB"/>
        </w:rPr>
      </w:pPr>
      <w:r>
        <w:rPr>
          <w:noProof/>
          <w:sz w:val="18"/>
          <w:szCs w:val="18"/>
          <w:lang w:val="en-GB"/>
        </w:rPr>
        <w:fldChar w:fldCharType="begin"/>
      </w:r>
      <w:r>
        <w:rPr>
          <w:noProof/>
          <w:sz w:val="18"/>
          <w:szCs w:val="18"/>
          <w:lang w:val="it-IT"/>
        </w:rPr>
        <w:instrText xml:space="preserve"> ADDIN EN.REFLIST </w:instrText>
      </w:r>
      <w:r>
        <w:rPr>
          <w:noProof/>
          <w:sz w:val="18"/>
          <w:szCs w:val="18"/>
          <w:lang w:val="en-GB"/>
        </w:rPr>
        <w:fldChar w:fldCharType="separate"/>
      </w:r>
      <w:r>
        <w:rPr>
          <w:noProof/>
          <w:sz w:val="18"/>
          <w:szCs w:val="18"/>
          <w:lang w:val="it-IT"/>
        </w:rPr>
        <w:t xml:space="preserve">Baldini, G., Giannopoulos, G., &amp; Lazari, A. (2017). </w:t>
      </w:r>
      <w:r>
        <w:rPr>
          <w:noProof/>
          <w:sz w:val="18"/>
          <w:szCs w:val="18"/>
          <w:lang w:val="en-GB"/>
        </w:rPr>
        <w:t>Analysis and recommendations for a European certification and labelling framework for cybersecur</w:t>
      </w:r>
      <w:r>
        <w:rPr>
          <w:noProof/>
          <w:sz w:val="18"/>
          <w:szCs w:val="18"/>
          <w:lang w:val="en-GB"/>
        </w:rPr>
        <w:t>ity in Europe. JRC Science for Policy Report. Luxembourg: Publications Office of the European Union.</w:t>
      </w:r>
    </w:p>
    <w:p w:rsidR="00913429" w:rsidRDefault="00E143F0">
      <w:pPr>
        <w:pStyle w:val="EndNoteBibliography"/>
        <w:numPr>
          <w:ilvl w:val="0"/>
          <w:numId w:val="0"/>
        </w:numPr>
        <w:spacing w:before="60" w:after="60"/>
        <w:ind w:left="720" w:hanging="360"/>
        <w:rPr>
          <w:noProof/>
          <w:sz w:val="18"/>
          <w:szCs w:val="18"/>
          <w:lang w:val="en-GB"/>
        </w:rPr>
      </w:pPr>
      <w:r>
        <w:rPr>
          <w:noProof/>
          <w:sz w:val="18"/>
          <w:szCs w:val="18"/>
          <w:lang w:val="en-GB"/>
        </w:rPr>
        <w:fldChar w:fldCharType="begin"/>
      </w:r>
      <w:r>
        <w:rPr>
          <w:noProof/>
          <w:sz w:val="18"/>
          <w:szCs w:val="18"/>
          <w:lang w:val="en-GB"/>
        </w:rPr>
        <w:instrText xml:space="preserve"> ADDIN EN.REFLIST </w:instrText>
      </w:r>
      <w:r>
        <w:rPr>
          <w:noProof/>
          <w:sz w:val="18"/>
          <w:szCs w:val="18"/>
          <w:lang w:val="en-GB"/>
        </w:rPr>
        <w:fldChar w:fldCharType="separate"/>
      </w:r>
      <w:r>
        <w:rPr>
          <w:noProof/>
          <w:sz w:val="18"/>
          <w:szCs w:val="18"/>
          <w:lang w:val="en-GB"/>
        </w:rPr>
        <w:t xml:space="preserve">Akerlof, G. (1970). The Market for Lemons: Quality Uncertainty and the Market Mechanism. </w:t>
      </w:r>
      <w:r>
        <w:rPr>
          <w:i/>
          <w:noProof/>
          <w:sz w:val="18"/>
          <w:szCs w:val="18"/>
          <w:lang w:val="en-GB"/>
        </w:rPr>
        <w:t>The Quarterly Journal of Economics, 84</w:t>
      </w:r>
      <w:r>
        <w:rPr>
          <w:noProof/>
          <w:sz w:val="18"/>
          <w:szCs w:val="18"/>
          <w:lang w:val="en-GB"/>
        </w:rPr>
        <w:t>(3), 488-5</w:t>
      </w:r>
      <w:r>
        <w:rPr>
          <w:noProof/>
          <w:sz w:val="18"/>
          <w:szCs w:val="18"/>
          <w:lang w:val="en-GB"/>
        </w:rPr>
        <w:t xml:space="preserve">00. </w:t>
      </w:r>
    </w:p>
    <w:p w:rsidR="00913429" w:rsidRDefault="00E143F0">
      <w:pPr>
        <w:pStyle w:val="EndNoteBibliography"/>
        <w:numPr>
          <w:ilvl w:val="0"/>
          <w:numId w:val="0"/>
        </w:numPr>
        <w:spacing w:before="60" w:after="60"/>
        <w:ind w:left="720" w:hanging="360"/>
        <w:rPr>
          <w:noProof/>
          <w:sz w:val="18"/>
          <w:szCs w:val="18"/>
          <w:lang w:val="en-GB"/>
        </w:rPr>
      </w:pPr>
      <w:r>
        <w:rPr>
          <w:noProof/>
          <w:sz w:val="18"/>
          <w:szCs w:val="18"/>
          <w:lang w:val="en-GB"/>
        </w:rPr>
        <w:t>ANSSI. (2015). Introduction A La Certification De La Sécurité Des Technologies De L’information Paris: Agence Nationale de la Sécurité des Systèmes d’Informations (ANSSI).</w:t>
      </w:r>
    </w:p>
    <w:p w:rsidR="00913429" w:rsidRDefault="00E143F0">
      <w:pPr>
        <w:pStyle w:val="EndNoteBibliography"/>
        <w:numPr>
          <w:ilvl w:val="0"/>
          <w:numId w:val="0"/>
        </w:numPr>
        <w:spacing w:before="60" w:after="60"/>
        <w:ind w:left="720" w:hanging="360"/>
        <w:rPr>
          <w:noProof/>
          <w:sz w:val="18"/>
          <w:szCs w:val="18"/>
          <w:lang w:val="en-GB"/>
        </w:rPr>
      </w:pPr>
      <w:r>
        <w:rPr>
          <w:noProof/>
          <w:sz w:val="18"/>
          <w:szCs w:val="18"/>
          <w:lang w:val="en-GB"/>
        </w:rPr>
        <w:t>ANSSI, &amp; BSI. (2017). Towards a European certification scheme: Agence Nation</w:t>
      </w:r>
      <w:r>
        <w:rPr>
          <w:noProof/>
          <w:sz w:val="18"/>
          <w:szCs w:val="18"/>
          <w:lang w:val="en-GB"/>
        </w:rPr>
        <w:t>ale de la Sécurité des Systèmes d’Informations (ANSSI) &amp; German Federal Office for Information Security (BSI).</w:t>
      </w:r>
    </w:p>
    <w:p w:rsidR="00913429" w:rsidRDefault="00E143F0">
      <w:pPr>
        <w:pStyle w:val="EndNoteBibliography"/>
        <w:numPr>
          <w:ilvl w:val="0"/>
          <w:numId w:val="0"/>
        </w:numPr>
        <w:spacing w:before="60" w:after="60"/>
        <w:ind w:left="720" w:hanging="360"/>
        <w:rPr>
          <w:noProof/>
          <w:sz w:val="18"/>
          <w:szCs w:val="18"/>
          <w:lang w:val="en-GB"/>
        </w:rPr>
      </w:pPr>
      <w:r>
        <w:rPr>
          <w:noProof/>
          <w:sz w:val="18"/>
          <w:szCs w:val="18"/>
          <w:lang w:val="en-GB"/>
        </w:rPr>
        <w:t>BITAG. (2016). Internet of Things (IoT) Security and Privacy Recommendations. A Uniform Agreement Report: BROADBAND INTERNET TECHNICAL ADVISOR</w:t>
      </w:r>
      <w:r>
        <w:rPr>
          <w:noProof/>
          <w:sz w:val="18"/>
          <w:szCs w:val="18"/>
          <w:lang w:val="en-GB"/>
        </w:rPr>
        <w:t>Y GROUP (BITAG).</w:t>
      </w:r>
    </w:p>
    <w:p w:rsidR="00913429" w:rsidRDefault="00E143F0">
      <w:pPr>
        <w:pStyle w:val="EndNoteBibliography"/>
        <w:numPr>
          <w:ilvl w:val="0"/>
          <w:numId w:val="0"/>
        </w:numPr>
        <w:spacing w:before="60" w:after="60"/>
        <w:ind w:left="720" w:hanging="360"/>
        <w:rPr>
          <w:noProof/>
          <w:sz w:val="18"/>
          <w:szCs w:val="18"/>
          <w:lang w:val="en-GB"/>
        </w:rPr>
      </w:pPr>
      <w:r>
        <w:rPr>
          <w:noProof/>
          <w:sz w:val="18"/>
          <w:szCs w:val="18"/>
          <w:lang w:val="en-GB"/>
        </w:rPr>
        <w:t>Business Insider. (2017). The Internet of Things 2017 Report.</w:t>
      </w:r>
    </w:p>
    <w:p w:rsidR="00913429" w:rsidRDefault="00E143F0">
      <w:pPr>
        <w:pStyle w:val="EndNoteBibliography"/>
        <w:numPr>
          <w:ilvl w:val="0"/>
          <w:numId w:val="0"/>
        </w:numPr>
        <w:spacing w:before="60" w:after="60"/>
        <w:ind w:left="720" w:hanging="360"/>
        <w:rPr>
          <w:noProof/>
          <w:sz w:val="18"/>
          <w:szCs w:val="18"/>
          <w:lang w:val="en-GB"/>
        </w:rPr>
      </w:pPr>
      <w:r>
        <w:rPr>
          <w:noProof/>
          <w:sz w:val="18"/>
          <w:szCs w:val="18"/>
          <w:lang w:val="en-GB"/>
        </w:rPr>
        <w:t xml:space="preserve">Codagnone, C., Bogliacino, F., &amp; Veltri, G. (2013). Testing CO2/Car labelling options and consumer information. Final Report. Brussels: European Commission (available at: </w:t>
      </w:r>
      <w:hyperlink r:id="rId70" w:history="1">
        <w:r>
          <w:rPr>
            <w:rStyle w:val="Hyperlink"/>
            <w:noProof/>
            <w:sz w:val="18"/>
            <w:szCs w:val="18"/>
            <w:lang w:val="en-GB"/>
          </w:rPr>
          <w:t>http://ec.europa.eu/clima/policies/transport/vehicles/labelling/docs/report_car_labelling_en.pdf</w:t>
        </w:r>
      </w:hyperlink>
      <w:r>
        <w:rPr>
          <w:noProof/>
          <w:sz w:val="18"/>
          <w:szCs w:val="18"/>
          <w:lang w:val="en-GB"/>
        </w:rPr>
        <w:t xml:space="preserve"> ).</w:t>
      </w:r>
    </w:p>
    <w:p w:rsidR="00913429" w:rsidRDefault="00E143F0">
      <w:pPr>
        <w:pStyle w:val="EndNoteBibliography"/>
        <w:numPr>
          <w:ilvl w:val="0"/>
          <w:numId w:val="0"/>
        </w:numPr>
        <w:spacing w:before="60" w:after="60" w:line="240" w:lineRule="auto"/>
        <w:ind w:left="720" w:hanging="360"/>
        <w:rPr>
          <w:noProof/>
          <w:sz w:val="18"/>
          <w:szCs w:val="18"/>
          <w:lang w:val="en-GB"/>
        </w:rPr>
      </w:pPr>
      <w:r>
        <w:rPr>
          <w:noProof/>
          <w:sz w:val="18"/>
          <w:szCs w:val="18"/>
          <w:lang w:val="en-GB"/>
        </w:rPr>
        <w:t xml:space="preserve">Codagnone, C., Veltri, G. A., Bogliacino, F., Lupiáñez-Villanueva, F., et al. (2016). Labels as nudges? An experimental study of car eco-labels. </w:t>
      </w:r>
      <w:r>
        <w:rPr>
          <w:i/>
          <w:noProof/>
          <w:sz w:val="18"/>
          <w:szCs w:val="18"/>
          <w:lang w:val="en-GB"/>
        </w:rPr>
        <w:t>Economia Politica, 33</w:t>
      </w:r>
      <w:r>
        <w:rPr>
          <w:noProof/>
          <w:sz w:val="18"/>
          <w:szCs w:val="18"/>
          <w:lang w:val="en-GB"/>
        </w:rPr>
        <w:t xml:space="preserve">, 403-432. </w:t>
      </w:r>
    </w:p>
    <w:p w:rsidR="00913429" w:rsidRDefault="00E143F0">
      <w:pPr>
        <w:pStyle w:val="EndNoteBibliography"/>
        <w:numPr>
          <w:ilvl w:val="0"/>
          <w:numId w:val="0"/>
        </w:numPr>
        <w:spacing w:before="60" w:after="60" w:line="240" w:lineRule="auto"/>
        <w:ind w:left="720" w:hanging="360"/>
        <w:rPr>
          <w:noProof/>
          <w:sz w:val="18"/>
          <w:szCs w:val="18"/>
          <w:lang w:val="en-GB"/>
        </w:rPr>
      </w:pPr>
      <w:r>
        <w:rPr>
          <w:noProof/>
          <w:sz w:val="18"/>
          <w:szCs w:val="18"/>
          <w:lang w:val="en-GB"/>
        </w:rPr>
        <w:t>CSIS. (2014). Net Losses: Estimating the Global Cost of Cybercrime. Washington</w:t>
      </w:r>
      <w:r>
        <w:rPr>
          <w:noProof/>
          <w:sz w:val="18"/>
          <w:szCs w:val="18"/>
          <w:lang w:val="en-GB"/>
        </w:rPr>
        <w:t>, D.C.: Center for Strategic and International Study (CSIS).</w:t>
      </w:r>
    </w:p>
    <w:p w:rsidR="00913429" w:rsidRDefault="00E143F0">
      <w:pPr>
        <w:pStyle w:val="EndNoteBibliography"/>
        <w:numPr>
          <w:ilvl w:val="0"/>
          <w:numId w:val="0"/>
        </w:numPr>
        <w:spacing w:before="60" w:after="60" w:line="240" w:lineRule="auto"/>
        <w:ind w:left="720" w:hanging="360"/>
        <w:rPr>
          <w:noProof/>
          <w:sz w:val="18"/>
          <w:szCs w:val="18"/>
          <w:lang w:val="en-GB"/>
        </w:rPr>
      </w:pPr>
      <w:r>
        <w:rPr>
          <w:noProof/>
          <w:sz w:val="18"/>
          <w:szCs w:val="18"/>
          <w:lang w:val="en-GB"/>
        </w:rPr>
        <w:t>Dusart Pierre, Sauveron Damien, Tai-Hoon Kim, Some limits of Common Criteria certification, International Journal of Security and Its Applications</w:t>
      </w:r>
    </w:p>
    <w:p w:rsidR="00913429" w:rsidRDefault="00E143F0">
      <w:pPr>
        <w:pStyle w:val="EndNoteBibliography"/>
        <w:numPr>
          <w:ilvl w:val="0"/>
          <w:numId w:val="0"/>
        </w:numPr>
        <w:spacing w:before="60" w:after="60"/>
        <w:ind w:left="720" w:hanging="360"/>
        <w:rPr>
          <w:noProof/>
          <w:sz w:val="18"/>
          <w:szCs w:val="18"/>
          <w:lang w:val="en-GB"/>
        </w:rPr>
      </w:pPr>
      <w:r>
        <w:rPr>
          <w:noProof/>
          <w:sz w:val="18"/>
          <w:szCs w:val="18"/>
          <w:lang w:val="en-GB"/>
        </w:rPr>
        <w:t xml:space="preserve">DIGITALEUROPE. (2017). DIGITALEUROPE'S views on </w:t>
      </w:r>
      <w:r>
        <w:rPr>
          <w:noProof/>
          <w:sz w:val="18"/>
          <w:szCs w:val="18"/>
          <w:lang w:val="en-GB"/>
        </w:rPr>
        <w:t>Cybersecurity Certification and Labelling Schemes. Brussels: DIGITALEUROPE.</w:t>
      </w:r>
    </w:p>
    <w:p w:rsidR="00913429" w:rsidRDefault="00E143F0">
      <w:pPr>
        <w:pStyle w:val="EndNoteBibliography"/>
        <w:numPr>
          <w:ilvl w:val="0"/>
          <w:numId w:val="0"/>
        </w:numPr>
        <w:spacing w:before="60" w:after="60" w:line="240" w:lineRule="auto"/>
        <w:ind w:left="720" w:hanging="360"/>
        <w:rPr>
          <w:noProof/>
          <w:sz w:val="18"/>
          <w:szCs w:val="18"/>
          <w:lang w:val="en-GB"/>
        </w:rPr>
      </w:pPr>
      <w:r>
        <w:rPr>
          <w:noProof/>
          <w:sz w:val="18"/>
          <w:szCs w:val="18"/>
          <w:lang w:val="en-GB"/>
        </w:rPr>
        <w:t>ECORYS. (2011). Security Regulation, Conformity Assessment &amp; Certification. Brussels: Report delivered by ECORYS for the European Commission.</w:t>
      </w:r>
    </w:p>
    <w:p w:rsidR="00913429" w:rsidRDefault="00E143F0">
      <w:pPr>
        <w:pStyle w:val="EndNoteBibliography"/>
        <w:numPr>
          <w:ilvl w:val="0"/>
          <w:numId w:val="0"/>
        </w:numPr>
        <w:spacing w:before="60" w:after="60"/>
        <w:ind w:left="720" w:hanging="360"/>
        <w:rPr>
          <w:noProof/>
          <w:sz w:val="18"/>
          <w:szCs w:val="18"/>
          <w:lang w:val="en-GB"/>
        </w:rPr>
      </w:pPr>
      <w:r>
        <w:rPr>
          <w:noProof/>
          <w:sz w:val="18"/>
          <w:szCs w:val="18"/>
          <w:lang w:val="en-GB"/>
        </w:rPr>
        <w:t>Enisa. (2014). Smart grid security cer</w:t>
      </w:r>
      <w:r>
        <w:rPr>
          <w:noProof/>
          <w:sz w:val="18"/>
          <w:szCs w:val="18"/>
          <w:lang w:val="en-GB"/>
        </w:rPr>
        <w:t>tification in Europe. Challenges and recommendations: European Union Agency for Network and Information Security (ENISA).</w:t>
      </w:r>
    </w:p>
    <w:p w:rsidR="00913429" w:rsidRDefault="00E143F0">
      <w:pPr>
        <w:pStyle w:val="EndNoteBibliography"/>
        <w:numPr>
          <w:ilvl w:val="0"/>
          <w:numId w:val="0"/>
        </w:numPr>
        <w:spacing w:before="60" w:after="60"/>
        <w:ind w:left="720" w:hanging="360"/>
        <w:rPr>
          <w:noProof/>
          <w:sz w:val="18"/>
          <w:szCs w:val="18"/>
          <w:lang w:val="en-GB"/>
        </w:rPr>
      </w:pPr>
      <w:r>
        <w:rPr>
          <w:noProof/>
          <w:sz w:val="18"/>
          <w:szCs w:val="18"/>
          <w:lang w:val="en-GB"/>
        </w:rPr>
        <w:t xml:space="preserve">Enisa. (2016a). Results of ENISA workshop on a common European ICT product security certification framework (February 2016): European </w:t>
      </w:r>
      <w:r>
        <w:rPr>
          <w:noProof/>
          <w:sz w:val="18"/>
          <w:szCs w:val="18"/>
          <w:lang w:val="en-GB"/>
        </w:rPr>
        <w:t>Union Agency for Network and Information Security (ENISA).</w:t>
      </w:r>
    </w:p>
    <w:p w:rsidR="00913429" w:rsidRDefault="00E143F0">
      <w:pPr>
        <w:pStyle w:val="EndNoteBibliography"/>
        <w:numPr>
          <w:ilvl w:val="0"/>
          <w:numId w:val="0"/>
        </w:numPr>
        <w:spacing w:before="60" w:after="60"/>
        <w:ind w:left="720" w:hanging="360"/>
        <w:rPr>
          <w:noProof/>
          <w:sz w:val="18"/>
          <w:szCs w:val="18"/>
          <w:lang w:val="en-GB"/>
        </w:rPr>
      </w:pPr>
      <w:r>
        <w:rPr>
          <w:noProof/>
          <w:sz w:val="18"/>
          <w:szCs w:val="18"/>
          <w:lang w:val="en-GB"/>
        </w:rPr>
        <w:t>Enisa. (2016b). A European ICT Security Certification Framework - Workshop Summary (17 October 2016): European Union Agency for Network and Information Security (ENISA).</w:t>
      </w:r>
    </w:p>
    <w:p w:rsidR="00913429" w:rsidRDefault="00E143F0">
      <w:pPr>
        <w:pStyle w:val="EndNoteBibliography"/>
        <w:numPr>
          <w:ilvl w:val="0"/>
          <w:numId w:val="0"/>
        </w:numPr>
        <w:spacing w:before="60" w:after="60" w:line="240" w:lineRule="auto"/>
        <w:ind w:left="720" w:hanging="360"/>
        <w:rPr>
          <w:noProof/>
          <w:sz w:val="18"/>
          <w:szCs w:val="18"/>
          <w:lang w:val="en-GB"/>
        </w:rPr>
      </w:pPr>
      <w:r>
        <w:rPr>
          <w:noProof/>
          <w:sz w:val="18"/>
          <w:szCs w:val="18"/>
          <w:lang w:val="en-GB"/>
        </w:rPr>
        <w:t>ERNCIP. (2014). Proposals f</w:t>
      </w:r>
      <w:r>
        <w:rPr>
          <w:noProof/>
          <w:sz w:val="18"/>
          <w:szCs w:val="18"/>
          <w:lang w:val="en-GB"/>
        </w:rPr>
        <w:t>rom the ERNCIP Thematic Group, “Case Studies for the Cyber-security of Industrial Automation and Control Systems”, for a European IACS Components Cyber-security Compliance and Certification Scheme.</w:t>
      </w:r>
    </w:p>
    <w:p w:rsidR="00913429" w:rsidRDefault="00E143F0">
      <w:pPr>
        <w:pStyle w:val="EndNoteBibliography"/>
        <w:numPr>
          <w:ilvl w:val="0"/>
          <w:numId w:val="0"/>
        </w:numPr>
        <w:spacing w:before="60" w:after="60"/>
        <w:ind w:left="720" w:hanging="360"/>
        <w:rPr>
          <w:noProof/>
          <w:sz w:val="18"/>
          <w:szCs w:val="18"/>
          <w:lang w:val="en-GB"/>
        </w:rPr>
      </w:pPr>
      <w:r>
        <w:rPr>
          <w:noProof/>
          <w:sz w:val="18"/>
          <w:szCs w:val="18"/>
          <w:lang w:val="en-GB"/>
        </w:rPr>
        <w:t>European Commission. (2006). Labelling: competitiveness, c</w:t>
      </w:r>
      <w:r>
        <w:rPr>
          <w:noProof/>
          <w:sz w:val="18"/>
          <w:szCs w:val="18"/>
          <w:lang w:val="en-GB"/>
        </w:rPr>
        <w:t>onsumer information and better regulation for the EU. Brussels: DG Sanco, European Commission.</w:t>
      </w:r>
    </w:p>
    <w:p w:rsidR="00913429" w:rsidRDefault="00E143F0">
      <w:pPr>
        <w:pStyle w:val="EndNoteBibliography"/>
        <w:numPr>
          <w:ilvl w:val="0"/>
          <w:numId w:val="0"/>
        </w:numPr>
        <w:spacing w:before="60" w:after="60" w:line="240" w:lineRule="auto"/>
        <w:ind w:left="720" w:hanging="360"/>
        <w:rPr>
          <w:noProof/>
          <w:sz w:val="18"/>
          <w:szCs w:val="18"/>
          <w:lang w:val="en-GB"/>
        </w:rPr>
      </w:pPr>
      <w:r>
        <w:rPr>
          <w:noProof/>
          <w:sz w:val="18"/>
          <w:szCs w:val="18"/>
          <w:lang w:val="en-GB"/>
        </w:rPr>
        <w:t xml:space="preserve">European Commission. (2009). Impact Assessment Guidelines. SEC(2009) 92, Brussels: European Commission, available at: </w:t>
      </w:r>
      <w:hyperlink r:id="rId71" w:history="1">
        <w:r>
          <w:rPr>
            <w:rStyle w:val="Hyperlink"/>
            <w:noProof/>
            <w:sz w:val="18"/>
            <w:szCs w:val="18"/>
            <w:lang w:val="en-GB"/>
          </w:rPr>
          <w:t>http://ec.europa.eu/governance/impact/commission_guidelines/docs/iag_2009_en.pdf</w:t>
        </w:r>
      </w:hyperlink>
      <w:r>
        <w:rPr>
          <w:noProof/>
          <w:sz w:val="18"/>
          <w:szCs w:val="18"/>
          <w:lang w:val="en-GB"/>
        </w:rPr>
        <w:t>.</w:t>
      </w:r>
    </w:p>
    <w:p w:rsidR="00913429" w:rsidRDefault="00E143F0">
      <w:pPr>
        <w:pStyle w:val="EndNoteBibliography"/>
        <w:numPr>
          <w:ilvl w:val="0"/>
          <w:numId w:val="0"/>
        </w:numPr>
        <w:spacing w:before="60" w:after="60"/>
        <w:ind w:left="720" w:hanging="360"/>
        <w:rPr>
          <w:noProof/>
          <w:sz w:val="18"/>
          <w:szCs w:val="18"/>
          <w:lang w:val="en-GB"/>
        </w:rPr>
      </w:pPr>
      <w:r>
        <w:rPr>
          <w:noProof/>
          <w:sz w:val="18"/>
          <w:szCs w:val="18"/>
          <w:lang w:val="en-GB"/>
        </w:rPr>
        <w:t>European Commission. (2012a). Security Industrial Policy. COM(2012) 417 final, Brussels: European Commission.</w:t>
      </w:r>
    </w:p>
    <w:p w:rsidR="00913429" w:rsidRDefault="00E143F0">
      <w:pPr>
        <w:pStyle w:val="EndNoteBibliography"/>
        <w:numPr>
          <w:ilvl w:val="0"/>
          <w:numId w:val="0"/>
        </w:numPr>
        <w:spacing w:before="60" w:after="60"/>
        <w:ind w:left="720" w:hanging="360"/>
        <w:rPr>
          <w:noProof/>
          <w:sz w:val="18"/>
          <w:szCs w:val="18"/>
          <w:lang w:val="en-GB"/>
        </w:rPr>
      </w:pPr>
      <w:r>
        <w:rPr>
          <w:noProof/>
          <w:sz w:val="18"/>
          <w:szCs w:val="18"/>
          <w:lang w:val="en-GB"/>
        </w:rPr>
        <w:t>European C</w:t>
      </w:r>
      <w:r>
        <w:rPr>
          <w:noProof/>
          <w:sz w:val="18"/>
          <w:szCs w:val="18"/>
          <w:lang w:val="en-GB"/>
        </w:rPr>
        <w:t>ommission. (2012b). Commission Staff Working Document Accompanying the Communication on Security Industrial Policy. SWD(2012) 233 final, Brussels: European Commission.</w:t>
      </w:r>
    </w:p>
    <w:p w:rsidR="00913429" w:rsidRDefault="00E143F0">
      <w:pPr>
        <w:pStyle w:val="EndNoteBibliography"/>
        <w:numPr>
          <w:ilvl w:val="0"/>
          <w:numId w:val="0"/>
        </w:numPr>
        <w:spacing w:before="60" w:after="60" w:line="240" w:lineRule="auto"/>
        <w:ind w:left="720" w:hanging="360"/>
        <w:rPr>
          <w:noProof/>
          <w:sz w:val="18"/>
          <w:szCs w:val="18"/>
          <w:lang w:val="en-GB"/>
        </w:rPr>
      </w:pPr>
      <w:r>
        <w:rPr>
          <w:noProof/>
          <w:sz w:val="18"/>
          <w:szCs w:val="18"/>
          <w:lang w:val="en-GB"/>
        </w:rPr>
        <w:t>European Commission. (2015a). Commission Staff Working Document, Better Regulation Guide</w:t>
      </w:r>
      <w:r>
        <w:rPr>
          <w:noProof/>
          <w:sz w:val="18"/>
          <w:szCs w:val="18"/>
          <w:lang w:val="en-GB"/>
        </w:rPr>
        <w:t>lines. Brussels, COM(2015) 215 final, SWD (2015) 110 final.</w:t>
      </w:r>
    </w:p>
    <w:p w:rsidR="00913429" w:rsidRDefault="00E143F0">
      <w:pPr>
        <w:pStyle w:val="EndNoteBibliography"/>
        <w:numPr>
          <w:ilvl w:val="0"/>
          <w:numId w:val="0"/>
        </w:numPr>
        <w:spacing w:before="60" w:after="60" w:line="240" w:lineRule="auto"/>
        <w:ind w:left="720" w:hanging="360"/>
        <w:rPr>
          <w:noProof/>
          <w:sz w:val="18"/>
          <w:szCs w:val="18"/>
          <w:lang w:val="en-GB"/>
        </w:rPr>
      </w:pPr>
      <w:r>
        <w:rPr>
          <w:noProof/>
          <w:sz w:val="18"/>
          <w:szCs w:val="18"/>
          <w:lang w:val="en-GB"/>
        </w:rPr>
        <w:t>European Commission. (2015b). A Digital Single Market Strategy for Europe. COM(2015) 192 final, Brussels: European Commission.</w:t>
      </w:r>
    </w:p>
    <w:p w:rsidR="00913429" w:rsidRDefault="00E143F0">
      <w:pPr>
        <w:pStyle w:val="EndNoteBibliography"/>
        <w:numPr>
          <w:ilvl w:val="0"/>
          <w:numId w:val="0"/>
        </w:numPr>
        <w:spacing w:before="60" w:after="60" w:line="240" w:lineRule="auto"/>
        <w:ind w:left="720" w:hanging="360"/>
        <w:rPr>
          <w:noProof/>
          <w:sz w:val="18"/>
          <w:szCs w:val="18"/>
          <w:lang w:val="en-GB"/>
        </w:rPr>
      </w:pPr>
      <w:r>
        <w:rPr>
          <w:noProof/>
          <w:sz w:val="18"/>
          <w:szCs w:val="18"/>
          <w:lang w:val="en-GB"/>
        </w:rPr>
        <w:t>European Commission. (2016a). Strengthening Europe's Cyber Resilience</w:t>
      </w:r>
      <w:r>
        <w:rPr>
          <w:noProof/>
          <w:sz w:val="18"/>
          <w:szCs w:val="18"/>
          <w:lang w:val="en-GB"/>
        </w:rPr>
        <w:t xml:space="preserve"> System and Fostering a Competitive and Innovative Cybersecurity Industry. COM(2016) 410 final, Brussels: European Commission.</w:t>
      </w:r>
    </w:p>
    <w:p w:rsidR="00913429" w:rsidRDefault="00E143F0">
      <w:pPr>
        <w:pStyle w:val="EndNoteBibliography"/>
        <w:numPr>
          <w:ilvl w:val="0"/>
          <w:numId w:val="0"/>
        </w:numPr>
        <w:spacing w:before="60" w:after="60" w:line="240" w:lineRule="auto"/>
        <w:ind w:left="720" w:hanging="360"/>
        <w:rPr>
          <w:noProof/>
          <w:sz w:val="18"/>
          <w:szCs w:val="18"/>
          <w:lang w:val="en-GB"/>
        </w:rPr>
      </w:pPr>
      <w:r>
        <w:rPr>
          <w:noProof/>
          <w:sz w:val="18"/>
          <w:szCs w:val="18"/>
          <w:lang w:val="en-GB"/>
        </w:rPr>
        <w:t>European Commission. (2016b). Staff Working Document. Contractual Public Private Partnership on Cybersecurity &amp; Accompanying Meas</w:t>
      </w:r>
      <w:r>
        <w:rPr>
          <w:noProof/>
          <w:sz w:val="18"/>
          <w:szCs w:val="18"/>
          <w:lang w:val="en-GB"/>
        </w:rPr>
        <w:t>ures. SWD(2016) 216 final, Brussels: European Commission.</w:t>
      </w:r>
    </w:p>
    <w:p w:rsidR="00913429" w:rsidRDefault="00E143F0">
      <w:pPr>
        <w:pStyle w:val="EndNoteBibliography"/>
        <w:numPr>
          <w:ilvl w:val="0"/>
          <w:numId w:val="0"/>
        </w:numPr>
        <w:spacing w:before="60" w:after="60" w:line="240" w:lineRule="auto"/>
        <w:ind w:left="720" w:hanging="360"/>
        <w:rPr>
          <w:noProof/>
          <w:sz w:val="18"/>
          <w:szCs w:val="18"/>
          <w:lang w:val="en-GB"/>
        </w:rPr>
      </w:pPr>
      <w:r>
        <w:rPr>
          <w:noProof/>
          <w:sz w:val="18"/>
          <w:szCs w:val="18"/>
          <w:lang w:val="en-GB"/>
        </w:rPr>
        <w:t>European Commission. (2016c). Staff Working Document. Report on the public consultation and other consultation activities of the European Commission for the preparation of the EU Cybersecurity contr</w:t>
      </w:r>
      <w:r>
        <w:rPr>
          <w:noProof/>
          <w:sz w:val="18"/>
          <w:szCs w:val="18"/>
          <w:lang w:val="en-GB"/>
        </w:rPr>
        <w:t>actual Public-Private Partnership and Accompanying Measures. SWD(2016) 215 final, Brussels: European Commission.</w:t>
      </w:r>
    </w:p>
    <w:p w:rsidR="00913429" w:rsidRDefault="00E143F0">
      <w:pPr>
        <w:pStyle w:val="EndNoteBibliography"/>
        <w:numPr>
          <w:ilvl w:val="0"/>
          <w:numId w:val="0"/>
        </w:numPr>
        <w:spacing w:before="60" w:after="60" w:line="240" w:lineRule="auto"/>
        <w:ind w:left="720" w:hanging="360"/>
        <w:rPr>
          <w:noProof/>
          <w:sz w:val="18"/>
          <w:szCs w:val="18"/>
          <w:lang w:val="en-GB"/>
        </w:rPr>
      </w:pPr>
      <w:r>
        <w:rPr>
          <w:noProof/>
          <w:sz w:val="18"/>
          <w:szCs w:val="18"/>
          <w:lang w:val="en-GB"/>
        </w:rPr>
        <w:t>European Commission. (2016d). Commission Decision on the signing of a contractual arrangement on a public-private partnership for cybersecurity</w:t>
      </w:r>
      <w:r>
        <w:rPr>
          <w:noProof/>
          <w:sz w:val="18"/>
          <w:szCs w:val="18"/>
          <w:lang w:val="en-GB"/>
        </w:rPr>
        <w:t xml:space="preserve"> industrial research and innovation between the European Union, represented by the Commission, and the stakeholder organisation. C(2016) 4400 final, Brussels: European Commission.</w:t>
      </w:r>
    </w:p>
    <w:p w:rsidR="00913429" w:rsidRDefault="00E143F0">
      <w:pPr>
        <w:pStyle w:val="EndNoteBibliography"/>
        <w:numPr>
          <w:ilvl w:val="0"/>
          <w:numId w:val="0"/>
        </w:numPr>
        <w:spacing w:before="60" w:after="60" w:line="240" w:lineRule="auto"/>
        <w:ind w:left="720" w:hanging="360"/>
        <w:rPr>
          <w:noProof/>
          <w:sz w:val="18"/>
          <w:szCs w:val="18"/>
          <w:lang w:val="en-GB"/>
        </w:rPr>
      </w:pPr>
      <w:r>
        <w:rPr>
          <w:noProof/>
          <w:sz w:val="18"/>
          <w:szCs w:val="18"/>
          <w:lang w:val="en-GB"/>
        </w:rPr>
        <w:t>European Commission, SWD(2016) 216 final, Communication: Strenghtening Europ</w:t>
      </w:r>
      <w:r>
        <w:rPr>
          <w:noProof/>
          <w:sz w:val="18"/>
          <w:szCs w:val="18"/>
          <w:lang w:val="en-GB"/>
        </w:rPr>
        <w:t>e's Cyber Resilience System and Fostering a Competitive and Innovative Cybersecurity Industry</w:t>
      </w:r>
    </w:p>
    <w:p w:rsidR="00913429" w:rsidRDefault="00E143F0">
      <w:pPr>
        <w:pStyle w:val="EndNoteBibliography"/>
        <w:numPr>
          <w:ilvl w:val="0"/>
          <w:numId w:val="0"/>
        </w:numPr>
        <w:spacing w:before="60" w:after="60" w:line="240" w:lineRule="auto"/>
        <w:ind w:left="720" w:hanging="360"/>
        <w:rPr>
          <w:noProof/>
          <w:sz w:val="18"/>
          <w:szCs w:val="18"/>
          <w:lang w:val="en-GB"/>
        </w:rPr>
      </w:pPr>
      <w:r>
        <w:rPr>
          <w:noProof/>
          <w:sz w:val="18"/>
          <w:szCs w:val="18"/>
          <w:lang w:val="en-GB"/>
        </w:rPr>
        <w:t>European Commission. (2017). Building a European Data Economy. COM(2017) 9 final, Brussels: European Commission.</w:t>
      </w:r>
      <w:r>
        <w:rPr>
          <w:noProof/>
          <w:sz w:val="18"/>
          <w:szCs w:val="18"/>
          <w:lang w:val="en-GB"/>
        </w:rPr>
        <w:fldChar w:fldCharType="begin"/>
      </w:r>
      <w:r>
        <w:rPr>
          <w:noProof/>
          <w:sz w:val="18"/>
          <w:szCs w:val="18"/>
          <w:lang w:val="en-GB"/>
        </w:rPr>
        <w:instrText xml:space="preserve"> ADDIN EN.REFLIST </w:instrText>
      </w:r>
      <w:r>
        <w:rPr>
          <w:noProof/>
          <w:sz w:val="18"/>
          <w:szCs w:val="18"/>
          <w:lang w:val="en-GB"/>
        </w:rPr>
        <w:fldChar w:fldCharType="separate"/>
      </w:r>
    </w:p>
    <w:p w:rsidR="00913429" w:rsidRDefault="00E143F0">
      <w:pPr>
        <w:pStyle w:val="EndNoteBibliography"/>
        <w:numPr>
          <w:ilvl w:val="0"/>
          <w:numId w:val="0"/>
        </w:numPr>
        <w:spacing w:before="60" w:after="60" w:line="240" w:lineRule="auto"/>
        <w:ind w:left="720" w:hanging="360"/>
        <w:rPr>
          <w:noProof/>
          <w:sz w:val="18"/>
          <w:szCs w:val="18"/>
          <w:lang w:val="en-GB"/>
        </w:rPr>
      </w:pPr>
      <w:r>
        <w:rPr>
          <w:noProof/>
          <w:sz w:val="18"/>
          <w:szCs w:val="18"/>
          <w:lang w:val="en-GB"/>
        </w:rPr>
        <w:t>Friedman, C. (2015). Cybersecur</w:t>
      </w:r>
      <w:r>
        <w:rPr>
          <w:noProof/>
          <w:sz w:val="18"/>
          <w:szCs w:val="18"/>
          <w:lang w:val="en-GB"/>
        </w:rPr>
        <w:t>ity workforce shortage: Millions of experts needed,</w:t>
      </w:r>
      <w:r>
        <w:rPr>
          <w:i/>
          <w:noProof/>
          <w:sz w:val="18"/>
          <w:szCs w:val="18"/>
          <w:lang w:val="en-GB"/>
        </w:rPr>
        <w:t xml:space="preserve"> </w:t>
      </w:r>
      <w:hyperlink r:id="rId72" w:history="1">
        <w:r>
          <w:rPr>
            <w:rStyle w:val="Hyperlink"/>
            <w:noProof/>
            <w:sz w:val="18"/>
            <w:szCs w:val="18"/>
            <w:lang w:val="en-GB"/>
          </w:rPr>
          <w:t>http://www.ksat.com/news/cybersecurity-workforce-shortage-millions-of-experts-needed</w:t>
        </w:r>
      </w:hyperlink>
      <w:r>
        <w:rPr>
          <w:noProof/>
          <w:sz w:val="18"/>
          <w:szCs w:val="18"/>
          <w:lang w:val="en-GB"/>
        </w:rPr>
        <w:t xml:space="preserve">. </w:t>
      </w:r>
    </w:p>
    <w:p w:rsidR="00913429" w:rsidRDefault="00E143F0">
      <w:pPr>
        <w:pStyle w:val="EndNoteBibliography"/>
        <w:numPr>
          <w:ilvl w:val="0"/>
          <w:numId w:val="0"/>
        </w:numPr>
        <w:spacing w:before="60" w:after="60" w:line="240" w:lineRule="auto"/>
        <w:ind w:left="720" w:hanging="360"/>
        <w:rPr>
          <w:noProof/>
          <w:sz w:val="18"/>
          <w:szCs w:val="18"/>
          <w:lang w:val="en-GB"/>
        </w:rPr>
      </w:pPr>
      <w:r>
        <w:rPr>
          <w:noProof/>
          <w:sz w:val="18"/>
          <w:szCs w:val="18"/>
          <w:lang w:val="en-GB"/>
        </w:rPr>
        <w:t>Hunstad, A.; Hal</w:t>
      </w:r>
      <w:r>
        <w:rPr>
          <w:noProof/>
          <w:sz w:val="18"/>
          <w:szCs w:val="18"/>
          <w:lang w:val="en-GB"/>
        </w:rPr>
        <w:t>lberg, J.; Andersson, R., "Measuring IT security - a method based on common criteria's security functional requirements," Information Assurance Workshop, 2004. Proceedings from the Fifth Annual IEEE SMC, pp. 226-233, 10-11 June 2004, URL: http://ieeexplore</w:t>
      </w:r>
      <w:r>
        <w:rPr>
          <w:noProof/>
          <w:sz w:val="18"/>
          <w:szCs w:val="18"/>
          <w:lang w:val="en-GB"/>
        </w:rPr>
        <w:t>.ieee.org/stamp/stamp.jsp?arnumber=1437821&amp;isnumber=30958</w:t>
      </w:r>
    </w:p>
    <w:p w:rsidR="00913429" w:rsidRDefault="00E143F0">
      <w:pPr>
        <w:pStyle w:val="EndNoteBibliography"/>
        <w:numPr>
          <w:ilvl w:val="0"/>
          <w:numId w:val="0"/>
        </w:numPr>
        <w:spacing w:before="60" w:after="60" w:line="240" w:lineRule="auto"/>
        <w:ind w:left="720" w:hanging="360"/>
        <w:rPr>
          <w:noProof/>
          <w:sz w:val="18"/>
          <w:szCs w:val="18"/>
          <w:lang w:val="en-GB"/>
        </w:rPr>
      </w:pPr>
      <w:r>
        <w:rPr>
          <w:noProof/>
          <w:sz w:val="18"/>
          <w:szCs w:val="18"/>
          <w:lang w:val="en-GB"/>
        </w:rPr>
        <w:t>IDC. (2009). The European Network and Information Security Market Brussels: Report delivered by IDC for the European Commission.</w:t>
      </w:r>
    </w:p>
    <w:p w:rsidR="00913429" w:rsidRDefault="00E143F0">
      <w:pPr>
        <w:pStyle w:val="EndNoteBibliography"/>
        <w:numPr>
          <w:ilvl w:val="0"/>
          <w:numId w:val="0"/>
        </w:numPr>
        <w:spacing w:before="60" w:after="60"/>
        <w:ind w:left="720" w:hanging="360"/>
        <w:rPr>
          <w:noProof/>
          <w:sz w:val="18"/>
          <w:szCs w:val="18"/>
          <w:lang w:val="en-GB"/>
        </w:rPr>
      </w:pPr>
      <w:r>
        <w:rPr>
          <w:noProof/>
          <w:sz w:val="18"/>
          <w:szCs w:val="18"/>
          <w:lang w:val="en-GB"/>
        </w:rPr>
        <w:t>Ilzkovitz, F., Dierx,A., Kovacs, V., &amp; Sousa,N. (2007). Steps towards</w:t>
      </w:r>
      <w:r>
        <w:rPr>
          <w:noProof/>
          <w:sz w:val="18"/>
          <w:szCs w:val="18"/>
          <w:lang w:val="en-GB"/>
        </w:rPr>
        <w:t xml:space="preserve"> a deeper economic integration: the internal market in the 21st century. Brussels: . European Commission, European Economy, Economic Papers, No. 271. </w:t>
      </w:r>
    </w:p>
    <w:p w:rsidR="00913429" w:rsidRDefault="00E143F0">
      <w:pPr>
        <w:pStyle w:val="EndNoteBibliography"/>
        <w:numPr>
          <w:ilvl w:val="0"/>
          <w:numId w:val="0"/>
        </w:numPr>
        <w:spacing w:before="60" w:after="60" w:line="240" w:lineRule="auto"/>
        <w:ind w:left="720" w:hanging="360"/>
        <w:rPr>
          <w:noProof/>
          <w:sz w:val="18"/>
          <w:szCs w:val="18"/>
          <w:lang w:val="en-GB"/>
        </w:rPr>
      </w:pPr>
      <w:r>
        <w:rPr>
          <w:noProof/>
          <w:sz w:val="18"/>
          <w:szCs w:val="18"/>
          <w:lang w:val="en-GB"/>
        </w:rPr>
        <w:t>ISACA. (2015). 2015 Global Cybersecurity Status Report: ISACA.</w:t>
      </w:r>
    </w:p>
    <w:p w:rsidR="00913429" w:rsidRDefault="00E143F0">
      <w:pPr>
        <w:pStyle w:val="EndNoteBibliography"/>
        <w:numPr>
          <w:ilvl w:val="0"/>
          <w:numId w:val="0"/>
        </w:numPr>
        <w:spacing w:before="60" w:after="60" w:line="240" w:lineRule="auto"/>
        <w:ind w:left="720" w:hanging="360"/>
        <w:rPr>
          <w:noProof/>
          <w:sz w:val="18"/>
          <w:szCs w:val="18"/>
          <w:lang w:val="en-GB"/>
        </w:rPr>
      </w:pPr>
      <w:r>
        <w:rPr>
          <w:noProof/>
          <w:sz w:val="18"/>
          <w:szCs w:val="18"/>
          <w:lang w:val="en-GB"/>
        </w:rPr>
        <w:t xml:space="preserve">Lunn, P. (2015). Are Consumer Decision-Making Phenomena a Fourth Market Failure? </w:t>
      </w:r>
      <w:r>
        <w:rPr>
          <w:i/>
          <w:noProof/>
          <w:sz w:val="18"/>
          <w:szCs w:val="18"/>
          <w:lang w:val="en-GB"/>
        </w:rPr>
        <w:t>Journal of Consumer Policy, 38</w:t>
      </w:r>
      <w:r>
        <w:rPr>
          <w:noProof/>
          <w:sz w:val="18"/>
          <w:szCs w:val="18"/>
          <w:lang w:val="en-GB"/>
        </w:rPr>
        <w:t>(3), 315-331. doi: 10.1007/s10603-014-9281-1</w:t>
      </w:r>
    </w:p>
    <w:p w:rsidR="00913429" w:rsidRDefault="00E143F0">
      <w:pPr>
        <w:pStyle w:val="EndNoteBibliography"/>
        <w:numPr>
          <w:ilvl w:val="0"/>
          <w:numId w:val="0"/>
        </w:numPr>
        <w:spacing w:before="60" w:after="60" w:line="240" w:lineRule="auto"/>
        <w:ind w:left="720" w:hanging="360"/>
        <w:rPr>
          <w:noProof/>
          <w:sz w:val="18"/>
          <w:szCs w:val="18"/>
          <w:lang w:val="en-GB"/>
        </w:rPr>
      </w:pPr>
      <w:r>
        <w:rPr>
          <w:noProof/>
          <w:sz w:val="18"/>
          <w:szCs w:val="18"/>
          <w:lang w:val="en-GB"/>
        </w:rPr>
        <w:t>OECD. (2013). Exploring Data-Driven Innovation as a New Source of Growth. Paris: OECD.</w:t>
      </w:r>
    </w:p>
    <w:p w:rsidR="00913429" w:rsidRDefault="00E143F0">
      <w:pPr>
        <w:pStyle w:val="EndNoteBibliography"/>
        <w:numPr>
          <w:ilvl w:val="0"/>
          <w:numId w:val="0"/>
        </w:numPr>
        <w:spacing w:before="60" w:after="60"/>
        <w:ind w:left="720" w:hanging="360"/>
        <w:rPr>
          <w:noProof/>
          <w:sz w:val="18"/>
          <w:szCs w:val="18"/>
          <w:lang w:val="en-GB"/>
        </w:rPr>
      </w:pPr>
      <w:r>
        <w:rPr>
          <w:noProof/>
          <w:sz w:val="18"/>
          <w:szCs w:val="18"/>
          <w:lang w:val="en-GB"/>
        </w:rPr>
        <w:t>OECD. (2015).</w:t>
      </w:r>
      <w:r>
        <w:rPr>
          <w:noProof/>
          <w:sz w:val="18"/>
          <w:szCs w:val="18"/>
          <w:lang w:val="en-GB"/>
        </w:rPr>
        <w:t xml:space="preserve"> OECD Digital Economy Outlook 2015. Paris: OECD.</w:t>
      </w:r>
    </w:p>
    <w:p w:rsidR="00913429" w:rsidRDefault="00E143F0">
      <w:pPr>
        <w:pStyle w:val="EndNoteBibliography"/>
        <w:numPr>
          <w:ilvl w:val="0"/>
          <w:numId w:val="0"/>
        </w:numPr>
        <w:spacing w:before="60" w:after="60"/>
        <w:ind w:left="720" w:hanging="360"/>
        <w:rPr>
          <w:noProof/>
          <w:sz w:val="18"/>
          <w:szCs w:val="18"/>
          <w:lang w:val="en-GB"/>
        </w:rPr>
      </w:pPr>
      <w:r>
        <w:rPr>
          <w:noProof/>
          <w:sz w:val="18"/>
          <w:szCs w:val="18"/>
          <w:lang w:val="en-GB"/>
        </w:rPr>
        <w:t>NIST. (2010). Guide for Applying the Risk Management Framework to Federal Information Systems. Washington DC: National Institute of Standards and Technology (NIST), US Department of Commerce</w:t>
      </w:r>
    </w:p>
    <w:p w:rsidR="00913429" w:rsidRDefault="00E143F0">
      <w:pPr>
        <w:pStyle w:val="EndNoteBibliography"/>
        <w:numPr>
          <w:ilvl w:val="0"/>
          <w:numId w:val="0"/>
        </w:numPr>
        <w:spacing w:before="60" w:after="60"/>
        <w:ind w:left="720" w:hanging="360"/>
        <w:rPr>
          <w:noProof/>
          <w:sz w:val="18"/>
          <w:szCs w:val="18"/>
          <w:lang w:val="en-GB"/>
        </w:rPr>
      </w:pPr>
      <w:r>
        <w:rPr>
          <w:noProof/>
          <w:sz w:val="18"/>
          <w:szCs w:val="18"/>
          <w:lang w:val="en-GB"/>
        </w:rPr>
        <w:t xml:space="preserve">Norton. (2016). </w:t>
      </w:r>
      <w:r>
        <w:rPr>
          <w:noProof/>
          <w:sz w:val="18"/>
          <w:szCs w:val="18"/>
          <w:lang w:val="en-GB"/>
        </w:rPr>
        <w:t>Cyber Security Insights Report: Symantec.</w:t>
      </w:r>
    </w:p>
    <w:p w:rsidR="00913429" w:rsidRDefault="00E143F0">
      <w:pPr>
        <w:pStyle w:val="EndNoteBibliography"/>
        <w:numPr>
          <w:ilvl w:val="0"/>
          <w:numId w:val="0"/>
        </w:numPr>
        <w:spacing w:before="60" w:after="60" w:line="240" w:lineRule="auto"/>
        <w:ind w:left="720" w:hanging="360"/>
        <w:rPr>
          <w:noProof/>
          <w:sz w:val="18"/>
          <w:szCs w:val="18"/>
          <w:lang w:val="en-GB"/>
        </w:rPr>
      </w:pPr>
      <w:r>
        <w:rPr>
          <w:noProof/>
          <w:sz w:val="18"/>
          <w:szCs w:val="18"/>
          <w:lang w:val="en-GB"/>
        </w:rPr>
        <w:t>Optimity Advisors. (2015). Study on Synergies between the civilian and the defence cybersecurity markets Brussels: Report delivered by Optimity Advisors for the European Commission.</w:t>
      </w:r>
    </w:p>
    <w:p w:rsidR="00913429" w:rsidRDefault="00E143F0">
      <w:pPr>
        <w:pStyle w:val="EndNoteBibliography"/>
        <w:numPr>
          <w:ilvl w:val="0"/>
          <w:numId w:val="0"/>
        </w:numPr>
        <w:spacing w:before="60" w:after="60" w:line="240" w:lineRule="auto"/>
        <w:ind w:left="720" w:hanging="360"/>
        <w:rPr>
          <w:noProof/>
          <w:sz w:val="18"/>
          <w:szCs w:val="18"/>
          <w:lang w:val="en-GB"/>
        </w:rPr>
      </w:pPr>
      <w:r>
        <w:rPr>
          <w:noProof/>
          <w:sz w:val="18"/>
          <w:szCs w:val="18"/>
          <w:lang w:val="en-GB"/>
        </w:rPr>
        <w:t>PwC. (2015). Cyber Security M&amp;</w:t>
      </w:r>
      <w:r>
        <w:rPr>
          <w:noProof/>
          <w:sz w:val="18"/>
          <w:szCs w:val="18"/>
          <w:lang w:val="en-GB"/>
        </w:rPr>
        <w:t xml:space="preserve">A Decoding deals in the global Cyber Security Industry: </w:t>
      </w:r>
      <w:hyperlink r:id="rId73" w:history="1">
        <w:r>
          <w:rPr>
            <w:rStyle w:val="Hyperlink"/>
            <w:noProof/>
            <w:sz w:val="18"/>
            <w:szCs w:val="18"/>
            <w:lang w:val="en-GB"/>
          </w:rPr>
          <w:t>https://www.pwc.com/gx/en/aerospace-defence/pdf/cyber-security-mergers-acquisitions.pdf</w:t>
        </w:r>
      </w:hyperlink>
      <w:r>
        <w:rPr>
          <w:noProof/>
          <w:sz w:val="18"/>
          <w:szCs w:val="18"/>
          <w:lang w:val="en-GB"/>
        </w:rPr>
        <w:t>.</w:t>
      </w:r>
    </w:p>
    <w:p w:rsidR="00913429" w:rsidRDefault="00E143F0">
      <w:pPr>
        <w:pStyle w:val="EndNoteBibliography"/>
        <w:numPr>
          <w:ilvl w:val="0"/>
          <w:numId w:val="0"/>
        </w:numPr>
        <w:spacing w:before="60" w:after="60"/>
        <w:ind w:left="720" w:hanging="360"/>
        <w:rPr>
          <w:noProof/>
          <w:sz w:val="18"/>
          <w:szCs w:val="18"/>
          <w:lang w:val="en-GB"/>
        </w:rPr>
      </w:pPr>
      <w:r>
        <w:rPr>
          <w:noProof/>
          <w:sz w:val="18"/>
          <w:szCs w:val="18"/>
          <w:lang w:val="en-GB"/>
        </w:rPr>
        <w:t>Schierh</w:t>
      </w:r>
      <w:r>
        <w:rPr>
          <w:noProof/>
          <w:sz w:val="18"/>
          <w:szCs w:val="18"/>
          <w:lang w:val="en-GB"/>
        </w:rPr>
        <w:t xml:space="preserve">olz, R., &amp; McGrath, K. (2010). </w:t>
      </w:r>
      <w:r>
        <w:rPr>
          <w:i/>
          <w:noProof/>
          <w:sz w:val="18"/>
          <w:szCs w:val="18"/>
          <w:lang w:val="en-GB"/>
        </w:rPr>
        <w:t>Security Certification – A critical review</w:t>
      </w:r>
      <w:r>
        <w:rPr>
          <w:noProof/>
          <w:sz w:val="18"/>
          <w:szCs w:val="18"/>
          <w:lang w:val="en-GB"/>
        </w:rPr>
        <w:t xml:space="preserve">. ABB by DHS.  </w:t>
      </w:r>
    </w:p>
    <w:p w:rsidR="00913429" w:rsidRDefault="00E143F0">
      <w:pPr>
        <w:pStyle w:val="EndNoteBibliography"/>
        <w:numPr>
          <w:ilvl w:val="0"/>
          <w:numId w:val="0"/>
        </w:numPr>
        <w:spacing w:before="60" w:after="60" w:line="240" w:lineRule="auto"/>
        <w:ind w:left="720" w:hanging="360"/>
        <w:rPr>
          <w:noProof/>
          <w:sz w:val="18"/>
          <w:szCs w:val="18"/>
          <w:lang w:val="en-GB"/>
        </w:rPr>
      </w:pPr>
      <w:r>
        <w:rPr>
          <w:noProof/>
          <w:sz w:val="18"/>
          <w:szCs w:val="18"/>
          <w:lang w:val="en-GB"/>
        </w:rPr>
        <w:t>Symantec. (2017). Internet Security Threat Report: Volume 22, Symantec.</w:t>
      </w:r>
    </w:p>
    <w:p w:rsidR="00913429" w:rsidRDefault="00E143F0">
      <w:pPr>
        <w:pStyle w:val="EndNoteBibliography"/>
        <w:numPr>
          <w:ilvl w:val="0"/>
          <w:numId w:val="0"/>
        </w:numPr>
        <w:spacing w:before="60" w:after="60"/>
        <w:ind w:left="720" w:hanging="360"/>
        <w:rPr>
          <w:noProof/>
          <w:sz w:val="18"/>
          <w:szCs w:val="18"/>
          <w:lang w:val="en-GB"/>
        </w:rPr>
      </w:pPr>
      <w:r>
        <w:rPr>
          <w:noProof/>
          <w:sz w:val="18"/>
          <w:szCs w:val="18"/>
          <w:lang w:val="en-GB"/>
        </w:rPr>
        <w:fldChar w:fldCharType="end"/>
      </w:r>
      <w:r>
        <w:rPr>
          <w:noProof/>
          <w:sz w:val="18"/>
          <w:szCs w:val="18"/>
          <w:lang w:val="en-GB"/>
        </w:rPr>
        <w:t xml:space="preserve">Thales, P. (2016). Introduction to the European IACS components Cybersecurity Certification </w:t>
      </w:r>
      <w:r>
        <w:rPr>
          <w:noProof/>
          <w:sz w:val="18"/>
          <w:szCs w:val="18"/>
          <w:lang w:val="en-GB"/>
        </w:rPr>
        <w:t>Framework (ICCF). JRC Science for Policy Report. Luxembourg: Publications Office of the European Union.</w:t>
      </w:r>
    </w:p>
    <w:p w:rsidR="00913429" w:rsidRDefault="00E143F0">
      <w:pPr>
        <w:pStyle w:val="EndNoteBibliography"/>
        <w:numPr>
          <w:ilvl w:val="0"/>
          <w:numId w:val="0"/>
        </w:numPr>
        <w:spacing w:before="60" w:after="60"/>
        <w:ind w:left="720" w:hanging="360"/>
        <w:rPr>
          <w:noProof/>
          <w:sz w:val="18"/>
          <w:szCs w:val="18"/>
          <w:lang w:val="en-GB"/>
        </w:rPr>
      </w:pPr>
      <w:r>
        <w:rPr>
          <w:noProof/>
          <w:sz w:val="18"/>
          <w:szCs w:val="18"/>
          <w:lang w:val="en-GB"/>
        </w:rPr>
        <w:t xml:space="preserve">Yeung, K. (2017). ‘Hypernudge’: Big Data as a mode of regulation by design. </w:t>
      </w:r>
      <w:r>
        <w:rPr>
          <w:i/>
          <w:noProof/>
          <w:sz w:val="18"/>
          <w:szCs w:val="18"/>
          <w:lang w:val="en-GB"/>
        </w:rPr>
        <w:t>Information, Communication &amp; Society, 20</w:t>
      </w:r>
      <w:r>
        <w:rPr>
          <w:noProof/>
          <w:sz w:val="18"/>
          <w:szCs w:val="18"/>
          <w:lang w:val="en-GB"/>
        </w:rPr>
        <w:t>(1), 118-136. doi: 10.1080/1369118X.</w:t>
      </w:r>
      <w:r>
        <w:rPr>
          <w:noProof/>
          <w:sz w:val="18"/>
          <w:szCs w:val="18"/>
          <w:lang w:val="en-GB"/>
        </w:rPr>
        <w:t>2016.1186713</w:t>
      </w:r>
    </w:p>
    <w:p w:rsidR="00913429" w:rsidRDefault="00E143F0">
      <w:pPr>
        <w:pStyle w:val="EndNoteBibliography"/>
        <w:numPr>
          <w:ilvl w:val="0"/>
          <w:numId w:val="0"/>
        </w:numPr>
        <w:spacing w:before="60" w:after="60"/>
        <w:ind w:left="720" w:hanging="360"/>
        <w:rPr>
          <w:noProof/>
          <w:sz w:val="18"/>
          <w:szCs w:val="18"/>
          <w:lang w:val="en-GB"/>
        </w:rPr>
      </w:pPr>
      <w:r>
        <w:rPr>
          <w:noProof/>
          <w:sz w:val="18"/>
          <w:szCs w:val="18"/>
          <w:lang w:val="en-GB"/>
        </w:rPr>
        <w:t>ZVEI. (2017). Benefits and limitations of certifications and labels in the context of cyber security: German Electrical and Electronic Manufacturers’ Association (ZVEI).</w:t>
      </w:r>
    </w:p>
    <w:p w:rsidR="00913429" w:rsidRDefault="00E143F0">
      <w:pPr>
        <w:pStyle w:val="BodyText"/>
        <w:rPr>
          <w:noProof/>
        </w:rPr>
      </w:pPr>
      <w:r>
        <w:rPr>
          <w:noProof/>
          <w:sz w:val="18"/>
          <w:szCs w:val="18"/>
        </w:rPr>
        <w:fldChar w:fldCharType="end"/>
      </w:r>
      <w:r>
        <w:rPr>
          <w:noProof/>
          <w:sz w:val="18"/>
          <w:szCs w:val="18"/>
        </w:rPr>
        <w:fldChar w:fldCharType="end"/>
      </w:r>
    </w:p>
    <w:sectPr w:rsidR="00913429">
      <w:headerReference w:type="even" r:id="rId74"/>
      <w:headerReference w:type="default" r:id="rId75"/>
      <w:footerReference w:type="even" r:id="rId76"/>
      <w:footerReference w:type="default" r:id="rId77"/>
      <w:headerReference w:type="first" r:id="rId78"/>
      <w:footerReference w:type="first" r:id="rId79"/>
      <w:pgSz w:w="11909" w:h="16834" w:code="9"/>
      <w:pgMar w:top="1440" w:right="1440" w:bottom="1559" w:left="851" w:header="578" w:footer="56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3429" w:rsidRDefault="00E143F0">
      <w:pPr>
        <w:spacing w:after="0" w:line="240" w:lineRule="auto"/>
      </w:pPr>
      <w:r>
        <w:separator/>
      </w:r>
    </w:p>
  </w:endnote>
  <w:endnote w:type="continuationSeparator" w:id="0">
    <w:p w:rsidR="00913429" w:rsidRDefault="00E143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EYInterstate Light">
    <w:altName w:val="Times New Roman"/>
    <w:charset w:val="01"/>
    <w:family w:val="roman"/>
    <w:pitch w:val="variable"/>
  </w:font>
  <w:font w:name="SimHei">
    <w:altName w:val="黑体"/>
    <w:panose1 w:val="0201060906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Arial Bold">
    <w:charset w:val="00"/>
    <w:family w:val="auto"/>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Frutiger-Roman">
    <w:panose1 w:val="00000000000000000000"/>
    <w:charset w:val="00"/>
    <w:family w:val="swiss"/>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Optima">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PwC_Logo">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EUAlbertina">
    <w:altName w:val="EU Albertina"/>
    <w:panose1 w:val="00000000000000000000"/>
    <w:charset w:val="00"/>
    <w:family w:val="roman"/>
    <w:notTrueType/>
    <w:pitch w:val="default"/>
    <w:sig w:usb0="00000003" w:usb1="00000000" w:usb2="00000000" w:usb3="00000000" w:csb0="00000001" w:csb1="00000000"/>
  </w:font>
  <w:font w:name="EYInterstate">
    <w:altName w:val="Calibri"/>
    <w:charset w:val="00"/>
    <w:family w:val="auto"/>
    <w:pitch w:val="variable"/>
    <w:sig w:usb0="A00002AF" w:usb1="5000206A"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F0" w:rsidRPr="00E143F0" w:rsidRDefault="00E143F0" w:rsidP="00E143F0">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429" w:rsidRDefault="00E143F0">
    <w:pPr>
      <w:pStyle w:val="Footer"/>
    </w:pPr>
    <w:r>
      <w:t>Footer text goes here</w:t>
    </w:r>
  </w:p>
  <w:p w:rsidR="00913429" w:rsidRDefault="00E143F0">
    <w:pPr>
      <w:pStyle w:val="Footer"/>
      <w:tabs>
        <w:tab w:val="center" w:pos="3670"/>
        <w:tab w:val="right" w:pos="7341"/>
      </w:tabs>
    </w:pPr>
    <w:r>
      <w:t>PwC</w:t>
    </w:r>
    <w:r>
      <w:tab/>
    </w:r>
    <w:r>
      <w:tab/>
      <w:t xml:space="preserve">Page </w:t>
    </w:r>
    <w:r>
      <w:fldChar w:fldCharType="begin"/>
    </w:r>
    <w:r>
      <w:instrText xml:space="preserve"> PAGE   \* MERGEFORMAT </w:instrText>
    </w:r>
    <w:r>
      <w:fldChar w:fldCharType="separate"/>
    </w:r>
    <w:r>
      <w:rPr>
        <w:noProof/>
      </w:rPr>
      <w:t>6</w:t>
    </w:r>
    <w:r>
      <w:rPr>
        <w:noProof/>
      </w:rPr>
      <w:fldChar w:fldCharType="end"/>
    </w:r>
    <w:r>
      <w:t xml:space="preserve"> of </w:t>
    </w:r>
    <w:r>
      <w:fldChar w:fldCharType="begin"/>
    </w:r>
    <w:r>
      <w:instrText xml:space="preserve"> NUMPAGES   \* MERGEFORMAT </w:instrText>
    </w:r>
    <w:r>
      <w:fldChar w:fldCharType="separate"/>
    </w:r>
    <w:r>
      <w:rPr>
        <w:noProof/>
      </w:rPr>
      <w:t>132</w:t>
    </w:r>
    <w:r>
      <w:rPr>
        <w:noProof/>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429" w:rsidRDefault="00E143F0">
    <w:pPr>
      <w:pStyle w:val="Footer"/>
      <w:tabs>
        <w:tab w:val="center" w:pos="4808"/>
        <w:tab w:val="right" w:pos="9617"/>
      </w:tabs>
    </w:pPr>
    <w:r>
      <w:t>PwC</w:t>
    </w:r>
    <w:r>
      <w:tab/>
    </w:r>
    <w:r>
      <w:tab/>
      <w:t xml:space="preserve">Page </w:t>
    </w:r>
    <w:r>
      <w:fldChar w:fldCharType="begin"/>
    </w:r>
    <w:r>
      <w:instrText xml:space="preserve"> PAGE   \* MERGEFORMAT </w:instrText>
    </w:r>
    <w:r>
      <w:fldChar w:fldCharType="separate"/>
    </w:r>
    <w:r>
      <w:rPr>
        <w:noProof/>
      </w:rPr>
      <w:t>76</w:t>
    </w:r>
    <w:r>
      <w:rPr>
        <w:noProof/>
      </w:rPr>
      <w:fldChar w:fldCharType="end"/>
    </w:r>
  </w:p>
  <w:p w:rsidR="00913429" w:rsidRDefault="00913429">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429" w:rsidRDefault="00913429">
    <w:pPr>
      <w:pStyle w:val="Footer"/>
      <w:tabs>
        <w:tab w:val="left" w:pos="1755"/>
      </w:tabs>
      <w:rPr>
        <w:lang w:val="it-IT"/>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429" w:rsidRDefault="00E143F0">
    <w:pPr>
      <w:pStyle w:val="Footer"/>
    </w:pPr>
    <w:r>
      <w:t>Footer text goes here</w:t>
    </w:r>
  </w:p>
  <w:p w:rsidR="00913429" w:rsidRDefault="00E143F0">
    <w:pPr>
      <w:pStyle w:val="Footer"/>
      <w:tabs>
        <w:tab w:val="center" w:pos="3670"/>
        <w:tab w:val="right" w:pos="7341"/>
      </w:tabs>
    </w:pPr>
    <w:r>
      <w:t>PwC</w:t>
    </w:r>
    <w:r>
      <w:tab/>
    </w:r>
    <w:r>
      <w:tab/>
      <w:t xml:space="preserve">Page </w:t>
    </w:r>
    <w:r>
      <w:fldChar w:fldCharType="begin"/>
    </w:r>
    <w:r>
      <w:instrText xml:space="preserve"> PAGE   \* MERGEFORMAT </w:instrText>
    </w:r>
    <w:r>
      <w:fldChar w:fldCharType="separate"/>
    </w:r>
    <w:r>
      <w:rPr>
        <w:noProof/>
      </w:rPr>
      <w:t>6</w:t>
    </w:r>
    <w:r>
      <w:rPr>
        <w:noProof/>
      </w:rPr>
      <w:fldChar w:fldCharType="end"/>
    </w:r>
    <w:r>
      <w:t xml:space="preserve"> of </w:t>
    </w:r>
    <w:r>
      <w:fldChar w:fldCharType="begin"/>
    </w:r>
    <w:r>
      <w:instrText xml:space="preserve"> NUMPAGES   \* MERGEFORMAT </w:instrText>
    </w:r>
    <w:r>
      <w:fldChar w:fldCharType="separate"/>
    </w:r>
    <w:r>
      <w:rPr>
        <w:noProof/>
      </w:rPr>
      <w:t>132</w:t>
    </w:r>
    <w:r>
      <w:rPr>
        <w:noProof/>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429" w:rsidRDefault="00E143F0">
    <w:pPr>
      <w:pStyle w:val="Footer"/>
      <w:tabs>
        <w:tab w:val="center" w:pos="4808"/>
        <w:tab w:val="right" w:pos="9617"/>
      </w:tabs>
    </w:pPr>
    <w:r>
      <w:t>PwC</w:t>
    </w:r>
    <w:r>
      <w:tab/>
    </w:r>
    <w:r>
      <w:tab/>
      <w:t xml:space="preserve">Page </w:t>
    </w:r>
    <w:r>
      <w:fldChar w:fldCharType="begin"/>
    </w:r>
    <w:r>
      <w:instrText xml:space="preserve"> PAGE   \* MERGEFORMAT </w:instrText>
    </w:r>
    <w:r>
      <w:fldChar w:fldCharType="separate"/>
    </w:r>
    <w:r>
      <w:rPr>
        <w:noProof/>
      </w:rPr>
      <w:t>187</w:t>
    </w:r>
    <w:r>
      <w:rPr>
        <w:noProof/>
      </w:rPr>
      <w:fldChar w:fldCharType="end"/>
    </w:r>
  </w:p>
  <w:p w:rsidR="00913429" w:rsidRDefault="00913429">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429" w:rsidRDefault="00913429">
    <w:pPr>
      <w:pStyle w:val="Footer"/>
      <w:tabs>
        <w:tab w:val="left" w:pos="1755"/>
      </w:tabs>
      <w:rPr>
        <w:lang w:val="it-IT"/>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429" w:rsidRPr="00E143F0" w:rsidRDefault="00E143F0" w:rsidP="00E143F0">
    <w:pPr>
      <w:pStyle w:val="FooterCoverPage"/>
      <w:rPr>
        <w:rFonts w:ascii="Arial" w:hAnsi="Arial" w:cs="Arial"/>
        <w:b/>
        <w:sz w:val="48"/>
      </w:rPr>
    </w:pPr>
    <w:r w:rsidRPr="00E143F0">
      <w:rPr>
        <w:rFonts w:ascii="Arial" w:hAnsi="Arial" w:cs="Arial"/>
        <w:b/>
        <w:sz w:val="48"/>
      </w:rPr>
      <w:t>EN</w:t>
    </w:r>
    <w:r w:rsidRPr="00E143F0">
      <w:rPr>
        <w:rFonts w:ascii="Arial" w:hAnsi="Arial" w:cs="Arial"/>
        <w:b/>
        <w:sz w:val="48"/>
      </w:rPr>
      <w:tab/>
    </w:r>
    <w:r w:rsidRPr="00E143F0">
      <w:rPr>
        <w:rFonts w:ascii="Arial" w:hAnsi="Arial" w:cs="Arial"/>
        <w:b/>
        <w:sz w:val="48"/>
      </w:rPr>
      <w:tab/>
    </w:r>
    <w:fldSimple w:instr=" DOCVARIABLE &quot;LW_Confidence&quot; \* MERGEFORMAT ">
      <w:r>
        <w:t xml:space="preserve"> </w:t>
      </w:r>
    </w:fldSimple>
    <w:r w:rsidRPr="00E143F0">
      <w:tab/>
    </w:r>
    <w:proofErr w:type="spellStart"/>
    <w:r w:rsidRPr="00E143F0">
      <w:rPr>
        <w:rFonts w:ascii="Arial" w:hAnsi="Arial" w:cs="Arial"/>
        <w:b/>
        <w:sz w:val="48"/>
      </w:rPr>
      <w:t>EN</w:t>
    </w:r>
    <w:proofErr w:type="spellEnd"/>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F0" w:rsidRPr="00E143F0" w:rsidRDefault="00E143F0" w:rsidP="00E143F0">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429" w:rsidRDefault="00E143F0">
    <w:pPr>
      <w:pStyle w:val="Footer"/>
    </w:pPr>
    <w:r>
      <w:t>Footer text goes here</w:t>
    </w:r>
  </w:p>
  <w:p w:rsidR="00913429" w:rsidRDefault="00E143F0">
    <w:pPr>
      <w:pStyle w:val="Footer"/>
      <w:tabs>
        <w:tab w:val="center" w:pos="3670"/>
        <w:tab w:val="right" w:pos="7341"/>
      </w:tabs>
    </w:pPr>
    <w:r>
      <w:t>PwC</w:t>
    </w:r>
    <w:r>
      <w:tab/>
    </w:r>
    <w:r>
      <w:tab/>
      <w:t xml:space="preserve">Page </w:t>
    </w:r>
    <w:r>
      <w:fldChar w:fldCharType="begin"/>
    </w:r>
    <w:r>
      <w:instrText xml:space="preserve"> PAGE   \* MERGEFORMAT </w:instrText>
    </w:r>
    <w:r>
      <w:fldChar w:fldCharType="separate"/>
    </w:r>
    <w:r>
      <w:rPr>
        <w:noProof/>
      </w:rPr>
      <w:t>6</w:t>
    </w:r>
    <w:r>
      <w:rPr>
        <w:noProof/>
      </w:rPr>
      <w:fldChar w:fldCharType="end"/>
    </w:r>
    <w:r>
      <w:t xml:space="preserve"> of </w:t>
    </w:r>
    <w:r>
      <w:fldChar w:fldCharType="begin"/>
    </w:r>
    <w:r>
      <w:instrText xml:space="preserve"> NUMPAGES   \* MERGEFORMAT </w:instrText>
    </w:r>
    <w:r>
      <w:fldChar w:fldCharType="separate"/>
    </w:r>
    <w:r>
      <w:rPr>
        <w:noProof/>
      </w:rPr>
      <w:t>132</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429" w:rsidRDefault="00E143F0">
    <w:pPr>
      <w:pStyle w:val="Footer"/>
      <w:tabs>
        <w:tab w:val="center" w:pos="4808"/>
        <w:tab w:val="right" w:pos="9617"/>
      </w:tabs>
    </w:pPr>
    <w:r>
      <w:t>PwC</w:t>
    </w:r>
    <w:r>
      <w:tab/>
    </w:r>
    <w:r>
      <w:tab/>
      <w:t xml:space="preserve">Page </w:t>
    </w:r>
    <w:r>
      <w:fldChar w:fldCharType="begin"/>
    </w:r>
    <w:r>
      <w:instrText xml:space="preserve"> PAGE   \* MERGEFORMAT </w:instrText>
    </w:r>
    <w:r>
      <w:fldChar w:fldCharType="separate"/>
    </w:r>
    <w:r>
      <w:rPr>
        <w:noProof/>
      </w:rPr>
      <w:t>57</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429" w:rsidRDefault="00913429">
    <w:pPr>
      <w:pStyle w:val="Footer"/>
      <w:tabs>
        <w:tab w:val="left" w:pos="1755"/>
      </w:tabs>
      <w:rPr>
        <w:lang w:val="it-IT"/>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429" w:rsidRDefault="00E143F0">
    <w:pPr>
      <w:pStyle w:val="Footer"/>
    </w:pPr>
    <w:r>
      <w:t>Footer text goes here</w:t>
    </w:r>
  </w:p>
  <w:p w:rsidR="00913429" w:rsidRDefault="00E143F0">
    <w:pPr>
      <w:pStyle w:val="Footer"/>
      <w:tabs>
        <w:tab w:val="center" w:pos="3670"/>
        <w:tab w:val="right" w:pos="7341"/>
      </w:tabs>
    </w:pPr>
    <w:r>
      <w:t>PwC</w:t>
    </w:r>
    <w:r>
      <w:tab/>
    </w:r>
    <w:r>
      <w:tab/>
      <w:t xml:space="preserve">Page </w:t>
    </w:r>
    <w:r>
      <w:fldChar w:fldCharType="begin"/>
    </w:r>
    <w:r>
      <w:instrText xml:space="preserve"> PAGE   \* MERGEFORMAT </w:instrText>
    </w:r>
    <w:r>
      <w:fldChar w:fldCharType="separate"/>
    </w:r>
    <w:r>
      <w:rPr>
        <w:noProof/>
      </w:rPr>
      <w:t>6</w:t>
    </w:r>
    <w:r>
      <w:rPr>
        <w:noProof/>
      </w:rPr>
      <w:fldChar w:fldCharType="end"/>
    </w:r>
    <w:r>
      <w:t xml:space="preserve"> of </w:t>
    </w:r>
    <w:r>
      <w:fldChar w:fldCharType="begin"/>
    </w:r>
    <w:r>
      <w:instrText xml:space="preserve"> NUMPAGES   \* MERGEFORMAT </w:instrText>
    </w:r>
    <w:r>
      <w:fldChar w:fldCharType="separate"/>
    </w:r>
    <w:r>
      <w:rPr>
        <w:noProof/>
      </w:rPr>
      <w:t>132</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429" w:rsidRDefault="00E143F0">
    <w:pPr>
      <w:pStyle w:val="Footer"/>
      <w:tabs>
        <w:tab w:val="center" w:pos="4808"/>
        <w:tab w:val="right" w:pos="9617"/>
      </w:tabs>
    </w:pPr>
    <w:r>
      <w:t>PwC</w:t>
    </w:r>
    <w:r>
      <w:tab/>
    </w:r>
    <w:r>
      <w:tab/>
      <w:t xml:space="preserve">Page </w:t>
    </w:r>
    <w:r>
      <w:fldChar w:fldCharType="begin"/>
    </w:r>
    <w:r>
      <w:instrText xml:space="preserve"> PAGE   \* MERGEFORMAT </w:instrText>
    </w:r>
    <w:r>
      <w:fldChar w:fldCharType="separate"/>
    </w:r>
    <w:r>
      <w:rPr>
        <w:noProof/>
      </w:rPr>
      <w:t>59</w:t>
    </w:r>
    <w:r>
      <w:rPr>
        <w:noProof/>
      </w:rPr>
      <w:fldChar w:fldCharType="end"/>
    </w:r>
  </w:p>
  <w:p w:rsidR="00913429" w:rsidRDefault="00913429">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429" w:rsidRDefault="00913429">
    <w:pPr>
      <w:pStyle w:val="Footer"/>
      <w:tabs>
        <w:tab w:val="left" w:pos="1755"/>
      </w:tabs>
      <w:rPr>
        <w:lang w:val="it-I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3429" w:rsidRDefault="00E143F0">
      <w:pPr>
        <w:spacing w:after="0" w:line="240" w:lineRule="auto"/>
      </w:pPr>
      <w:r>
        <w:separator/>
      </w:r>
    </w:p>
  </w:footnote>
  <w:footnote w:type="continuationSeparator" w:id="0">
    <w:p w:rsidR="00913429" w:rsidRDefault="00E143F0">
      <w:pPr>
        <w:spacing w:after="0" w:line="240" w:lineRule="auto"/>
      </w:pPr>
      <w:r>
        <w:continuationSeparator/>
      </w:r>
    </w:p>
  </w:footnote>
  <w:footnote w:id="1">
    <w:p w:rsidR="00913429" w:rsidRDefault="00E143F0">
      <w:pPr>
        <w:pStyle w:val="FootnoteText"/>
        <w:rPr>
          <w:lang w:val="en-US"/>
        </w:rPr>
      </w:pPr>
      <w:r>
        <w:rPr>
          <w:rStyle w:val="FootnoteReference"/>
        </w:rPr>
        <w:footnoteRef/>
      </w:r>
      <w:r>
        <w:t xml:space="preserve"> Further details are not available</w:t>
      </w:r>
    </w:p>
  </w:footnote>
  <w:footnote w:id="2">
    <w:p w:rsidR="00913429" w:rsidRDefault="00E143F0">
      <w:pPr>
        <w:pStyle w:val="FootnoteText"/>
        <w:jc w:val="left"/>
      </w:pPr>
      <w:r>
        <w:rPr>
          <w:rStyle w:val="FootnoteReference"/>
        </w:rPr>
        <w:footnoteRef/>
      </w:r>
      <w:r>
        <w:t xml:space="preserve"> EASA is the competent authority to issue type certificates for aircraft, to approve changes to the type design etc. </w:t>
      </w:r>
      <w:r>
        <w:rPr>
          <w:rFonts w:cs="Georgia"/>
          <w:color w:val="000000"/>
          <w:lang w:eastAsia="it-IT"/>
        </w:rPr>
        <w:t xml:space="preserve">Before issuing </w:t>
      </w:r>
      <w:r>
        <w:rPr>
          <w:rFonts w:cs="Georgia"/>
          <w:color w:val="000000"/>
          <w:lang w:eastAsia="it-IT"/>
        </w:rPr>
        <w:t xml:space="preserve">the certificate or approval, the Agency has the obligation to assess the design and that the applicant has demonstrated compliance. This can be done by a 100% check of everything, by sampling some parts etc.; in the end of this process the Agency needs to </w:t>
      </w:r>
      <w:r>
        <w:rPr>
          <w:rFonts w:cs="Georgia"/>
          <w:color w:val="000000"/>
          <w:lang w:eastAsia="it-IT"/>
        </w:rPr>
        <w:t xml:space="preserve">be “convinced” that that the design is safe (airworthy) and that it can legitimately issue the certificate / </w:t>
      </w:r>
      <w:proofErr w:type="spellStart"/>
      <w:r>
        <w:rPr>
          <w:rFonts w:cs="Georgia"/>
          <w:color w:val="000000"/>
          <w:lang w:eastAsia="it-IT"/>
        </w:rPr>
        <w:t>approval.“Level</w:t>
      </w:r>
      <w:proofErr w:type="spellEnd"/>
      <w:r>
        <w:rPr>
          <w:rFonts w:cs="Georgia"/>
          <w:color w:val="000000"/>
          <w:lang w:eastAsia="it-IT"/>
        </w:rPr>
        <w:t xml:space="preserve"> of Involvement (LOI)” is a method / concept trying to formalise this checking / verification function. EASA does it already today, </w:t>
      </w:r>
      <w:r>
        <w:rPr>
          <w:rFonts w:cs="Georgia"/>
          <w:color w:val="000000"/>
          <w:lang w:eastAsia="it-IT"/>
        </w:rPr>
        <w:t xml:space="preserve">but not in a formalised, objective and transparent manner. Only </w:t>
      </w:r>
      <w:proofErr w:type="gramStart"/>
      <w:r>
        <w:rPr>
          <w:rFonts w:cs="Georgia"/>
          <w:color w:val="000000"/>
          <w:lang w:eastAsia="it-IT"/>
        </w:rPr>
        <w:t>few</w:t>
      </w:r>
      <w:proofErr w:type="gramEnd"/>
      <w:r>
        <w:rPr>
          <w:rFonts w:cs="Georgia"/>
          <w:color w:val="000000"/>
          <w:lang w:eastAsia="it-IT"/>
        </w:rPr>
        <w:t xml:space="preserve"> guidance is given by EASA to its staff members: based on his/her engineering judgement, experience with the applicant etc. The Agency has to determine its involvement on a risk based appro</w:t>
      </w:r>
      <w:r>
        <w:rPr>
          <w:rFonts w:cs="Georgia"/>
          <w:color w:val="000000"/>
          <w:lang w:eastAsia="it-IT"/>
        </w:rPr>
        <w:t xml:space="preserve">ach and will provide the criteria that the Agency should use in that exercise. The risk, as it </w:t>
      </w:r>
      <w:proofErr w:type="gramStart"/>
      <w:r>
        <w:rPr>
          <w:rFonts w:cs="Georgia"/>
          <w:color w:val="000000"/>
          <w:lang w:eastAsia="it-IT"/>
        </w:rPr>
        <w:t>will be defined</w:t>
      </w:r>
      <w:proofErr w:type="gramEnd"/>
      <w:r>
        <w:rPr>
          <w:rFonts w:cs="Georgia"/>
          <w:color w:val="000000"/>
          <w:lang w:eastAsia="it-IT"/>
        </w:rPr>
        <w:t xml:space="preserve"> in the law, is that a design is not compliant with the rule, because the Agency has not verified this part of the project, and that this non-comp</w:t>
      </w:r>
      <w:r>
        <w:rPr>
          <w:rFonts w:cs="Georgia"/>
          <w:color w:val="000000"/>
          <w:lang w:eastAsia="it-IT"/>
        </w:rPr>
        <w:t>liance has an impact on safety. The objective is to focus in the future the resources to where it is necessary: where the highest risks are.</w:t>
      </w:r>
    </w:p>
  </w:footnote>
  <w:footnote w:id="3">
    <w:p w:rsidR="00913429" w:rsidRDefault="00E143F0">
      <w:pPr>
        <w:pStyle w:val="FootnoteText"/>
      </w:pPr>
      <w:r>
        <w:rPr>
          <w:rStyle w:val="FootnoteReference"/>
        </w:rPr>
        <w:footnoteRef/>
      </w:r>
      <w:r>
        <w:t xml:space="preserve"> https://www.enisa.europa.eu/about-enisa/structure-organization</w:t>
      </w:r>
    </w:p>
  </w:footnote>
  <w:footnote w:id="4">
    <w:p w:rsidR="00913429" w:rsidRDefault="00E143F0">
      <w:pPr>
        <w:pStyle w:val="FootnoteText"/>
        <w:spacing w:after="0"/>
        <w:jc w:val="left"/>
      </w:pPr>
      <w:r>
        <w:rPr>
          <w:rStyle w:val="FootnoteReference"/>
        </w:rPr>
        <w:footnoteRef/>
      </w:r>
      <w:r>
        <w:t xml:space="preserve"> https://www.enisa.europa.eu/procurement/cei-list</w:t>
      </w:r>
      <w:r>
        <w:t>-of-nis-experts/technical-description-cei-list-of-nis-experts/at_download/file</w:t>
      </w:r>
    </w:p>
  </w:footnote>
  <w:footnote w:id="5">
    <w:p w:rsidR="00913429" w:rsidRDefault="00E143F0">
      <w:pPr>
        <w:pStyle w:val="FootnoteText"/>
        <w:spacing w:after="0"/>
      </w:pPr>
      <w:r>
        <w:rPr>
          <w:rStyle w:val="FootnoteReference"/>
        </w:rPr>
        <w:footnoteRef/>
      </w:r>
      <w:r>
        <w:t xml:space="preserve"> https://www.webpagefx.com/How-much-should-web-site-cost.html</w:t>
      </w:r>
    </w:p>
  </w:footnote>
  <w:footnote w:id="6">
    <w:p w:rsidR="00913429" w:rsidRDefault="00E143F0">
      <w:pPr>
        <w:pStyle w:val="FootnoteText"/>
        <w:spacing w:after="0"/>
        <w:rPr>
          <w:lang w:val="en-US"/>
        </w:rPr>
      </w:pPr>
      <w:r>
        <w:rPr>
          <w:rStyle w:val="FootnoteReference"/>
        </w:rPr>
        <w:footnoteRef/>
      </w:r>
      <w:r>
        <w:t xml:space="preserve"> Regulation (EU) No. 910/2014 of the European Parliament and of the Council of 23 July 2014 on electronic identification and trust services for electronic transactions in the internal market and repealing Directive 1999/93/EC, Official Journal of the Europ</w:t>
      </w:r>
      <w:r>
        <w:t>ean Union L 257, 28 August 2014.</w:t>
      </w:r>
    </w:p>
  </w:footnote>
  <w:footnote w:id="7">
    <w:p w:rsidR="00913429" w:rsidRDefault="00E143F0">
      <w:pPr>
        <w:pStyle w:val="FootnoteText"/>
        <w:spacing w:after="0"/>
        <w:rPr>
          <w:lang w:val="en-US"/>
        </w:rPr>
      </w:pPr>
      <w:r>
        <w:rPr>
          <w:rStyle w:val="FootnoteReference"/>
        </w:rPr>
        <w:footnoteRef/>
      </w:r>
      <w:r>
        <w:t xml:space="preserve"> </w:t>
      </w:r>
      <w:proofErr w:type="gramStart"/>
      <w:r>
        <w:t>Commission Implementing Decision (EU) 2016/650 of 25 April 2016 laying down standards for the security assessment of qualified signature and seal creation devices pursuant to Articles 30(3) and 39(2) of Regulation (EU) No</w:t>
      </w:r>
      <w:r>
        <w:t xml:space="preserve"> 910/2014 of the European Parliament and of the Council on electronic identification and trust services for electronic transactions in the internal market, Official Journal of the European Union L 109/40, 26 April 2016.</w:t>
      </w:r>
      <w:proofErr w:type="gramEnd"/>
    </w:p>
  </w:footnote>
  <w:footnote w:id="8">
    <w:p w:rsidR="00913429" w:rsidRDefault="00E143F0">
      <w:pPr>
        <w:pStyle w:val="FootnoteText"/>
        <w:spacing w:after="0"/>
        <w:rPr>
          <w:lang w:val="it-IT"/>
        </w:rPr>
      </w:pPr>
      <w:r>
        <w:rPr>
          <w:rStyle w:val="FootnoteReference"/>
        </w:rPr>
        <w:footnoteRef/>
      </w:r>
      <w:r>
        <w:rPr>
          <w:lang w:val="it-IT"/>
        </w:rPr>
        <w:t xml:space="preserve"> Decreto del Presidente del Consigl</w:t>
      </w:r>
      <w:r>
        <w:rPr>
          <w:lang w:val="it-IT"/>
        </w:rPr>
        <w:t xml:space="preserve">io dei ministri del 17 febbraio 2017, Direttiva recante indirizzi per la protezione cibernetica e </w:t>
      </w:r>
      <w:proofErr w:type="gramStart"/>
      <w:r>
        <w:rPr>
          <w:lang w:val="it-IT"/>
        </w:rPr>
        <w:t>la sicurezza informatica nazionali</w:t>
      </w:r>
      <w:proofErr w:type="gramEnd"/>
      <w:r>
        <w:rPr>
          <w:lang w:val="it-IT"/>
        </w:rPr>
        <w:t>, Gazzetta Ufficiale n. 87 del 13 aprile 2017 (</w:t>
      </w:r>
      <w:proofErr w:type="spellStart"/>
      <w:r>
        <w:rPr>
          <w:lang w:val="it-IT"/>
        </w:rPr>
        <w:t>Italian</w:t>
      </w:r>
      <w:proofErr w:type="spellEnd"/>
      <w:r>
        <w:rPr>
          <w:lang w:val="it-IT"/>
        </w:rPr>
        <w:t xml:space="preserve"> Prime </w:t>
      </w:r>
      <w:proofErr w:type="spellStart"/>
      <w:r>
        <w:rPr>
          <w:lang w:val="it-IT"/>
        </w:rPr>
        <w:t>Minister</w:t>
      </w:r>
      <w:proofErr w:type="spellEnd"/>
      <w:r>
        <w:rPr>
          <w:lang w:val="it-IT"/>
        </w:rPr>
        <w:t xml:space="preserve"> </w:t>
      </w:r>
      <w:proofErr w:type="spellStart"/>
      <w:r>
        <w:rPr>
          <w:lang w:val="it-IT"/>
        </w:rPr>
        <w:t>Decree</w:t>
      </w:r>
      <w:proofErr w:type="spellEnd"/>
      <w:r>
        <w:rPr>
          <w:lang w:val="it-IT"/>
        </w:rPr>
        <w:t xml:space="preserve">, 17/02/2017, Directive on </w:t>
      </w:r>
      <w:proofErr w:type="spellStart"/>
      <w:r>
        <w:rPr>
          <w:lang w:val="it-IT"/>
        </w:rPr>
        <w:t>guidelines</w:t>
      </w:r>
      <w:proofErr w:type="spellEnd"/>
      <w:r>
        <w:rPr>
          <w:lang w:val="it-IT"/>
        </w:rPr>
        <w:t xml:space="preserve"> for </w:t>
      </w:r>
      <w:proofErr w:type="spellStart"/>
      <w:r>
        <w:rPr>
          <w:lang w:val="it-IT"/>
        </w:rPr>
        <w:t>nation</w:t>
      </w:r>
      <w:r>
        <w:rPr>
          <w:lang w:val="it-IT"/>
        </w:rPr>
        <w:t>al</w:t>
      </w:r>
      <w:proofErr w:type="spellEnd"/>
      <w:r>
        <w:rPr>
          <w:lang w:val="it-IT"/>
        </w:rPr>
        <w:t xml:space="preserve"> cyber </w:t>
      </w:r>
      <w:proofErr w:type="spellStart"/>
      <w:r>
        <w:rPr>
          <w:lang w:val="it-IT"/>
        </w:rPr>
        <w:t>protection</w:t>
      </w:r>
      <w:proofErr w:type="spellEnd"/>
      <w:r>
        <w:rPr>
          <w:lang w:val="it-IT"/>
        </w:rPr>
        <w:t xml:space="preserve"> and </w:t>
      </w:r>
      <w:proofErr w:type="spellStart"/>
      <w:r>
        <w:rPr>
          <w:lang w:val="it-IT"/>
        </w:rPr>
        <w:t>cybersecurity</w:t>
      </w:r>
      <w:proofErr w:type="spellEnd"/>
      <w:r>
        <w:rPr>
          <w:lang w:val="it-IT"/>
        </w:rPr>
        <w:t xml:space="preserve">, </w:t>
      </w:r>
      <w:proofErr w:type="spellStart"/>
      <w:r>
        <w:rPr>
          <w:lang w:val="it-IT"/>
        </w:rPr>
        <w:t>Official</w:t>
      </w:r>
      <w:proofErr w:type="spellEnd"/>
      <w:r>
        <w:rPr>
          <w:lang w:val="it-IT"/>
        </w:rPr>
        <w:t xml:space="preserve"> </w:t>
      </w:r>
      <w:proofErr w:type="spellStart"/>
      <w:r>
        <w:rPr>
          <w:lang w:val="it-IT"/>
        </w:rPr>
        <w:t>Bullettin</w:t>
      </w:r>
      <w:proofErr w:type="spellEnd"/>
      <w:r>
        <w:rPr>
          <w:lang w:val="it-IT"/>
        </w:rPr>
        <w:t xml:space="preserve"> n.87, 13/04/2017)</w:t>
      </w:r>
    </w:p>
  </w:footnote>
  <w:footnote w:id="9">
    <w:p w:rsidR="00913429" w:rsidRDefault="00E143F0">
      <w:pPr>
        <w:pStyle w:val="FootnoteText"/>
        <w:spacing w:after="60"/>
        <w:rPr>
          <w:lang w:val="en-US"/>
        </w:rPr>
      </w:pPr>
      <w:r>
        <w:rPr>
          <w:rStyle w:val="FootnoteReference"/>
        </w:rPr>
        <w:footnoteRef/>
      </w:r>
      <w:r>
        <w:t xml:space="preserve"> Regulation (EU) No. 910/2014 of the European Parliament and of the Council of 23 July 2014 on electronic identification and trust services for electronic transactions in the inte</w:t>
      </w:r>
      <w:r>
        <w:t>rnal market and repealing Directive 1999/93/EC, Official Journal of the European Union L 257, 28 August 2014.</w:t>
      </w:r>
    </w:p>
  </w:footnote>
  <w:footnote w:id="10">
    <w:p w:rsidR="00913429" w:rsidRDefault="00E143F0">
      <w:pPr>
        <w:pStyle w:val="FootnoteText"/>
        <w:spacing w:after="60"/>
        <w:rPr>
          <w:lang w:val="en-US"/>
        </w:rPr>
      </w:pPr>
      <w:r>
        <w:rPr>
          <w:rStyle w:val="FootnoteReference"/>
        </w:rPr>
        <w:footnoteRef/>
      </w:r>
      <w:r>
        <w:t xml:space="preserve"> </w:t>
      </w:r>
      <w:proofErr w:type="gramStart"/>
      <w:r>
        <w:t>Commission Implementing Decision (EU) 2016/650 of 25 April 2016 laying down standards for the security assessment of qualified signature and sea</w:t>
      </w:r>
      <w:r>
        <w:t>l creation devices pursuant to Articles 30(3) and 39(2) of Regulation (EU) No 910/2014 of the European Parliament and of the Council on electronic identification and trust services for electronic transactions in the internal market, Official Journal of the</w:t>
      </w:r>
      <w:r>
        <w:t xml:space="preserve"> European Union L 109/40, 26 April 2016.</w:t>
      </w:r>
      <w:proofErr w:type="gramEnd"/>
    </w:p>
  </w:footnote>
  <w:footnote w:id="11">
    <w:p w:rsidR="00913429" w:rsidRDefault="00E143F0">
      <w:pPr>
        <w:pStyle w:val="FootnoteText"/>
        <w:spacing w:after="60"/>
        <w:rPr>
          <w:lang w:val="en-US"/>
        </w:rPr>
      </w:pPr>
      <w:r>
        <w:rPr>
          <w:rStyle w:val="FootnoteReference"/>
        </w:rPr>
        <w:footnoteRef/>
      </w:r>
      <w:r>
        <w:rPr>
          <w:lang w:val="en-US"/>
        </w:rPr>
        <w:t xml:space="preserve"> Further details are not available</w:t>
      </w:r>
    </w:p>
  </w:footnote>
  <w:footnote w:id="12">
    <w:p w:rsidR="00913429" w:rsidRDefault="00E143F0">
      <w:pPr>
        <w:pStyle w:val="FootnoteText"/>
        <w:spacing w:after="0"/>
        <w:rPr>
          <w:lang w:val="en-US"/>
        </w:rPr>
      </w:pPr>
      <w:r>
        <w:rPr>
          <w:rStyle w:val="FootnoteReference"/>
        </w:rPr>
        <w:footnoteRef/>
      </w:r>
      <w:r>
        <w:t xml:space="preserve"> Regulation (EU) No. 910/2014 of the European Parliament and of the Council of 23 July 2014 on electronic identification and trust services for electronic transactions in the int</w:t>
      </w:r>
      <w:r>
        <w:t>ernal market and repealing Directive 1999/93/EC, Official Journal of the European Union L 257, 28 August 2014.</w:t>
      </w:r>
    </w:p>
  </w:footnote>
  <w:footnote w:id="13">
    <w:p w:rsidR="00913429" w:rsidRDefault="00E143F0">
      <w:pPr>
        <w:pStyle w:val="FootnoteText"/>
        <w:spacing w:after="0"/>
        <w:rPr>
          <w:lang w:val="en-US"/>
        </w:rPr>
      </w:pPr>
      <w:r>
        <w:rPr>
          <w:rStyle w:val="FootnoteReference"/>
        </w:rPr>
        <w:footnoteRef/>
      </w:r>
      <w:r>
        <w:t xml:space="preserve"> </w:t>
      </w:r>
      <w:proofErr w:type="gramStart"/>
      <w:r>
        <w:t>Commission Implementing Decision (EU) 2016/650 of 25 April 2016 laying down standards for the security assessment of qualified signature and se</w:t>
      </w:r>
      <w:r>
        <w:t>al creation devices pursuant to Articles 30(3) and 39(2) of Regulation (EU) No 910/2014 of the European Parliament and of the Council on electronic identification and trust services for electronic transactions in the internal market, Official Journal of th</w:t>
      </w:r>
      <w:r>
        <w:t>e European Union L 109/40, 26 April 2016.</w:t>
      </w:r>
      <w:proofErr w:type="gramEnd"/>
    </w:p>
  </w:footnote>
  <w:footnote w:id="14">
    <w:p w:rsidR="00913429" w:rsidRDefault="00E143F0">
      <w:pPr>
        <w:pStyle w:val="FootnoteText"/>
        <w:spacing w:after="0"/>
        <w:rPr>
          <w:lang w:val="en-US"/>
        </w:rPr>
      </w:pPr>
      <w:r>
        <w:rPr>
          <w:rStyle w:val="FootnoteReference"/>
        </w:rPr>
        <w:footnoteRef/>
      </w:r>
      <w:r>
        <w:t xml:space="preserve"> Further details are not available</w:t>
      </w:r>
    </w:p>
  </w:footnote>
  <w:footnote w:id="15">
    <w:p w:rsidR="00913429" w:rsidRDefault="00E143F0">
      <w:pPr>
        <w:pStyle w:val="FootnoteText"/>
      </w:pPr>
      <w:r>
        <w:rPr>
          <w:rStyle w:val="FootnoteReference"/>
        </w:rPr>
        <w:footnoteRef/>
      </w:r>
      <w:r>
        <w:t xml:space="preserve">  CAS (T) is a certification scheme for clients providing telecommunications services. The scheme supports the government Public Services Network (PSN), which requires all telec</w:t>
      </w:r>
      <w:r>
        <w:t>oms services procured by public sector bodies.</w:t>
      </w:r>
    </w:p>
  </w:footnote>
  <w:footnote w:id="16">
    <w:p w:rsidR="00913429" w:rsidRDefault="00E143F0">
      <w:pPr>
        <w:pStyle w:val="FootnoteText"/>
        <w:rPr>
          <w:lang w:val="en-US"/>
        </w:rPr>
      </w:pPr>
      <w:r>
        <w:rPr>
          <w:rStyle w:val="FootnoteReference"/>
        </w:rPr>
        <w:footnoteRef/>
      </w:r>
      <w:r>
        <w:t xml:space="preserve"> </w:t>
      </w:r>
      <w:proofErr w:type="spellStart"/>
      <w:r>
        <w:t>Dusart</w:t>
      </w:r>
      <w:proofErr w:type="spellEnd"/>
      <w:r>
        <w:t xml:space="preserve"> Pierre, </w:t>
      </w:r>
      <w:proofErr w:type="spellStart"/>
      <w:r>
        <w:t>Sauveron</w:t>
      </w:r>
      <w:proofErr w:type="spellEnd"/>
      <w:r>
        <w:t xml:space="preserve"> Damien, Tai-</w:t>
      </w:r>
      <w:proofErr w:type="spellStart"/>
      <w:r>
        <w:t>Hoon</w:t>
      </w:r>
      <w:proofErr w:type="spellEnd"/>
      <w:r>
        <w:t xml:space="preserve"> Kim, Some limits of Common Criteria certification, </w:t>
      </w:r>
      <w:r>
        <w:rPr>
          <w:i/>
        </w:rPr>
        <w:t>International Journal of Security and Its Applications</w:t>
      </w:r>
    </w:p>
  </w:footnote>
  <w:footnote w:id="17">
    <w:p w:rsidR="00913429" w:rsidRDefault="00E143F0">
      <w:pPr>
        <w:pStyle w:val="FootnoteText"/>
        <w:rPr>
          <w:lang w:val="en-US"/>
        </w:rPr>
      </w:pPr>
      <w:r>
        <w:rPr>
          <w:rStyle w:val="FootnoteReference"/>
        </w:rPr>
        <w:footnoteRef/>
      </w:r>
      <w:r>
        <w:t xml:space="preserve"> </w:t>
      </w:r>
      <w:proofErr w:type="spellStart"/>
      <w:r>
        <w:t>Hunstad</w:t>
      </w:r>
      <w:proofErr w:type="spellEnd"/>
      <w:r>
        <w:t xml:space="preserve">, A.; Hallberg, J.; </w:t>
      </w:r>
      <w:proofErr w:type="spellStart"/>
      <w:r>
        <w:t>Andersson</w:t>
      </w:r>
      <w:proofErr w:type="spellEnd"/>
      <w:r>
        <w:t>, R., "Measuring IT se</w:t>
      </w:r>
      <w:r>
        <w:t>curity - a method based on common criteria's security functional requirements," Information Assurance Workshop, 2004. Proceedings from the Fifth Annual IEEE SMC, pp. 226-233, 10-11 June 2004, URL: http://ieeexplore.ieee.org/stamp/stamp.jsp?arnumber=1437821</w:t>
      </w:r>
      <w:r>
        <w:t>&amp;isnumber=30958</w:t>
      </w:r>
    </w:p>
  </w:footnote>
  <w:footnote w:id="18">
    <w:p w:rsidR="00913429" w:rsidRDefault="00E143F0">
      <w:pPr>
        <w:pStyle w:val="FootnoteText"/>
        <w:spacing w:after="120"/>
        <w:rPr>
          <w:lang w:val="en-US"/>
        </w:rPr>
      </w:pPr>
      <w:r>
        <w:rPr>
          <w:rStyle w:val="FootnoteReference"/>
        </w:rPr>
        <w:footnoteRef/>
      </w:r>
      <w:r>
        <w:t xml:space="preserve"> http://www.difesa.it/SMD_/Staff/Reparti/II/CeVa/Pubblicazioni/Estere/Documents/CommonCriteria_ISSA%20Journal_0411.pdf</w:t>
      </w:r>
    </w:p>
  </w:footnote>
  <w:footnote w:id="19">
    <w:p w:rsidR="00913429" w:rsidRDefault="00E143F0">
      <w:pPr>
        <w:pStyle w:val="FootnoteText"/>
        <w:rPr>
          <w:lang w:val="en-US"/>
        </w:rPr>
      </w:pPr>
      <w:r>
        <w:rPr>
          <w:rStyle w:val="FootnoteReference"/>
        </w:rPr>
        <w:footnoteRef/>
      </w:r>
      <w:r>
        <w:t xml:space="preserve"> The study is still ongoing and the preliminary results presented within the Interim Report </w:t>
      </w:r>
      <w:proofErr w:type="gramStart"/>
      <w:r>
        <w:t>are updated</w:t>
      </w:r>
      <w:proofErr w:type="gramEnd"/>
      <w:r>
        <w:t xml:space="preserve"> to June 6, 2017</w:t>
      </w:r>
      <w:r>
        <w:t>.</w:t>
      </w:r>
    </w:p>
  </w:footnote>
  <w:footnote w:id="20">
    <w:p w:rsidR="00913429" w:rsidRDefault="00E143F0">
      <w:pPr>
        <w:pStyle w:val="FootnoteText"/>
      </w:pPr>
      <w:r>
        <w:rPr>
          <w:rStyle w:val="FootnoteReference"/>
          <w:sz w:val="16"/>
        </w:rPr>
        <w:footnoteRef/>
      </w:r>
      <w:r>
        <w:rPr>
          <w:sz w:val="16"/>
        </w:rPr>
        <w:t xml:space="preserve"> </w:t>
      </w:r>
      <w:proofErr w:type="spellStart"/>
      <w:r>
        <w:rPr>
          <w:sz w:val="16"/>
        </w:rPr>
        <w:t>USmartConsumer</w:t>
      </w:r>
      <w:proofErr w:type="spellEnd"/>
      <w:r>
        <w:rPr>
          <w:sz w:val="16"/>
        </w:rPr>
        <w:t xml:space="preserve"> Project, European Smart Metering Landscape Report, “Utilities and consumers”, 2016</w:t>
      </w:r>
    </w:p>
  </w:footnote>
  <w:footnote w:id="21">
    <w:p w:rsidR="00913429" w:rsidRDefault="00E143F0">
      <w:pPr>
        <w:pStyle w:val="FootnoteText"/>
      </w:pPr>
      <w:r>
        <w:rPr>
          <w:rStyle w:val="FootnoteReference"/>
          <w:sz w:val="16"/>
        </w:rPr>
        <w:footnoteRef/>
      </w:r>
      <w:r>
        <w:rPr>
          <w:sz w:val="16"/>
        </w:rPr>
        <w:t xml:space="preserve"> ENISA, Smart grid security certification in Europe, December 2014</w:t>
      </w:r>
    </w:p>
  </w:footnote>
  <w:footnote w:id="22">
    <w:p w:rsidR="00913429" w:rsidRDefault="00E143F0">
      <w:pPr>
        <w:pStyle w:val="FootnoteText"/>
        <w:spacing w:after="0"/>
      </w:pPr>
      <w:r>
        <w:rPr>
          <w:rStyle w:val="FootnoteReference"/>
        </w:rPr>
        <w:footnoteRef/>
      </w:r>
      <w:r>
        <w:t xml:space="preserve"> https://ec.europa.eu/home-affairs/what-we-do/policies/industry-for-security_en</w:t>
      </w:r>
    </w:p>
  </w:footnote>
  <w:footnote w:id="23">
    <w:p w:rsidR="00913429" w:rsidRDefault="00E143F0">
      <w:pPr>
        <w:pStyle w:val="FootnoteText"/>
        <w:spacing w:after="0"/>
      </w:pPr>
      <w:r>
        <w:rPr>
          <w:rStyle w:val="FootnoteReference"/>
        </w:rPr>
        <w:footnoteRef/>
      </w:r>
      <w:r>
        <w:t xml:space="preserve"> htt</w:t>
      </w:r>
      <w:r>
        <w:t>p://www.berginsight.com/news.aspx</w:t>
      </w:r>
    </w:p>
  </w:footnote>
  <w:footnote w:id="24">
    <w:p w:rsidR="00913429" w:rsidRDefault="00E143F0">
      <w:pPr>
        <w:pStyle w:val="FootnoteText"/>
        <w:spacing w:after="0"/>
      </w:pPr>
      <w:r>
        <w:rPr>
          <w:rStyle w:val="FootnoteReference"/>
        </w:rPr>
        <w:footnoteRef/>
      </w:r>
      <w:r>
        <w:t xml:space="preserve"> http://eur-lex.europa.eu/legal-content/EN/TXT/PDF/?uri=CELEX:52012DC0417&amp;from=EN</w:t>
      </w:r>
    </w:p>
  </w:footnote>
  <w:footnote w:id="25">
    <w:p w:rsidR="00913429" w:rsidRDefault="00E143F0">
      <w:pPr>
        <w:pStyle w:val="FootnoteText"/>
        <w:spacing w:after="0"/>
      </w:pPr>
      <w:r>
        <w:rPr>
          <w:rStyle w:val="FootnoteReference"/>
        </w:rPr>
        <w:footnoteRef/>
      </w:r>
      <w:r>
        <w:t xml:space="preserve"> </w:t>
      </w:r>
      <w:proofErr w:type="gramStart"/>
      <w:r>
        <w:t>ECORYS.</w:t>
      </w:r>
      <w:proofErr w:type="gramEnd"/>
      <w:r>
        <w:t xml:space="preserve"> </w:t>
      </w:r>
      <w:proofErr w:type="gramStart"/>
      <w:r>
        <w:t>(2011). Security Regulation, Conformity Assessment &amp; Certification.</w:t>
      </w:r>
      <w:proofErr w:type="gramEnd"/>
      <w:r>
        <w:t xml:space="preserve"> Brussels: Report delivered by ECORYS for the European Commiss</w:t>
      </w:r>
      <w:r>
        <w:t>ion.</w:t>
      </w:r>
    </w:p>
  </w:footnote>
  <w:footnote w:id="26">
    <w:p w:rsidR="00913429" w:rsidRDefault="00E143F0">
      <w:pPr>
        <w:pStyle w:val="FootnoteText"/>
        <w:spacing w:after="0"/>
      </w:pPr>
      <w:r>
        <w:rPr>
          <w:rStyle w:val="FootnoteReference"/>
        </w:rPr>
        <w:footnoteRef/>
      </w:r>
      <w:r>
        <w:t xml:space="preserve"> http://www.certalarm.org/ca/sites/default/files/Scheme%20Rules-2-Iss_5.pdf</w:t>
      </w:r>
    </w:p>
  </w:footnote>
  <w:footnote w:id="27">
    <w:p w:rsidR="00913429" w:rsidRDefault="00E143F0">
      <w:pPr>
        <w:pStyle w:val="FootnoteText"/>
        <w:spacing w:after="0"/>
      </w:pPr>
      <w:r>
        <w:rPr>
          <w:rStyle w:val="FootnoteReference"/>
        </w:rPr>
        <w:footnoteRef/>
      </w:r>
      <w:r>
        <w:t xml:space="preserve"> http://industries.ul.com/blog/alarm-system-certificate</w:t>
      </w:r>
    </w:p>
  </w:footnote>
  <w:footnote w:id="28">
    <w:p w:rsidR="00913429" w:rsidRDefault="00E143F0">
      <w:pPr>
        <w:pStyle w:val="FootnoteText"/>
        <w:spacing w:after="0"/>
      </w:pPr>
      <w:r>
        <w:rPr>
          <w:rStyle w:val="FootnoteReference"/>
        </w:rPr>
        <w:footnoteRef/>
      </w:r>
      <w:r>
        <w:t xml:space="preserve"> (http://industries.ul.com/wp-content/uploads/sites/2/2016/04/UL_CAP-Overview-Info.pdf)</w:t>
      </w:r>
    </w:p>
  </w:footnote>
  <w:footnote w:id="29">
    <w:p w:rsidR="00913429" w:rsidRDefault="00E143F0">
      <w:pPr>
        <w:pStyle w:val="FootnoteText"/>
        <w:spacing w:after="0"/>
      </w:pPr>
      <w:r>
        <w:rPr>
          <w:rStyle w:val="FootnoteReference"/>
        </w:rPr>
        <w:footnoteRef/>
      </w:r>
      <w:r>
        <w:t xml:space="preserve"> https://www.ifsecglobal.com/onvif-introduces-profile-q-to-tackle-cyber-security-challenges/</w:t>
      </w:r>
    </w:p>
  </w:footnote>
  <w:footnote w:id="30">
    <w:p w:rsidR="00913429" w:rsidRDefault="00E143F0">
      <w:pPr>
        <w:pStyle w:val="FootnoteText"/>
        <w:spacing w:after="0"/>
      </w:pPr>
      <w:r>
        <w:rPr>
          <w:rStyle w:val="FootnoteReference"/>
        </w:rPr>
        <w:footnoteRef/>
      </w:r>
      <w:r>
        <w:t xml:space="preserve"> https://www.european-privacy-seal.eu/EPS-en/Product-and-Service-Privacy-Certification</w:t>
      </w:r>
    </w:p>
  </w:footnote>
  <w:footnote w:id="31">
    <w:p w:rsidR="00913429" w:rsidRDefault="00E143F0">
      <w:pPr>
        <w:pStyle w:val="FootnoteText"/>
        <w:spacing w:after="0"/>
      </w:pPr>
      <w:r>
        <w:rPr>
          <w:rStyle w:val="FootnoteReference"/>
        </w:rPr>
        <w:footnoteRef/>
      </w:r>
      <w:r>
        <w:t xml:space="preserve"> http://eur-lex.europa.eu/legal-content/EN/TXT/PDF/?uri=CELEX:52012SC0233&amp;</w:t>
      </w:r>
      <w:r>
        <w:t>from=EN</w:t>
      </w:r>
    </w:p>
  </w:footnote>
  <w:footnote w:id="32">
    <w:p w:rsidR="00913429" w:rsidRDefault="00E143F0">
      <w:pPr>
        <w:pStyle w:val="FootnoteText"/>
        <w:spacing w:after="0"/>
      </w:pPr>
      <w:r>
        <w:rPr>
          <w:rStyle w:val="FootnoteReference"/>
        </w:rPr>
        <w:footnoteRef/>
      </w:r>
      <w:r>
        <w:t xml:space="preserve"> http://eur-lex.europa.eu/legal-content/EN/TXT/PDF/?uri=CELEX:52012SC0233&amp;from=EN</w:t>
      </w:r>
    </w:p>
  </w:footnote>
  <w:footnote w:id="33">
    <w:p w:rsidR="00913429" w:rsidRDefault="00E143F0">
      <w:pPr>
        <w:pStyle w:val="FootnoteText"/>
      </w:pPr>
      <w:r>
        <w:rPr>
          <w:rStyle w:val="FootnoteReference"/>
        </w:rPr>
        <w:footnoteRef/>
      </w:r>
      <w:r>
        <w:t xml:space="preserve"> http://eur-lex.europa.eu/legal-content/EN/TXT/PDF/?uri=CELEX:52012SC0233&amp;from=EN</w:t>
      </w:r>
    </w:p>
  </w:footnote>
  <w:footnote w:id="34">
    <w:p w:rsidR="00913429" w:rsidRDefault="00E143F0">
      <w:pPr>
        <w:pStyle w:val="FootnoteText"/>
      </w:pPr>
      <w:r>
        <w:rPr>
          <w:rStyle w:val="FootnoteReference"/>
        </w:rPr>
        <w:footnoteRef/>
      </w:r>
      <w:r>
        <w:t xml:space="preserve"> ECSO has published a State-of-the-Art Syllabus listing </w:t>
      </w:r>
      <w:proofErr w:type="gramStart"/>
      <w:r>
        <w:t>8</w:t>
      </w:r>
      <w:proofErr w:type="gramEnd"/>
      <w:r>
        <w:t xml:space="preserve"> different schemes and standards to certify the security of cloud computing services. See here: www.upm.es/observatorio/vi/gestor_general/recuperar_archivo.jsp?idf=642&amp;tipo=2</w:t>
      </w:r>
    </w:p>
  </w:footnote>
  <w:footnote w:id="35">
    <w:p w:rsidR="00913429" w:rsidRDefault="00E143F0">
      <w:pPr>
        <w:pStyle w:val="FootnoteText"/>
        <w:spacing w:after="0"/>
        <w:rPr>
          <w:sz w:val="16"/>
        </w:rPr>
      </w:pPr>
      <w:r>
        <w:rPr>
          <w:rStyle w:val="FootnoteReference"/>
          <w:sz w:val="16"/>
        </w:rPr>
        <w:footnoteRef/>
      </w:r>
      <w:r>
        <w:rPr>
          <w:sz w:val="16"/>
        </w:rPr>
        <w:t xml:space="preserve"> https://www.enisa.euro</w:t>
      </w:r>
      <w:r>
        <w:rPr>
          <w:sz w:val="16"/>
        </w:rPr>
        <w:t>pa.eu/publications/exploring-cloud-incidents</w:t>
      </w:r>
    </w:p>
  </w:footnote>
  <w:footnote w:id="36">
    <w:p w:rsidR="00913429" w:rsidRDefault="00E143F0">
      <w:pPr>
        <w:pStyle w:val="FootnoteText"/>
        <w:spacing w:after="0"/>
        <w:rPr>
          <w:sz w:val="16"/>
        </w:rPr>
      </w:pPr>
      <w:r>
        <w:rPr>
          <w:rStyle w:val="FootnoteReference"/>
          <w:sz w:val="16"/>
        </w:rPr>
        <w:footnoteRef/>
      </w:r>
      <w:r>
        <w:rPr>
          <w:sz w:val="16"/>
        </w:rPr>
        <w:t xml:space="preserve"> http://picse.eu/sites/default/files/ProcuringCloudServicesToday_March2016_web.pdf</w:t>
      </w:r>
    </w:p>
  </w:footnote>
  <w:footnote w:id="37">
    <w:p w:rsidR="00913429" w:rsidRDefault="00E143F0">
      <w:pPr>
        <w:pStyle w:val="FootnoteText"/>
        <w:spacing w:after="0"/>
        <w:rPr>
          <w:sz w:val="16"/>
        </w:rPr>
      </w:pPr>
      <w:r>
        <w:rPr>
          <w:rStyle w:val="FootnoteReference"/>
          <w:sz w:val="16"/>
        </w:rPr>
        <w:footnoteRef/>
      </w:r>
      <w:r>
        <w:rPr>
          <w:sz w:val="16"/>
        </w:rPr>
        <w:t xml:space="preserve"> https://www.forbes.com/sites/louiscolumbus/2016/03/13/roundup-of-cloud-computing-forecasts-and-market-estimates-2016/#51dfa21</w:t>
      </w:r>
      <w:r>
        <w:rPr>
          <w:sz w:val="16"/>
        </w:rPr>
        <w:t>b2187</w:t>
      </w:r>
    </w:p>
  </w:footnote>
  <w:footnote w:id="38">
    <w:p w:rsidR="00913429" w:rsidRDefault="00E143F0">
      <w:pPr>
        <w:pStyle w:val="FootnoteText"/>
        <w:spacing w:after="0"/>
        <w:rPr>
          <w:sz w:val="16"/>
        </w:rPr>
      </w:pPr>
      <w:r>
        <w:rPr>
          <w:rStyle w:val="FootnoteReference"/>
          <w:sz w:val="16"/>
        </w:rPr>
        <w:footnoteRef/>
      </w:r>
      <w:r>
        <w:rPr>
          <w:sz w:val="16"/>
        </w:rPr>
        <w:t xml:space="preserve"> https://www.statista.com/statistics/507952/worldwide-public-cloud-infrastructure-hardware-and-software-spending-by-segment/</w:t>
      </w:r>
    </w:p>
  </w:footnote>
  <w:footnote w:id="39">
    <w:p w:rsidR="00913429" w:rsidRDefault="00E143F0">
      <w:pPr>
        <w:pStyle w:val="FootnoteText"/>
        <w:spacing w:after="0"/>
        <w:rPr>
          <w:sz w:val="16"/>
        </w:rPr>
      </w:pPr>
      <w:r>
        <w:rPr>
          <w:rStyle w:val="FootnoteReference"/>
          <w:sz w:val="16"/>
        </w:rPr>
        <w:footnoteRef/>
      </w:r>
      <w:r>
        <w:rPr>
          <w:sz w:val="16"/>
        </w:rPr>
        <w:t xml:space="preserve"> http://www.gartner.com/newsroom/id/3616417</w:t>
      </w:r>
    </w:p>
  </w:footnote>
  <w:footnote w:id="40">
    <w:p w:rsidR="00913429" w:rsidRDefault="00E143F0">
      <w:pPr>
        <w:pStyle w:val="FootnoteText"/>
        <w:spacing w:after="0"/>
        <w:rPr>
          <w:sz w:val="16"/>
        </w:rPr>
      </w:pPr>
      <w:r>
        <w:rPr>
          <w:rStyle w:val="FootnoteReference"/>
          <w:sz w:val="16"/>
        </w:rPr>
        <w:footnoteRef/>
      </w:r>
      <w:r>
        <w:rPr>
          <w:sz w:val="16"/>
        </w:rPr>
        <w:t xml:space="preserve"> http://www.thbs.com/downloads/Cloud-Computing-Overview.pdf</w:t>
      </w:r>
    </w:p>
  </w:footnote>
  <w:footnote w:id="41">
    <w:p w:rsidR="00913429" w:rsidRDefault="00E143F0">
      <w:pPr>
        <w:pStyle w:val="FootnoteText"/>
        <w:spacing w:after="0"/>
        <w:rPr>
          <w:sz w:val="16"/>
        </w:rPr>
      </w:pPr>
      <w:r>
        <w:rPr>
          <w:rStyle w:val="FootnoteReference"/>
          <w:sz w:val="16"/>
        </w:rPr>
        <w:footnoteRef/>
      </w:r>
      <w:r>
        <w:rPr>
          <w:sz w:val="16"/>
        </w:rPr>
        <w:t xml:space="preserve"> https://www.bsi.</w:t>
      </w:r>
      <w:r>
        <w:rPr>
          <w:sz w:val="16"/>
        </w:rPr>
        <w:t>bund.de/EN/Topics/CloudComputing/ESCloudLabel/ESCloudLabel_node.html</w:t>
      </w:r>
    </w:p>
  </w:footnote>
  <w:footnote w:id="42">
    <w:p w:rsidR="00913429" w:rsidRDefault="00E143F0">
      <w:pPr>
        <w:pStyle w:val="FootnoteText"/>
        <w:spacing w:after="0"/>
        <w:rPr>
          <w:sz w:val="16"/>
        </w:rPr>
      </w:pPr>
      <w:r>
        <w:rPr>
          <w:rStyle w:val="FootnoteReference"/>
          <w:sz w:val="16"/>
        </w:rPr>
        <w:footnoteRef/>
      </w:r>
      <w:r>
        <w:rPr>
          <w:sz w:val="16"/>
        </w:rPr>
        <w:t xml:space="preserve"> https://www.bsi.bund.de/SharedDocs/Downloads/EN/BSI/Publications/Magazin/BSI-Magazin_2016-02.pdf?__blob=publicationFile&amp;v=4</w:t>
      </w:r>
    </w:p>
  </w:footnote>
  <w:footnote w:id="43">
    <w:p w:rsidR="00913429" w:rsidRDefault="00E143F0">
      <w:pPr>
        <w:pStyle w:val="FootnoteText"/>
        <w:spacing w:after="0"/>
      </w:pPr>
      <w:r>
        <w:rPr>
          <w:rStyle w:val="FootnoteReference"/>
          <w:sz w:val="16"/>
        </w:rPr>
        <w:footnoteRef/>
      </w:r>
      <w:r>
        <w:rPr>
          <w:sz w:val="16"/>
        </w:rPr>
        <w:t xml:space="preserve"> http://www.afnor.org/en/news/cybersecurity-vigilance-requir</w:t>
      </w:r>
      <w:r>
        <w:rPr>
          <w:sz w:val="16"/>
        </w:rPr>
        <w:t>ed/</w:t>
      </w:r>
    </w:p>
  </w:footnote>
  <w:footnote w:id="44">
    <w:p w:rsidR="00913429" w:rsidRDefault="00E143F0">
      <w:pPr>
        <w:pStyle w:val="FootnoteText"/>
        <w:spacing w:after="0"/>
      </w:pPr>
      <w:r>
        <w:rPr>
          <w:rStyle w:val="FootnoteReference"/>
          <w:sz w:val="16"/>
        </w:rPr>
        <w:footnoteRef/>
      </w:r>
      <w:r>
        <w:rPr>
          <w:sz w:val="16"/>
        </w:rPr>
        <w:t xml:space="preserve"> https://www.bsi.bund.de/SharedDocs/Downloads/EN/BSI/Publications/Magazin/BSI-Magazin_2016-02.pdf?__blob=publicationFile&amp;v=4</w:t>
      </w:r>
    </w:p>
  </w:footnote>
  <w:footnote w:id="45">
    <w:p w:rsidR="00913429" w:rsidRDefault="00E143F0">
      <w:pPr>
        <w:pStyle w:val="FootnoteText"/>
        <w:spacing w:after="0"/>
      </w:pPr>
      <w:r>
        <w:rPr>
          <w:rStyle w:val="FootnoteReference"/>
          <w:sz w:val="16"/>
        </w:rPr>
        <w:footnoteRef/>
      </w:r>
      <w:r>
        <w:rPr>
          <w:sz w:val="16"/>
        </w:rPr>
        <w:t xml:space="preserve"> http://cordis.europa.eu/project/rcn/207439_en.html</w:t>
      </w:r>
    </w:p>
  </w:footnote>
  <w:footnote w:id="46">
    <w:p w:rsidR="00913429" w:rsidRDefault="00E143F0">
      <w:pPr>
        <w:pStyle w:val="FootnoteText"/>
        <w:spacing w:after="0"/>
        <w:rPr>
          <w:lang w:val="en-US"/>
        </w:rPr>
      </w:pPr>
      <w:r>
        <w:rPr>
          <w:rStyle w:val="FootnoteReference"/>
          <w:sz w:val="16"/>
        </w:rPr>
        <w:footnoteRef/>
      </w:r>
      <w:r>
        <w:rPr>
          <w:sz w:val="16"/>
        </w:rPr>
        <w:t xml:space="preserve"> </w:t>
      </w:r>
      <w:proofErr w:type="spellStart"/>
      <w:proofErr w:type="gramStart"/>
      <w:r>
        <w:rPr>
          <w:sz w:val="16"/>
        </w:rPr>
        <w:t>Ilzkovitz</w:t>
      </w:r>
      <w:proofErr w:type="spellEnd"/>
      <w:r>
        <w:rPr>
          <w:sz w:val="16"/>
        </w:rPr>
        <w:t xml:space="preserve">, F. </w:t>
      </w:r>
      <w:proofErr w:type="spellStart"/>
      <w:r>
        <w:rPr>
          <w:sz w:val="16"/>
        </w:rPr>
        <w:t>Dierx</w:t>
      </w:r>
      <w:proofErr w:type="spellEnd"/>
      <w:r>
        <w:rPr>
          <w:sz w:val="16"/>
        </w:rPr>
        <w:t>, A. Kovacs, V. &amp; Sousa (2007) Steps towards a deepe</w:t>
      </w:r>
      <w:r>
        <w:rPr>
          <w:sz w:val="16"/>
        </w:rPr>
        <w:t>r economic integration: the internal market in the 21st century“, European Economy, Economic Papers, No. 271.</w:t>
      </w:r>
      <w:proofErr w:type="gramEnd"/>
      <w:r>
        <w:rPr>
          <w:sz w:val="16"/>
        </w:rPr>
        <w:t xml:space="preserve"> </w:t>
      </w:r>
      <w:proofErr w:type="gramStart"/>
      <w:r>
        <w:rPr>
          <w:sz w:val="16"/>
          <w:lang w:val="en-US"/>
        </w:rPr>
        <w:t>European Commission.</w:t>
      </w:r>
      <w:proofErr w:type="gramEnd"/>
    </w:p>
  </w:footnote>
  <w:footnote w:id="47">
    <w:p w:rsidR="00913429" w:rsidRDefault="00E143F0">
      <w:pPr>
        <w:pStyle w:val="FootnoteText"/>
        <w:spacing w:after="0"/>
        <w:rPr>
          <w:lang w:val="en-US"/>
        </w:rPr>
      </w:pPr>
      <w:r>
        <w:rPr>
          <w:rStyle w:val="FootnoteReference"/>
          <w:sz w:val="16"/>
        </w:rPr>
        <w:footnoteRef/>
      </w:r>
      <w:r>
        <w:rPr>
          <w:sz w:val="16"/>
          <w:lang w:val="en-US"/>
        </w:rPr>
        <w:t xml:space="preserve"> https://www.isae3000.com/controlreports</w:t>
      </w:r>
    </w:p>
  </w:footnote>
  <w:footnote w:id="48">
    <w:p w:rsidR="00913429" w:rsidRDefault="00E143F0">
      <w:pPr>
        <w:pStyle w:val="FootnoteText"/>
        <w:spacing w:after="0"/>
      </w:pPr>
      <w:r>
        <w:rPr>
          <w:rStyle w:val="FootnoteReference"/>
          <w:sz w:val="16"/>
        </w:rPr>
        <w:footnoteRef/>
      </w:r>
      <w:r>
        <w:rPr>
          <w:sz w:val="16"/>
        </w:rPr>
        <w:t xml:space="preserve"> Ibid. p. 61</w:t>
      </w:r>
    </w:p>
  </w:footnote>
  <w:footnote w:id="49">
    <w:p w:rsidR="00913429" w:rsidRDefault="00E143F0">
      <w:pPr>
        <w:pStyle w:val="FootnoteText"/>
      </w:pPr>
      <w:r>
        <w:rPr>
          <w:rStyle w:val="FootnoteReference"/>
          <w:sz w:val="16"/>
        </w:rPr>
        <w:footnoteRef/>
      </w:r>
      <w:r>
        <w:rPr>
          <w:sz w:val="16"/>
        </w:rPr>
        <w:t xml:space="preserve"> http://eur-lex.europa.eu/legal-content/EN/TXT/PDF/?uri=CELEX:52013D</w:t>
      </w:r>
      <w:r>
        <w:rPr>
          <w:sz w:val="16"/>
        </w:rPr>
        <w:t>C0455&amp;from=EN</w:t>
      </w:r>
    </w:p>
  </w:footnote>
  <w:footnote w:id="50">
    <w:p w:rsidR="00913429" w:rsidRDefault="00E143F0">
      <w:pPr>
        <w:pStyle w:val="FootnoteText"/>
        <w:spacing w:after="0"/>
      </w:pPr>
      <w:r>
        <w:rPr>
          <w:rStyle w:val="FootnoteReference"/>
          <w:sz w:val="16"/>
        </w:rPr>
        <w:footnoteRef/>
      </w:r>
      <w:r>
        <w:rPr>
          <w:sz w:val="16"/>
        </w:rPr>
        <w:t xml:space="preserve"> Brussels, 8.10.2015 SWD (2015) 202 final, accompanying the document Upgrading the Single Market: more opportunities for people and business (COM (2015) 550 final) {</w:t>
      </w:r>
      <w:proofErr w:type="gramStart"/>
      <w:r>
        <w:rPr>
          <w:sz w:val="16"/>
        </w:rPr>
        <w:t>SWD(</w:t>
      </w:r>
      <w:proofErr w:type="gramEnd"/>
      <w:r>
        <w:rPr>
          <w:sz w:val="16"/>
        </w:rPr>
        <w:t>2015) 203 final}).</w:t>
      </w:r>
    </w:p>
  </w:footnote>
  <w:footnote w:id="51">
    <w:p w:rsidR="00913429" w:rsidRDefault="00E143F0">
      <w:pPr>
        <w:pStyle w:val="FootnoteText"/>
        <w:spacing w:after="0"/>
      </w:pPr>
      <w:r>
        <w:rPr>
          <w:rStyle w:val="FootnoteReference"/>
          <w:sz w:val="16"/>
        </w:rPr>
        <w:footnoteRef/>
      </w:r>
      <w:r>
        <w:rPr>
          <w:sz w:val="16"/>
        </w:rPr>
        <w:t xml:space="preserve"> </w:t>
      </w:r>
      <w:proofErr w:type="gramStart"/>
      <w:r>
        <w:rPr>
          <w:sz w:val="16"/>
        </w:rPr>
        <w:t xml:space="preserve">Among peer-reviewed journal articles see: </w:t>
      </w:r>
      <w:proofErr w:type="spellStart"/>
      <w:r>
        <w:rPr>
          <w:sz w:val="16"/>
        </w:rPr>
        <w:t>Acemoglu</w:t>
      </w:r>
      <w:proofErr w:type="spellEnd"/>
      <w:r>
        <w:rPr>
          <w:sz w:val="16"/>
        </w:rPr>
        <w:t>,</w:t>
      </w:r>
      <w:r>
        <w:rPr>
          <w:sz w:val="16"/>
        </w:rPr>
        <w:t xml:space="preserve"> D., G. </w:t>
      </w:r>
      <w:proofErr w:type="spellStart"/>
      <w:r>
        <w:rPr>
          <w:sz w:val="16"/>
        </w:rPr>
        <w:t>Gancia</w:t>
      </w:r>
      <w:proofErr w:type="spellEnd"/>
      <w:r>
        <w:rPr>
          <w:sz w:val="16"/>
        </w:rPr>
        <w:t xml:space="preserve"> and F. </w:t>
      </w:r>
      <w:proofErr w:type="spellStart"/>
      <w:r>
        <w:rPr>
          <w:sz w:val="16"/>
        </w:rPr>
        <w:t>Zilibotti</w:t>
      </w:r>
      <w:proofErr w:type="spellEnd"/>
      <w:r>
        <w:rPr>
          <w:sz w:val="16"/>
        </w:rPr>
        <w:t xml:space="preserve"> (2012), ‘Competing Engines of Growth: Innovation and Standardization,’ Journal of Economic Theory, 147, 570–601;Blind, K. and A. </w:t>
      </w:r>
      <w:proofErr w:type="spellStart"/>
      <w:r>
        <w:rPr>
          <w:sz w:val="16"/>
        </w:rPr>
        <w:t>Jungmittag</w:t>
      </w:r>
      <w:proofErr w:type="spellEnd"/>
      <w:r>
        <w:rPr>
          <w:sz w:val="16"/>
        </w:rPr>
        <w:t xml:space="preserve"> (2008), ‘The Impact of Patents and Standards on Macroeconomic Growth: A Panel Approa</w:t>
      </w:r>
      <w:r>
        <w:rPr>
          <w:sz w:val="16"/>
        </w:rPr>
        <w:t xml:space="preserve">ch Covering Four Countries and 12 Sectors,’ Journal of Productivity Analysis, 29, 51–60; </w:t>
      </w:r>
      <w:proofErr w:type="spellStart"/>
      <w:r>
        <w:rPr>
          <w:sz w:val="16"/>
        </w:rPr>
        <w:t>Jungmittag</w:t>
      </w:r>
      <w:proofErr w:type="spellEnd"/>
      <w:r>
        <w:rPr>
          <w:sz w:val="16"/>
        </w:rPr>
        <w:t xml:space="preserve">, A., K. Blind and H. </w:t>
      </w:r>
      <w:proofErr w:type="spellStart"/>
      <w:r>
        <w:rPr>
          <w:sz w:val="16"/>
        </w:rPr>
        <w:t>Grupp</w:t>
      </w:r>
      <w:proofErr w:type="spellEnd"/>
      <w:r>
        <w:rPr>
          <w:sz w:val="16"/>
        </w:rPr>
        <w:t xml:space="preserve"> (1999), ‘Innovation, Standardisation and the Long-term Production Function,’ </w:t>
      </w:r>
      <w:proofErr w:type="spellStart"/>
      <w:r>
        <w:rPr>
          <w:sz w:val="16"/>
        </w:rPr>
        <w:t>Zeitschrift</w:t>
      </w:r>
      <w:proofErr w:type="spellEnd"/>
      <w:r>
        <w:rPr>
          <w:sz w:val="16"/>
        </w:rPr>
        <w:t xml:space="preserve"> </w:t>
      </w:r>
      <w:proofErr w:type="spellStart"/>
      <w:r>
        <w:rPr>
          <w:sz w:val="16"/>
        </w:rPr>
        <w:t>für</w:t>
      </w:r>
      <w:proofErr w:type="spellEnd"/>
      <w:r>
        <w:rPr>
          <w:sz w:val="16"/>
        </w:rPr>
        <w:t xml:space="preserve"> </w:t>
      </w:r>
      <w:proofErr w:type="spellStart"/>
      <w:r>
        <w:rPr>
          <w:sz w:val="16"/>
        </w:rPr>
        <w:t>Wirtschafts</w:t>
      </w:r>
      <w:proofErr w:type="spellEnd"/>
      <w:r>
        <w:rPr>
          <w:sz w:val="16"/>
        </w:rPr>
        <w:t xml:space="preserve">- und </w:t>
      </w:r>
      <w:proofErr w:type="spellStart"/>
      <w:r>
        <w:rPr>
          <w:sz w:val="16"/>
        </w:rPr>
        <w:t>Sozialwissenschafte</w:t>
      </w:r>
      <w:r>
        <w:rPr>
          <w:sz w:val="16"/>
        </w:rPr>
        <w:t>n</w:t>
      </w:r>
      <w:proofErr w:type="spellEnd"/>
      <w:r>
        <w:rPr>
          <w:sz w:val="16"/>
        </w:rPr>
        <w:t xml:space="preserve">, 119, 205–222; </w:t>
      </w:r>
      <w:proofErr w:type="spellStart"/>
      <w:r>
        <w:rPr>
          <w:sz w:val="16"/>
        </w:rPr>
        <w:t>Wakke</w:t>
      </w:r>
      <w:proofErr w:type="spellEnd"/>
      <w:r>
        <w:rPr>
          <w:sz w:val="16"/>
        </w:rPr>
        <w:t>, P., Blind, K.; Ramel, F.</w:t>
      </w:r>
      <w:proofErr w:type="gramEnd"/>
      <w:r>
        <w:rPr>
          <w:sz w:val="16"/>
        </w:rPr>
        <w:t xml:space="preserve">  </w:t>
      </w:r>
      <w:proofErr w:type="gramStart"/>
      <w:r>
        <w:rPr>
          <w:sz w:val="16"/>
        </w:rPr>
        <w:t xml:space="preserve">(2016): The impact of participation within formal standardization on firm performance, Journal of Productivity Analysis 45 (Issue 3), 317–330; </w:t>
      </w:r>
      <w:proofErr w:type="spellStart"/>
      <w:r>
        <w:rPr>
          <w:sz w:val="16"/>
        </w:rPr>
        <w:t>Wijen</w:t>
      </w:r>
      <w:proofErr w:type="spellEnd"/>
      <w:r>
        <w:rPr>
          <w:sz w:val="16"/>
        </w:rPr>
        <w:t>, F.H. (2014).</w:t>
      </w:r>
      <w:proofErr w:type="gramEnd"/>
      <w:r>
        <w:rPr>
          <w:sz w:val="16"/>
        </w:rPr>
        <w:t xml:space="preserve"> Means versus ends in opaque institutional f</w:t>
      </w:r>
      <w:r>
        <w:rPr>
          <w:sz w:val="16"/>
        </w:rPr>
        <w:t>ields: Trading off compliance and achievement in sustainability standard adoption. Academy of Management Review, 39 (3), 302-323.Swann, P. (2010), International Standards and Trade: A Review of the Empirical Literature. Report for the UK Department of Busi</w:t>
      </w:r>
      <w:r>
        <w:rPr>
          <w:sz w:val="16"/>
        </w:rPr>
        <w:t xml:space="preserve">ness, Innovation and Skills (BIS). </w:t>
      </w:r>
      <w:proofErr w:type="gramStart"/>
      <w:r>
        <w:rPr>
          <w:sz w:val="16"/>
        </w:rPr>
        <w:t>OECD Trade Policy Working Papers.</w:t>
      </w:r>
      <w:proofErr w:type="gramEnd"/>
      <w:r>
        <w:rPr>
          <w:sz w:val="16"/>
        </w:rPr>
        <w:t xml:space="preserve"> Among reports commissioned by </w:t>
      </w:r>
      <w:proofErr w:type="gramStart"/>
      <w:r>
        <w:rPr>
          <w:sz w:val="16"/>
        </w:rPr>
        <w:t>standardization</w:t>
      </w:r>
      <w:proofErr w:type="gramEnd"/>
      <w:r>
        <w:rPr>
          <w:sz w:val="16"/>
        </w:rPr>
        <w:t xml:space="preserve"> bodies see: SCC (2007). </w:t>
      </w:r>
      <w:proofErr w:type="gramStart"/>
      <w:r>
        <w:rPr>
          <w:sz w:val="16"/>
        </w:rPr>
        <w:t>Economic Value of standardisation; AFNOR (2009).</w:t>
      </w:r>
      <w:proofErr w:type="gramEnd"/>
      <w:r>
        <w:rPr>
          <w:sz w:val="16"/>
        </w:rPr>
        <w:t xml:space="preserve"> </w:t>
      </w:r>
      <w:proofErr w:type="gramStart"/>
      <w:r>
        <w:rPr>
          <w:sz w:val="16"/>
        </w:rPr>
        <w:t>The Economic Impact of standardisation; DIN (2011).</w:t>
      </w:r>
      <w:proofErr w:type="gramEnd"/>
      <w:r>
        <w:rPr>
          <w:sz w:val="16"/>
        </w:rPr>
        <w:t xml:space="preserve"> </w:t>
      </w:r>
      <w:proofErr w:type="gramStart"/>
      <w:r>
        <w:rPr>
          <w:sz w:val="16"/>
        </w:rPr>
        <w:t>The Economic Ben</w:t>
      </w:r>
      <w:r>
        <w:rPr>
          <w:sz w:val="16"/>
        </w:rPr>
        <w:t>efits of standardisation; Standards Australia (2012).</w:t>
      </w:r>
      <w:proofErr w:type="gramEnd"/>
      <w:r>
        <w:rPr>
          <w:sz w:val="16"/>
        </w:rPr>
        <w:t xml:space="preserve"> </w:t>
      </w:r>
      <w:proofErr w:type="gramStart"/>
      <w:r>
        <w:rPr>
          <w:sz w:val="16"/>
        </w:rPr>
        <w:t xml:space="preserve">The Economic Benefits of standardisation; </w:t>
      </w:r>
      <w:proofErr w:type="spellStart"/>
      <w:r>
        <w:rPr>
          <w:sz w:val="16"/>
        </w:rPr>
        <w:t>Cebr</w:t>
      </w:r>
      <w:proofErr w:type="spellEnd"/>
      <w:r>
        <w:rPr>
          <w:sz w:val="16"/>
        </w:rPr>
        <w:t xml:space="preserve"> (2015).</w:t>
      </w:r>
      <w:proofErr w:type="gramEnd"/>
      <w:r>
        <w:rPr>
          <w:sz w:val="16"/>
        </w:rPr>
        <w:t xml:space="preserve"> </w:t>
      </w:r>
      <w:proofErr w:type="gramStart"/>
      <w:r>
        <w:rPr>
          <w:sz w:val="16"/>
        </w:rPr>
        <w:t xml:space="preserve">The Economic Contribution of standards to the UK Economy; </w:t>
      </w:r>
      <w:proofErr w:type="spellStart"/>
      <w:r>
        <w:rPr>
          <w:sz w:val="16"/>
        </w:rPr>
        <w:t>Cebr</w:t>
      </w:r>
      <w:proofErr w:type="spellEnd"/>
      <w:r>
        <w:rPr>
          <w:sz w:val="16"/>
        </w:rPr>
        <w:t xml:space="preserve"> (2016).</w:t>
      </w:r>
      <w:proofErr w:type="gramEnd"/>
      <w:r>
        <w:rPr>
          <w:sz w:val="16"/>
        </w:rPr>
        <w:t xml:space="preserve"> </w:t>
      </w:r>
      <w:proofErr w:type="gramStart"/>
      <w:r>
        <w:rPr>
          <w:sz w:val="16"/>
        </w:rPr>
        <w:t>Economic Contribution of Standards in Ireland – A report for the National St</w:t>
      </w:r>
      <w:r>
        <w:rPr>
          <w:sz w:val="16"/>
        </w:rPr>
        <w:t>andards Authority of Ireland.</w:t>
      </w:r>
      <w:proofErr w:type="gramEnd"/>
    </w:p>
  </w:footnote>
  <w:footnote w:id="52">
    <w:p w:rsidR="00913429" w:rsidRDefault="00E143F0">
      <w:pPr>
        <w:pStyle w:val="FootnoteText"/>
        <w:spacing w:after="0"/>
      </w:pPr>
      <w:r>
        <w:rPr>
          <w:rStyle w:val="FootnoteReference"/>
          <w:sz w:val="16"/>
        </w:rPr>
        <w:footnoteRef/>
      </w:r>
      <w:r>
        <w:rPr>
          <w:sz w:val="16"/>
        </w:rPr>
        <w:t xml:space="preserve"> British Standards Institution (BSI), 'The Economic Contribution of Standards to the UK Economy', 2015</w:t>
      </w:r>
    </w:p>
  </w:footnote>
  <w:footnote w:id="53">
    <w:p w:rsidR="00913429" w:rsidRDefault="00E143F0">
      <w:pPr>
        <w:pStyle w:val="FootnoteText"/>
        <w:spacing w:after="0"/>
        <w:rPr>
          <w:sz w:val="16"/>
          <w:szCs w:val="16"/>
        </w:rPr>
      </w:pPr>
      <w:r>
        <w:rPr>
          <w:rStyle w:val="FootnoteReference"/>
          <w:sz w:val="16"/>
          <w:szCs w:val="16"/>
        </w:rPr>
        <w:footnoteRef/>
      </w:r>
      <w:r>
        <w:rPr>
          <w:sz w:val="16"/>
          <w:szCs w:val="16"/>
        </w:rPr>
        <w:t xml:space="preserve"> http://www.eweek.com/cloud/companies-worry-about-security-implications-of-cloud-services</w:t>
      </w:r>
    </w:p>
  </w:footnote>
  <w:footnote w:id="54">
    <w:p w:rsidR="00913429" w:rsidRDefault="00E143F0">
      <w:pPr>
        <w:pStyle w:val="FootnoteText"/>
        <w:spacing w:after="0"/>
        <w:rPr>
          <w:lang w:val="en-US"/>
        </w:rPr>
      </w:pPr>
      <w:r>
        <w:rPr>
          <w:rStyle w:val="FootnoteReference"/>
        </w:rPr>
        <w:footnoteRef/>
      </w:r>
      <w:r>
        <w:t xml:space="preserve"> </w:t>
      </w:r>
      <w:r>
        <w:rPr>
          <w:sz w:val="16"/>
        </w:rPr>
        <w:t>Federal Office of Information</w:t>
      </w:r>
      <w:r>
        <w:rPr>
          <w:sz w:val="16"/>
        </w:rPr>
        <w:t xml:space="preserve"> Security, BSI, Security in focus, Europe and International Cooperation, BSI Magazine 2016/02</w:t>
      </w:r>
    </w:p>
  </w:footnote>
  <w:footnote w:id="55">
    <w:p w:rsidR="00913429" w:rsidRDefault="00E143F0">
      <w:pPr>
        <w:pStyle w:val="FootnoteText"/>
        <w:spacing w:after="0"/>
        <w:rPr>
          <w:sz w:val="16"/>
          <w:szCs w:val="16"/>
        </w:rPr>
      </w:pPr>
      <w:r>
        <w:rPr>
          <w:rStyle w:val="FootnoteReference"/>
          <w:sz w:val="16"/>
          <w:szCs w:val="16"/>
        </w:rPr>
        <w:footnoteRef/>
      </w:r>
      <w:r>
        <w:rPr>
          <w:sz w:val="16"/>
          <w:szCs w:val="16"/>
        </w:rPr>
        <w:t xml:space="preserve"> http://eur-lex.europa.eu/legal-content/EN/TXT/PDF/?uri=CELEX:52006DC0786&amp;from=EN</w:t>
      </w:r>
    </w:p>
  </w:footnote>
  <w:footnote w:id="56">
    <w:p w:rsidR="00913429" w:rsidRDefault="00E143F0">
      <w:pPr>
        <w:pStyle w:val="FootnoteText"/>
        <w:spacing w:after="0"/>
      </w:pPr>
      <w:r>
        <w:rPr>
          <w:rStyle w:val="FootnoteReference"/>
          <w:sz w:val="16"/>
        </w:rPr>
        <w:footnoteRef/>
      </w:r>
      <w:r>
        <w:rPr>
          <w:sz w:val="16"/>
        </w:rPr>
        <w:t xml:space="preserve"> The Aspen Institute and Intel Security, 2015: Critical Infrastructure Readine</w:t>
      </w:r>
      <w:r>
        <w:rPr>
          <w:sz w:val="16"/>
        </w:rPr>
        <w:t>ss Report: Holding the Line Against Cyber threats</w:t>
      </w:r>
    </w:p>
  </w:footnote>
  <w:footnote w:id="57">
    <w:p w:rsidR="00913429" w:rsidRDefault="00E143F0">
      <w:pPr>
        <w:pStyle w:val="FootnoteText"/>
        <w:spacing w:after="0"/>
        <w:rPr>
          <w:sz w:val="16"/>
          <w:szCs w:val="16"/>
        </w:rPr>
      </w:pPr>
      <w:r>
        <w:rPr>
          <w:rStyle w:val="FootnoteReference"/>
          <w:sz w:val="16"/>
          <w:szCs w:val="16"/>
        </w:rPr>
        <w:footnoteRef/>
      </w:r>
      <w:r>
        <w:rPr>
          <w:sz w:val="16"/>
          <w:szCs w:val="16"/>
        </w:rPr>
        <w:t xml:space="preserve"> </w:t>
      </w:r>
      <w:proofErr w:type="spellStart"/>
      <w:r>
        <w:rPr>
          <w:sz w:val="16"/>
          <w:szCs w:val="16"/>
        </w:rPr>
        <w:t>Awais</w:t>
      </w:r>
      <w:proofErr w:type="spellEnd"/>
      <w:r>
        <w:rPr>
          <w:sz w:val="16"/>
          <w:szCs w:val="16"/>
        </w:rPr>
        <w:t xml:space="preserve"> Rashid, </w:t>
      </w:r>
      <w:proofErr w:type="spellStart"/>
      <w:r>
        <w:rPr>
          <w:sz w:val="16"/>
          <w:szCs w:val="16"/>
        </w:rPr>
        <w:t>Wouter</w:t>
      </w:r>
      <w:proofErr w:type="spellEnd"/>
      <w:r>
        <w:rPr>
          <w:sz w:val="16"/>
          <w:szCs w:val="16"/>
        </w:rPr>
        <w:t xml:space="preserve"> </w:t>
      </w:r>
      <w:proofErr w:type="spellStart"/>
      <w:r>
        <w:rPr>
          <w:sz w:val="16"/>
          <w:szCs w:val="16"/>
        </w:rPr>
        <w:t>Joosen</w:t>
      </w:r>
      <w:proofErr w:type="spellEnd"/>
      <w:r>
        <w:rPr>
          <w:sz w:val="16"/>
          <w:szCs w:val="16"/>
        </w:rPr>
        <w:t xml:space="preserve">, Simon Foley, </w:t>
      </w:r>
      <w:r>
        <w:rPr>
          <w:i/>
          <w:sz w:val="16"/>
          <w:szCs w:val="16"/>
        </w:rPr>
        <w:t xml:space="preserve">Security and Resilience of Cyber-Physical Infrastructures, </w:t>
      </w:r>
      <w:r>
        <w:rPr>
          <w:sz w:val="16"/>
          <w:szCs w:val="16"/>
        </w:rPr>
        <w:t>Lancaster University Technical Report No: SCC-2016-01</w:t>
      </w:r>
    </w:p>
  </w:footnote>
  <w:footnote w:id="58">
    <w:p w:rsidR="00913429" w:rsidRDefault="00E143F0">
      <w:pPr>
        <w:pStyle w:val="FootnoteText"/>
        <w:spacing w:after="0"/>
        <w:rPr>
          <w:sz w:val="16"/>
          <w:szCs w:val="16"/>
        </w:rPr>
      </w:pPr>
      <w:r>
        <w:rPr>
          <w:rStyle w:val="FootnoteReference"/>
          <w:sz w:val="16"/>
          <w:szCs w:val="16"/>
        </w:rPr>
        <w:footnoteRef/>
      </w:r>
      <w:r>
        <w:rPr>
          <w:sz w:val="16"/>
          <w:szCs w:val="16"/>
        </w:rPr>
        <w:t>http://www.europarl.europa.eu/RegData/etudes/STU</w:t>
      </w:r>
      <w:r>
        <w:rPr>
          <w:sz w:val="16"/>
          <w:szCs w:val="16"/>
        </w:rPr>
        <w:t>D/2016/587333/IPOL_STU(2016)587333_EN.pdf</w:t>
      </w:r>
    </w:p>
  </w:footnote>
  <w:footnote w:id="59">
    <w:p w:rsidR="00913429" w:rsidRDefault="00E143F0">
      <w:pPr>
        <w:pStyle w:val="FootnoteText"/>
        <w:spacing w:after="0"/>
        <w:rPr>
          <w:sz w:val="16"/>
          <w:szCs w:val="16"/>
        </w:rPr>
      </w:pPr>
      <w:r>
        <w:rPr>
          <w:rStyle w:val="FootnoteReference"/>
          <w:sz w:val="16"/>
          <w:szCs w:val="16"/>
        </w:rPr>
        <w:footnoteRef/>
      </w:r>
      <w:r>
        <w:rPr>
          <w:sz w:val="16"/>
          <w:szCs w:val="16"/>
        </w:rPr>
        <w:t xml:space="preserve"> http://www.osce.org/secretariat/103500?download=true</w:t>
      </w:r>
    </w:p>
  </w:footnote>
  <w:footnote w:id="60">
    <w:p w:rsidR="00913429" w:rsidRDefault="00E143F0">
      <w:pPr>
        <w:pStyle w:val="FootnoteText"/>
        <w:spacing w:after="0"/>
        <w:rPr>
          <w:sz w:val="16"/>
        </w:rPr>
      </w:pPr>
      <w:r>
        <w:rPr>
          <w:rStyle w:val="FootnoteReference"/>
          <w:sz w:val="16"/>
        </w:rPr>
        <w:footnoteRef/>
      </w:r>
      <w:r>
        <w:rPr>
          <w:sz w:val="16"/>
        </w:rPr>
        <w:t xml:space="preserve"> Analysis of the Cyber Attack on the Ukrainian Power Grid, </w:t>
      </w:r>
      <w:proofErr w:type="spellStart"/>
      <w:r>
        <w:rPr>
          <w:sz w:val="16"/>
        </w:rPr>
        <w:t>Defense</w:t>
      </w:r>
      <w:proofErr w:type="spellEnd"/>
      <w:r>
        <w:rPr>
          <w:sz w:val="16"/>
        </w:rPr>
        <w:t xml:space="preserve"> Use Case, March 18, 2016, SANS ICS and</w:t>
      </w:r>
    </w:p>
    <w:p w:rsidR="00913429" w:rsidRDefault="00E143F0">
      <w:pPr>
        <w:pStyle w:val="FootnoteText"/>
        <w:spacing w:after="0"/>
      </w:pPr>
      <w:proofErr w:type="gramStart"/>
      <w:r>
        <w:rPr>
          <w:sz w:val="16"/>
        </w:rPr>
        <w:t>E-ISAC.</w:t>
      </w:r>
      <w:proofErr w:type="gramEnd"/>
    </w:p>
  </w:footnote>
  <w:footnote w:id="61">
    <w:p w:rsidR="00913429" w:rsidRDefault="00E143F0">
      <w:pPr>
        <w:pStyle w:val="FootnoteText"/>
        <w:spacing w:after="0"/>
        <w:rPr>
          <w:sz w:val="16"/>
          <w:szCs w:val="16"/>
        </w:rPr>
      </w:pPr>
      <w:r>
        <w:rPr>
          <w:rStyle w:val="FootnoteReference"/>
          <w:sz w:val="16"/>
          <w:szCs w:val="16"/>
        </w:rPr>
        <w:footnoteRef/>
      </w:r>
      <w:r>
        <w:rPr>
          <w:sz w:val="16"/>
          <w:szCs w:val="16"/>
        </w:rPr>
        <w:t xml:space="preserve"> https://ec.europa.eu/energy/sites/ener/fil</w:t>
      </w:r>
      <w:r>
        <w:rPr>
          <w:sz w:val="16"/>
          <w:szCs w:val="16"/>
        </w:rPr>
        <w:t>es/documents/eecsp_report_final.pdf</w:t>
      </w:r>
    </w:p>
  </w:footnote>
  <w:footnote w:id="62">
    <w:p w:rsidR="00913429" w:rsidRDefault="00E143F0">
      <w:pPr>
        <w:pStyle w:val="FootnoteText"/>
        <w:rPr>
          <w:sz w:val="16"/>
          <w:szCs w:val="16"/>
        </w:rPr>
      </w:pPr>
      <w:r>
        <w:rPr>
          <w:rStyle w:val="FootnoteReference"/>
          <w:sz w:val="16"/>
          <w:szCs w:val="16"/>
        </w:rPr>
        <w:footnoteRef/>
      </w:r>
      <w:r>
        <w:rPr>
          <w:sz w:val="16"/>
          <w:szCs w:val="16"/>
        </w:rPr>
        <w:t>http://www.europarl.europa.eu/RegData/etudes/STUD/2016/587333/IPOL_STU(2016)587333_EN.pdf</w:t>
      </w:r>
    </w:p>
  </w:footnote>
  <w:footnote w:id="63">
    <w:p w:rsidR="00913429" w:rsidRDefault="00E143F0">
      <w:pPr>
        <w:pStyle w:val="FootnoteText"/>
        <w:spacing w:after="0"/>
      </w:pPr>
      <w:r>
        <w:rPr>
          <w:rStyle w:val="FootnoteReference"/>
          <w:sz w:val="16"/>
          <w:szCs w:val="16"/>
        </w:rPr>
        <w:footnoteRef/>
      </w:r>
      <w:r>
        <w:rPr>
          <w:sz w:val="16"/>
          <w:szCs w:val="16"/>
        </w:rPr>
        <w:t xml:space="preserve"> http://www.osce.org/secretariat/103500?download=true</w:t>
      </w:r>
    </w:p>
  </w:footnote>
  <w:footnote w:id="64">
    <w:p w:rsidR="00913429" w:rsidRDefault="00E143F0">
      <w:pPr>
        <w:pStyle w:val="FootnoteText"/>
        <w:spacing w:after="0"/>
      </w:pPr>
      <w:r>
        <w:rPr>
          <w:rStyle w:val="FootnoteReference"/>
          <w:sz w:val="16"/>
        </w:rPr>
        <w:footnoteRef/>
      </w:r>
      <w:r>
        <w:rPr>
          <w:sz w:val="16"/>
        </w:rPr>
        <w:t xml:space="preserve"> http://www.eemg-mediators.eu/downloads/Report_on_smart_grid_cyber_security_20.12.2017.pdf</w:t>
      </w:r>
    </w:p>
  </w:footnote>
  <w:footnote w:id="65">
    <w:p w:rsidR="00913429" w:rsidRDefault="00E143F0">
      <w:pPr>
        <w:pStyle w:val="FootnoteText"/>
        <w:spacing w:after="0"/>
        <w:rPr>
          <w:sz w:val="16"/>
          <w:szCs w:val="16"/>
        </w:rPr>
      </w:pPr>
      <w:r>
        <w:rPr>
          <w:rStyle w:val="FootnoteReference"/>
          <w:sz w:val="16"/>
          <w:szCs w:val="16"/>
        </w:rPr>
        <w:footnoteRef/>
      </w:r>
      <w:r>
        <w:rPr>
          <w:sz w:val="16"/>
          <w:szCs w:val="16"/>
        </w:rPr>
        <w:t xml:space="preserve"> https://ec.europa.eu/energy/sites/ener/files/documents/eecsp_report_final.pdf</w:t>
      </w:r>
    </w:p>
  </w:footnote>
  <w:footnote w:id="66">
    <w:p w:rsidR="00913429" w:rsidRDefault="00E143F0">
      <w:pPr>
        <w:pStyle w:val="FootnoteText"/>
        <w:spacing w:after="0"/>
      </w:pPr>
      <w:r>
        <w:rPr>
          <w:rStyle w:val="FootnoteReference"/>
          <w:sz w:val="16"/>
        </w:rPr>
        <w:footnoteRef/>
      </w:r>
      <w:r>
        <w:rPr>
          <w:sz w:val="16"/>
        </w:rPr>
        <w:t xml:space="preserve"> </w:t>
      </w:r>
      <w:proofErr w:type="gramStart"/>
      <w:r>
        <w:rPr>
          <w:sz w:val="16"/>
        </w:rPr>
        <w:t>2014 Information Security Breaches Survey: http://www.pwc.co.uk/assets/pdf/cyber-se</w:t>
      </w:r>
      <w:r>
        <w:rPr>
          <w:sz w:val="16"/>
        </w:rPr>
        <w:t>curity-2014-technical-report.pdf.</w:t>
      </w:r>
      <w:proofErr w:type="gramEnd"/>
    </w:p>
  </w:footnote>
  <w:footnote w:id="67">
    <w:p w:rsidR="00913429" w:rsidRDefault="00E143F0">
      <w:pPr>
        <w:pStyle w:val="FootnoteText"/>
        <w:spacing w:after="0"/>
      </w:pPr>
      <w:r>
        <w:rPr>
          <w:rStyle w:val="FootnoteReference"/>
          <w:sz w:val="16"/>
        </w:rPr>
        <w:footnoteRef/>
      </w:r>
      <w:r>
        <w:rPr>
          <w:sz w:val="16"/>
        </w:rPr>
        <w:t xml:space="preserve"> http://www.oliverwyman.com/content/dam/marsh/Documents/PDF/UK-en/Cyber%20Risk%20in%20the%20Transportation%20Industry-03-2015.pdf</w:t>
      </w:r>
    </w:p>
  </w:footnote>
  <w:footnote w:id="68">
    <w:p w:rsidR="00913429" w:rsidRDefault="00E143F0">
      <w:pPr>
        <w:pStyle w:val="FootnoteText"/>
        <w:spacing w:after="0"/>
        <w:rPr>
          <w:sz w:val="16"/>
          <w:szCs w:val="16"/>
        </w:rPr>
      </w:pPr>
      <w:r>
        <w:rPr>
          <w:rStyle w:val="FootnoteReference"/>
          <w:sz w:val="16"/>
          <w:szCs w:val="16"/>
        </w:rPr>
        <w:footnoteRef/>
      </w:r>
      <w:r>
        <w:rPr>
          <w:sz w:val="16"/>
          <w:szCs w:val="16"/>
        </w:rPr>
        <w:t xml:space="preserve"> https://www.enisa.europa.eu/publications/challenges-of-security-certification-in-emerging</w:t>
      </w:r>
      <w:r>
        <w:rPr>
          <w:sz w:val="16"/>
          <w:szCs w:val="16"/>
        </w:rPr>
        <w:t>-ict-environments/</w:t>
      </w:r>
    </w:p>
  </w:footnote>
  <w:footnote w:id="69">
    <w:p w:rsidR="00913429" w:rsidRDefault="00E143F0">
      <w:pPr>
        <w:pStyle w:val="FootnoteText"/>
        <w:spacing w:after="0"/>
        <w:rPr>
          <w:sz w:val="16"/>
          <w:szCs w:val="16"/>
        </w:rPr>
      </w:pPr>
      <w:r>
        <w:rPr>
          <w:rStyle w:val="FootnoteReference"/>
          <w:sz w:val="16"/>
          <w:szCs w:val="16"/>
        </w:rPr>
        <w:footnoteRef/>
      </w:r>
      <w:r>
        <w:rPr>
          <w:sz w:val="16"/>
          <w:szCs w:val="16"/>
        </w:rPr>
        <w:t xml:space="preserve"> https://www.enisa.europa.eu/publications/securing-smart-airports</w:t>
      </w:r>
    </w:p>
  </w:footnote>
  <w:footnote w:id="70">
    <w:p w:rsidR="00913429" w:rsidRDefault="00E143F0">
      <w:pPr>
        <w:pStyle w:val="FootnoteText"/>
        <w:spacing w:after="0"/>
        <w:rPr>
          <w:sz w:val="16"/>
          <w:szCs w:val="16"/>
          <w:lang w:val="it-IT"/>
        </w:rPr>
      </w:pPr>
      <w:r>
        <w:rPr>
          <w:rStyle w:val="FootnoteReference"/>
          <w:sz w:val="16"/>
          <w:szCs w:val="16"/>
        </w:rPr>
        <w:footnoteRef/>
      </w:r>
      <w:r>
        <w:rPr>
          <w:sz w:val="16"/>
          <w:szCs w:val="16"/>
          <w:lang w:val="it-IT"/>
        </w:rPr>
        <w:t xml:space="preserve"> Fabio Bisogni, Simona Cavallini, Sara Di </w:t>
      </w:r>
      <w:proofErr w:type="spellStart"/>
      <w:r>
        <w:rPr>
          <w:sz w:val="16"/>
          <w:szCs w:val="16"/>
          <w:lang w:val="it-IT"/>
        </w:rPr>
        <w:t>Trocchio</w:t>
      </w:r>
      <w:proofErr w:type="spellEnd"/>
      <w:r>
        <w:rPr>
          <w:sz w:val="16"/>
          <w:szCs w:val="16"/>
          <w:lang w:val="it-IT"/>
        </w:rPr>
        <w:t xml:space="preserve">, </w:t>
      </w:r>
      <w:proofErr w:type="spellStart"/>
      <w:r>
        <w:rPr>
          <w:sz w:val="16"/>
          <w:szCs w:val="16"/>
          <w:lang w:val="it-IT"/>
        </w:rPr>
        <w:t>Cybersecurity</w:t>
      </w:r>
      <w:proofErr w:type="spellEnd"/>
      <w:r>
        <w:rPr>
          <w:sz w:val="16"/>
          <w:szCs w:val="16"/>
          <w:lang w:val="it-IT"/>
        </w:rPr>
        <w:t xml:space="preserve"> </w:t>
      </w:r>
      <w:proofErr w:type="spellStart"/>
      <w:proofErr w:type="gramStart"/>
      <w:r>
        <w:rPr>
          <w:sz w:val="16"/>
          <w:szCs w:val="16"/>
          <w:lang w:val="it-IT"/>
        </w:rPr>
        <w:t>at</w:t>
      </w:r>
      <w:proofErr w:type="spellEnd"/>
      <w:proofErr w:type="gramEnd"/>
      <w:r>
        <w:rPr>
          <w:sz w:val="16"/>
          <w:szCs w:val="16"/>
          <w:lang w:val="it-IT"/>
        </w:rPr>
        <w:t xml:space="preserve"> </w:t>
      </w:r>
      <w:proofErr w:type="spellStart"/>
      <w:r>
        <w:rPr>
          <w:sz w:val="16"/>
          <w:szCs w:val="16"/>
          <w:lang w:val="it-IT"/>
        </w:rPr>
        <w:t>European</w:t>
      </w:r>
      <w:proofErr w:type="spellEnd"/>
      <w:r>
        <w:rPr>
          <w:sz w:val="16"/>
          <w:szCs w:val="16"/>
          <w:lang w:val="it-IT"/>
        </w:rPr>
        <w:t xml:space="preserve"> </w:t>
      </w:r>
      <w:proofErr w:type="spellStart"/>
      <w:r>
        <w:rPr>
          <w:sz w:val="16"/>
          <w:szCs w:val="16"/>
          <w:lang w:val="it-IT"/>
        </w:rPr>
        <w:t>level</w:t>
      </w:r>
      <w:proofErr w:type="spellEnd"/>
      <w:r>
        <w:rPr>
          <w:sz w:val="16"/>
          <w:szCs w:val="16"/>
          <w:lang w:val="it-IT"/>
        </w:rPr>
        <w:t xml:space="preserve">: The </w:t>
      </w:r>
      <w:proofErr w:type="spellStart"/>
      <w:r>
        <w:rPr>
          <w:sz w:val="16"/>
          <w:szCs w:val="16"/>
          <w:lang w:val="it-IT"/>
        </w:rPr>
        <w:t>Role</w:t>
      </w:r>
      <w:proofErr w:type="spellEnd"/>
      <w:r>
        <w:rPr>
          <w:sz w:val="16"/>
          <w:szCs w:val="16"/>
          <w:lang w:val="it-IT"/>
        </w:rPr>
        <w:t xml:space="preserve"> of Information </w:t>
      </w:r>
      <w:proofErr w:type="spellStart"/>
      <w:r>
        <w:rPr>
          <w:sz w:val="16"/>
          <w:szCs w:val="16"/>
          <w:lang w:val="it-IT"/>
        </w:rPr>
        <w:t>Availability</w:t>
      </w:r>
      <w:proofErr w:type="spellEnd"/>
      <w:r>
        <w:rPr>
          <w:sz w:val="16"/>
          <w:szCs w:val="16"/>
          <w:lang w:val="it-IT"/>
        </w:rPr>
        <w:t>, Fondazione FORMIT, 2011</w:t>
      </w:r>
    </w:p>
  </w:footnote>
  <w:footnote w:id="71">
    <w:p w:rsidR="00913429" w:rsidRDefault="00E143F0">
      <w:pPr>
        <w:pStyle w:val="FootnoteText"/>
        <w:spacing w:after="0"/>
        <w:rPr>
          <w:lang w:val="it-IT"/>
        </w:rPr>
      </w:pPr>
      <w:r>
        <w:rPr>
          <w:rStyle w:val="FootnoteReference"/>
          <w:sz w:val="16"/>
          <w:szCs w:val="16"/>
        </w:rPr>
        <w:footnoteRef/>
      </w:r>
      <w:r>
        <w:rPr>
          <w:sz w:val="16"/>
          <w:szCs w:val="16"/>
          <w:lang w:val="it-IT"/>
        </w:rPr>
        <w:t xml:space="preserve"> https://www.enisa.eu</w:t>
      </w:r>
      <w:r>
        <w:rPr>
          <w:sz w:val="16"/>
          <w:szCs w:val="16"/>
          <w:lang w:val="it-IT"/>
        </w:rPr>
        <w:t>ropa.eu/publications/network-and-information-security-in-the-finance-sector</w:t>
      </w:r>
    </w:p>
  </w:footnote>
  <w:footnote w:id="72">
    <w:p w:rsidR="00913429" w:rsidRDefault="00E143F0">
      <w:pPr>
        <w:pStyle w:val="FootnoteText"/>
        <w:rPr>
          <w:lang w:val="it-IT"/>
        </w:rPr>
      </w:pPr>
      <w:r>
        <w:rPr>
          <w:rStyle w:val="FootnoteReference"/>
          <w:sz w:val="16"/>
        </w:rPr>
        <w:footnoteRef/>
      </w:r>
      <w:r>
        <w:rPr>
          <w:sz w:val="16"/>
          <w:lang w:val="it-IT"/>
        </w:rPr>
        <w:t xml:space="preserve"> http://www.telegraph.co.uk/technology/2017/02/27/cyber-attacks-against-financial-services-cost-consumers-8bn/</w:t>
      </w:r>
    </w:p>
  </w:footnote>
  <w:footnote w:id="73">
    <w:p w:rsidR="00913429" w:rsidRDefault="00E143F0">
      <w:pPr>
        <w:pStyle w:val="FootnoteText"/>
        <w:spacing w:after="0"/>
        <w:rPr>
          <w:sz w:val="16"/>
          <w:szCs w:val="16"/>
          <w:lang w:val="it-IT"/>
        </w:rPr>
      </w:pPr>
      <w:r>
        <w:rPr>
          <w:rStyle w:val="FootnoteReference"/>
          <w:sz w:val="16"/>
          <w:szCs w:val="16"/>
        </w:rPr>
        <w:footnoteRef/>
      </w:r>
      <w:r>
        <w:rPr>
          <w:sz w:val="16"/>
          <w:szCs w:val="16"/>
          <w:lang w:val="it-IT"/>
        </w:rPr>
        <w:t xml:space="preserve"> Fabio Bisogni, Simona Cavallini, Sara Di </w:t>
      </w:r>
      <w:proofErr w:type="spellStart"/>
      <w:r>
        <w:rPr>
          <w:sz w:val="16"/>
          <w:szCs w:val="16"/>
          <w:lang w:val="it-IT"/>
        </w:rPr>
        <w:t>Trocchio</w:t>
      </w:r>
      <w:proofErr w:type="spellEnd"/>
      <w:r>
        <w:rPr>
          <w:sz w:val="16"/>
          <w:szCs w:val="16"/>
          <w:lang w:val="it-IT"/>
        </w:rPr>
        <w:t xml:space="preserve">, </w:t>
      </w:r>
      <w:proofErr w:type="spellStart"/>
      <w:r>
        <w:rPr>
          <w:sz w:val="16"/>
          <w:szCs w:val="16"/>
          <w:lang w:val="it-IT"/>
        </w:rPr>
        <w:t>Cybersecurity</w:t>
      </w:r>
      <w:proofErr w:type="spellEnd"/>
      <w:r>
        <w:rPr>
          <w:sz w:val="16"/>
          <w:szCs w:val="16"/>
          <w:lang w:val="it-IT"/>
        </w:rPr>
        <w:t xml:space="preserve"> </w:t>
      </w:r>
      <w:proofErr w:type="spellStart"/>
      <w:proofErr w:type="gramStart"/>
      <w:r>
        <w:rPr>
          <w:sz w:val="16"/>
          <w:szCs w:val="16"/>
          <w:lang w:val="it-IT"/>
        </w:rPr>
        <w:t>a</w:t>
      </w:r>
      <w:r>
        <w:rPr>
          <w:sz w:val="16"/>
          <w:szCs w:val="16"/>
          <w:lang w:val="it-IT"/>
        </w:rPr>
        <w:t>t</w:t>
      </w:r>
      <w:proofErr w:type="spellEnd"/>
      <w:proofErr w:type="gramEnd"/>
      <w:r>
        <w:rPr>
          <w:sz w:val="16"/>
          <w:szCs w:val="16"/>
          <w:lang w:val="it-IT"/>
        </w:rPr>
        <w:t xml:space="preserve"> </w:t>
      </w:r>
      <w:proofErr w:type="spellStart"/>
      <w:r>
        <w:rPr>
          <w:sz w:val="16"/>
          <w:szCs w:val="16"/>
          <w:lang w:val="it-IT"/>
        </w:rPr>
        <w:t>European</w:t>
      </w:r>
      <w:proofErr w:type="spellEnd"/>
      <w:r>
        <w:rPr>
          <w:sz w:val="16"/>
          <w:szCs w:val="16"/>
          <w:lang w:val="it-IT"/>
        </w:rPr>
        <w:t xml:space="preserve"> </w:t>
      </w:r>
      <w:proofErr w:type="spellStart"/>
      <w:r>
        <w:rPr>
          <w:sz w:val="16"/>
          <w:szCs w:val="16"/>
          <w:lang w:val="it-IT"/>
        </w:rPr>
        <w:t>level</w:t>
      </w:r>
      <w:proofErr w:type="spellEnd"/>
      <w:r>
        <w:rPr>
          <w:sz w:val="16"/>
          <w:szCs w:val="16"/>
          <w:lang w:val="it-IT"/>
        </w:rPr>
        <w:t xml:space="preserve">: The </w:t>
      </w:r>
      <w:proofErr w:type="spellStart"/>
      <w:r>
        <w:rPr>
          <w:sz w:val="16"/>
          <w:szCs w:val="16"/>
          <w:lang w:val="it-IT"/>
        </w:rPr>
        <w:t>Role</w:t>
      </w:r>
      <w:proofErr w:type="spellEnd"/>
      <w:r>
        <w:rPr>
          <w:sz w:val="16"/>
          <w:szCs w:val="16"/>
          <w:lang w:val="it-IT"/>
        </w:rPr>
        <w:t xml:space="preserve"> of Information </w:t>
      </w:r>
      <w:proofErr w:type="spellStart"/>
      <w:r>
        <w:rPr>
          <w:sz w:val="16"/>
          <w:szCs w:val="16"/>
          <w:lang w:val="it-IT"/>
        </w:rPr>
        <w:t>Availability</w:t>
      </w:r>
      <w:proofErr w:type="spellEnd"/>
      <w:r>
        <w:rPr>
          <w:sz w:val="16"/>
          <w:szCs w:val="16"/>
          <w:lang w:val="it-IT"/>
        </w:rPr>
        <w:t>, Fondazione FORMIT, 2011</w:t>
      </w:r>
    </w:p>
  </w:footnote>
  <w:footnote w:id="74">
    <w:p w:rsidR="00913429" w:rsidRDefault="00E143F0">
      <w:pPr>
        <w:pStyle w:val="FootnoteText"/>
        <w:spacing w:after="0"/>
        <w:rPr>
          <w:lang w:val="it-IT"/>
        </w:rPr>
      </w:pPr>
      <w:r>
        <w:rPr>
          <w:rStyle w:val="FootnoteReference"/>
          <w:sz w:val="16"/>
        </w:rPr>
        <w:footnoteRef/>
      </w:r>
      <w:r>
        <w:rPr>
          <w:sz w:val="16"/>
          <w:lang w:val="it-IT"/>
        </w:rPr>
        <w:t xml:space="preserve"> http://www.telegraph.co.uk/technology/2017/02/27/cyber-attacks-against-financial-services-cost-consumers-8bn/</w:t>
      </w:r>
    </w:p>
  </w:footnote>
  <w:footnote w:id="75">
    <w:p w:rsidR="00913429" w:rsidRDefault="00E143F0">
      <w:pPr>
        <w:pStyle w:val="FootnoteText"/>
        <w:spacing w:after="0"/>
        <w:rPr>
          <w:sz w:val="16"/>
          <w:lang w:val="it-IT"/>
        </w:rPr>
      </w:pPr>
      <w:r>
        <w:rPr>
          <w:rStyle w:val="FootnoteReference"/>
          <w:sz w:val="16"/>
        </w:rPr>
        <w:footnoteRef/>
      </w:r>
      <w:r>
        <w:rPr>
          <w:sz w:val="16"/>
          <w:lang w:val="it-IT"/>
        </w:rPr>
        <w:t xml:space="preserve"> http://www.ameda.org.eg/files/gs-16-1-distributed-ledger-technology.pdf</w:t>
      </w:r>
    </w:p>
  </w:footnote>
  <w:footnote w:id="76">
    <w:p w:rsidR="00913429" w:rsidRDefault="00E143F0">
      <w:pPr>
        <w:pStyle w:val="FootnoteText"/>
        <w:spacing w:after="0"/>
        <w:rPr>
          <w:lang w:val="it-IT"/>
        </w:rPr>
      </w:pPr>
      <w:r>
        <w:rPr>
          <w:rStyle w:val="FootnoteReference"/>
          <w:sz w:val="16"/>
        </w:rPr>
        <w:footnoteRef/>
      </w:r>
      <w:r>
        <w:rPr>
          <w:sz w:val="16"/>
          <w:lang w:val="it-IT"/>
        </w:rPr>
        <w:t xml:space="preserve"> https://www.sans.org/reading-room/whitepapers/analyst/risk-loss-security-spending-financial-sector-survey-34690</w:t>
      </w:r>
    </w:p>
  </w:footnote>
  <w:footnote w:id="77">
    <w:p w:rsidR="00913429" w:rsidRDefault="00E143F0">
      <w:pPr>
        <w:pStyle w:val="FootnoteText"/>
        <w:spacing w:after="0"/>
        <w:rPr>
          <w:sz w:val="16"/>
          <w:lang w:val="it-IT"/>
        </w:rPr>
      </w:pPr>
      <w:r>
        <w:rPr>
          <w:rStyle w:val="FootnoteReference"/>
          <w:sz w:val="16"/>
        </w:rPr>
        <w:footnoteRef/>
      </w:r>
      <w:r>
        <w:rPr>
          <w:sz w:val="16"/>
          <w:lang w:val="it-IT"/>
        </w:rPr>
        <w:t xml:space="preserve"> https://www.enisa.europa.eu/publications/cyber-security-and-resilie</w:t>
      </w:r>
      <w:r>
        <w:rPr>
          <w:sz w:val="16"/>
          <w:lang w:val="it-IT"/>
        </w:rPr>
        <w:t>nce-for-smart-hospitals</w:t>
      </w:r>
    </w:p>
  </w:footnote>
  <w:footnote w:id="78">
    <w:p w:rsidR="00913429" w:rsidRDefault="00E143F0">
      <w:pPr>
        <w:pStyle w:val="FootnoteText"/>
        <w:spacing w:after="0"/>
        <w:rPr>
          <w:sz w:val="16"/>
          <w:lang w:val="it-IT"/>
        </w:rPr>
      </w:pPr>
      <w:r>
        <w:rPr>
          <w:rStyle w:val="FootnoteReference"/>
          <w:sz w:val="16"/>
        </w:rPr>
        <w:footnoteRef/>
      </w:r>
      <w:r>
        <w:rPr>
          <w:sz w:val="16"/>
          <w:lang w:val="it-IT"/>
        </w:rPr>
        <w:t xml:space="preserve"> https://www.enisa.europa.eu/publications/security-and-resilience-in-ehealth-infrastructures-and-services</w:t>
      </w:r>
    </w:p>
  </w:footnote>
  <w:footnote w:id="79">
    <w:p w:rsidR="00913429" w:rsidRDefault="00E143F0">
      <w:pPr>
        <w:pStyle w:val="FootnoteText"/>
        <w:spacing w:after="0"/>
        <w:rPr>
          <w:sz w:val="16"/>
          <w:lang w:val="it-IT"/>
        </w:rPr>
      </w:pPr>
      <w:r>
        <w:rPr>
          <w:rStyle w:val="FootnoteReference"/>
          <w:sz w:val="16"/>
        </w:rPr>
        <w:footnoteRef/>
      </w:r>
      <w:r>
        <w:rPr>
          <w:sz w:val="16"/>
          <w:lang w:val="it-IT"/>
        </w:rPr>
        <w:t xml:space="preserve"> https://www.enisa.europa.eu/publications/security-and-resilience-in-ehealth-infrastructures-and-services</w:t>
      </w:r>
    </w:p>
  </w:footnote>
  <w:footnote w:id="80">
    <w:p w:rsidR="00913429" w:rsidRDefault="00E143F0">
      <w:pPr>
        <w:pStyle w:val="FootnoteText"/>
        <w:spacing w:after="0"/>
        <w:rPr>
          <w:lang w:val="it-IT"/>
        </w:rPr>
      </w:pPr>
      <w:r>
        <w:rPr>
          <w:rStyle w:val="FootnoteReference"/>
          <w:sz w:val="16"/>
        </w:rPr>
        <w:footnoteRef/>
      </w:r>
      <w:r>
        <w:rPr>
          <w:sz w:val="16"/>
          <w:lang w:val="it-IT"/>
        </w:rPr>
        <w:t xml:space="preserve"> https://www.enis</w:t>
      </w:r>
      <w:r>
        <w:rPr>
          <w:sz w:val="16"/>
          <w:lang w:val="it-IT"/>
        </w:rPr>
        <w:t>a.europa.eu/publications/challenges-of-security-certification-in-emerging-ict-environments/</w:t>
      </w:r>
    </w:p>
  </w:footnote>
  <w:footnote w:id="81">
    <w:p w:rsidR="00913429" w:rsidRDefault="00E143F0">
      <w:pPr>
        <w:pStyle w:val="FootnoteText"/>
        <w:spacing w:after="0"/>
        <w:rPr>
          <w:lang w:val="it-IT"/>
        </w:rPr>
      </w:pPr>
      <w:r>
        <w:rPr>
          <w:rStyle w:val="FootnoteReference"/>
          <w:sz w:val="16"/>
        </w:rPr>
        <w:footnoteRef/>
      </w:r>
      <w:r>
        <w:rPr>
          <w:sz w:val="16"/>
          <w:lang w:val="it-IT"/>
        </w:rPr>
        <w:t xml:space="preserve"> https://assets.kpmg.com/content/dam/kpmg/pdf/2015/09/cyber-health-care-survey-kpmg-2015.pdf</w:t>
      </w:r>
    </w:p>
  </w:footnote>
  <w:footnote w:id="82">
    <w:p w:rsidR="00913429" w:rsidRDefault="00E143F0">
      <w:pPr>
        <w:pStyle w:val="FootnoteText"/>
        <w:spacing w:after="0"/>
        <w:rPr>
          <w:lang w:val="it-IT"/>
        </w:rPr>
      </w:pPr>
      <w:r>
        <w:rPr>
          <w:rStyle w:val="FootnoteReference"/>
          <w:sz w:val="16"/>
        </w:rPr>
        <w:footnoteRef/>
      </w:r>
      <w:r>
        <w:rPr>
          <w:sz w:val="16"/>
          <w:lang w:val="it-IT"/>
        </w:rPr>
        <w:t xml:space="preserve"> http://www.healthcareitnews.com/news/how-many-hacks-happen-every-min</w:t>
      </w:r>
      <w:r>
        <w:rPr>
          <w:sz w:val="16"/>
          <w:lang w:val="it-IT"/>
        </w:rPr>
        <w:t>ute-against-healthcare-more-700000-fortinet-says</w:t>
      </w:r>
    </w:p>
  </w:footnote>
  <w:footnote w:id="83">
    <w:p w:rsidR="00913429" w:rsidRDefault="00E143F0">
      <w:pPr>
        <w:pStyle w:val="FootnoteText"/>
        <w:spacing w:after="0"/>
        <w:rPr>
          <w:lang w:val="it-IT"/>
        </w:rPr>
      </w:pPr>
      <w:r>
        <w:rPr>
          <w:rStyle w:val="FootnoteReference"/>
          <w:sz w:val="16"/>
        </w:rPr>
        <w:footnoteRef/>
      </w:r>
      <w:r>
        <w:rPr>
          <w:sz w:val="16"/>
          <w:lang w:val="it-IT"/>
        </w:rPr>
        <w:t xml:space="preserve"> https://www.cloudmask.com/blog/the-cost-of-data-security-are-cybersecurity-investments-worth-it</w:t>
      </w:r>
    </w:p>
  </w:footnote>
  <w:footnote w:id="84">
    <w:p w:rsidR="00913429" w:rsidRDefault="00E143F0">
      <w:pPr>
        <w:pStyle w:val="FootnoteText"/>
        <w:rPr>
          <w:lang w:val="it-IT"/>
        </w:rPr>
      </w:pPr>
      <w:r>
        <w:rPr>
          <w:rStyle w:val="FootnoteReference"/>
          <w:sz w:val="16"/>
        </w:rPr>
        <w:footnoteRef/>
      </w:r>
      <w:r>
        <w:rPr>
          <w:sz w:val="16"/>
          <w:lang w:val="it-IT"/>
        </w:rPr>
        <w:t xml:space="preserve"> https://www.enisa.europa.eu/publications/cyber-security-and-resilience-for-smart-hospitals</w:t>
      </w:r>
    </w:p>
  </w:footnote>
  <w:footnote w:id="85">
    <w:p w:rsidR="00913429" w:rsidRDefault="00E143F0">
      <w:pPr>
        <w:pStyle w:val="FootnoteText"/>
        <w:spacing w:after="0"/>
        <w:rPr>
          <w:lang w:val="it-IT"/>
        </w:rPr>
      </w:pPr>
      <w:r>
        <w:rPr>
          <w:rStyle w:val="FootnoteReference"/>
        </w:rPr>
        <w:footnoteRef/>
      </w:r>
      <w:r>
        <w:rPr>
          <w:lang w:val="it-IT"/>
        </w:rPr>
        <w:t xml:space="preserve"> https://www.en</w:t>
      </w:r>
      <w:r>
        <w:rPr>
          <w:lang w:val="it-IT"/>
        </w:rPr>
        <w:t>isa.europa.eu/publications/articles/standards-for-cyber-security</w:t>
      </w:r>
    </w:p>
  </w:footnote>
  <w:footnote w:id="86">
    <w:p w:rsidR="00913429" w:rsidRDefault="00E143F0">
      <w:pPr>
        <w:pStyle w:val="FootnoteText"/>
        <w:spacing w:after="0"/>
        <w:rPr>
          <w:lang w:val="it-IT"/>
        </w:rPr>
      </w:pPr>
      <w:r>
        <w:rPr>
          <w:rStyle w:val="FootnoteReference"/>
        </w:rPr>
        <w:footnoteRef/>
      </w:r>
      <w:r>
        <w:rPr>
          <w:lang w:val="it-IT"/>
        </w:rPr>
        <w:t xml:space="preserve"> https://www.enisa.europa.eu/publications/challenges-of-security-certification-in-emerging-ict-environments/</w:t>
      </w:r>
    </w:p>
  </w:footnote>
  <w:footnote w:id="87">
    <w:p w:rsidR="00913429" w:rsidRDefault="00E143F0">
      <w:pPr>
        <w:pStyle w:val="FootnoteText"/>
        <w:spacing w:after="0"/>
        <w:rPr>
          <w:lang w:val="it-IT"/>
        </w:rPr>
      </w:pPr>
      <w:r>
        <w:rPr>
          <w:rStyle w:val="FootnoteReference"/>
        </w:rPr>
        <w:footnoteRef/>
      </w:r>
      <w:r>
        <w:rPr>
          <w:lang w:val="it-IT"/>
        </w:rPr>
        <w:t xml:space="preserve"> https://www.cybersecurityraad.nl/binaries/Report%20European%20Foresight%20Cyber</w:t>
      </w:r>
      <w:r>
        <w:rPr>
          <w:lang w:val="it-IT"/>
        </w:rPr>
        <w:t>%20Security%202016_tcm56-102235.pdf</w:t>
      </w:r>
    </w:p>
  </w:footnote>
  <w:footnote w:id="88">
    <w:p w:rsidR="00913429" w:rsidRDefault="00E143F0">
      <w:pPr>
        <w:pStyle w:val="FootnoteText"/>
        <w:spacing w:after="0"/>
        <w:rPr>
          <w:lang w:val="it-IT"/>
        </w:rPr>
      </w:pPr>
      <w:r>
        <w:rPr>
          <w:rStyle w:val="FootnoteReference"/>
        </w:rPr>
        <w:footnoteRef/>
      </w:r>
      <w:r>
        <w:rPr>
          <w:lang w:val="it-IT"/>
        </w:rPr>
        <w:t xml:space="preserve"> http://www.europarl.europa.eu/RegData/etudes/STUD/2016/587333/IPOL_STU</w:t>
      </w:r>
      <w:proofErr w:type="gramStart"/>
      <w:r>
        <w:rPr>
          <w:lang w:val="it-IT"/>
        </w:rPr>
        <w:t>(</w:t>
      </w:r>
      <w:proofErr w:type="gramEnd"/>
      <w:r>
        <w:rPr>
          <w:lang w:val="it-IT"/>
        </w:rPr>
        <w:t>2016)587333_EN.pdf</w:t>
      </w:r>
    </w:p>
  </w:footnote>
  <w:footnote w:id="89">
    <w:p w:rsidR="00913429" w:rsidRDefault="00E143F0">
      <w:pPr>
        <w:pStyle w:val="FootnoteText"/>
        <w:spacing w:after="0"/>
        <w:rPr>
          <w:lang w:val="it-IT"/>
        </w:rPr>
      </w:pPr>
      <w:r>
        <w:rPr>
          <w:rStyle w:val="FootnoteReference"/>
        </w:rPr>
        <w:footnoteRef/>
      </w:r>
      <w:r>
        <w:rPr>
          <w:lang w:val="it-IT"/>
        </w:rPr>
        <w:t xml:space="preserve"> https://</w:t>
      </w:r>
      <w:proofErr w:type="gramStart"/>
      <w:r>
        <w:rPr>
          <w:lang w:val="it-IT"/>
        </w:rPr>
        <w:t>ec.europa.eu</w:t>
      </w:r>
      <w:proofErr w:type="gramEnd"/>
      <w:r>
        <w:rPr>
          <w:lang w:val="it-IT"/>
        </w:rPr>
        <w:t>/energy/sites/ener/files/documents/eecsp_report_final.pdf</w:t>
      </w:r>
    </w:p>
  </w:footnote>
  <w:footnote w:id="90">
    <w:p w:rsidR="00913429" w:rsidRDefault="00E143F0">
      <w:pPr>
        <w:pStyle w:val="FootnoteText"/>
        <w:spacing w:after="0"/>
        <w:rPr>
          <w:lang w:val="it-IT"/>
        </w:rPr>
      </w:pPr>
      <w:r>
        <w:rPr>
          <w:rStyle w:val="FootnoteReference"/>
        </w:rPr>
        <w:footnoteRef/>
      </w:r>
      <w:r>
        <w:rPr>
          <w:lang w:val="it-IT"/>
        </w:rPr>
        <w:t xml:space="preserve"> https://</w:t>
      </w:r>
      <w:proofErr w:type="gramStart"/>
      <w:r>
        <w:rPr>
          <w:lang w:val="it-IT"/>
        </w:rPr>
        <w:t>ec.europa.eu</w:t>
      </w:r>
      <w:proofErr w:type="gramEnd"/>
      <w:r>
        <w:rPr>
          <w:lang w:val="it-IT"/>
        </w:rPr>
        <w:t>/energy/sites/ener/files/d</w:t>
      </w:r>
      <w:r>
        <w:rPr>
          <w:lang w:val="it-IT"/>
        </w:rPr>
        <w:t>ocuments/eecsp_report_final.pdf</w:t>
      </w:r>
    </w:p>
  </w:footnote>
  <w:footnote w:id="91">
    <w:p w:rsidR="00913429" w:rsidRDefault="00E143F0">
      <w:pPr>
        <w:pStyle w:val="FootnoteText"/>
        <w:spacing w:after="0"/>
        <w:rPr>
          <w:lang w:val="it-IT"/>
        </w:rPr>
      </w:pPr>
      <w:r>
        <w:rPr>
          <w:rStyle w:val="FootnoteReference"/>
        </w:rPr>
        <w:footnoteRef/>
      </w:r>
      <w:r>
        <w:rPr>
          <w:lang w:val="it-IT"/>
        </w:rPr>
        <w:t xml:space="preserve"> https://www.enisa.europa.eu/publications/challenges-of-security-certification-in-emerging-ict-environments/</w:t>
      </w:r>
    </w:p>
  </w:footnote>
  <w:footnote w:id="92">
    <w:p w:rsidR="00913429" w:rsidRDefault="00E143F0">
      <w:pPr>
        <w:pStyle w:val="FootnoteText"/>
        <w:spacing w:after="0"/>
        <w:rPr>
          <w:lang w:val="it-IT"/>
        </w:rPr>
      </w:pPr>
      <w:r>
        <w:rPr>
          <w:rStyle w:val="FootnoteReference"/>
        </w:rPr>
        <w:footnoteRef/>
      </w:r>
      <w:r>
        <w:rPr>
          <w:lang w:val="it-IT"/>
        </w:rPr>
        <w:t xml:space="preserve"> https://</w:t>
      </w:r>
      <w:proofErr w:type="gramStart"/>
      <w:r>
        <w:rPr>
          <w:lang w:val="it-IT"/>
        </w:rPr>
        <w:t>ec.europa.eu</w:t>
      </w:r>
      <w:proofErr w:type="gramEnd"/>
      <w:r>
        <w:rPr>
          <w:lang w:val="it-IT"/>
        </w:rPr>
        <w:t>/energy/sites/ener/files/documents/eecsp_report_final.pdf</w:t>
      </w:r>
    </w:p>
  </w:footnote>
  <w:footnote w:id="93">
    <w:p w:rsidR="00913429" w:rsidRDefault="00E143F0">
      <w:pPr>
        <w:pStyle w:val="FootnoteText"/>
        <w:spacing w:after="0"/>
        <w:rPr>
          <w:lang w:val="it-IT"/>
        </w:rPr>
      </w:pPr>
      <w:r>
        <w:rPr>
          <w:rStyle w:val="FootnoteReference"/>
        </w:rPr>
        <w:footnoteRef/>
      </w:r>
      <w:r>
        <w:rPr>
          <w:lang w:val="it-IT"/>
        </w:rPr>
        <w:t>http://www.europarl.europa.eu/RegData/etudes/STUD/2016/587333/IPOL_STU</w:t>
      </w:r>
      <w:proofErr w:type="gramStart"/>
      <w:r>
        <w:rPr>
          <w:lang w:val="it-IT"/>
        </w:rPr>
        <w:t>(</w:t>
      </w:r>
      <w:proofErr w:type="gramEnd"/>
      <w:r>
        <w:rPr>
          <w:lang w:val="it-IT"/>
        </w:rPr>
        <w:t>2016)587333_EN.pdf</w:t>
      </w:r>
    </w:p>
  </w:footnote>
  <w:footnote w:id="94">
    <w:p w:rsidR="00913429" w:rsidRDefault="00E143F0">
      <w:pPr>
        <w:pStyle w:val="FootnoteText"/>
        <w:spacing w:after="0"/>
        <w:rPr>
          <w:lang w:val="it-IT"/>
        </w:rPr>
      </w:pPr>
      <w:r>
        <w:rPr>
          <w:rStyle w:val="FootnoteReference"/>
        </w:rPr>
        <w:footnoteRef/>
      </w:r>
      <w:r>
        <w:rPr>
          <w:lang w:val="it-IT"/>
        </w:rPr>
        <w:t xml:space="preserve"> https://www.enisa.europa.eu/publications/challenges-of-security-certification-in-emerging-ict-environments/</w:t>
      </w:r>
    </w:p>
  </w:footnote>
  <w:footnote w:id="95">
    <w:p w:rsidR="00913429" w:rsidRDefault="00E143F0">
      <w:pPr>
        <w:pStyle w:val="FootnoteText"/>
        <w:spacing w:after="0"/>
        <w:rPr>
          <w:lang w:val="it-IT"/>
        </w:rPr>
      </w:pPr>
      <w:r>
        <w:rPr>
          <w:rStyle w:val="FootnoteReference"/>
        </w:rPr>
        <w:footnoteRef/>
      </w:r>
      <w:r>
        <w:rPr>
          <w:lang w:val="it-IT"/>
        </w:rPr>
        <w:t xml:space="preserve"> https://</w:t>
      </w:r>
      <w:proofErr w:type="gramStart"/>
      <w:r>
        <w:rPr>
          <w:lang w:val="it-IT"/>
        </w:rPr>
        <w:t>ec.europa.eu</w:t>
      </w:r>
      <w:proofErr w:type="gramEnd"/>
      <w:r>
        <w:rPr>
          <w:lang w:val="it-IT"/>
        </w:rPr>
        <w:t>/energy/sites/ener/files/documents</w:t>
      </w:r>
      <w:r>
        <w:rPr>
          <w:lang w:val="it-IT"/>
        </w:rPr>
        <w:t>/eecsp_report_final.pdf</w:t>
      </w:r>
    </w:p>
  </w:footnote>
  <w:footnote w:id="96">
    <w:p w:rsidR="00913429" w:rsidRDefault="00E143F0">
      <w:pPr>
        <w:pStyle w:val="FootnoteText"/>
        <w:rPr>
          <w:lang w:val="it-IT"/>
        </w:rPr>
      </w:pPr>
      <w:r>
        <w:rPr>
          <w:rStyle w:val="FootnoteReference"/>
        </w:rPr>
        <w:footnoteRef/>
      </w:r>
      <w:r>
        <w:rPr>
          <w:lang w:val="it-IT"/>
        </w:rPr>
        <w:t xml:space="preserve"> https://www.enisa.europa.eu/publications/good-practices-recommendations</w:t>
      </w:r>
    </w:p>
  </w:footnote>
  <w:footnote w:id="97">
    <w:p w:rsidR="00913429" w:rsidRDefault="00E143F0">
      <w:pPr>
        <w:pStyle w:val="FootnoteText"/>
        <w:spacing w:after="0"/>
        <w:rPr>
          <w:lang w:val="it-IT"/>
        </w:rPr>
      </w:pPr>
      <w:r>
        <w:rPr>
          <w:rStyle w:val="FootnoteReference"/>
        </w:rPr>
        <w:footnoteRef/>
      </w:r>
      <w:r>
        <w:rPr>
          <w:lang w:val="it-IT"/>
        </w:rPr>
        <w:t xml:space="preserve"> https://ec.europa.eu/digital-single-market/en/news/smart-cities-and-communities-european-innovation-partnership-communication-commission-c2012</w:t>
      </w:r>
    </w:p>
  </w:footnote>
  <w:footnote w:id="98">
    <w:p w:rsidR="00913429" w:rsidRDefault="00E143F0">
      <w:pPr>
        <w:pStyle w:val="FootnoteText"/>
        <w:spacing w:after="0"/>
        <w:rPr>
          <w:lang w:val="en-US"/>
        </w:rPr>
      </w:pPr>
      <w:r>
        <w:rPr>
          <w:rStyle w:val="FootnoteReference"/>
        </w:rPr>
        <w:footnoteRef/>
      </w:r>
      <w:r>
        <w:rPr>
          <w:lang w:val="en-US"/>
        </w:rPr>
        <w:t xml:space="preserve"> </w:t>
      </w:r>
      <w:r>
        <w:t xml:space="preserve">ENISA, </w:t>
      </w:r>
      <w:r>
        <w:rPr>
          <w:i/>
          <w:lang w:val="en-US"/>
        </w:rPr>
        <w:t>Chal</w:t>
      </w:r>
      <w:r>
        <w:rPr>
          <w:i/>
          <w:lang w:val="en-US"/>
        </w:rPr>
        <w:t>lenges of security certification in emerging ICT environments</w:t>
      </w:r>
      <w:r>
        <w:rPr>
          <w:i/>
        </w:rPr>
        <w:t xml:space="preserve">, </w:t>
      </w:r>
      <w:r>
        <w:t>December 2016</w:t>
      </w:r>
    </w:p>
  </w:footnote>
  <w:footnote w:id="99">
    <w:p w:rsidR="00913429" w:rsidRDefault="00E143F0">
      <w:pPr>
        <w:pStyle w:val="FootnoteText"/>
        <w:spacing w:after="0"/>
        <w:rPr>
          <w:lang w:val="en-US"/>
        </w:rPr>
      </w:pPr>
      <w:r>
        <w:rPr>
          <w:rStyle w:val="FootnoteReference"/>
        </w:rPr>
        <w:footnoteRef/>
      </w:r>
      <w:r>
        <w:rPr>
          <w:lang w:val="en-US"/>
        </w:rPr>
        <w:t xml:space="preserve"> https://www.enisa.europa.eu/publications/good-practices-recommendations</w:t>
      </w:r>
    </w:p>
  </w:footnote>
  <w:footnote w:id="100">
    <w:p w:rsidR="00913429" w:rsidRDefault="00E143F0">
      <w:pPr>
        <w:pStyle w:val="FootnoteText"/>
        <w:spacing w:after="0"/>
        <w:rPr>
          <w:lang w:val="en-US"/>
        </w:rPr>
      </w:pPr>
      <w:r>
        <w:rPr>
          <w:rStyle w:val="FootnoteReference"/>
        </w:rPr>
        <w:footnoteRef/>
      </w:r>
      <w:r>
        <w:rPr>
          <w:lang w:val="en-US"/>
        </w:rPr>
        <w:t xml:space="preserve"> https://tokenex.com/fintech-solving-problems-finance-introducing-risk-part-2-3/</w:t>
      </w:r>
    </w:p>
  </w:footnote>
  <w:footnote w:id="101">
    <w:p w:rsidR="00913429" w:rsidRDefault="00E143F0">
      <w:pPr>
        <w:pStyle w:val="FootnoteText"/>
        <w:spacing w:after="0"/>
        <w:rPr>
          <w:lang w:val="en-US"/>
        </w:rPr>
      </w:pPr>
      <w:r>
        <w:rPr>
          <w:rStyle w:val="FootnoteReference"/>
        </w:rPr>
        <w:footnoteRef/>
      </w:r>
      <w:r>
        <w:rPr>
          <w:lang w:val="en-US"/>
        </w:rPr>
        <w:t xml:space="preserve"> http://www.ebf.eu/wp-content/uploads/2017/06/EBF_026943-Fintech-consultation_EBF-response_15.06.2017.pdf</w:t>
      </w:r>
    </w:p>
  </w:footnote>
  <w:footnote w:id="102">
    <w:p w:rsidR="00913429" w:rsidRDefault="00E143F0">
      <w:pPr>
        <w:pStyle w:val="FootnoteText"/>
        <w:spacing w:after="0"/>
        <w:rPr>
          <w:lang w:val="en-US"/>
        </w:rPr>
      </w:pPr>
      <w:r>
        <w:rPr>
          <w:rStyle w:val="FootnoteReference"/>
        </w:rPr>
        <w:footnoteRef/>
      </w:r>
      <w:r>
        <w:rPr>
          <w:lang w:val="en-US"/>
        </w:rPr>
        <w:t xml:space="preserve"> http://www.cisco.com/c/dam/assets/docs/transportation-security.pdf</w:t>
      </w:r>
    </w:p>
  </w:footnote>
  <w:footnote w:id="103">
    <w:p w:rsidR="00913429" w:rsidRDefault="00E143F0">
      <w:pPr>
        <w:pStyle w:val="FootnoteText"/>
        <w:spacing w:after="0"/>
        <w:rPr>
          <w:lang w:val="en-US"/>
        </w:rPr>
      </w:pPr>
      <w:r>
        <w:rPr>
          <w:rStyle w:val="FootnoteReference"/>
        </w:rPr>
        <w:footnoteRef/>
      </w:r>
      <w:r>
        <w:rPr>
          <w:lang w:val="en-US"/>
        </w:rPr>
        <w:t xml:space="preserve"> https://www.ncbi.nlm.nih.gov/pmc/articles/PMC4516335/</w:t>
      </w:r>
    </w:p>
  </w:footnote>
  <w:footnote w:id="104">
    <w:p w:rsidR="00913429" w:rsidRDefault="00E143F0">
      <w:pPr>
        <w:pStyle w:val="FootnoteText"/>
        <w:spacing w:after="0"/>
        <w:rPr>
          <w:lang w:val="en-US"/>
        </w:rPr>
      </w:pPr>
      <w:r>
        <w:rPr>
          <w:rStyle w:val="FootnoteReference"/>
        </w:rPr>
        <w:footnoteRef/>
      </w:r>
      <w:r>
        <w:rPr>
          <w:lang w:val="en-US"/>
        </w:rPr>
        <w:t xml:space="preserve"> https://www.nsslabs.com</w:t>
      </w:r>
      <w:r>
        <w:rPr>
          <w:lang w:val="en-US"/>
        </w:rPr>
        <w:t>/company/news/media-resources/iot-insecurity-pinpointing-the-problems/</w:t>
      </w:r>
    </w:p>
  </w:footnote>
  <w:footnote w:id="105">
    <w:p w:rsidR="00913429" w:rsidRDefault="00E143F0">
      <w:pPr>
        <w:pStyle w:val="FootnoteText"/>
        <w:spacing w:after="0"/>
        <w:rPr>
          <w:lang w:val="en-US"/>
        </w:rPr>
      </w:pPr>
      <w:r>
        <w:rPr>
          <w:rStyle w:val="FootnoteReference"/>
        </w:rPr>
        <w:footnoteRef/>
      </w:r>
      <w:r>
        <w:rPr>
          <w:lang w:val="en-US"/>
        </w:rPr>
        <w:t xml:space="preserve"> https://www.ncbi.nlm.nih.gov/pmc/articles/PMC4516335/</w:t>
      </w:r>
    </w:p>
  </w:footnote>
  <w:footnote w:id="106">
    <w:p w:rsidR="00913429" w:rsidRDefault="00E143F0">
      <w:pPr>
        <w:pStyle w:val="FootnoteText"/>
        <w:spacing w:after="0"/>
        <w:rPr>
          <w:lang w:val="en-US"/>
        </w:rPr>
      </w:pPr>
      <w:r>
        <w:rPr>
          <w:rStyle w:val="FootnoteReference"/>
        </w:rPr>
        <w:footnoteRef/>
      </w:r>
      <w:r>
        <w:rPr>
          <w:lang w:val="en-US"/>
        </w:rPr>
        <w:t xml:space="preserve"> http://ec.europa.eu/health//sites/health/files/ehealth/docs/laws_report_recommendations_en.pdf</w:t>
      </w:r>
    </w:p>
  </w:footnote>
  <w:footnote w:id="107">
    <w:p w:rsidR="00913429" w:rsidRDefault="00E143F0">
      <w:pPr>
        <w:pStyle w:val="FootnoteText"/>
        <w:spacing w:after="0"/>
        <w:rPr>
          <w:lang w:val="en-US"/>
        </w:rPr>
      </w:pPr>
      <w:r>
        <w:rPr>
          <w:rStyle w:val="FootnoteReference"/>
        </w:rPr>
        <w:footnoteRef/>
      </w:r>
      <w:r>
        <w:t xml:space="preserve"> </w:t>
      </w:r>
      <w:proofErr w:type="gramStart"/>
      <w:r>
        <w:rPr>
          <w:szCs w:val="18"/>
        </w:rPr>
        <w:t>Among peer-reviewed journal ar</w:t>
      </w:r>
      <w:r>
        <w:rPr>
          <w:szCs w:val="18"/>
        </w:rPr>
        <w:t xml:space="preserve">ticles see: </w:t>
      </w:r>
      <w:proofErr w:type="spellStart"/>
      <w:r>
        <w:rPr>
          <w:szCs w:val="18"/>
        </w:rPr>
        <w:t>Acemoglu</w:t>
      </w:r>
      <w:proofErr w:type="spellEnd"/>
      <w:r>
        <w:rPr>
          <w:szCs w:val="18"/>
        </w:rPr>
        <w:t xml:space="preserve">, D., G. </w:t>
      </w:r>
      <w:proofErr w:type="spellStart"/>
      <w:r>
        <w:rPr>
          <w:szCs w:val="18"/>
        </w:rPr>
        <w:t>Gancia</w:t>
      </w:r>
      <w:proofErr w:type="spellEnd"/>
      <w:r>
        <w:rPr>
          <w:szCs w:val="18"/>
        </w:rPr>
        <w:t xml:space="preserve"> and F. </w:t>
      </w:r>
      <w:proofErr w:type="spellStart"/>
      <w:r>
        <w:rPr>
          <w:szCs w:val="18"/>
        </w:rPr>
        <w:t>Zilibotti</w:t>
      </w:r>
      <w:proofErr w:type="spellEnd"/>
      <w:r>
        <w:rPr>
          <w:szCs w:val="18"/>
        </w:rPr>
        <w:t xml:space="preserve"> (2012), ‘Competing Engines of Growth: Innovation and Standardization,’ Journal of Economic Theory, 147, 570–601;Blind, K. and A. </w:t>
      </w:r>
      <w:proofErr w:type="spellStart"/>
      <w:r>
        <w:rPr>
          <w:szCs w:val="18"/>
        </w:rPr>
        <w:t>Jungmittag</w:t>
      </w:r>
      <w:proofErr w:type="spellEnd"/>
      <w:r>
        <w:rPr>
          <w:szCs w:val="18"/>
        </w:rPr>
        <w:t xml:space="preserve"> (2008), ‘The Impact of Patents and Standards on Macroeconomic G</w:t>
      </w:r>
      <w:r>
        <w:rPr>
          <w:szCs w:val="18"/>
        </w:rPr>
        <w:t xml:space="preserve">rowth: A Panel Approach Covering Four Countries and 12 Sectors,’ Journal of Productivity Analysis, 29, 51–60; </w:t>
      </w:r>
      <w:proofErr w:type="spellStart"/>
      <w:r>
        <w:rPr>
          <w:szCs w:val="18"/>
        </w:rPr>
        <w:t>Jungmittag</w:t>
      </w:r>
      <w:proofErr w:type="spellEnd"/>
      <w:r>
        <w:rPr>
          <w:szCs w:val="18"/>
        </w:rPr>
        <w:t xml:space="preserve">, A., K. Blind and H. </w:t>
      </w:r>
      <w:proofErr w:type="spellStart"/>
      <w:r>
        <w:rPr>
          <w:szCs w:val="18"/>
        </w:rPr>
        <w:t>Grupp</w:t>
      </w:r>
      <w:proofErr w:type="spellEnd"/>
      <w:r>
        <w:rPr>
          <w:szCs w:val="18"/>
        </w:rPr>
        <w:t xml:space="preserve"> (1999), ‘Innovation, Standardisation and the Long-term Production Function,’ </w:t>
      </w:r>
      <w:proofErr w:type="spellStart"/>
      <w:r>
        <w:rPr>
          <w:szCs w:val="18"/>
        </w:rPr>
        <w:t>Zeitschrift</w:t>
      </w:r>
      <w:proofErr w:type="spellEnd"/>
      <w:r>
        <w:rPr>
          <w:szCs w:val="18"/>
        </w:rPr>
        <w:t xml:space="preserve"> </w:t>
      </w:r>
      <w:proofErr w:type="spellStart"/>
      <w:r>
        <w:rPr>
          <w:szCs w:val="18"/>
        </w:rPr>
        <w:t>für</w:t>
      </w:r>
      <w:proofErr w:type="spellEnd"/>
      <w:r>
        <w:rPr>
          <w:szCs w:val="18"/>
        </w:rPr>
        <w:t xml:space="preserve"> </w:t>
      </w:r>
      <w:proofErr w:type="spellStart"/>
      <w:r>
        <w:rPr>
          <w:szCs w:val="18"/>
        </w:rPr>
        <w:t>Wirtschafts</w:t>
      </w:r>
      <w:proofErr w:type="spellEnd"/>
      <w:r>
        <w:rPr>
          <w:szCs w:val="18"/>
        </w:rPr>
        <w:t>- un</w:t>
      </w:r>
      <w:r>
        <w:rPr>
          <w:szCs w:val="18"/>
        </w:rPr>
        <w:t xml:space="preserve">d </w:t>
      </w:r>
      <w:proofErr w:type="spellStart"/>
      <w:r>
        <w:rPr>
          <w:szCs w:val="18"/>
        </w:rPr>
        <w:t>Sozialwissenschaften</w:t>
      </w:r>
      <w:proofErr w:type="spellEnd"/>
      <w:r>
        <w:rPr>
          <w:szCs w:val="18"/>
        </w:rPr>
        <w:t xml:space="preserve">, 119, 205–222; </w:t>
      </w:r>
      <w:proofErr w:type="spellStart"/>
      <w:r>
        <w:rPr>
          <w:szCs w:val="18"/>
        </w:rPr>
        <w:t>Wakke</w:t>
      </w:r>
      <w:proofErr w:type="spellEnd"/>
      <w:r>
        <w:rPr>
          <w:szCs w:val="18"/>
        </w:rPr>
        <w:t>, P., Blind, K.; Ramel, F.</w:t>
      </w:r>
      <w:proofErr w:type="gramEnd"/>
      <w:r>
        <w:rPr>
          <w:szCs w:val="18"/>
        </w:rPr>
        <w:t xml:space="preserve">  </w:t>
      </w:r>
      <w:proofErr w:type="gramStart"/>
      <w:r>
        <w:rPr>
          <w:szCs w:val="18"/>
        </w:rPr>
        <w:t xml:space="preserve">(2016): The impact of participation within formal standardization on firm performance, Journal of Productivity Analysis 45 (Issue 3), 317–330; </w:t>
      </w:r>
      <w:proofErr w:type="spellStart"/>
      <w:r>
        <w:rPr>
          <w:szCs w:val="18"/>
        </w:rPr>
        <w:t>Wijen</w:t>
      </w:r>
      <w:proofErr w:type="spellEnd"/>
      <w:r>
        <w:rPr>
          <w:szCs w:val="18"/>
        </w:rPr>
        <w:t>, F.H. (2014).</w:t>
      </w:r>
      <w:proofErr w:type="gramEnd"/>
      <w:r>
        <w:rPr>
          <w:szCs w:val="18"/>
        </w:rPr>
        <w:t xml:space="preserve"> Means versus ends in o</w:t>
      </w:r>
      <w:r>
        <w:rPr>
          <w:szCs w:val="18"/>
        </w:rPr>
        <w:t xml:space="preserve">paque institutional fields: Trading off compliance and achievement in sustainability standard adoption. Academy of Management Review, 39 (3), 302-323.Swann, P. (2010), International Standards and Trade: A Review of the Empirical Literature. Report for the </w:t>
      </w:r>
      <w:r>
        <w:rPr>
          <w:szCs w:val="18"/>
        </w:rPr>
        <w:t xml:space="preserve">UK Department of Business, Innovation and Skills (BIS). </w:t>
      </w:r>
      <w:proofErr w:type="gramStart"/>
      <w:r>
        <w:rPr>
          <w:szCs w:val="18"/>
        </w:rPr>
        <w:t>OECD Trade Policy Working Papers.</w:t>
      </w:r>
      <w:proofErr w:type="gramEnd"/>
      <w:r>
        <w:rPr>
          <w:szCs w:val="18"/>
        </w:rPr>
        <w:t xml:space="preserve"> Among reports commissioned by </w:t>
      </w:r>
      <w:proofErr w:type="gramStart"/>
      <w:r>
        <w:rPr>
          <w:szCs w:val="18"/>
        </w:rPr>
        <w:t>standardization</w:t>
      </w:r>
      <w:proofErr w:type="gramEnd"/>
      <w:r>
        <w:rPr>
          <w:szCs w:val="18"/>
        </w:rPr>
        <w:t xml:space="preserve"> bodies see: SCC (2007). </w:t>
      </w:r>
      <w:proofErr w:type="gramStart"/>
      <w:r>
        <w:rPr>
          <w:szCs w:val="18"/>
        </w:rPr>
        <w:t>Economic Value of standardisation; AFNOR (2009).</w:t>
      </w:r>
      <w:proofErr w:type="gramEnd"/>
      <w:r>
        <w:rPr>
          <w:szCs w:val="18"/>
        </w:rPr>
        <w:t xml:space="preserve"> </w:t>
      </w:r>
      <w:proofErr w:type="gramStart"/>
      <w:r>
        <w:rPr>
          <w:szCs w:val="18"/>
        </w:rPr>
        <w:t>The Economic Impact of standardisation; DIN (20</w:t>
      </w:r>
      <w:r>
        <w:rPr>
          <w:szCs w:val="18"/>
        </w:rPr>
        <w:t>11).</w:t>
      </w:r>
      <w:proofErr w:type="gramEnd"/>
      <w:r>
        <w:rPr>
          <w:szCs w:val="18"/>
        </w:rPr>
        <w:t xml:space="preserve"> </w:t>
      </w:r>
      <w:proofErr w:type="gramStart"/>
      <w:r>
        <w:rPr>
          <w:szCs w:val="18"/>
        </w:rPr>
        <w:t>The Economic Benefits of standardisation; Standards Australia (2012).</w:t>
      </w:r>
      <w:proofErr w:type="gramEnd"/>
      <w:r>
        <w:rPr>
          <w:szCs w:val="18"/>
        </w:rPr>
        <w:t xml:space="preserve"> </w:t>
      </w:r>
      <w:proofErr w:type="gramStart"/>
      <w:r>
        <w:rPr>
          <w:szCs w:val="18"/>
        </w:rPr>
        <w:t xml:space="preserve">The Economic Benefits of standardisation; </w:t>
      </w:r>
      <w:proofErr w:type="spellStart"/>
      <w:r>
        <w:rPr>
          <w:szCs w:val="18"/>
        </w:rPr>
        <w:t>Cebr</w:t>
      </w:r>
      <w:proofErr w:type="spellEnd"/>
      <w:r>
        <w:rPr>
          <w:szCs w:val="18"/>
        </w:rPr>
        <w:t xml:space="preserve"> (2015).</w:t>
      </w:r>
      <w:proofErr w:type="gramEnd"/>
      <w:r>
        <w:rPr>
          <w:szCs w:val="18"/>
        </w:rPr>
        <w:t xml:space="preserve"> </w:t>
      </w:r>
      <w:proofErr w:type="gramStart"/>
      <w:r>
        <w:rPr>
          <w:szCs w:val="18"/>
        </w:rPr>
        <w:t xml:space="preserve">The Economic Contribution of standards to the UK Economy; </w:t>
      </w:r>
      <w:proofErr w:type="spellStart"/>
      <w:r>
        <w:rPr>
          <w:szCs w:val="18"/>
        </w:rPr>
        <w:t>Cebr</w:t>
      </w:r>
      <w:proofErr w:type="spellEnd"/>
      <w:r>
        <w:rPr>
          <w:szCs w:val="18"/>
        </w:rPr>
        <w:t xml:space="preserve"> (2016).</w:t>
      </w:r>
      <w:proofErr w:type="gramEnd"/>
      <w:r>
        <w:rPr>
          <w:szCs w:val="18"/>
        </w:rPr>
        <w:t xml:space="preserve"> </w:t>
      </w:r>
      <w:proofErr w:type="gramStart"/>
      <w:r>
        <w:rPr>
          <w:szCs w:val="18"/>
        </w:rPr>
        <w:t>Economic Contribution of Standards in Ireland – A repor</w:t>
      </w:r>
      <w:r>
        <w:rPr>
          <w:szCs w:val="18"/>
        </w:rPr>
        <w:t>t for the National Standards Authority of Ireland.</w:t>
      </w:r>
      <w:proofErr w:type="gramEnd"/>
    </w:p>
  </w:footnote>
  <w:footnote w:id="108">
    <w:p w:rsidR="00913429" w:rsidRDefault="00E143F0">
      <w:pPr>
        <w:pStyle w:val="FootnoteText"/>
        <w:spacing w:after="0"/>
        <w:rPr>
          <w:lang w:val="en-US"/>
        </w:rPr>
      </w:pPr>
      <w:r>
        <w:rPr>
          <w:rStyle w:val="FootnoteReference"/>
        </w:rPr>
        <w:footnoteRef/>
      </w:r>
      <w:r>
        <w:t xml:space="preserve"> </w:t>
      </w:r>
      <w:r>
        <w:rPr>
          <w:lang w:eastAsia="nl-NL"/>
        </w:rPr>
        <w:t xml:space="preserve">Blind, K., </w:t>
      </w:r>
      <w:proofErr w:type="spellStart"/>
      <w:r>
        <w:rPr>
          <w:lang w:eastAsia="nl-NL"/>
        </w:rPr>
        <w:t>Gauch</w:t>
      </w:r>
      <w:proofErr w:type="spellEnd"/>
      <w:r>
        <w:rPr>
          <w:lang w:eastAsia="nl-NL"/>
        </w:rPr>
        <w:t>, S. and Hawkins, R. (2010), ‘How stakeholders view the impacts of international ICT standards’, Telecommunications Policy, Elsevier, vol. 34(3)</w:t>
      </w:r>
    </w:p>
  </w:footnote>
  <w:footnote w:id="109">
    <w:p w:rsidR="00913429" w:rsidRDefault="00E143F0">
      <w:pPr>
        <w:pStyle w:val="FootnoteText"/>
        <w:spacing w:after="0"/>
      </w:pPr>
      <w:r>
        <w:rPr>
          <w:rStyle w:val="FootnoteReference"/>
        </w:rPr>
        <w:footnoteRef/>
      </w:r>
      <w:r>
        <w:t xml:space="preserve"> Brussels, 8.10.2015 SWD (2015) 202 final</w:t>
      </w:r>
      <w:r>
        <w:t>, accompanying the document Upgrading the Single Market: more opportunities for people and business (COM (2015) 550 final) {</w:t>
      </w:r>
      <w:proofErr w:type="gramStart"/>
      <w:r>
        <w:t>SWD(</w:t>
      </w:r>
      <w:proofErr w:type="gramEnd"/>
      <w:r>
        <w:t>2015) 203 final}).</w:t>
      </w:r>
    </w:p>
  </w:footnote>
  <w:footnote w:id="110">
    <w:p w:rsidR="00913429" w:rsidRDefault="00E143F0">
      <w:pPr>
        <w:pStyle w:val="FootnoteText"/>
        <w:spacing w:after="0"/>
        <w:rPr>
          <w:lang w:val="it-IT"/>
        </w:rPr>
      </w:pPr>
      <w:r>
        <w:rPr>
          <w:rStyle w:val="FootnoteReference"/>
        </w:rPr>
        <w:footnoteRef/>
      </w:r>
      <w:r>
        <w:t xml:space="preserve"> </w:t>
      </w:r>
      <w:proofErr w:type="spellStart"/>
      <w:proofErr w:type="gramStart"/>
      <w:r>
        <w:t>Ilzkovitz</w:t>
      </w:r>
      <w:proofErr w:type="spellEnd"/>
      <w:r>
        <w:t xml:space="preserve">, F. </w:t>
      </w:r>
      <w:proofErr w:type="spellStart"/>
      <w:r>
        <w:t>Dierx</w:t>
      </w:r>
      <w:proofErr w:type="spellEnd"/>
      <w:r>
        <w:t>, A. Kovacs, V. &amp; Sousa (2007) Steps towards a deeper economic integration: the internal</w:t>
      </w:r>
      <w:r>
        <w:t xml:space="preserve"> market in the 21st century“, European Economy, Economic Papers, No. 271.</w:t>
      </w:r>
      <w:proofErr w:type="gramEnd"/>
      <w:r>
        <w:t xml:space="preserve"> </w:t>
      </w:r>
      <w:proofErr w:type="gramStart"/>
      <w:r>
        <w:t>European Commission.</w:t>
      </w:r>
      <w:proofErr w:type="gramEnd"/>
      <w:r>
        <w:t xml:space="preserve"> </w:t>
      </w:r>
    </w:p>
  </w:footnote>
  <w:footnote w:id="111">
    <w:p w:rsidR="00913429" w:rsidRDefault="00E143F0">
      <w:pPr>
        <w:pStyle w:val="FootnoteText"/>
        <w:spacing w:after="0"/>
        <w:rPr>
          <w:lang w:val="it-IT"/>
        </w:rPr>
      </w:pPr>
      <w:r>
        <w:rPr>
          <w:rStyle w:val="FootnoteReference"/>
        </w:rPr>
        <w:footnoteRef/>
      </w:r>
      <w:r>
        <w:t xml:space="preserve"> </w:t>
      </w:r>
      <w:r>
        <w:rPr>
          <w:i/>
          <w:lang w:val="it-IT"/>
        </w:rPr>
        <w:t xml:space="preserve">Ibid. </w:t>
      </w:r>
      <w:r>
        <w:rPr>
          <w:lang w:val="it-IT"/>
        </w:rPr>
        <w:t xml:space="preserve">p. </w:t>
      </w:r>
      <w:proofErr w:type="gramStart"/>
      <w:r>
        <w:rPr>
          <w:lang w:val="it-IT"/>
        </w:rPr>
        <w:t>61</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F0" w:rsidRPr="00E143F0" w:rsidRDefault="00E143F0" w:rsidP="00E143F0">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429" w:rsidRDefault="00913429">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429" w:rsidRDefault="00E143F0">
    <w:pPr>
      <w:pStyle w:val="Header"/>
      <w:jc w:val="right"/>
      <w:rPr>
        <w:rFonts w:ascii="Georgia" w:hAnsi="Georgia"/>
        <w:bCs/>
        <w:iCs/>
        <w:szCs w:val="19"/>
      </w:rPr>
    </w:pPr>
    <w:r>
      <w:rPr>
        <w:rFonts w:ascii="Georgia" w:hAnsi="Georgia"/>
        <w:bCs/>
        <w:iCs/>
        <w:szCs w:val="19"/>
      </w:rPr>
      <w:t xml:space="preserve">Study on “ICT Security Certification and labelling – Evidence gathering and impact assessment” </w:t>
    </w:r>
  </w:p>
  <w:p w:rsidR="00913429" w:rsidRDefault="00E143F0">
    <w:pPr>
      <w:pStyle w:val="Header"/>
      <w:jc w:val="right"/>
      <w:rPr>
        <w:rFonts w:ascii="Georgia" w:hAnsi="Georgia"/>
        <w:szCs w:val="19"/>
      </w:rPr>
    </w:pPr>
    <w:r>
      <w:rPr>
        <w:rFonts w:ascii="Georgia" w:hAnsi="Georgia"/>
        <w:szCs w:val="19"/>
      </w:rPr>
      <w:t>Second Interim Report</w:t>
    </w:r>
  </w:p>
  <w:tbl>
    <w:tblPr>
      <w:tblpPr w:vertAnchor="page" w:horzAnchor="margin" w:tblpY="1248"/>
      <w:tblOverlap w:val="never"/>
      <w:tblW w:w="5000" w:type="pct"/>
      <w:tblBorders>
        <w:top w:val="single" w:sz="6" w:space="0" w:color="DC6900"/>
        <w:left w:val="single" w:sz="6" w:space="0" w:color="DC6900"/>
      </w:tblBorders>
      <w:tblLayout w:type="fixed"/>
      <w:tblCellMar>
        <w:left w:w="227" w:type="dxa"/>
        <w:right w:w="0" w:type="dxa"/>
      </w:tblCellMar>
      <w:tblLook w:val="00A0" w:firstRow="1" w:lastRow="0" w:firstColumn="1" w:lastColumn="0" w:noHBand="0" w:noVBand="0"/>
    </w:tblPr>
    <w:tblGrid>
      <w:gridCol w:w="14062"/>
    </w:tblGrid>
    <w:tr w:rsidR="00913429">
      <w:trPr>
        <w:trHeight w:hRule="exact" w:val="227"/>
      </w:trPr>
      <w:tc>
        <w:tcPr>
          <w:tcW w:w="5000" w:type="pct"/>
          <w:tcBorders>
            <w:top w:val="single" w:sz="6" w:space="0" w:color="DC6900"/>
          </w:tcBorders>
        </w:tcPr>
        <w:p w:rsidR="00913429" w:rsidRDefault="00913429">
          <w:pPr>
            <w:spacing w:after="0" w:line="240" w:lineRule="auto"/>
            <w:rPr>
              <w:sz w:val="14"/>
              <w:szCs w:val="14"/>
            </w:rPr>
          </w:pPr>
        </w:p>
      </w:tc>
    </w:tr>
  </w:tbl>
  <w:p w:rsidR="00913429" w:rsidRDefault="00913429">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429" w:rsidRDefault="00913429">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429" w:rsidRDefault="00913429">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vertAnchor="page" w:horzAnchor="margin" w:tblpY="1248"/>
      <w:tblOverlap w:val="never"/>
      <w:tblW w:w="5000" w:type="pct"/>
      <w:tblBorders>
        <w:top w:val="single" w:sz="6" w:space="0" w:color="DC6900"/>
        <w:left w:val="single" w:sz="6" w:space="0" w:color="DC6900"/>
        <w:bottom w:val="none" w:sz="0" w:space="0" w:color="auto"/>
        <w:right w:val="none" w:sz="0" w:space="0" w:color="auto"/>
        <w:insideH w:val="none" w:sz="0" w:space="0" w:color="auto"/>
        <w:insideV w:val="none" w:sz="0" w:space="0" w:color="auto"/>
      </w:tblBorders>
      <w:tblLayout w:type="fixed"/>
      <w:tblCellMar>
        <w:left w:w="227" w:type="dxa"/>
        <w:right w:w="0" w:type="dxa"/>
      </w:tblCellMar>
      <w:tblLook w:val="04A0" w:firstRow="1" w:lastRow="0" w:firstColumn="1" w:lastColumn="0" w:noHBand="0" w:noVBand="1"/>
    </w:tblPr>
    <w:tblGrid>
      <w:gridCol w:w="9845"/>
    </w:tblGrid>
    <w:tr w:rsidR="00913429">
      <w:trPr>
        <w:trHeight w:hRule="exact" w:val="227"/>
      </w:trPr>
      <w:tc>
        <w:tcPr>
          <w:tcW w:w="5000" w:type="pct"/>
        </w:tcPr>
        <w:p w:rsidR="00913429" w:rsidRDefault="00913429">
          <w:pPr>
            <w:rPr>
              <w:sz w:val="14"/>
              <w:szCs w:val="14"/>
            </w:rPr>
          </w:pPr>
        </w:p>
      </w:tc>
    </w:tr>
  </w:tbl>
  <w:p w:rsidR="00913429" w:rsidRDefault="00913429">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429" w:rsidRDefault="0091342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F0" w:rsidRPr="00E143F0" w:rsidRDefault="00E143F0" w:rsidP="00E143F0">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F0" w:rsidRPr="00E143F0" w:rsidRDefault="00E143F0" w:rsidP="00E143F0">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429" w:rsidRDefault="0091342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429" w:rsidRDefault="00E143F0">
    <w:pPr>
      <w:pStyle w:val="Header"/>
      <w:jc w:val="right"/>
      <w:rPr>
        <w:rFonts w:ascii="Georgia" w:hAnsi="Georgia"/>
        <w:bCs/>
        <w:iCs/>
        <w:szCs w:val="19"/>
      </w:rPr>
    </w:pPr>
    <w:r>
      <w:rPr>
        <w:rFonts w:ascii="Georgia" w:hAnsi="Georgia"/>
        <w:bCs/>
        <w:iCs/>
        <w:szCs w:val="19"/>
      </w:rPr>
      <w:t xml:space="preserve">Study on “ICT Security Certification and labelling – Evidence gathering and impact assessment” </w:t>
    </w:r>
  </w:p>
  <w:p w:rsidR="00913429" w:rsidRDefault="00E143F0">
    <w:pPr>
      <w:pStyle w:val="Header"/>
      <w:jc w:val="right"/>
      <w:rPr>
        <w:rFonts w:ascii="Georgia" w:hAnsi="Georgia"/>
        <w:szCs w:val="19"/>
      </w:rPr>
    </w:pPr>
    <w:r>
      <w:rPr>
        <w:rFonts w:ascii="Georgia" w:hAnsi="Georgia"/>
        <w:szCs w:val="19"/>
      </w:rPr>
      <w:t>Second Interim Report</w:t>
    </w:r>
  </w:p>
  <w:tbl>
    <w:tblPr>
      <w:tblpPr w:vertAnchor="page" w:horzAnchor="margin" w:tblpY="1248"/>
      <w:tblOverlap w:val="never"/>
      <w:tblW w:w="5000" w:type="pct"/>
      <w:tblBorders>
        <w:top w:val="single" w:sz="6" w:space="0" w:color="DC6900"/>
        <w:left w:val="single" w:sz="6" w:space="0" w:color="DC6900"/>
      </w:tblBorders>
      <w:tblLayout w:type="fixed"/>
      <w:tblCellMar>
        <w:left w:w="227" w:type="dxa"/>
        <w:right w:w="0" w:type="dxa"/>
      </w:tblCellMar>
      <w:tblLook w:val="00A0" w:firstRow="1" w:lastRow="0" w:firstColumn="1" w:lastColumn="0" w:noHBand="0" w:noVBand="0"/>
    </w:tblPr>
    <w:tblGrid>
      <w:gridCol w:w="9844"/>
    </w:tblGrid>
    <w:tr w:rsidR="00913429">
      <w:trPr>
        <w:trHeight w:hRule="exact" w:val="227"/>
      </w:trPr>
      <w:tc>
        <w:tcPr>
          <w:tcW w:w="5000" w:type="pct"/>
          <w:tcBorders>
            <w:top w:val="single" w:sz="6" w:space="0" w:color="DC6900"/>
          </w:tcBorders>
        </w:tcPr>
        <w:p w:rsidR="00913429" w:rsidRDefault="00913429">
          <w:pPr>
            <w:spacing w:after="0" w:line="240" w:lineRule="auto"/>
            <w:rPr>
              <w:sz w:val="14"/>
              <w:szCs w:val="14"/>
            </w:rPr>
          </w:pPr>
        </w:p>
      </w:tc>
    </w:tr>
  </w:tbl>
  <w:p w:rsidR="00913429" w:rsidRDefault="0091342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429" w:rsidRDefault="0091342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429" w:rsidRDefault="0091342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429" w:rsidRDefault="00E143F0">
    <w:pPr>
      <w:pStyle w:val="Header"/>
      <w:jc w:val="right"/>
      <w:rPr>
        <w:rFonts w:ascii="Georgia" w:hAnsi="Georgia"/>
        <w:bCs/>
        <w:iCs/>
        <w:szCs w:val="19"/>
      </w:rPr>
    </w:pPr>
    <w:r>
      <w:rPr>
        <w:rFonts w:ascii="Georgia" w:hAnsi="Georgia"/>
        <w:bCs/>
        <w:iCs/>
        <w:szCs w:val="19"/>
      </w:rPr>
      <w:t xml:space="preserve">Study on “ICT Security Certification and labelling – Evidence gathering and impact assessment” </w:t>
    </w:r>
  </w:p>
  <w:p w:rsidR="00913429" w:rsidRDefault="00E143F0">
    <w:pPr>
      <w:pStyle w:val="Header"/>
      <w:jc w:val="right"/>
      <w:rPr>
        <w:rFonts w:ascii="Georgia" w:hAnsi="Georgia"/>
        <w:szCs w:val="19"/>
      </w:rPr>
    </w:pPr>
    <w:r>
      <w:rPr>
        <w:rFonts w:ascii="Georgia" w:hAnsi="Georgia"/>
        <w:szCs w:val="19"/>
      </w:rPr>
      <w:t>Second Interim Report</w:t>
    </w:r>
  </w:p>
  <w:tbl>
    <w:tblPr>
      <w:tblpPr w:vertAnchor="page" w:horzAnchor="margin" w:tblpY="1248"/>
      <w:tblOverlap w:val="never"/>
      <w:tblW w:w="5000" w:type="pct"/>
      <w:tblBorders>
        <w:top w:val="single" w:sz="6" w:space="0" w:color="DC6900"/>
        <w:left w:val="single" w:sz="6" w:space="0" w:color="DC6900"/>
      </w:tblBorders>
      <w:tblLayout w:type="fixed"/>
      <w:tblCellMar>
        <w:left w:w="227" w:type="dxa"/>
        <w:right w:w="0" w:type="dxa"/>
      </w:tblCellMar>
      <w:tblLook w:val="00A0" w:firstRow="1" w:lastRow="0" w:firstColumn="1" w:lastColumn="0" w:noHBand="0" w:noVBand="0"/>
    </w:tblPr>
    <w:tblGrid>
      <w:gridCol w:w="9844"/>
    </w:tblGrid>
    <w:tr w:rsidR="00913429">
      <w:trPr>
        <w:trHeight w:hRule="exact" w:val="227"/>
      </w:trPr>
      <w:tc>
        <w:tcPr>
          <w:tcW w:w="5000" w:type="pct"/>
          <w:tcBorders>
            <w:top w:val="single" w:sz="6" w:space="0" w:color="DC6900"/>
          </w:tcBorders>
        </w:tcPr>
        <w:p w:rsidR="00913429" w:rsidRDefault="00913429">
          <w:pPr>
            <w:spacing w:after="0" w:line="240" w:lineRule="auto"/>
            <w:rPr>
              <w:sz w:val="14"/>
              <w:szCs w:val="14"/>
            </w:rPr>
          </w:pPr>
        </w:p>
      </w:tc>
    </w:tr>
  </w:tbl>
  <w:p w:rsidR="00913429" w:rsidRDefault="00913429">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429" w:rsidRDefault="0091342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5pt;height:1.35pt;visibility:visible;mso-wrap-style:square" o:bullet="t">
        <v:imagedata r:id="rId1" o:title=""/>
      </v:shape>
    </w:pict>
  </w:numPicBullet>
  <w:abstractNum w:abstractNumId="0">
    <w:nsid w:val="006C5A40"/>
    <w:multiLevelType w:val="hybridMultilevel"/>
    <w:tmpl w:val="0A72F63E"/>
    <w:lvl w:ilvl="0" w:tplc="0410000F">
      <w:start w:val="1"/>
      <w:numFmt w:val="decimal"/>
      <w:lvlText w:val="%1."/>
      <w:lvlJc w:val="left"/>
      <w:pPr>
        <w:ind w:left="36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0851815"/>
    <w:multiLevelType w:val="hybridMultilevel"/>
    <w:tmpl w:val="92FC6D0E"/>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
    <w:nsid w:val="00BD0FCD"/>
    <w:multiLevelType w:val="hybridMultilevel"/>
    <w:tmpl w:val="D2546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BE7E51"/>
    <w:multiLevelType w:val="hybridMultilevel"/>
    <w:tmpl w:val="FC9218AE"/>
    <w:lvl w:ilvl="0" w:tplc="04100011">
      <w:start w:val="1"/>
      <w:numFmt w:val="decimal"/>
      <w:lvlText w:val="%1)"/>
      <w:lvlJc w:val="left"/>
      <w:pPr>
        <w:ind w:left="720" w:hanging="360"/>
      </w:pPr>
      <w:rPr>
        <w:rFonts w:hint="default"/>
      </w:rPr>
    </w:lvl>
    <w:lvl w:ilvl="1" w:tplc="2ADCC2CA">
      <w:start w:val="1"/>
      <w:numFmt w:val="lowerLetter"/>
      <w:lvlText w:val="%2)"/>
      <w:lvlJc w:val="left"/>
      <w:pPr>
        <w:ind w:left="1440" w:hanging="36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03B612B9"/>
    <w:multiLevelType w:val="multilevel"/>
    <w:tmpl w:val="82A20F5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4E45A26"/>
    <w:multiLevelType w:val="hybridMultilevel"/>
    <w:tmpl w:val="542C6C98"/>
    <w:lvl w:ilvl="0" w:tplc="146CE74E">
      <w:start w:val="2"/>
      <w:numFmt w:val="bullet"/>
      <w:lvlText w:val="-"/>
      <w:lvlJc w:val="left"/>
      <w:pPr>
        <w:ind w:left="720" w:hanging="360"/>
      </w:pPr>
      <w:rPr>
        <w:rFonts w:ascii="Georgia" w:eastAsia="Arial" w:hAnsi="Georgi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05302673"/>
    <w:multiLevelType w:val="hybridMultilevel"/>
    <w:tmpl w:val="8D7066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05BD6667"/>
    <w:multiLevelType w:val="hybridMultilevel"/>
    <w:tmpl w:val="A46A0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61A52F4"/>
    <w:multiLevelType w:val="hybridMultilevel"/>
    <w:tmpl w:val="5164D756"/>
    <w:lvl w:ilvl="0" w:tplc="6C242796">
      <w:start w:val="2"/>
      <w:numFmt w:val="decimal"/>
      <w:lvlText w:val="%1."/>
      <w:lvlJc w:val="left"/>
      <w:pPr>
        <w:tabs>
          <w:tab w:val="num" w:pos="4455"/>
        </w:tabs>
        <w:ind w:left="5175" w:hanging="360"/>
      </w:pPr>
      <w:rPr>
        <w:rFonts w:cs="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06D4353C"/>
    <w:multiLevelType w:val="hybridMultilevel"/>
    <w:tmpl w:val="72884C0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0">
    <w:nsid w:val="06D53739"/>
    <w:multiLevelType w:val="hybridMultilevel"/>
    <w:tmpl w:val="EE7477C0"/>
    <w:lvl w:ilvl="0" w:tplc="A8343F6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06EF3893"/>
    <w:multiLevelType w:val="hybridMultilevel"/>
    <w:tmpl w:val="75C6D0C2"/>
    <w:lvl w:ilvl="0" w:tplc="3020BA8C">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0710265D"/>
    <w:multiLevelType w:val="hybridMultilevel"/>
    <w:tmpl w:val="E5161722"/>
    <w:lvl w:ilvl="0" w:tplc="151ADC04">
      <w:numFmt w:val="bullet"/>
      <w:lvlText w:val="-"/>
      <w:lvlJc w:val="left"/>
      <w:pPr>
        <w:ind w:left="360" w:hanging="360"/>
      </w:pPr>
      <w:rPr>
        <w:rFonts w:ascii="Calibri" w:eastAsia="Times New Roman" w:hAnsi="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0727039F"/>
    <w:multiLevelType w:val="multilevel"/>
    <w:tmpl w:val="A46686CA"/>
    <w:styleLink w:val="Appendix"/>
    <w:lvl w:ilvl="0">
      <w:start w:val="1"/>
      <w:numFmt w:val="decimal"/>
      <w:lvlText w:val="Appendix %1"/>
      <w:lvlJc w:val="left"/>
      <w:pPr>
        <w:tabs>
          <w:tab w:val="num" w:pos="0"/>
        </w:tabs>
        <w:ind w:left="0" w:firstLine="0"/>
      </w:pPr>
      <w:rPr>
        <w:rFonts w:ascii="Cambria" w:hAnsi="Cambria" w:hint="default"/>
        <w:color w:val="D06F1A"/>
      </w:rPr>
    </w:lvl>
    <w:lvl w:ilvl="1">
      <w:start w:val="1"/>
      <w:numFmt w:val="decimal"/>
      <w:lvlText w:val="%2"/>
      <w:lvlJc w:val="right"/>
      <w:pPr>
        <w:tabs>
          <w:tab w:val="num" w:pos="0"/>
        </w:tabs>
        <w:ind w:left="0" w:hanging="278"/>
      </w:pPr>
      <w:rPr>
        <w:rFonts w:ascii="Georgia" w:hAnsi="Georgia" w:hint="default"/>
      </w:rPr>
    </w:lvl>
    <w:lvl w:ilvl="2">
      <w:start w:val="1"/>
      <w:numFmt w:val="lowerLetter"/>
      <w:lvlText w:val="(%3)"/>
      <w:lvlJc w:val="left"/>
      <w:pPr>
        <w:tabs>
          <w:tab w:val="num" w:pos="595"/>
        </w:tabs>
        <w:ind w:left="595" w:hanging="595"/>
      </w:pPr>
      <w:rPr>
        <w:rFonts w:ascii="Arial" w:hAnsi="Arial" w:hint="default"/>
      </w:rPr>
    </w:lvl>
    <w:lvl w:ilvl="3">
      <w:start w:val="1"/>
      <w:numFmt w:val="lowerRoman"/>
      <w:lvlText w:val="(%4)"/>
      <w:lvlJc w:val="left"/>
      <w:pPr>
        <w:tabs>
          <w:tab w:val="num" w:pos="1191"/>
        </w:tabs>
        <w:ind w:left="1191" w:hanging="596"/>
      </w:pPr>
      <w:rPr>
        <w:rFonts w:ascii="Arial" w:hAnsi="Arial" w:hint="default"/>
      </w:rPr>
    </w:lvl>
    <w:lvl w:ilvl="4">
      <w:start w:val="1"/>
      <w:numFmt w:val="bullet"/>
      <w:lvlText w:val="●"/>
      <w:lvlJc w:val="left"/>
      <w:pPr>
        <w:tabs>
          <w:tab w:val="num" w:pos="1786"/>
        </w:tabs>
        <w:ind w:left="1786" w:hanging="595"/>
      </w:pPr>
      <w:rPr>
        <w:rFonts w:ascii="Times New Roman" w:hAnsi="Times New Roman" w:cs="Times New Roman" w:hint="default"/>
      </w:rPr>
    </w:lvl>
    <w:lvl w:ilvl="5">
      <w:start w:val="1"/>
      <w:numFmt w:val="bullet"/>
      <w:lvlText w:val="−"/>
      <w:lvlJc w:val="left"/>
      <w:pPr>
        <w:tabs>
          <w:tab w:val="num" w:pos="2160"/>
        </w:tabs>
        <w:ind w:left="2160" w:hanging="360"/>
      </w:pPr>
      <w:rPr>
        <w:rFonts w:ascii="Times New Roman" w:hAnsi="Times New Roman" w:cs="Times New Roman" w:hint="default"/>
      </w:rPr>
    </w:lvl>
    <w:lvl w:ilvl="6">
      <w:start w:val="1"/>
      <w:numFmt w:val="none"/>
      <w:lvlText w:val="%7."/>
      <w:lvlJc w:val="left"/>
      <w:pPr>
        <w:tabs>
          <w:tab w:val="num" w:pos="2520"/>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40"/>
        </w:tabs>
        <w:ind w:left="3240" w:hanging="360"/>
      </w:pPr>
      <w:rPr>
        <w:rFonts w:hint="default"/>
      </w:rPr>
    </w:lvl>
  </w:abstractNum>
  <w:abstractNum w:abstractNumId="14">
    <w:nsid w:val="07365786"/>
    <w:multiLevelType w:val="multilevel"/>
    <w:tmpl w:val="1F74FA26"/>
    <w:lvl w:ilvl="0">
      <w:start w:val="5"/>
      <w:numFmt w:val="decimal"/>
      <w:lvlText w:val="%1."/>
      <w:lvlJc w:val="left"/>
      <w:pPr>
        <w:ind w:left="360" w:hanging="360"/>
      </w:pPr>
      <w:rPr>
        <w:rFonts w:hint="default"/>
      </w:rPr>
    </w:lvl>
    <w:lvl w:ilvl="1">
      <w:start w:val="6"/>
      <w:numFmt w:val="decimal"/>
      <w:lvlText w:val="%1.%2."/>
      <w:lvlJc w:val="left"/>
      <w:pPr>
        <w:ind w:left="792" w:hanging="432"/>
      </w:pPr>
      <w:rPr>
        <w:rFonts w:hint="default"/>
      </w:rPr>
    </w:lvl>
    <w:lvl w:ilvl="2">
      <w:start w:val="7"/>
      <w:numFmt w:val="decimal"/>
      <w:lvlText w:val="%1.%2.%3."/>
      <w:lvlJc w:val="left"/>
      <w:pPr>
        <w:ind w:left="1224" w:hanging="504"/>
      </w:pPr>
      <w:rPr>
        <w:rFonts w:hint="default"/>
        <w:b w:val="0"/>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075B55D7"/>
    <w:multiLevelType w:val="hybridMultilevel"/>
    <w:tmpl w:val="BAA26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80442C9"/>
    <w:multiLevelType w:val="hybridMultilevel"/>
    <w:tmpl w:val="B400D5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084B648C"/>
    <w:multiLevelType w:val="hybridMultilevel"/>
    <w:tmpl w:val="11E0195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086E1032"/>
    <w:multiLevelType w:val="hybridMultilevel"/>
    <w:tmpl w:val="0E66E0BE"/>
    <w:lvl w:ilvl="0" w:tplc="EB9C6D7A">
      <w:start w:val="10"/>
      <w:numFmt w:val="bullet"/>
      <w:lvlText w:val="-"/>
      <w:lvlJc w:val="left"/>
      <w:pPr>
        <w:ind w:left="720" w:hanging="360"/>
      </w:pPr>
      <w:rPr>
        <w:rFonts w:ascii="Times New Roman" w:eastAsia="MS Mincho" w:hAnsi="Times New Roman" w:cs="Times New Roman" w:hint="default"/>
        <w:b/>
        <w:lang w:val="en-GB"/>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096E763C"/>
    <w:multiLevelType w:val="hybridMultilevel"/>
    <w:tmpl w:val="6DBE8F58"/>
    <w:lvl w:ilvl="0" w:tplc="A8343F6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0984408E"/>
    <w:multiLevelType w:val="multilevel"/>
    <w:tmpl w:val="EE3860A0"/>
    <w:name w:val="WW8Num6"/>
    <w:styleLink w:val="PwCListNumbers1"/>
    <w:lvl w:ilvl="0">
      <w:start w:val="1"/>
      <w:numFmt w:val="decimal"/>
      <w:lvlText w:val="%1."/>
      <w:lvlJc w:val="left"/>
      <w:pPr>
        <w:tabs>
          <w:tab w:val="num" w:pos="567"/>
        </w:tabs>
        <w:ind w:left="567" w:hanging="567"/>
      </w:pPr>
      <w:rPr>
        <w:rFonts w:cs="Times New Roman" w:hint="default"/>
      </w:rPr>
    </w:lvl>
    <w:lvl w:ilvl="1">
      <w:start w:val="1"/>
      <w:numFmt w:val="lowerLetter"/>
      <w:lvlText w:val="%2."/>
      <w:lvlJc w:val="left"/>
      <w:pPr>
        <w:tabs>
          <w:tab w:val="num" w:pos="1134"/>
        </w:tabs>
        <w:ind w:left="1134" w:hanging="567"/>
      </w:pPr>
      <w:rPr>
        <w:rFonts w:cs="Times New Roman" w:hint="default"/>
      </w:rPr>
    </w:lvl>
    <w:lvl w:ilvl="2">
      <w:start w:val="1"/>
      <w:numFmt w:val="lowerRoman"/>
      <w:lvlText w:val="%3."/>
      <w:lvlJc w:val="left"/>
      <w:pPr>
        <w:tabs>
          <w:tab w:val="num" w:pos="1701"/>
        </w:tabs>
        <w:ind w:left="1701" w:hanging="567"/>
      </w:pPr>
      <w:rPr>
        <w:rFonts w:cs="Times New Roman" w:hint="default"/>
      </w:rPr>
    </w:lvl>
    <w:lvl w:ilvl="3">
      <w:start w:val="1"/>
      <w:numFmt w:val="decimal"/>
      <w:lvlText w:val="%4."/>
      <w:lvlJc w:val="left"/>
      <w:pPr>
        <w:tabs>
          <w:tab w:val="num" w:pos="2268"/>
        </w:tabs>
        <w:ind w:left="2268" w:hanging="567"/>
      </w:pPr>
      <w:rPr>
        <w:rFonts w:cs="Times New Roman" w:hint="default"/>
      </w:rPr>
    </w:lvl>
    <w:lvl w:ilvl="4">
      <w:start w:val="1"/>
      <w:numFmt w:val="lowerLetter"/>
      <w:lvlText w:val="%5."/>
      <w:lvlJc w:val="left"/>
      <w:pPr>
        <w:tabs>
          <w:tab w:val="num" w:pos="2835"/>
        </w:tabs>
        <w:ind w:left="2835" w:hanging="567"/>
      </w:pPr>
      <w:rPr>
        <w:rFonts w:cs="Times New Roman" w:hint="default"/>
      </w:rPr>
    </w:lvl>
    <w:lvl w:ilvl="5">
      <w:start w:val="1"/>
      <w:numFmt w:val="lowerRoman"/>
      <w:lvlText w:val="%6."/>
      <w:lvlJc w:val="left"/>
      <w:pPr>
        <w:tabs>
          <w:tab w:val="num" w:pos="3402"/>
        </w:tabs>
        <w:ind w:left="3402" w:hanging="567"/>
      </w:pPr>
      <w:rPr>
        <w:rFonts w:cs="Times New Roman" w:hint="default"/>
      </w:rPr>
    </w:lvl>
    <w:lvl w:ilvl="6">
      <w:start w:val="1"/>
      <w:numFmt w:val="decimal"/>
      <w:lvlText w:val="%7."/>
      <w:lvlJc w:val="left"/>
      <w:pPr>
        <w:tabs>
          <w:tab w:val="num" w:pos="3969"/>
        </w:tabs>
        <w:ind w:left="3969" w:hanging="567"/>
      </w:pPr>
      <w:rPr>
        <w:rFonts w:cs="Times New Roman" w:hint="default"/>
      </w:rPr>
    </w:lvl>
    <w:lvl w:ilvl="7">
      <w:start w:val="1"/>
      <w:numFmt w:val="lowerLetter"/>
      <w:lvlText w:val="%8."/>
      <w:lvlJc w:val="left"/>
      <w:pPr>
        <w:tabs>
          <w:tab w:val="num" w:pos="4536"/>
        </w:tabs>
        <w:ind w:left="4536" w:hanging="567"/>
      </w:pPr>
      <w:rPr>
        <w:rFonts w:cs="Times New Roman" w:hint="default"/>
      </w:rPr>
    </w:lvl>
    <w:lvl w:ilvl="8">
      <w:start w:val="1"/>
      <w:numFmt w:val="lowerRoman"/>
      <w:lvlText w:val="%9."/>
      <w:lvlJc w:val="left"/>
      <w:pPr>
        <w:tabs>
          <w:tab w:val="num" w:pos="5103"/>
        </w:tabs>
        <w:ind w:left="5103" w:hanging="567"/>
      </w:pPr>
      <w:rPr>
        <w:rFonts w:cs="Times New Roman" w:hint="default"/>
      </w:rPr>
    </w:lvl>
  </w:abstractNum>
  <w:abstractNum w:abstractNumId="21">
    <w:nsid w:val="09872A77"/>
    <w:multiLevelType w:val="hybridMultilevel"/>
    <w:tmpl w:val="A8008562"/>
    <w:lvl w:ilvl="0" w:tplc="146CE74E">
      <w:start w:val="2"/>
      <w:numFmt w:val="bullet"/>
      <w:lvlText w:val="-"/>
      <w:lvlJc w:val="left"/>
      <w:pPr>
        <w:ind w:left="720" w:hanging="360"/>
      </w:pPr>
      <w:rPr>
        <w:rFonts w:ascii="Georgia" w:eastAsia="Arial" w:hAnsi="Georgi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0A580C15"/>
    <w:multiLevelType w:val="multilevel"/>
    <w:tmpl w:val="63F05512"/>
    <w:lvl w:ilvl="0">
      <w:start w:val="8"/>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B75373E"/>
    <w:multiLevelType w:val="hybridMultilevel"/>
    <w:tmpl w:val="2EE67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B8F10EB"/>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10BD43BF"/>
    <w:multiLevelType w:val="hybridMultilevel"/>
    <w:tmpl w:val="0846D910"/>
    <w:lvl w:ilvl="0" w:tplc="A8343F6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10EE28E5"/>
    <w:multiLevelType w:val="hybridMultilevel"/>
    <w:tmpl w:val="0CFEAE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10FA69CC"/>
    <w:multiLevelType w:val="hybridMultilevel"/>
    <w:tmpl w:val="EE7477C0"/>
    <w:lvl w:ilvl="0" w:tplc="A8343F6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12184D8B"/>
    <w:multiLevelType w:val="hybridMultilevel"/>
    <w:tmpl w:val="590A622A"/>
    <w:lvl w:ilvl="0" w:tplc="54CEBBFE">
      <w:start w:val="1"/>
      <w:numFmt w:val="decimal"/>
      <w:lvlText w:val="%1."/>
      <w:lvlJc w:val="left"/>
      <w:pPr>
        <w:ind w:left="720" w:hanging="360"/>
      </w:pPr>
      <w:rPr>
        <w:i w:val="0"/>
        <w:color w:val="auto"/>
        <w:sz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nsid w:val="12DF1D9D"/>
    <w:multiLevelType w:val="hybridMultilevel"/>
    <w:tmpl w:val="740EC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3C05ADF"/>
    <w:multiLevelType w:val="hybridMultilevel"/>
    <w:tmpl w:val="AD4E235A"/>
    <w:lvl w:ilvl="0" w:tplc="146CE74E">
      <w:start w:val="2"/>
      <w:numFmt w:val="bullet"/>
      <w:lvlText w:val="-"/>
      <w:lvlJc w:val="left"/>
      <w:pPr>
        <w:ind w:left="720" w:hanging="360"/>
      </w:pPr>
      <w:rPr>
        <w:rFonts w:ascii="Georgia" w:eastAsia="Arial" w:hAnsi="Georgi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140A032E"/>
    <w:multiLevelType w:val="hybridMultilevel"/>
    <w:tmpl w:val="72406E66"/>
    <w:lvl w:ilvl="0" w:tplc="A526125E">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nsid w:val="1494186C"/>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33">
    <w:nsid w:val="15005A09"/>
    <w:multiLevelType w:val="hybridMultilevel"/>
    <w:tmpl w:val="AC8E4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15517D6E"/>
    <w:multiLevelType w:val="hybridMultilevel"/>
    <w:tmpl w:val="8B96A5D2"/>
    <w:lvl w:ilvl="0" w:tplc="EB9C6D7A">
      <w:start w:val="10"/>
      <w:numFmt w:val="bullet"/>
      <w:lvlText w:val="-"/>
      <w:lvlJc w:val="left"/>
      <w:pPr>
        <w:ind w:left="720" w:hanging="360"/>
      </w:pPr>
      <w:rPr>
        <w:rFonts w:ascii="Times New Roman" w:eastAsia="MS Mincho" w:hAnsi="Times New Roman" w:cs="Times New Roman" w:hint="default"/>
        <w:b/>
        <w:lang w:val="en-G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158D75CA"/>
    <w:multiLevelType w:val="multilevel"/>
    <w:tmpl w:val="32624DC2"/>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lang w:val="en-GB"/>
      </w:rPr>
    </w:lvl>
    <w:lvl w:ilvl="2">
      <w:start w:val="1"/>
      <w:numFmt w:val="decimal"/>
      <w:lvlText w:val="%1.%2.%3"/>
      <w:lvlJc w:val="left"/>
      <w:pPr>
        <w:ind w:left="720" w:hanging="720"/>
      </w:pPr>
      <w:rPr>
        <w:rFonts w:cs="Times New Roman"/>
        <w:b w:val="0"/>
        <w:color w:val="DC6900" w:themeColor="accent1"/>
      </w:rPr>
    </w:lvl>
    <w:lvl w:ilvl="3">
      <w:start w:val="1"/>
      <w:numFmt w:val="decimal"/>
      <w:lvlText w:val="%1.%2.%3.%4"/>
      <w:lvlJc w:val="left"/>
      <w:pPr>
        <w:ind w:left="864" w:hanging="864"/>
      </w:pPr>
      <w:rPr>
        <w:rFonts w:cs="Times New Roman"/>
        <w:b w:val="0"/>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36">
    <w:nsid w:val="159B7FC3"/>
    <w:multiLevelType w:val="hybridMultilevel"/>
    <w:tmpl w:val="FECC6590"/>
    <w:lvl w:ilvl="0" w:tplc="D8A6FABA">
      <w:start w:val="1"/>
      <w:numFmt w:val="bullet"/>
      <w:pStyle w:val="Style16-tablewithtriangles"/>
      <w:lvlText w:val="►"/>
      <w:lvlJc w:val="left"/>
      <w:pPr>
        <w:ind w:left="720" w:hanging="360"/>
      </w:pPr>
      <w:rPr>
        <w:rFonts w:ascii="Arial" w:hAnsi="Arial" w:hint="default"/>
        <w:color w:val="FFCC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nsid w:val="15FC2341"/>
    <w:multiLevelType w:val="hybridMultilevel"/>
    <w:tmpl w:val="34F27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6A14CD0"/>
    <w:multiLevelType w:val="hybridMultilevel"/>
    <w:tmpl w:val="0E16B7C4"/>
    <w:lvl w:ilvl="0" w:tplc="146CE74E">
      <w:start w:val="2"/>
      <w:numFmt w:val="bullet"/>
      <w:lvlText w:val="-"/>
      <w:lvlJc w:val="left"/>
      <w:pPr>
        <w:ind w:left="1080" w:hanging="360"/>
      </w:pPr>
      <w:rPr>
        <w:rFonts w:ascii="Georgia" w:eastAsia="Arial" w:hAnsi="Georgia"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9">
    <w:nsid w:val="16BD76D3"/>
    <w:multiLevelType w:val="hybridMultilevel"/>
    <w:tmpl w:val="7C14AF2C"/>
    <w:lvl w:ilvl="0" w:tplc="EB9C6D7A">
      <w:start w:val="10"/>
      <w:numFmt w:val="bullet"/>
      <w:lvlText w:val="-"/>
      <w:lvlJc w:val="left"/>
      <w:pPr>
        <w:ind w:left="720" w:hanging="360"/>
      </w:pPr>
      <w:rPr>
        <w:rFonts w:ascii="Times New Roman" w:eastAsia="MS Mincho" w:hAnsi="Times New Roman" w:cs="Times New Roman" w:hint="default"/>
        <w:b/>
        <w:lang w:val="en-G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nsid w:val="179F6319"/>
    <w:multiLevelType w:val="multilevel"/>
    <w:tmpl w:val="09544F1E"/>
    <w:lvl w:ilvl="0">
      <w:start w:val="5"/>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181223EA"/>
    <w:multiLevelType w:val="hybridMultilevel"/>
    <w:tmpl w:val="00FAD434"/>
    <w:lvl w:ilvl="0" w:tplc="6B0E7244">
      <w:start w:val="1"/>
      <w:numFmt w:val="bullet"/>
      <w:lvlText w:val="•"/>
      <w:lvlJc w:val="left"/>
      <w:pPr>
        <w:tabs>
          <w:tab w:val="num" w:pos="720"/>
        </w:tabs>
        <w:ind w:left="720" w:hanging="360"/>
      </w:pPr>
      <w:rPr>
        <w:rFonts w:ascii="Arial" w:hAnsi="Arial" w:hint="default"/>
      </w:rPr>
    </w:lvl>
    <w:lvl w:ilvl="1" w:tplc="084CAB3C" w:tentative="1">
      <w:start w:val="1"/>
      <w:numFmt w:val="bullet"/>
      <w:lvlText w:val="•"/>
      <w:lvlJc w:val="left"/>
      <w:pPr>
        <w:tabs>
          <w:tab w:val="num" w:pos="1440"/>
        </w:tabs>
        <w:ind w:left="1440" w:hanging="360"/>
      </w:pPr>
      <w:rPr>
        <w:rFonts w:ascii="Arial" w:hAnsi="Arial" w:hint="default"/>
      </w:rPr>
    </w:lvl>
    <w:lvl w:ilvl="2" w:tplc="A4224B92" w:tentative="1">
      <w:start w:val="1"/>
      <w:numFmt w:val="bullet"/>
      <w:lvlText w:val="•"/>
      <w:lvlJc w:val="left"/>
      <w:pPr>
        <w:tabs>
          <w:tab w:val="num" w:pos="2160"/>
        </w:tabs>
        <w:ind w:left="2160" w:hanging="360"/>
      </w:pPr>
      <w:rPr>
        <w:rFonts w:ascii="Arial" w:hAnsi="Arial" w:hint="default"/>
      </w:rPr>
    </w:lvl>
    <w:lvl w:ilvl="3" w:tplc="B406DEEE" w:tentative="1">
      <w:start w:val="1"/>
      <w:numFmt w:val="bullet"/>
      <w:lvlText w:val="•"/>
      <w:lvlJc w:val="left"/>
      <w:pPr>
        <w:tabs>
          <w:tab w:val="num" w:pos="2880"/>
        </w:tabs>
        <w:ind w:left="2880" w:hanging="360"/>
      </w:pPr>
      <w:rPr>
        <w:rFonts w:ascii="Arial" w:hAnsi="Arial" w:hint="default"/>
      </w:rPr>
    </w:lvl>
    <w:lvl w:ilvl="4" w:tplc="12689200" w:tentative="1">
      <w:start w:val="1"/>
      <w:numFmt w:val="bullet"/>
      <w:lvlText w:val="•"/>
      <w:lvlJc w:val="left"/>
      <w:pPr>
        <w:tabs>
          <w:tab w:val="num" w:pos="3600"/>
        </w:tabs>
        <w:ind w:left="3600" w:hanging="360"/>
      </w:pPr>
      <w:rPr>
        <w:rFonts w:ascii="Arial" w:hAnsi="Arial" w:hint="default"/>
      </w:rPr>
    </w:lvl>
    <w:lvl w:ilvl="5" w:tplc="A54E3B56" w:tentative="1">
      <w:start w:val="1"/>
      <w:numFmt w:val="bullet"/>
      <w:lvlText w:val="•"/>
      <w:lvlJc w:val="left"/>
      <w:pPr>
        <w:tabs>
          <w:tab w:val="num" w:pos="4320"/>
        </w:tabs>
        <w:ind w:left="4320" w:hanging="360"/>
      </w:pPr>
      <w:rPr>
        <w:rFonts w:ascii="Arial" w:hAnsi="Arial" w:hint="default"/>
      </w:rPr>
    </w:lvl>
    <w:lvl w:ilvl="6" w:tplc="D102B6DE" w:tentative="1">
      <w:start w:val="1"/>
      <w:numFmt w:val="bullet"/>
      <w:lvlText w:val="•"/>
      <w:lvlJc w:val="left"/>
      <w:pPr>
        <w:tabs>
          <w:tab w:val="num" w:pos="5040"/>
        </w:tabs>
        <w:ind w:left="5040" w:hanging="360"/>
      </w:pPr>
      <w:rPr>
        <w:rFonts w:ascii="Arial" w:hAnsi="Arial" w:hint="default"/>
      </w:rPr>
    </w:lvl>
    <w:lvl w:ilvl="7" w:tplc="04B62698" w:tentative="1">
      <w:start w:val="1"/>
      <w:numFmt w:val="bullet"/>
      <w:lvlText w:val="•"/>
      <w:lvlJc w:val="left"/>
      <w:pPr>
        <w:tabs>
          <w:tab w:val="num" w:pos="5760"/>
        </w:tabs>
        <w:ind w:left="5760" w:hanging="360"/>
      </w:pPr>
      <w:rPr>
        <w:rFonts w:ascii="Arial" w:hAnsi="Arial" w:hint="default"/>
      </w:rPr>
    </w:lvl>
    <w:lvl w:ilvl="8" w:tplc="F08CDB8C" w:tentative="1">
      <w:start w:val="1"/>
      <w:numFmt w:val="bullet"/>
      <w:lvlText w:val="•"/>
      <w:lvlJc w:val="left"/>
      <w:pPr>
        <w:tabs>
          <w:tab w:val="num" w:pos="6480"/>
        </w:tabs>
        <w:ind w:left="6480" w:hanging="360"/>
      </w:pPr>
      <w:rPr>
        <w:rFonts w:ascii="Arial" w:hAnsi="Arial" w:hint="default"/>
      </w:rPr>
    </w:lvl>
  </w:abstractNum>
  <w:abstractNum w:abstractNumId="42">
    <w:nsid w:val="181804CB"/>
    <w:multiLevelType w:val="hybridMultilevel"/>
    <w:tmpl w:val="06A2BE66"/>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3">
    <w:nsid w:val="18C21177"/>
    <w:multiLevelType w:val="hybridMultilevel"/>
    <w:tmpl w:val="E4341A4E"/>
    <w:lvl w:ilvl="0" w:tplc="72466AE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18D8507F"/>
    <w:multiLevelType w:val="hybridMultilevel"/>
    <w:tmpl w:val="6BA8A8A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nsid w:val="1A166862"/>
    <w:multiLevelType w:val="hybridMultilevel"/>
    <w:tmpl w:val="675E055A"/>
    <w:lvl w:ilvl="0" w:tplc="146CE74E">
      <w:start w:val="2"/>
      <w:numFmt w:val="bullet"/>
      <w:lvlText w:val="-"/>
      <w:lvlJc w:val="left"/>
      <w:pPr>
        <w:ind w:left="720" w:hanging="360"/>
      </w:pPr>
      <w:rPr>
        <w:rFonts w:ascii="Georgia" w:eastAsia="Arial" w:hAnsi="Georgi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nsid w:val="1A2063E2"/>
    <w:multiLevelType w:val="hybridMultilevel"/>
    <w:tmpl w:val="3E54B1E8"/>
    <w:lvl w:ilvl="0" w:tplc="EB9C6D7A">
      <w:start w:val="10"/>
      <w:numFmt w:val="bullet"/>
      <w:lvlText w:val="-"/>
      <w:lvlJc w:val="left"/>
      <w:pPr>
        <w:ind w:left="720" w:hanging="360"/>
      </w:pPr>
      <w:rPr>
        <w:rFonts w:ascii="Times New Roman" w:eastAsia="MS Mincho" w:hAnsi="Times New Roman" w:cs="Times New Roman" w:hint="default"/>
        <w:b/>
        <w:lang w:val="en-GB"/>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7">
    <w:nsid w:val="1A321768"/>
    <w:multiLevelType w:val="hybridMultilevel"/>
    <w:tmpl w:val="452E52C0"/>
    <w:lvl w:ilvl="0" w:tplc="D8FCEFA6">
      <w:start w:val="1"/>
      <w:numFmt w:val="bullet"/>
      <w:pStyle w:val="bulletone"/>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8">
    <w:nsid w:val="1A6727A0"/>
    <w:multiLevelType w:val="hybridMultilevel"/>
    <w:tmpl w:val="D69A54DC"/>
    <w:lvl w:ilvl="0" w:tplc="EB9C6D7A">
      <w:start w:val="10"/>
      <w:numFmt w:val="bullet"/>
      <w:lvlText w:val="-"/>
      <w:lvlJc w:val="left"/>
      <w:pPr>
        <w:ind w:left="720" w:hanging="360"/>
      </w:pPr>
      <w:rPr>
        <w:rFonts w:ascii="Times New Roman" w:eastAsia="MS Mincho" w:hAnsi="Times New Roman" w:cs="Times New Roman" w:hint="default"/>
        <w:b/>
        <w:lang w:val="en-G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nsid w:val="1B0A0EFE"/>
    <w:multiLevelType w:val="hybridMultilevel"/>
    <w:tmpl w:val="97900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1B0D09F4"/>
    <w:multiLevelType w:val="hybridMultilevel"/>
    <w:tmpl w:val="0F8A715E"/>
    <w:lvl w:ilvl="0" w:tplc="BD0C1D98">
      <w:start w:val="1"/>
      <w:numFmt w:val="decimal"/>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1">
    <w:nsid w:val="1D8E0936"/>
    <w:multiLevelType w:val="hybridMultilevel"/>
    <w:tmpl w:val="3F4A50DE"/>
    <w:lvl w:ilvl="0" w:tplc="A526125E">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nsid w:val="1F7C07C1"/>
    <w:multiLevelType w:val="hybridMultilevel"/>
    <w:tmpl w:val="38E4FCA8"/>
    <w:lvl w:ilvl="0" w:tplc="70167EC2">
      <w:start w:val="1"/>
      <w:numFmt w:val="decimal"/>
      <w:lvlText w:val="%1."/>
      <w:lvlJc w:val="left"/>
      <w:pPr>
        <w:tabs>
          <w:tab w:val="num" w:pos="-360"/>
        </w:tabs>
        <w:ind w:left="360" w:hanging="360"/>
      </w:pPr>
      <w:rPr>
        <w:rFonts w:cs="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3">
    <w:nsid w:val="20285DC4"/>
    <w:multiLevelType w:val="hybridMultilevel"/>
    <w:tmpl w:val="DEE6E1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07F555C"/>
    <w:multiLevelType w:val="hybridMultilevel"/>
    <w:tmpl w:val="CBD645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nsid w:val="209706EC"/>
    <w:multiLevelType w:val="hybridMultilevel"/>
    <w:tmpl w:val="8F9A7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215619F5"/>
    <w:multiLevelType w:val="hybridMultilevel"/>
    <w:tmpl w:val="E5A8E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21DF29AD"/>
    <w:multiLevelType w:val="hybridMultilevel"/>
    <w:tmpl w:val="187A742C"/>
    <w:lvl w:ilvl="0" w:tplc="ADEA82AE">
      <w:numFmt w:val="bullet"/>
      <w:pStyle w:val="Subbullet"/>
      <w:lvlText w:val="-"/>
      <w:lvlJc w:val="left"/>
      <w:pPr>
        <w:tabs>
          <w:tab w:val="num" w:pos="547"/>
        </w:tabs>
        <w:ind w:left="547" w:hanging="360"/>
      </w:pPr>
      <w:rPr>
        <w:rFonts w:ascii="Arial" w:hAnsi="Arial" w:hint="default"/>
        <w:b w:val="0"/>
        <w:i w:val="0"/>
        <w:color w:val="00457C"/>
        <w:sz w:val="20"/>
      </w:rPr>
    </w:lvl>
    <w:lvl w:ilvl="1" w:tplc="E4866536" w:tentative="1">
      <w:start w:val="1"/>
      <w:numFmt w:val="bullet"/>
      <w:lvlText w:val="o"/>
      <w:lvlJc w:val="left"/>
      <w:pPr>
        <w:tabs>
          <w:tab w:val="num" w:pos="1440"/>
        </w:tabs>
        <w:ind w:left="1440" w:hanging="360"/>
      </w:pPr>
      <w:rPr>
        <w:rFonts w:ascii="Courier New" w:hAnsi="Courier New" w:hint="default"/>
      </w:rPr>
    </w:lvl>
    <w:lvl w:ilvl="2" w:tplc="49084B84" w:tentative="1">
      <w:start w:val="1"/>
      <w:numFmt w:val="bullet"/>
      <w:lvlText w:val=""/>
      <w:lvlJc w:val="left"/>
      <w:pPr>
        <w:tabs>
          <w:tab w:val="num" w:pos="2160"/>
        </w:tabs>
        <w:ind w:left="2160" w:hanging="360"/>
      </w:pPr>
      <w:rPr>
        <w:rFonts w:ascii="Wingdings" w:hAnsi="Wingdings" w:hint="default"/>
      </w:rPr>
    </w:lvl>
    <w:lvl w:ilvl="3" w:tplc="7DA24D4C" w:tentative="1">
      <w:start w:val="1"/>
      <w:numFmt w:val="bullet"/>
      <w:lvlText w:val=""/>
      <w:lvlJc w:val="left"/>
      <w:pPr>
        <w:tabs>
          <w:tab w:val="num" w:pos="2880"/>
        </w:tabs>
        <w:ind w:left="2880" w:hanging="360"/>
      </w:pPr>
      <w:rPr>
        <w:rFonts w:ascii="Symbol" w:hAnsi="Symbol" w:hint="default"/>
      </w:rPr>
    </w:lvl>
    <w:lvl w:ilvl="4" w:tplc="DC6A46E0" w:tentative="1">
      <w:start w:val="1"/>
      <w:numFmt w:val="bullet"/>
      <w:lvlText w:val="o"/>
      <w:lvlJc w:val="left"/>
      <w:pPr>
        <w:tabs>
          <w:tab w:val="num" w:pos="3600"/>
        </w:tabs>
        <w:ind w:left="3600" w:hanging="360"/>
      </w:pPr>
      <w:rPr>
        <w:rFonts w:ascii="Courier New" w:hAnsi="Courier New" w:hint="default"/>
      </w:rPr>
    </w:lvl>
    <w:lvl w:ilvl="5" w:tplc="6226C270" w:tentative="1">
      <w:start w:val="1"/>
      <w:numFmt w:val="bullet"/>
      <w:lvlText w:val=""/>
      <w:lvlJc w:val="left"/>
      <w:pPr>
        <w:tabs>
          <w:tab w:val="num" w:pos="4320"/>
        </w:tabs>
        <w:ind w:left="4320" w:hanging="360"/>
      </w:pPr>
      <w:rPr>
        <w:rFonts w:ascii="Wingdings" w:hAnsi="Wingdings" w:hint="default"/>
      </w:rPr>
    </w:lvl>
    <w:lvl w:ilvl="6" w:tplc="BF5CA9CA" w:tentative="1">
      <w:start w:val="1"/>
      <w:numFmt w:val="bullet"/>
      <w:lvlText w:val=""/>
      <w:lvlJc w:val="left"/>
      <w:pPr>
        <w:tabs>
          <w:tab w:val="num" w:pos="5040"/>
        </w:tabs>
        <w:ind w:left="5040" w:hanging="360"/>
      </w:pPr>
      <w:rPr>
        <w:rFonts w:ascii="Symbol" w:hAnsi="Symbol" w:hint="default"/>
      </w:rPr>
    </w:lvl>
    <w:lvl w:ilvl="7" w:tplc="213A310C" w:tentative="1">
      <w:start w:val="1"/>
      <w:numFmt w:val="bullet"/>
      <w:lvlText w:val="o"/>
      <w:lvlJc w:val="left"/>
      <w:pPr>
        <w:tabs>
          <w:tab w:val="num" w:pos="5760"/>
        </w:tabs>
        <w:ind w:left="5760" w:hanging="360"/>
      </w:pPr>
      <w:rPr>
        <w:rFonts w:ascii="Courier New" w:hAnsi="Courier New" w:hint="default"/>
      </w:rPr>
    </w:lvl>
    <w:lvl w:ilvl="8" w:tplc="20CCBDAE" w:tentative="1">
      <w:start w:val="1"/>
      <w:numFmt w:val="bullet"/>
      <w:lvlText w:val=""/>
      <w:lvlJc w:val="left"/>
      <w:pPr>
        <w:tabs>
          <w:tab w:val="num" w:pos="6480"/>
        </w:tabs>
        <w:ind w:left="6480" w:hanging="360"/>
      </w:pPr>
      <w:rPr>
        <w:rFonts w:ascii="Wingdings" w:hAnsi="Wingdings" w:hint="default"/>
      </w:rPr>
    </w:lvl>
  </w:abstractNum>
  <w:abstractNum w:abstractNumId="58">
    <w:nsid w:val="221C4A63"/>
    <w:multiLevelType w:val="hybridMultilevel"/>
    <w:tmpl w:val="F5928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23687AE0"/>
    <w:multiLevelType w:val="hybridMultilevel"/>
    <w:tmpl w:val="7BDC2BEE"/>
    <w:lvl w:ilvl="0" w:tplc="146CE74E">
      <w:start w:val="2"/>
      <w:numFmt w:val="bullet"/>
      <w:lvlText w:val="-"/>
      <w:lvlJc w:val="left"/>
      <w:pPr>
        <w:ind w:left="720" w:hanging="360"/>
      </w:pPr>
      <w:rPr>
        <w:rFonts w:ascii="Georgia" w:eastAsia="Arial" w:hAnsi="Georgi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0">
    <w:nsid w:val="237757A4"/>
    <w:multiLevelType w:val="hybridMultilevel"/>
    <w:tmpl w:val="0F404A10"/>
    <w:lvl w:ilvl="0" w:tplc="EB9C6D7A">
      <w:start w:val="10"/>
      <w:numFmt w:val="bullet"/>
      <w:lvlText w:val="-"/>
      <w:lvlJc w:val="left"/>
      <w:pPr>
        <w:ind w:left="720" w:hanging="360"/>
      </w:pPr>
      <w:rPr>
        <w:rFonts w:ascii="Times New Roman" w:eastAsia="MS Mincho" w:hAnsi="Times New Roman" w:cs="Times New Roman" w:hint="default"/>
        <w:b/>
        <w:lang w:val="en-G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1">
    <w:nsid w:val="24080208"/>
    <w:multiLevelType w:val="hybridMultilevel"/>
    <w:tmpl w:val="1BE47A32"/>
    <w:lvl w:ilvl="0" w:tplc="146CE74E">
      <w:start w:val="2"/>
      <w:numFmt w:val="bullet"/>
      <w:lvlText w:val="-"/>
      <w:lvlJc w:val="left"/>
      <w:pPr>
        <w:ind w:left="765" w:hanging="360"/>
      </w:pPr>
      <w:rPr>
        <w:rFonts w:ascii="Georgia" w:eastAsia="Arial" w:hAnsi="Georgia" w:cs="Times New Roman" w:hint="default"/>
      </w:rPr>
    </w:lvl>
    <w:lvl w:ilvl="1" w:tplc="04100003" w:tentative="1">
      <w:start w:val="1"/>
      <w:numFmt w:val="bullet"/>
      <w:lvlText w:val="o"/>
      <w:lvlJc w:val="left"/>
      <w:pPr>
        <w:ind w:left="1485" w:hanging="360"/>
      </w:pPr>
      <w:rPr>
        <w:rFonts w:ascii="Courier New" w:hAnsi="Courier New" w:cs="Courier New" w:hint="default"/>
      </w:rPr>
    </w:lvl>
    <w:lvl w:ilvl="2" w:tplc="04100005" w:tentative="1">
      <w:start w:val="1"/>
      <w:numFmt w:val="bullet"/>
      <w:lvlText w:val=""/>
      <w:lvlJc w:val="left"/>
      <w:pPr>
        <w:ind w:left="2205" w:hanging="360"/>
      </w:pPr>
      <w:rPr>
        <w:rFonts w:ascii="Wingdings" w:hAnsi="Wingdings" w:hint="default"/>
      </w:rPr>
    </w:lvl>
    <w:lvl w:ilvl="3" w:tplc="04100001" w:tentative="1">
      <w:start w:val="1"/>
      <w:numFmt w:val="bullet"/>
      <w:lvlText w:val=""/>
      <w:lvlJc w:val="left"/>
      <w:pPr>
        <w:ind w:left="2925" w:hanging="360"/>
      </w:pPr>
      <w:rPr>
        <w:rFonts w:ascii="Symbol" w:hAnsi="Symbol" w:hint="default"/>
      </w:rPr>
    </w:lvl>
    <w:lvl w:ilvl="4" w:tplc="04100003" w:tentative="1">
      <w:start w:val="1"/>
      <w:numFmt w:val="bullet"/>
      <w:lvlText w:val="o"/>
      <w:lvlJc w:val="left"/>
      <w:pPr>
        <w:ind w:left="3645" w:hanging="360"/>
      </w:pPr>
      <w:rPr>
        <w:rFonts w:ascii="Courier New" w:hAnsi="Courier New" w:cs="Courier New" w:hint="default"/>
      </w:rPr>
    </w:lvl>
    <w:lvl w:ilvl="5" w:tplc="04100005" w:tentative="1">
      <w:start w:val="1"/>
      <w:numFmt w:val="bullet"/>
      <w:lvlText w:val=""/>
      <w:lvlJc w:val="left"/>
      <w:pPr>
        <w:ind w:left="4365" w:hanging="360"/>
      </w:pPr>
      <w:rPr>
        <w:rFonts w:ascii="Wingdings" w:hAnsi="Wingdings" w:hint="default"/>
      </w:rPr>
    </w:lvl>
    <w:lvl w:ilvl="6" w:tplc="04100001" w:tentative="1">
      <w:start w:val="1"/>
      <w:numFmt w:val="bullet"/>
      <w:lvlText w:val=""/>
      <w:lvlJc w:val="left"/>
      <w:pPr>
        <w:ind w:left="5085" w:hanging="360"/>
      </w:pPr>
      <w:rPr>
        <w:rFonts w:ascii="Symbol" w:hAnsi="Symbol" w:hint="default"/>
      </w:rPr>
    </w:lvl>
    <w:lvl w:ilvl="7" w:tplc="04100003" w:tentative="1">
      <w:start w:val="1"/>
      <w:numFmt w:val="bullet"/>
      <w:lvlText w:val="o"/>
      <w:lvlJc w:val="left"/>
      <w:pPr>
        <w:ind w:left="5805" w:hanging="360"/>
      </w:pPr>
      <w:rPr>
        <w:rFonts w:ascii="Courier New" w:hAnsi="Courier New" w:cs="Courier New" w:hint="default"/>
      </w:rPr>
    </w:lvl>
    <w:lvl w:ilvl="8" w:tplc="04100005" w:tentative="1">
      <w:start w:val="1"/>
      <w:numFmt w:val="bullet"/>
      <w:lvlText w:val=""/>
      <w:lvlJc w:val="left"/>
      <w:pPr>
        <w:ind w:left="6525" w:hanging="360"/>
      </w:pPr>
      <w:rPr>
        <w:rFonts w:ascii="Wingdings" w:hAnsi="Wingdings" w:hint="default"/>
      </w:rPr>
    </w:lvl>
  </w:abstractNum>
  <w:abstractNum w:abstractNumId="62">
    <w:nsid w:val="24917FAA"/>
    <w:multiLevelType w:val="hybridMultilevel"/>
    <w:tmpl w:val="FA2055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24A91AD5"/>
    <w:multiLevelType w:val="hybridMultilevel"/>
    <w:tmpl w:val="289C6F2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4">
    <w:nsid w:val="25247E93"/>
    <w:multiLevelType w:val="hybridMultilevel"/>
    <w:tmpl w:val="37AC1834"/>
    <w:lvl w:ilvl="0" w:tplc="0410000F">
      <w:start w:val="1"/>
      <w:numFmt w:val="decimal"/>
      <w:lvlText w:val="%1."/>
      <w:lvlJc w:val="left"/>
      <w:pPr>
        <w:ind w:left="36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5">
    <w:nsid w:val="25F85D77"/>
    <w:multiLevelType w:val="multilevel"/>
    <w:tmpl w:val="CDB2A340"/>
    <w:styleLink w:val="StyleBulletedSymbolsymbolLeft063cmHanging063cm"/>
    <w:lvl w:ilvl="0">
      <w:start w:val="1"/>
      <w:numFmt w:val="bullet"/>
      <w:lvlText w:val=""/>
      <w:lvlJc w:val="left"/>
      <w:pPr>
        <w:tabs>
          <w:tab w:val="num" w:pos="340"/>
        </w:tabs>
        <w:ind w:left="340" w:hanging="340"/>
      </w:pPr>
      <w:rPr>
        <w:rFonts w:ascii="Symbol" w:hAnsi="Symbol" w:hint="default"/>
      </w:rPr>
    </w:lvl>
    <w:lvl w:ilvl="1">
      <w:start w:val="1"/>
      <w:numFmt w:val="bullet"/>
      <w:lvlText w:val=""/>
      <w:lvlJc w:val="left"/>
      <w:pPr>
        <w:tabs>
          <w:tab w:val="num" w:pos="1440"/>
        </w:tabs>
        <w:ind w:left="1440" w:hanging="360"/>
      </w:pPr>
      <w:rPr>
        <w:rFonts w:ascii="Symbol" w:hAnsi="Symbol" w:hint="default"/>
        <w:color w:val="auto"/>
        <w:sz w:val="18"/>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6">
    <w:nsid w:val="261B1134"/>
    <w:multiLevelType w:val="hybridMultilevel"/>
    <w:tmpl w:val="6458E13E"/>
    <w:lvl w:ilvl="0" w:tplc="EB9C6D7A">
      <w:start w:val="10"/>
      <w:numFmt w:val="bullet"/>
      <w:lvlText w:val="-"/>
      <w:lvlJc w:val="left"/>
      <w:pPr>
        <w:ind w:left="720" w:hanging="360"/>
      </w:pPr>
      <w:rPr>
        <w:rFonts w:ascii="Times New Roman" w:eastAsia="MS Mincho" w:hAnsi="Times New Roman" w:cs="Times New Roman" w:hint="default"/>
        <w:b/>
        <w:lang w:val="en-G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7">
    <w:nsid w:val="278A0E05"/>
    <w:multiLevelType w:val="multilevel"/>
    <w:tmpl w:val="C6622E7A"/>
    <w:lvl w:ilvl="0">
      <w:start w:val="2"/>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nsid w:val="27A92A0A"/>
    <w:multiLevelType w:val="hybridMultilevel"/>
    <w:tmpl w:val="FBBAA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27D845A2"/>
    <w:multiLevelType w:val="hybridMultilevel"/>
    <w:tmpl w:val="FAC63C5A"/>
    <w:lvl w:ilvl="0" w:tplc="6C182E32">
      <w:start w:val="1"/>
      <w:numFmt w:val="decimal"/>
      <w:lvlText w:val="(%1)"/>
      <w:lvlJc w:val="left"/>
      <w:pPr>
        <w:ind w:left="360" w:hanging="360"/>
      </w:pPr>
      <w:rPr>
        <w:rFonts w:hint="default"/>
      </w:rPr>
    </w:lvl>
    <w:lvl w:ilvl="1" w:tplc="B5BEE206">
      <w:start w:val="3"/>
      <w:numFmt w:val="bullet"/>
      <w:lvlText w:val="•"/>
      <w:lvlJc w:val="left"/>
      <w:pPr>
        <w:ind w:left="1080" w:hanging="360"/>
      </w:pPr>
      <w:rPr>
        <w:rFonts w:ascii="Georgia" w:eastAsiaTheme="minorHAnsi" w:hAnsi="Georgia" w:cstheme="minorBidi" w:hint="default"/>
      </w:r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70">
    <w:nsid w:val="289E6D25"/>
    <w:multiLevelType w:val="hybridMultilevel"/>
    <w:tmpl w:val="E124E77C"/>
    <w:lvl w:ilvl="0" w:tplc="04100001">
      <w:start w:val="1"/>
      <w:numFmt w:val="decimal"/>
      <w:pStyle w:val="Fuguretitle"/>
      <w:lvlText w:val="Figure %1:"/>
      <w:lvlJc w:val="left"/>
      <w:pPr>
        <w:tabs>
          <w:tab w:val="num" w:pos="1080"/>
        </w:tabs>
        <w:ind w:left="0" w:firstLine="0"/>
      </w:pPr>
      <w:rPr>
        <w:rFonts w:ascii="Times New Roman" w:hAnsi="Times New Roman" w:hint="default"/>
        <w:b/>
        <w:i/>
        <w:kern w:val="0"/>
        <w:sz w:val="22"/>
        <w:effect w:val="none"/>
      </w:rPr>
    </w:lvl>
    <w:lvl w:ilvl="1" w:tplc="04100003">
      <w:start w:val="1"/>
      <w:numFmt w:val="bullet"/>
      <w:lvlText w:val=""/>
      <w:lvlJc w:val="left"/>
      <w:pPr>
        <w:tabs>
          <w:tab w:val="num" w:pos="360"/>
        </w:tabs>
        <w:ind w:left="360" w:hanging="360"/>
      </w:pPr>
      <w:rPr>
        <w:rFonts w:ascii="Wingdings" w:hAnsi="Wingdings" w:hint="default"/>
        <w:sz w:val="20"/>
      </w:rPr>
    </w:lvl>
    <w:lvl w:ilvl="2" w:tplc="04100005">
      <w:start w:val="1"/>
      <w:numFmt w:val="lowerRoman"/>
      <w:lvlText w:val="%3."/>
      <w:lvlJc w:val="right"/>
      <w:pPr>
        <w:tabs>
          <w:tab w:val="num" w:pos="2160"/>
        </w:tabs>
        <w:ind w:left="2160" w:hanging="180"/>
      </w:pPr>
    </w:lvl>
    <w:lvl w:ilvl="3" w:tplc="04100001" w:tentative="1">
      <w:start w:val="1"/>
      <w:numFmt w:val="decimal"/>
      <w:lvlText w:val="%4."/>
      <w:lvlJc w:val="left"/>
      <w:pPr>
        <w:tabs>
          <w:tab w:val="num" w:pos="2880"/>
        </w:tabs>
        <w:ind w:left="2880" w:hanging="360"/>
      </w:pPr>
    </w:lvl>
    <w:lvl w:ilvl="4" w:tplc="04100003" w:tentative="1">
      <w:start w:val="1"/>
      <w:numFmt w:val="lowerLetter"/>
      <w:lvlText w:val="%5."/>
      <w:lvlJc w:val="left"/>
      <w:pPr>
        <w:tabs>
          <w:tab w:val="num" w:pos="3600"/>
        </w:tabs>
        <w:ind w:left="3600" w:hanging="360"/>
      </w:pPr>
    </w:lvl>
    <w:lvl w:ilvl="5" w:tplc="04100005" w:tentative="1">
      <w:start w:val="1"/>
      <w:numFmt w:val="lowerRoman"/>
      <w:lvlText w:val="%6."/>
      <w:lvlJc w:val="right"/>
      <w:pPr>
        <w:tabs>
          <w:tab w:val="num" w:pos="4320"/>
        </w:tabs>
        <w:ind w:left="4320" w:hanging="180"/>
      </w:pPr>
    </w:lvl>
    <w:lvl w:ilvl="6" w:tplc="04100001" w:tentative="1">
      <w:start w:val="1"/>
      <w:numFmt w:val="decimal"/>
      <w:lvlText w:val="%7."/>
      <w:lvlJc w:val="left"/>
      <w:pPr>
        <w:tabs>
          <w:tab w:val="num" w:pos="5040"/>
        </w:tabs>
        <w:ind w:left="5040" w:hanging="360"/>
      </w:pPr>
    </w:lvl>
    <w:lvl w:ilvl="7" w:tplc="04100003" w:tentative="1">
      <w:start w:val="1"/>
      <w:numFmt w:val="lowerLetter"/>
      <w:lvlText w:val="%8."/>
      <w:lvlJc w:val="left"/>
      <w:pPr>
        <w:tabs>
          <w:tab w:val="num" w:pos="5760"/>
        </w:tabs>
        <w:ind w:left="5760" w:hanging="360"/>
      </w:pPr>
    </w:lvl>
    <w:lvl w:ilvl="8" w:tplc="04100005" w:tentative="1">
      <w:start w:val="1"/>
      <w:numFmt w:val="lowerRoman"/>
      <w:lvlText w:val="%9."/>
      <w:lvlJc w:val="right"/>
      <w:pPr>
        <w:tabs>
          <w:tab w:val="num" w:pos="6480"/>
        </w:tabs>
        <w:ind w:left="6480" w:hanging="180"/>
      </w:pPr>
    </w:lvl>
  </w:abstractNum>
  <w:abstractNum w:abstractNumId="71">
    <w:nsid w:val="28D53880"/>
    <w:multiLevelType w:val="hybridMultilevel"/>
    <w:tmpl w:val="E8C08EF2"/>
    <w:lvl w:ilvl="0" w:tplc="A65EF7EA">
      <w:start w:val="1"/>
      <w:numFmt w:val="decimal"/>
      <w:lvlText w:val="%1-"/>
      <w:lvlJc w:val="left"/>
      <w:pPr>
        <w:ind w:left="360" w:hanging="360"/>
      </w:pPr>
      <w:rPr>
        <w:rFonts w:hint="default"/>
        <w:b/>
      </w:rPr>
    </w:lvl>
    <w:lvl w:ilvl="1" w:tplc="B9A6A69C">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nsid w:val="28FF6E6F"/>
    <w:multiLevelType w:val="hybridMultilevel"/>
    <w:tmpl w:val="C6DC8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294B6035"/>
    <w:multiLevelType w:val="hybridMultilevel"/>
    <w:tmpl w:val="89924294"/>
    <w:lvl w:ilvl="0" w:tplc="0809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74">
    <w:nsid w:val="29695803"/>
    <w:multiLevelType w:val="hybridMultilevel"/>
    <w:tmpl w:val="A294AE32"/>
    <w:lvl w:ilvl="0" w:tplc="A8343F68">
      <w:start w:val="1"/>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5">
    <w:nsid w:val="2A152107"/>
    <w:multiLevelType w:val="hybridMultilevel"/>
    <w:tmpl w:val="CBE81B58"/>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76">
    <w:nsid w:val="2BB45C61"/>
    <w:multiLevelType w:val="multilevel"/>
    <w:tmpl w:val="0409001D"/>
    <w:name w:val="PwCListNumbers1"/>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7">
    <w:nsid w:val="2D304A20"/>
    <w:multiLevelType w:val="hybridMultilevel"/>
    <w:tmpl w:val="0784B6AA"/>
    <w:lvl w:ilvl="0" w:tplc="EB9C6D7A">
      <w:start w:val="10"/>
      <w:numFmt w:val="bullet"/>
      <w:lvlText w:val="-"/>
      <w:lvlJc w:val="left"/>
      <w:pPr>
        <w:ind w:left="720" w:hanging="360"/>
      </w:pPr>
      <w:rPr>
        <w:rFonts w:ascii="Times New Roman" w:eastAsia="MS Mincho" w:hAnsi="Times New Roman" w:cs="Times New Roman" w:hint="default"/>
        <w:b/>
        <w:lang w:val="en-GB"/>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8">
    <w:nsid w:val="2F312E75"/>
    <w:multiLevelType w:val="hybridMultilevel"/>
    <w:tmpl w:val="69484D26"/>
    <w:lvl w:ilvl="0" w:tplc="CA861F2A">
      <w:start w:val="1"/>
      <w:numFmt w:val="bullet"/>
      <w:pStyle w:val="Paragrafoelenco1"/>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9">
    <w:nsid w:val="2FCE1F07"/>
    <w:multiLevelType w:val="hybridMultilevel"/>
    <w:tmpl w:val="368E731C"/>
    <w:lvl w:ilvl="0" w:tplc="70167EC2">
      <w:start w:val="1"/>
      <w:numFmt w:val="decimal"/>
      <w:lvlText w:val="%1."/>
      <w:lvlJc w:val="left"/>
      <w:pPr>
        <w:tabs>
          <w:tab w:val="num" w:pos="-360"/>
        </w:tabs>
        <w:ind w:left="360" w:hanging="360"/>
      </w:pPr>
      <w:rPr>
        <w:rFonts w:cs="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0">
    <w:nsid w:val="315A1956"/>
    <w:multiLevelType w:val="hybridMultilevel"/>
    <w:tmpl w:val="D91A3C1A"/>
    <w:lvl w:ilvl="0" w:tplc="634E3AD2">
      <w:start w:val="4"/>
      <w:numFmt w:val="bullet"/>
      <w:lvlText w:val="-"/>
      <w:lvlJc w:val="left"/>
      <w:pPr>
        <w:ind w:left="720" w:hanging="360"/>
      </w:pPr>
      <w:rPr>
        <w:rFonts w:ascii="Georgia" w:eastAsia="Arial"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nsid w:val="31C93401"/>
    <w:multiLevelType w:val="hybridMultilevel"/>
    <w:tmpl w:val="82A67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328271B7"/>
    <w:multiLevelType w:val="hybridMultilevel"/>
    <w:tmpl w:val="8CFC02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3">
    <w:nsid w:val="337D7468"/>
    <w:multiLevelType w:val="multilevel"/>
    <w:tmpl w:val="04090023"/>
    <w:styleLink w:val="ArticleSection"/>
    <w:lvl w:ilvl="0">
      <w:start w:val="1"/>
      <w:numFmt w:val="upperRoman"/>
      <w:lvlText w:val="Article %1."/>
      <w:lvlJc w:val="left"/>
      <w:pPr>
        <w:tabs>
          <w:tab w:val="num" w:pos="180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84">
    <w:nsid w:val="346D6A53"/>
    <w:multiLevelType w:val="hybridMultilevel"/>
    <w:tmpl w:val="BF8E373C"/>
    <w:lvl w:ilvl="0" w:tplc="A6DCC684">
      <w:start w:val="3"/>
      <w:numFmt w:val="decimal"/>
      <w:lvlText w:val="%1."/>
      <w:lvlJc w:val="left"/>
      <w:pPr>
        <w:tabs>
          <w:tab w:val="num" w:pos="4455"/>
        </w:tabs>
        <w:ind w:left="5175" w:hanging="360"/>
      </w:pPr>
      <w:rPr>
        <w:rFonts w:cs="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5">
    <w:nsid w:val="35CD2D81"/>
    <w:multiLevelType w:val="hybridMultilevel"/>
    <w:tmpl w:val="EB80186A"/>
    <w:lvl w:ilvl="0" w:tplc="0809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86">
    <w:nsid w:val="35F65B7A"/>
    <w:multiLevelType w:val="singleLevel"/>
    <w:tmpl w:val="80303ECC"/>
    <w:lvl w:ilvl="0">
      <w:start w:val="1"/>
      <w:numFmt w:val="bullet"/>
      <w:pStyle w:val="testo2-puntato"/>
      <w:lvlText w:val=""/>
      <w:lvlJc w:val="left"/>
      <w:pPr>
        <w:tabs>
          <w:tab w:val="num" w:pos="360"/>
        </w:tabs>
        <w:ind w:left="360" w:hanging="360"/>
      </w:pPr>
      <w:rPr>
        <w:rFonts w:ascii="Wingdings" w:hAnsi="Wingdings" w:cs="Wingdings" w:hint="default"/>
      </w:rPr>
    </w:lvl>
  </w:abstractNum>
  <w:abstractNum w:abstractNumId="87">
    <w:nsid w:val="38294B68"/>
    <w:multiLevelType w:val="hybridMultilevel"/>
    <w:tmpl w:val="1EC82C36"/>
    <w:lvl w:ilvl="0" w:tplc="9BA6C8FE">
      <w:start w:val="3"/>
      <w:numFmt w:val="bullet"/>
      <w:lvlText w:val="-"/>
      <w:lvlJc w:val="left"/>
      <w:pPr>
        <w:ind w:left="720" w:hanging="360"/>
      </w:pPr>
      <w:rPr>
        <w:rFonts w:ascii="Georgia" w:eastAsiaTheme="minorHAnsi" w:hAnsi="Georgi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8">
    <w:nsid w:val="38F30F90"/>
    <w:multiLevelType w:val="hybridMultilevel"/>
    <w:tmpl w:val="81E6BF5A"/>
    <w:lvl w:ilvl="0" w:tplc="EB9C6D7A">
      <w:start w:val="10"/>
      <w:numFmt w:val="bullet"/>
      <w:lvlText w:val="-"/>
      <w:lvlJc w:val="left"/>
      <w:pPr>
        <w:ind w:left="720" w:hanging="360"/>
      </w:pPr>
      <w:rPr>
        <w:rFonts w:ascii="Times New Roman" w:eastAsia="MS Mincho" w:hAnsi="Times New Roman" w:cs="Times New Roman" w:hint="default"/>
        <w:b/>
        <w:lang w:val="en-G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9">
    <w:nsid w:val="398321BF"/>
    <w:multiLevelType w:val="hybridMultilevel"/>
    <w:tmpl w:val="EE7477C0"/>
    <w:lvl w:ilvl="0" w:tplc="A8343F6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nsid w:val="39B054EB"/>
    <w:multiLevelType w:val="hybridMultilevel"/>
    <w:tmpl w:val="7F0EB6CA"/>
    <w:lvl w:ilvl="0" w:tplc="9E0A9304">
      <w:start w:val="1"/>
      <w:numFmt w:val="decimal"/>
      <w:pStyle w:val="NumberedList"/>
      <w:lvlText w:val="%1."/>
      <w:lvlJc w:val="left"/>
      <w:pPr>
        <w:tabs>
          <w:tab w:val="num" w:pos="720"/>
        </w:tabs>
        <w:ind w:left="720" w:hanging="360"/>
      </w:pPr>
    </w:lvl>
    <w:lvl w:ilvl="1" w:tplc="6CDCC1D6" w:tentative="1">
      <w:start w:val="1"/>
      <w:numFmt w:val="lowerLetter"/>
      <w:lvlText w:val="%2."/>
      <w:lvlJc w:val="left"/>
      <w:pPr>
        <w:tabs>
          <w:tab w:val="num" w:pos="1440"/>
        </w:tabs>
        <w:ind w:left="1440" w:hanging="360"/>
      </w:pPr>
    </w:lvl>
    <w:lvl w:ilvl="2" w:tplc="BAAE4DF6" w:tentative="1">
      <w:start w:val="1"/>
      <w:numFmt w:val="lowerRoman"/>
      <w:lvlText w:val="%3."/>
      <w:lvlJc w:val="right"/>
      <w:pPr>
        <w:tabs>
          <w:tab w:val="num" w:pos="2160"/>
        </w:tabs>
        <w:ind w:left="2160" w:hanging="180"/>
      </w:pPr>
    </w:lvl>
    <w:lvl w:ilvl="3" w:tplc="648EF05E" w:tentative="1">
      <w:start w:val="1"/>
      <w:numFmt w:val="decimal"/>
      <w:lvlText w:val="%4."/>
      <w:lvlJc w:val="left"/>
      <w:pPr>
        <w:tabs>
          <w:tab w:val="num" w:pos="2880"/>
        </w:tabs>
        <w:ind w:left="2880" w:hanging="360"/>
      </w:pPr>
    </w:lvl>
    <w:lvl w:ilvl="4" w:tplc="FEB2846C" w:tentative="1">
      <w:start w:val="1"/>
      <w:numFmt w:val="lowerLetter"/>
      <w:lvlText w:val="%5."/>
      <w:lvlJc w:val="left"/>
      <w:pPr>
        <w:tabs>
          <w:tab w:val="num" w:pos="3600"/>
        </w:tabs>
        <w:ind w:left="3600" w:hanging="360"/>
      </w:pPr>
    </w:lvl>
    <w:lvl w:ilvl="5" w:tplc="918C287E" w:tentative="1">
      <w:start w:val="1"/>
      <w:numFmt w:val="lowerRoman"/>
      <w:lvlText w:val="%6."/>
      <w:lvlJc w:val="right"/>
      <w:pPr>
        <w:tabs>
          <w:tab w:val="num" w:pos="4320"/>
        </w:tabs>
        <w:ind w:left="4320" w:hanging="180"/>
      </w:pPr>
    </w:lvl>
    <w:lvl w:ilvl="6" w:tplc="E4E829A4" w:tentative="1">
      <w:start w:val="1"/>
      <w:numFmt w:val="decimal"/>
      <w:lvlText w:val="%7."/>
      <w:lvlJc w:val="left"/>
      <w:pPr>
        <w:tabs>
          <w:tab w:val="num" w:pos="5040"/>
        </w:tabs>
        <w:ind w:left="5040" w:hanging="360"/>
      </w:pPr>
    </w:lvl>
    <w:lvl w:ilvl="7" w:tplc="F4E47C60" w:tentative="1">
      <w:start w:val="1"/>
      <w:numFmt w:val="lowerLetter"/>
      <w:lvlText w:val="%8."/>
      <w:lvlJc w:val="left"/>
      <w:pPr>
        <w:tabs>
          <w:tab w:val="num" w:pos="5760"/>
        </w:tabs>
        <w:ind w:left="5760" w:hanging="360"/>
      </w:pPr>
    </w:lvl>
    <w:lvl w:ilvl="8" w:tplc="10D61D30" w:tentative="1">
      <w:start w:val="1"/>
      <w:numFmt w:val="lowerRoman"/>
      <w:lvlText w:val="%9."/>
      <w:lvlJc w:val="right"/>
      <w:pPr>
        <w:tabs>
          <w:tab w:val="num" w:pos="6480"/>
        </w:tabs>
        <w:ind w:left="6480" w:hanging="180"/>
      </w:pPr>
    </w:lvl>
  </w:abstractNum>
  <w:abstractNum w:abstractNumId="91">
    <w:nsid w:val="3A0168B9"/>
    <w:multiLevelType w:val="hybridMultilevel"/>
    <w:tmpl w:val="E6FCCEC2"/>
    <w:lvl w:ilvl="0" w:tplc="447497DC">
      <w:start w:val="1"/>
      <w:numFmt w:val="bullet"/>
      <w:pStyle w:val="tablefillbullets"/>
      <w:lvlText w:val=""/>
      <w:lvlJc w:val="left"/>
      <w:pPr>
        <w:tabs>
          <w:tab w:val="num" w:pos="720"/>
        </w:tabs>
        <w:ind w:left="720" w:hanging="360"/>
      </w:pPr>
      <w:rPr>
        <w:rFonts w:ascii="Symbol" w:hAnsi="Symbol" w:hint="default"/>
      </w:rPr>
    </w:lvl>
    <w:lvl w:ilvl="1" w:tplc="3ECCA416">
      <w:start w:val="1"/>
      <w:numFmt w:val="bullet"/>
      <w:lvlText w:val="o"/>
      <w:lvlJc w:val="left"/>
      <w:pPr>
        <w:tabs>
          <w:tab w:val="num" w:pos="1440"/>
        </w:tabs>
        <w:ind w:left="1440" w:hanging="360"/>
      </w:pPr>
      <w:rPr>
        <w:rFonts w:ascii="Courier New" w:hAnsi="Courier New" w:cs="Courier New" w:hint="default"/>
      </w:rPr>
    </w:lvl>
    <w:lvl w:ilvl="2" w:tplc="81E4AB0A" w:tentative="1">
      <w:start w:val="1"/>
      <w:numFmt w:val="bullet"/>
      <w:lvlText w:val=""/>
      <w:lvlJc w:val="left"/>
      <w:pPr>
        <w:tabs>
          <w:tab w:val="num" w:pos="2160"/>
        </w:tabs>
        <w:ind w:left="2160" w:hanging="360"/>
      </w:pPr>
      <w:rPr>
        <w:rFonts w:ascii="Wingdings" w:hAnsi="Wingdings" w:hint="default"/>
      </w:rPr>
    </w:lvl>
    <w:lvl w:ilvl="3" w:tplc="3E362938" w:tentative="1">
      <w:start w:val="1"/>
      <w:numFmt w:val="bullet"/>
      <w:lvlText w:val=""/>
      <w:lvlJc w:val="left"/>
      <w:pPr>
        <w:tabs>
          <w:tab w:val="num" w:pos="2880"/>
        </w:tabs>
        <w:ind w:left="2880" w:hanging="360"/>
      </w:pPr>
      <w:rPr>
        <w:rFonts w:ascii="Symbol" w:hAnsi="Symbol" w:hint="default"/>
      </w:rPr>
    </w:lvl>
    <w:lvl w:ilvl="4" w:tplc="94ACF7A0" w:tentative="1">
      <w:start w:val="1"/>
      <w:numFmt w:val="bullet"/>
      <w:lvlText w:val="o"/>
      <w:lvlJc w:val="left"/>
      <w:pPr>
        <w:tabs>
          <w:tab w:val="num" w:pos="3600"/>
        </w:tabs>
        <w:ind w:left="3600" w:hanging="360"/>
      </w:pPr>
      <w:rPr>
        <w:rFonts w:ascii="Courier New" w:hAnsi="Courier New" w:cs="Courier New" w:hint="default"/>
      </w:rPr>
    </w:lvl>
    <w:lvl w:ilvl="5" w:tplc="78CA8022" w:tentative="1">
      <w:start w:val="1"/>
      <w:numFmt w:val="bullet"/>
      <w:lvlText w:val=""/>
      <w:lvlJc w:val="left"/>
      <w:pPr>
        <w:tabs>
          <w:tab w:val="num" w:pos="4320"/>
        </w:tabs>
        <w:ind w:left="4320" w:hanging="360"/>
      </w:pPr>
      <w:rPr>
        <w:rFonts w:ascii="Wingdings" w:hAnsi="Wingdings" w:hint="default"/>
      </w:rPr>
    </w:lvl>
    <w:lvl w:ilvl="6" w:tplc="1242EAB4" w:tentative="1">
      <w:start w:val="1"/>
      <w:numFmt w:val="bullet"/>
      <w:lvlText w:val=""/>
      <w:lvlJc w:val="left"/>
      <w:pPr>
        <w:tabs>
          <w:tab w:val="num" w:pos="5040"/>
        </w:tabs>
        <w:ind w:left="5040" w:hanging="360"/>
      </w:pPr>
      <w:rPr>
        <w:rFonts w:ascii="Symbol" w:hAnsi="Symbol" w:hint="default"/>
      </w:rPr>
    </w:lvl>
    <w:lvl w:ilvl="7" w:tplc="7D1C1766" w:tentative="1">
      <w:start w:val="1"/>
      <w:numFmt w:val="bullet"/>
      <w:lvlText w:val="o"/>
      <w:lvlJc w:val="left"/>
      <w:pPr>
        <w:tabs>
          <w:tab w:val="num" w:pos="5760"/>
        </w:tabs>
        <w:ind w:left="5760" w:hanging="360"/>
      </w:pPr>
      <w:rPr>
        <w:rFonts w:ascii="Courier New" w:hAnsi="Courier New" w:cs="Courier New" w:hint="default"/>
      </w:rPr>
    </w:lvl>
    <w:lvl w:ilvl="8" w:tplc="13DE7746" w:tentative="1">
      <w:start w:val="1"/>
      <w:numFmt w:val="bullet"/>
      <w:lvlText w:val=""/>
      <w:lvlJc w:val="left"/>
      <w:pPr>
        <w:tabs>
          <w:tab w:val="num" w:pos="6480"/>
        </w:tabs>
        <w:ind w:left="6480" w:hanging="360"/>
      </w:pPr>
      <w:rPr>
        <w:rFonts w:ascii="Wingdings" w:hAnsi="Wingdings" w:hint="default"/>
      </w:rPr>
    </w:lvl>
  </w:abstractNum>
  <w:abstractNum w:abstractNumId="92">
    <w:nsid w:val="3BF854A9"/>
    <w:multiLevelType w:val="hybridMultilevel"/>
    <w:tmpl w:val="9F66B9B2"/>
    <w:lvl w:ilvl="0" w:tplc="21B21B8E">
      <w:start w:val="1"/>
      <w:numFmt w:val="decimal"/>
      <w:lvlText w:val="%1."/>
      <w:lvlJc w:val="left"/>
      <w:pPr>
        <w:tabs>
          <w:tab w:val="num" w:pos="-360"/>
        </w:tabs>
        <w:ind w:left="360" w:hanging="360"/>
      </w:pPr>
      <w:rPr>
        <w:rFonts w:cs="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3">
    <w:nsid w:val="3C6F28C6"/>
    <w:multiLevelType w:val="hybridMultilevel"/>
    <w:tmpl w:val="C9BE238E"/>
    <w:lvl w:ilvl="0" w:tplc="146CE74E">
      <w:start w:val="2"/>
      <w:numFmt w:val="bullet"/>
      <w:lvlText w:val="-"/>
      <w:lvlJc w:val="left"/>
      <w:pPr>
        <w:ind w:left="720" w:hanging="360"/>
      </w:pPr>
      <w:rPr>
        <w:rFonts w:ascii="Georgia" w:eastAsia="Arial" w:hAnsi="Georgi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4">
    <w:nsid w:val="3CF0747E"/>
    <w:multiLevelType w:val="hybridMultilevel"/>
    <w:tmpl w:val="6936A61A"/>
    <w:lvl w:ilvl="0" w:tplc="ACBC299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nsid w:val="3D8C7537"/>
    <w:multiLevelType w:val="multilevel"/>
    <w:tmpl w:val="FD1CD4E8"/>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b w:val="0"/>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3EC72653"/>
    <w:multiLevelType w:val="hybridMultilevel"/>
    <w:tmpl w:val="CF44F998"/>
    <w:lvl w:ilvl="0" w:tplc="04090001">
      <w:start w:val="1"/>
      <w:numFmt w:val="bullet"/>
      <w:lvlText w:val=""/>
      <w:lvlJc w:val="left"/>
      <w:pPr>
        <w:ind w:left="1445" w:hanging="360"/>
      </w:pPr>
      <w:rPr>
        <w:rFonts w:ascii="Symbol" w:hAnsi="Symbol" w:hint="default"/>
      </w:rPr>
    </w:lvl>
    <w:lvl w:ilvl="1" w:tplc="04090003" w:tentative="1">
      <w:start w:val="1"/>
      <w:numFmt w:val="bullet"/>
      <w:lvlText w:val="o"/>
      <w:lvlJc w:val="left"/>
      <w:pPr>
        <w:ind w:left="2165" w:hanging="360"/>
      </w:pPr>
      <w:rPr>
        <w:rFonts w:ascii="Courier New" w:hAnsi="Courier New" w:cs="Courier New" w:hint="default"/>
      </w:rPr>
    </w:lvl>
    <w:lvl w:ilvl="2" w:tplc="04090005" w:tentative="1">
      <w:start w:val="1"/>
      <w:numFmt w:val="bullet"/>
      <w:lvlText w:val=""/>
      <w:lvlJc w:val="left"/>
      <w:pPr>
        <w:ind w:left="2885" w:hanging="360"/>
      </w:pPr>
      <w:rPr>
        <w:rFonts w:ascii="Wingdings" w:hAnsi="Wingdings" w:hint="default"/>
      </w:rPr>
    </w:lvl>
    <w:lvl w:ilvl="3" w:tplc="04090001" w:tentative="1">
      <w:start w:val="1"/>
      <w:numFmt w:val="bullet"/>
      <w:lvlText w:val=""/>
      <w:lvlJc w:val="left"/>
      <w:pPr>
        <w:ind w:left="3605" w:hanging="360"/>
      </w:pPr>
      <w:rPr>
        <w:rFonts w:ascii="Symbol" w:hAnsi="Symbol" w:hint="default"/>
      </w:rPr>
    </w:lvl>
    <w:lvl w:ilvl="4" w:tplc="04090003" w:tentative="1">
      <w:start w:val="1"/>
      <w:numFmt w:val="bullet"/>
      <w:lvlText w:val="o"/>
      <w:lvlJc w:val="left"/>
      <w:pPr>
        <w:ind w:left="4325" w:hanging="360"/>
      </w:pPr>
      <w:rPr>
        <w:rFonts w:ascii="Courier New" w:hAnsi="Courier New" w:cs="Courier New" w:hint="default"/>
      </w:rPr>
    </w:lvl>
    <w:lvl w:ilvl="5" w:tplc="04090005" w:tentative="1">
      <w:start w:val="1"/>
      <w:numFmt w:val="bullet"/>
      <w:lvlText w:val=""/>
      <w:lvlJc w:val="left"/>
      <w:pPr>
        <w:ind w:left="5045" w:hanging="360"/>
      </w:pPr>
      <w:rPr>
        <w:rFonts w:ascii="Wingdings" w:hAnsi="Wingdings" w:hint="default"/>
      </w:rPr>
    </w:lvl>
    <w:lvl w:ilvl="6" w:tplc="04090001" w:tentative="1">
      <w:start w:val="1"/>
      <w:numFmt w:val="bullet"/>
      <w:lvlText w:val=""/>
      <w:lvlJc w:val="left"/>
      <w:pPr>
        <w:ind w:left="5765" w:hanging="360"/>
      </w:pPr>
      <w:rPr>
        <w:rFonts w:ascii="Symbol" w:hAnsi="Symbol" w:hint="default"/>
      </w:rPr>
    </w:lvl>
    <w:lvl w:ilvl="7" w:tplc="04090003" w:tentative="1">
      <w:start w:val="1"/>
      <w:numFmt w:val="bullet"/>
      <w:lvlText w:val="o"/>
      <w:lvlJc w:val="left"/>
      <w:pPr>
        <w:ind w:left="6485" w:hanging="360"/>
      </w:pPr>
      <w:rPr>
        <w:rFonts w:ascii="Courier New" w:hAnsi="Courier New" w:cs="Courier New" w:hint="default"/>
      </w:rPr>
    </w:lvl>
    <w:lvl w:ilvl="8" w:tplc="04090005" w:tentative="1">
      <w:start w:val="1"/>
      <w:numFmt w:val="bullet"/>
      <w:lvlText w:val=""/>
      <w:lvlJc w:val="left"/>
      <w:pPr>
        <w:ind w:left="7205" w:hanging="360"/>
      </w:pPr>
      <w:rPr>
        <w:rFonts w:ascii="Wingdings" w:hAnsi="Wingdings" w:hint="default"/>
      </w:rPr>
    </w:lvl>
  </w:abstractNum>
  <w:abstractNum w:abstractNumId="97">
    <w:nsid w:val="3F630A73"/>
    <w:multiLevelType w:val="hybridMultilevel"/>
    <w:tmpl w:val="2FE6E456"/>
    <w:name w:val="PwCListNumbers13"/>
    <w:lvl w:ilvl="0" w:tplc="1C1227B6">
      <w:start w:val="1"/>
      <w:numFmt w:val="bullet"/>
      <w:lvlText w:val=""/>
      <w:lvlJc w:val="left"/>
      <w:pPr>
        <w:ind w:left="720" w:hanging="360"/>
      </w:pPr>
      <w:rPr>
        <w:rFonts w:ascii="Symbol" w:hAnsi="Symbol" w:hint="default"/>
        <w:lang w:val="nl-NL"/>
      </w:rPr>
    </w:lvl>
    <w:lvl w:ilvl="1" w:tplc="F5A8BFB4" w:tentative="1">
      <w:start w:val="1"/>
      <w:numFmt w:val="bullet"/>
      <w:lvlText w:val="o"/>
      <w:lvlJc w:val="left"/>
      <w:pPr>
        <w:ind w:left="1440" w:hanging="360"/>
      </w:pPr>
      <w:rPr>
        <w:rFonts w:ascii="Courier New" w:hAnsi="Courier New" w:cs="Courier New" w:hint="default"/>
      </w:rPr>
    </w:lvl>
    <w:lvl w:ilvl="2" w:tplc="13C00E24" w:tentative="1">
      <w:start w:val="1"/>
      <w:numFmt w:val="bullet"/>
      <w:lvlText w:val=""/>
      <w:lvlJc w:val="left"/>
      <w:pPr>
        <w:ind w:left="2160" w:hanging="360"/>
      </w:pPr>
      <w:rPr>
        <w:rFonts w:ascii="Wingdings" w:hAnsi="Wingdings" w:hint="default"/>
      </w:rPr>
    </w:lvl>
    <w:lvl w:ilvl="3" w:tplc="EE46B93E" w:tentative="1">
      <w:start w:val="1"/>
      <w:numFmt w:val="bullet"/>
      <w:lvlText w:val=""/>
      <w:lvlJc w:val="left"/>
      <w:pPr>
        <w:ind w:left="2880" w:hanging="360"/>
      </w:pPr>
      <w:rPr>
        <w:rFonts w:ascii="Symbol" w:hAnsi="Symbol" w:hint="default"/>
      </w:rPr>
    </w:lvl>
    <w:lvl w:ilvl="4" w:tplc="301CEF3A" w:tentative="1">
      <w:start w:val="1"/>
      <w:numFmt w:val="bullet"/>
      <w:lvlText w:val="o"/>
      <w:lvlJc w:val="left"/>
      <w:pPr>
        <w:ind w:left="3600" w:hanging="360"/>
      </w:pPr>
      <w:rPr>
        <w:rFonts w:ascii="Courier New" w:hAnsi="Courier New" w:cs="Courier New" w:hint="default"/>
      </w:rPr>
    </w:lvl>
    <w:lvl w:ilvl="5" w:tplc="026E9D02" w:tentative="1">
      <w:start w:val="1"/>
      <w:numFmt w:val="bullet"/>
      <w:lvlText w:val=""/>
      <w:lvlJc w:val="left"/>
      <w:pPr>
        <w:ind w:left="4320" w:hanging="360"/>
      </w:pPr>
      <w:rPr>
        <w:rFonts w:ascii="Wingdings" w:hAnsi="Wingdings" w:hint="default"/>
      </w:rPr>
    </w:lvl>
    <w:lvl w:ilvl="6" w:tplc="014E855E" w:tentative="1">
      <w:start w:val="1"/>
      <w:numFmt w:val="bullet"/>
      <w:lvlText w:val=""/>
      <w:lvlJc w:val="left"/>
      <w:pPr>
        <w:ind w:left="5040" w:hanging="360"/>
      </w:pPr>
      <w:rPr>
        <w:rFonts w:ascii="Symbol" w:hAnsi="Symbol" w:hint="default"/>
      </w:rPr>
    </w:lvl>
    <w:lvl w:ilvl="7" w:tplc="FDBE1624" w:tentative="1">
      <w:start w:val="1"/>
      <w:numFmt w:val="bullet"/>
      <w:lvlText w:val="o"/>
      <w:lvlJc w:val="left"/>
      <w:pPr>
        <w:ind w:left="5760" w:hanging="360"/>
      </w:pPr>
      <w:rPr>
        <w:rFonts w:ascii="Courier New" w:hAnsi="Courier New" w:cs="Courier New" w:hint="default"/>
      </w:rPr>
    </w:lvl>
    <w:lvl w:ilvl="8" w:tplc="EA16CFEE" w:tentative="1">
      <w:start w:val="1"/>
      <w:numFmt w:val="bullet"/>
      <w:lvlText w:val=""/>
      <w:lvlJc w:val="left"/>
      <w:pPr>
        <w:ind w:left="6480" w:hanging="360"/>
      </w:pPr>
      <w:rPr>
        <w:rFonts w:ascii="Wingdings" w:hAnsi="Wingdings" w:hint="default"/>
      </w:rPr>
    </w:lvl>
  </w:abstractNum>
  <w:abstractNum w:abstractNumId="98">
    <w:nsid w:val="3F7B0188"/>
    <w:multiLevelType w:val="hybridMultilevel"/>
    <w:tmpl w:val="C3FC0C78"/>
    <w:lvl w:ilvl="0" w:tplc="A526125E">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9">
    <w:nsid w:val="408907BE"/>
    <w:multiLevelType w:val="multilevel"/>
    <w:tmpl w:val="57C82658"/>
    <w:lvl w:ilvl="0">
      <w:start w:val="1"/>
      <w:numFmt w:val="bullet"/>
      <w:pStyle w:val="TableBullet"/>
      <w:lvlText w:val=""/>
      <w:lvlJc w:val="left"/>
      <w:pPr>
        <w:tabs>
          <w:tab w:val="num" w:pos="301"/>
        </w:tabs>
        <w:ind w:left="301" w:hanging="301"/>
      </w:pPr>
      <w:rPr>
        <w:rFonts w:ascii="Symbol" w:hAnsi="Symbol" w:hint="default"/>
        <w:color w:val="0A1B5F"/>
        <w:sz w:val="18"/>
        <w:szCs w:val="18"/>
      </w:rPr>
    </w:lvl>
    <w:lvl w:ilvl="1">
      <w:start w:val="1"/>
      <w:numFmt w:val="bullet"/>
      <w:pStyle w:val="TableBullet2"/>
      <w:lvlText w:val="–"/>
      <w:lvlJc w:val="left"/>
      <w:pPr>
        <w:tabs>
          <w:tab w:val="num" w:pos="601"/>
        </w:tabs>
        <w:ind w:left="601" w:hanging="300"/>
      </w:pPr>
      <w:rPr>
        <w:rFonts w:ascii="Arial" w:hAnsi="Arial" w:hint="default"/>
        <w:color w:val="0A1B5F"/>
        <w:sz w:val="18"/>
        <w:szCs w:val="18"/>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0">
    <w:nsid w:val="423F3B9C"/>
    <w:multiLevelType w:val="hybridMultilevel"/>
    <w:tmpl w:val="C4E4EA66"/>
    <w:lvl w:ilvl="0" w:tplc="DC2AB474">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1">
    <w:nsid w:val="42C6631B"/>
    <w:multiLevelType w:val="hybridMultilevel"/>
    <w:tmpl w:val="BB6CB998"/>
    <w:lvl w:ilvl="0" w:tplc="81980340">
      <w:start w:val="1"/>
      <w:numFmt w:val="bullet"/>
      <w:lvlText w:val="-"/>
      <w:lvlJc w:val="left"/>
      <w:pPr>
        <w:ind w:left="765" w:hanging="360"/>
      </w:pPr>
      <w:rPr>
        <w:rFonts w:ascii="Georgia" w:eastAsia="Arial" w:hAnsi="Georgia" w:cs="Times New Roman" w:hint="default"/>
      </w:rPr>
    </w:lvl>
    <w:lvl w:ilvl="1" w:tplc="04100003" w:tentative="1">
      <w:start w:val="1"/>
      <w:numFmt w:val="bullet"/>
      <w:lvlText w:val="o"/>
      <w:lvlJc w:val="left"/>
      <w:pPr>
        <w:ind w:left="1485" w:hanging="360"/>
      </w:pPr>
      <w:rPr>
        <w:rFonts w:ascii="Courier New" w:hAnsi="Courier New" w:cs="Courier New" w:hint="default"/>
      </w:rPr>
    </w:lvl>
    <w:lvl w:ilvl="2" w:tplc="04100005" w:tentative="1">
      <w:start w:val="1"/>
      <w:numFmt w:val="bullet"/>
      <w:lvlText w:val=""/>
      <w:lvlJc w:val="left"/>
      <w:pPr>
        <w:ind w:left="2205" w:hanging="360"/>
      </w:pPr>
      <w:rPr>
        <w:rFonts w:ascii="Wingdings" w:hAnsi="Wingdings" w:hint="default"/>
      </w:rPr>
    </w:lvl>
    <w:lvl w:ilvl="3" w:tplc="04100001" w:tentative="1">
      <w:start w:val="1"/>
      <w:numFmt w:val="bullet"/>
      <w:lvlText w:val=""/>
      <w:lvlJc w:val="left"/>
      <w:pPr>
        <w:ind w:left="2925" w:hanging="360"/>
      </w:pPr>
      <w:rPr>
        <w:rFonts w:ascii="Symbol" w:hAnsi="Symbol" w:hint="default"/>
      </w:rPr>
    </w:lvl>
    <w:lvl w:ilvl="4" w:tplc="04100003" w:tentative="1">
      <w:start w:val="1"/>
      <w:numFmt w:val="bullet"/>
      <w:lvlText w:val="o"/>
      <w:lvlJc w:val="left"/>
      <w:pPr>
        <w:ind w:left="3645" w:hanging="360"/>
      </w:pPr>
      <w:rPr>
        <w:rFonts w:ascii="Courier New" w:hAnsi="Courier New" w:cs="Courier New" w:hint="default"/>
      </w:rPr>
    </w:lvl>
    <w:lvl w:ilvl="5" w:tplc="04100005" w:tentative="1">
      <w:start w:val="1"/>
      <w:numFmt w:val="bullet"/>
      <w:lvlText w:val=""/>
      <w:lvlJc w:val="left"/>
      <w:pPr>
        <w:ind w:left="4365" w:hanging="360"/>
      </w:pPr>
      <w:rPr>
        <w:rFonts w:ascii="Wingdings" w:hAnsi="Wingdings" w:hint="default"/>
      </w:rPr>
    </w:lvl>
    <w:lvl w:ilvl="6" w:tplc="04100001" w:tentative="1">
      <w:start w:val="1"/>
      <w:numFmt w:val="bullet"/>
      <w:lvlText w:val=""/>
      <w:lvlJc w:val="left"/>
      <w:pPr>
        <w:ind w:left="5085" w:hanging="360"/>
      </w:pPr>
      <w:rPr>
        <w:rFonts w:ascii="Symbol" w:hAnsi="Symbol" w:hint="default"/>
      </w:rPr>
    </w:lvl>
    <w:lvl w:ilvl="7" w:tplc="04100003" w:tentative="1">
      <w:start w:val="1"/>
      <w:numFmt w:val="bullet"/>
      <w:lvlText w:val="o"/>
      <w:lvlJc w:val="left"/>
      <w:pPr>
        <w:ind w:left="5805" w:hanging="360"/>
      </w:pPr>
      <w:rPr>
        <w:rFonts w:ascii="Courier New" w:hAnsi="Courier New" w:cs="Courier New" w:hint="default"/>
      </w:rPr>
    </w:lvl>
    <w:lvl w:ilvl="8" w:tplc="04100005" w:tentative="1">
      <w:start w:val="1"/>
      <w:numFmt w:val="bullet"/>
      <w:lvlText w:val=""/>
      <w:lvlJc w:val="left"/>
      <w:pPr>
        <w:ind w:left="6525" w:hanging="360"/>
      </w:pPr>
      <w:rPr>
        <w:rFonts w:ascii="Wingdings" w:hAnsi="Wingdings" w:hint="default"/>
      </w:rPr>
    </w:lvl>
  </w:abstractNum>
  <w:abstractNum w:abstractNumId="102">
    <w:nsid w:val="44FB260E"/>
    <w:multiLevelType w:val="multilevel"/>
    <w:tmpl w:val="6146509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3">
    <w:nsid w:val="455E609B"/>
    <w:multiLevelType w:val="hybridMultilevel"/>
    <w:tmpl w:val="AABCA3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4">
    <w:nsid w:val="45F57A78"/>
    <w:multiLevelType w:val="hybridMultilevel"/>
    <w:tmpl w:val="D6F89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45FE5E9F"/>
    <w:multiLevelType w:val="hybridMultilevel"/>
    <w:tmpl w:val="79B0F084"/>
    <w:lvl w:ilvl="0" w:tplc="EB9C6D7A">
      <w:start w:val="10"/>
      <w:numFmt w:val="bullet"/>
      <w:lvlText w:val="-"/>
      <w:lvlJc w:val="left"/>
      <w:pPr>
        <w:ind w:left="720" w:hanging="360"/>
      </w:pPr>
      <w:rPr>
        <w:rFonts w:ascii="Times New Roman" w:eastAsia="MS Mincho" w:hAnsi="Times New Roman" w:cs="Times New Roman" w:hint="default"/>
        <w:b/>
        <w:lang w:val="en-G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6">
    <w:nsid w:val="46085B60"/>
    <w:multiLevelType w:val="hybridMultilevel"/>
    <w:tmpl w:val="BF8E373C"/>
    <w:lvl w:ilvl="0" w:tplc="A6DCC684">
      <w:start w:val="3"/>
      <w:numFmt w:val="decimal"/>
      <w:lvlText w:val="%1."/>
      <w:lvlJc w:val="left"/>
      <w:pPr>
        <w:tabs>
          <w:tab w:val="num" w:pos="4455"/>
        </w:tabs>
        <w:ind w:left="5175" w:hanging="360"/>
      </w:pPr>
      <w:rPr>
        <w:rFonts w:cs="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7">
    <w:nsid w:val="46417EBA"/>
    <w:multiLevelType w:val="multilevel"/>
    <w:tmpl w:val="685C2860"/>
    <w:lvl w:ilvl="0">
      <w:start w:val="6"/>
      <w:numFmt w:val="decimal"/>
      <w:lvlText w:val="%1."/>
      <w:lvlJc w:val="left"/>
      <w:pPr>
        <w:ind w:left="360" w:hanging="360"/>
      </w:pPr>
      <w:rPr>
        <w:rFonts w:hint="default"/>
      </w:rPr>
    </w:lvl>
    <w:lvl w:ilvl="1">
      <w:start w:val="6"/>
      <w:numFmt w:val="decimal"/>
      <w:lvlText w:val="%1.%2."/>
      <w:lvlJc w:val="left"/>
      <w:pPr>
        <w:ind w:left="792" w:hanging="432"/>
      </w:pPr>
      <w:rPr>
        <w:rFonts w:hint="default"/>
      </w:rPr>
    </w:lvl>
    <w:lvl w:ilvl="2">
      <w:start w:val="1"/>
      <w:numFmt w:val="decimal"/>
      <w:lvlText w:val="%1.%2.%3."/>
      <w:lvlJc w:val="left"/>
      <w:pPr>
        <w:ind w:left="1224" w:hanging="504"/>
      </w:pPr>
      <w:rPr>
        <w:rFonts w:hint="default"/>
        <w:b w:val="0"/>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8">
    <w:nsid w:val="46F55AA4"/>
    <w:multiLevelType w:val="hybridMultilevel"/>
    <w:tmpl w:val="185CCCF2"/>
    <w:lvl w:ilvl="0" w:tplc="EB9C6D7A">
      <w:start w:val="10"/>
      <w:numFmt w:val="bullet"/>
      <w:lvlText w:val="-"/>
      <w:lvlJc w:val="left"/>
      <w:pPr>
        <w:ind w:left="720" w:hanging="360"/>
      </w:pPr>
      <w:rPr>
        <w:rFonts w:ascii="Times New Roman" w:eastAsia="MS Mincho" w:hAnsi="Times New Roman" w:cs="Times New Roman" w:hint="default"/>
        <w:b/>
        <w:lang w:val="en-G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9">
    <w:nsid w:val="47CD54C8"/>
    <w:multiLevelType w:val="multilevel"/>
    <w:tmpl w:val="71B25550"/>
    <w:name w:val="PwCListBullets12"/>
    <w:lvl w:ilvl="0">
      <w:start w:val="1"/>
      <w:numFmt w:val="decimal"/>
      <w:pStyle w:val="titoli"/>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10">
    <w:nsid w:val="49A161D3"/>
    <w:multiLevelType w:val="multilevel"/>
    <w:tmpl w:val="78C6BAC2"/>
    <w:lvl w:ilvl="0">
      <w:start w:val="1"/>
      <w:numFmt w:val="decimal"/>
      <w:lvlText w:val="%1."/>
      <w:lvlJc w:val="left"/>
      <w:pPr>
        <w:ind w:left="360" w:hanging="360"/>
      </w:pPr>
      <w:rPr>
        <w:rFonts w:hint="default"/>
        <w:b/>
      </w:rPr>
    </w:lvl>
    <w:lvl w:ilvl="1">
      <w:start w:val="6"/>
      <w:numFmt w:val="decimal"/>
      <w:lvlText w:val="%1.%2."/>
      <w:lvlJc w:val="left"/>
      <w:pPr>
        <w:ind w:left="792" w:hanging="432"/>
      </w:pPr>
      <w:rPr>
        <w:rFonts w:hint="default"/>
      </w:rPr>
    </w:lvl>
    <w:lvl w:ilvl="2">
      <w:start w:val="1"/>
      <w:numFmt w:val="decimal"/>
      <w:lvlText w:val="%1.%2.%3."/>
      <w:lvlJc w:val="left"/>
      <w:pPr>
        <w:ind w:left="1224" w:hanging="504"/>
      </w:pPr>
      <w:rPr>
        <w:rFonts w:hint="default"/>
        <w:b w:val="0"/>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1">
    <w:nsid w:val="4A3E71D8"/>
    <w:multiLevelType w:val="hybridMultilevel"/>
    <w:tmpl w:val="526ECD1C"/>
    <w:lvl w:ilvl="0" w:tplc="08090001">
      <w:start w:val="1"/>
      <w:numFmt w:val="decimal"/>
      <w:lvlText w:val="%1."/>
      <w:lvlJc w:val="left"/>
      <w:pPr>
        <w:tabs>
          <w:tab w:val="num" w:pos="360"/>
        </w:tabs>
        <w:ind w:left="360" w:hanging="360"/>
      </w:p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112">
    <w:nsid w:val="4A7661DB"/>
    <w:multiLevelType w:val="hybridMultilevel"/>
    <w:tmpl w:val="9EA6AC2C"/>
    <w:lvl w:ilvl="0" w:tplc="9BA6C8FE">
      <w:start w:val="3"/>
      <w:numFmt w:val="bullet"/>
      <w:lvlText w:val="-"/>
      <w:lvlJc w:val="left"/>
      <w:pPr>
        <w:ind w:left="720" w:hanging="360"/>
      </w:pPr>
      <w:rPr>
        <w:rFonts w:ascii="Georgia" w:eastAsiaTheme="minorHAnsi" w:hAnsi="Georgi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3">
    <w:nsid w:val="4AA146BD"/>
    <w:multiLevelType w:val="multilevel"/>
    <w:tmpl w:val="C6DEB8D2"/>
    <w:lvl w:ilvl="0">
      <w:start w:val="6"/>
      <w:numFmt w:val="decimal"/>
      <w:lvlText w:val="%1."/>
      <w:lvlJc w:val="left"/>
      <w:pPr>
        <w:ind w:left="720" w:hanging="360"/>
      </w:pPr>
      <w:rPr>
        <w:rFonts w:hint="default"/>
        <w:b/>
      </w:rPr>
    </w:lvl>
    <w:lvl w:ilvl="1">
      <w:start w:val="6"/>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240" w:hanging="2880"/>
      </w:pPr>
      <w:rPr>
        <w:rFonts w:hint="default"/>
      </w:rPr>
    </w:lvl>
  </w:abstractNum>
  <w:abstractNum w:abstractNumId="114">
    <w:nsid w:val="4B082884"/>
    <w:multiLevelType w:val="hybridMultilevel"/>
    <w:tmpl w:val="167600F6"/>
    <w:lvl w:ilvl="0" w:tplc="0DD4E758">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5">
    <w:nsid w:val="4BA12B9B"/>
    <w:multiLevelType w:val="hybridMultilevel"/>
    <w:tmpl w:val="4BB26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4C2B421A"/>
    <w:multiLevelType w:val="hybridMultilevel"/>
    <w:tmpl w:val="2B3AD5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7">
    <w:nsid w:val="4C337344"/>
    <w:multiLevelType w:val="hybridMultilevel"/>
    <w:tmpl w:val="9EC67DA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18">
    <w:nsid w:val="4C9254BC"/>
    <w:multiLevelType w:val="hybridMultilevel"/>
    <w:tmpl w:val="F6E08522"/>
    <w:lvl w:ilvl="0" w:tplc="EB9C6D7A">
      <w:start w:val="10"/>
      <w:numFmt w:val="bullet"/>
      <w:lvlText w:val="-"/>
      <w:lvlJc w:val="left"/>
      <w:pPr>
        <w:ind w:left="720" w:hanging="360"/>
      </w:pPr>
      <w:rPr>
        <w:rFonts w:ascii="Times New Roman" w:eastAsia="MS Mincho" w:hAnsi="Times New Roman" w:cs="Times New Roman" w:hint="default"/>
        <w:b/>
        <w:lang w:val="en-G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9">
    <w:nsid w:val="4DA87CC9"/>
    <w:multiLevelType w:val="multilevel"/>
    <w:tmpl w:val="9FE6E420"/>
    <w:name w:val="PwCListNumbers12"/>
    <w:lvl w:ilvl="0">
      <w:start w:val="1"/>
      <w:numFmt w:val="decimal"/>
      <w:pStyle w:val="BijlageHeading1"/>
      <w:lvlText w:val="%1"/>
      <w:lvlJc w:val="left"/>
      <w:pPr>
        <w:tabs>
          <w:tab w:val="num" w:pos="720"/>
        </w:tabs>
        <w:ind w:left="720" w:hanging="720"/>
      </w:pPr>
      <w:rPr>
        <w:rFonts w:ascii="EYInterstate Light" w:hAnsi="EYInterstate Light" w:cs="Times New Roman" w:hint="default"/>
        <w:b/>
        <w:i w:val="0"/>
        <w:sz w:val="28"/>
      </w:rPr>
    </w:lvl>
    <w:lvl w:ilvl="1">
      <w:start w:val="1"/>
      <w:numFmt w:val="decimal"/>
      <w:pStyle w:val="BijlageHeading2"/>
      <w:lvlText w:val="%1.%2"/>
      <w:lvlJc w:val="left"/>
      <w:pPr>
        <w:tabs>
          <w:tab w:val="num" w:pos="720"/>
        </w:tabs>
        <w:ind w:left="720" w:hanging="720"/>
      </w:pPr>
      <w:rPr>
        <w:rFonts w:ascii="EYInterstate Light" w:hAnsi="EYInterstate Light" w:cs="Times New Roman" w:hint="default"/>
        <w:b/>
        <w:i w:val="0"/>
        <w:sz w:val="26"/>
      </w:rPr>
    </w:lvl>
    <w:lvl w:ilvl="2">
      <w:start w:val="1"/>
      <w:numFmt w:val="decimal"/>
      <w:pStyle w:val="BijlageHeading3"/>
      <w:lvlText w:val="%1.%2.%3"/>
      <w:lvlJc w:val="left"/>
      <w:pPr>
        <w:tabs>
          <w:tab w:val="num" w:pos="720"/>
        </w:tabs>
        <w:ind w:left="720" w:hanging="720"/>
      </w:pPr>
      <w:rPr>
        <w:rFonts w:ascii="EYInterstate Light" w:hAnsi="EYInterstate Light" w:cs="Times New Roman" w:hint="default"/>
        <w:b/>
        <w:i w:val="0"/>
        <w:sz w:val="24"/>
      </w:rPr>
    </w:lvl>
    <w:lvl w:ilvl="3">
      <w:start w:val="1"/>
      <w:numFmt w:val="decimal"/>
      <w:suff w:val="nothing"/>
      <w:lvlText w:val="%1.%2.%3.%4"/>
      <w:lvlJc w:val="left"/>
      <w:pPr>
        <w:ind w:left="720" w:hanging="720"/>
      </w:pPr>
      <w:rPr>
        <w:rFonts w:ascii="EYInterstate Light" w:hAnsi="EYInterstate Light" w:cs="Times New Roman" w:hint="default"/>
        <w:b w:val="0"/>
        <w:i w:val="0"/>
        <w:sz w:val="24"/>
      </w:rPr>
    </w:lvl>
    <w:lvl w:ilvl="4">
      <w:start w:val="1"/>
      <w:numFmt w:val="decimal"/>
      <w:lvlText w:val="(%5)"/>
      <w:lvlJc w:val="left"/>
      <w:pPr>
        <w:tabs>
          <w:tab w:val="num" w:pos="0"/>
        </w:tabs>
        <w:ind w:left="3588" w:hanging="708"/>
      </w:pPr>
      <w:rPr>
        <w:rFonts w:cs="Times New Roman" w:hint="default"/>
      </w:rPr>
    </w:lvl>
    <w:lvl w:ilvl="5">
      <w:start w:val="1"/>
      <w:numFmt w:val="lowerLetter"/>
      <w:lvlText w:val="(%6)"/>
      <w:lvlJc w:val="left"/>
      <w:pPr>
        <w:tabs>
          <w:tab w:val="num" w:pos="0"/>
        </w:tabs>
        <w:ind w:left="4296" w:hanging="708"/>
      </w:pPr>
      <w:rPr>
        <w:rFonts w:cs="Times New Roman" w:hint="default"/>
      </w:rPr>
    </w:lvl>
    <w:lvl w:ilvl="6">
      <w:start w:val="1"/>
      <w:numFmt w:val="lowerRoman"/>
      <w:lvlText w:val="(%7)"/>
      <w:lvlJc w:val="left"/>
      <w:pPr>
        <w:tabs>
          <w:tab w:val="num" w:pos="0"/>
        </w:tabs>
        <w:ind w:left="5004" w:hanging="708"/>
      </w:pPr>
      <w:rPr>
        <w:rFonts w:cs="Times New Roman" w:hint="default"/>
      </w:rPr>
    </w:lvl>
    <w:lvl w:ilvl="7">
      <w:start w:val="1"/>
      <w:numFmt w:val="lowerLetter"/>
      <w:lvlText w:val="(%8)"/>
      <w:lvlJc w:val="left"/>
      <w:pPr>
        <w:tabs>
          <w:tab w:val="num" w:pos="0"/>
        </w:tabs>
        <w:ind w:left="5712" w:hanging="708"/>
      </w:pPr>
      <w:rPr>
        <w:rFonts w:cs="Times New Roman" w:hint="default"/>
      </w:rPr>
    </w:lvl>
    <w:lvl w:ilvl="8">
      <w:start w:val="1"/>
      <w:numFmt w:val="lowerRoman"/>
      <w:lvlText w:val="(%9)"/>
      <w:lvlJc w:val="left"/>
      <w:pPr>
        <w:tabs>
          <w:tab w:val="num" w:pos="0"/>
        </w:tabs>
        <w:ind w:left="6420" w:hanging="708"/>
      </w:pPr>
      <w:rPr>
        <w:rFonts w:cs="Times New Roman" w:hint="default"/>
      </w:rPr>
    </w:lvl>
  </w:abstractNum>
  <w:abstractNum w:abstractNumId="120">
    <w:nsid w:val="4F885F4C"/>
    <w:multiLevelType w:val="hybridMultilevel"/>
    <w:tmpl w:val="433CAA6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1">
    <w:nsid w:val="5070257D"/>
    <w:multiLevelType w:val="hybridMultilevel"/>
    <w:tmpl w:val="615EA7CA"/>
    <w:lvl w:ilvl="0" w:tplc="2534ABB4">
      <w:start w:val="1"/>
      <w:numFmt w:val="decimal"/>
      <w:lvlText w:val="%1."/>
      <w:lvlJc w:val="left"/>
      <w:pPr>
        <w:tabs>
          <w:tab w:val="num" w:pos="-360"/>
        </w:tabs>
        <w:ind w:left="360" w:hanging="360"/>
      </w:pPr>
      <w:rPr>
        <w:rFonts w:cs="Times New Roman"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2">
    <w:nsid w:val="50B276A6"/>
    <w:multiLevelType w:val="hybridMultilevel"/>
    <w:tmpl w:val="FB8A81E6"/>
    <w:lvl w:ilvl="0" w:tplc="0DD4E758">
      <w:numFmt w:val="bullet"/>
      <w:lvlText w:val="-"/>
      <w:lvlJc w:val="left"/>
      <w:pPr>
        <w:ind w:left="720" w:hanging="360"/>
      </w:pPr>
      <w:rPr>
        <w:rFonts w:ascii="Calibri" w:eastAsiaTheme="minorHAnsi" w:hAnsi="Calibri" w:cstheme="minorBid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3">
    <w:nsid w:val="50C9758D"/>
    <w:multiLevelType w:val="hybridMultilevel"/>
    <w:tmpl w:val="EDEC30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4">
    <w:nsid w:val="51154C29"/>
    <w:multiLevelType w:val="hybridMultilevel"/>
    <w:tmpl w:val="F3547062"/>
    <w:lvl w:ilvl="0" w:tplc="9BA6C8FE">
      <w:start w:val="3"/>
      <w:numFmt w:val="bullet"/>
      <w:lvlText w:val="-"/>
      <w:lvlJc w:val="left"/>
      <w:pPr>
        <w:ind w:left="720" w:hanging="360"/>
      </w:pPr>
      <w:rPr>
        <w:rFonts w:ascii="Georgia" w:eastAsiaTheme="minorHAnsi" w:hAnsi="Georgi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5">
    <w:nsid w:val="52816805"/>
    <w:multiLevelType w:val="hybridMultilevel"/>
    <w:tmpl w:val="9668B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52B35BE2"/>
    <w:multiLevelType w:val="hybridMultilevel"/>
    <w:tmpl w:val="82B2487E"/>
    <w:lvl w:ilvl="0" w:tplc="A3F6A3DE">
      <w:start w:val="1"/>
      <w:numFmt w:val="bullet"/>
      <w:pStyle w:val="Rientrotesto3"/>
      <w:lvlText w:val=""/>
      <w:lvlJc w:val="left"/>
      <w:pPr>
        <w:tabs>
          <w:tab w:val="num" w:pos="360"/>
        </w:tabs>
        <w:ind w:left="360" w:hanging="360"/>
      </w:pPr>
      <w:rPr>
        <w:rFonts w:ascii="Wingdings" w:hAnsi="Wingdings" w:cs="Times New Roman" w:hint="default"/>
        <w:color w:val="C90039"/>
        <w:sz w:val="20"/>
      </w:rPr>
    </w:lvl>
    <w:lvl w:ilvl="1" w:tplc="17348D2E">
      <w:start w:val="1"/>
      <w:numFmt w:val="decimal"/>
      <w:lvlText w:val="%2"/>
      <w:lvlJc w:val="left"/>
      <w:pPr>
        <w:tabs>
          <w:tab w:val="num" w:pos="1440"/>
        </w:tabs>
        <w:ind w:left="1440" w:hanging="360"/>
      </w:pPr>
      <w:rPr>
        <w:rFonts w:hint="default"/>
        <w:sz w:val="20"/>
      </w:rPr>
    </w:lvl>
    <w:lvl w:ilvl="2" w:tplc="8BE681C8" w:tentative="1">
      <w:start w:val="1"/>
      <w:numFmt w:val="bullet"/>
      <w:lvlText w:val=""/>
      <w:lvlJc w:val="left"/>
      <w:pPr>
        <w:tabs>
          <w:tab w:val="num" w:pos="2160"/>
        </w:tabs>
        <w:ind w:left="2160" w:hanging="360"/>
      </w:pPr>
      <w:rPr>
        <w:rFonts w:ascii="Wingdings" w:hAnsi="Wingdings" w:hint="default"/>
      </w:rPr>
    </w:lvl>
    <w:lvl w:ilvl="3" w:tplc="343AFBB0" w:tentative="1">
      <w:start w:val="1"/>
      <w:numFmt w:val="bullet"/>
      <w:lvlText w:val=""/>
      <w:lvlJc w:val="left"/>
      <w:pPr>
        <w:tabs>
          <w:tab w:val="num" w:pos="2880"/>
        </w:tabs>
        <w:ind w:left="2880" w:hanging="360"/>
      </w:pPr>
      <w:rPr>
        <w:rFonts w:ascii="Symbol" w:hAnsi="Symbol" w:hint="default"/>
      </w:rPr>
    </w:lvl>
    <w:lvl w:ilvl="4" w:tplc="2DCEB6D2" w:tentative="1">
      <w:start w:val="1"/>
      <w:numFmt w:val="bullet"/>
      <w:lvlText w:val="o"/>
      <w:lvlJc w:val="left"/>
      <w:pPr>
        <w:tabs>
          <w:tab w:val="num" w:pos="3600"/>
        </w:tabs>
        <w:ind w:left="3600" w:hanging="360"/>
      </w:pPr>
      <w:rPr>
        <w:rFonts w:ascii="Courier New" w:hAnsi="Courier New" w:hint="default"/>
      </w:rPr>
    </w:lvl>
    <w:lvl w:ilvl="5" w:tplc="4928F2D8" w:tentative="1">
      <w:start w:val="1"/>
      <w:numFmt w:val="bullet"/>
      <w:lvlText w:val=""/>
      <w:lvlJc w:val="left"/>
      <w:pPr>
        <w:tabs>
          <w:tab w:val="num" w:pos="4320"/>
        </w:tabs>
        <w:ind w:left="4320" w:hanging="360"/>
      </w:pPr>
      <w:rPr>
        <w:rFonts w:ascii="Wingdings" w:hAnsi="Wingdings" w:hint="default"/>
      </w:rPr>
    </w:lvl>
    <w:lvl w:ilvl="6" w:tplc="F5E84562" w:tentative="1">
      <w:start w:val="1"/>
      <w:numFmt w:val="bullet"/>
      <w:lvlText w:val=""/>
      <w:lvlJc w:val="left"/>
      <w:pPr>
        <w:tabs>
          <w:tab w:val="num" w:pos="5040"/>
        </w:tabs>
        <w:ind w:left="5040" w:hanging="360"/>
      </w:pPr>
      <w:rPr>
        <w:rFonts w:ascii="Symbol" w:hAnsi="Symbol" w:hint="default"/>
      </w:rPr>
    </w:lvl>
    <w:lvl w:ilvl="7" w:tplc="1CB46584" w:tentative="1">
      <w:start w:val="1"/>
      <w:numFmt w:val="bullet"/>
      <w:lvlText w:val="o"/>
      <w:lvlJc w:val="left"/>
      <w:pPr>
        <w:tabs>
          <w:tab w:val="num" w:pos="5760"/>
        </w:tabs>
        <w:ind w:left="5760" w:hanging="360"/>
      </w:pPr>
      <w:rPr>
        <w:rFonts w:ascii="Courier New" w:hAnsi="Courier New" w:hint="default"/>
      </w:rPr>
    </w:lvl>
    <w:lvl w:ilvl="8" w:tplc="E09E9D52" w:tentative="1">
      <w:start w:val="1"/>
      <w:numFmt w:val="bullet"/>
      <w:lvlText w:val=""/>
      <w:lvlJc w:val="left"/>
      <w:pPr>
        <w:tabs>
          <w:tab w:val="num" w:pos="6480"/>
        </w:tabs>
        <w:ind w:left="6480" w:hanging="360"/>
      </w:pPr>
      <w:rPr>
        <w:rFonts w:ascii="Wingdings" w:hAnsi="Wingdings" w:hint="default"/>
      </w:rPr>
    </w:lvl>
  </w:abstractNum>
  <w:abstractNum w:abstractNumId="127">
    <w:nsid w:val="53AF3143"/>
    <w:multiLevelType w:val="hybridMultilevel"/>
    <w:tmpl w:val="7EC84D8E"/>
    <w:lvl w:ilvl="0" w:tplc="78BC5CB8">
      <w:start w:val="1"/>
      <w:numFmt w:val="decimal"/>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8">
    <w:nsid w:val="54255422"/>
    <w:multiLevelType w:val="hybridMultilevel"/>
    <w:tmpl w:val="DED2A3AC"/>
    <w:lvl w:ilvl="0" w:tplc="59407F98">
      <w:start w:val="1"/>
      <w:numFmt w:val="bullet"/>
      <w:pStyle w:val="Tablebullet0"/>
      <w:lvlText w:val="•"/>
      <w:lvlJc w:val="left"/>
      <w:pPr>
        <w:tabs>
          <w:tab w:val="num" w:pos="403"/>
        </w:tabs>
        <w:ind w:left="403" w:hanging="216"/>
      </w:pPr>
      <w:rPr>
        <w:rFonts w:ascii="Arial" w:hAnsi="Arial" w:hint="default"/>
        <w:color w:val="00457C"/>
      </w:rPr>
    </w:lvl>
    <w:lvl w:ilvl="1" w:tplc="8C36546C" w:tentative="1">
      <w:start w:val="1"/>
      <w:numFmt w:val="bullet"/>
      <w:lvlText w:val="o"/>
      <w:lvlJc w:val="left"/>
      <w:pPr>
        <w:tabs>
          <w:tab w:val="num" w:pos="1440"/>
        </w:tabs>
        <w:ind w:left="1440" w:hanging="360"/>
      </w:pPr>
      <w:rPr>
        <w:rFonts w:ascii="Courier New" w:hAnsi="Courier New" w:hint="default"/>
      </w:rPr>
    </w:lvl>
    <w:lvl w:ilvl="2" w:tplc="2EE8E0E4" w:tentative="1">
      <w:start w:val="1"/>
      <w:numFmt w:val="bullet"/>
      <w:lvlText w:val=""/>
      <w:lvlJc w:val="left"/>
      <w:pPr>
        <w:tabs>
          <w:tab w:val="num" w:pos="2160"/>
        </w:tabs>
        <w:ind w:left="2160" w:hanging="360"/>
      </w:pPr>
      <w:rPr>
        <w:rFonts w:ascii="Wingdings" w:hAnsi="Wingdings" w:hint="default"/>
      </w:rPr>
    </w:lvl>
    <w:lvl w:ilvl="3" w:tplc="368E5FB8" w:tentative="1">
      <w:start w:val="1"/>
      <w:numFmt w:val="bullet"/>
      <w:lvlText w:val=""/>
      <w:lvlJc w:val="left"/>
      <w:pPr>
        <w:tabs>
          <w:tab w:val="num" w:pos="2880"/>
        </w:tabs>
        <w:ind w:left="2880" w:hanging="360"/>
      </w:pPr>
      <w:rPr>
        <w:rFonts w:ascii="Symbol" w:hAnsi="Symbol" w:hint="default"/>
      </w:rPr>
    </w:lvl>
    <w:lvl w:ilvl="4" w:tplc="ABA0883E" w:tentative="1">
      <w:start w:val="1"/>
      <w:numFmt w:val="bullet"/>
      <w:lvlText w:val="o"/>
      <w:lvlJc w:val="left"/>
      <w:pPr>
        <w:tabs>
          <w:tab w:val="num" w:pos="3600"/>
        </w:tabs>
        <w:ind w:left="3600" w:hanging="360"/>
      </w:pPr>
      <w:rPr>
        <w:rFonts w:ascii="Courier New" w:hAnsi="Courier New" w:hint="default"/>
      </w:rPr>
    </w:lvl>
    <w:lvl w:ilvl="5" w:tplc="30C8D298" w:tentative="1">
      <w:start w:val="1"/>
      <w:numFmt w:val="bullet"/>
      <w:lvlText w:val=""/>
      <w:lvlJc w:val="left"/>
      <w:pPr>
        <w:tabs>
          <w:tab w:val="num" w:pos="4320"/>
        </w:tabs>
        <w:ind w:left="4320" w:hanging="360"/>
      </w:pPr>
      <w:rPr>
        <w:rFonts w:ascii="Wingdings" w:hAnsi="Wingdings" w:hint="default"/>
      </w:rPr>
    </w:lvl>
    <w:lvl w:ilvl="6" w:tplc="CFCA1348" w:tentative="1">
      <w:start w:val="1"/>
      <w:numFmt w:val="bullet"/>
      <w:lvlText w:val=""/>
      <w:lvlJc w:val="left"/>
      <w:pPr>
        <w:tabs>
          <w:tab w:val="num" w:pos="5040"/>
        </w:tabs>
        <w:ind w:left="5040" w:hanging="360"/>
      </w:pPr>
      <w:rPr>
        <w:rFonts w:ascii="Symbol" w:hAnsi="Symbol" w:hint="default"/>
      </w:rPr>
    </w:lvl>
    <w:lvl w:ilvl="7" w:tplc="3698C47A" w:tentative="1">
      <w:start w:val="1"/>
      <w:numFmt w:val="bullet"/>
      <w:lvlText w:val="o"/>
      <w:lvlJc w:val="left"/>
      <w:pPr>
        <w:tabs>
          <w:tab w:val="num" w:pos="5760"/>
        </w:tabs>
        <w:ind w:left="5760" w:hanging="360"/>
      </w:pPr>
      <w:rPr>
        <w:rFonts w:ascii="Courier New" w:hAnsi="Courier New" w:hint="default"/>
      </w:rPr>
    </w:lvl>
    <w:lvl w:ilvl="8" w:tplc="186A1F40" w:tentative="1">
      <w:start w:val="1"/>
      <w:numFmt w:val="bullet"/>
      <w:lvlText w:val=""/>
      <w:lvlJc w:val="left"/>
      <w:pPr>
        <w:tabs>
          <w:tab w:val="num" w:pos="6480"/>
        </w:tabs>
        <w:ind w:left="6480" w:hanging="360"/>
      </w:pPr>
      <w:rPr>
        <w:rFonts w:ascii="Wingdings" w:hAnsi="Wingdings" w:hint="default"/>
      </w:rPr>
    </w:lvl>
  </w:abstractNum>
  <w:abstractNum w:abstractNumId="129">
    <w:nsid w:val="55032302"/>
    <w:multiLevelType w:val="hybridMultilevel"/>
    <w:tmpl w:val="9214B364"/>
    <w:lvl w:ilvl="0" w:tplc="7B7EECDE">
      <w:start w:val="2"/>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0">
    <w:nsid w:val="55420515"/>
    <w:multiLevelType w:val="hybridMultilevel"/>
    <w:tmpl w:val="5FC6827A"/>
    <w:lvl w:ilvl="0" w:tplc="FD7283D2">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1">
    <w:nsid w:val="566B0F87"/>
    <w:multiLevelType w:val="hybridMultilevel"/>
    <w:tmpl w:val="BD6C662A"/>
    <w:lvl w:ilvl="0" w:tplc="EB9C6D7A">
      <w:start w:val="10"/>
      <w:numFmt w:val="bullet"/>
      <w:lvlText w:val="-"/>
      <w:lvlJc w:val="left"/>
      <w:pPr>
        <w:tabs>
          <w:tab w:val="num" w:pos="720"/>
        </w:tabs>
        <w:ind w:left="720" w:hanging="360"/>
      </w:pPr>
      <w:rPr>
        <w:rFonts w:ascii="Times New Roman" w:eastAsia="MS Mincho" w:hAnsi="Times New Roman" w:cs="Times New Roman" w:hint="default"/>
        <w:b/>
        <w:lang w:val="en-GB"/>
      </w:rPr>
    </w:lvl>
    <w:lvl w:ilvl="1" w:tplc="1ADE109E" w:tentative="1">
      <w:start w:val="1"/>
      <w:numFmt w:val="bullet"/>
      <w:lvlText w:val="•"/>
      <w:lvlJc w:val="left"/>
      <w:pPr>
        <w:tabs>
          <w:tab w:val="num" w:pos="1440"/>
        </w:tabs>
        <w:ind w:left="1440" w:hanging="360"/>
      </w:pPr>
      <w:rPr>
        <w:rFonts w:ascii="Arial" w:hAnsi="Arial" w:hint="default"/>
      </w:rPr>
    </w:lvl>
    <w:lvl w:ilvl="2" w:tplc="DE9237D6" w:tentative="1">
      <w:start w:val="1"/>
      <w:numFmt w:val="bullet"/>
      <w:lvlText w:val="•"/>
      <w:lvlJc w:val="left"/>
      <w:pPr>
        <w:tabs>
          <w:tab w:val="num" w:pos="2160"/>
        </w:tabs>
        <w:ind w:left="2160" w:hanging="360"/>
      </w:pPr>
      <w:rPr>
        <w:rFonts w:ascii="Arial" w:hAnsi="Arial" w:hint="default"/>
      </w:rPr>
    </w:lvl>
    <w:lvl w:ilvl="3" w:tplc="9496AF7E" w:tentative="1">
      <w:start w:val="1"/>
      <w:numFmt w:val="bullet"/>
      <w:lvlText w:val="•"/>
      <w:lvlJc w:val="left"/>
      <w:pPr>
        <w:tabs>
          <w:tab w:val="num" w:pos="2880"/>
        </w:tabs>
        <w:ind w:left="2880" w:hanging="360"/>
      </w:pPr>
      <w:rPr>
        <w:rFonts w:ascii="Arial" w:hAnsi="Arial" w:hint="default"/>
      </w:rPr>
    </w:lvl>
    <w:lvl w:ilvl="4" w:tplc="1A06C4A6" w:tentative="1">
      <w:start w:val="1"/>
      <w:numFmt w:val="bullet"/>
      <w:lvlText w:val="•"/>
      <w:lvlJc w:val="left"/>
      <w:pPr>
        <w:tabs>
          <w:tab w:val="num" w:pos="3600"/>
        </w:tabs>
        <w:ind w:left="3600" w:hanging="360"/>
      </w:pPr>
      <w:rPr>
        <w:rFonts w:ascii="Arial" w:hAnsi="Arial" w:hint="default"/>
      </w:rPr>
    </w:lvl>
    <w:lvl w:ilvl="5" w:tplc="C952DF84" w:tentative="1">
      <w:start w:val="1"/>
      <w:numFmt w:val="bullet"/>
      <w:lvlText w:val="•"/>
      <w:lvlJc w:val="left"/>
      <w:pPr>
        <w:tabs>
          <w:tab w:val="num" w:pos="4320"/>
        </w:tabs>
        <w:ind w:left="4320" w:hanging="360"/>
      </w:pPr>
      <w:rPr>
        <w:rFonts w:ascii="Arial" w:hAnsi="Arial" w:hint="default"/>
      </w:rPr>
    </w:lvl>
    <w:lvl w:ilvl="6" w:tplc="767266FE" w:tentative="1">
      <w:start w:val="1"/>
      <w:numFmt w:val="bullet"/>
      <w:lvlText w:val="•"/>
      <w:lvlJc w:val="left"/>
      <w:pPr>
        <w:tabs>
          <w:tab w:val="num" w:pos="5040"/>
        </w:tabs>
        <w:ind w:left="5040" w:hanging="360"/>
      </w:pPr>
      <w:rPr>
        <w:rFonts w:ascii="Arial" w:hAnsi="Arial" w:hint="default"/>
      </w:rPr>
    </w:lvl>
    <w:lvl w:ilvl="7" w:tplc="9B4C41B8" w:tentative="1">
      <w:start w:val="1"/>
      <w:numFmt w:val="bullet"/>
      <w:lvlText w:val="•"/>
      <w:lvlJc w:val="left"/>
      <w:pPr>
        <w:tabs>
          <w:tab w:val="num" w:pos="5760"/>
        </w:tabs>
        <w:ind w:left="5760" w:hanging="360"/>
      </w:pPr>
      <w:rPr>
        <w:rFonts w:ascii="Arial" w:hAnsi="Arial" w:hint="default"/>
      </w:rPr>
    </w:lvl>
    <w:lvl w:ilvl="8" w:tplc="97D08790" w:tentative="1">
      <w:start w:val="1"/>
      <w:numFmt w:val="bullet"/>
      <w:lvlText w:val="•"/>
      <w:lvlJc w:val="left"/>
      <w:pPr>
        <w:tabs>
          <w:tab w:val="num" w:pos="6480"/>
        </w:tabs>
        <w:ind w:left="6480" w:hanging="360"/>
      </w:pPr>
      <w:rPr>
        <w:rFonts w:ascii="Arial" w:hAnsi="Arial" w:hint="default"/>
      </w:rPr>
    </w:lvl>
  </w:abstractNum>
  <w:abstractNum w:abstractNumId="132">
    <w:nsid w:val="57866F89"/>
    <w:multiLevelType w:val="hybridMultilevel"/>
    <w:tmpl w:val="1CEC0520"/>
    <w:lvl w:ilvl="0" w:tplc="784EEB60">
      <w:start w:val="1"/>
      <w:numFmt w:val="bullet"/>
      <w:pStyle w:val="Tableboxlist"/>
      <w:lvlText w:val=""/>
      <w:lvlJc w:val="left"/>
      <w:pPr>
        <w:ind w:left="720" w:hanging="360"/>
      </w:pPr>
      <w:rPr>
        <w:rFonts w:ascii="Symbol" w:hAnsi="Symbol" w:hint="default"/>
      </w:rPr>
    </w:lvl>
    <w:lvl w:ilvl="1" w:tplc="89DC3A2C" w:tentative="1">
      <w:start w:val="1"/>
      <w:numFmt w:val="bullet"/>
      <w:lvlText w:val="o"/>
      <w:lvlJc w:val="left"/>
      <w:pPr>
        <w:ind w:left="1440" w:hanging="360"/>
      </w:pPr>
      <w:rPr>
        <w:rFonts w:ascii="Courier New" w:hAnsi="Courier New" w:cs="Symbol" w:hint="default"/>
      </w:rPr>
    </w:lvl>
    <w:lvl w:ilvl="2" w:tplc="069AA69C" w:tentative="1">
      <w:start w:val="1"/>
      <w:numFmt w:val="bullet"/>
      <w:lvlText w:val=""/>
      <w:lvlJc w:val="left"/>
      <w:pPr>
        <w:ind w:left="2160" w:hanging="360"/>
      </w:pPr>
      <w:rPr>
        <w:rFonts w:ascii="Wingdings" w:hAnsi="Wingdings" w:hint="default"/>
      </w:rPr>
    </w:lvl>
    <w:lvl w:ilvl="3" w:tplc="5A68E06C" w:tentative="1">
      <w:start w:val="1"/>
      <w:numFmt w:val="bullet"/>
      <w:lvlText w:val=""/>
      <w:lvlJc w:val="left"/>
      <w:pPr>
        <w:ind w:left="2880" w:hanging="360"/>
      </w:pPr>
      <w:rPr>
        <w:rFonts w:ascii="Symbol" w:hAnsi="Symbol" w:hint="default"/>
      </w:rPr>
    </w:lvl>
    <w:lvl w:ilvl="4" w:tplc="15DAA4A2" w:tentative="1">
      <w:start w:val="1"/>
      <w:numFmt w:val="bullet"/>
      <w:lvlText w:val="o"/>
      <w:lvlJc w:val="left"/>
      <w:pPr>
        <w:ind w:left="3600" w:hanging="360"/>
      </w:pPr>
      <w:rPr>
        <w:rFonts w:ascii="Courier New" w:hAnsi="Courier New" w:cs="Symbol" w:hint="default"/>
      </w:rPr>
    </w:lvl>
    <w:lvl w:ilvl="5" w:tplc="82B82D76" w:tentative="1">
      <w:start w:val="1"/>
      <w:numFmt w:val="bullet"/>
      <w:lvlText w:val=""/>
      <w:lvlJc w:val="left"/>
      <w:pPr>
        <w:ind w:left="4320" w:hanging="360"/>
      </w:pPr>
      <w:rPr>
        <w:rFonts w:ascii="Wingdings" w:hAnsi="Wingdings" w:hint="default"/>
      </w:rPr>
    </w:lvl>
    <w:lvl w:ilvl="6" w:tplc="6B0C19A2" w:tentative="1">
      <w:start w:val="1"/>
      <w:numFmt w:val="bullet"/>
      <w:lvlText w:val=""/>
      <w:lvlJc w:val="left"/>
      <w:pPr>
        <w:ind w:left="5040" w:hanging="360"/>
      </w:pPr>
      <w:rPr>
        <w:rFonts w:ascii="Symbol" w:hAnsi="Symbol" w:hint="default"/>
      </w:rPr>
    </w:lvl>
    <w:lvl w:ilvl="7" w:tplc="DD386AB8" w:tentative="1">
      <w:start w:val="1"/>
      <w:numFmt w:val="bullet"/>
      <w:lvlText w:val="o"/>
      <w:lvlJc w:val="left"/>
      <w:pPr>
        <w:ind w:left="5760" w:hanging="360"/>
      </w:pPr>
      <w:rPr>
        <w:rFonts w:ascii="Courier New" w:hAnsi="Courier New" w:cs="Symbol" w:hint="default"/>
      </w:rPr>
    </w:lvl>
    <w:lvl w:ilvl="8" w:tplc="81180E7C" w:tentative="1">
      <w:start w:val="1"/>
      <w:numFmt w:val="bullet"/>
      <w:lvlText w:val=""/>
      <w:lvlJc w:val="left"/>
      <w:pPr>
        <w:ind w:left="6480" w:hanging="360"/>
      </w:pPr>
      <w:rPr>
        <w:rFonts w:ascii="Wingdings" w:hAnsi="Wingdings" w:hint="default"/>
      </w:rPr>
    </w:lvl>
  </w:abstractNum>
  <w:abstractNum w:abstractNumId="133">
    <w:nsid w:val="57A46895"/>
    <w:multiLevelType w:val="hybridMultilevel"/>
    <w:tmpl w:val="AF6084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4">
    <w:nsid w:val="58811823"/>
    <w:multiLevelType w:val="hybridMultilevel"/>
    <w:tmpl w:val="8CAAE126"/>
    <w:lvl w:ilvl="0" w:tplc="32AA1218">
      <w:start w:val="3"/>
      <w:numFmt w:val="decimal"/>
      <w:lvlText w:val="%1."/>
      <w:lvlJc w:val="left"/>
      <w:pPr>
        <w:ind w:left="720" w:hanging="360"/>
      </w:pPr>
      <w:rPr>
        <w:rFonts w:cs="Times New Roman"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5">
    <w:nsid w:val="591F4C35"/>
    <w:multiLevelType w:val="hybridMultilevel"/>
    <w:tmpl w:val="50BE05D6"/>
    <w:lvl w:ilvl="0" w:tplc="5DA876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593A52A4"/>
    <w:multiLevelType w:val="hybridMultilevel"/>
    <w:tmpl w:val="E4040FCE"/>
    <w:lvl w:ilvl="0" w:tplc="04100001">
      <w:start w:val="1"/>
      <w:numFmt w:val="bullet"/>
      <w:pStyle w:val="Sottolista"/>
      <w:lvlText w:val="-"/>
      <w:lvlJc w:val="left"/>
      <w:pPr>
        <w:tabs>
          <w:tab w:val="num" w:pos="851"/>
        </w:tabs>
        <w:ind w:left="851" w:hanging="284"/>
      </w:pPr>
      <w:rPr>
        <w:rFonts w:ascii="Courier New" w:hAnsi="Courier New" w:hint="default"/>
      </w:rPr>
    </w:lvl>
    <w:lvl w:ilvl="1" w:tplc="04100003">
      <w:start w:val="1"/>
      <w:numFmt w:val="bullet"/>
      <w:lvlText w:val="o"/>
      <w:lvlJc w:val="left"/>
      <w:pPr>
        <w:tabs>
          <w:tab w:val="num" w:pos="1363"/>
        </w:tabs>
        <w:ind w:left="1363" w:hanging="283"/>
      </w:pPr>
      <w:rPr>
        <w:rFonts w:ascii="Courier New" w:hAnsi="Courier New" w:cs="Courier New" w:hint="default"/>
        <w:sz w:val="20"/>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7">
    <w:nsid w:val="59E16441"/>
    <w:multiLevelType w:val="hybridMultilevel"/>
    <w:tmpl w:val="D8D4C4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8">
    <w:nsid w:val="5C07514F"/>
    <w:multiLevelType w:val="hybridMultilevel"/>
    <w:tmpl w:val="0F1AA3CE"/>
    <w:lvl w:ilvl="0" w:tplc="0DD4E758">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9">
    <w:nsid w:val="5C1E296A"/>
    <w:multiLevelType w:val="hybridMultilevel"/>
    <w:tmpl w:val="D624DDD4"/>
    <w:lvl w:ilvl="0" w:tplc="70F8377E">
      <w:start w:val="1"/>
      <w:numFmt w:val="bullet"/>
      <w:pStyle w:val="EndNoteBibliography"/>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5C26643A"/>
    <w:multiLevelType w:val="hybridMultilevel"/>
    <w:tmpl w:val="C236418C"/>
    <w:lvl w:ilvl="0" w:tplc="17EE474A">
      <w:start w:val="1"/>
      <w:numFmt w:val="bullet"/>
      <w:lvlText w:val=""/>
      <w:lvlPicBulletId w:val="0"/>
      <w:lvlJc w:val="left"/>
      <w:pPr>
        <w:tabs>
          <w:tab w:val="num" w:pos="720"/>
        </w:tabs>
        <w:ind w:left="720" w:hanging="360"/>
      </w:pPr>
      <w:rPr>
        <w:rFonts w:ascii="Symbol" w:hAnsi="Symbol" w:hint="default"/>
      </w:rPr>
    </w:lvl>
    <w:lvl w:ilvl="1" w:tplc="6E507BC6" w:tentative="1">
      <w:start w:val="1"/>
      <w:numFmt w:val="bullet"/>
      <w:lvlText w:val=""/>
      <w:lvlJc w:val="left"/>
      <w:pPr>
        <w:tabs>
          <w:tab w:val="num" w:pos="1440"/>
        </w:tabs>
        <w:ind w:left="1440" w:hanging="360"/>
      </w:pPr>
      <w:rPr>
        <w:rFonts w:ascii="Symbol" w:hAnsi="Symbol" w:hint="default"/>
      </w:rPr>
    </w:lvl>
    <w:lvl w:ilvl="2" w:tplc="CB0AE872" w:tentative="1">
      <w:start w:val="1"/>
      <w:numFmt w:val="bullet"/>
      <w:lvlText w:val=""/>
      <w:lvlJc w:val="left"/>
      <w:pPr>
        <w:tabs>
          <w:tab w:val="num" w:pos="2160"/>
        </w:tabs>
        <w:ind w:left="2160" w:hanging="360"/>
      </w:pPr>
      <w:rPr>
        <w:rFonts w:ascii="Symbol" w:hAnsi="Symbol" w:hint="default"/>
      </w:rPr>
    </w:lvl>
    <w:lvl w:ilvl="3" w:tplc="062C4458" w:tentative="1">
      <w:start w:val="1"/>
      <w:numFmt w:val="bullet"/>
      <w:lvlText w:val=""/>
      <w:lvlJc w:val="left"/>
      <w:pPr>
        <w:tabs>
          <w:tab w:val="num" w:pos="2880"/>
        </w:tabs>
        <w:ind w:left="2880" w:hanging="360"/>
      </w:pPr>
      <w:rPr>
        <w:rFonts w:ascii="Symbol" w:hAnsi="Symbol" w:hint="default"/>
      </w:rPr>
    </w:lvl>
    <w:lvl w:ilvl="4" w:tplc="691CF526" w:tentative="1">
      <w:start w:val="1"/>
      <w:numFmt w:val="bullet"/>
      <w:lvlText w:val=""/>
      <w:lvlJc w:val="left"/>
      <w:pPr>
        <w:tabs>
          <w:tab w:val="num" w:pos="3600"/>
        </w:tabs>
        <w:ind w:left="3600" w:hanging="360"/>
      </w:pPr>
      <w:rPr>
        <w:rFonts w:ascii="Symbol" w:hAnsi="Symbol" w:hint="default"/>
      </w:rPr>
    </w:lvl>
    <w:lvl w:ilvl="5" w:tplc="5030CA72" w:tentative="1">
      <w:start w:val="1"/>
      <w:numFmt w:val="bullet"/>
      <w:lvlText w:val=""/>
      <w:lvlJc w:val="left"/>
      <w:pPr>
        <w:tabs>
          <w:tab w:val="num" w:pos="4320"/>
        </w:tabs>
        <w:ind w:left="4320" w:hanging="360"/>
      </w:pPr>
      <w:rPr>
        <w:rFonts w:ascii="Symbol" w:hAnsi="Symbol" w:hint="default"/>
      </w:rPr>
    </w:lvl>
    <w:lvl w:ilvl="6" w:tplc="EDF4380A" w:tentative="1">
      <w:start w:val="1"/>
      <w:numFmt w:val="bullet"/>
      <w:lvlText w:val=""/>
      <w:lvlJc w:val="left"/>
      <w:pPr>
        <w:tabs>
          <w:tab w:val="num" w:pos="5040"/>
        </w:tabs>
        <w:ind w:left="5040" w:hanging="360"/>
      </w:pPr>
      <w:rPr>
        <w:rFonts w:ascii="Symbol" w:hAnsi="Symbol" w:hint="default"/>
      </w:rPr>
    </w:lvl>
    <w:lvl w:ilvl="7" w:tplc="337ECA30" w:tentative="1">
      <w:start w:val="1"/>
      <w:numFmt w:val="bullet"/>
      <w:lvlText w:val=""/>
      <w:lvlJc w:val="left"/>
      <w:pPr>
        <w:tabs>
          <w:tab w:val="num" w:pos="5760"/>
        </w:tabs>
        <w:ind w:left="5760" w:hanging="360"/>
      </w:pPr>
      <w:rPr>
        <w:rFonts w:ascii="Symbol" w:hAnsi="Symbol" w:hint="default"/>
      </w:rPr>
    </w:lvl>
    <w:lvl w:ilvl="8" w:tplc="352E7A5E" w:tentative="1">
      <w:start w:val="1"/>
      <w:numFmt w:val="bullet"/>
      <w:lvlText w:val=""/>
      <w:lvlJc w:val="left"/>
      <w:pPr>
        <w:tabs>
          <w:tab w:val="num" w:pos="6480"/>
        </w:tabs>
        <w:ind w:left="6480" w:hanging="360"/>
      </w:pPr>
      <w:rPr>
        <w:rFonts w:ascii="Symbol" w:hAnsi="Symbol" w:hint="default"/>
      </w:rPr>
    </w:lvl>
  </w:abstractNum>
  <w:abstractNum w:abstractNumId="141">
    <w:nsid w:val="5CA147F6"/>
    <w:multiLevelType w:val="hybridMultilevel"/>
    <w:tmpl w:val="FAECD828"/>
    <w:lvl w:ilvl="0" w:tplc="04100003">
      <w:start w:val="1"/>
      <w:numFmt w:val="bullet"/>
      <w:lvlText w:val="o"/>
      <w:lvlJc w:val="left"/>
      <w:pPr>
        <w:ind w:left="1080" w:hanging="360"/>
      </w:pPr>
      <w:rPr>
        <w:rFonts w:ascii="Courier New" w:hAnsi="Courier New" w:cs="Courier New"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42">
    <w:nsid w:val="5D1B1E7C"/>
    <w:multiLevelType w:val="hybridMultilevel"/>
    <w:tmpl w:val="7212A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5D292F9A"/>
    <w:multiLevelType w:val="hybridMultilevel"/>
    <w:tmpl w:val="DA1E5836"/>
    <w:lvl w:ilvl="0" w:tplc="792619BC">
      <w:start w:val="7"/>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4">
    <w:nsid w:val="5D3A437B"/>
    <w:multiLevelType w:val="hybridMultilevel"/>
    <w:tmpl w:val="2FCADEE6"/>
    <w:lvl w:ilvl="0" w:tplc="1A129682">
      <w:start w:val="1"/>
      <w:numFmt w:val="bullet"/>
      <w:pStyle w:val="Style6"/>
      <w:lvlText w:val="►"/>
      <w:lvlJc w:val="left"/>
      <w:pPr>
        <w:ind w:left="360" w:hanging="360"/>
      </w:pPr>
      <w:rPr>
        <w:rFonts w:ascii="Arial" w:hAnsi="Arial" w:hint="default"/>
        <w:b w:val="0"/>
        <w:bCs w:val="0"/>
        <w:i w:val="0"/>
        <w:iCs w:val="0"/>
        <w:caps w:val="0"/>
        <w:strike w:val="0"/>
        <w:dstrike w:val="0"/>
        <w:vanish w:val="0"/>
        <w:color w:val="FFD400"/>
        <w:spacing w:val="0"/>
        <w:kern w:val="0"/>
        <w:position w:val="0"/>
        <w:sz w:val="20"/>
        <w:u w:val="none"/>
        <w:vertAlign w:val="baseline"/>
        <w:em w:val="none"/>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5">
    <w:nsid w:val="5E1461CB"/>
    <w:multiLevelType w:val="hybridMultilevel"/>
    <w:tmpl w:val="083E6D88"/>
    <w:lvl w:ilvl="0" w:tplc="146CE74E">
      <w:start w:val="2"/>
      <w:numFmt w:val="bullet"/>
      <w:lvlText w:val="-"/>
      <w:lvlJc w:val="left"/>
      <w:pPr>
        <w:ind w:left="720" w:hanging="360"/>
      </w:pPr>
      <w:rPr>
        <w:rFonts w:ascii="Georgia" w:eastAsia="Arial" w:hAnsi="Georgi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6">
    <w:nsid w:val="5E4842E7"/>
    <w:multiLevelType w:val="hybridMultilevel"/>
    <w:tmpl w:val="A1DE3316"/>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47">
    <w:nsid w:val="5E4B3395"/>
    <w:multiLevelType w:val="hybridMultilevel"/>
    <w:tmpl w:val="2C345342"/>
    <w:lvl w:ilvl="0" w:tplc="146CE74E">
      <w:start w:val="2"/>
      <w:numFmt w:val="bullet"/>
      <w:lvlText w:val="-"/>
      <w:lvlJc w:val="left"/>
      <w:pPr>
        <w:ind w:left="720" w:hanging="360"/>
      </w:pPr>
      <w:rPr>
        <w:rFonts w:ascii="Georgia" w:eastAsia="Arial" w:hAnsi="Georgi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8">
    <w:nsid w:val="5F865E90"/>
    <w:multiLevelType w:val="hybridMultilevel"/>
    <w:tmpl w:val="239C9892"/>
    <w:lvl w:ilvl="0" w:tplc="0FA22C2A">
      <w:start w:val="1"/>
      <w:numFmt w:val="bullet"/>
      <w:pStyle w:val="bulletcoverletter"/>
      <w:lvlText w:val="•"/>
      <w:lvlJc w:val="left"/>
      <w:pPr>
        <w:tabs>
          <w:tab w:val="num" w:pos="367"/>
        </w:tabs>
        <w:ind w:left="367" w:hanging="180"/>
      </w:pPr>
      <w:rPr>
        <w:rFonts w:ascii="Arial" w:hAnsi="Arial" w:hint="default"/>
        <w:b w:val="0"/>
        <w:i w:val="0"/>
        <w:color w:val="auto"/>
        <w:sz w:val="20"/>
      </w:rPr>
    </w:lvl>
    <w:lvl w:ilvl="1" w:tplc="9C421B2E">
      <w:start w:val="1"/>
      <w:numFmt w:val="bullet"/>
      <w:lvlText w:val="o"/>
      <w:lvlJc w:val="left"/>
      <w:pPr>
        <w:tabs>
          <w:tab w:val="num" w:pos="1620"/>
        </w:tabs>
        <w:ind w:left="1620" w:hanging="360"/>
      </w:pPr>
      <w:rPr>
        <w:rFonts w:ascii="Courier New" w:hAnsi="Courier New" w:hint="default"/>
      </w:rPr>
    </w:lvl>
    <w:lvl w:ilvl="2" w:tplc="1F78B412" w:tentative="1">
      <w:start w:val="1"/>
      <w:numFmt w:val="bullet"/>
      <w:lvlText w:val=""/>
      <w:lvlJc w:val="left"/>
      <w:pPr>
        <w:tabs>
          <w:tab w:val="num" w:pos="2340"/>
        </w:tabs>
        <w:ind w:left="2340" w:hanging="360"/>
      </w:pPr>
      <w:rPr>
        <w:rFonts w:ascii="Wingdings" w:hAnsi="Wingdings" w:hint="default"/>
      </w:rPr>
    </w:lvl>
    <w:lvl w:ilvl="3" w:tplc="A6E08D12" w:tentative="1">
      <w:start w:val="1"/>
      <w:numFmt w:val="bullet"/>
      <w:lvlText w:val=""/>
      <w:lvlJc w:val="left"/>
      <w:pPr>
        <w:tabs>
          <w:tab w:val="num" w:pos="3060"/>
        </w:tabs>
        <w:ind w:left="3060" w:hanging="360"/>
      </w:pPr>
      <w:rPr>
        <w:rFonts w:ascii="Symbol" w:hAnsi="Symbol" w:hint="default"/>
      </w:rPr>
    </w:lvl>
    <w:lvl w:ilvl="4" w:tplc="4BF45C04" w:tentative="1">
      <w:start w:val="1"/>
      <w:numFmt w:val="bullet"/>
      <w:lvlText w:val="o"/>
      <w:lvlJc w:val="left"/>
      <w:pPr>
        <w:tabs>
          <w:tab w:val="num" w:pos="3780"/>
        </w:tabs>
        <w:ind w:left="3780" w:hanging="360"/>
      </w:pPr>
      <w:rPr>
        <w:rFonts w:ascii="Courier New" w:hAnsi="Courier New" w:hint="default"/>
      </w:rPr>
    </w:lvl>
    <w:lvl w:ilvl="5" w:tplc="9FC6ED4C" w:tentative="1">
      <w:start w:val="1"/>
      <w:numFmt w:val="bullet"/>
      <w:lvlText w:val=""/>
      <w:lvlJc w:val="left"/>
      <w:pPr>
        <w:tabs>
          <w:tab w:val="num" w:pos="4500"/>
        </w:tabs>
        <w:ind w:left="4500" w:hanging="360"/>
      </w:pPr>
      <w:rPr>
        <w:rFonts w:ascii="Wingdings" w:hAnsi="Wingdings" w:hint="default"/>
      </w:rPr>
    </w:lvl>
    <w:lvl w:ilvl="6" w:tplc="16005486" w:tentative="1">
      <w:start w:val="1"/>
      <w:numFmt w:val="bullet"/>
      <w:lvlText w:val=""/>
      <w:lvlJc w:val="left"/>
      <w:pPr>
        <w:tabs>
          <w:tab w:val="num" w:pos="5220"/>
        </w:tabs>
        <w:ind w:left="5220" w:hanging="360"/>
      </w:pPr>
      <w:rPr>
        <w:rFonts w:ascii="Symbol" w:hAnsi="Symbol" w:hint="default"/>
      </w:rPr>
    </w:lvl>
    <w:lvl w:ilvl="7" w:tplc="E872EC1C" w:tentative="1">
      <w:start w:val="1"/>
      <w:numFmt w:val="bullet"/>
      <w:lvlText w:val="o"/>
      <w:lvlJc w:val="left"/>
      <w:pPr>
        <w:tabs>
          <w:tab w:val="num" w:pos="5940"/>
        </w:tabs>
        <w:ind w:left="5940" w:hanging="360"/>
      </w:pPr>
      <w:rPr>
        <w:rFonts w:ascii="Courier New" w:hAnsi="Courier New" w:hint="default"/>
      </w:rPr>
    </w:lvl>
    <w:lvl w:ilvl="8" w:tplc="8BDABFE4" w:tentative="1">
      <w:start w:val="1"/>
      <w:numFmt w:val="bullet"/>
      <w:lvlText w:val=""/>
      <w:lvlJc w:val="left"/>
      <w:pPr>
        <w:tabs>
          <w:tab w:val="num" w:pos="6660"/>
        </w:tabs>
        <w:ind w:left="6660" w:hanging="360"/>
      </w:pPr>
      <w:rPr>
        <w:rFonts w:ascii="Wingdings" w:hAnsi="Wingdings" w:hint="default"/>
      </w:rPr>
    </w:lvl>
  </w:abstractNum>
  <w:abstractNum w:abstractNumId="149">
    <w:nsid w:val="602F3893"/>
    <w:multiLevelType w:val="hybridMultilevel"/>
    <w:tmpl w:val="52C01446"/>
    <w:lvl w:ilvl="0" w:tplc="146CE74E">
      <w:start w:val="2"/>
      <w:numFmt w:val="bullet"/>
      <w:lvlText w:val="-"/>
      <w:lvlJc w:val="left"/>
      <w:pPr>
        <w:ind w:left="720" w:hanging="360"/>
      </w:pPr>
      <w:rPr>
        <w:rFonts w:ascii="Georgia" w:eastAsia="Arial" w:hAnsi="Georgi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0">
    <w:nsid w:val="620659F7"/>
    <w:multiLevelType w:val="hybridMultilevel"/>
    <w:tmpl w:val="274ACA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1">
    <w:nsid w:val="63546253"/>
    <w:multiLevelType w:val="hybridMultilevel"/>
    <w:tmpl w:val="5164D756"/>
    <w:lvl w:ilvl="0" w:tplc="6C242796">
      <w:start w:val="2"/>
      <w:numFmt w:val="decimal"/>
      <w:lvlText w:val="%1."/>
      <w:lvlJc w:val="left"/>
      <w:pPr>
        <w:tabs>
          <w:tab w:val="num" w:pos="4455"/>
        </w:tabs>
        <w:ind w:left="5175" w:hanging="360"/>
      </w:pPr>
      <w:rPr>
        <w:rFonts w:cs="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2">
    <w:nsid w:val="63563589"/>
    <w:multiLevelType w:val="hybridMultilevel"/>
    <w:tmpl w:val="EA382200"/>
    <w:lvl w:ilvl="0" w:tplc="EB9C6D7A">
      <w:start w:val="10"/>
      <w:numFmt w:val="bullet"/>
      <w:lvlText w:val="-"/>
      <w:lvlJc w:val="left"/>
      <w:pPr>
        <w:ind w:left="3600" w:hanging="360"/>
      </w:pPr>
      <w:rPr>
        <w:rFonts w:ascii="Times New Roman" w:eastAsia="MS Mincho" w:hAnsi="Times New Roman" w:cs="Times New Roman" w:hint="default"/>
        <w:b/>
        <w:lang w:val="en-GB"/>
      </w:rPr>
    </w:lvl>
    <w:lvl w:ilvl="1" w:tplc="04100003" w:tentative="1">
      <w:start w:val="1"/>
      <w:numFmt w:val="bullet"/>
      <w:lvlText w:val="o"/>
      <w:lvlJc w:val="left"/>
      <w:pPr>
        <w:ind w:left="4320" w:hanging="360"/>
      </w:pPr>
      <w:rPr>
        <w:rFonts w:ascii="Courier New" w:hAnsi="Courier New" w:cs="Courier New" w:hint="default"/>
      </w:rPr>
    </w:lvl>
    <w:lvl w:ilvl="2" w:tplc="04100005" w:tentative="1">
      <w:start w:val="1"/>
      <w:numFmt w:val="bullet"/>
      <w:lvlText w:val=""/>
      <w:lvlJc w:val="left"/>
      <w:pPr>
        <w:ind w:left="5040" w:hanging="360"/>
      </w:pPr>
      <w:rPr>
        <w:rFonts w:ascii="Wingdings" w:hAnsi="Wingdings" w:hint="default"/>
      </w:rPr>
    </w:lvl>
    <w:lvl w:ilvl="3" w:tplc="04100001" w:tentative="1">
      <w:start w:val="1"/>
      <w:numFmt w:val="bullet"/>
      <w:lvlText w:val=""/>
      <w:lvlJc w:val="left"/>
      <w:pPr>
        <w:ind w:left="5760" w:hanging="360"/>
      </w:pPr>
      <w:rPr>
        <w:rFonts w:ascii="Symbol" w:hAnsi="Symbol" w:hint="default"/>
      </w:rPr>
    </w:lvl>
    <w:lvl w:ilvl="4" w:tplc="04100003" w:tentative="1">
      <w:start w:val="1"/>
      <w:numFmt w:val="bullet"/>
      <w:lvlText w:val="o"/>
      <w:lvlJc w:val="left"/>
      <w:pPr>
        <w:ind w:left="6480" w:hanging="360"/>
      </w:pPr>
      <w:rPr>
        <w:rFonts w:ascii="Courier New" w:hAnsi="Courier New" w:cs="Courier New" w:hint="default"/>
      </w:rPr>
    </w:lvl>
    <w:lvl w:ilvl="5" w:tplc="04100005" w:tentative="1">
      <w:start w:val="1"/>
      <w:numFmt w:val="bullet"/>
      <w:lvlText w:val=""/>
      <w:lvlJc w:val="left"/>
      <w:pPr>
        <w:ind w:left="7200" w:hanging="360"/>
      </w:pPr>
      <w:rPr>
        <w:rFonts w:ascii="Wingdings" w:hAnsi="Wingdings" w:hint="default"/>
      </w:rPr>
    </w:lvl>
    <w:lvl w:ilvl="6" w:tplc="04100001" w:tentative="1">
      <w:start w:val="1"/>
      <w:numFmt w:val="bullet"/>
      <w:lvlText w:val=""/>
      <w:lvlJc w:val="left"/>
      <w:pPr>
        <w:ind w:left="7920" w:hanging="360"/>
      </w:pPr>
      <w:rPr>
        <w:rFonts w:ascii="Symbol" w:hAnsi="Symbol" w:hint="default"/>
      </w:rPr>
    </w:lvl>
    <w:lvl w:ilvl="7" w:tplc="04100003" w:tentative="1">
      <w:start w:val="1"/>
      <w:numFmt w:val="bullet"/>
      <w:lvlText w:val="o"/>
      <w:lvlJc w:val="left"/>
      <w:pPr>
        <w:ind w:left="8640" w:hanging="360"/>
      </w:pPr>
      <w:rPr>
        <w:rFonts w:ascii="Courier New" w:hAnsi="Courier New" w:cs="Courier New" w:hint="default"/>
      </w:rPr>
    </w:lvl>
    <w:lvl w:ilvl="8" w:tplc="04100005" w:tentative="1">
      <w:start w:val="1"/>
      <w:numFmt w:val="bullet"/>
      <w:lvlText w:val=""/>
      <w:lvlJc w:val="left"/>
      <w:pPr>
        <w:ind w:left="9360" w:hanging="360"/>
      </w:pPr>
      <w:rPr>
        <w:rFonts w:ascii="Wingdings" w:hAnsi="Wingdings" w:hint="default"/>
      </w:rPr>
    </w:lvl>
  </w:abstractNum>
  <w:abstractNum w:abstractNumId="153">
    <w:nsid w:val="635E5E85"/>
    <w:multiLevelType w:val="hybridMultilevel"/>
    <w:tmpl w:val="68643900"/>
    <w:lvl w:ilvl="0" w:tplc="CA861F2A">
      <w:start w:val="1"/>
      <w:numFmt w:val="bullet"/>
      <w:pStyle w:val="Bulletlist"/>
      <w:lvlText w:val=""/>
      <w:lvlJc w:val="left"/>
      <w:pPr>
        <w:tabs>
          <w:tab w:val="num" w:pos="600"/>
        </w:tabs>
        <w:ind w:left="600" w:hanging="360"/>
      </w:pPr>
      <w:rPr>
        <w:rFonts w:ascii="Wingdings" w:hAnsi="Wingdings" w:hint="default"/>
        <w:color w:val="auto"/>
        <w:sz w:val="24"/>
        <w:szCs w:val="24"/>
      </w:rPr>
    </w:lvl>
    <w:lvl w:ilvl="1" w:tplc="04100003">
      <w:start w:val="1"/>
      <w:numFmt w:val="bullet"/>
      <w:lvlText w:val=""/>
      <w:lvlJc w:val="left"/>
      <w:pPr>
        <w:tabs>
          <w:tab w:val="num" w:pos="1680"/>
        </w:tabs>
        <w:ind w:left="1680" w:hanging="360"/>
      </w:pPr>
      <w:rPr>
        <w:rFonts w:ascii="Wingdings" w:hAnsi="Wingdings" w:hint="default"/>
        <w:color w:val="90AD9C"/>
        <w:sz w:val="24"/>
        <w:szCs w:val="24"/>
      </w:rPr>
    </w:lvl>
    <w:lvl w:ilvl="2" w:tplc="04100005" w:tentative="1">
      <w:start w:val="1"/>
      <w:numFmt w:val="bullet"/>
      <w:lvlText w:val=""/>
      <w:lvlJc w:val="left"/>
      <w:pPr>
        <w:tabs>
          <w:tab w:val="num" w:pos="2400"/>
        </w:tabs>
        <w:ind w:left="2400" w:hanging="360"/>
      </w:pPr>
      <w:rPr>
        <w:rFonts w:ascii="Wingdings" w:hAnsi="Wingdings" w:hint="default"/>
      </w:rPr>
    </w:lvl>
    <w:lvl w:ilvl="3" w:tplc="04100001" w:tentative="1">
      <w:start w:val="1"/>
      <w:numFmt w:val="bullet"/>
      <w:lvlText w:val=""/>
      <w:lvlJc w:val="left"/>
      <w:pPr>
        <w:tabs>
          <w:tab w:val="num" w:pos="3120"/>
        </w:tabs>
        <w:ind w:left="3120" w:hanging="360"/>
      </w:pPr>
      <w:rPr>
        <w:rFonts w:ascii="Symbol" w:hAnsi="Symbol" w:hint="default"/>
      </w:rPr>
    </w:lvl>
    <w:lvl w:ilvl="4" w:tplc="04100003" w:tentative="1">
      <w:start w:val="1"/>
      <w:numFmt w:val="bullet"/>
      <w:lvlText w:val="o"/>
      <w:lvlJc w:val="left"/>
      <w:pPr>
        <w:tabs>
          <w:tab w:val="num" w:pos="3840"/>
        </w:tabs>
        <w:ind w:left="3840" w:hanging="360"/>
      </w:pPr>
      <w:rPr>
        <w:rFonts w:ascii="Courier New" w:hAnsi="Courier New" w:hint="default"/>
      </w:rPr>
    </w:lvl>
    <w:lvl w:ilvl="5" w:tplc="04100005" w:tentative="1">
      <w:start w:val="1"/>
      <w:numFmt w:val="bullet"/>
      <w:lvlText w:val=""/>
      <w:lvlJc w:val="left"/>
      <w:pPr>
        <w:tabs>
          <w:tab w:val="num" w:pos="4560"/>
        </w:tabs>
        <w:ind w:left="4560" w:hanging="360"/>
      </w:pPr>
      <w:rPr>
        <w:rFonts w:ascii="Wingdings" w:hAnsi="Wingdings" w:hint="default"/>
      </w:rPr>
    </w:lvl>
    <w:lvl w:ilvl="6" w:tplc="04100001" w:tentative="1">
      <w:start w:val="1"/>
      <w:numFmt w:val="bullet"/>
      <w:lvlText w:val=""/>
      <w:lvlJc w:val="left"/>
      <w:pPr>
        <w:tabs>
          <w:tab w:val="num" w:pos="5280"/>
        </w:tabs>
        <w:ind w:left="5280" w:hanging="360"/>
      </w:pPr>
      <w:rPr>
        <w:rFonts w:ascii="Symbol" w:hAnsi="Symbol" w:hint="default"/>
      </w:rPr>
    </w:lvl>
    <w:lvl w:ilvl="7" w:tplc="04100003" w:tentative="1">
      <w:start w:val="1"/>
      <w:numFmt w:val="bullet"/>
      <w:lvlText w:val="o"/>
      <w:lvlJc w:val="left"/>
      <w:pPr>
        <w:tabs>
          <w:tab w:val="num" w:pos="6000"/>
        </w:tabs>
        <w:ind w:left="6000" w:hanging="360"/>
      </w:pPr>
      <w:rPr>
        <w:rFonts w:ascii="Courier New" w:hAnsi="Courier New" w:hint="default"/>
      </w:rPr>
    </w:lvl>
    <w:lvl w:ilvl="8" w:tplc="04100005" w:tentative="1">
      <w:start w:val="1"/>
      <w:numFmt w:val="bullet"/>
      <w:lvlText w:val=""/>
      <w:lvlJc w:val="left"/>
      <w:pPr>
        <w:tabs>
          <w:tab w:val="num" w:pos="6720"/>
        </w:tabs>
        <w:ind w:left="6720" w:hanging="360"/>
      </w:pPr>
      <w:rPr>
        <w:rFonts w:ascii="Wingdings" w:hAnsi="Wingdings" w:hint="default"/>
      </w:rPr>
    </w:lvl>
  </w:abstractNum>
  <w:abstractNum w:abstractNumId="154">
    <w:nsid w:val="65274326"/>
    <w:multiLevelType w:val="hybridMultilevel"/>
    <w:tmpl w:val="23248B66"/>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55">
    <w:nsid w:val="65AC3343"/>
    <w:multiLevelType w:val="hybridMultilevel"/>
    <w:tmpl w:val="BA8C2E58"/>
    <w:lvl w:ilvl="0" w:tplc="04100017">
      <w:start w:val="1"/>
      <w:numFmt w:val="lowerLetter"/>
      <w:lvlText w:val="%1)"/>
      <w:lvlJc w:val="left"/>
      <w:pPr>
        <w:ind w:left="1440" w:hanging="360"/>
      </w:pPr>
    </w:lvl>
    <w:lvl w:ilvl="1" w:tplc="04100019">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56">
    <w:nsid w:val="670B5D46"/>
    <w:multiLevelType w:val="hybridMultilevel"/>
    <w:tmpl w:val="FFB20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6897448C"/>
    <w:multiLevelType w:val="hybridMultilevel"/>
    <w:tmpl w:val="3802EC66"/>
    <w:lvl w:ilvl="0" w:tplc="05FCEBAC">
      <w:start w:val="15"/>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8">
    <w:nsid w:val="68CF1B14"/>
    <w:multiLevelType w:val="hybridMultilevel"/>
    <w:tmpl w:val="0DF0034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9">
    <w:nsid w:val="6ABA2876"/>
    <w:multiLevelType w:val="hybridMultilevel"/>
    <w:tmpl w:val="BDB8CCDC"/>
    <w:lvl w:ilvl="0" w:tplc="0809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0">
    <w:nsid w:val="6B1716F9"/>
    <w:multiLevelType w:val="hybridMultilevel"/>
    <w:tmpl w:val="FC6EB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nsid w:val="6B310731"/>
    <w:multiLevelType w:val="hybridMultilevel"/>
    <w:tmpl w:val="41C81DE4"/>
    <w:lvl w:ilvl="0" w:tplc="0DD4E758">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2">
    <w:nsid w:val="6B5E370D"/>
    <w:multiLevelType w:val="hybridMultilevel"/>
    <w:tmpl w:val="48068328"/>
    <w:name w:val="PwCListBullets13"/>
    <w:lvl w:ilvl="0" w:tplc="31F4CDDC">
      <w:numFmt w:val="bullet"/>
      <w:pStyle w:val="Tabellatestoelenco"/>
      <w:lvlText w:val=""/>
      <w:lvlJc w:val="left"/>
      <w:pPr>
        <w:tabs>
          <w:tab w:val="num" w:pos="284"/>
        </w:tabs>
        <w:ind w:left="284" w:hanging="284"/>
      </w:pPr>
      <w:rPr>
        <w:rFonts w:ascii="Wingdings" w:hAnsi="Wingdings" w:hint="default"/>
        <w:b/>
        <w:i w:val="0"/>
        <w:color w:val="C90039"/>
        <w:sz w:val="18"/>
      </w:rPr>
    </w:lvl>
    <w:lvl w:ilvl="1" w:tplc="2532661E" w:tentative="1">
      <w:start w:val="1"/>
      <w:numFmt w:val="bullet"/>
      <w:lvlText w:val="o"/>
      <w:lvlJc w:val="left"/>
      <w:pPr>
        <w:tabs>
          <w:tab w:val="num" w:pos="1440"/>
        </w:tabs>
        <w:ind w:left="1440" w:hanging="360"/>
      </w:pPr>
      <w:rPr>
        <w:rFonts w:ascii="Courier New" w:hAnsi="Courier New" w:hint="default"/>
      </w:rPr>
    </w:lvl>
    <w:lvl w:ilvl="2" w:tplc="F90CE39C" w:tentative="1">
      <w:start w:val="1"/>
      <w:numFmt w:val="bullet"/>
      <w:lvlText w:val=""/>
      <w:lvlJc w:val="left"/>
      <w:pPr>
        <w:tabs>
          <w:tab w:val="num" w:pos="2160"/>
        </w:tabs>
        <w:ind w:left="2160" w:hanging="360"/>
      </w:pPr>
      <w:rPr>
        <w:rFonts w:ascii="Wingdings" w:hAnsi="Wingdings" w:hint="default"/>
      </w:rPr>
    </w:lvl>
    <w:lvl w:ilvl="3" w:tplc="9D2E5848" w:tentative="1">
      <w:start w:val="1"/>
      <w:numFmt w:val="bullet"/>
      <w:lvlText w:val=""/>
      <w:lvlJc w:val="left"/>
      <w:pPr>
        <w:tabs>
          <w:tab w:val="num" w:pos="2880"/>
        </w:tabs>
        <w:ind w:left="2880" w:hanging="360"/>
      </w:pPr>
      <w:rPr>
        <w:rFonts w:ascii="Symbol" w:hAnsi="Symbol" w:hint="default"/>
      </w:rPr>
    </w:lvl>
    <w:lvl w:ilvl="4" w:tplc="369C689A">
      <w:start w:val="1"/>
      <w:numFmt w:val="bullet"/>
      <w:lvlText w:val="o"/>
      <w:lvlJc w:val="left"/>
      <w:pPr>
        <w:tabs>
          <w:tab w:val="num" w:pos="3600"/>
        </w:tabs>
        <w:ind w:left="3600" w:hanging="360"/>
      </w:pPr>
      <w:rPr>
        <w:rFonts w:ascii="Courier New" w:hAnsi="Courier New" w:hint="default"/>
      </w:rPr>
    </w:lvl>
    <w:lvl w:ilvl="5" w:tplc="6A84E920">
      <w:start w:val="1"/>
      <w:numFmt w:val="bullet"/>
      <w:lvlText w:val=""/>
      <w:lvlJc w:val="left"/>
      <w:pPr>
        <w:tabs>
          <w:tab w:val="num" w:pos="4320"/>
        </w:tabs>
        <w:ind w:left="4320" w:hanging="360"/>
      </w:pPr>
      <w:rPr>
        <w:rFonts w:ascii="Wingdings" w:hAnsi="Wingdings" w:hint="default"/>
      </w:rPr>
    </w:lvl>
    <w:lvl w:ilvl="6" w:tplc="29643EBE">
      <w:start w:val="1"/>
      <w:numFmt w:val="bullet"/>
      <w:lvlText w:val=""/>
      <w:lvlJc w:val="left"/>
      <w:pPr>
        <w:tabs>
          <w:tab w:val="num" w:pos="5040"/>
        </w:tabs>
        <w:ind w:left="5040" w:hanging="360"/>
      </w:pPr>
      <w:rPr>
        <w:rFonts w:ascii="Symbol" w:hAnsi="Symbol" w:hint="default"/>
      </w:rPr>
    </w:lvl>
    <w:lvl w:ilvl="7" w:tplc="74F07542" w:tentative="1">
      <w:start w:val="1"/>
      <w:numFmt w:val="bullet"/>
      <w:lvlText w:val="o"/>
      <w:lvlJc w:val="left"/>
      <w:pPr>
        <w:tabs>
          <w:tab w:val="num" w:pos="5760"/>
        </w:tabs>
        <w:ind w:left="5760" w:hanging="360"/>
      </w:pPr>
      <w:rPr>
        <w:rFonts w:ascii="Courier New" w:hAnsi="Courier New" w:hint="default"/>
      </w:rPr>
    </w:lvl>
    <w:lvl w:ilvl="8" w:tplc="E7B49994" w:tentative="1">
      <w:start w:val="1"/>
      <w:numFmt w:val="bullet"/>
      <w:lvlText w:val=""/>
      <w:lvlJc w:val="left"/>
      <w:pPr>
        <w:tabs>
          <w:tab w:val="num" w:pos="6480"/>
        </w:tabs>
        <w:ind w:left="6480" w:hanging="360"/>
      </w:pPr>
      <w:rPr>
        <w:rFonts w:ascii="Wingdings" w:hAnsi="Wingdings" w:hint="default"/>
      </w:rPr>
    </w:lvl>
  </w:abstractNum>
  <w:abstractNum w:abstractNumId="163">
    <w:nsid w:val="6B863458"/>
    <w:multiLevelType w:val="hybridMultilevel"/>
    <w:tmpl w:val="ACE665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4">
    <w:nsid w:val="6C856B6A"/>
    <w:multiLevelType w:val="hybridMultilevel"/>
    <w:tmpl w:val="FA927E72"/>
    <w:lvl w:ilvl="0" w:tplc="04100001">
      <w:start w:val="1"/>
      <w:numFmt w:val="bullet"/>
      <w:lvlText w:val=""/>
      <w:lvlJc w:val="left"/>
      <w:pPr>
        <w:ind w:left="762" w:hanging="360"/>
      </w:pPr>
      <w:rPr>
        <w:rFonts w:ascii="Symbol" w:hAnsi="Symbol" w:hint="default"/>
      </w:rPr>
    </w:lvl>
    <w:lvl w:ilvl="1" w:tplc="04100003" w:tentative="1">
      <w:start w:val="1"/>
      <w:numFmt w:val="bullet"/>
      <w:lvlText w:val="o"/>
      <w:lvlJc w:val="left"/>
      <w:pPr>
        <w:ind w:left="1482" w:hanging="360"/>
      </w:pPr>
      <w:rPr>
        <w:rFonts w:ascii="Courier New" w:hAnsi="Courier New" w:cs="Courier New" w:hint="default"/>
      </w:rPr>
    </w:lvl>
    <w:lvl w:ilvl="2" w:tplc="04100005" w:tentative="1">
      <w:start w:val="1"/>
      <w:numFmt w:val="bullet"/>
      <w:lvlText w:val=""/>
      <w:lvlJc w:val="left"/>
      <w:pPr>
        <w:ind w:left="2202" w:hanging="360"/>
      </w:pPr>
      <w:rPr>
        <w:rFonts w:ascii="Wingdings" w:hAnsi="Wingdings" w:hint="default"/>
      </w:rPr>
    </w:lvl>
    <w:lvl w:ilvl="3" w:tplc="04100001" w:tentative="1">
      <w:start w:val="1"/>
      <w:numFmt w:val="bullet"/>
      <w:lvlText w:val=""/>
      <w:lvlJc w:val="left"/>
      <w:pPr>
        <w:ind w:left="2922" w:hanging="360"/>
      </w:pPr>
      <w:rPr>
        <w:rFonts w:ascii="Symbol" w:hAnsi="Symbol" w:hint="default"/>
      </w:rPr>
    </w:lvl>
    <w:lvl w:ilvl="4" w:tplc="04100003" w:tentative="1">
      <w:start w:val="1"/>
      <w:numFmt w:val="bullet"/>
      <w:lvlText w:val="o"/>
      <w:lvlJc w:val="left"/>
      <w:pPr>
        <w:ind w:left="3642" w:hanging="360"/>
      </w:pPr>
      <w:rPr>
        <w:rFonts w:ascii="Courier New" w:hAnsi="Courier New" w:cs="Courier New" w:hint="default"/>
      </w:rPr>
    </w:lvl>
    <w:lvl w:ilvl="5" w:tplc="04100005" w:tentative="1">
      <w:start w:val="1"/>
      <w:numFmt w:val="bullet"/>
      <w:lvlText w:val=""/>
      <w:lvlJc w:val="left"/>
      <w:pPr>
        <w:ind w:left="4362" w:hanging="360"/>
      </w:pPr>
      <w:rPr>
        <w:rFonts w:ascii="Wingdings" w:hAnsi="Wingdings" w:hint="default"/>
      </w:rPr>
    </w:lvl>
    <w:lvl w:ilvl="6" w:tplc="04100001" w:tentative="1">
      <w:start w:val="1"/>
      <w:numFmt w:val="bullet"/>
      <w:lvlText w:val=""/>
      <w:lvlJc w:val="left"/>
      <w:pPr>
        <w:ind w:left="5082" w:hanging="360"/>
      </w:pPr>
      <w:rPr>
        <w:rFonts w:ascii="Symbol" w:hAnsi="Symbol" w:hint="default"/>
      </w:rPr>
    </w:lvl>
    <w:lvl w:ilvl="7" w:tplc="04100003" w:tentative="1">
      <w:start w:val="1"/>
      <w:numFmt w:val="bullet"/>
      <w:lvlText w:val="o"/>
      <w:lvlJc w:val="left"/>
      <w:pPr>
        <w:ind w:left="5802" w:hanging="360"/>
      </w:pPr>
      <w:rPr>
        <w:rFonts w:ascii="Courier New" w:hAnsi="Courier New" w:cs="Courier New" w:hint="default"/>
      </w:rPr>
    </w:lvl>
    <w:lvl w:ilvl="8" w:tplc="04100005" w:tentative="1">
      <w:start w:val="1"/>
      <w:numFmt w:val="bullet"/>
      <w:lvlText w:val=""/>
      <w:lvlJc w:val="left"/>
      <w:pPr>
        <w:ind w:left="6522" w:hanging="360"/>
      </w:pPr>
      <w:rPr>
        <w:rFonts w:ascii="Wingdings" w:hAnsi="Wingdings" w:hint="default"/>
      </w:rPr>
    </w:lvl>
  </w:abstractNum>
  <w:abstractNum w:abstractNumId="165">
    <w:nsid w:val="6C996A6C"/>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6">
    <w:nsid w:val="6CA41648"/>
    <w:multiLevelType w:val="hybridMultilevel"/>
    <w:tmpl w:val="70340CAA"/>
    <w:lvl w:ilvl="0" w:tplc="A8343F68">
      <w:start w:val="1"/>
      <w:numFmt w:val="decimal"/>
      <w:lvlText w:val="%1-"/>
      <w:lvlJc w:val="left"/>
      <w:pPr>
        <w:ind w:left="360" w:hanging="360"/>
      </w:pPr>
      <w:rPr>
        <w:rFonts w:hint="default"/>
      </w:rPr>
    </w:lvl>
    <w:lvl w:ilvl="1" w:tplc="B9A6A69C">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7">
    <w:nsid w:val="6CE97B6D"/>
    <w:multiLevelType w:val="hybridMultilevel"/>
    <w:tmpl w:val="B9A80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nsid w:val="6D7E4082"/>
    <w:multiLevelType w:val="hybridMultilevel"/>
    <w:tmpl w:val="28E08B42"/>
    <w:lvl w:ilvl="0" w:tplc="A65EF7EA">
      <w:start w:val="1"/>
      <w:numFmt w:val="decimal"/>
      <w:lvlText w:val="%1-"/>
      <w:lvlJc w:val="left"/>
      <w:pPr>
        <w:ind w:left="360" w:hanging="360"/>
      </w:pPr>
      <w:rPr>
        <w:rFonts w:hint="default"/>
        <w:b/>
      </w:rPr>
    </w:lvl>
    <w:lvl w:ilvl="1" w:tplc="B9A6A69C">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9">
    <w:nsid w:val="6F55712E"/>
    <w:multiLevelType w:val="hybridMultilevel"/>
    <w:tmpl w:val="747E6D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0">
    <w:nsid w:val="6F845D57"/>
    <w:multiLevelType w:val="hybridMultilevel"/>
    <w:tmpl w:val="5854004E"/>
    <w:lvl w:ilvl="0" w:tplc="EB9C6D7A">
      <w:start w:val="10"/>
      <w:numFmt w:val="bullet"/>
      <w:lvlText w:val="-"/>
      <w:lvlJc w:val="left"/>
      <w:pPr>
        <w:ind w:left="720" w:hanging="360"/>
      </w:pPr>
      <w:rPr>
        <w:rFonts w:ascii="Times New Roman" w:eastAsia="MS Mincho" w:hAnsi="Times New Roman" w:cs="Times New Roman" w:hint="default"/>
        <w:b/>
        <w:lang w:val="en-G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1">
    <w:nsid w:val="721A1E4E"/>
    <w:multiLevelType w:val="multilevel"/>
    <w:tmpl w:val="FD1CD4E8"/>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b w:val="0"/>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2">
    <w:nsid w:val="72591CA9"/>
    <w:multiLevelType w:val="multilevel"/>
    <w:tmpl w:val="CD4C98AE"/>
    <w:styleLink w:val="PwCListBullets1"/>
    <w:lvl w:ilvl="0">
      <w:start w:val="1"/>
      <w:numFmt w:val="bullet"/>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Georgia" w:hAnsi="Georgia" w:hint="default"/>
        <w:b/>
      </w:rPr>
    </w:lvl>
    <w:lvl w:ilvl="3">
      <w:start w:val="1"/>
      <w:numFmt w:val="bullet"/>
      <w:lvlText w:val=""/>
      <w:lvlJc w:val="left"/>
      <w:pPr>
        <w:tabs>
          <w:tab w:val="num" w:pos="2268"/>
        </w:tabs>
        <w:ind w:left="2268" w:hanging="567"/>
      </w:pPr>
      <w:rPr>
        <w:rFonts w:ascii="Symbol" w:hAnsi="Symbol" w:hint="default"/>
      </w:rPr>
    </w:lvl>
    <w:lvl w:ilvl="4">
      <w:start w:val="1"/>
      <w:numFmt w:val="bullet"/>
      <w:lvlText w:val="~"/>
      <w:lvlJc w:val="left"/>
      <w:pPr>
        <w:tabs>
          <w:tab w:val="num" w:pos="2835"/>
        </w:tabs>
        <w:ind w:left="2835" w:hanging="567"/>
      </w:pPr>
      <w:rPr>
        <w:rFonts w:ascii="Georgia" w:hAnsi="Georgia"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173">
    <w:nsid w:val="735B378E"/>
    <w:multiLevelType w:val="hybridMultilevel"/>
    <w:tmpl w:val="DCB24088"/>
    <w:lvl w:ilvl="0" w:tplc="146CE74E">
      <w:start w:val="2"/>
      <w:numFmt w:val="bullet"/>
      <w:lvlText w:val="-"/>
      <w:lvlJc w:val="left"/>
      <w:pPr>
        <w:ind w:left="720" w:hanging="360"/>
      </w:pPr>
      <w:rPr>
        <w:rFonts w:ascii="Georgia" w:eastAsia="Arial" w:hAnsi="Georgi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4">
    <w:nsid w:val="736241DB"/>
    <w:multiLevelType w:val="hybridMultilevel"/>
    <w:tmpl w:val="EA9E5A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5">
    <w:nsid w:val="73C064A5"/>
    <w:multiLevelType w:val="hybridMultilevel"/>
    <w:tmpl w:val="D2D863CA"/>
    <w:lvl w:ilvl="0" w:tplc="EB9C6D7A">
      <w:start w:val="10"/>
      <w:numFmt w:val="bullet"/>
      <w:lvlText w:val="-"/>
      <w:lvlJc w:val="left"/>
      <w:pPr>
        <w:ind w:left="720" w:hanging="360"/>
      </w:pPr>
      <w:rPr>
        <w:rFonts w:ascii="Times New Roman" w:eastAsia="MS Mincho" w:hAnsi="Times New Roman" w:cs="Times New Roman" w:hint="default"/>
        <w:b/>
        <w:lang w:val="en-G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6">
    <w:nsid w:val="73FE1FF9"/>
    <w:multiLevelType w:val="hybridMultilevel"/>
    <w:tmpl w:val="931C024A"/>
    <w:lvl w:ilvl="0" w:tplc="5F0480D2">
      <w:start w:val="1"/>
      <w:numFmt w:val="decimal"/>
      <w:lvlText w:val="%1."/>
      <w:lvlJc w:val="left"/>
      <w:pPr>
        <w:ind w:left="720" w:hanging="360"/>
      </w:pPr>
      <w:rPr>
        <w:b/>
        <w:lang w:val="en-GB"/>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77">
    <w:nsid w:val="74204253"/>
    <w:multiLevelType w:val="hybridMultilevel"/>
    <w:tmpl w:val="506CC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nsid w:val="74274CC4"/>
    <w:multiLevelType w:val="hybridMultilevel"/>
    <w:tmpl w:val="9B581DC8"/>
    <w:lvl w:ilvl="0" w:tplc="ACBC2998">
      <w:start w:val="1"/>
      <w:numFmt w:val="decimal"/>
      <w:lvlText w:val="%1-"/>
      <w:lvlJc w:val="left"/>
      <w:pPr>
        <w:ind w:left="36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9">
    <w:nsid w:val="743723EB"/>
    <w:multiLevelType w:val="hybridMultilevel"/>
    <w:tmpl w:val="D654E26A"/>
    <w:lvl w:ilvl="0" w:tplc="89FAB7E2">
      <w:start w:val="6"/>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80">
    <w:nsid w:val="74E13D71"/>
    <w:multiLevelType w:val="hybridMultilevel"/>
    <w:tmpl w:val="961AD4F8"/>
    <w:lvl w:ilvl="0" w:tplc="8A927ECA">
      <w:start w:val="8"/>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1">
    <w:nsid w:val="761C5559"/>
    <w:multiLevelType w:val="multilevel"/>
    <w:tmpl w:val="84066634"/>
    <w:styleLink w:val="SmartBullets"/>
    <w:lvl w:ilvl="0">
      <w:start w:val="1"/>
      <w:numFmt w:val="bullet"/>
      <w:lvlText w:val="•"/>
      <w:lvlJc w:val="left"/>
      <w:pPr>
        <w:tabs>
          <w:tab w:val="num" w:pos="360"/>
        </w:tabs>
        <w:ind w:left="360" w:hanging="360"/>
      </w:pPr>
      <w:rPr>
        <w:rFonts w:ascii="Calibri" w:hAnsi="Calibri" w:cs="Times New Roman" w:hint="default"/>
        <w:b w:val="0"/>
        <w:i w:val="0"/>
        <w:sz w:val="22"/>
      </w:rPr>
    </w:lvl>
    <w:lvl w:ilvl="1">
      <w:start w:val="1"/>
      <w:numFmt w:val="bullet"/>
      <w:lvlText w:val="–"/>
      <w:lvlJc w:val="left"/>
      <w:pPr>
        <w:tabs>
          <w:tab w:val="num" w:pos="720"/>
        </w:tabs>
        <w:ind w:left="720" w:hanging="360"/>
      </w:pPr>
      <w:rPr>
        <w:rFonts w:ascii="Times New Roman" w:hAnsi="Times New Roman" w:cs="Times New Roman" w:hint="default"/>
        <w:b w:val="0"/>
        <w:i w:val="0"/>
        <w:sz w:val="22"/>
      </w:rPr>
    </w:lvl>
    <w:lvl w:ilvl="2">
      <w:start w:val="1"/>
      <w:numFmt w:val="bullet"/>
      <w:lvlText w:val=""/>
      <w:lvlJc w:val="left"/>
      <w:pPr>
        <w:tabs>
          <w:tab w:val="num" w:pos="1080"/>
        </w:tabs>
        <w:ind w:left="1080" w:hanging="360"/>
      </w:pPr>
      <w:rPr>
        <w:rFonts w:ascii="Symbol" w:hAnsi="Symbol" w:hint="default"/>
        <w:sz w:val="22"/>
      </w:rPr>
    </w:lvl>
    <w:lvl w:ilvl="3">
      <w:start w:val="1"/>
      <w:numFmt w:val="bullet"/>
      <w:lvlText w:val="»"/>
      <w:lvlJc w:val="left"/>
      <w:pPr>
        <w:tabs>
          <w:tab w:val="num" w:pos="1440"/>
        </w:tabs>
        <w:ind w:left="1440" w:hanging="360"/>
      </w:pPr>
      <w:rPr>
        <w:rFonts w:ascii="Times New Roman" w:hAnsi="Times New Roman" w:cs="Times New Roman" w:hint="default"/>
        <w:b w:val="0"/>
        <w:i w:val="0"/>
        <w:sz w:val="22"/>
      </w:rPr>
    </w:lvl>
    <w:lvl w:ilvl="4">
      <w:start w:val="1"/>
      <w:numFmt w:val="bullet"/>
      <w:lvlText w:val="•"/>
      <w:lvlJc w:val="left"/>
      <w:pPr>
        <w:tabs>
          <w:tab w:val="num" w:pos="1800"/>
        </w:tabs>
        <w:ind w:left="1800" w:hanging="360"/>
      </w:pPr>
      <w:rPr>
        <w:rFonts w:ascii="Times New Roman" w:hAnsi="Times New Roman" w:cs="Times New Roman" w:hint="default"/>
        <w:b w:val="0"/>
        <w:i w:val="0"/>
        <w:sz w:val="22"/>
      </w:rPr>
    </w:lvl>
    <w:lvl w:ilvl="5">
      <w:start w:val="1"/>
      <w:numFmt w:val="none"/>
      <w:lvlText w:val=""/>
      <w:lvlJc w:val="left"/>
      <w:pPr>
        <w:tabs>
          <w:tab w:val="num" w:pos="2160"/>
        </w:tabs>
        <w:ind w:left="2160" w:hanging="360"/>
      </w:pPr>
      <w:rPr>
        <w:rFonts w:hint="default"/>
      </w:rPr>
    </w:lvl>
    <w:lvl w:ilvl="6">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82">
    <w:nsid w:val="76BC6F17"/>
    <w:multiLevelType w:val="hybridMultilevel"/>
    <w:tmpl w:val="4C560C6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3">
    <w:nsid w:val="77124DBB"/>
    <w:multiLevelType w:val="hybridMultilevel"/>
    <w:tmpl w:val="E8C08EF2"/>
    <w:lvl w:ilvl="0" w:tplc="A65EF7EA">
      <w:start w:val="1"/>
      <w:numFmt w:val="decimal"/>
      <w:lvlText w:val="%1-"/>
      <w:lvlJc w:val="left"/>
      <w:pPr>
        <w:ind w:left="360" w:hanging="360"/>
      </w:pPr>
      <w:rPr>
        <w:rFonts w:hint="default"/>
        <w:b/>
      </w:rPr>
    </w:lvl>
    <w:lvl w:ilvl="1" w:tplc="B9A6A69C">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4">
    <w:nsid w:val="778A49ED"/>
    <w:multiLevelType w:val="multilevel"/>
    <w:tmpl w:val="C6DEB8D2"/>
    <w:lvl w:ilvl="0">
      <w:start w:val="6"/>
      <w:numFmt w:val="decimal"/>
      <w:lvlText w:val="%1."/>
      <w:lvlJc w:val="left"/>
      <w:pPr>
        <w:ind w:left="720" w:hanging="360"/>
      </w:pPr>
      <w:rPr>
        <w:rFonts w:hint="default"/>
        <w:b/>
      </w:rPr>
    </w:lvl>
    <w:lvl w:ilvl="1">
      <w:start w:val="6"/>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240" w:hanging="2880"/>
      </w:pPr>
      <w:rPr>
        <w:rFonts w:hint="default"/>
      </w:rPr>
    </w:lvl>
  </w:abstractNum>
  <w:abstractNum w:abstractNumId="185">
    <w:nsid w:val="78040BD0"/>
    <w:multiLevelType w:val="hybridMultilevel"/>
    <w:tmpl w:val="B992B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nsid w:val="78082236"/>
    <w:multiLevelType w:val="hybridMultilevel"/>
    <w:tmpl w:val="26BEA5C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7">
    <w:nsid w:val="795040EA"/>
    <w:multiLevelType w:val="hybridMultilevel"/>
    <w:tmpl w:val="15968F76"/>
    <w:lvl w:ilvl="0" w:tplc="146CE74E">
      <w:start w:val="2"/>
      <w:numFmt w:val="bullet"/>
      <w:lvlText w:val="-"/>
      <w:lvlJc w:val="left"/>
      <w:pPr>
        <w:ind w:left="720" w:hanging="360"/>
      </w:pPr>
      <w:rPr>
        <w:rFonts w:ascii="Georgia" w:eastAsia="Arial" w:hAnsi="Georgi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8">
    <w:nsid w:val="79550E9D"/>
    <w:multiLevelType w:val="hybridMultilevel"/>
    <w:tmpl w:val="97AC06EE"/>
    <w:lvl w:ilvl="0" w:tplc="987C3766">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9">
    <w:nsid w:val="7981237D"/>
    <w:multiLevelType w:val="hybridMultilevel"/>
    <w:tmpl w:val="6EF67334"/>
    <w:lvl w:ilvl="0" w:tplc="FF9EFCD4">
      <w:numFmt w:val="bullet"/>
      <w:lvlText w:val="•"/>
      <w:lvlJc w:val="left"/>
      <w:pPr>
        <w:ind w:left="720" w:hanging="360"/>
      </w:pPr>
      <w:rPr>
        <w:rFonts w:ascii="Times New Roman" w:hAnsi="Times New Roman" w:cs="Times New Roman" w:hint="default"/>
        <w:color w:val="000000" w:themeColor="text1"/>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0">
    <w:nsid w:val="799107D6"/>
    <w:multiLevelType w:val="hybridMultilevel"/>
    <w:tmpl w:val="B47229C0"/>
    <w:lvl w:ilvl="0" w:tplc="A526125E">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1">
    <w:nsid w:val="79DE1463"/>
    <w:multiLevelType w:val="hybridMultilevel"/>
    <w:tmpl w:val="8C1A5EAC"/>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92">
    <w:nsid w:val="7A8D541A"/>
    <w:multiLevelType w:val="hybridMultilevel"/>
    <w:tmpl w:val="7004BB3C"/>
    <w:lvl w:ilvl="0" w:tplc="04100015">
      <w:start w:val="1"/>
      <w:numFmt w:val="upperLetter"/>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3">
    <w:nsid w:val="7AA85191"/>
    <w:multiLevelType w:val="hybridMultilevel"/>
    <w:tmpl w:val="018240F0"/>
    <w:lvl w:ilvl="0" w:tplc="94A058AA">
      <w:start w:val="1"/>
      <w:numFmt w:val="decimal"/>
      <w:lvlRestart w:val="0"/>
      <w:pStyle w:val="opsommingnr"/>
      <w:lvlText w:val="%1"/>
      <w:lvlJc w:val="left"/>
      <w:pPr>
        <w:tabs>
          <w:tab w:val="num" w:pos="700"/>
        </w:tabs>
        <w:ind w:left="2784" w:hanging="2424"/>
      </w:pPr>
      <w:rPr>
        <w:rFonts w:cs="Times New Roman" w:hint="default"/>
      </w:rPr>
    </w:lvl>
    <w:lvl w:ilvl="1" w:tplc="C63447F0" w:tentative="1">
      <w:start w:val="1"/>
      <w:numFmt w:val="bullet"/>
      <w:lvlText w:val="o"/>
      <w:lvlJc w:val="left"/>
      <w:pPr>
        <w:tabs>
          <w:tab w:val="num" w:pos="1440"/>
        </w:tabs>
        <w:ind w:left="1440" w:hanging="360"/>
      </w:pPr>
      <w:rPr>
        <w:rFonts w:ascii="Courier New" w:hAnsi="Courier New" w:hint="default"/>
      </w:rPr>
    </w:lvl>
    <w:lvl w:ilvl="2" w:tplc="260610D2" w:tentative="1">
      <w:start w:val="1"/>
      <w:numFmt w:val="bullet"/>
      <w:lvlText w:val=""/>
      <w:lvlJc w:val="left"/>
      <w:pPr>
        <w:tabs>
          <w:tab w:val="num" w:pos="2160"/>
        </w:tabs>
        <w:ind w:left="2160" w:hanging="360"/>
      </w:pPr>
      <w:rPr>
        <w:rFonts w:ascii="Wingdings" w:hAnsi="Wingdings" w:hint="default"/>
      </w:rPr>
    </w:lvl>
    <w:lvl w:ilvl="3" w:tplc="930CB170" w:tentative="1">
      <w:start w:val="1"/>
      <w:numFmt w:val="bullet"/>
      <w:lvlText w:val=""/>
      <w:lvlJc w:val="left"/>
      <w:pPr>
        <w:tabs>
          <w:tab w:val="num" w:pos="2880"/>
        </w:tabs>
        <w:ind w:left="2880" w:hanging="360"/>
      </w:pPr>
      <w:rPr>
        <w:rFonts w:ascii="Symbol" w:hAnsi="Symbol" w:hint="default"/>
      </w:rPr>
    </w:lvl>
    <w:lvl w:ilvl="4" w:tplc="826A858E" w:tentative="1">
      <w:start w:val="1"/>
      <w:numFmt w:val="bullet"/>
      <w:lvlText w:val="o"/>
      <w:lvlJc w:val="left"/>
      <w:pPr>
        <w:tabs>
          <w:tab w:val="num" w:pos="3600"/>
        </w:tabs>
        <w:ind w:left="3600" w:hanging="360"/>
      </w:pPr>
      <w:rPr>
        <w:rFonts w:ascii="Courier New" w:hAnsi="Courier New" w:hint="default"/>
      </w:rPr>
    </w:lvl>
    <w:lvl w:ilvl="5" w:tplc="32FEAB22" w:tentative="1">
      <w:start w:val="1"/>
      <w:numFmt w:val="bullet"/>
      <w:lvlText w:val=""/>
      <w:lvlJc w:val="left"/>
      <w:pPr>
        <w:tabs>
          <w:tab w:val="num" w:pos="4320"/>
        </w:tabs>
        <w:ind w:left="4320" w:hanging="360"/>
      </w:pPr>
      <w:rPr>
        <w:rFonts w:ascii="Wingdings" w:hAnsi="Wingdings" w:hint="default"/>
      </w:rPr>
    </w:lvl>
    <w:lvl w:ilvl="6" w:tplc="B92EA22A" w:tentative="1">
      <w:start w:val="1"/>
      <w:numFmt w:val="bullet"/>
      <w:lvlText w:val=""/>
      <w:lvlJc w:val="left"/>
      <w:pPr>
        <w:tabs>
          <w:tab w:val="num" w:pos="5040"/>
        </w:tabs>
        <w:ind w:left="5040" w:hanging="360"/>
      </w:pPr>
      <w:rPr>
        <w:rFonts w:ascii="Symbol" w:hAnsi="Symbol" w:hint="default"/>
      </w:rPr>
    </w:lvl>
    <w:lvl w:ilvl="7" w:tplc="B6789A3C" w:tentative="1">
      <w:start w:val="1"/>
      <w:numFmt w:val="bullet"/>
      <w:lvlText w:val="o"/>
      <w:lvlJc w:val="left"/>
      <w:pPr>
        <w:tabs>
          <w:tab w:val="num" w:pos="5760"/>
        </w:tabs>
        <w:ind w:left="5760" w:hanging="360"/>
      </w:pPr>
      <w:rPr>
        <w:rFonts w:ascii="Courier New" w:hAnsi="Courier New" w:hint="default"/>
      </w:rPr>
    </w:lvl>
    <w:lvl w:ilvl="8" w:tplc="56207404" w:tentative="1">
      <w:start w:val="1"/>
      <w:numFmt w:val="bullet"/>
      <w:lvlText w:val=""/>
      <w:lvlJc w:val="left"/>
      <w:pPr>
        <w:tabs>
          <w:tab w:val="num" w:pos="6480"/>
        </w:tabs>
        <w:ind w:left="6480" w:hanging="360"/>
      </w:pPr>
      <w:rPr>
        <w:rFonts w:ascii="Wingdings" w:hAnsi="Wingdings" w:hint="default"/>
      </w:rPr>
    </w:lvl>
  </w:abstractNum>
  <w:abstractNum w:abstractNumId="194">
    <w:nsid w:val="7D1019DF"/>
    <w:multiLevelType w:val="hybridMultilevel"/>
    <w:tmpl w:val="8618D95E"/>
    <w:lvl w:ilvl="0" w:tplc="08090001">
      <w:start w:val="1"/>
      <w:numFmt w:val="bullet"/>
      <w:lvlText w:val=""/>
      <w:lvlJc w:val="left"/>
      <w:pPr>
        <w:ind w:left="379" w:hanging="360"/>
      </w:pPr>
      <w:rPr>
        <w:rFonts w:ascii="Symbol" w:hAnsi="Symbol" w:hint="default"/>
      </w:rPr>
    </w:lvl>
    <w:lvl w:ilvl="1" w:tplc="04100003" w:tentative="1">
      <w:start w:val="1"/>
      <w:numFmt w:val="bullet"/>
      <w:lvlText w:val="o"/>
      <w:lvlJc w:val="left"/>
      <w:pPr>
        <w:ind w:left="1459" w:hanging="360"/>
      </w:pPr>
      <w:rPr>
        <w:rFonts w:ascii="Courier New" w:hAnsi="Courier New" w:cs="Courier New" w:hint="default"/>
      </w:rPr>
    </w:lvl>
    <w:lvl w:ilvl="2" w:tplc="04100005" w:tentative="1">
      <w:start w:val="1"/>
      <w:numFmt w:val="bullet"/>
      <w:lvlText w:val=""/>
      <w:lvlJc w:val="left"/>
      <w:pPr>
        <w:ind w:left="2179" w:hanging="360"/>
      </w:pPr>
      <w:rPr>
        <w:rFonts w:ascii="Wingdings" w:hAnsi="Wingdings" w:hint="default"/>
      </w:rPr>
    </w:lvl>
    <w:lvl w:ilvl="3" w:tplc="04100001" w:tentative="1">
      <w:start w:val="1"/>
      <w:numFmt w:val="bullet"/>
      <w:lvlText w:val=""/>
      <w:lvlJc w:val="left"/>
      <w:pPr>
        <w:ind w:left="2899" w:hanging="360"/>
      </w:pPr>
      <w:rPr>
        <w:rFonts w:ascii="Symbol" w:hAnsi="Symbol" w:hint="default"/>
      </w:rPr>
    </w:lvl>
    <w:lvl w:ilvl="4" w:tplc="04100003" w:tentative="1">
      <w:start w:val="1"/>
      <w:numFmt w:val="bullet"/>
      <w:lvlText w:val="o"/>
      <w:lvlJc w:val="left"/>
      <w:pPr>
        <w:ind w:left="3619" w:hanging="360"/>
      </w:pPr>
      <w:rPr>
        <w:rFonts w:ascii="Courier New" w:hAnsi="Courier New" w:cs="Courier New" w:hint="default"/>
      </w:rPr>
    </w:lvl>
    <w:lvl w:ilvl="5" w:tplc="04100005" w:tentative="1">
      <w:start w:val="1"/>
      <w:numFmt w:val="bullet"/>
      <w:lvlText w:val=""/>
      <w:lvlJc w:val="left"/>
      <w:pPr>
        <w:ind w:left="4339" w:hanging="360"/>
      </w:pPr>
      <w:rPr>
        <w:rFonts w:ascii="Wingdings" w:hAnsi="Wingdings" w:hint="default"/>
      </w:rPr>
    </w:lvl>
    <w:lvl w:ilvl="6" w:tplc="04100001" w:tentative="1">
      <w:start w:val="1"/>
      <w:numFmt w:val="bullet"/>
      <w:lvlText w:val=""/>
      <w:lvlJc w:val="left"/>
      <w:pPr>
        <w:ind w:left="5059" w:hanging="360"/>
      </w:pPr>
      <w:rPr>
        <w:rFonts w:ascii="Symbol" w:hAnsi="Symbol" w:hint="default"/>
      </w:rPr>
    </w:lvl>
    <w:lvl w:ilvl="7" w:tplc="04100003" w:tentative="1">
      <w:start w:val="1"/>
      <w:numFmt w:val="bullet"/>
      <w:lvlText w:val="o"/>
      <w:lvlJc w:val="left"/>
      <w:pPr>
        <w:ind w:left="5779" w:hanging="360"/>
      </w:pPr>
      <w:rPr>
        <w:rFonts w:ascii="Courier New" w:hAnsi="Courier New" w:cs="Courier New" w:hint="default"/>
      </w:rPr>
    </w:lvl>
    <w:lvl w:ilvl="8" w:tplc="04100005" w:tentative="1">
      <w:start w:val="1"/>
      <w:numFmt w:val="bullet"/>
      <w:lvlText w:val=""/>
      <w:lvlJc w:val="left"/>
      <w:pPr>
        <w:ind w:left="6499" w:hanging="360"/>
      </w:pPr>
      <w:rPr>
        <w:rFonts w:ascii="Wingdings" w:hAnsi="Wingdings" w:hint="default"/>
      </w:rPr>
    </w:lvl>
  </w:abstractNum>
  <w:abstractNum w:abstractNumId="195">
    <w:nsid w:val="7D5C7953"/>
    <w:multiLevelType w:val="hybridMultilevel"/>
    <w:tmpl w:val="A5DA4732"/>
    <w:lvl w:ilvl="0" w:tplc="65A86296">
      <w:start w:val="2"/>
      <w:numFmt w:val="decimal"/>
      <w:lvlText w:val="%1."/>
      <w:lvlJc w:val="left"/>
      <w:pPr>
        <w:tabs>
          <w:tab w:val="num" w:pos="-360"/>
        </w:tabs>
        <w:ind w:left="360" w:hanging="360"/>
      </w:pPr>
      <w:rPr>
        <w:rFonts w:cs="Times New Roman"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6">
    <w:nsid w:val="7D7A050D"/>
    <w:multiLevelType w:val="hybridMultilevel"/>
    <w:tmpl w:val="DCC4E868"/>
    <w:lvl w:ilvl="0" w:tplc="EB9C6D7A">
      <w:start w:val="10"/>
      <w:numFmt w:val="bullet"/>
      <w:lvlText w:val="-"/>
      <w:lvlJc w:val="left"/>
      <w:pPr>
        <w:ind w:left="720" w:hanging="360"/>
      </w:pPr>
      <w:rPr>
        <w:rFonts w:ascii="Times New Roman" w:eastAsia="MS Mincho" w:hAnsi="Times New Roman" w:cs="Times New Roman" w:hint="default"/>
        <w:b/>
        <w:lang w:val="en-G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7">
    <w:nsid w:val="7DF32353"/>
    <w:multiLevelType w:val="multilevel"/>
    <w:tmpl w:val="7666BB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531"/>
        </w:tabs>
        <w:ind w:left="1531" w:hanging="1171"/>
      </w:pPr>
      <w:rPr>
        <w:rFonts w:hint="default"/>
      </w:rPr>
    </w:lvl>
    <w:lvl w:ilvl="2">
      <w:start w:val="1"/>
      <w:numFmt w:val="decimal"/>
      <w:pStyle w:val="Questionario3"/>
      <w:lvlText w:val="%1.%2.%3."/>
      <w:lvlJc w:val="left"/>
      <w:pPr>
        <w:tabs>
          <w:tab w:val="num" w:pos="2268"/>
        </w:tabs>
        <w:ind w:left="2268" w:hanging="1548"/>
      </w:pPr>
      <w:rPr>
        <w:rFonts w:hint="default"/>
      </w:rPr>
    </w:lvl>
    <w:lvl w:ilvl="3">
      <w:start w:val="1"/>
      <w:numFmt w:val="decimal"/>
      <w:pStyle w:val="Questionario4"/>
      <w:lvlText w:val="%1.%2.%3.%4."/>
      <w:lvlJc w:val="left"/>
      <w:pPr>
        <w:tabs>
          <w:tab w:val="num" w:pos="3289"/>
        </w:tabs>
        <w:ind w:left="3289" w:hanging="2209"/>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8">
    <w:nsid w:val="7F7040FE"/>
    <w:multiLevelType w:val="hybridMultilevel"/>
    <w:tmpl w:val="1A160B46"/>
    <w:lvl w:ilvl="0" w:tplc="6DA27500">
      <w:start w:val="1"/>
      <w:numFmt w:val="upperRoman"/>
      <w:pStyle w:val="AppendixHeading2"/>
      <w:lvlText w:val="Appendix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9">
    <w:nsid w:val="7F715B68"/>
    <w:multiLevelType w:val="hybridMultilevel"/>
    <w:tmpl w:val="F5EABB86"/>
    <w:lvl w:ilvl="0" w:tplc="EB9C6D7A">
      <w:start w:val="10"/>
      <w:numFmt w:val="bullet"/>
      <w:lvlText w:val="-"/>
      <w:lvlJc w:val="left"/>
      <w:pPr>
        <w:ind w:left="720" w:hanging="360"/>
      </w:pPr>
      <w:rPr>
        <w:rFonts w:ascii="Times New Roman" w:eastAsia="MS Mincho" w:hAnsi="Times New Roman" w:cs="Times New Roman" w:hint="default"/>
        <w:b/>
        <w:lang w:val="en-G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72"/>
  </w:num>
  <w:num w:numId="2">
    <w:abstractNumId w:val="20"/>
  </w:num>
  <w:num w:numId="3">
    <w:abstractNumId w:val="35"/>
  </w:num>
  <w:num w:numId="4">
    <w:abstractNumId w:val="193"/>
  </w:num>
  <w:num w:numId="5">
    <w:abstractNumId w:val="65"/>
  </w:num>
  <w:num w:numId="6">
    <w:abstractNumId w:val="148"/>
  </w:num>
  <w:num w:numId="7">
    <w:abstractNumId w:val="32"/>
  </w:num>
  <w:num w:numId="8">
    <w:abstractNumId w:val="76"/>
  </w:num>
  <w:num w:numId="9">
    <w:abstractNumId w:val="83"/>
  </w:num>
  <w:num w:numId="10">
    <w:abstractNumId w:val="57"/>
  </w:num>
  <w:num w:numId="11">
    <w:abstractNumId w:val="128"/>
  </w:num>
  <w:num w:numId="12">
    <w:abstractNumId w:val="153"/>
  </w:num>
  <w:num w:numId="13">
    <w:abstractNumId w:val="70"/>
  </w:num>
  <w:num w:numId="14">
    <w:abstractNumId w:val="90"/>
  </w:num>
  <w:num w:numId="15">
    <w:abstractNumId w:val="99"/>
  </w:num>
  <w:num w:numId="16">
    <w:abstractNumId w:val="91"/>
  </w:num>
  <w:num w:numId="17">
    <w:abstractNumId w:val="181"/>
  </w:num>
  <w:num w:numId="18">
    <w:abstractNumId w:val="13"/>
  </w:num>
  <w:num w:numId="19">
    <w:abstractNumId w:val="162"/>
  </w:num>
  <w:num w:numId="20">
    <w:abstractNumId w:val="109"/>
  </w:num>
  <w:num w:numId="21">
    <w:abstractNumId w:val="126"/>
  </w:num>
  <w:num w:numId="22">
    <w:abstractNumId w:val="86"/>
  </w:num>
  <w:num w:numId="23">
    <w:abstractNumId w:val="78"/>
  </w:num>
  <w:num w:numId="24">
    <w:abstractNumId w:val="197"/>
  </w:num>
  <w:num w:numId="25">
    <w:abstractNumId w:val="119"/>
  </w:num>
  <w:num w:numId="26">
    <w:abstractNumId w:val="132"/>
  </w:num>
  <w:num w:numId="27">
    <w:abstractNumId w:val="198"/>
  </w:num>
  <w:num w:numId="28">
    <w:abstractNumId w:val="36"/>
  </w:num>
  <w:num w:numId="29">
    <w:abstractNumId w:val="144"/>
  </w:num>
  <w:num w:numId="30">
    <w:abstractNumId w:val="136"/>
  </w:num>
  <w:num w:numId="31">
    <w:abstractNumId w:val="189"/>
  </w:num>
  <w:num w:numId="32">
    <w:abstractNumId w:val="47"/>
  </w:num>
  <w:num w:numId="33">
    <w:abstractNumId w:val="177"/>
  </w:num>
  <w:num w:numId="34">
    <w:abstractNumId w:val="139"/>
  </w:num>
  <w:num w:numId="35">
    <w:abstractNumId w:val="167"/>
  </w:num>
  <w:num w:numId="36">
    <w:abstractNumId w:val="125"/>
  </w:num>
  <w:num w:numId="37">
    <w:abstractNumId w:val="135"/>
  </w:num>
  <w:num w:numId="38">
    <w:abstractNumId w:val="55"/>
  </w:num>
  <w:num w:numId="39">
    <w:abstractNumId w:val="68"/>
  </w:num>
  <w:num w:numId="40">
    <w:abstractNumId w:val="100"/>
  </w:num>
  <w:num w:numId="41">
    <w:abstractNumId w:val="111"/>
  </w:num>
  <w:num w:numId="42">
    <w:abstractNumId w:val="116"/>
  </w:num>
  <w:num w:numId="43">
    <w:abstractNumId w:val="158"/>
  </w:num>
  <w:num w:numId="44">
    <w:abstractNumId w:val="169"/>
  </w:num>
  <w:num w:numId="45">
    <w:abstractNumId w:val="28"/>
  </w:num>
  <w:num w:numId="46">
    <w:abstractNumId w:val="44"/>
  </w:num>
  <w:num w:numId="47">
    <w:abstractNumId w:val="102"/>
  </w:num>
  <w:num w:numId="48">
    <w:abstractNumId w:val="61"/>
  </w:num>
  <w:num w:numId="49">
    <w:abstractNumId w:val="101"/>
  </w:num>
  <w:num w:numId="50">
    <w:abstractNumId w:val="130"/>
  </w:num>
  <w:num w:numId="51">
    <w:abstractNumId w:val="171"/>
  </w:num>
  <w:num w:numId="52">
    <w:abstractNumId w:val="165"/>
  </w:num>
  <w:num w:numId="53">
    <w:abstractNumId w:val="67"/>
  </w:num>
  <w:num w:numId="54">
    <w:abstractNumId w:val="72"/>
  </w:num>
  <w:num w:numId="55">
    <w:abstractNumId w:val="2"/>
  </w:num>
  <w:num w:numId="56">
    <w:abstractNumId w:val="33"/>
  </w:num>
  <w:num w:numId="57">
    <w:abstractNumId w:val="58"/>
  </w:num>
  <w:num w:numId="58">
    <w:abstractNumId w:val="41"/>
  </w:num>
  <w:num w:numId="59">
    <w:abstractNumId w:val="104"/>
  </w:num>
  <w:num w:numId="60">
    <w:abstractNumId w:val="175"/>
  </w:num>
  <w:num w:numId="61">
    <w:abstractNumId w:val="3"/>
  </w:num>
  <w:num w:numId="62">
    <w:abstractNumId w:val="155"/>
  </w:num>
  <w:num w:numId="63">
    <w:abstractNumId w:val="46"/>
  </w:num>
  <w:num w:numId="64">
    <w:abstractNumId w:val="156"/>
  </w:num>
  <w:num w:numId="65">
    <w:abstractNumId w:val="185"/>
  </w:num>
  <w:num w:numId="66">
    <w:abstractNumId w:val="7"/>
  </w:num>
  <w:num w:numId="67">
    <w:abstractNumId w:val="160"/>
  </w:num>
  <w:num w:numId="68">
    <w:abstractNumId w:val="56"/>
  </w:num>
  <w:num w:numId="69">
    <w:abstractNumId w:val="115"/>
  </w:num>
  <w:num w:numId="70">
    <w:abstractNumId w:val="142"/>
  </w:num>
  <w:num w:numId="71">
    <w:abstractNumId w:val="81"/>
  </w:num>
  <w:num w:numId="72">
    <w:abstractNumId w:val="176"/>
    <w:lvlOverride w:ilvl="0">
      <w:startOverride w:val="1"/>
    </w:lvlOverride>
    <w:lvlOverride w:ilvl="1"/>
    <w:lvlOverride w:ilvl="2"/>
    <w:lvlOverride w:ilvl="3"/>
    <w:lvlOverride w:ilvl="4"/>
    <w:lvlOverride w:ilvl="5"/>
    <w:lvlOverride w:ilvl="6"/>
    <w:lvlOverride w:ilvl="7"/>
    <w:lvlOverride w:ilvl="8"/>
  </w:num>
  <w:num w:numId="73">
    <w:abstractNumId w:val="49"/>
  </w:num>
  <w:num w:numId="74">
    <w:abstractNumId w:val="143"/>
  </w:num>
  <w:num w:numId="75">
    <w:abstractNumId w:val="10"/>
  </w:num>
  <w:num w:numId="76">
    <w:abstractNumId w:val="179"/>
  </w:num>
  <w:num w:numId="77">
    <w:abstractNumId w:val="26"/>
  </w:num>
  <w:num w:numId="78">
    <w:abstractNumId w:val="88"/>
  </w:num>
  <w:num w:numId="79">
    <w:abstractNumId w:val="150"/>
  </w:num>
  <w:num w:numId="80">
    <w:abstractNumId w:val="22"/>
  </w:num>
  <w:num w:numId="81">
    <w:abstractNumId w:val="12"/>
  </w:num>
  <w:num w:numId="82">
    <w:abstractNumId w:val="8"/>
  </w:num>
  <w:num w:numId="83">
    <w:abstractNumId w:val="84"/>
  </w:num>
  <w:num w:numId="84">
    <w:abstractNumId w:val="89"/>
  </w:num>
  <w:num w:numId="85">
    <w:abstractNumId w:val="151"/>
  </w:num>
  <w:num w:numId="86">
    <w:abstractNumId w:val="106"/>
  </w:num>
  <w:num w:numId="87">
    <w:abstractNumId w:val="19"/>
  </w:num>
  <w:num w:numId="88">
    <w:abstractNumId w:val="25"/>
  </w:num>
  <w:num w:numId="89">
    <w:abstractNumId w:val="79"/>
  </w:num>
  <w:num w:numId="90">
    <w:abstractNumId w:val="134"/>
  </w:num>
  <w:num w:numId="91">
    <w:abstractNumId w:val="92"/>
  </w:num>
  <w:num w:numId="92">
    <w:abstractNumId w:val="11"/>
  </w:num>
  <w:num w:numId="93">
    <w:abstractNumId w:val="113"/>
  </w:num>
  <w:num w:numId="94">
    <w:abstractNumId w:val="94"/>
  </w:num>
  <w:num w:numId="95">
    <w:abstractNumId w:val="178"/>
  </w:num>
  <w:num w:numId="96">
    <w:abstractNumId w:val="80"/>
  </w:num>
  <w:num w:numId="97">
    <w:abstractNumId w:val="40"/>
  </w:num>
  <w:num w:numId="98">
    <w:abstractNumId w:val="53"/>
  </w:num>
  <w:num w:numId="99">
    <w:abstractNumId w:val="127"/>
  </w:num>
  <w:num w:numId="100">
    <w:abstractNumId w:val="27"/>
  </w:num>
  <w:num w:numId="101">
    <w:abstractNumId w:val="34"/>
  </w:num>
  <w:num w:numId="102">
    <w:abstractNumId w:val="39"/>
  </w:num>
  <w:num w:numId="103">
    <w:abstractNumId w:val="199"/>
  </w:num>
  <w:num w:numId="104">
    <w:abstractNumId w:val="196"/>
  </w:num>
  <w:num w:numId="105">
    <w:abstractNumId w:val="152"/>
  </w:num>
  <w:num w:numId="106">
    <w:abstractNumId w:val="157"/>
  </w:num>
  <w:num w:numId="107">
    <w:abstractNumId w:val="170"/>
  </w:num>
  <w:num w:numId="108">
    <w:abstractNumId w:val="50"/>
  </w:num>
  <w:num w:numId="109">
    <w:abstractNumId w:val="117"/>
  </w:num>
  <w:num w:numId="110">
    <w:abstractNumId w:val="145"/>
  </w:num>
  <w:num w:numId="111">
    <w:abstractNumId w:val="21"/>
  </w:num>
  <w:num w:numId="112">
    <w:abstractNumId w:val="93"/>
  </w:num>
  <w:num w:numId="113">
    <w:abstractNumId w:val="120"/>
  </w:num>
  <w:num w:numId="114">
    <w:abstractNumId w:val="45"/>
  </w:num>
  <w:num w:numId="115">
    <w:abstractNumId w:val="149"/>
  </w:num>
  <w:num w:numId="116">
    <w:abstractNumId w:val="147"/>
  </w:num>
  <w:num w:numId="117">
    <w:abstractNumId w:val="173"/>
  </w:num>
  <w:num w:numId="118">
    <w:abstractNumId w:val="187"/>
  </w:num>
  <w:num w:numId="119">
    <w:abstractNumId w:val="5"/>
  </w:num>
  <w:num w:numId="120">
    <w:abstractNumId w:val="23"/>
  </w:num>
  <w:num w:numId="121">
    <w:abstractNumId w:val="105"/>
  </w:num>
  <w:num w:numId="122">
    <w:abstractNumId w:val="60"/>
  </w:num>
  <w:num w:numId="123">
    <w:abstractNumId w:val="118"/>
  </w:num>
  <w:num w:numId="124">
    <w:abstractNumId w:val="108"/>
  </w:num>
  <w:num w:numId="125">
    <w:abstractNumId w:val="66"/>
  </w:num>
  <w:num w:numId="126">
    <w:abstractNumId w:val="18"/>
  </w:num>
  <w:num w:numId="127">
    <w:abstractNumId w:val="77"/>
  </w:num>
  <w:num w:numId="128">
    <w:abstractNumId w:val="131"/>
  </w:num>
  <w:num w:numId="129">
    <w:abstractNumId w:val="48"/>
  </w:num>
  <w:num w:numId="130">
    <w:abstractNumId w:val="138"/>
  </w:num>
  <w:num w:numId="131">
    <w:abstractNumId w:val="114"/>
  </w:num>
  <w:num w:numId="132">
    <w:abstractNumId w:val="122"/>
  </w:num>
  <w:num w:numId="133">
    <w:abstractNumId w:val="192"/>
  </w:num>
  <w:num w:numId="134">
    <w:abstractNumId w:val="43"/>
  </w:num>
  <w:num w:numId="135">
    <w:abstractNumId w:val="63"/>
  </w:num>
  <w:num w:numId="136">
    <w:abstractNumId w:val="123"/>
  </w:num>
  <w:num w:numId="137">
    <w:abstractNumId w:val="133"/>
  </w:num>
  <w:num w:numId="138">
    <w:abstractNumId w:val="188"/>
  </w:num>
  <w:num w:numId="139">
    <w:abstractNumId w:val="24"/>
  </w:num>
  <w:num w:numId="140">
    <w:abstractNumId w:val="163"/>
  </w:num>
  <w:num w:numId="141">
    <w:abstractNumId w:val="1"/>
  </w:num>
  <w:num w:numId="142">
    <w:abstractNumId w:val="59"/>
  </w:num>
  <w:num w:numId="143">
    <w:abstractNumId w:val="38"/>
  </w:num>
  <w:num w:numId="144">
    <w:abstractNumId w:val="137"/>
  </w:num>
  <w:num w:numId="145">
    <w:abstractNumId w:val="82"/>
  </w:num>
  <w:num w:numId="146">
    <w:abstractNumId w:val="30"/>
  </w:num>
  <w:num w:numId="147">
    <w:abstractNumId w:val="16"/>
  </w:num>
  <w:num w:numId="148">
    <w:abstractNumId w:val="191"/>
  </w:num>
  <w:num w:numId="149">
    <w:abstractNumId w:val="184"/>
  </w:num>
  <w:num w:numId="150">
    <w:abstractNumId w:val="186"/>
  </w:num>
  <w:num w:numId="151">
    <w:abstractNumId w:val="69"/>
  </w:num>
  <w:num w:numId="152">
    <w:abstractNumId w:val="17"/>
  </w:num>
  <w:num w:numId="153">
    <w:abstractNumId w:val="15"/>
  </w:num>
  <w:num w:numId="154">
    <w:abstractNumId w:val="96"/>
  </w:num>
  <w:num w:numId="155">
    <w:abstractNumId w:val="62"/>
  </w:num>
  <w:num w:numId="156">
    <w:abstractNumId w:val="37"/>
  </w:num>
  <w:num w:numId="157">
    <w:abstractNumId w:val="9"/>
  </w:num>
  <w:num w:numId="158">
    <w:abstractNumId w:val="166"/>
  </w:num>
  <w:num w:numId="159">
    <w:abstractNumId w:val="52"/>
  </w:num>
  <w:num w:numId="160">
    <w:abstractNumId w:val="195"/>
  </w:num>
  <w:num w:numId="161">
    <w:abstractNumId w:val="121"/>
  </w:num>
  <w:num w:numId="162">
    <w:abstractNumId w:val="168"/>
  </w:num>
  <w:num w:numId="163">
    <w:abstractNumId w:val="74"/>
  </w:num>
  <w:num w:numId="164">
    <w:abstractNumId w:val="71"/>
  </w:num>
  <w:num w:numId="165">
    <w:abstractNumId w:val="182"/>
  </w:num>
  <w:num w:numId="166">
    <w:abstractNumId w:val="42"/>
  </w:num>
  <w:num w:numId="167">
    <w:abstractNumId w:val="146"/>
  </w:num>
  <w:num w:numId="168">
    <w:abstractNumId w:val="164"/>
  </w:num>
  <w:num w:numId="169">
    <w:abstractNumId w:val="154"/>
  </w:num>
  <w:num w:numId="170">
    <w:abstractNumId w:val="183"/>
  </w:num>
  <w:num w:numId="171">
    <w:abstractNumId w:val="129"/>
  </w:num>
  <w:num w:numId="172">
    <w:abstractNumId w:val="31"/>
  </w:num>
  <w:num w:numId="173">
    <w:abstractNumId w:val="51"/>
  </w:num>
  <w:num w:numId="174">
    <w:abstractNumId w:val="190"/>
  </w:num>
  <w:num w:numId="175">
    <w:abstractNumId w:val="98"/>
  </w:num>
  <w:num w:numId="176">
    <w:abstractNumId w:val="64"/>
  </w:num>
  <w:num w:numId="177">
    <w:abstractNumId w:val="0"/>
  </w:num>
  <w:num w:numId="178">
    <w:abstractNumId w:val="180"/>
  </w:num>
  <w:num w:numId="179">
    <w:abstractNumId w:val="161"/>
  </w:num>
  <w:num w:numId="180">
    <w:abstractNumId w:val="29"/>
  </w:num>
  <w:num w:numId="181">
    <w:abstractNumId w:val="174"/>
  </w:num>
  <w:num w:numId="182">
    <w:abstractNumId w:val="87"/>
  </w:num>
  <w:num w:numId="183">
    <w:abstractNumId w:val="112"/>
  </w:num>
  <w:num w:numId="184">
    <w:abstractNumId w:val="124"/>
  </w:num>
  <w:num w:numId="185">
    <w:abstractNumId w:val="141"/>
  </w:num>
  <w:num w:numId="186">
    <w:abstractNumId w:val="14"/>
  </w:num>
  <w:num w:numId="187">
    <w:abstractNumId w:val="4"/>
  </w:num>
  <w:num w:numId="188">
    <w:abstractNumId w:val="107"/>
  </w:num>
  <w:num w:numId="189">
    <w:abstractNumId w:val="54"/>
  </w:num>
  <w:num w:numId="190">
    <w:abstractNumId w:val="110"/>
  </w:num>
  <w:num w:numId="191">
    <w:abstractNumId w:val="140"/>
  </w:num>
  <w:num w:numId="192">
    <w:abstractNumId w:val="95"/>
  </w:num>
  <w:num w:numId="193">
    <w:abstractNumId w:val="103"/>
  </w:num>
  <w:num w:numId="194">
    <w:abstractNumId w:val="6"/>
  </w:num>
  <w:num w:numId="195">
    <w:abstractNumId w:val="75"/>
  </w:num>
  <w:num w:numId="196">
    <w:abstractNumId w:val="194"/>
  </w:num>
  <w:num w:numId="197">
    <w:abstractNumId w:val="159"/>
  </w:num>
  <w:num w:numId="198">
    <w:abstractNumId w:val="85"/>
  </w:num>
  <w:num w:numId="199">
    <w:abstractNumId w:val="73"/>
  </w:num>
  <w:numIdMacAtCleanup w:val="1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activeWritingStyle w:appName="MSWord" w:lang="it-IT" w:vendorID="64" w:dllVersion="131078" w:nlCheck="1" w:checkStyle="0"/>
  <w:activeWritingStyle w:appName="MSWord" w:lang="en-US" w:vendorID="64" w:dllVersion="131078" w:nlCheck="1" w:checkStyle="0"/>
  <w:activeWritingStyle w:appName="MSWord" w:lang="en-GB" w:vendorID="64" w:dllVersion="131078" w:nlCheck="1" w:checkStyle="0"/>
  <w:activeWritingStyle w:appName="MSWord" w:lang="fr-FR" w:vendorID="64" w:dllVersion="131078" w:nlCheck="1" w:checkStyle="0"/>
  <w:activeWritingStyle w:appName="MSWord" w:lang="nl-NL" w:vendorID="64" w:dllVersion="131078" w:nlCheck="1" w:checkStyle="0"/>
  <w:activeWritingStyle w:appName="MSWord" w:lang="fr-BE" w:vendorID="64" w:dllVersion="131078" w:nlCheck="1" w:checkStyle="1"/>
  <w:activeWritingStyle w:appName="MSWord" w:lang="de-DE" w:vendorID="64" w:dllVersion="131078" w:nlCheck="1"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NotTrackMoves/>
  <w:defaultTabStop w:val="720"/>
  <w:hyphenationZone w:val="283"/>
  <w:drawingGridHorizontalSpacing w:val="100"/>
  <w:drawingGridVerticalSpacing w:val="873"/>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Number" w:val="14532047"/>
    <w:docVar w:name="DocNumberVersion" w:val="14532047v1"/>
    <w:docVar w:name="DocStatus" w:val="Red"/>
    <w:docVar w:name="LW_ACCOMPAGNANT.CP" w:val="Accompanying the document"/>
    <w:docVar w:name="LW_CONFIDENCE" w:val=" "/>
    <w:docVar w:name="LW_CONST_RESTREINT_UE" w:val="RESTREINT UE/EU RESTRICTED"/>
    <w:docVar w:name="LW_CORRIGENDUM" w:val="&lt;UNUSED&gt;"/>
    <w:docVar w:name="LW_COVERPAGE_GUID" w:val="EA0A71EAEA7443BEAB74592B1B58D9CB"/>
    <w:docVar w:name="LW_CROSSREFERENCE" w:val="{COM(2017) 477 final}_x000b_{SWD(2017) 501 final}_x000b_{SWD(2017) 502 final}"/>
    <w:docVar w:name="LW_DocType" w:val="NORMAL"/>
    <w:docVar w:name="LW_EMISSION" w:val="13.9.2017"/>
    <w:docVar w:name="LW_EMISSION_ISODATE" w:val="2017-09-13"/>
    <w:docVar w:name="LW_EMISSION_LOCATION" w:val="BRX"/>
    <w:docVar w:name="LW_EMISSION_PREFIX" w:val="Brussels, "/>
    <w:docVar w:name="LW_EMISSION_SUFFIX" w:val=" "/>
    <w:docVar w:name="LW_ID_DOCTYPE_NONLW" w:val="CP-026"/>
    <w:docVar w:name="LW_LANGUE" w:val="EN"/>
    <w:docVar w:name="LW_MARKING" w:val="&lt;UNUSED&gt;"/>
    <w:docVar w:name="LW_NOM.INST" w:val="EUROPEAN COMMISSION"/>
    <w:docVar w:name="LW_NOM.INST_JOINTDOC" w:val="&lt;EMPTY&gt;"/>
    <w:docVar w:name="LW_OBJETACTEPRINCIPAL.CP" w:val="on ENISA, the &quot;EU Cybersecurity Agency&quot;, and repealing Regulation (EU) 526/2013, and on Information and Communication Technology cybersecurity certification (''Cybersecurity Act'')"/>
    <w:docVar w:name="LW_PART_NBR" w:val="5"/>
    <w:docVar w:name="LW_PART_NBR_TOTAL" w:val="6"/>
    <w:docVar w:name="LW_REF.INST.NEW" w:val="SWD"/>
    <w:docVar w:name="LW_REF.INST.NEW_ADOPTED" w:val="final"/>
    <w:docVar w:name="LW_REF.INST.NEW_TEXT" w:val="(2017) 500"/>
    <w:docVar w:name="LW_REF.INTERNE" w:val="&lt;UNUSED&gt;"/>
    <w:docVar w:name="LW_SUPERTITRE" w:val="&lt;UNUSED&gt;"/>
    <w:docVar w:name="LW_TITRE.OBJ.CP" w:val="&lt;UNUSED&gt;"/>
    <w:docVar w:name="LW_TYPE.DOC.CP" w:val="COMMISSION STAFF WORKING DOCUMENT_x000b__x000b_IMPACT ASSESSMENT_x000b_"/>
    <w:docVar w:name="LW_TYPEACTEPRINCIPAL.CP" w:val="PROPOSAL FOR A REGULATION OF THE EUROPEAN PARLIAMENT AND OF THE COUNCIL"/>
  </w:docVars>
  <w:rsids>
    <w:rsidRoot w:val="00913429"/>
    <w:rsid w:val="00913429"/>
    <w:rsid w:val="00E143F0"/>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Arial" w:hAnsi="Georgia" w:cs="Times New Roman"/>
        <w:lang w:val="it-IT" w:eastAsia="it-IT" w:bidi="ar-SA"/>
      </w:rPr>
    </w:rPrDefault>
    <w:pPrDefault/>
  </w:docDefaults>
  <w:latentStyles w:defLockedState="1" w:defUIPriority="0" w:defSemiHidden="1" w:defUnhideWhenUsed="1" w:defQFormat="0" w:count="267">
    <w:lsdException w:name="Normal" w:semiHidden="0" w:unhideWhenUsed="0" w:qFormat="1"/>
    <w:lsdException w:name="heading 1" w:semiHidden="0" w:unhideWhenUsed="0" w:qFormat="1"/>
    <w:lsdException w:name="heading 2" w:semiHidden="0" w:uiPriority="9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lsdException w:name="toc 7" w:uiPriority="39"/>
    <w:lsdException w:name="toc 8" w:uiPriority="39"/>
    <w:lsdException w:name="toc 9" w:uiPriority="39"/>
    <w:lsdException w:name="footnote text" w:uiPriority="99" w:qFormat="1"/>
    <w:lsdException w:name="header" w:qFormat="1"/>
    <w:lsdException w:name="caption" w:semiHidden="0" w:uiPriority="35" w:unhideWhenUsed="0" w:qFormat="1"/>
    <w:lsdException w:name="footnote reference" w:uiPriority="99" w:qFormat="1"/>
    <w:lsdException w:name="annotation reference" w:uiPriority="99"/>
    <w:lsdException w:name="endnote reference" w:uiPriority="99"/>
    <w:lsdException w:name="endnote text" w:uiPriority="99"/>
    <w:lsdException w:name="macro" w:uiPriority="99"/>
    <w:lsdException w:name="toa heading" w:uiPriority="99"/>
    <w:lsdException w:name="List Bullet" w:qFormat="1"/>
    <w:lsdException w:name="List Number" w:uiPriority="13" w:qFormat="1"/>
    <w:lsdException w:name="List 2" w:uiPriority="99"/>
    <w:lsdException w:name="List 3" w:uiPriority="99"/>
    <w:lsdException w:name="List 4" w:uiPriority="99"/>
    <w:lsdException w:name="List 5" w:uiPriority="99"/>
    <w:lsdException w:name="List Bullet 2" w:uiPriority="99" w:qFormat="1"/>
    <w:lsdException w:name="List Bullet 3" w:uiPriority="99" w:qFormat="1"/>
    <w:lsdException w:name="List Bullet 4" w:uiPriority="99"/>
    <w:lsdException w:name="List Bullet 5" w:uiPriority="99"/>
    <w:lsdException w:name="List Number 2" w:uiPriority="13" w:qFormat="1"/>
    <w:lsdException w:name="List Number 3" w:uiPriority="13" w:qFormat="1"/>
    <w:lsdException w:name="List Number 4" w:uiPriority="13"/>
    <w:lsdException w:name="List Number 5" w:uiPriority="13"/>
    <w:lsdException w:name="Title" w:semiHidden="0" w:unhideWhenUsed="0" w:qFormat="1"/>
    <w:lsdException w:name="Closing" w:uiPriority="99"/>
    <w:lsdException w:name="Signature" w:uiPriority="99"/>
    <w:lsdException w:name="Default Paragraph Font" w:uiPriority="1"/>
    <w:lsdException w:name="Body Text" w:uiPriority="99" w:qFormat="1"/>
    <w:lsdException w:name="List Continue" w:uiPriority="99" w:qFormat="1"/>
    <w:lsdException w:name="List Continue 2" w:uiPriority="99" w:qFormat="1"/>
    <w:lsdException w:name="List Continue 3" w:uiPriority="99" w:qFormat="1"/>
    <w:lsdException w:name="List Continue 4" w:uiPriority="99"/>
    <w:lsdException w:name="List Continue 5" w:uiPriority="99"/>
    <w:lsdException w:name="Message Header" w:uiPriority="99"/>
    <w:lsdException w:name="Subtitle" w:semiHidden="0" w:uiPriority="11" w:unhideWhenUsed="0" w:qFormat="1"/>
    <w:lsdException w:name="Salutation" w:uiPriority="99"/>
    <w:lsdException w:name="Date" w:uiPriority="99"/>
    <w:lsdException w:name="Body Text First Indent" w:uiPriority="99"/>
    <w:lsdException w:name="Body Text First Indent 2" w:uiPriority="99"/>
    <w:lsdException w:name="Note Heading" w:uiPriority="99"/>
    <w:lsdException w:name="Body Text Indent 3" w:uiPriority="99"/>
    <w:lsdException w:name="Hyperlink" w:uiPriority="99"/>
    <w:lsdException w:name="FollowedHyperlink" w:uiPriority="99"/>
    <w:lsdException w:name="Strong" w:semiHidden="0" w:uiPriority="99" w:unhideWhenUsed="0" w:qFormat="1"/>
    <w:lsdException w:name="Emphasis" w:semiHidden="0" w:uiPriority="99" w:unhideWhenUsed="0" w:qFormat="1"/>
    <w:lsdException w:name="Plain Text" w:uiPriority="99"/>
    <w:lsdException w:name="E-mail Signature" w:uiPriority="99"/>
    <w:lsdException w:name="HTML Top of Form" w:uiPriority="99"/>
    <w:lsdException w:name="HTML Bottom of Form" w:uiPriority="99"/>
    <w:lsdException w:name="Normal (Web)" w:uiPriority="99"/>
    <w:lsdException w:name="HTML Address" w:uiPriority="99"/>
    <w:lsdException w:name="HTML Preformatted" w:uiPriority="99"/>
    <w:lsdException w:name="Normal Table" w:uiPriority="99"/>
    <w:lsdException w:name="No List" w:uiPriority="99"/>
    <w:lsdException w:name="Outline List 1" w:uiPriority="99"/>
    <w:lsdException w:name="Table Grid" w:semiHidden="0" w:uiPriority="99" w:unhideWhenUsed="0"/>
    <w:lsdException w:name="Placeholder Text" w:locked="0" w:uiPriority="99"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iPriority="9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99" w:unhideWhenUsed="0"/>
    <w:lsdException w:name="Light Shading Accent 2" w:locked="0" w:semiHidden="0" w:uiPriority="60" w:unhideWhenUsed="0"/>
    <w:lsdException w:name="Light List Accent 2" w:locked="0" w:semiHidden="0" w:uiPriority="99" w:unhideWhenUsed="0"/>
    <w:lsdException w:name="Light Grid Accent 2" w:locked="0" w:semiHidden="0" w:uiPriority="62" w:unhideWhenUsed="0"/>
    <w:lsdException w:name="Medium Shading 1 Accent 2" w:locked="0" w:semiHidden="0" w:uiPriority="99"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9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99"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99" w:qFormat="1"/>
  </w:latentStyles>
  <w:style w:type="paragraph" w:default="1" w:styleId="Normal">
    <w:name w:val="Normal"/>
    <w:qFormat/>
    <w:pPr>
      <w:spacing w:after="240" w:line="240" w:lineRule="atLeast"/>
    </w:pPr>
    <w:rPr>
      <w:lang w:val="en-GB" w:eastAsia="en-US"/>
    </w:rPr>
  </w:style>
  <w:style w:type="paragraph" w:styleId="Heading1">
    <w:name w:val="heading 1"/>
    <w:aliases w:val="Section,Section Heading,Article Heading,HEADING 1,App1,EASI 1,Hoofdstuk,Heading 1-nonum,H1,1,h1,Header 1,Heading 1-nonum Char,Heading 11,Section1,Section Heading1,Article Heading1,HEADING 11,App11,EASI 11,Hoofdstuk1,Hoofd...,Chapter Title,II+"/>
    <w:basedOn w:val="Normal"/>
    <w:next w:val="Heading2"/>
    <w:link w:val="Heading1Char"/>
    <w:qFormat/>
    <w:pPr>
      <w:keepNext/>
      <w:widowControl w:val="0"/>
      <w:spacing w:after="480" w:line="600" w:lineRule="atLeast"/>
      <w:outlineLvl w:val="0"/>
    </w:pPr>
    <w:rPr>
      <w:rFonts w:eastAsia="SimHei"/>
      <w:b/>
      <w:bCs/>
      <w:i/>
      <w:sz w:val="36"/>
      <w:szCs w:val="28"/>
    </w:rPr>
  </w:style>
  <w:style w:type="paragraph" w:styleId="Heading2">
    <w:name w:val="heading 2"/>
    <w:aliases w:val="sottotitolo,H2,h2,l2,ITT t2,CAPITOLO,PA Major Section,TE Heading 2,Livello 4,2,heading 2,Arial 12 Fett Kursiv,t2,Heading new,(Alt+2),Attribute Heading 2,Attribute Heading 21,H21,H22,H23,H211,H221,H24,H212,H222,H231,H2111,H2211,A"/>
    <w:basedOn w:val="Normal"/>
    <w:next w:val="BodyText"/>
    <w:link w:val="Heading2Char"/>
    <w:uiPriority w:val="99"/>
    <w:qFormat/>
    <w:pPr>
      <w:keepNext/>
      <w:keepLines/>
      <w:tabs>
        <w:tab w:val="left" w:pos="993"/>
      </w:tabs>
      <w:spacing w:after="120" w:line="240" w:lineRule="auto"/>
      <w:ind w:right="-23"/>
      <w:outlineLvl w:val="1"/>
    </w:pPr>
    <w:rPr>
      <w:rFonts w:eastAsia="SimHei"/>
      <w:b/>
      <w:bCs/>
      <w:i/>
      <w:color w:val="DC6900"/>
      <w:sz w:val="32"/>
      <w:szCs w:val="26"/>
    </w:rPr>
  </w:style>
  <w:style w:type="paragraph" w:styleId="Heading3">
    <w:name w:val="heading 3"/>
    <w:aliases w:val="Level 1 - 1,Internal Head,BOD 0,Premessa,Annotationen,ASAPHeading 3,ASAPHeading 3 Char,ASAPHeading 3 Char Char,h3,h31,h32,h33,h34,h35,h36,h37,h38,h39,h310,h311,h312,h313,h314,3,H3,l3,t3,Livello 3,Arial 12 Fett,1.2.3.,e,OdsKap3,3 bullet,b,SECON"/>
    <w:basedOn w:val="Normal"/>
    <w:next w:val="BodyText"/>
    <w:link w:val="Heading3Char"/>
    <w:qFormat/>
    <w:pPr>
      <w:keepNext/>
      <w:keepLines/>
      <w:tabs>
        <w:tab w:val="left" w:pos="993"/>
      </w:tabs>
      <w:spacing w:after="120" w:line="240" w:lineRule="auto"/>
      <w:ind w:right="-23"/>
      <w:outlineLvl w:val="2"/>
    </w:pPr>
    <w:rPr>
      <w:rFonts w:eastAsia="SimHei"/>
      <w:bCs/>
      <w:i/>
      <w:noProof/>
      <w:color w:val="DC6900"/>
      <w:sz w:val="28"/>
      <w:szCs w:val="28"/>
    </w:rPr>
  </w:style>
  <w:style w:type="paragraph" w:styleId="Heading4">
    <w:name w:val="heading 4"/>
    <w:aliases w:val="paragrafo 1 liv,Subsection,ASAPHeading 4,H4,h4,First Subheading"/>
    <w:basedOn w:val="Normal"/>
    <w:next w:val="BodyText"/>
    <w:link w:val="Heading4Char"/>
    <w:qFormat/>
    <w:pPr>
      <w:keepNext/>
      <w:keepLines/>
      <w:spacing w:after="120" w:line="240" w:lineRule="auto"/>
      <w:outlineLvl w:val="3"/>
    </w:pPr>
    <w:rPr>
      <w:rFonts w:eastAsia="SimHei"/>
      <w:bCs/>
      <w:i/>
      <w:iCs/>
      <w:color w:val="DC6900"/>
      <w:sz w:val="24"/>
      <w:szCs w:val="24"/>
    </w:rPr>
  </w:style>
  <w:style w:type="paragraph" w:styleId="Heading5">
    <w:name w:val="heading 5"/>
    <w:aliases w:val="Level 3 - i,paragrafo 2 liv,ASAPHeading 5"/>
    <w:basedOn w:val="Normal"/>
    <w:next w:val="BodyText"/>
    <w:link w:val="Heading5Char"/>
    <w:qFormat/>
    <w:pPr>
      <w:keepNext/>
      <w:keepLines/>
      <w:spacing w:after="40" w:line="240" w:lineRule="auto"/>
      <w:outlineLvl w:val="4"/>
    </w:pPr>
    <w:rPr>
      <w:rFonts w:eastAsia="SimHei"/>
      <w:color w:val="DC6900"/>
    </w:rPr>
  </w:style>
  <w:style w:type="paragraph" w:styleId="Heading6">
    <w:name w:val="heading 6"/>
    <w:aliases w:val="paragrafo 3 liv,ASAPHeading 6"/>
    <w:basedOn w:val="Normal"/>
    <w:next w:val="Normal"/>
    <w:link w:val="Heading6Char"/>
    <w:qFormat/>
    <w:pPr>
      <w:keepNext/>
      <w:keepLines/>
      <w:spacing w:after="40" w:line="240" w:lineRule="auto"/>
      <w:outlineLvl w:val="5"/>
    </w:pPr>
    <w:rPr>
      <w:rFonts w:eastAsia="SimHei"/>
      <w:iCs/>
      <w:color w:val="DC6900"/>
    </w:rPr>
  </w:style>
  <w:style w:type="paragraph" w:styleId="Heading7">
    <w:name w:val="heading 7"/>
    <w:aliases w:val="paragrafo 4 liv,ASAPHeading 7,sottopar11111,ITT t7,PA Appendix Major,Heading 7 (do not use),7,h7,letter list,lettered list,letter list1,lettered list1,letter list2,lettered list2,letter list11,lettered list11,letter list3,lettered list3"/>
    <w:basedOn w:val="Normal"/>
    <w:next w:val="Normal"/>
    <w:link w:val="Heading7Char"/>
    <w:qFormat/>
    <w:pPr>
      <w:keepNext/>
      <w:keepLines/>
      <w:spacing w:after="40" w:line="240" w:lineRule="auto"/>
      <w:outlineLvl w:val="6"/>
    </w:pPr>
    <w:rPr>
      <w:rFonts w:eastAsia="SimHei"/>
      <w:iCs/>
      <w:color w:val="DC6900"/>
    </w:rPr>
  </w:style>
  <w:style w:type="paragraph" w:styleId="Heading8">
    <w:name w:val="heading 8"/>
    <w:aliases w:val="titolo con rientro,ASAPHeading 8"/>
    <w:basedOn w:val="Normal"/>
    <w:next w:val="Normal"/>
    <w:link w:val="Heading8Char"/>
    <w:qFormat/>
    <w:pPr>
      <w:keepNext/>
      <w:keepLines/>
      <w:spacing w:after="40" w:line="240" w:lineRule="auto"/>
      <w:outlineLvl w:val="7"/>
    </w:pPr>
    <w:rPr>
      <w:rFonts w:eastAsia="SimHei"/>
      <w:color w:val="DC6900"/>
    </w:rPr>
  </w:style>
  <w:style w:type="paragraph" w:styleId="Heading9">
    <w:name w:val="heading 9"/>
    <w:aliases w:val="sottotitolo con rientro,ASAPHeading 9"/>
    <w:basedOn w:val="Normal"/>
    <w:next w:val="Normal"/>
    <w:link w:val="Heading9Char"/>
    <w:qFormat/>
    <w:pPr>
      <w:keepNext/>
      <w:keepLines/>
      <w:spacing w:after="40" w:line="240" w:lineRule="auto"/>
      <w:outlineLvl w:val="8"/>
    </w:pPr>
    <w:rPr>
      <w:rFonts w:eastAsia="SimHei"/>
      <w:iCs/>
      <w:color w:val="DC69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Char,Section Heading Char,Article Heading Char,HEADING 1 Char,App1 Char,EASI 1 Char,Hoofdstuk Char,Heading 1-nonum Char1,H1 Char,1 Char,h1 Char,Header 1 Char,Heading 1-nonum Char Char,Heading 11 Char,Section1 Char,HEADING 11 Char"/>
    <w:link w:val="Heading1"/>
    <w:locked/>
    <w:rPr>
      <w:rFonts w:eastAsia="SimHei"/>
      <w:b/>
      <w:bCs/>
      <w:i/>
      <w:sz w:val="36"/>
      <w:szCs w:val="28"/>
      <w:lang w:val="en-GB" w:eastAsia="en-US"/>
    </w:rPr>
  </w:style>
  <w:style w:type="character" w:customStyle="1" w:styleId="Heading2Char">
    <w:name w:val="Heading 2 Char"/>
    <w:aliases w:val="sottotitolo Char,H2 Char,h2 Char,l2 Char,ITT t2 Char,CAPITOLO Char,PA Major Section Char,TE Heading 2 Char,Livello 4 Char,2 Char,heading 2 Char,Arial 12 Fett Kursiv Char,t2 Char,Heading new Char,(Alt+2) Char,Attribute Heading 2 Char"/>
    <w:link w:val="Heading2"/>
    <w:uiPriority w:val="99"/>
    <w:locked/>
    <w:rPr>
      <w:rFonts w:eastAsia="SimHei"/>
      <w:b/>
      <w:bCs/>
      <w:i/>
      <w:color w:val="DC6900"/>
      <w:sz w:val="32"/>
      <w:szCs w:val="26"/>
      <w:lang w:val="en-GB" w:eastAsia="en-US"/>
    </w:rPr>
  </w:style>
  <w:style w:type="character" w:customStyle="1" w:styleId="Heading3Char">
    <w:name w:val="Heading 3 Char"/>
    <w:aliases w:val="Level 1 - 1 Char,Internal Head Char,BOD 0 Char,Premessa Char,Annotationen Char,ASAPHeading 3 Char1,ASAPHeading 3 Char Char1,ASAPHeading 3 Char Char Char,h3 Char,h31 Char,h32 Char,h33 Char,h34 Char,h35 Char,h36 Char,h37 Char,h38 Char"/>
    <w:link w:val="Heading3"/>
    <w:locked/>
    <w:rPr>
      <w:rFonts w:eastAsia="SimHei"/>
      <w:bCs/>
      <w:i/>
      <w:noProof/>
      <w:color w:val="DC6900"/>
      <w:sz w:val="28"/>
      <w:szCs w:val="28"/>
      <w:lang w:val="en-GB" w:eastAsia="en-US"/>
    </w:rPr>
  </w:style>
  <w:style w:type="character" w:customStyle="1" w:styleId="Heading4Char">
    <w:name w:val="Heading 4 Char"/>
    <w:aliases w:val="paragrafo 1 liv Char,Subsection Char,ASAPHeading 4 Char,H4 Char,h4 Char,First Subheading Char"/>
    <w:link w:val="Heading4"/>
    <w:locked/>
    <w:rPr>
      <w:rFonts w:eastAsia="SimHei"/>
      <w:bCs/>
      <w:i/>
      <w:iCs/>
      <w:color w:val="DC6900"/>
      <w:sz w:val="24"/>
      <w:szCs w:val="24"/>
      <w:lang w:val="en-GB" w:eastAsia="en-US"/>
    </w:rPr>
  </w:style>
  <w:style w:type="character" w:customStyle="1" w:styleId="Heading5Char">
    <w:name w:val="Heading 5 Char"/>
    <w:aliases w:val="Level 3 - i Char,paragrafo 2 liv Char,ASAPHeading 5 Char"/>
    <w:link w:val="Heading5"/>
    <w:locked/>
    <w:rPr>
      <w:rFonts w:eastAsia="SimHei"/>
      <w:color w:val="DC6900"/>
      <w:lang w:val="en-GB" w:eastAsia="en-US"/>
    </w:rPr>
  </w:style>
  <w:style w:type="character" w:customStyle="1" w:styleId="Heading6Char">
    <w:name w:val="Heading 6 Char"/>
    <w:aliases w:val="paragrafo 3 liv Char,ASAPHeading 6 Char"/>
    <w:link w:val="Heading6"/>
    <w:locked/>
    <w:rPr>
      <w:rFonts w:eastAsia="SimHei"/>
      <w:iCs/>
      <w:color w:val="DC6900"/>
      <w:lang w:val="en-GB" w:eastAsia="en-US"/>
    </w:rPr>
  </w:style>
  <w:style w:type="character" w:customStyle="1" w:styleId="Heading7Char">
    <w:name w:val="Heading 7 Char"/>
    <w:aliases w:val="paragrafo 4 liv Char,ASAPHeading 7 Char,sottopar11111 Char,ITT t7 Char,PA Appendix Major Char,Heading 7 (do not use) Char,7 Char,h7 Char,letter list Char,lettered list Char,letter list1 Char,lettered list1 Char,letter list2 Char"/>
    <w:link w:val="Heading7"/>
    <w:locked/>
    <w:rPr>
      <w:rFonts w:eastAsia="SimHei"/>
      <w:iCs/>
      <w:color w:val="DC6900"/>
      <w:lang w:val="en-GB" w:eastAsia="en-US"/>
    </w:rPr>
  </w:style>
  <w:style w:type="character" w:customStyle="1" w:styleId="Heading8Char">
    <w:name w:val="Heading 8 Char"/>
    <w:aliases w:val="titolo con rientro Char,ASAPHeading 8 Char"/>
    <w:link w:val="Heading8"/>
    <w:locked/>
    <w:rPr>
      <w:rFonts w:eastAsia="SimHei"/>
      <w:color w:val="DC6900"/>
      <w:lang w:val="en-GB" w:eastAsia="en-US"/>
    </w:rPr>
  </w:style>
  <w:style w:type="character" w:customStyle="1" w:styleId="Heading9Char">
    <w:name w:val="Heading 9 Char"/>
    <w:aliases w:val="sottotitolo con rientro Char,ASAPHeading 9 Char"/>
    <w:link w:val="Heading9"/>
    <w:locked/>
    <w:rPr>
      <w:rFonts w:eastAsia="SimHei"/>
      <w:iCs/>
      <w:color w:val="DC6900"/>
      <w:lang w:val="en-GB" w:eastAsia="en-US"/>
    </w:rPr>
  </w:style>
  <w:style w:type="paragraph" w:styleId="BodyText">
    <w:name w:val="Body Text"/>
    <w:aliases w:val="DNV-Body,bt,BODY TEXT,body text,t,Block text,heading_txt,bodytxy2,Para,EHPT,Body Text2,bt1,bodytext,BT,txt1,T1,Title 1,EDStext,sp,bullet title,sbs,block text,Resume Text,bt4,body text4,bt5,body text5,body text1,tx,text,Justified,pp,RFP Text"/>
    <w:basedOn w:val="Normal"/>
    <w:link w:val="BodyTextChar"/>
    <w:uiPriority w:val="99"/>
    <w:qFormat/>
    <w:pPr>
      <w:spacing w:before="60" w:after="60"/>
      <w:jc w:val="both"/>
    </w:pPr>
  </w:style>
  <w:style w:type="character" w:customStyle="1" w:styleId="BodyTextChar">
    <w:name w:val="Body Text Char"/>
    <w:aliases w:val="DNV-Body Char,bt Char,BODY TEXT Char,body text Char,t Char,Block text Char,heading_txt Char,bodytxy2 Char,Para Char,EHPT Char,Body Text2 Char,bt1 Char,bodytext Char,BT Char,txt1 Char,T1 Char,Title 1 Char,EDStext Char,sp Char,sbs Char"/>
    <w:link w:val="BodyText"/>
    <w:uiPriority w:val="99"/>
    <w:locked/>
    <w:rPr>
      <w:lang w:val="en-GB" w:eastAsia="en-US"/>
    </w:rPr>
  </w:style>
  <w:style w:type="paragraph" w:customStyle="1" w:styleId="BodySingle">
    <w:name w:val="Body Single"/>
    <w:basedOn w:val="BodyText"/>
    <w:link w:val="BodySingleChar"/>
    <w:uiPriority w:val="99"/>
    <w:qFormat/>
    <w:pPr>
      <w:spacing w:after="0"/>
    </w:pPr>
  </w:style>
  <w:style w:type="paragraph" w:styleId="Header">
    <w:name w:val="header"/>
    <w:basedOn w:val="Normal"/>
    <w:link w:val="HeaderChar"/>
    <w:qFormat/>
    <w:pPr>
      <w:spacing w:after="0" w:line="240" w:lineRule="auto"/>
    </w:pPr>
    <w:rPr>
      <w:rFonts w:ascii="Arial" w:hAnsi="Arial"/>
      <w:sz w:val="19"/>
    </w:rPr>
  </w:style>
  <w:style w:type="character" w:customStyle="1" w:styleId="HeaderChar">
    <w:name w:val="Header Char"/>
    <w:link w:val="Header"/>
    <w:locked/>
    <w:rPr>
      <w:rFonts w:ascii="Arial" w:hAnsi="Arial"/>
      <w:sz w:val="19"/>
      <w:szCs w:val="20"/>
      <w:lang w:val="en-GB" w:eastAsia="en-US"/>
    </w:rPr>
  </w:style>
  <w:style w:type="character" w:customStyle="1" w:styleId="BodySingleChar">
    <w:name w:val="Body Single Char"/>
    <w:link w:val="BodySingle"/>
    <w:uiPriority w:val="99"/>
    <w:locked/>
    <w:rPr>
      <w:rFonts w:cs="Times New Roman"/>
    </w:rPr>
  </w:style>
  <w:style w:type="paragraph" w:styleId="Footer">
    <w:name w:val="footer"/>
    <w:aliases w:val="|| Footer"/>
    <w:basedOn w:val="Normal"/>
    <w:link w:val="FooterChar"/>
    <w:pPr>
      <w:spacing w:after="0" w:line="240" w:lineRule="auto"/>
    </w:pPr>
    <w:rPr>
      <w:rFonts w:ascii="Arial" w:hAnsi="Arial"/>
      <w:sz w:val="19"/>
    </w:rPr>
  </w:style>
  <w:style w:type="character" w:customStyle="1" w:styleId="FooterChar">
    <w:name w:val="Footer Char"/>
    <w:aliases w:val="|| Footer Char"/>
    <w:link w:val="Footer"/>
    <w:locked/>
    <w:rPr>
      <w:rFonts w:ascii="Arial" w:hAnsi="Arial"/>
      <w:sz w:val="19"/>
      <w:szCs w:val="20"/>
      <w:lang w:val="en-GB" w:eastAsia="en-US"/>
    </w:rPr>
  </w:style>
  <w:style w:type="paragraph" w:styleId="Title">
    <w:name w:val="Title"/>
    <w:basedOn w:val="Normal"/>
    <w:next w:val="Subtitle"/>
    <w:link w:val="TitleChar"/>
    <w:qFormat/>
    <w:pPr>
      <w:spacing w:after="0" w:line="240" w:lineRule="auto"/>
      <w:contextualSpacing/>
    </w:pPr>
    <w:rPr>
      <w:rFonts w:eastAsia="SimHei"/>
      <w:b/>
      <w:i/>
      <w:spacing w:val="5"/>
      <w:kern w:val="28"/>
      <w:sz w:val="80"/>
      <w:szCs w:val="52"/>
    </w:rPr>
  </w:style>
  <w:style w:type="character" w:customStyle="1" w:styleId="TitleChar">
    <w:name w:val="Title Char"/>
    <w:link w:val="Title"/>
    <w:locked/>
    <w:rPr>
      <w:rFonts w:eastAsia="SimHei"/>
      <w:b/>
      <w:i/>
      <w:spacing w:val="5"/>
      <w:kern w:val="28"/>
      <w:sz w:val="80"/>
      <w:szCs w:val="52"/>
      <w:lang w:val="en-GB" w:eastAsia="en-US"/>
    </w:rPr>
  </w:style>
  <w:style w:type="paragraph" w:styleId="TOCHeading">
    <w:name w:val="TOC Heading"/>
    <w:basedOn w:val="Heading1"/>
    <w:next w:val="Normal"/>
    <w:uiPriority w:val="99"/>
    <w:qFormat/>
    <w:pPr>
      <w:outlineLvl w:val="9"/>
    </w:pPr>
  </w:style>
  <w:style w:type="paragraph" w:styleId="Subtitle">
    <w:name w:val="Subtitle"/>
    <w:basedOn w:val="Normal"/>
    <w:next w:val="Normal"/>
    <w:link w:val="SubtitleChar"/>
    <w:uiPriority w:val="11"/>
    <w:qFormat/>
    <w:pPr>
      <w:numPr>
        <w:ilvl w:val="1"/>
      </w:numPr>
      <w:spacing w:after="1200" w:line="240" w:lineRule="auto"/>
    </w:pPr>
    <w:rPr>
      <w:rFonts w:eastAsia="SimHei"/>
      <w:iCs/>
      <w:spacing w:val="15"/>
      <w:sz w:val="80"/>
      <w:szCs w:val="24"/>
    </w:rPr>
  </w:style>
  <w:style w:type="character" w:customStyle="1" w:styleId="SubtitleChar">
    <w:name w:val="Subtitle Char"/>
    <w:link w:val="Subtitle"/>
    <w:uiPriority w:val="11"/>
    <w:locked/>
    <w:rPr>
      <w:rFonts w:eastAsia="SimHei"/>
      <w:iCs/>
      <w:spacing w:val="15"/>
      <w:sz w:val="80"/>
      <w:szCs w:val="24"/>
      <w:lang w:val="en-GB" w:eastAsia="en-US"/>
    </w:rPr>
  </w:style>
  <w:style w:type="paragraph" w:styleId="TOC1">
    <w:name w:val="toc 1"/>
    <w:basedOn w:val="Normal"/>
    <w:next w:val="Normal"/>
    <w:autoRedefine/>
    <w:uiPriority w:val="39"/>
    <w:qFormat/>
    <w:pPr>
      <w:pBdr>
        <w:top w:val="single" w:sz="8" w:space="4" w:color="DC6900"/>
      </w:pBdr>
      <w:tabs>
        <w:tab w:val="right" w:leader="dot" w:pos="9498"/>
      </w:tabs>
      <w:spacing w:before="120" w:after="120"/>
      <w:ind w:left="284" w:right="-23" w:hanging="284"/>
    </w:pPr>
  </w:style>
  <w:style w:type="paragraph" w:styleId="TOC2">
    <w:name w:val="toc 2"/>
    <w:basedOn w:val="Normal"/>
    <w:next w:val="Normal"/>
    <w:autoRedefine/>
    <w:uiPriority w:val="39"/>
    <w:qFormat/>
    <w:pPr>
      <w:pBdr>
        <w:top w:val="dotted" w:sz="8" w:space="4" w:color="DC6900"/>
      </w:pBdr>
      <w:tabs>
        <w:tab w:val="right" w:leader="dot" w:pos="9498"/>
      </w:tabs>
      <w:spacing w:before="120" w:after="120"/>
      <w:ind w:left="567" w:hanging="567"/>
      <w:jc w:val="both"/>
    </w:pPr>
  </w:style>
  <w:style w:type="paragraph" w:styleId="TOC3">
    <w:name w:val="toc 3"/>
    <w:basedOn w:val="Normal"/>
    <w:next w:val="Normal"/>
    <w:autoRedefine/>
    <w:uiPriority w:val="39"/>
    <w:qFormat/>
    <w:pPr>
      <w:tabs>
        <w:tab w:val="left" w:pos="1135"/>
        <w:tab w:val="right" w:leader="dot" w:pos="9498"/>
      </w:tabs>
      <w:spacing w:before="120" w:after="120"/>
      <w:ind w:left="568" w:right="535" w:hanging="284"/>
    </w:pPr>
  </w:style>
  <w:style w:type="character" w:styleId="Hyperlink">
    <w:name w:val="Hyperlink"/>
    <w:uiPriority w:val="99"/>
    <w:rPr>
      <w:rFonts w:cs="Times New Roman"/>
      <w:color w:val="0000FF"/>
      <w:u w:val="single"/>
    </w:rPr>
  </w:style>
  <w:style w:type="paragraph" w:styleId="BalloonText">
    <w:name w:val="Balloon Text"/>
    <w:basedOn w:val="Normal"/>
    <w:link w:val="BalloonTextChar"/>
    <w:pPr>
      <w:spacing w:after="0" w:line="240" w:lineRule="auto"/>
    </w:pPr>
    <w:rPr>
      <w:rFonts w:ascii="Tahoma" w:hAnsi="Tahoma"/>
      <w:sz w:val="16"/>
      <w:szCs w:val="16"/>
    </w:rPr>
  </w:style>
  <w:style w:type="character" w:customStyle="1" w:styleId="BalloonTextChar">
    <w:name w:val="Balloon Text Char"/>
    <w:link w:val="BalloonText"/>
    <w:locked/>
    <w:rPr>
      <w:rFonts w:ascii="Tahoma" w:hAnsi="Tahoma" w:cs="Tahoma"/>
      <w:sz w:val="16"/>
      <w:szCs w:val="16"/>
    </w:rPr>
  </w:style>
  <w:style w:type="paragraph" w:styleId="ListBullet">
    <w:name w:val="List Bullet"/>
    <w:basedOn w:val="Normal"/>
    <w:qFormat/>
    <w:pPr>
      <w:tabs>
        <w:tab w:val="num" w:pos="567"/>
      </w:tabs>
      <w:ind w:left="567" w:hanging="567"/>
      <w:contextualSpacing/>
    </w:pPr>
  </w:style>
  <w:style w:type="paragraph" w:styleId="ListNumber">
    <w:name w:val="List Number"/>
    <w:basedOn w:val="Normal"/>
    <w:uiPriority w:val="13"/>
    <w:qFormat/>
    <w:pPr>
      <w:tabs>
        <w:tab w:val="num" w:pos="567"/>
      </w:tabs>
      <w:ind w:left="567" w:hanging="567"/>
      <w:contextualSpacing/>
    </w:pPr>
  </w:style>
  <w:style w:type="paragraph" w:styleId="ListBullet2">
    <w:name w:val="List Bullet 2"/>
    <w:basedOn w:val="Normal"/>
    <w:uiPriority w:val="99"/>
    <w:qFormat/>
    <w:pPr>
      <w:tabs>
        <w:tab w:val="num" w:pos="1134"/>
      </w:tabs>
      <w:ind w:left="1134" w:hanging="567"/>
      <w:contextualSpacing/>
    </w:pPr>
  </w:style>
  <w:style w:type="paragraph" w:styleId="ListBullet3">
    <w:name w:val="List Bullet 3"/>
    <w:basedOn w:val="Normal"/>
    <w:uiPriority w:val="99"/>
    <w:qFormat/>
    <w:pPr>
      <w:tabs>
        <w:tab w:val="num" w:pos="1701"/>
      </w:tabs>
      <w:ind w:left="1701" w:hanging="567"/>
      <w:contextualSpacing/>
    </w:pPr>
  </w:style>
  <w:style w:type="paragraph" w:styleId="ListBullet4">
    <w:name w:val="List Bullet 4"/>
    <w:basedOn w:val="Normal"/>
    <w:uiPriority w:val="99"/>
    <w:pPr>
      <w:tabs>
        <w:tab w:val="num" w:pos="2268"/>
      </w:tabs>
      <w:ind w:left="2268" w:hanging="567"/>
      <w:contextualSpacing/>
    </w:pPr>
  </w:style>
  <w:style w:type="paragraph" w:styleId="ListBullet5">
    <w:name w:val="List Bullet 5"/>
    <w:basedOn w:val="Normal"/>
    <w:uiPriority w:val="99"/>
    <w:pPr>
      <w:tabs>
        <w:tab w:val="num" w:pos="2835"/>
      </w:tabs>
      <w:ind w:left="2835" w:hanging="567"/>
      <w:contextualSpacing/>
    </w:pPr>
  </w:style>
  <w:style w:type="paragraph" w:styleId="ListNumber2">
    <w:name w:val="List Number 2"/>
    <w:basedOn w:val="Normal"/>
    <w:uiPriority w:val="13"/>
    <w:qFormat/>
    <w:pPr>
      <w:tabs>
        <w:tab w:val="num" w:pos="1134"/>
      </w:tabs>
      <w:ind w:left="1134" w:hanging="567"/>
      <w:contextualSpacing/>
    </w:pPr>
  </w:style>
  <w:style w:type="paragraph" w:styleId="ListNumber3">
    <w:name w:val="List Number 3"/>
    <w:basedOn w:val="Normal"/>
    <w:uiPriority w:val="13"/>
    <w:qFormat/>
    <w:pPr>
      <w:tabs>
        <w:tab w:val="num" w:pos="1701"/>
      </w:tabs>
      <w:ind w:left="1701" w:hanging="567"/>
      <w:contextualSpacing/>
    </w:pPr>
  </w:style>
  <w:style w:type="paragraph" w:styleId="ListNumber4">
    <w:name w:val="List Number 4"/>
    <w:basedOn w:val="Normal"/>
    <w:uiPriority w:val="13"/>
    <w:pPr>
      <w:tabs>
        <w:tab w:val="num" w:pos="2268"/>
      </w:tabs>
      <w:ind w:left="2268" w:hanging="567"/>
      <w:contextualSpacing/>
    </w:pPr>
  </w:style>
  <w:style w:type="paragraph" w:styleId="ListNumber5">
    <w:name w:val="List Number 5"/>
    <w:basedOn w:val="Normal"/>
    <w:uiPriority w:val="13"/>
    <w:pPr>
      <w:tabs>
        <w:tab w:val="num" w:pos="2835"/>
      </w:tabs>
      <w:ind w:left="2835" w:hanging="567"/>
      <w:contextualSpacing/>
    </w:pPr>
  </w:style>
  <w:style w:type="paragraph" w:styleId="List">
    <w:name w:val="List"/>
    <w:basedOn w:val="Normal"/>
    <w:pPr>
      <w:ind w:left="567" w:hanging="567"/>
      <w:contextualSpacing/>
    </w:pPr>
  </w:style>
  <w:style w:type="paragraph" w:styleId="List2">
    <w:name w:val="List 2"/>
    <w:basedOn w:val="Normal"/>
    <w:uiPriority w:val="99"/>
    <w:pPr>
      <w:ind w:left="1134" w:hanging="567"/>
      <w:contextualSpacing/>
    </w:pPr>
  </w:style>
  <w:style w:type="paragraph" w:styleId="ListContinue">
    <w:name w:val="List Continue"/>
    <w:basedOn w:val="Normal"/>
    <w:uiPriority w:val="99"/>
    <w:qFormat/>
    <w:pPr>
      <w:spacing w:after="120"/>
      <w:ind w:left="567"/>
      <w:contextualSpacing/>
    </w:pPr>
  </w:style>
  <w:style w:type="paragraph" w:styleId="ListContinue2">
    <w:name w:val="List Continue 2"/>
    <w:basedOn w:val="Normal"/>
    <w:uiPriority w:val="99"/>
    <w:qFormat/>
    <w:pPr>
      <w:spacing w:after="120"/>
      <w:ind w:left="1134"/>
      <w:contextualSpacing/>
    </w:pPr>
  </w:style>
  <w:style w:type="paragraph" w:styleId="ListContinue3">
    <w:name w:val="List Continue 3"/>
    <w:basedOn w:val="Normal"/>
    <w:uiPriority w:val="99"/>
    <w:qFormat/>
    <w:pPr>
      <w:spacing w:after="120"/>
      <w:ind w:left="1701"/>
      <w:contextualSpacing/>
    </w:pPr>
  </w:style>
  <w:style w:type="paragraph" w:styleId="ListContinue4">
    <w:name w:val="List Continue 4"/>
    <w:basedOn w:val="Normal"/>
    <w:uiPriority w:val="99"/>
    <w:semiHidden/>
    <w:pPr>
      <w:spacing w:after="120"/>
      <w:ind w:left="2268"/>
      <w:contextualSpacing/>
    </w:pPr>
  </w:style>
  <w:style w:type="paragraph" w:styleId="ListContinue5">
    <w:name w:val="List Continue 5"/>
    <w:basedOn w:val="Normal"/>
    <w:uiPriority w:val="99"/>
    <w:semiHidden/>
    <w:pPr>
      <w:spacing w:after="120"/>
      <w:ind w:left="2835"/>
      <w:contextualSpacing/>
    </w:pPr>
  </w:style>
  <w:style w:type="paragraph" w:styleId="List3">
    <w:name w:val="List 3"/>
    <w:basedOn w:val="Normal"/>
    <w:uiPriority w:val="99"/>
    <w:pPr>
      <w:ind w:left="1701" w:hanging="567"/>
      <w:contextualSpacing/>
    </w:pPr>
  </w:style>
  <w:style w:type="paragraph" w:styleId="List4">
    <w:name w:val="List 4"/>
    <w:basedOn w:val="Normal"/>
    <w:uiPriority w:val="99"/>
    <w:semiHidden/>
    <w:pPr>
      <w:ind w:left="2268" w:hanging="567"/>
      <w:contextualSpacing/>
    </w:pPr>
  </w:style>
  <w:style w:type="paragraph" w:styleId="List5">
    <w:name w:val="List 5"/>
    <w:basedOn w:val="Normal"/>
    <w:uiPriority w:val="99"/>
    <w:semiHidden/>
    <w:pPr>
      <w:ind w:left="2835" w:hanging="567"/>
      <w:contextualSpacing/>
    </w:pPr>
  </w:style>
  <w:style w:type="table" w:styleId="TableGrid">
    <w:name w:val="Table Grid"/>
    <w:aliases w:val="CV1,Deloitte,HTG,TabelEcorys"/>
    <w:basedOn w:val="TableNormal"/>
    <w:uiPriority w:val="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wCTableFigures">
    <w:name w:val="PwC Table Figures"/>
    <w:uiPriority w:val="99"/>
    <w:qFormat/>
    <w:pPr>
      <w:tabs>
        <w:tab w:val="decimal" w:pos="1134"/>
      </w:tabs>
      <w:spacing w:before="60" w:after="60"/>
    </w:pPr>
    <w:rPr>
      <w:rFonts w:ascii="Arial" w:hAnsi="Arial"/>
      <w:lang w:val="de-DE" w:eastAsia="de-DE"/>
    </w:rPr>
    <w:tblPr>
      <w:tblInd w:w="0" w:type="dxa"/>
      <w:tblBorders>
        <w:insideH w:val="dotted" w:sz="4" w:space="0" w:color="DC6900"/>
      </w:tblBorders>
      <w:tblCellMar>
        <w:top w:w="0" w:type="dxa"/>
        <w:left w:w="108" w:type="dxa"/>
        <w:bottom w:w="0" w:type="dxa"/>
        <w:right w:w="108" w:type="dxa"/>
      </w:tblCellMar>
    </w:tblPr>
  </w:style>
  <w:style w:type="table" w:customStyle="1" w:styleId="PwCTableText">
    <w:name w:val="PwC Table Text"/>
    <w:basedOn w:val="TableNormal"/>
    <w:uiPriority w:val="99"/>
    <w:qFormat/>
    <w:pPr>
      <w:spacing w:before="60" w:after="60"/>
    </w:pPr>
    <w:rPr>
      <w:rFonts w:eastAsia="Calibri"/>
      <w:lang w:val="en-GB" w:eastAsia="en-US"/>
    </w:rPr>
    <w:tblPr>
      <w:tblStyleRowBandSize w:val="1"/>
      <w:tblBorders>
        <w:insideH w:val="dotted" w:sz="4" w:space="0" w:color="D06F1A"/>
      </w:tblBorders>
    </w:tblPr>
    <w:tblStylePr w:type="firstRow">
      <w:rPr>
        <w:b/>
      </w:rPr>
      <w:tblPr/>
      <w:tcPr>
        <w:tcBorders>
          <w:top w:val="single" w:sz="6" w:space="0" w:color="D06F1A"/>
          <w:bottom w:val="single" w:sz="6" w:space="0" w:color="D06F1A"/>
        </w:tcBorders>
      </w:tcPr>
    </w:tblStylePr>
    <w:tblStylePr w:type="lastRow">
      <w:rPr>
        <w:b/>
      </w:rPr>
      <w:tblPr/>
      <w:tcPr>
        <w:tcBorders>
          <w:top w:val="single" w:sz="6" w:space="0" w:color="D06F1A"/>
          <w:bottom w:val="single" w:sz="6" w:space="0" w:color="D06F1A"/>
        </w:tcBorders>
      </w:tcPr>
    </w:tblStylePr>
    <w:tblStylePr w:type="band1Horz">
      <w:tblPr/>
      <w:tcPr>
        <w:tcBorders>
          <w:bottom w:val="nil"/>
        </w:tcBorders>
      </w:tcPr>
    </w:tblStylePr>
  </w:style>
  <w:style w:type="paragraph" w:customStyle="1" w:styleId="SubHeading">
    <w:name w:val="Sub Heading"/>
    <w:basedOn w:val="Heading1"/>
    <w:uiPriority w:val="99"/>
    <w:rPr>
      <w:b w:val="0"/>
      <w:i w:val="0"/>
    </w:rPr>
  </w:style>
  <w:style w:type="paragraph" w:customStyle="1" w:styleId="Heading1NoSpacing">
    <w:name w:val="Heading 1 No Spacing"/>
    <w:basedOn w:val="Heading1"/>
    <w:next w:val="Heading2"/>
    <w:link w:val="Heading1NoSpacingChar"/>
    <w:uiPriority w:val="99"/>
    <w:pPr>
      <w:spacing w:after="0"/>
    </w:pPr>
    <w:rPr>
      <w:b w:val="0"/>
      <w:bCs w:val="0"/>
      <w:i w:val="0"/>
      <w:lang w:val="en-US"/>
    </w:rPr>
  </w:style>
  <w:style w:type="character" w:customStyle="1" w:styleId="Heading1NoSpacingChar">
    <w:name w:val="Heading 1 No Spacing Char"/>
    <w:link w:val="Heading1NoSpacing"/>
    <w:uiPriority w:val="99"/>
    <w:locked/>
    <w:rPr>
      <w:rFonts w:eastAsia="SimHei"/>
      <w:sz w:val="36"/>
      <w:szCs w:val="28"/>
      <w:lang w:val="en-US" w:eastAsia="en-US"/>
    </w:rPr>
  </w:style>
  <w:style w:type="paragraph" w:styleId="TOC4">
    <w:name w:val="toc 4"/>
    <w:basedOn w:val="Normal"/>
    <w:next w:val="Normal"/>
    <w:autoRedefine/>
    <w:uiPriority w:val="39"/>
    <w:qFormat/>
    <w:pPr>
      <w:spacing w:after="120"/>
      <w:ind w:left="851" w:hanging="284"/>
    </w:pPr>
  </w:style>
  <w:style w:type="paragraph" w:styleId="TOC5">
    <w:name w:val="toc 5"/>
    <w:basedOn w:val="Normal"/>
    <w:next w:val="Normal"/>
    <w:autoRedefine/>
    <w:uiPriority w:val="39"/>
    <w:qFormat/>
    <w:pPr>
      <w:spacing w:after="120"/>
      <w:ind w:left="1135" w:hanging="284"/>
    </w:pPr>
  </w:style>
  <w:style w:type="paragraph" w:styleId="TOC6">
    <w:name w:val="toc 6"/>
    <w:basedOn w:val="Normal"/>
    <w:next w:val="Normal"/>
    <w:autoRedefine/>
    <w:uiPriority w:val="39"/>
    <w:pPr>
      <w:spacing w:after="120"/>
      <w:ind w:left="1418" w:hanging="284"/>
    </w:pPr>
  </w:style>
  <w:style w:type="paragraph" w:styleId="TOC7">
    <w:name w:val="toc 7"/>
    <w:basedOn w:val="Normal"/>
    <w:next w:val="Normal"/>
    <w:autoRedefine/>
    <w:uiPriority w:val="39"/>
    <w:pPr>
      <w:spacing w:after="120"/>
      <w:ind w:left="1702" w:hanging="284"/>
    </w:pPr>
  </w:style>
  <w:style w:type="paragraph" w:styleId="TOC8">
    <w:name w:val="toc 8"/>
    <w:basedOn w:val="Normal"/>
    <w:next w:val="Normal"/>
    <w:autoRedefine/>
    <w:uiPriority w:val="39"/>
    <w:pPr>
      <w:spacing w:after="120"/>
      <w:ind w:left="1985" w:hanging="284"/>
    </w:pPr>
  </w:style>
  <w:style w:type="paragraph" w:styleId="TOC9">
    <w:name w:val="toc 9"/>
    <w:basedOn w:val="Normal"/>
    <w:next w:val="Normal"/>
    <w:autoRedefine/>
    <w:uiPriority w:val="39"/>
    <w:pPr>
      <w:spacing w:after="120"/>
      <w:ind w:left="2269" w:hanging="284"/>
    </w:pPr>
  </w:style>
  <w:style w:type="character" w:styleId="Emphasis">
    <w:name w:val="Emphasis"/>
    <w:uiPriority w:val="99"/>
    <w:qFormat/>
    <w:rPr>
      <w:rFonts w:cs="Times New Roman"/>
      <w:i/>
      <w:iCs/>
    </w:rPr>
  </w:style>
  <w:style w:type="paragraph" w:styleId="Quote">
    <w:name w:val="Quote"/>
    <w:basedOn w:val="Normal"/>
    <w:next w:val="Normal"/>
    <w:link w:val="QuoteChar"/>
    <w:uiPriority w:val="99"/>
    <w:qFormat/>
    <w:rPr>
      <w:i/>
      <w:iCs/>
      <w:color w:val="000000"/>
    </w:rPr>
  </w:style>
  <w:style w:type="character" w:customStyle="1" w:styleId="QuoteChar">
    <w:name w:val="Quote Char"/>
    <w:link w:val="Quote"/>
    <w:uiPriority w:val="99"/>
    <w:locked/>
    <w:rPr>
      <w:rFonts w:cs="Times New Roman"/>
      <w:i/>
      <w:iCs/>
      <w:color w:val="000000"/>
    </w:rPr>
  </w:style>
  <w:style w:type="paragraph" w:styleId="BlockText">
    <w:name w:val="Block Text"/>
    <w:basedOn w:val="Normal"/>
    <w:next w:val="BodyText3"/>
    <w:pPr>
      <w:spacing w:line="240" w:lineRule="auto"/>
    </w:pPr>
    <w:rPr>
      <w:b/>
      <w:i/>
      <w:color w:val="DC6900"/>
      <w:sz w:val="48"/>
      <w:szCs w:val="48"/>
    </w:rPr>
  </w:style>
  <w:style w:type="paragraph" w:customStyle="1" w:styleId="BlockText2">
    <w:name w:val="Block Text 2"/>
    <w:basedOn w:val="Normal"/>
    <w:uiPriority w:val="99"/>
    <w:qFormat/>
    <w:pPr>
      <w:pBdr>
        <w:top w:val="single" w:sz="2" w:space="10" w:color="DC6900"/>
        <w:left w:val="single" w:sz="2" w:space="10" w:color="DC6900"/>
        <w:bottom w:val="single" w:sz="2" w:space="10" w:color="DC6900"/>
        <w:right w:val="single" w:sz="2" w:space="10" w:color="DC6900"/>
      </w:pBdr>
      <w:shd w:val="clear" w:color="auto" w:fill="DC6900"/>
      <w:spacing w:line="240" w:lineRule="auto"/>
      <w:ind w:left="227" w:right="227"/>
    </w:pPr>
    <w:rPr>
      <w:i/>
      <w:color w:val="FFFFFF"/>
      <w:sz w:val="48"/>
      <w:szCs w:val="48"/>
    </w:rPr>
  </w:style>
  <w:style w:type="paragraph" w:customStyle="1" w:styleId="BlockText3">
    <w:name w:val="Block Text 3"/>
    <w:basedOn w:val="BlockText"/>
    <w:uiPriority w:val="99"/>
    <w:pPr>
      <w:pBdr>
        <w:top w:val="single" w:sz="8" w:space="10" w:color="F2F2F2"/>
        <w:left w:val="single" w:sz="8" w:space="10" w:color="F2F2F2"/>
        <w:bottom w:val="single" w:sz="8" w:space="10" w:color="F2F2F2"/>
        <w:right w:val="single" w:sz="8" w:space="10" w:color="F2F2F2"/>
      </w:pBdr>
      <w:shd w:val="clear" w:color="auto" w:fill="F2F2F2"/>
      <w:ind w:left="227" w:right="227"/>
    </w:pPr>
    <w:rPr>
      <w:rFonts w:eastAsia="SimSun"/>
      <w:iCs/>
      <w:sz w:val="96"/>
      <w:szCs w:val="20"/>
    </w:rPr>
  </w:style>
  <w:style w:type="paragraph" w:styleId="BodyText3">
    <w:name w:val="Body Text 3"/>
    <w:aliases w:val="bibliografia"/>
    <w:basedOn w:val="Normal"/>
    <w:link w:val="BodyText3Char"/>
    <w:pPr>
      <w:spacing w:after="120"/>
    </w:pPr>
    <w:rPr>
      <w:sz w:val="16"/>
      <w:szCs w:val="16"/>
    </w:rPr>
  </w:style>
  <w:style w:type="character" w:customStyle="1" w:styleId="BodyText3Char">
    <w:name w:val="Body Text 3 Char"/>
    <w:aliases w:val="bibliografia Char"/>
    <w:link w:val="BodyText3"/>
    <w:uiPriority w:val="99"/>
    <w:semiHidden/>
    <w:locked/>
    <w:rPr>
      <w:rFonts w:cs="Times New Roman"/>
      <w:sz w:val="16"/>
      <w:szCs w:val="16"/>
    </w:rPr>
  </w:style>
  <w:style w:type="paragraph" w:customStyle="1" w:styleId="Callout1">
    <w:name w:val="Callout 1"/>
    <w:uiPriority w:val="99"/>
    <w:pPr>
      <w:framePr w:hSpace="187" w:wrap="around" w:vAnchor="page" w:hAnchor="page" w:x="721" w:y="6913"/>
      <w:spacing w:after="180" w:line="280" w:lineRule="atLeast"/>
      <w:suppressOverlap/>
    </w:pPr>
    <w:rPr>
      <w:rFonts w:eastAsia="Times New Roman" w:cs="Arial"/>
      <w:i/>
      <w:sz w:val="19"/>
      <w:szCs w:val="36"/>
      <w:lang w:val="es-ES" w:eastAsia="en-US"/>
    </w:rPr>
  </w:style>
  <w:style w:type="table" w:styleId="MediumList2-Accent6">
    <w:name w:val="Medium List 2 Accent 6"/>
    <w:basedOn w:val="TableNormal"/>
    <w:uiPriority w:val="66"/>
    <w:rPr>
      <w:rFonts w:eastAsia="SimHei"/>
      <w:color w:val="000000"/>
    </w:rPr>
    <w:tblPr>
      <w:tblStyleRowBandSize w:val="1"/>
      <w:tblStyleColBandSize w:val="1"/>
      <w:tblBorders>
        <w:top w:val="single" w:sz="8" w:space="0" w:color="E0301E"/>
        <w:left w:val="single" w:sz="8" w:space="0" w:color="E0301E"/>
        <w:bottom w:val="single" w:sz="8" w:space="0" w:color="E0301E"/>
        <w:right w:val="single" w:sz="8" w:space="0" w:color="E0301E"/>
      </w:tblBorders>
    </w:tblPr>
    <w:tblStylePr w:type="firstRow">
      <w:rPr>
        <w:rFonts w:cs="Times New Roman"/>
        <w:sz w:val="24"/>
        <w:szCs w:val="24"/>
      </w:rPr>
      <w:tblPr/>
      <w:tcPr>
        <w:tcBorders>
          <w:top w:val="nil"/>
          <w:left w:val="nil"/>
          <w:bottom w:val="single" w:sz="24" w:space="0" w:color="E0301E"/>
          <w:right w:val="nil"/>
          <w:insideH w:val="nil"/>
          <w:insideV w:val="nil"/>
        </w:tcBorders>
        <w:shd w:val="clear" w:color="auto" w:fill="FFFFFF"/>
      </w:tcPr>
    </w:tblStylePr>
    <w:tblStylePr w:type="lastRow">
      <w:rPr>
        <w:rFonts w:cs="Times New Roman"/>
      </w:rPr>
      <w:tblPr/>
      <w:tcPr>
        <w:tcBorders>
          <w:top w:val="single" w:sz="8" w:space="0" w:color="E0301E"/>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E0301E"/>
          <w:insideH w:val="nil"/>
          <w:insideV w:val="nil"/>
        </w:tcBorders>
        <w:shd w:val="clear" w:color="auto" w:fill="FFFFFF"/>
      </w:tcPr>
    </w:tblStylePr>
    <w:tblStylePr w:type="lastCol">
      <w:rPr>
        <w:rFonts w:cs="Times New Roman"/>
      </w:rPr>
      <w:tblPr/>
      <w:tcPr>
        <w:tcBorders>
          <w:top w:val="nil"/>
          <w:left w:val="single" w:sz="8" w:space="0" w:color="E0301E"/>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7CBC7"/>
      </w:tcPr>
    </w:tblStylePr>
    <w:tblStylePr w:type="band1Horz">
      <w:rPr>
        <w:rFonts w:cs="Times New Roman"/>
      </w:rPr>
      <w:tblPr/>
      <w:tcPr>
        <w:tcBorders>
          <w:top w:val="nil"/>
          <w:bottom w:val="nil"/>
          <w:insideH w:val="nil"/>
          <w:insideV w:val="nil"/>
        </w:tcBorders>
        <w:shd w:val="clear" w:color="auto" w:fill="F7CBC7"/>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LightList-Accent2">
    <w:name w:val="Light List Accent 2"/>
    <w:basedOn w:val="TableNormal"/>
    <w:uiPriority w:val="99"/>
    <w:tblPr>
      <w:tblStyleRowBandSize w:val="1"/>
      <w:tblStyleColBandSize w:val="1"/>
      <w:tblBorders>
        <w:top w:val="single" w:sz="8" w:space="0" w:color="FFB600"/>
        <w:left w:val="single" w:sz="8" w:space="0" w:color="FFB600"/>
        <w:bottom w:val="single" w:sz="8" w:space="0" w:color="FFB600"/>
        <w:right w:val="single" w:sz="8" w:space="0" w:color="FFB600"/>
      </w:tblBorders>
    </w:tblPr>
    <w:tblStylePr w:type="firstRow">
      <w:pPr>
        <w:spacing w:before="0" w:after="0"/>
      </w:pPr>
      <w:rPr>
        <w:rFonts w:cs="Times New Roman"/>
        <w:b/>
        <w:bCs/>
        <w:color w:val="FFFFFF"/>
      </w:rPr>
      <w:tblPr/>
      <w:tcPr>
        <w:shd w:val="clear" w:color="auto" w:fill="FFB600"/>
      </w:tcPr>
    </w:tblStylePr>
    <w:tblStylePr w:type="lastRow">
      <w:pPr>
        <w:spacing w:before="0" w:after="0"/>
      </w:pPr>
      <w:rPr>
        <w:rFonts w:cs="Times New Roman"/>
        <w:b/>
        <w:bCs/>
      </w:rPr>
      <w:tblPr/>
      <w:tcPr>
        <w:tcBorders>
          <w:top w:val="double" w:sz="6" w:space="0" w:color="FFB600"/>
          <w:left w:val="single" w:sz="8" w:space="0" w:color="FFB600"/>
          <w:bottom w:val="single" w:sz="8" w:space="0" w:color="FFB600"/>
          <w:right w:val="single" w:sz="8" w:space="0" w:color="FFB6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FB600"/>
          <w:left w:val="single" w:sz="8" w:space="0" w:color="FFB600"/>
          <w:bottom w:val="single" w:sz="8" w:space="0" w:color="FFB600"/>
          <w:right w:val="single" w:sz="8" w:space="0" w:color="FFB600"/>
        </w:tcBorders>
      </w:tcPr>
    </w:tblStylePr>
    <w:tblStylePr w:type="band1Horz">
      <w:rPr>
        <w:rFonts w:cs="Times New Roman"/>
      </w:rPr>
      <w:tblPr/>
      <w:tcPr>
        <w:tcBorders>
          <w:top w:val="single" w:sz="8" w:space="0" w:color="FFB600"/>
          <w:left w:val="single" w:sz="8" w:space="0" w:color="FFB600"/>
          <w:bottom w:val="single" w:sz="8" w:space="0" w:color="FFB600"/>
          <w:right w:val="single" w:sz="8" w:space="0" w:color="FFB600"/>
        </w:tcBorders>
      </w:tcPr>
    </w:tblStylePr>
  </w:style>
  <w:style w:type="table" w:styleId="MediumShading1-Accent2">
    <w:name w:val="Medium Shading 1 Accent 2"/>
    <w:basedOn w:val="TableNormal"/>
    <w:uiPriority w:val="99"/>
    <w:tblPr>
      <w:tblStyleRowBandSize w:val="1"/>
      <w:tblStyleColBandSize w:val="1"/>
      <w:tblBorders>
        <w:top w:val="single" w:sz="8" w:space="0" w:color="FFC840"/>
        <w:left w:val="single" w:sz="8" w:space="0" w:color="FFC840"/>
        <w:bottom w:val="single" w:sz="8" w:space="0" w:color="FFC840"/>
        <w:right w:val="single" w:sz="8" w:space="0" w:color="FFC840"/>
        <w:insideH w:val="single" w:sz="8" w:space="0" w:color="FFC840"/>
      </w:tblBorders>
    </w:tblPr>
    <w:tblStylePr w:type="firstRow">
      <w:pPr>
        <w:spacing w:before="0" w:after="0"/>
      </w:pPr>
      <w:rPr>
        <w:rFonts w:cs="Times New Roman"/>
        <w:b/>
        <w:bCs/>
        <w:color w:val="FFFFFF"/>
      </w:rPr>
      <w:tblPr/>
      <w:tcPr>
        <w:tcBorders>
          <w:top w:val="single" w:sz="8" w:space="0" w:color="FFC840"/>
          <w:left w:val="single" w:sz="8" w:space="0" w:color="FFC840"/>
          <w:bottom w:val="single" w:sz="8" w:space="0" w:color="FFC840"/>
          <w:right w:val="single" w:sz="8" w:space="0" w:color="FFC840"/>
          <w:insideH w:val="nil"/>
          <w:insideV w:val="nil"/>
        </w:tcBorders>
        <w:shd w:val="clear" w:color="auto" w:fill="FFB600"/>
      </w:tcPr>
    </w:tblStylePr>
    <w:tblStylePr w:type="lastRow">
      <w:pPr>
        <w:spacing w:before="0" w:after="0"/>
      </w:pPr>
      <w:rPr>
        <w:rFonts w:cs="Times New Roman"/>
        <w:b/>
        <w:bCs/>
      </w:rPr>
      <w:tblPr/>
      <w:tcPr>
        <w:tcBorders>
          <w:top w:val="double" w:sz="6" w:space="0" w:color="FFC840"/>
          <w:left w:val="single" w:sz="8" w:space="0" w:color="FFC840"/>
          <w:bottom w:val="single" w:sz="8" w:space="0" w:color="FFC840"/>
          <w:right w:val="single" w:sz="8" w:space="0" w:color="FFC8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ECC0"/>
      </w:tcPr>
    </w:tblStylePr>
    <w:tblStylePr w:type="band1Horz">
      <w:rPr>
        <w:rFonts w:cs="Times New Roman"/>
      </w:rPr>
      <w:tblPr/>
      <w:tcPr>
        <w:tcBorders>
          <w:insideH w:val="nil"/>
          <w:insideV w:val="nil"/>
        </w:tcBorders>
        <w:shd w:val="clear" w:color="auto" w:fill="FFECC0"/>
      </w:tcPr>
    </w:tblStylePr>
    <w:tblStylePr w:type="band2Horz">
      <w:rPr>
        <w:rFonts w:cs="Times New Roman"/>
      </w:rPr>
      <w:tblPr/>
      <w:tcPr>
        <w:tcBorders>
          <w:insideH w:val="nil"/>
          <w:insideV w:val="nil"/>
        </w:tcBorders>
      </w:tcPr>
    </w:tblStylePr>
  </w:style>
  <w:style w:type="paragraph" w:styleId="Caption">
    <w:name w:val="caption"/>
    <w:aliases w:val="Caption Char Char Char Char Char Char Char Char Char Char Char Char Char Char Char Char Char Char,Beschriftung Char2 Char,Beschriftung Char1 Cha...,Beschriftung Char2,Beschriftung Char1 Char1,Beschriftung Char Char Char1,Figure,Caption (ALL)"/>
    <w:basedOn w:val="Normal"/>
    <w:next w:val="Normal"/>
    <w:link w:val="CaptionChar"/>
    <w:uiPriority w:val="35"/>
    <w:qFormat/>
    <w:pPr>
      <w:keepNext/>
      <w:tabs>
        <w:tab w:val="left" w:pos="8908"/>
      </w:tabs>
      <w:spacing w:after="120" w:line="240" w:lineRule="auto"/>
      <w:ind w:right="-23"/>
    </w:pPr>
    <w:rPr>
      <w:rFonts w:eastAsia="Times New Roman"/>
      <w:b/>
      <w:i/>
      <w:color w:val="D06F1A"/>
    </w:rPr>
  </w:style>
  <w:style w:type="paragraph" w:styleId="EnvelopeReturn">
    <w:name w:val="envelope return"/>
    <w:basedOn w:val="Normal"/>
    <w:pPr>
      <w:spacing w:after="0" w:line="240" w:lineRule="auto"/>
    </w:pPr>
    <w:rPr>
      <w:rFonts w:ascii="Arial" w:eastAsia="Times New Roman" w:hAnsi="Arial"/>
      <w:lang w:val="nl-NL"/>
    </w:rPr>
  </w:style>
  <w:style w:type="character" w:customStyle="1" w:styleId="xmlref">
    <w:name w:val="xmlref"/>
    <w:uiPriority w:val="99"/>
    <w:rPr>
      <w:rFonts w:ascii="Arial" w:hAnsi="Arial" w:cs="Times New Roman"/>
      <w:vanish/>
      <w:color w:val="008000"/>
      <w:sz w:val="16"/>
      <w:lang w:val="en-GB"/>
    </w:rPr>
  </w:style>
  <w:style w:type="paragraph" w:customStyle="1" w:styleId="Text">
    <w:name w:val="Text"/>
    <w:basedOn w:val="Normal"/>
    <w:link w:val="TextChar"/>
    <w:uiPriority w:val="99"/>
    <w:pPr>
      <w:keepLines/>
      <w:tabs>
        <w:tab w:val="left" w:pos="1440"/>
        <w:tab w:val="left" w:pos="2304"/>
      </w:tabs>
      <w:spacing w:before="120" w:after="120" w:line="240" w:lineRule="auto"/>
      <w:jc w:val="both"/>
    </w:pPr>
    <w:rPr>
      <w:rFonts w:ascii="Times New Roman" w:hAnsi="Times New Roman"/>
      <w:kern w:val="28"/>
      <w:sz w:val="24"/>
    </w:rPr>
  </w:style>
  <w:style w:type="character" w:customStyle="1" w:styleId="TextChar">
    <w:name w:val="Text Char"/>
    <w:link w:val="Text"/>
    <w:uiPriority w:val="99"/>
    <w:locked/>
    <w:rPr>
      <w:rFonts w:ascii="Times New Roman" w:hAnsi="Times New Roman" w:cs="Times New Roman"/>
      <w:kern w:val="28"/>
      <w:sz w:val="24"/>
    </w:rPr>
  </w:style>
  <w:style w:type="paragraph" w:customStyle="1" w:styleId="BodyText1">
    <w:name w:val="Body Text1"/>
    <w:basedOn w:val="Normal"/>
    <w:link w:val="BodytextChar0"/>
    <w:uiPriority w:val="99"/>
    <w:pPr>
      <w:spacing w:before="120" w:after="0" w:line="240" w:lineRule="auto"/>
      <w:ind w:left="360"/>
      <w:jc w:val="both"/>
    </w:pPr>
    <w:rPr>
      <w:rFonts w:ascii="Times New Roman" w:hAnsi="Times New Roman"/>
      <w:sz w:val="24"/>
      <w:szCs w:val="24"/>
    </w:rPr>
  </w:style>
  <w:style w:type="character" w:customStyle="1" w:styleId="BodytextChar0">
    <w:name w:val="Body text Char"/>
    <w:link w:val="BodyText1"/>
    <w:uiPriority w:val="99"/>
    <w:locked/>
    <w:rPr>
      <w:rFonts w:ascii="Times New Roman" w:hAnsi="Times New Roman" w:cs="Times New Roman"/>
      <w:sz w:val="24"/>
      <w:szCs w:val="24"/>
    </w:rPr>
  </w:style>
  <w:style w:type="paragraph" w:customStyle="1" w:styleId="NormalReference">
    <w:name w:val="Normal Reference"/>
    <w:basedOn w:val="Normal"/>
    <w:uiPriority w:val="99"/>
    <w:pPr>
      <w:spacing w:after="120" w:line="240" w:lineRule="auto"/>
      <w:jc w:val="both"/>
    </w:pPr>
    <w:rPr>
      <w:rFonts w:ascii="Arial" w:eastAsia="Times New Roman" w:hAnsi="Arial" w:cs="Arial"/>
    </w:rPr>
  </w:style>
  <w:style w:type="paragraph" w:styleId="FootnoteText">
    <w:name w:val="footnote text"/>
    <w:aliases w:val="fn,Footnotes,Footnote ak,fn Char,footnote text Char,Footnotes Char,Footnote ak Char,ft,fn cafc,Footnotes Char Char,Footnote Text Char Char,fn Char Char,footnote text Char Char Char Ch,fn1,footnote text1,ft1,o,stile 1,Footnote1,Footnote2"/>
    <w:basedOn w:val="Normal"/>
    <w:link w:val="FootnoteTextChar"/>
    <w:uiPriority w:val="99"/>
    <w:qFormat/>
    <w:pPr>
      <w:tabs>
        <w:tab w:val="left" w:pos="720"/>
        <w:tab w:val="left" w:pos="1440"/>
        <w:tab w:val="left" w:pos="2304"/>
      </w:tabs>
      <w:spacing w:after="288" w:line="240" w:lineRule="auto"/>
      <w:jc w:val="both"/>
    </w:pPr>
    <w:rPr>
      <w:rFonts w:ascii="Times New Roman" w:hAnsi="Times New Roman"/>
    </w:rPr>
  </w:style>
  <w:style w:type="character" w:customStyle="1" w:styleId="FootnoteTextChar">
    <w:name w:val="Footnote Text Char"/>
    <w:aliases w:val="fn Char1,Footnotes Char1,Footnote ak Char1,fn Char Char1,footnote text Char Char,Footnotes Char Char1,Footnote ak Char Char,ft Char,fn cafc Char,Footnotes Char Char Char,Footnote Text Char Char Char,fn Char Char Char,fn1 Char,ft1 Char"/>
    <w:link w:val="FootnoteText"/>
    <w:uiPriority w:val="99"/>
    <w:qFormat/>
    <w:locked/>
    <w:rPr>
      <w:rFonts w:ascii="Times New Roman" w:hAnsi="Times New Roman" w:cs="Times New Roman"/>
    </w:rPr>
  </w:style>
  <w:style w:type="character" w:styleId="PageNumber">
    <w:name w:val="page number"/>
    <w:rPr>
      <w:rFonts w:cs="Times New Roman"/>
    </w:rPr>
  </w:style>
  <w:style w:type="character" w:styleId="CommentReference">
    <w:name w:val="annotation reference"/>
    <w:uiPriority w:val="99"/>
    <w:rPr>
      <w:rFonts w:cs="Times New Roman"/>
      <w:sz w:val="16"/>
      <w:szCs w:val="16"/>
    </w:rPr>
  </w:style>
  <w:style w:type="paragraph" w:styleId="CommentText">
    <w:name w:val="annotation text"/>
    <w:basedOn w:val="Normal"/>
    <w:link w:val="CommentTextChar"/>
    <w:pPr>
      <w:spacing w:after="0" w:line="240" w:lineRule="auto"/>
    </w:pPr>
    <w:rPr>
      <w:rFonts w:ascii="Arial" w:hAnsi="Arial"/>
      <w:lang w:val="nl-NL"/>
    </w:rPr>
  </w:style>
  <w:style w:type="character" w:customStyle="1" w:styleId="CommentTextChar">
    <w:name w:val="Comment Text Char"/>
    <w:link w:val="CommentText"/>
    <w:uiPriority w:val="99"/>
    <w:locked/>
    <w:rPr>
      <w:rFonts w:ascii="Arial" w:hAnsi="Arial" w:cs="Times New Roman"/>
      <w:lang w:val="nl-NL"/>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locked/>
    <w:rPr>
      <w:rFonts w:ascii="Arial" w:hAnsi="Arial" w:cs="Times New Roman"/>
      <w:b/>
      <w:bCs/>
      <w:lang w:val="nl-NL"/>
    </w:rPr>
  </w:style>
  <w:style w:type="paragraph" w:styleId="ListParagraph">
    <w:name w:val="List Paragraph"/>
    <w:aliases w:val="List Paragraph1,1st level - Bullet List Paragraph,Lettre d'introduction,Table of contents numbered,Medium Grid 1 - Accent 21,List Paragraph21,Lentele,List Paragraph2,ERP-List Paragraph,List Paragraph11,Bullets1,Fiche List Paragraph,List1"/>
    <w:basedOn w:val="Normal"/>
    <w:link w:val="ListParagraphChar"/>
    <w:uiPriority w:val="34"/>
    <w:qFormat/>
    <w:pPr>
      <w:spacing w:before="120" w:line="240" w:lineRule="auto"/>
      <w:ind w:left="720"/>
      <w:contextualSpacing/>
    </w:pPr>
    <w:rPr>
      <w:rFonts w:eastAsia="Times New Roman"/>
      <w:lang w:val="nl-NL"/>
    </w:rPr>
  </w:style>
  <w:style w:type="character" w:styleId="FootnoteReference">
    <w:name w:val="footnote reference"/>
    <w:aliases w:val="Ref,de nota al pie,Ref1,de nota al pie1,Ref2,de nota al pie2,Ref11,de nota al pie11,Source Reference,SUPERS,number,Footnote reference number,Footnote symbol,note TESI,-E Fußnotenzeichen,Footnote,Times 10 Point,no...,f,BVI fnr,callout"/>
    <w:link w:val="SUPERSCharCharCharCharCharCharCharChar"/>
    <w:uiPriority w:val="99"/>
    <w:qFormat/>
    <w:rPr>
      <w:rFonts w:cs="Times New Roman"/>
      <w:vertAlign w:val="superscript"/>
    </w:rPr>
  </w:style>
  <w:style w:type="paragraph" w:styleId="Revision">
    <w:name w:val="Revision"/>
    <w:hidden/>
    <w:uiPriority w:val="99"/>
    <w:semiHidden/>
    <w:rPr>
      <w:lang w:val="en-GB" w:eastAsia="en-US"/>
    </w:rPr>
  </w:style>
  <w:style w:type="table" w:customStyle="1" w:styleId="LightShading-Accent11">
    <w:name w:val="Light Shading - Accent 11"/>
    <w:uiPriority w:val="99"/>
    <w:rPr>
      <w:color w:val="A44E00"/>
      <w:lang w:val="de-DE" w:eastAsia="de-DE"/>
    </w:rPr>
    <w:tblPr>
      <w:tblStyleRowBandSize w:val="1"/>
      <w:tblStyleColBandSize w:val="1"/>
      <w:tblInd w:w="0" w:type="dxa"/>
      <w:tblBorders>
        <w:top w:val="single" w:sz="8" w:space="0" w:color="DC6900"/>
        <w:bottom w:val="single" w:sz="8" w:space="0" w:color="DC6900"/>
      </w:tblBorders>
      <w:tblCellMar>
        <w:top w:w="0" w:type="dxa"/>
        <w:left w:w="108" w:type="dxa"/>
        <w:bottom w:w="0" w:type="dxa"/>
        <w:right w:w="108" w:type="dxa"/>
      </w:tblCellMar>
    </w:tblPr>
  </w:style>
  <w:style w:type="table" w:styleId="ColorfulGrid-Accent1">
    <w:name w:val="Colorful Grid Accent 1"/>
    <w:basedOn w:val="TableNormal"/>
    <w:uiPriority w:val="99"/>
    <w:rPr>
      <w:color w:val="000000"/>
    </w:rPr>
    <w:tblPr>
      <w:tblStyleRowBandSize w:val="1"/>
      <w:tblStyleColBandSize w:val="1"/>
      <w:tblBorders>
        <w:insideH w:val="single" w:sz="4" w:space="0" w:color="FFFFFF"/>
      </w:tblBorders>
    </w:tblPr>
    <w:tcPr>
      <w:shd w:val="clear" w:color="auto" w:fill="FFE0C5"/>
    </w:tcPr>
    <w:tblStylePr w:type="firstRow">
      <w:rPr>
        <w:rFonts w:cs="Times New Roman"/>
        <w:b/>
        <w:bCs/>
      </w:rPr>
      <w:tblPr/>
      <w:tcPr>
        <w:shd w:val="clear" w:color="auto" w:fill="FFC28B"/>
      </w:tcPr>
    </w:tblStylePr>
    <w:tblStylePr w:type="lastRow">
      <w:rPr>
        <w:rFonts w:cs="Times New Roman"/>
        <w:b/>
        <w:bCs/>
        <w:color w:val="000000"/>
      </w:rPr>
      <w:tblPr/>
      <w:tcPr>
        <w:shd w:val="clear" w:color="auto" w:fill="FFC28B"/>
      </w:tcPr>
    </w:tblStylePr>
    <w:tblStylePr w:type="firstCol">
      <w:rPr>
        <w:rFonts w:cs="Times New Roman"/>
        <w:color w:val="FFFFFF"/>
      </w:rPr>
      <w:tblPr/>
      <w:tcPr>
        <w:shd w:val="clear" w:color="auto" w:fill="A44E00"/>
      </w:tcPr>
    </w:tblStylePr>
    <w:tblStylePr w:type="lastCol">
      <w:rPr>
        <w:rFonts w:cs="Times New Roman"/>
        <w:color w:val="FFFFFF"/>
      </w:rPr>
      <w:tblPr/>
      <w:tcPr>
        <w:shd w:val="clear" w:color="auto" w:fill="A44E00"/>
      </w:tcPr>
    </w:tblStylePr>
    <w:tblStylePr w:type="band1Vert">
      <w:rPr>
        <w:rFonts w:cs="Times New Roman"/>
      </w:rPr>
      <w:tblPr/>
      <w:tcPr>
        <w:shd w:val="clear" w:color="auto" w:fill="FFB26E"/>
      </w:tcPr>
    </w:tblStylePr>
    <w:tblStylePr w:type="band1Horz">
      <w:rPr>
        <w:rFonts w:cs="Times New Roman"/>
      </w:rPr>
      <w:tblPr/>
      <w:tcPr>
        <w:shd w:val="clear" w:color="auto" w:fill="FFB26E"/>
      </w:tcPr>
    </w:tblStylePr>
  </w:style>
  <w:style w:type="paragraph" w:customStyle="1" w:styleId="bodytekst">
    <w:name w:val="bodytekst"/>
    <w:basedOn w:val="Normal"/>
    <w:link w:val="bodytekstChar"/>
    <w:uiPriority w:val="99"/>
    <w:pPr>
      <w:spacing w:line="240" w:lineRule="auto"/>
    </w:pPr>
    <w:rPr>
      <w:rFonts w:ascii="Arial" w:hAnsi="Arial"/>
      <w:lang w:eastAsia="en-GB"/>
    </w:rPr>
  </w:style>
  <w:style w:type="paragraph" w:customStyle="1" w:styleId="opsommingnr">
    <w:name w:val="opsomming_nr"/>
    <w:basedOn w:val="Normal"/>
    <w:uiPriority w:val="99"/>
    <w:pPr>
      <w:numPr>
        <w:numId w:val="4"/>
      </w:numPr>
      <w:spacing w:after="0" w:line="240" w:lineRule="auto"/>
    </w:pPr>
    <w:rPr>
      <w:rFonts w:ascii="Arial" w:eastAsia="Times New Roman" w:hAnsi="Arial"/>
      <w:lang w:val="nl-NL"/>
    </w:rPr>
  </w:style>
  <w:style w:type="character" w:customStyle="1" w:styleId="bodytekstChar">
    <w:name w:val="bodytekst Char"/>
    <w:link w:val="bodytekst"/>
    <w:uiPriority w:val="99"/>
    <w:locked/>
    <w:rPr>
      <w:rFonts w:ascii="Arial" w:hAnsi="Arial" w:cs="Times New Roman"/>
      <w:lang w:eastAsia="en-GB"/>
    </w:rPr>
  </w:style>
  <w:style w:type="table" w:customStyle="1" w:styleId="LightList-Accent11">
    <w:name w:val="Light List - Accent 11"/>
    <w:uiPriority w:val="61"/>
    <w:rPr>
      <w:lang w:val="de-DE" w:eastAsia="de-DE"/>
    </w:rPr>
    <w:tblPr>
      <w:tblStyleRowBandSize w:val="1"/>
      <w:tblStyleColBandSize w:val="1"/>
      <w:tblInd w:w="0" w:type="dxa"/>
      <w:tblBorders>
        <w:top w:val="single" w:sz="8" w:space="0" w:color="DC6900"/>
        <w:left w:val="single" w:sz="8" w:space="0" w:color="DC6900"/>
        <w:bottom w:val="single" w:sz="8" w:space="0" w:color="DC6900"/>
        <w:right w:val="single" w:sz="8" w:space="0" w:color="DC6900"/>
      </w:tblBorders>
      <w:tblCellMar>
        <w:top w:w="0" w:type="dxa"/>
        <w:left w:w="108" w:type="dxa"/>
        <w:bottom w:w="0" w:type="dxa"/>
        <w:right w:w="108" w:type="dxa"/>
      </w:tblCellMar>
    </w:tblPr>
  </w:style>
  <w:style w:type="table" w:customStyle="1" w:styleId="MediumShading1-Accent11">
    <w:name w:val="Medium Shading 1 - Accent 11"/>
    <w:uiPriority w:val="99"/>
    <w:rPr>
      <w:lang w:val="de-DE" w:eastAsia="de-DE"/>
    </w:rPr>
    <w:tblPr>
      <w:tblStyleRowBandSize w:val="1"/>
      <w:tblStyleColBandSize w:val="1"/>
      <w:tblInd w:w="0" w:type="dxa"/>
      <w:tblBorders>
        <w:top w:val="single" w:sz="8" w:space="0" w:color="FF8C25"/>
        <w:left w:val="single" w:sz="8" w:space="0" w:color="FF8C25"/>
        <w:bottom w:val="single" w:sz="8" w:space="0" w:color="FF8C25"/>
        <w:right w:val="single" w:sz="8" w:space="0" w:color="FF8C25"/>
        <w:insideH w:val="single" w:sz="8" w:space="0" w:color="FF8C25"/>
      </w:tblBorders>
      <w:tblCellMar>
        <w:top w:w="0" w:type="dxa"/>
        <w:left w:w="108" w:type="dxa"/>
        <w:bottom w:w="0" w:type="dxa"/>
        <w:right w:w="108" w:type="dxa"/>
      </w:tblCellMar>
    </w:tblPr>
  </w:style>
  <w:style w:type="character" w:styleId="IntenseEmphasis">
    <w:name w:val="Intense Emphasis"/>
    <w:uiPriority w:val="99"/>
    <w:qFormat/>
    <w:rPr>
      <w:rFonts w:ascii="Georgia" w:hAnsi="Georgia" w:cs="Times New Roman"/>
      <w:b/>
      <w:bCs/>
      <w:i/>
      <w:iCs/>
      <w:color w:val="DC6900"/>
      <w:sz w:val="24"/>
    </w:rPr>
  </w:style>
  <w:style w:type="table" w:customStyle="1" w:styleId="LightGrid-Accent11">
    <w:name w:val="Light Grid - Accent 11"/>
    <w:uiPriority w:val="99"/>
    <w:rPr>
      <w:lang w:val="de-DE" w:eastAsia="de-DE"/>
    </w:rPr>
    <w:tblPr>
      <w:tblStyleRowBandSize w:val="1"/>
      <w:tblStyleColBandSize w:val="1"/>
      <w:tblInd w:w="0" w:type="dxa"/>
      <w:tblBorders>
        <w:top w:val="single" w:sz="8" w:space="0" w:color="DC6900"/>
        <w:left w:val="single" w:sz="8" w:space="0" w:color="DC6900"/>
        <w:bottom w:val="single" w:sz="8" w:space="0" w:color="DC6900"/>
        <w:right w:val="single" w:sz="8" w:space="0" w:color="DC6900"/>
        <w:insideH w:val="single" w:sz="8" w:space="0" w:color="DC6900"/>
        <w:insideV w:val="single" w:sz="8" w:space="0" w:color="DC6900"/>
      </w:tblBorders>
      <w:tblCellMar>
        <w:top w:w="0" w:type="dxa"/>
        <w:left w:w="108" w:type="dxa"/>
        <w:bottom w:w="0" w:type="dxa"/>
        <w:right w:w="108" w:type="dxa"/>
      </w:tblCellMar>
    </w:tblPr>
  </w:style>
  <w:style w:type="paragraph" w:customStyle="1" w:styleId="BodyText10">
    <w:name w:val="Body Text 1"/>
    <w:basedOn w:val="Normal"/>
    <w:link w:val="BodyText1Zchn"/>
    <w:uiPriority w:val="99"/>
    <w:pPr>
      <w:spacing w:after="120"/>
      <w:jc w:val="both"/>
    </w:pPr>
    <w:rPr>
      <w:rFonts w:ascii="Arial" w:hAnsi="Arial"/>
      <w:sz w:val="21"/>
    </w:rPr>
  </w:style>
  <w:style w:type="character" w:customStyle="1" w:styleId="BodyText1Zchn">
    <w:name w:val="Body Text 1 Zchn"/>
    <w:link w:val="BodyText10"/>
    <w:uiPriority w:val="99"/>
    <w:locked/>
    <w:rPr>
      <w:rFonts w:ascii="Arial" w:hAnsi="Arial" w:cs="Times New Roman"/>
      <w:sz w:val="21"/>
      <w:lang w:val="en-GB" w:eastAsia="en-US" w:bidi="ar-SA"/>
    </w:rPr>
  </w:style>
  <w:style w:type="numbering" w:customStyle="1" w:styleId="PwCListNumbers1">
    <w:name w:val="PwC List Numbers 1"/>
    <w:uiPriority w:val="99"/>
    <w:pPr>
      <w:numPr>
        <w:numId w:val="2"/>
      </w:numPr>
    </w:pPr>
  </w:style>
  <w:style w:type="numbering" w:customStyle="1" w:styleId="StyleBulletedSymbolsymbolLeft063cmHanging063cm">
    <w:name w:val="Style Bulleted Symbol (symbol) Left:  063 cm Hanging:  063 cm"/>
    <w:pPr>
      <w:numPr>
        <w:numId w:val="5"/>
      </w:numPr>
    </w:pPr>
  </w:style>
  <w:style w:type="numbering" w:customStyle="1" w:styleId="PwCListBullets1">
    <w:name w:val="PwC List Bullets 1"/>
    <w:pPr>
      <w:numPr>
        <w:numId w:val="1"/>
      </w:numPr>
    </w:pPr>
  </w:style>
  <w:style w:type="table" w:styleId="LightList-Accent6">
    <w:name w:val="Light List Accent 6"/>
    <w:basedOn w:val="TableNormal"/>
    <w:uiPriority w:val="61"/>
    <w:tblPr>
      <w:tblStyleRowBandSize w:val="1"/>
      <w:tblStyleColBandSize w:val="1"/>
      <w:tblBorders>
        <w:top w:val="single" w:sz="8" w:space="0" w:color="D06F1A"/>
        <w:left w:val="single" w:sz="8" w:space="0" w:color="D06F1A"/>
        <w:bottom w:val="single" w:sz="8" w:space="0" w:color="D06F1A"/>
        <w:right w:val="single" w:sz="8" w:space="0" w:color="D06F1A"/>
      </w:tblBorders>
    </w:tblPr>
    <w:tblStylePr w:type="firstRow">
      <w:pPr>
        <w:spacing w:before="0" w:after="0" w:line="240" w:lineRule="auto"/>
      </w:pPr>
      <w:rPr>
        <w:b/>
        <w:bCs/>
        <w:color w:val="FFFFFF"/>
      </w:rPr>
      <w:tblPr/>
      <w:tcPr>
        <w:shd w:val="clear" w:color="auto" w:fill="D06F1A"/>
      </w:tcPr>
    </w:tblStylePr>
    <w:tblStylePr w:type="lastRow">
      <w:pPr>
        <w:spacing w:before="0" w:after="0" w:line="240" w:lineRule="auto"/>
      </w:pPr>
      <w:rPr>
        <w:b/>
        <w:bCs/>
      </w:rPr>
      <w:tblPr/>
      <w:tcPr>
        <w:tcBorders>
          <w:top w:val="double" w:sz="6" w:space="0" w:color="D06F1A"/>
          <w:left w:val="single" w:sz="8" w:space="0" w:color="D06F1A"/>
          <w:bottom w:val="single" w:sz="8" w:space="0" w:color="D06F1A"/>
          <w:right w:val="single" w:sz="8" w:space="0" w:color="D06F1A"/>
        </w:tcBorders>
      </w:tcPr>
    </w:tblStylePr>
    <w:tblStylePr w:type="firstCol">
      <w:rPr>
        <w:b/>
        <w:bCs/>
      </w:rPr>
    </w:tblStylePr>
    <w:tblStylePr w:type="lastCol">
      <w:rPr>
        <w:b/>
        <w:bCs/>
      </w:rPr>
    </w:tblStylePr>
    <w:tblStylePr w:type="band1Vert">
      <w:tblPr/>
      <w:tcPr>
        <w:tcBorders>
          <w:top w:val="single" w:sz="8" w:space="0" w:color="D06F1A"/>
          <w:left w:val="single" w:sz="8" w:space="0" w:color="D06F1A"/>
          <w:bottom w:val="single" w:sz="8" w:space="0" w:color="D06F1A"/>
          <w:right w:val="single" w:sz="8" w:space="0" w:color="D06F1A"/>
        </w:tcBorders>
      </w:tcPr>
    </w:tblStylePr>
    <w:tblStylePr w:type="band1Horz">
      <w:tblPr/>
      <w:tcPr>
        <w:tcBorders>
          <w:top w:val="single" w:sz="8" w:space="0" w:color="D06F1A"/>
          <w:left w:val="single" w:sz="8" w:space="0" w:color="D06F1A"/>
          <w:bottom w:val="single" w:sz="8" w:space="0" w:color="D06F1A"/>
          <w:right w:val="single" w:sz="8" w:space="0" w:color="D06F1A"/>
        </w:tcBorders>
      </w:tcPr>
    </w:tblStylePr>
  </w:style>
  <w:style w:type="table" w:customStyle="1" w:styleId="LightList-Accent21">
    <w:name w:val="Light List - Accent 21"/>
    <w:basedOn w:val="TableNormal"/>
    <w:next w:val="LightList-Accent2"/>
    <w:uiPriority w:val="61"/>
    <w:rPr>
      <w:rFonts w:eastAsia="Calibri"/>
      <w:lang w:val="en-GB" w:eastAsia="en-US"/>
    </w:rPr>
    <w:tblPr>
      <w:tblStyleRowBandSize w:val="1"/>
      <w:tblStyleColBandSize w:val="1"/>
      <w:tblBorders>
        <w:top w:val="single" w:sz="8" w:space="0" w:color="EC7200"/>
        <w:left w:val="single" w:sz="8" w:space="0" w:color="EC7200"/>
        <w:bottom w:val="single" w:sz="8" w:space="0" w:color="EC7200"/>
        <w:right w:val="single" w:sz="8" w:space="0" w:color="EC7200"/>
      </w:tblBorders>
    </w:tblPr>
    <w:tblStylePr w:type="firstRow">
      <w:pPr>
        <w:spacing w:before="0" w:after="0" w:line="240" w:lineRule="auto"/>
      </w:pPr>
      <w:rPr>
        <w:b/>
        <w:bCs/>
        <w:color w:val="FFFFFF"/>
      </w:rPr>
      <w:tblPr/>
      <w:tcPr>
        <w:shd w:val="clear" w:color="auto" w:fill="EC7200"/>
      </w:tcPr>
    </w:tblStylePr>
    <w:tblStylePr w:type="lastRow">
      <w:pPr>
        <w:spacing w:before="0" w:after="0" w:line="240" w:lineRule="auto"/>
      </w:pPr>
      <w:rPr>
        <w:b/>
        <w:bCs/>
      </w:rPr>
      <w:tblPr/>
      <w:tcPr>
        <w:tcBorders>
          <w:top w:val="double" w:sz="6" w:space="0" w:color="EC7200"/>
          <w:left w:val="single" w:sz="8" w:space="0" w:color="EC7200"/>
          <w:bottom w:val="single" w:sz="8" w:space="0" w:color="EC7200"/>
          <w:right w:val="single" w:sz="8" w:space="0" w:color="EC7200"/>
        </w:tcBorders>
      </w:tcPr>
    </w:tblStylePr>
    <w:tblStylePr w:type="firstCol">
      <w:rPr>
        <w:b/>
        <w:bCs/>
      </w:rPr>
    </w:tblStylePr>
    <w:tblStylePr w:type="lastCol">
      <w:rPr>
        <w:b/>
        <w:bCs/>
      </w:rPr>
    </w:tblStylePr>
    <w:tblStylePr w:type="band1Vert">
      <w:tblPr/>
      <w:tcPr>
        <w:tcBorders>
          <w:top w:val="single" w:sz="8" w:space="0" w:color="EC7200"/>
          <w:left w:val="single" w:sz="8" w:space="0" w:color="EC7200"/>
          <w:bottom w:val="single" w:sz="8" w:space="0" w:color="EC7200"/>
          <w:right w:val="single" w:sz="8" w:space="0" w:color="EC7200"/>
        </w:tcBorders>
      </w:tcPr>
    </w:tblStylePr>
    <w:tblStylePr w:type="band1Horz">
      <w:tblPr/>
      <w:tcPr>
        <w:tcBorders>
          <w:top w:val="single" w:sz="8" w:space="0" w:color="EC7200"/>
          <w:left w:val="single" w:sz="8" w:space="0" w:color="EC7200"/>
          <w:bottom w:val="single" w:sz="8" w:space="0" w:color="EC7200"/>
          <w:right w:val="single" w:sz="8" w:space="0" w:color="EC7200"/>
        </w:tcBorders>
      </w:tcPr>
    </w:tblStylePr>
  </w:style>
  <w:style w:type="table" w:styleId="MediumGrid3-Accent2">
    <w:name w:val="Medium Grid 3 Accent 2"/>
    <w:basedOn w:val="TableNormal"/>
    <w:uiPriority w:val="99"/>
    <w:rPr>
      <w:lang w:val="en-GB"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C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B6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B6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FB6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FB6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FDA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A80"/>
      </w:tcPr>
    </w:tblStylePr>
  </w:style>
  <w:style w:type="paragraph" w:customStyle="1" w:styleId="Source">
    <w:name w:val="Source"/>
    <w:basedOn w:val="BodyText"/>
    <w:link w:val="SourceChar"/>
    <w:qFormat/>
    <w:rPr>
      <w:i/>
      <w:noProof/>
      <w:sz w:val="16"/>
      <w:szCs w:val="16"/>
    </w:rPr>
  </w:style>
  <w:style w:type="table" w:styleId="MediumGrid3-Accent6">
    <w:name w:val="Medium Grid 3 Accent 6"/>
    <w:basedOn w:val="TableNormal"/>
    <w:uiPriority w:val="69"/>
    <w:rPr>
      <w:lang w:val="en-GB"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7DBC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D06F1A"/>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D06F1A"/>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D06F1A"/>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D06F1A"/>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FB684"/>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FB684"/>
      </w:tcPr>
    </w:tblStylePr>
  </w:style>
  <w:style w:type="character" w:customStyle="1" w:styleId="SourceChar">
    <w:name w:val="Source Char"/>
    <w:link w:val="Source"/>
    <w:rPr>
      <w:i/>
      <w:noProof/>
      <w:sz w:val="16"/>
      <w:szCs w:val="16"/>
      <w:lang w:val="en-GB"/>
    </w:rPr>
  </w:style>
  <w:style w:type="paragraph" w:customStyle="1" w:styleId="Tabletitle">
    <w:name w:val="Table title"/>
    <w:basedOn w:val="Tablebodytext"/>
    <w:pPr>
      <w:spacing w:after="40"/>
    </w:pPr>
    <w:rPr>
      <w:b/>
      <w:iCs w:val="0"/>
      <w:color w:val="00A5D9"/>
    </w:rPr>
  </w:style>
  <w:style w:type="paragraph" w:customStyle="1" w:styleId="Tablebodytext">
    <w:name w:val="Table body text"/>
    <w:pPr>
      <w:spacing w:before="80" w:after="80" w:line="210" w:lineRule="atLeast"/>
      <w:ind w:left="-115"/>
      <w:textAlignment w:val="center"/>
    </w:pPr>
    <w:rPr>
      <w:rFonts w:ascii="Arial" w:eastAsia="Times New Roman" w:hAnsi="Arial" w:cs="Arial"/>
      <w:iCs/>
      <w:color w:val="00457C"/>
      <w:sz w:val="18"/>
      <w:szCs w:val="18"/>
      <w:lang w:val="en-US" w:eastAsia="en-US"/>
    </w:rPr>
  </w:style>
  <w:style w:type="paragraph" w:styleId="NormalWeb">
    <w:name w:val="Normal (Web)"/>
    <w:aliases w:val="Normale (Web) Carattere"/>
    <w:basedOn w:val="Normal"/>
    <w:uiPriority w:val="99"/>
    <w:unhideWhenUsed/>
    <w:locked/>
    <w:pPr>
      <w:spacing w:after="100" w:afterAutospacing="1" w:line="255" w:lineRule="atLeast"/>
    </w:pPr>
    <w:rPr>
      <w:rFonts w:ascii="Tahoma" w:eastAsia="Times New Roman" w:hAnsi="Tahoma" w:cs="Tahoma"/>
      <w:color w:val="000000"/>
      <w:sz w:val="17"/>
      <w:szCs w:val="17"/>
      <w:lang w:eastAsia="en-GB"/>
    </w:rPr>
  </w:style>
  <w:style w:type="character" w:styleId="Strong">
    <w:name w:val="Strong"/>
    <w:uiPriority w:val="99"/>
    <w:qFormat/>
    <w:locked/>
    <w:rPr>
      <w:b/>
      <w:bCs/>
    </w:rPr>
  </w:style>
  <w:style w:type="table" w:styleId="MediumShading1-Accent6">
    <w:name w:val="Medium Shading 1 Accent 6"/>
    <w:basedOn w:val="TableNormal"/>
    <w:uiPriority w:val="63"/>
    <w:tblPr>
      <w:tblStyleRowBandSize w:val="1"/>
      <w:tblStyleColBandSize w:val="1"/>
      <w:tblBorders>
        <w:top w:val="single" w:sz="8" w:space="0" w:color="E89247"/>
        <w:left w:val="single" w:sz="8" w:space="0" w:color="E89247"/>
        <w:bottom w:val="single" w:sz="8" w:space="0" w:color="E89247"/>
        <w:right w:val="single" w:sz="8" w:space="0" w:color="E89247"/>
        <w:insideH w:val="single" w:sz="8" w:space="0" w:color="E89247"/>
      </w:tblBorders>
    </w:tblPr>
    <w:tblStylePr w:type="firstRow">
      <w:pPr>
        <w:spacing w:before="0" w:after="0" w:line="240" w:lineRule="auto"/>
      </w:pPr>
      <w:rPr>
        <w:b/>
        <w:bCs/>
        <w:color w:val="FFFFFF"/>
      </w:rPr>
      <w:tblPr/>
      <w:tcPr>
        <w:tcBorders>
          <w:top w:val="single" w:sz="8" w:space="0" w:color="E89247"/>
          <w:left w:val="single" w:sz="8" w:space="0" w:color="E89247"/>
          <w:bottom w:val="single" w:sz="8" w:space="0" w:color="E89247"/>
          <w:right w:val="single" w:sz="8" w:space="0" w:color="E89247"/>
          <w:insideH w:val="nil"/>
          <w:insideV w:val="nil"/>
        </w:tcBorders>
        <w:shd w:val="clear" w:color="auto" w:fill="D06F1A"/>
      </w:tcPr>
    </w:tblStylePr>
    <w:tblStylePr w:type="lastRow">
      <w:pPr>
        <w:spacing w:before="0" w:after="0" w:line="240" w:lineRule="auto"/>
      </w:pPr>
      <w:rPr>
        <w:b/>
        <w:bCs/>
      </w:rPr>
      <w:tblPr/>
      <w:tcPr>
        <w:tcBorders>
          <w:top w:val="double" w:sz="6" w:space="0" w:color="E89247"/>
          <w:left w:val="single" w:sz="8" w:space="0" w:color="E89247"/>
          <w:bottom w:val="single" w:sz="8" w:space="0" w:color="E89247"/>
          <w:right w:val="single" w:sz="8" w:space="0" w:color="E89247"/>
          <w:insideH w:val="nil"/>
          <w:insideV w:val="nil"/>
        </w:tcBorders>
      </w:tcPr>
    </w:tblStylePr>
    <w:tblStylePr w:type="firstCol">
      <w:rPr>
        <w:b/>
        <w:bCs/>
      </w:rPr>
    </w:tblStylePr>
    <w:tblStylePr w:type="lastCol">
      <w:rPr>
        <w:b/>
        <w:bCs/>
      </w:rPr>
    </w:tblStylePr>
    <w:tblStylePr w:type="band1Vert">
      <w:tblPr/>
      <w:tcPr>
        <w:shd w:val="clear" w:color="auto" w:fill="F7DBC2"/>
      </w:tcPr>
    </w:tblStylePr>
    <w:tblStylePr w:type="band1Horz">
      <w:tblPr/>
      <w:tcPr>
        <w:tcBorders>
          <w:insideH w:val="nil"/>
          <w:insideV w:val="nil"/>
        </w:tcBorders>
        <w:shd w:val="clear" w:color="auto" w:fill="F7DBC2"/>
      </w:tcPr>
    </w:tblStylePr>
    <w:tblStylePr w:type="band2Horz">
      <w:tblPr/>
      <w:tcPr>
        <w:tcBorders>
          <w:insideH w:val="nil"/>
          <w:insideV w:val="nil"/>
        </w:tcBorders>
      </w:tcPr>
    </w:tblStylePr>
  </w:style>
  <w:style w:type="table" w:styleId="LightGrid-Accent6">
    <w:name w:val="Light Grid Accent 6"/>
    <w:basedOn w:val="TableNormal"/>
    <w:uiPriority w:val="62"/>
    <w:tblPr>
      <w:tblStyleRowBandSize w:val="1"/>
      <w:tblStyleColBandSize w:val="1"/>
      <w:tblBorders>
        <w:top w:val="single" w:sz="8" w:space="0" w:color="D06F1A"/>
        <w:left w:val="single" w:sz="8" w:space="0" w:color="D06F1A"/>
        <w:bottom w:val="single" w:sz="8" w:space="0" w:color="D06F1A"/>
        <w:right w:val="single" w:sz="8" w:space="0" w:color="D06F1A"/>
        <w:insideH w:val="single" w:sz="8" w:space="0" w:color="D06F1A"/>
        <w:insideV w:val="single" w:sz="8" w:space="0" w:color="D06F1A"/>
      </w:tblBorders>
    </w:tblPr>
    <w:tblStylePr w:type="firstRow">
      <w:pPr>
        <w:spacing w:before="0" w:after="0" w:line="240" w:lineRule="auto"/>
      </w:pPr>
      <w:rPr>
        <w:rFonts w:ascii="Cambria" w:eastAsia="Times New Roman" w:hAnsi="Cambria" w:cs="Times New Roman"/>
        <w:b/>
        <w:bCs/>
      </w:rPr>
      <w:tblPr/>
      <w:tcPr>
        <w:tcBorders>
          <w:top w:val="single" w:sz="8" w:space="0" w:color="D06F1A"/>
          <w:left w:val="single" w:sz="8" w:space="0" w:color="D06F1A"/>
          <w:bottom w:val="single" w:sz="18" w:space="0" w:color="D06F1A"/>
          <w:right w:val="single" w:sz="8" w:space="0" w:color="D06F1A"/>
          <w:insideH w:val="nil"/>
          <w:insideV w:val="single" w:sz="8" w:space="0" w:color="D06F1A"/>
        </w:tcBorders>
      </w:tcPr>
    </w:tblStylePr>
    <w:tblStylePr w:type="lastRow">
      <w:pPr>
        <w:spacing w:before="0" w:after="0" w:line="240" w:lineRule="auto"/>
      </w:pPr>
      <w:rPr>
        <w:rFonts w:ascii="Cambria" w:eastAsia="Times New Roman" w:hAnsi="Cambria" w:cs="Times New Roman"/>
        <w:b/>
        <w:bCs/>
      </w:rPr>
      <w:tblPr/>
      <w:tcPr>
        <w:tcBorders>
          <w:top w:val="double" w:sz="6" w:space="0" w:color="D06F1A"/>
          <w:left w:val="single" w:sz="8" w:space="0" w:color="D06F1A"/>
          <w:bottom w:val="single" w:sz="8" w:space="0" w:color="D06F1A"/>
          <w:right w:val="single" w:sz="8" w:space="0" w:color="D06F1A"/>
          <w:insideH w:val="nil"/>
          <w:insideV w:val="single" w:sz="8" w:space="0" w:color="D06F1A"/>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D06F1A"/>
          <w:left w:val="single" w:sz="8" w:space="0" w:color="D06F1A"/>
          <w:bottom w:val="single" w:sz="8" w:space="0" w:color="D06F1A"/>
          <w:right w:val="single" w:sz="8" w:space="0" w:color="D06F1A"/>
        </w:tcBorders>
      </w:tcPr>
    </w:tblStylePr>
    <w:tblStylePr w:type="band1Vert">
      <w:tblPr/>
      <w:tcPr>
        <w:tcBorders>
          <w:top w:val="single" w:sz="8" w:space="0" w:color="D06F1A"/>
          <w:left w:val="single" w:sz="8" w:space="0" w:color="D06F1A"/>
          <w:bottom w:val="single" w:sz="8" w:space="0" w:color="D06F1A"/>
          <w:right w:val="single" w:sz="8" w:space="0" w:color="D06F1A"/>
        </w:tcBorders>
        <w:shd w:val="clear" w:color="auto" w:fill="F7DBC2"/>
      </w:tcPr>
    </w:tblStylePr>
    <w:tblStylePr w:type="band1Horz">
      <w:tblPr/>
      <w:tcPr>
        <w:tcBorders>
          <w:top w:val="single" w:sz="8" w:space="0" w:color="D06F1A"/>
          <w:left w:val="single" w:sz="8" w:space="0" w:color="D06F1A"/>
          <w:bottom w:val="single" w:sz="8" w:space="0" w:color="D06F1A"/>
          <w:right w:val="single" w:sz="8" w:space="0" w:color="D06F1A"/>
          <w:insideV w:val="single" w:sz="8" w:space="0" w:color="D06F1A"/>
        </w:tcBorders>
        <w:shd w:val="clear" w:color="auto" w:fill="F7DBC2"/>
      </w:tcPr>
    </w:tblStylePr>
    <w:tblStylePr w:type="band2Horz">
      <w:tblPr/>
      <w:tcPr>
        <w:tcBorders>
          <w:top w:val="single" w:sz="8" w:space="0" w:color="D06F1A"/>
          <w:left w:val="single" w:sz="8" w:space="0" w:color="D06F1A"/>
          <w:bottom w:val="single" w:sz="8" w:space="0" w:color="D06F1A"/>
          <w:right w:val="single" w:sz="8" w:space="0" w:color="D06F1A"/>
          <w:insideV w:val="single" w:sz="8" w:space="0" w:color="D06F1A"/>
        </w:tcBorders>
      </w:tcPr>
    </w:tblStylePr>
  </w:style>
  <w:style w:type="paragraph" w:customStyle="1" w:styleId="Style1">
    <w:name w:val="Style 1"/>
    <w:uiPriority w:val="99"/>
    <w:pPr>
      <w:widowControl w:val="0"/>
      <w:autoSpaceDE w:val="0"/>
      <w:autoSpaceDN w:val="0"/>
      <w:adjustRightInd w:val="0"/>
    </w:pPr>
    <w:rPr>
      <w:rFonts w:ascii="Times New Roman" w:eastAsia="SimSun" w:hAnsi="Times New Roman"/>
      <w:lang w:val="en-US" w:eastAsia="zh-CN"/>
    </w:rPr>
  </w:style>
  <w:style w:type="paragraph" w:customStyle="1" w:styleId="docsubtitlelevel2bis">
    <w:name w:val="doc_subtitle_level2_bis"/>
    <w:basedOn w:val="Normal"/>
    <w:pPr>
      <w:spacing w:before="100" w:beforeAutospacing="1" w:after="100" w:afterAutospacing="1" w:line="240" w:lineRule="auto"/>
    </w:pPr>
    <w:rPr>
      <w:rFonts w:ascii="Arial" w:eastAsia="Times New Roman" w:hAnsi="Arial" w:cs="Arial"/>
      <w:b/>
      <w:bCs/>
      <w:color w:val="99A5B8"/>
      <w:sz w:val="24"/>
      <w:szCs w:val="24"/>
      <w:lang w:eastAsia="en-GB"/>
    </w:rPr>
  </w:style>
  <w:style w:type="character" w:customStyle="1" w:styleId="bold1">
    <w:name w:val="bold1"/>
    <w:rPr>
      <w:b/>
      <w:bCs/>
    </w:rPr>
  </w:style>
  <w:style w:type="character" w:customStyle="1" w:styleId="hps">
    <w:name w:val="hps"/>
    <w:basedOn w:val="DefaultParagraphFont"/>
    <w:uiPriority w:val="99"/>
  </w:style>
  <w:style w:type="table" w:styleId="MediumShading2-Accent3">
    <w:name w:val="Medium Shading 2 Accent 3"/>
    <w:basedOn w:val="TableNormal"/>
    <w:uiPriority w:val="64"/>
    <w:rPr>
      <w:rFonts w:eastAsia="Calibri"/>
      <w:lang w:val="en-GB"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6984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69843"/>
      </w:tcPr>
    </w:tblStylePr>
    <w:tblStylePr w:type="lastCol">
      <w:rPr>
        <w:b/>
        <w:bCs/>
        <w:color w:val="FFFFFF"/>
      </w:rPr>
      <w:tblPr/>
      <w:tcPr>
        <w:tcBorders>
          <w:left w:val="nil"/>
          <w:right w:val="nil"/>
          <w:insideH w:val="nil"/>
          <w:insideV w:val="nil"/>
        </w:tcBorders>
        <w:shd w:val="clear" w:color="auto" w:fill="F6984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sdtext1">
    <w:name w:val="c_sd_text1"/>
    <w:rPr>
      <w:rFonts w:ascii="Arial" w:hAnsi="Arial" w:cs="Arial" w:hint="default"/>
      <w:b w:val="0"/>
      <w:bCs w:val="0"/>
      <w:color w:val="000000"/>
      <w:spacing w:val="0"/>
      <w:sz w:val="20"/>
      <w:szCs w:val="20"/>
    </w:rPr>
  </w:style>
  <w:style w:type="paragraph" w:styleId="PlainText">
    <w:name w:val="Plain Text"/>
    <w:basedOn w:val="Normal"/>
    <w:link w:val="PlainTextChar"/>
    <w:uiPriority w:val="99"/>
    <w:unhideWhenUsed/>
    <w:locked/>
    <w:pPr>
      <w:spacing w:after="0" w:line="240" w:lineRule="auto"/>
    </w:pPr>
    <w:rPr>
      <w:rFonts w:ascii="Calibri" w:eastAsia="Calibri" w:hAnsi="Calibri"/>
      <w:szCs w:val="21"/>
    </w:rPr>
  </w:style>
  <w:style w:type="character" w:customStyle="1" w:styleId="PlainTextChar">
    <w:name w:val="Plain Text Char"/>
    <w:link w:val="PlainText"/>
    <w:uiPriority w:val="99"/>
    <w:rPr>
      <w:rFonts w:ascii="Calibri" w:eastAsia="Calibri" w:hAnsi="Calibri" w:cs="Consolas"/>
      <w:szCs w:val="21"/>
      <w:lang w:val="en-GB" w:eastAsia="en-US"/>
    </w:rPr>
  </w:style>
  <w:style w:type="paragraph" w:customStyle="1" w:styleId="BodyText30">
    <w:name w:val="Body Text3"/>
    <w:basedOn w:val="Normal"/>
    <w:link w:val="BodytextCharChar"/>
    <w:pPr>
      <w:adjustRightInd w:val="0"/>
      <w:spacing w:before="60" w:after="60" w:line="240" w:lineRule="auto"/>
      <w:jc w:val="both"/>
      <w:textAlignment w:val="baseline"/>
    </w:pPr>
    <w:rPr>
      <w:rFonts w:ascii="Arial" w:eastAsia="Times New Roman" w:hAnsi="Arial"/>
      <w:color w:val="00457C"/>
      <w:szCs w:val="24"/>
      <w:lang w:val="en-US"/>
    </w:rPr>
  </w:style>
  <w:style w:type="character" w:customStyle="1" w:styleId="BodytextCharChar">
    <w:name w:val="Body text Char Char"/>
    <w:link w:val="BodyText30"/>
    <w:locked/>
    <w:rPr>
      <w:rFonts w:ascii="Arial" w:eastAsia="Times New Roman" w:hAnsi="Arial"/>
      <w:color w:val="00457C"/>
      <w:sz w:val="20"/>
      <w:szCs w:val="24"/>
      <w:lang w:val="en-US" w:eastAsia="en-US"/>
    </w:rPr>
  </w:style>
  <w:style w:type="paragraph" w:customStyle="1" w:styleId="TOC">
    <w:name w:val="TOC"/>
    <w:basedOn w:val="BodyText30"/>
    <w:pPr>
      <w:spacing w:line="360" w:lineRule="atLeast"/>
      <w:ind w:left="-54"/>
    </w:pPr>
    <w:rPr>
      <w:bCs/>
      <w:sz w:val="36"/>
      <w:szCs w:val="28"/>
    </w:rPr>
  </w:style>
  <w:style w:type="paragraph" w:customStyle="1" w:styleId="Copyright">
    <w:name w:val="Copyright"/>
    <w:basedOn w:val="Normal"/>
    <w:uiPriority w:val="99"/>
    <w:pPr>
      <w:spacing w:before="60" w:after="60" w:line="150" w:lineRule="exact"/>
      <w:ind w:right="58"/>
      <w:jc w:val="both"/>
    </w:pPr>
    <w:rPr>
      <w:rFonts w:ascii="Arial" w:eastAsia="Times New Roman" w:hAnsi="Arial" w:cs="Arial"/>
      <w:color w:val="FFFFFF"/>
      <w:sz w:val="12"/>
      <w:szCs w:val="16"/>
      <w:lang w:val="en-US" w:bidi="th-TH"/>
    </w:rPr>
  </w:style>
  <w:style w:type="paragraph" w:customStyle="1" w:styleId="bulletcoverletter">
    <w:name w:val="bullet cover letter"/>
    <w:pPr>
      <w:numPr>
        <w:numId w:val="6"/>
      </w:numPr>
      <w:spacing w:before="120" w:after="120" w:line="240" w:lineRule="exact"/>
    </w:pPr>
    <w:rPr>
      <w:rFonts w:ascii="Arial" w:eastAsia="Times New Roman" w:hAnsi="Arial"/>
      <w:color w:val="000000"/>
      <w:sz w:val="21"/>
      <w:szCs w:val="22"/>
      <w:lang w:val="en-US" w:eastAsia="en-US"/>
    </w:rPr>
  </w:style>
  <w:style w:type="paragraph" w:customStyle="1" w:styleId="Questions">
    <w:name w:val="Questions"/>
    <w:basedOn w:val="Heading4"/>
    <w:pPr>
      <w:keepNext w:val="0"/>
      <w:keepLines w:val="0"/>
      <w:spacing w:before="120"/>
      <w:jc w:val="both"/>
    </w:pPr>
    <w:rPr>
      <w:rFonts w:ascii="Arial Bold" w:eastAsia="Times New Roman" w:hAnsi="Arial Bold"/>
      <w:b/>
      <w:bCs w:val="0"/>
      <w:iCs w:val="0"/>
      <w:color w:val="00A5D9"/>
      <w:sz w:val="20"/>
      <w:szCs w:val="21"/>
      <w:lang w:val="en-US"/>
    </w:rPr>
  </w:style>
  <w:style w:type="paragraph" w:customStyle="1" w:styleId="boldbodytext">
    <w:name w:val="bold body text"/>
    <w:basedOn w:val="Heading3"/>
    <w:semiHidden/>
    <w:pPr>
      <w:keepNext w:val="0"/>
      <w:keepLines w:val="0"/>
      <w:adjustRightInd w:val="0"/>
      <w:spacing w:before="240"/>
      <w:ind w:left="3636"/>
      <w:jc w:val="both"/>
      <w:textAlignment w:val="baseline"/>
    </w:pPr>
    <w:rPr>
      <w:rFonts w:ascii="Arial Bold" w:eastAsia="Times New Roman" w:hAnsi="Arial Bold"/>
      <w:b/>
      <w:bCs w:val="0"/>
      <w:i w:val="0"/>
      <w:noProof w:val="0"/>
      <w:color w:val="00A5D9"/>
      <w:sz w:val="20"/>
      <w:szCs w:val="20"/>
    </w:rPr>
  </w:style>
  <w:style w:type="paragraph" w:customStyle="1" w:styleId="Boldcoverlettertext">
    <w:name w:val="Bold cover letter text"/>
    <w:basedOn w:val="Normal"/>
    <w:pPr>
      <w:spacing w:before="60" w:after="120" w:line="240" w:lineRule="auto"/>
      <w:jc w:val="both"/>
    </w:pPr>
    <w:rPr>
      <w:rFonts w:ascii="Arial" w:eastAsia="Times New Roman" w:hAnsi="Arial"/>
      <w:b/>
      <w:bCs/>
      <w:szCs w:val="24"/>
      <w:lang w:val="en-US"/>
    </w:rPr>
  </w:style>
  <w:style w:type="paragraph" w:customStyle="1" w:styleId="Address">
    <w:name w:val="Address"/>
    <w:basedOn w:val="Normal"/>
    <w:semiHidden/>
    <w:pPr>
      <w:framePr w:w="3005" w:h="567" w:hSpace="181" w:vSpace="181" w:wrap="around" w:hAnchor="page" w:xAlign="right" w:yAlign="top" w:anchorLock="1"/>
      <w:spacing w:before="60" w:after="60" w:line="180" w:lineRule="exact"/>
      <w:ind w:right="284"/>
      <w:jc w:val="both"/>
    </w:pPr>
    <w:rPr>
      <w:rFonts w:ascii="Arial" w:eastAsia="Times New Roman" w:hAnsi="Arial"/>
      <w:sz w:val="14"/>
    </w:rPr>
  </w:style>
  <w:style w:type="paragraph" w:customStyle="1" w:styleId="CoverTitle">
    <w:name w:val="Cover Title"/>
    <w:basedOn w:val="Normal"/>
    <w:pPr>
      <w:autoSpaceDE w:val="0"/>
      <w:autoSpaceDN w:val="0"/>
      <w:adjustRightInd w:val="0"/>
      <w:spacing w:before="3840" w:after="60" w:line="720" w:lineRule="atLeast"/>
      <w:jc w:val="both"/>
    </w:pPr>
    <w:rPr>
      <w:rFonts w:ascii="Arial" w:eastAsia="Times New Roman" w:hAnsi="Arial" w:cs="Arial"/>
      <w:color w:val="00457C"/>
      <w:sz w:val="72"/>
      <w:szCs w:val="58"/>
      <w:lang w:val="en-US"/>
    </w:rPr>
  </w:style>
  <w:style w:type="paragraph" w:customStyle="1" w:styleId="CoverSubtitle">
    <w:name w:val="Cover Subtitle"/>
    <w:basedOn w:val="Normal"/>
    <w:pPr>
      <w:autoSpaceDE w:val="0"/>
      <w:autoSpaceDN w:val="0"/>
      <w:adjustRightInd w:val="0"/>
      <w:spacing w:before="360" w:after="60" w:line="360" w:lineRule="atLeast"/>
      <w:jc w:val="both"/>
    </w:pPr>
    <w:rPr>
      <w:rFonts w:ascii="Arial" w:eastAsia="Times New Roman" w:hAnsi="Arial" w:cs="Arial"/>
      <w:color w:val="00A5D9"/>
      <w:sz w:val="36"/>
      <w:szCs w:val="38"/>
      <w:lang w:val="en-US"/>
    </w:rPr>
  </w:style>
  <w:style w:type="paragraph" w:customStyle="1" w:styleId="Descriptor1">
    <w:name w:val="Descriptor 1"/>
    <w:basedOn w:val="Normal"/>
    <w:pPr>
      <w:autoSpaceDE w:val="0"/>
      <w:autoSpaceDN w:val="0"/>
      <w:adjustRightInd w:val="0"/>
      <w:spacing w:before="60" w:after="60" w:line="360" w:lineRule="exact"/>
      <w:jc w:val="both"/>
    </w:pPr>
    <w:rPr>
      <w:rFonts w:ascii="Arial" w:eastAsia="Times New Roman" w:hAnsi="Arial" w:cs="Arial"/>
      <w:color w:val="00457C"/>
      <w:sz w:val="36"/>
      <w:szCs w:val="36"/>
      <w:lang w:val="en-US"/>
    </w:rPr>
  </w:style>
  <w:style w:type="paragraph" w:customStyle="1" w:styleId="Subbullet">
    <w:name w:val="Sub bullet"/>
    <w:basedOn w:val="ListBullet"/>
    <w:pPr>
      <w:numPr>
        <w:numId w:val="10"/>
      </w:numPr>
      <w:tabs>
        <w:tab w:val="clear" w:pos="547"/>
        <w:tab w:val="num" w:pos="1800"/>
      </w:tabs>
      <w:spacing w:before="120" w:after="120" w:line="240" w:lineRule="auto"/>
      <w:ind w:left="360"/>
      <w:contextualSpacing w:val="0"/>
      <w:jc w:val="both"/>
    </w:pPr>
    <w:rPr>
      <w:rFonts w:ascii="Arial" w:eastAsia="Times New Roman" w:hAnsi="Arial"/>
      <w:color w:val="00457C"/>
      <w:szCs w:val="24"/>
      <w:lang w:val="en-US"/>
    </w:rPr>
  </w:style>
  <w:style w:type="paragraph" w:styleId="BodyText2">
    <w:name w:val="Body Text 2"/>
    <w:aliases w:val="base,nuovo normale"/>
    <w:basedOn w:val="Normal"/>
    <w:link w:val="BodyText2Char"/>
    <w:locked/>
    <w:pPr>
      <w:spacing w:before="60" w:after="120" w:line="480" w:lineRule="auto"/>
      <w:jc w:val="both"/>
    </w:pPr>
    <w:rPr>
      <w:rFonts w:ascii="Arial" w:eastAsia="Times New Roman" w:hAnsi="Arial"/>
      <w:szCs w:val="24"/>
      <w:lang w:val="en-US"/>
    </w:rPr>
  </w:style>
  <w:style w:type="character" w:customStyle="1" w:styleId="BodyText2Char">
    <w:name w:val="Body Text 2 Char"/>
    <w:aliases w:val="base Char,nuovo normale Char"/>
    <w:link w:val="BodyText2"/>
    <w:rPr>
      <w:rFonts w:ascii="Arial" w:eastAsia="Times New Roman" w:hAnsi="Arial"/>
      <w:sz w:val="20"/>
      <w:szCs w:val="24"/>
      <w:lang w:val="en-US" w:eastAsia="en-US"/>
    </w:rPr>
  </w:style>
  <w:style w:type="paragraph" w:styleId="BodyTextFirstIndent">
    <w:name w:val="Body Text First Indent"/>
    <w:basedOn w:val="BodyText"/>
    <w:link w:val="BodyTextFirstIndentChar"/>
    <w:uiPriority w:val="99"/>
    <w:semiHidden/>
    <w:locked/>
    <w:pPr>
      <w:spacing w:after="120" w:line="240" w:lineRule="auto"/>
      <w:ind w:firstLine="210"/>
    </w:pPr>
    <w:rPr>
      <w:rFonts w:ascii="Arial" w:eastAsia="Times New Roman" w:hAnsi="Arial"/>
      <w:szCs w:val="24"/>
      <w:lang w:val="en-US"/>
    </w:rPr>
  </w:style>
  <w:style w:type="character" w:customStyle="1" w:styleId="BodyTextFirstIndentChar">
    <w:name w:val="Body Text First Indent Char"/>
    <w:link w:val="BodyTextFirstIndent"/>
    <w:uiPriority w:val="99"/>
    <w:semiHidden/>
    <w:rPr>
      <w:rFonts w:ascii="Arial" w:eastAsia="Times New Roman" w:hAnsi="Arial" w:cs="Times New Roman"/>
      <w:sz w:val="20"/>
      <w:szCs w:val="24"/>
      <w:lang w:val="en-US" w:eastAsia="en-US"/>
    </w:rPr>
  </w:style>
  <w:style w:type="paragraph" w:styleId="BodyTextIndent">
    <w:name w:val="Body Text Indent"/>
    <w:basedOn w:val="Normal"/>
    <w:link w:val="BodyTextIndentChar"/>
    <w:locked/>
    <w:pPr>
      <w:spacing w:before="60" w:after="120" w:line="240" w:lineRule="auto"/>
      <w:ind w:left="360"/>
      <w:jc w:val="both"/>
    </w:pPr>
    <w:rPr>
      <w:rFonts w:ascii="Arial" w:eastAsia="Times New Roman" w:hAnsi="Arial"/>
      <w:szCs w:val="24"/>
      <w:lang w:val="en-US"/>
    </w:rPr>
  </w:style>
  <w:style w:type="character" w:customStyle="1" w:styleId="BodyTextIndentChar">
    <w:name w:val="Body Text Indent Char"/>
    <w:link w:val="BodyTextIndent"/>
    <w:rPr>
      <w:rFonts w:ascii="Arial" w:eastAsia="Times New Roman" w:hAnsi="Arial"/>
      <w:sz w:val="20"/>
      <w:szCs w:val="24"/>
      <w:lang w:val="en-US" w:eastAsia="en-US"/>
    </w:rPr>
  </w:style>
  <w:style w:type="paragraph" w:styleId="BodyTextFirstIndent2">
    <w:name w:val="Body Text First Indent 2"/>
    <w:basedOn w:val="BodyTextIndent"/>
    <w:link w:val="BodyTextFirstIndent2Char"/>
    <w:uiPriority w:val="99"/>
    <w:semiHidden/>
    <w:locked/>
    <w:pPr>
      <w:ind w:firstLine="210"/>
    </w:pPr>
  </w:style>
  <w:style w:type="character" w:customStyle="1" w:styleId="BodyTextFirstIndent2Char">
    <w:name w:val="Body Text First Indent 2 Char"/>
    <w:link w:val="BodyTextFirstIndent2"/>
    <w:uiPriority w:val="99"/>
    <w:semiHidden/>
    <w:rPr>
      <w:rFonts w:ascii="Arial" w:eastAsia="Times New Roman" w:hAnsi="Arial"/>
      <w:sz w:val="20"/>
      <w:szCs w:val="24"/>
      <w:lang w:val="en-US" w:eastAsia="en-US"/>
    </w:rPr>
  </w:style>
  <w:style w:type="paragraph" w:styleId="BodyTextIndent2">
    <w:name w:val="Body Text Indent 2"/>
    <w:basedOn w:val="Normal"/>
    <w:link w:val="BodyTextIndent2Char"/>
    <w:locked/>
    <w:pPr>
      <w:spacing w:before="60" w:after="120" w:line="480" w:lineRule="auto"/>
      <w:ind w:left="360"/>
      <w:jc w:val="both"/>
    </w:pPr>
    <w:rPr>
      <w:rFonts w:ascii="Arial" w:eastAsia="Times New Roman" w:hAnsi="Arial"/>
      <w:szCs w:val="24"/>
      <w:lang w:val="en-US"/>
    </w:rPr>
  </w:style>
  <w:style w:type="character" w:customStyle="1" w:styleId="BodyTextIndent2Char">
    <w:name w:val="Body Text Indent 2 Char"/>
    <w:link w:val="BodyTextIndent2"/>
    <w:uiPriority w:val="99"/>
    <w:semiHidden/>
    <w:rPr>
      <w:rFonts w:ascii="Arial" w:eastAsia="Times New Roman" w:hAnsi="Arial"/>
      <w:sz w:val="20"/>
      <w:szCs w:val="24"/>
      <w:lang w:val="en-US" w:eastAsia="en-US"/>
    </w:rPr>
  </w:style>
  <w:style w:type="paragraph" w:styleId="BodyTextIndent3">
    <w:name w:val="Body Text Indent 3"/>
    <w:basedOn w:val="Normal"/>
    <w:link w:val="BodyTextIndent3Char"/>
    <w:uiPriority w:val="99"/>
    <w:semiHidden/>
    <w:locked/>
    <w:pPr>
      <w:spacing w:before="60" w:after="120" w:line="240" w:lineRule="auto"/>
      <w:ind w:left="360"/>
      <w:jc w:val="both"/>
    </w:pPr>
    <w:rPr>
      <w:rFonts w:ascii="Arial" w:eastAsia="Times New Roman" w:hAnsi="Arial"/>
      <w:sz w:val="16"/>
      <w:szCs w:val="16"/>
      <w:lang w:val="en-US"/>
    </w:rPr>
  </w:style>
  <w:style w:type="character" w:customStyle="1" w:styleId="BodyTextIndent3Char">
    <w:name w:val="Body Text Indent 3 Char"/>
    <w:link w:val="BodyTextIndent3"/>
    <w:uiPriority w:val="99"/>
    <w:semiHidden/>
    <w:rPr>
      <w:rFonts w:ascii="Arial" w:eastAsia="Times New Roman" w:hAnsi="Arial"/>
      <w:sz w:val="16"/>
      <w:szCs w:val="16"/>
      <w:lang w:val="en-US" w:eastAsia="en-US"/>
    </w:rPr>
  </w:style>
  <w:style w:type="paragraph" w:styleId="Closing">
    <w:name w:val="Closing"/>
    <w:aliases w:val="Closing title"/>
    <w:basedOn w:val="Normal"/>
    <w:link w:val="ClosingChar"/>
    <w:uiPriority w:val="99"/>
    <w:locked/>
    <w:pPr>
      <w:spacing w:before="60" w:after="60" w:line="240" w:lineRule="auto"/>
      <w:ind w:left="4320"/>
      <w:jc w:val="both"/>
    </w:pPr>
    <w:rPr>
      <w:rFonts w:ascii="Arial" w:eastAsia="Times New Roman" w:hAnsi="Arial"/>
      <w:szCs w:val="24"/>
      <w:lang w:val="en-US"/>
    </w:rPr>
  </w:style>
  <w:style w:type="character" w:customStyle="1" w:styleId="ClosingChar">
    <w:name w:val="Closing Char"/>
    <w:aliases w:val="Closing title Char"/>
    <w:link w:val="Closing"/>
    <w:uiPriority w:val="99"/>
    <w:rPr>
      <w:rFonts w:ascii="Arial" w:eastAsia="Times New Roman" w:hAnsi="Arial"/>
      <w:sz w:val="20"/>
      <w:szCs w:val="24"/>
      <w:lang w:val="en-US" w:eastAsia="en-US"/>
    </w:rPr>
  </w:style>
  <w:style w:type="paragraph" w:styleId="Date">
    <w:name w:val="Date"/>
    <w:basedOn w:val="Normal"/>
    <w:next w:val="Normal"/>
    <w:link w:val="DateChar"/>
    <w:uiPriority w:val="99"/>
    <w:semiHidden/>
    <w:locked/>
    <w:pPr>
      <w:spacing w:before="60" w:after="60" w:line="240" w:lineRule="auto"/>
      <w:jc w:val="both"/>
    </w:pPr>
    <w:rPr>
      <w:rFonts w:ascii="Arial" w:eastAsia="Times New Roman" w:hAnsi="Arial"/>
      <w:szCs w:val="24"/>
      <w:lang w:val="en-US"/>
    </w:rPr>
  </w:style>
  <w:style w:type="character" w:customStyle="1" w:styleId="DateChar">
    <w:name w:val="Date Char"/>
    <w:link w:val="Date"/>
    <w:uiPriority w:val="99"/>
    <w:semiHidden/>
    <w:rPr>
      <w:rFonts w:ascii="Arial" w:eastAsia="Times New Roman" w:hAnsi="Arial"/>
      <w:sz w:val="20"/>
      <w:szCs w:val="24"/>
      <w:lang w:val="en-US" w:eastAsia="en-US"/>
    </w:rPr>
  </w:style>
  <w:style w:type="paragraph" w:styleId="E-mailSignature">
    <w:name w:val="E-mail Signature"/>
    <w:basedOn w:val="Normal"/>
    <w:link w:val="E-mailSignatureChar"/>
    <w:uiPriority w:val="99"/>
    <w:semiHidden/>
    <w:locked/>
    <w:pPr>
      <w:spacing w:before="60" w:after="60" w:line="240" w:lineRule="auto"/>
      <w:jc w:val="both"/>
    </w:pPr>
    <w:rPr>
      <w:rFonts w:ascii="Arial" w:eastAsia="Times New Roman" w:hAnsi="Arial"/>
      <w:szCs w:val="24"/>
      <w:lang w:val="en-US"/>
    </w:rPr>
  </w:style>
  <w:style w:type="character" w:customStyle="1" w:styleId="E-mailSignatureChar">
    <w:name w:val="E-mail Signature Char"/>
    <w:link w:val="E-mailSignature"/>
    <w:uiPriority w:val="99"/>
    <w:semiHidden/>
    <w:rPr>
      <w:rFonts w:ascii="Arial" w:eastAsia="Times New Roman" w:hAnsi="Arial"/>
      <w:sz w:val="20"/>
      <w:szCs w:val="24"/>
      <w:lang w:val="en-US" w:eastAsia="en-US"/>
    </w:rPr>
  </w:style>
  <w:style w:type="paragraph" w:styleId="EnvelopeAddress">
    <w:name w:val="envelope address"/>
    <w:basedOn w:val="Normal"/>
    <w:semiHidden/>
    <w:locked/>
    <w:pPr>
      <w:framePr w:w="7920" w:h="1980" w:hRule="exact" w:hSpace="180" w:wrap="auto" w:hAnchor="page" w:xAlign="center" w:yAlign="bottom"/>
      <w:spacing w:before="60" w:after="60" w:line="240" w:lineRule="auto"/>
      <w:ind w:left="2880"/>
      <w:jc w:val="both"/>
    </w:pPr>
    <w:rPr>
      <w:rFonts w:ascii="Arial" w:eastAsia="Times New Roman" w:hAnsi="Arial" w:cs="Arial"/>
      <w:sz w:val="24"/>
      <w:szCs w:val="24"/>
      <w:lang w:val="en-US"/>
    </w:rPr>
  </w:style>
  <w:style w:type="character" w:styleId="FollowedHyperlink">
    <w:name w:val="FollowedHyperlink"/>
    <w:uiPriority w:val="99"/>
    <w:locked/>
    <w:rPr>
      <w:rFonts w:cs="Times New Roman"/>
      <w:color w:val="606420"/>
      <w:u w:val="single"/>
    </w:rPr>
  </w:style>
  <w:style w:type="character" w:styleId="HTMLAcronym">
    <w:name w:val="HTML Acronym"/>
    <w:semiHidden/>
    <w:locked/>
    <w:rPr>
      <w:rFonts w:cs="Times New Roman"/>
    </w:rPr>
  </w:style>
  <w:style w:type="paragraph" w:styleId="HTMLAddress">
    <w:name w:val="HTML Address"/>
    <w:basedOn w:val="Normal"/>
    <w:link w:val="HTMLAddressChar"/>
    <w:uiPriority w:val="99"/>
    <w:semiHidden/>
    <w:locked/>
    <w:pPr>
      <w:spacing w:before="60" w:after="60" w:line="240" w:lineRule="auto"/>
      <w:jc w:val="both"/>
    </w:pPr>
    <w:rPr>
      <w:rFonts w:ascii="Arial" w:eastAsia="Times New Roman" w:hAnsi="Arial"/>
      <w:i/>
      <w:iCs/>
      <w:szCs w:val="24"/>
      <w:lang w:val="en-US"/>
    </w:rPr>
  </w:style>
  <w:style w:type="character" w:customStyle="1" w:styleId="HTMLAddressChar">
    <w:name w:val="HTML Address Char"/>
    <w:link w:val="HTMLAddress"/>
    <w:uiPriority w:val="99"/>
    <w:semiHidden/>
    <w:rPr>
      <w:rFonts w:ascii="Arial" w:eastAsia="Times New Roman" w:hAnsi="Arial"/>
      <w:i/>
      <w:iCs/>
      <w:sz w:val="20"/>
      <w:szCs w:val="24"/>
      <w:lang w:val="en-US" w:eastAsia="en-US"/>
    </w:rPr>
  </w:style>
  <w:style w:type="character" w:styleId="HTMLCite">
    <w:name w:val="HTML Cite"/>
    <w:semiHidden/>
    <w:locked/>
    <w:rPr>
      <w:rFonts w:cs="Times New Roman"/>
      <w:i/>
      <w:iCs/>
    </w:rPr>
  </w:style>
  <w:style w:type="character" w:styleId="HTMLCode">
    <w:name w:val="HTML Code"/>
    <w:semiHidden/>
    <w:locked/>
    <w:rPr>
      <w:rFonts w:ascii="Courier New" w:hAnsi="Courier New" w:cs="Courier New"/>
      <w:sz w:val="20"/>
      <w:szCs w:val="20"/>
    </w:rPr>
  </w:style>
  <w:style w:type="character" w:styleId="HTMLDefinition">
    <w:name w:val="HTML Definition"/>
    <w:semiHidden/>
    <w:locked/>
    <w:rPr>
      <w:rFonts w:cs="Times New Roman"/>
      <w:i/>
      <w:iCs/>
    </w:rPr>
  </w:style>
  <w:style w:type="character" w:styleId="HTMLKeyboard">
    <w:name w:val="HTML Keyboard"/>
    <w:semiHidden/>
    <w:locked/>
    <w:rPr>
      <w:rFonts w:ascii="Courier New" w:hAnsi="Courier New" w:cs="Courier New"/>
      <w:sz w:val="20"/>
      <w:szCs w:val="20"/>
    </w:rPr>
  </w:style>
  <w:style w:type="paragraph" w:styleId="HTMLPreformatted">
    <w:name w:val="HTML Preformatted"/>
    <w:basedOn w:val="Normal"/>
    <w:link w:val="HTMLPreformattedChar"/>
    <w:uiPriority w:val="99"/>
    <w:semiHidden/>
    <w:locked/>
    <w:pPr>
      <w:spacing w:before="60" w:after="60" w:line="240" w:lineRule="auto"/>
      <w:jc w:val="both"/>
    </w:pPr>
    <w:rPr>
      <w:rFonts w:ascii="Courier New" w:eastAsia="Times New Roman" w:hAnsi="Courier New"/>
      <w:lang w:val="en-US"/>
    </w:rPr>
  </w:style>
  <w:style w:type="character" w:customStyle="1" w:styleId="HTMLPreformattedChar">
    <w:name w:val="HTML Preformatted Char"/>
    <w:link w:val="HTMLPreformatted"/>
    <w:uiPriority w:val="99"/>
    <w:semiHidden/>
    <w:rPr>
      <w:rFonts w:ascii="Courier New" w:eastAsia="Times New Roman" w:hAnsi="Courier New" w:cs="Courier New"/>
      <w:sz w:val="20"/>
      <w:szCs w:val="20"/>
      <w:lang w:val="en-US" w:eastAsia="en-US"/>
    </w:rPr>
  </w:style>
  <w:style w:type="character" w:styleId="HTMLSample">
    <w:name w:val="HTML Sample"/>
    <w:semiHidden/>
    <w:locked/>
    <w:rPr>
      <w:rFonts w:ascii="Courier New" w:hAnsi="Courier New" w:cs="Courier New"/>
    </w:rPr>
  </w:style>
  <w:style w:type="character" w:styleId="HTMLTypewriter">
    <w:name w:val="HTML Typewriter"/>
    <w:semiHidden/>
    <w:locked/>
    <w:rPr>
      <w:rFonts w:ascii="Courier New" w:hAnsi="Courier New" w:cs="Courier New"/>
      <w:sz w:val="20"/>
      <w:szCs w:val="20"/>
    </w:rPr>
  </w:style>
  <w:style w:type="character" w:styleId="HTMLVariable">
    <w:name w:val="HTML Variable"/>
    <w:semiHidden/>
    <w:locked/>
    <w:rPr>
      <w:rFonts w:cs="Times New Roman"/>
      <w:i/>
      <w:iCs/>
    </w:rPr>
  </w:style>
  <w:style w:type="character" w:styleId="LineNumber">
    <w:name w:val="line number"/>
    <w:semiHidden/>
    <w:locked/>
    <w:rPr>
      <w:rFonts w:cs="Times New Roman"/>
    </w:rPr>
  </w:style>
  <w:style w:type="paragraph" w:styleId="MessageHeader">
    <w:name w:val="Message Header"/>
    <w:basedOn w:val="Normal"/>
    <w:link w:val="MessageHeaderChar"/>
    <w:uiPriority w:val="99"/>
    <w:semiHidden/>
    <w:locked/>
    <w:pPr>
      <w:pBdr>
        <w:top w:val="single" w:sz="6" w:space="1" w:color="auto"/>
        <w:left w:val="single" w:sz="6" w:space="1" w:color="auto"/>
        <w:bottom w:val="single" w:sz="6" w:space="1" w:color="auto"/>
        <w:right w:val="single" w:sz="6" w:space="1" w:color="auto"/>
      </w:pBdr>
      <w:shd w:val="pct20" w:color="auto" w:fill="auto"/>
      <w:spacing w:before="60" w:after="60" w:line="240" w:lineRule="auto"/>
      <w:ind w:left="1080" w:hanging="1080"/>
      <w:jc w:val="both"/>
    </w:pPr>
    <w:rPr>
      <w:rFonts w:ascii="Arial" w:eastAsia="Times New Roman" w:hAnsi="Arial"/>
      <w:sz w:val="24"/>
      <w:szCs w:val="24"/>
      <w:lang w:val="en-US"/>
    </w:rPr>
  </w:style>
  <w:style w:type="character" w:customStyle="1" w:styleId="MessageHeaderChar">
    <w:name w:val="Message Header Char"/>
    <w:link w:val="MessageHeader"/>
    <w:uiPriority w:val="99"/>
    <w:semiHidden/>
    <w:rPr>
      <w:rFonts w:ascii="Arial" w:eastAsia="Times New Roman" w:hAnsi="Arial" w:cs="Arial"/>
      <w:sz w:val="24"/>
      <w:szCs w:val="24"/>
      <w:shd w:val="pct20" w:color="auto" w:fill="auto"/>
      <w:lang w:val="en-US" w:eastAsia="en-US"/>
    </w:rPr>
  </w:style>
  <w:style w:type="paragraph" w:styleId="NormalIndent">
    <w:name w:val="Normal Indent"/>
    <w:basedOn w:val="Normal"/>
    <w:locked/>
    <w:pPr>
      <w:spacing w:before="60" w:after="60" w:line="240" w:lineRule="auto"/>
      <w:ind w:left="720"/>
      <w:jc w:val="both"/>
    </w:pPr>
    <w:rPr>
      <w:rFonts w:ascii="Arial" w:eastAsia="Times New Roman" w:hAnsi="Arial"/>
      <w:szCs w:val="24"/>
      <w:lang w:val="en-US"/>
    </w:rPr>
  </w:style>
  <w:style w:type="paragraph" w:styleId="NoteHeading">
    <w:name w:val="Note Heading"/>
    <w:basedOn w:val="Normal"/>
    <w:next w:val="Normal"/>
    <w:link w:val="NoteHeadingChar"/>
    <w:uiPriority w:val="99"/>
    <w:semiHidden/>
    <w:locked/>
    <w:pPr>
      <w:spacing w:before="60" w:after="60" w:line="240" w:lineRule="auto"/>
      <w:jc w:val="both"/>
    </w:pPr>
    <w:rPr>
      <w:rFonts w:ascii="Arial" w:eastAsia="Times New Roman" w:hAnsi="Arial"/>
      <w:szCs w:val="24"/>
      <w:lang w:val="en-US"/>
    </w:rPr>
  </w:style>
  <w:style w:type="character" w:customStyle="1" w:styleId="NoteHeadingChar">
    <w:name w:val="Note Heading Char"/>
    <w:link w:val="NoteHeading"/>
    <w:uiPriority w:val="99"/>
    <w:semiHidden/>
    <w:rPr>
      <w:rFonts w:ascii="Arial" w:eastAsia="Times New Roman" w:hAnsi="Arial"/>
      <w:sz w:val="20"/>
      <w:szCs w:val="24"/>
      <w:lang w:val="en-US" w:eastAsia="en-US"/>
    </w:rPr>
  </w:style>
  <w:style w:type="paragraph" w:styleId="Salutation">
    <w:name w:val="Salutation"/>
    <w:basedOn w:val="Normal"/>
    <w:next w:val="Normal"/>
    <w:link w:val="SalutationChar"/>
    <w:uiPriority w:val="99"/>
    <w:semiHidden/>
    <w:locked/>
    <w:pPr>
      <w:spacing w:before="60" w:after="60" w:line="240" w:lineRule="auto"/>
      <w:jc w:val="both"/>
    </w:pPr>
    <w:rPr>
      <w:rFonts w:ascii="Arial" w:eastAsia="Times New Roman" w:hAnsi="Arial"/>
      <w:szCs w:val="24"/>
      <w:lang w:val="en-US"/>
    </w:rPr>
  </w:style>
  <w:style w:type="character" w:customStyle="1" w:styleId="SalutationChar">
    <w:name w:val="Salutation Char"/>
    <w:link w:val="Salutation"/>
    <w:uiPriority w:val="99"/>
    <w:semiHidden/>
    <w:rPr>
      <w:rFonts w:ascii="Arial" w:eastAsia="Times New Roman" w:hAnsi="Arial"/>
      <w:sz w:val="20"/>
      <w:szCs w:val="24"/>
      <w:lang w:val="en-US" w:eastAsia="en-US"/>
    </w:rPr>
  </w:style>
  <w:style w:type="paragraph" w:styleId="Signature">
    <w:name w:val="Signature"/>
    <w:basedOn w:val="Normal"/>
    <w:link w:val="SignatureChar"/>
    <w:uiPriority w:val="99"/>
    <w:semiHidden/>
    <w:locked/>
    <w:pPr>
      <w:spacing w:before="60" w:after="60" w:line="240" w:lineRule="auto"/>
      <w:ind w:left="4320"/>
      <w:jc w:val="both"/>
    </w:pPr>
    <w:rPr>
      <w:rFonts w:ascii="Arial" w:eastAsia="Times New Roman" w:hAnsi="Arial"/>
      <w:szCs w:val="24"/>
      <w:lang w:val="en-US"/>
    </w:rPr>
  </w:style>
  <w:style w:type="character" w:customStyle="1" w:styleId="SignatureChar">
    <w:name w:val="Signature Char"/>
    <w:link w:val="Signature"/>
    <w:uiPriority w:val="99"/>
    <w:semiHidden/>
    <w:rPr>
      <w:rFonts w:ascii="Arial" w:eastAsia="Times New Roman" w:hAnsi="Arial"/>
      <w:sz w:val="20"/>
      <w:szCs w:val="24"/>
      <w:lang w:val="en-US" w:eastAsia="en-US"/>
    </w:rPr>
  </w:style>
  <w:style w:type="table" w:styleId="Table3Deffects1">
    <w:name w:val="Table 3D effects 1"/>
    <w:basedOn w:val="TableNormal"/>
    <w:semiHidden/>
    <w:locked/>
    <w:pPr>
      <w:spacing w:line="240" w:lineRule="exact"/>
    </w:pPr>
    <w:rPr>
      <w:rFonts w:ascii="Times New Roman" w:eastAsia="Times New Roman" w:hAnsi="Times New Roman"/>
      <w:lang w:eastAsia="zh-C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pPr>
      <w:spacing w:line="240" w:lineRule="exact"/>
    </w:pPr>
    <w:rPr>
      <w:rFonts w:ascii="Times New Roman" w:eastAsia="Times New Roman" w:hAnsi="Times New Roman"/>
      <w:lang w:eastAsia="zh-C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semiHidden/>
    <w:locked/>
    <w:pPr>
      <w:spacing w:line="240" w:lineRule="exact"/>
    </w:pPr>
    <w:rPr>
      <w:rFonts w:ascii="Times New Roman" w:eastAsia="Times New Roman" w:hAnsi="Times New Roman"/>
      <w:lang w:eastAsia="zh-C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semiHidden/>
    <w:locked/>
    <w:pPr>
      <w:spacing w:line="240" w:lineRule="exact"/>
    </w:pPr>
    <w:rPr>
      <w:rFonts w:ascii="Times New Roman" w:eastAsia="Times New Roman" w:hAnsi="Times New Roman"/>
      <w:lang w:eastAsia="zh-C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semiHidden/>
    <w:locked/>
    <w:pPr>
      <w:spacing w:line="240" w:lineRule="exact"/>
    </w:pPr>
    <w:rPr>
      <w:rFonts w:ascii="Times New Roman" w:eastAsia="Times New Roman" w:hAnsi="Times New Roman"/>
      <w:lang w:eastAsia="zh-C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semiHidden/>
    <w:locked/>
    <w:pPr>
      <w:spacing w:line="240" w:lineRule="exact"/>
    </w:pPr>
    <w:rPr>
      <w:rFonts w:ascii="Times New Roman" w:eastAsia="Times New Roman" w:hAnsi="Times New Roman"/>
      <w:color w:val="000080"/>
      <w:lang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pPr>
      <w:spacing w:line="240" w:lineRule="exact"/>
    </w:pPr>
    <w:rPr>
      <w:rFonts w:ascii="Times New Roman" w:eastAsia="Times New Roman" w:hAnsi="Times New Roman"/>
      <w:lang w:eastAsia="zh-C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semiHidden/>
    <w:locked/>
    <w:pPr>
      <w:spacing w:line="240" w:lineRule="exact"/>
    </w:pPr>
    <w:rPr>
      <w:rFonts w:ascii="Times New Roman" w:eastAsia="Times New Roman" w:hAnsi="Times New Roman"/>
      <w:color w:val="FFFFFF"/>
      <w:lang w:eastAsia="zh-C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locked/>
    <w:pPr>
      <w:spacing w:line="240" w:lineRule="exact"/>
    </w:pPr>
    <w:rPr>
      <w:rFonts w:ascii="Times New Roman" w:eastAsia="Times New Roman" w:hAnsi="Times New Roman"/>
      <w:lang w:eastAsia="zh-C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pPr>
      <w:spacing w:line="240" w:lineRule="exact"/>
    </w:pPr>
    <w:rPr>
      <w:rFonts w:ascii="Times New Roman" w:eastAsia="Times New Roman" w:hAnsi="Times New Roman"/>
      <w:lang w:eastAsia="zh-C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pPr>
      <w:spacing w:line="240" w:lineRule="exact"/>
    </w:pPr>
    <w:rPr>
      <w:rFonts w:ascii="Times New Roman" w:eastAsia="Times New Roman" w:hAnsi="Times New Roman"/>
      <w:b/>
      <w:bCs/>
      <w:lang w:eastAsia="zh-CN"/>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semiHidden/>
    <w:locked/>
    <w:pPr>
      <w:spacing w:line="240" w:lineRule="exact"/>
    </w:pPr>
    <w:rPr>
      <w:rFonts w:ascii="Times New Roman" w:eastAsia="Times New Roman" w:hAnsi="Times New Roman"/>
      <w:b/>
      <w:bCs/>
      <w:lang w:eastAsia="zh-CN"/>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semiHidden/>
    <w:locked/>
    <w:pPr>
      <w:spacing w:line="240" w:lineRule="exact"/>
    </w:pPr>
    <w:rPr>
      <w:rFonts w:ascii="Times New Roman" w:eastAsia="Times New Roman" w:hAnsi="Times New Roman"/>
      <w:b/>
      <w:bCs/>
      <w:lang w:eastAsia="zh-CN"/>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semiHidden/>
    <w:locked/>
    <w:pPr>
      <w:spacing w:line="240" w:lineRule="exact"/>
    </w:pPr>
    <w:rPr>
      <w:rFonts w:ascii="Times New Roman" w:eastAsia="Times New Roman" w:hAnsi="Times New Roman"/>
      <w:lang w:eastAsia="zh-C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semiHidden/>
    <w:locked/>
    <w:pPr>
      <w:spacing w:line="240" w:lineRule="exact"/>
    </w:pPr>
    <w:rPr>
      <w:rFonts w:ascii="Times New Roman" w:eastAsia="Times New Roman" w:hAnsi="Times New Roman"/>
      <w:lang w:eastAsia="zh-C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semiHidden/>
    <w:locked/>
    <w:pPr>
      <w:spacing w:line="240" w:lineRule="exact"/>
    </w:pPr>
    <w:rPr>
      <w:rFonts w:ascii="Times New Roman" w:eastAsia="Times New Roman" w:hAnsi="Times New Roman"/>
      <w:lang w:eastAsia="zh-C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pPr>
      <w:spacing w:line="240" w:lineRule="exact"/>
    </w:pPr>
    <w:rPr>
      <w:rFonts w:ascii="Times New Roman" w:eastAsia="Times New Roman" w:hAnsi="Times New Roman"/>
      <w:lang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semiHidden/>
    <w:locked/>
    <w:pPr>
      <w:spacing w:line="240" w:lineRule="exact"/>
    </w:pPr>
    <w:rPr>
      <w:rFonts w:ascii="Times New Roman" w:eastAsia="Times New Roman" w:hAnsi="Times New Roman"/>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semiHidden/>
    <w:locked/>
    <w:pPr>
      <w:spacing w:line="240" w:lineRule="exact"/>
    </w:pPr>
    <w:rPr>
      <w:rFonts w:ascii="Times New Roman" w:eastAsia="Times New Roman" w:hAnsi="Times New Roman"/>
      <w:lang w:eastAsia="zh-C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semiHidden/>
    <w:locked/>
    <w:pPr>
      <w:spacing w:line="240" w:lineRule="exact"/>
    </w:pPr>
    <w:rPr>
      <w:rFonts w:ascii="Times New Roman" w:eastAsia="Times New Roman" w:hAnsi="Times New Roman"/>
      <w:lang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semiHidden/>
    <w:locked/>
    <w:pPr>
      <w:spacing w:line="240" w:lineRule="exact"/>
    </w:pPr>
    <w:rPr>
      <w:rFonts w:ascii="Times New Roman" w:eastAsia="Times New Roman" w:hAnsi="Times New Roman"/>
      <w:lang w:eastAsia="zh-C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semiHidden/>
    <w:locked/>
    <w:pPr>
      <w:spacing w:line="240" w:lineRule="exact"/>
    </w:pPr>
    <w:rPr>
      <w:rFonts w:ascii="Times New Roman" w:eastAsia="Times New Roman" w:hAnsi="Times New Roman"/>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semiHidden/>
    <w:locked/>
    <w:pPr>
      <w:spacing w:line="240" w:lineRule="exact"/>
    </w:pPr>
    <w:rPr>
      <w:rFonts w:ascii="Times New Roman" w:eastAsia="Times New Roman" w:hAnsi="Times New Roman"/>
      <w:lang w:eastAsia="zh-C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semiHidden/>
    <w:locked/>
    <w:pPr>
      <w:spacing w:line="240" w:lineRule="exact"/>
    </w:pPr>
    <w:rPr>
      <w:rFonts w:ascii="Times New Roman" w:eastAsia="Times New Roman" w:hAnsi="Times New Roman"/>
      <w:b/>
      <w:bCs/>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semiHidden/>
    <w:locked/>
    <w:pPr>
      <w:spacing w:line="240" w:lineRule="exact"/>
    </w:pPr>
    <w:rPr>
      <w:rFonts w:ascii="Times New Roman" w:eastAsia="Times New Roman" w:hAnsi="Times New Roman"/>
      <w:lang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semiHidden/>
    <w:locked/>
    <w:pPr>
      <w:spacing w:line="240" w:lineRule="exact"/>
    </w:pPr>
    <w:rPr>
      <w:rFonts w:ascii="Times New Roman" w:eastAsia="Times New Roman" w:hAnsi="Times New Roman"/>
      <w:lang w:eastAsia="zh-C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semiHidden/>
    <w:locked/>
    <w:pPr>
      <w:spacing w:line="240" w:lineRule="exact"/>
    </w:pPr>
    <w:rPr>
      <w:rFonts w:ascii="Times New Roman" w:eastAsia="Times New Roman" w:hAnsi="Times New Roman"/>
      <w:lang w:eastAsia="zh-C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semiHidden/>
    <w:locked/>
    <w:pPr>
      <w:spacing w:line="240" w:lineRule="exact"/>
    </w:pPr>
    <w:rPr>
      <w:rFonts w:ascii="Times New Roman" w:eastAsia="Times New Roman" w:hAnsi="Times New Roman"/>
      <w:lang w:eastAsia="zh-C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semiHidden/>
    <w:locked/>
    <w:pPr>
      <w:spacing w:line="240" w:lineRule="exact"/>
    </w:pPr>
    <w:rPr>
      <w:rFonts w:ascii="Times New Roman" w:eastAsia="Times New Roman" w:hAnsi="Times New Roman"/>
      <w:lang w:eastAsia="zh-C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pPr>
      <w:spacing w:line="240" w:lineRule="exact"/>
    </w:pPr>
    <w:rPr>
      <w:rFonts w:ascii="Times New Roman" w:eastAsia="Times New Roman" w:hAnsi="Times New Roman"/>
      <w:lang w:eastAsia="zh-C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semiHidden/>
    <w:locked/>
    <w:pPr>
      <w:spacing w:line="240" w:lineRule="exact"/>
    </w:pPr>
    <w:rPr>
      <w:rFonts w:ascii="Times New Roman" w:eastAsia="Times New Roman" w:hAnsi="Times New Roman"/>
      <w:lang w:eastAsia="zh-C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pPr>
      <w:spacing w:line="240" w:lineRule="exact"/>
    </w:pPr>
    <w:rPr>
      <w:rFonts w:ascii="Times New Roman" w:eastAsia="Times New Roman" w:hAnsi="Times New Roman"/>
      <w:lang w:eastAsia="zh-C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pPr>
      <w:spacing w:line="240" w:lineRule="exact"/>
    </w:pPr>
    <w:rPr>
      <w:rFonts w:ascii="Times New Roman" w:eastAsia="Times New Roman" w:hAnsi="Times New Roman"/>
      <w:lang w:eastAsia="zh-C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pPr>
      <w:spacing w:line="240" w:lineRule="exact"/>
    </w:pPr>
    <w:rPr>
      <w:rFonts w:ascii="Times New Roman" w:eastAsia="Times New Roman" w:hAnsi="Times New Roman"/>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pPr>
      <w:spacing w:line="240" w:lineRule="exact"/>
    </w:pPr>
    <w:rPr>
      <w:rFonts w:ascii="Times New Roman" w:eastAsia="Times New Roman" w:hAnsi="Times New Roman"/>
      <w:lang w:eastAsia="zh-C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pPr>
      <w:spacing w:line="240" w:lineRule="exact"/>
    </w:pPr>
    <w:rPr>
      <w:rFonts w:ascii="Times New Roman" w:eastAsia="Times New Roman" w:hAnsi="Times New Roman"/>
      <w:lang w:eastAsia="zh-C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pPr>
      <w:spacing w:line="240" w:lineRule="exact"/>
    </w:pPr>
    <w:rPr>
      <w:rFonts w:ascii="Times New Roman" w:eastAsia="Times New Roman" w:hAnsi="Times New Roman"/>
      <w:lang w:eastAsia="zh-C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pPr>
      <w:spacing w:line="240" w:lineRule="exact"/>
    </w:pPr>
    <w:rPr>
      <w:rFonts w:ascii="Times New Roman" w:eastAsia="Times New Roman" w:hAnsi="Times New Roman"/>
      <w:lang w:eastAsia="zh-C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semiHidden/>
    <w:locked/>
    <w:pPr>
      <w:spacing w:line="240" w:lineRule="exact"/>
    </w:pPr>
    <w:rPr>
      <w:rFonts w:ascii="Times New Roman" w:eastAsia="Times New Roman" w:hAnsi="Times New Roman"/>
      <w:lang w:eastAsia="zh-C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semiHidden/>
    <w:locked/>
    <w:pPr>
      <w:spacing w:line="240" w:lineRule="exact"/>
    </w:pPr>
    <w:rPr>
      <w:rFonts w:ascii="Times New Roman" w:eastAsia="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pPr>
      <w:spacing w:line="240" w:lineRule="exact"/>
    </w:pPr>
    <w:rPr>
      <w:rFonts w:ascii="Times New Roman" w:eastAsia="Times New Roman" w:hAnsi="Times New Roman"/>
      <w:lang w:eastAsia="zh-C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semiHidden/>
    <w:locked/>
    <w:pPr>
      <w:spacing w:line="240" w:lineRule="exact"/>
    </w:pPr>
    <w:rPr>
      <w:rFonts w:ascii="Times New Roman" w:eastAsia="Times New Roman" w:hAnsi="Times New Roman"/>
      <w:lang w:eastAsia="zh-C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semiHidden/>
    <w:locked/>
    <w:pPr>
      <w:spacing w:line="240" w:lineRule="exact"/>
    </w:pPr>
    <w:rPr>
      <w:rFonts w:ascii="Times New Roman" w:eastAsia="Times New Roman" w:hAnsi="Times New Roman"/>
      <w:lang w:eastAsia="zh-C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Tablebullet0">
    <w:name w:val="Table bullet"/>
    <w:pPr>
      <w:numPr>
        <w:numId w:val="11"/>
      </w:numPr>
      <w:tabs>
        <w:tab w:val="clear" w:pos="403"/>
        <w:tab w:val="num" w:pos="162"/>
      </w:tabs>
      <w:spacing w:before="80" w:after="80" w:line="210" w:lineRule="atLeast"/>
      <w:ind w:left="162" w:hanging="243"/>
    </w:pPr>
    <w:rPr>
      <w:rFonts w:ascii="Arial" w:eastAsia="Times New Roman" w:hAnsi="Arial"/>
      <w:color w:val="00457C"/>
      <w:sz w:val="18"/>
      <w:szCs w:val="22"/>
      <w:lang w:val="en-US" w:eastAsia="en-US"/>
    </w:rPr>
  </w:style>
  <w:style w:type="paragraph" w:customStyle="1" w:styleId="DescriptorII">
    <w:name w:val="Descriptor II"/>
    <w:basedOn w:val="Descriptor1"/>
    <w:rPr>
      <w:color w:val="00A5D9"/>
    </w:rPr>
  </w:style>
  <w:style w:type="numbering" w:styleId="111111">
    <w:name w:val="Outline List 2"/>
    <w:basedOn w:val="NoList"/>
    <w:semiHidden/>
    <w:unhideWhenUsed/>
    <w:locked/>
    <w:pPr>
      <w:numPr>
        <w:numId w:val="7"/>
      </w:numPr>
    </w:pPr>
  </w:style>
  <w:style w:type="numbering" w:styleId="1ai">
    <w:name w:val="Outline List 1"/>
    <w:basedOn w:val="NoList"/>
    <w:uiPriority w:val="99"/>
    <w:semiHidden/>
    <w:unhideWhenUsed/>
    <w:locked/>
    <w:pPr>
      <w:numPr>
        <w:numId w:val="8"/>
      </w:numPr>
    </w:pPr>
  </w:style>
  <w:style w:type="numbering" w:styleId="ArticleSection">
    <w:name w:val="Outline List 3"/>
    <w:basedOn w:val="NoList"/>
    <w:unhideWhenUsed/>
    <w:locked/>
    <w:pPr>
      <w:numPr>
        <w:numId w:val="9"/>
      </w:numPr>
    </w:pPr>
  </w:style>
  <w:style w:type="paragraph" w:customStyle="1" w:styleId="StyleText11pt2">
    <w:name w:val="Style Text + 11 pt2"/>
    <w:basedOn w:val="Normal"/>
    <w:link w:val="StyleText11pt2Char"/>
    <w:pPr>
      <w:widowControl w:val="0"/>
      <w:tabs>
        <w:tab w:val="left" w:pos="1440"/>
        <w:tab w:val="left" w:pos="2304"/>
      </w:tabs>
      <w:spacing w:before="120" w:after="120" w:line="240" w:lineRule="auto"/>
      <w:jc w:val="both"/>
    </w:pPr>
    <w:rPr>
      <w:rFonts w:ascii="Times New Roman" w:eastAsia="Times New Roman" w:hAnsi="Times New Roman"/>
      <w:kern w:val="28"/>
    </w:rPr>
  </w:style>
  <w:style w:type="character" w:customStyle="1" w:styleId="StyleText11pt2Char">
    <w:name w:val="Style Text + 11 pt2 Char"/>
    <w:link w:val="StyleText11pt2"/>
    <w:rPr>
      <w:rFonts w:ascii="Times New Roman" w:eastAsia="Times New Roman" w:hAnsi="Times New Roman"/>
      <w:kern w:val="28"/>
      <w:szCs w:val="20"/>
      <w:lang w:val="en-GB" w:eastAsia="en-US"/>
    </w:rPr>
  </w:style>
  <w:style w:type="paragraph" w:customStyle="1" w:styleId="Default">
    <w:name w:val="Default"/>
    <w:pPr>
      <w:autoSpaceDE w:val="0"/>
      <w:autoSpaceDN w:val="0"/>
      <w:adjustRightInd w:val="0"/>
    </w:pPr>
    <w:rPr>
      <w:rFonts w:ascii="Times New Roman" w:eastAsia="SimSun" w:hAnsi="Times New Roman"/>
      <w:color w:val="000000"/>
      <w:sz w:val="24"/>
      <w:szCs w:val="24"/>
      <w:lang w:val="en-US" w:eastAsia="zh-CN"/>
    </w:rPr>
  </w:style>
  <w:style w:type="table" w:customStyle="1" w:styleId="LightList1">
    <w:name w:val="Light List1"/>
    <w:basedOn w:val="TableNormal"/>
    <w:uiPriority w:val="61"/>
    <w:rPr>
      <w:rFonts w:ascii="Times New Roman" w:eastAsia="Times New Roman" w:hAnsi="Times New Roman"/>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5">
    <w:name w:val="Light List Accent 5"/>
    <w:basedOn w:val="TableNormal"/>
    <w:uiPriority w:val="61"/>
    <w:rPr>
      <w:rFonts w:ascii="Times New Roman" w:eastAsia="Times New Roman" w:hAnsi="Times New Roman"/>
      <w:lang w:eastAsia="zh-CN"/>
    </w:rPr>
    <w:tblPr>
      <w:tblStyleRowBandSize w:val="1"/>
      <w:tblStyleColBandSize w:val="1"/>
      <w:tblBorders>
        <w:top w:val="single" w:sz="8" w:space="0" w:color="EFC594"/>
        <w:left w:val="single" w:sz="8" w:space="0" w:color="EFC594"/>
        <w:bottom w:val="single" w:sz="8" w:space="0" w:color="EFC594"/>
        <w:right w:val="single" w:sz="8" w:space="0" w:color="EFC594"/>
      </w:tblBorders>
    </w:tblPr>
    <w:tblStylePr w:type="firstRow">
      <w:pPr>
        <w:spacing w:before="0" w:after="0" w:line="240" w:lineRule="auto"/>
      </w:pPr>
      <w:rPr>
        <w:b/>
        <w:bCs/>
        <w:color w:val="FFFFFF"/>
      </w:rPr>
      <w:tblPr/>
      <w:tcPr>
        <w:shd w:val="clear" w:color="auto" w:fill="EFC594"/>
      </w:tcPr>
    </w:tblStylePr>
    <w:tblStylePr w:type="lastRow">
      <w:pPr>
        <w:spacing w:before="0" w:after="0" w:line="240" w:lineRule="auto"/>
      </w:pPr>
      <w:rPr>
        <w:b/>
        <w:bCs/>
      </w:rPr>
      <w:tblPr/>
      <w:tcPr>
        <w:tcBorders>
          <w:top w:val="double" w:sz="6" w:space="0" w:color="EFC594"/>
          <w:left w:val="single" w:sz="8" w:space="0" w:color="EFC594"/>
          <w:bottom w:val="single" w:sz="8" w:space="0" w:color="EFC594"/>
          <w:right w:val="single" w:sz="8" w:space="0" w:color="EFC594"/>
        </w:tcBorders>
      </w:tcPr>
    </w:tblStylePr>
    <w:tblStylePr w:type="firstCol">
      <w:rPr>
        <w:b/>
        <w:bCs/>
      </w:rPr>
    </w:tblStylePr>
    <w:tblStylePr w:type="lastCol">
      <w:rPr>
        <w:b/>
        <w:bCs/>
      </w:rPr>
    </w:tblStylePr>
    <w:tblStylePr w:type="band1Vert">
      <w:tblPr/>
      <w:tcPr>
        <w:tcBorders>
          <w:top w:val="single" w:sz="8" w:space="0" w:color="EFC594"/>
          <w:left w:val="single" w:sz="8" w:space="0" w:color="EFC594"/>
          <w:bottom w:val="single" w:sz="8" w:space="0" w:color="EFC594"/>
          <w:right w:val="single" w:sz="8" w:space="0" w:color="EFC594"/>
        </w:tcBorders>
      </w:tcPr>
    </w:tblStylePr>
    <w:tblStylePr w:type="band1Horz">
      <w:tblPr/>
      <w:tcPr>
        <w:tcBorders>
          <w:top w:val="single" w:sz="8" w:space="0" w:color="EFC594"/>
          <w:left w:val="single" w:sz="8" w:space="0" w:color="EFC594"/>
          <w:bottom w:val="single" w:sz="8" w:space="0" w:color="EFC594"/>
          <w:right w:val="single" w:sz="8" w:space="0" w:color="EFC594"/>
        </w:tcBorders>
      </w:tcPr>
    </w:tblStylePr>
  </w:style>
  <w:style w:type="paragraph" w:styleId="DocumentMap">
    <w:name w:val="Document Map"/>
    <w:basedOn w:val="Normal"/>
    <w:link w:val="DocumentMapChar"/>
    <w:unhideWhenUsed/>
    <w:locked/>
    <w:pPr>
      <w:spacing w:after="0" w:line="240" w:lineRule="auto"/>
      <w:jc w:val="both"/>
    </w:pPr>
    <w:rPr>
      <w:rFonts w:ascii="Tahoma" w:eastAsia="Times New Roman" w:hAnsi="Tahoma"/>
      <w:sz w:val="16"/>
      <w:szCs w:val="16"/>
      <w:lang w:val="en-US"/>
    </w:rPr>
  </w:style>
  <w:style w:type="character" w:customStyle="1" w:styleId="DocumentMapChar">
    <w:name w:val="Document Map Char"/>
    <w:link w:val="DocumentMap"/>
    <w:rPr>
      <w:rFonts w:ascii="Tahoma" w:eastAsia="Times New Roman" w:hAnsi="Tahoma" w:cs="Tahoma"/>
      <w:sz w:val="16"/>
      <w:szCs w:val="16"/>
      <w:lang w:val="en-US" w:eastAsia="en-US"/>
    </w:rPr>
  </w:style>
  <w:style w:type="paragraph" w:styleId="IntenseQuote">
    <w:name w:val="Intense Quote"/>
    <w:basedOn w:val="Normal"/>
    <w:next w:val="Normal"/>
    <w:link w:val="IntenseQuoteChar"/>
    <w:uiPriority w:val="30"/>
    <w:qFormat/>
    <w:pPr>
      <w:pBdr>
        <w:bottom w:val="single" w:sz="4" w:space="4" w:color="F8981D"/>
      </w:pBdr>
      <w:spacing w:before="200" w:after="280"/>
      <w:ind w:left="936" w:right="936"/>
    </w:pPr>
    <w:rPr>
      <w:b/>
      <w:bCs/>
      <w:i/>
      <w:iCs/>
      <w:color w:val="9B5213"/>
    </w:rPr>
  </w:style>
  <w:style w:type="character" w:customStyle="1" w:styleId="IntenseQuoteChar">
    <w:name w:val="Intense Quote Char"/>
    <w:link w:val="IntenseQuote"/>
    <w:uiPriority w:val="30"/>
    <w:rPr>
      <w:b/>
      <w:bCs/>
      <w:i/>
      <w:iCs/>
      <w:color w:val="9B5213"/>
      <w:lang w:val="en-GB" w:eastAsia="en-US"/>
    </w:rPr>
  </w:style>
  <w:style w:type="paragraph" w:customStyle="1" w:styleId="StyleJustified">
    <w:name w:val="Style Justified"/>
    <w:basedOn w:val="Normal"/>
    <w:pPr>
      <w:spacing w:before="40" w:after="120" w:line="240" w:lineRule="auto"/>
      <w:jc w:val="both"/>
    </w:pPr>
    <w:rPr>
      <w:rFonts w:ascii="Arial" w:eastAsia="Times New Roman" w:hAnsi="Arial"/>
      <w:color w:val="00457C"/>
      <w:sz w:val="21"/>
    </w:rPr>
  </w:style>
  <w:style w:type="paragraph" w:customStyle="1" w:styleId="SectionTitleodd">
    <w:name w:val="Section Title odd"/>
    <w:basedOn w:val="CoverSubtitle"/>
    <w:pPr>
      <w:spacing w:after="120"/>
      <w:jc w:val="right"/>
    </w:pPr>
    <w:rPr>
      <w:rFonts w:cs="Times New Roman"/>
      <w:szCs w:val="20"/>
    </w:rPr>
  </w:style>
  <w:style w:type="paragraph" w:customStyle="1" w:styleId="reporttext">
    <w:name w:val="report text"/>
    <w:basedOn w:val="Normal"/>
    <w:link w:val="reporttextChar"/>
    <w:pPr>
      <w:spacing w:after="300" w:line="264" w:lineRule="auto"/>
      <w:jc w:val="both"/>
    </w:pPr>
    <w:rPr>
      <w:rFonts w:ascii="Arial" w:eastAsia="Batang" w:hAnsi="Arial"/>
      <w:lang w:val="en-US"/>
    </w:rPr>
  </w:style>
  <w:style w:type="character" w:customStyle="1" w:styleId="reporttextChar">
    <w:name w:val="report text Char"/>
    <w:link w:val="reporttext"/>
    <w:rPr>
      <w:rFonts w:ascii="Arial" w:eastAsia="Batang" w:hAnsi="Arial"/>
      <w:lang w:val="en-US" w:eastAsia="en-US"/>
    </w:rPr>
  </w:style>
  <w:style w:type="paragraph" w:customStyle="1" w:styleId="Bulletlist">
    <w:name w:val="Bullet list"/>
    <w:basedOn w:val="reporttext"/>
    <w:pPr>
      <w:numPr>
        <w:numId w:val="12"/>
      </w:numPr>
      <w:tabs>
        <w:tab w:val="clear" w:pos="600"/>
        <w:tab w:val="num" w:pos="720"/>
        <w:tab w:val="num" w:pos="1080"/>
      </w:tabs>
      <w:spacing w:after="0" w:line="240" w:lineRule="auto"/>
      <w:ind w:left="720"/>
    </w:pPr>
    <w:rPr>
      <w:rFonts w:ascii="Times New Roman" w:eastAsia="Times New Roman" w:hAnsi="Times New Roman" w:cs="Frutiger-Roman"/>
      <w:noProof/>
      <w:color w:val="000000"/>
      <w:sz w:val="22"/>
      <w:lang w:bidi="sa-IN"/>
    </w:rPr>
  </w:style>
  <w:style w:type="paragraph" w:customStyle="1" w:styleId="Text1">
    <w:name w:val="Text 1"/>
    <w:basedOn w:val="Normal"/>
    <w:link w:val="Text1Char"/>
    <w:pPr>
      <w:spacing w:before="120" w:after="120" w:line="240" w:lineRule="auto"/>
      <w:ind w:left="850"/>
      <w:jc w:val="both"/>
    </w:pPr>
    <w:rPr>
      <w:rFonts w:ascii="Times New Roman" w:eastAsia="Times New Roman" w:hAnsi="Times New Roman"/>
      <w:sz w:val="24"/>
      <w:szCs w:val="24"/>
      <w:lang w:eastAsia="en-GB"/>
    </w:rPr>
  </w:style>
  <w:style w:type="paragraph" w:customStyle="1" w:styleId="TableSBorder">
    <w:name w:val="Table S Border"/>
    <w:basedOn w:val="Normal"/>
    <w:pPr>
      <w:keepLines/>
      <w:pBdr>
        <w:bottom w:val="single" w:sz="4" w:space="4" w:color="auto"/>
      </w:pBdr>
      <w:tabs>
        <w:tab w:val="decimal" w:pos="720"/>
        <w:tab w:val="decimal" w:pos="1440"/>
        <w:tab w:val="decimal" w:pos="2304"/>
      </w:tabs>
      <w:spacing w:before="40" w:after="40" w:line="240" w:lineRule="auto"/>
    </w:pPr>
    <w:rPr>
      <w:rFonts w:ascii="Times New Roman" w:eastAsia="Times New Roman" w:hAnsi="Times New Roman"/>
      <w:kern w:val="28"/>
      <w:sz w:val="24"/>
    </w:rPr>
  </w:style>
  <w:style w:type="paragraph" w:customStyle="1" w:styleId="TableSDBorder">
    <w:name w:val="Table S/D Border"/>
    <w:basedOn w:val="Normal"/>
    <w:pPr>
      <w:keepLines/>
      <w:pBdr>
        <w:top w:val="single" w:sz="4" w:space="4" w:color="auto"/>
        <w:bottom w:val="double" w:sz="4" w:space="4" w:color="auto"/>
      </w:pBdr>
      <w:tabs>
        <w:tab w:val="decimal" w:pos="720"/>
        <w:tab w:val="decimal" w:pos="1440"/>
        <w:tab w:val="decimal" w:pos="2304"/>
      </w:tabs>
      <w:spacing w:before="40" w:after="40" w:line="240" w:lineRule="auto"/>
    </w:pPr>
    <w:rPr>
      <w:rFonts w:ascii="Times New Roman" w:eastAsia="Times New Roman" w:hAnsi="Times New Roman"/>
      <w:kern w:val="28"/>
      <w:sz w:val="24"/>
    </w:rPr>
  </w:style>
  <w:style w:type="paragraph" w:customStyle="1" w:styleId="Level11">
    <w:name w:val="Level 1.1"/>
    <w:aliases w:val="Reports,Reports Char Char,Reports Char Char Char Char,Reports Char,Level 1.1 Char,Level 1.1 Char Char,Level 1.1 Char Char Char Char,Level 1.1 Char Char Char Char Char Char,Level 1.1 Char Char Char Char Char Char Char Char Char Char Char Char"/>
    <w:basedOn w:val="Normal"/>
    <w:link w:val="ReportsCharCharCharCharChar"/>
    <w:pPr>
      <w:keepLines/>
      <w:tabs>
        <w:tab w:val="num" w:pos="990"/>
        <w:tab w:val="left" w:pos="1440"/>
        <w:tab w:val="left" w:pos="2304"/>
      </w:tabs>
      <w:spacing w:after="288" w:line="240" w:lineRule="auto"/>
      <w:ind w:left="990" w:hanging="720"/>
      <w:jc w:val="both"/>
    </w:pPr>
    <w:rPr>
      <w:rFonts w:ascii="Times New Roman" w:eastAsia="Times New Roman" w:hAnsi="Times New Roman"/>
      <w:kern w:val="28"/>
      <w:sz w:val="24"/>
    </w:rPr>
  </w:style>
  <w:style w:type="character" w:customStyle="1" w:styleId="ReportsCharCharCharCharChar">
    <w:name w:val="Reports Char Char Char Char Char"/>
    <w:aliases w:val="Level 1.11,Reports1,Reports Char1,Level 1.1 Char1,Reports Char Char1,Reports Char Char Char,Reports Char Char Char Char + L... Char,Level 1.1 Char Char Char Char Char Char Char Char Char"/>
    <w:link w:val="Level11"/>
    <w:rPr>
      <w:rFonts w:ascii="Times New Roman" w:eastAsia="Times New Roman" w:hAnsi="Times New Roman"/>
      <w:kern w:val="28"/>
      <w:sz w:val="24"/>
      <w:lang w:val="en-GB" w:eastAsia="en-US"/>
    </w:rPr>
  </w:style>
  <w:style w:type="paragraph" w:customStyle="1" w:styleId="Level3">
    <w:name w:val="Level 3"/>
    <w:aliases w:val="(i),(ii),(iii)"/>
    <w:basedOn w:val="Normal"/>
    <w:pPr>
      <w:tabs>
        <w:tab w:val="left" w:pos="1440"/>
        <w:tab w:val="num" w:pos="2304"/>
      </w:tabs>
      <w:spacing w:after="288" w:line="240" w:lineRule="auto"/>
      <w:ind w:left="2304" w:hanging="864"/>
      <w:jc w:val="both"/>
    </w:pPr>
    <w:rPr>
      <w:rFonts w:ascii="Times New Roman" w:eastAsia="Times New Roman" w:hAnsi="Times New Roman"/>
      <w:sz w:val="24"/>
    </w:rPr>
  </w:style>
  <w:style w:type="character" w:customStyle="1" w:styleId="Sub-MinorCharChar">
    <w:name w:val="Sub-Minor Char Char"/>
    <w:rPr>
      <w:b/>
      <w:kern w:val="28"/>
      <w:sz w:val="24"/>
      <w:lang w:val="en-GB" w:eastAsia="en-US" w:bidi="ar-SA"/>
    </w:rPr>
  </w:style>
  <w:style w:type="character" w:customStyle="1" w:styleId="CharChar1">
    <w:name w:val="Char Char1"/>
    <w:rPr>
      <w:rFonts w:ascii="Arial" w:hAnsi="Arial" w:cs="Arial"/>
      <w:b/>
      <w:iCs/>
      <w:color w:val="00457C"/>
      <w:sz w:val="22"/>
      <w:szCs w:val="24"/>
      <w:lang w:val="en-US" w:eastAsia="en-US"/>
    </w:rPr>
  </w:style>
  <w:style w:type="paragraph" w:customStyle="1" w:styleId="CarattereCarattereCarattere">
    <w:name w:val="Carattere Carattere Carattere"/>
    <w:basedOn w:val="Normal"/>
    <w:pPr>
      <w:spacing w:before="120" w:after="120" w:line="240" w:lineRule="exact"/>
    </w:pPr>
    <w:rPr>
      <w:rFonts w:ascii="Tahoma" w:eastAsia="Times New Roman" w:hAnsi="Tahoma"/>
      <w:lang w:val="en-US"/>
    </w:rPr>
  </w:style>
  <w:style w:type="paragraph" w:customStyle="1" w:styleId="Titrepage1">
    <w:name w:val="Titre page 1"/>
    <w:basedOn w:val="Normal"/>
    <w:pPr>
      <w:spacing w:after="120" w:line="240" w:lineRule="auto"/>
      <w:ind w:left="567"/>
    </w:pPr>
    <w:rPr>
      <w:rFonts w:ascii="Times New Roman" w:eastAsia="Times New Roman" w:hAnsi="Times New Roman"/>
      <w:b/>
      <w:noProof/>
      <w:color w:val="000080"/>
      <w:sz w:val="60"/>
      <w:lang w:eastAsia="fr-FR"/>
    </w:rPr>
  </w:style>
  <w:style w:type="paragraph" w:customStyle="1" w:styleId="TextmTz">
    <w:name w:val="Text m. Tz."/>
    <w:basedOn w:val="PlainText"/>
    <w:uiPriority w:val="99"/>
    <w:pPr>
      <w:spacing w:before="198" w:after="57" w:line="312" w:lineRule="auto"/>
      <w:jc w:val="both"/>
    </w:pPr>
    <w:rPr>
      <w:rFonts w:ascii="Arial" w:eastAsia="Times New Roman" w:hAnsi="Arial"/>
      <w:szCs w:val="20"/>
      <w:lang w:eastAsia="de-DE"/>
    </w:rPr>
  </w:style>
  <w:style w:type="paragraph" w:styleId="TableofFigures">
    <w:name w:val="table of figures"/>
    <w:basedOn w:val="Normal"/>
    <w:next w:val="Normal"/>
    <w:locked/>
    <w:pPr>
      <w:spacing w:before="40" w:after="120" w:line="240" w:lineRule="auto"/>
    </w:pPr>
    <w:rPr>
      <w:rFonts w:ascii="Arial" w:eastAsia="Times New Roman" w:hAnsi="Arial"/>
      <w:color w:val="00457C"/>
      <w:sz w:val="21"/>
      <w:szCs w:val="24"/>
      <w:lang w:val="en-US"/>
    </w:rPr>
  </w:style>
  <w:style w:type="paragraph" w:customStyle="1" w:styleId="Fuguretitle">
    <w:name w:val="Fugure title"/>
    <w:basedOn w:val="Text"/>
    <w:pPr>
      <w:numPr>
        <w:numId w:val="13"/>
      </w:numPr>
      <w:tabs>
        <w:tab w:val="clear" w:pos="1440"/>
        <w:tab w:val="clear" w:pos="2304"/>
      </w:tabs>
      <w:jc w:val="center"/>
    </w:pPr>
    <w:rPr>
      <w:b/>
      <w:bCs/>
      <w:i/>
      <w:sz w:val="22"/>
    </w:rPr>
  </w:style>
  <w:style w:type="paragraph" w:customStyle="1" w:styleId="NumberedList">
    <w:name w:val="Numbered List"/>
    <w:basedOn w:val="ListBullet"/>
    <w:pPr>
      <w:keepLines/>
      <w:numPr>
        <w:numId w:val="14"/>
      </w:numPr>
      <w:tabs>
        <w:tab w:val="left" w:pos="1440"/>
        <w:tab w:val="left" w:pos="2304"/>
      </w:tabs>
      <w:spacing w:before="120" w:after="120" w:line="240" w:lineRule="auto"/>
      <w:contextualSpacing w:val="0"/>
      <w:jc w:val="both"/>
    </w:pPr>
    <w:rPr>
      <w:rFonts w:ascii="TimesNewRoman" w:eastAsia="Times New Roman" w:hAnsi="TimesNewRoman"/>
      <w:kern w:val="28"/>
      <w:sz w:val="24"/>
    </w:rPr>
  </w:style>
  <w:style w:type="paragraph" w:customStyle="1" w:styleId="TextWS">
    <w:name w:val="TextWS"/>
    <w:pPr>
      <w:spacing w:after="200"/>
      <w:ind w:firstLine="284"/>
      <w:jc w:val="both"/>
    </w:pPr>
    <w:rPr>
      <w:rFonts w:ascii="Times New Roman" w:eastAsia="Times New Roman" w:hAnsi="Times New Roman"/>
      <w:sz w:val="24"/>
      <w:lang w:val="en-GB" w:eastAsia="de-DE"/>
    </w:rPr>
  </w:style>
  <w:style w:type="paragraph" w:customStyle="1" w:styleId="HyphenatedList6">
    <w:name w:val="Hyphenated List 6"/>
    <w:basedOn w:val="Normal"/>
    <w:pPr>
      <w:tabs>
        <w:tab w:val="num" w:pos="1080"/>
        <w:tab w:val="num" w:pos="2387"/>
      </w:tabs>
      <w:spacing w:after="0" w:line="240" w:lineRule="auto"/>
      <w:ind w:left="2387" w:hanging="363"/>
    </w:pPr>
    <w:rPr>
      <w:rFonts w:ascii="Optima" w:eastAsia="Times New Roman" w:hAnsi="Optima"/>
      <w:snapToGrid w:val="0"/>
      <w:color w:val="000000"/>
      <w:lang w:eastAsia="nl-NL"/>
    </w:rPr>
  </w:style>
  <w:style w:type="paragraph" w:customStyle="1" w:styleId="BeschriftungFigure">
    <w:name w:val="Beschriftung Figure"/>
    <w:basedOn w:val="Caption"/>
    <w:pPr>
      <w:tabs>
        <w:tab w:val="num" w:pos="3600"/>
      </w:tabs>
      <w:overflowPunct w:val="0"/>
      <w:autoSpaceDE w:val="0"/>
      <w:autoSpaceDN w:val="0"/>
      <w:adjustRightInd w:val="0"/>
      <w:spacing w:before="40" w:after="360"/>
      <w:jc w:val="center"/>
      <w:textAlignment w:val="baseline"/>
    </w:pPr>
    <w:rPr>
      <w:rFonts w:ascii="Times" w:hAnsi="Times"/>
      <w:b w:val="0"/>
      <w:bCs/>
      <w:color w:val="auto"/>
      <w:sz w:val="22"/>
      <w:lang w:eastAsia="de-DE"/>
    </w:rPr>
  </w:style>
  <w:style w:type="paragraph" w:customStyle="1" w:styleId="absatz2">
    <w:name w:val="absatz2"/>
    <w:basedOn w:val="Normal"/>
    <w:uiPriority w:val="99"/>
    <w:pPr>
      <w:tabs>
        <w:tab w:val="left" w:pos="851"/>
        <w:tab w:val="left" w:pos="1152"/>
      </w:tabs>
      <w:spacing w:before="240" w:after="0" w:line="360" w:lineRule="atLeast"/>
      <w:jc w:val="both"/>
    </w:pPr>
    <w:rPr>
      <w:rFonts w:ascii="Times" w:eastAsia="SimSun" w:hAnsi="Times"/>
      <w:sz w:val="24"/>
      <w:lang w:val="de-DE" w:eastAsia="de-DE"/>
    </w:rPr>
  </w:style>
  <w:style w:type="paragraph" w:customStyle="1" w:styleId="0Standard">
    <w:name w:val="0 Standard"/>
    <w:uiPriority w:val="99"/>
    <w:pPr>
      <w:spacing w:line="234" w:lineRule="exact"/>
      <w:ind w:firstLine="221"/>
      <w:jc w:val="both"/>
    </w:pPr>
    <w:rPr>
      <w:rFonts w:ascii="Times New Roman" w:eastAsia="SimSun" w:hAnsi="Times New Roman"/>
      <w:lang w:val="de-DE" w:eastAsia="de-DE"/>
    </w:rPr>
  </w:style>
  <w:style w:type="character" w:customStyle="1" w:styleId="Versalien">
    <w:name w:val="Versalien"/>
    <w:uiPriority w:val="99"/>
    <w:rPr>
      <w:rFonts w:cs="Times New Roman"/>
      <w:caps/>
      <w:spacing w:val="4"/>
      <w:sz w:val="18"/>
    </w:rPr>
  </w:style>
  <w:style w:type="paragraph" w:customStyle="1" w:styleId="TablesandFigures">
    <w:name w:val="Tables and Figures"/>
    <w:basedOn w:val="Normal"/>
    <w:next w:val="Normal"/>
    <w:uiPriority w:val="99"/>
    <w:pPr>
      <w:spacing w:after="0" w:line="240" w:lineRule="auto"/>
      <w:jc w:val="both"/>
    </w:pPr>
    <w:rPr>
      <w:rFonts w:ascii="Arial" w:eastAsia="SimSun" w:hAnsi="Arial"/>
      <w:lang w:val="de-DE" w:eastAsia="de-DE"/>
    </w:rPr>
  </w:style>
  <w:style w:type="paragraph" w:customStyle="1" w:styleId="KeinLeerraum">
    <w:name w:val="Kein Leerraum"/>
    <w:uiPriority w:val="99"/>
    <w:qFormat/>
    <w:rPr>
      <w:rFonts w:eastAsia="SimSun"/>
      <w:color w:val="D06F1A"/>
      <w:sz w:val="21"/>
      <w:szCs w:val="24"/>
      <w:lang w:val="en-US" w:eastAsia="en-US"/>
    </w:rPr>
  </w:style>
  <w:style w:type="paragraph" w:customStyle="1" w:styleId="TableBullet">
    <w:name w:val="Table Bullet"/>
    <w:basedOn w:val="Normal"/>
    <w:uiPriority w:val="99"/>
    <w:qFormat/>
    <w:pPr>
      <w:numPr>
        <w:numId w:val="15"/>
      </w:numPr>
      <w:spacing w:before="40" w:after="120" w:line="120" w:lineRule="atLeast"/>
      <w:ind w:left="302" w:hanging="302"/>
    </w:pPr>
    <w:rPr>
      <w:rFonts w:ascii="Arial" w:eastAsia="Times" w:hAnsi="Arial"/>
      <w:sz w:val="16"/>
      <w:szCs w:val="16"/>
      <w:lang w:eastAsia="en-GB"/>
    </w:rPr>
  </w:style>
  <w:style w:type="paragraph" w:customStyle="1" w:styleId="TableBullet2">
    <w:name w:val="Table Bullet 2"/>
    <w:basedOn w:val="TableBullet"/>
    <w:pPr>
      <w:widowControl w:val="0"/>
      <w:numPr>
        <w:ilvl w:val="1"/>
      </w:numPr>
    </w:pPr>
  </w:style>
  <w:style w:type="paragraph" w:styleId="NoSpacing">
    <w:name w:val="No Spacing"/>
    <w:link w:val="NoSpacingChar"/>
    <w:uiPriority w:val="1"/>
    <w:qFormat/>
    <w:rPr>
      <w:rFonts w:ascii="Calibri" w:eastAsia="Calibri" w:hAnsi="Calibri"/>
      <w:sz w:val="22"/>
      <w:szCs w:val="22"/>
      <w:lang w:eastAsia="en-US"/>
    </w:rPr>
  </w:style>
  <w:style w:type="table" w:styleId="LightShading-Accent5">
    <w:name w:val="Light Shading Accent 5"/>
    <w:basedOn w:val="TableNormal"/>
    <w:uiPriority w:val="60"/>
    <w:rPr>
      <w:color w:val="E2963F"/>
    </w:rPr>
    <w:tblPr>
      <w:tblStyleRowBandSize w:val="1"/>
      <w:tblStyleColBandSize w:val="1"/>
      <w:tblBorders>
        <w:top w:val="single" w:sz="8" w:space="0" w:color="EFC594"/>
        <w:bottom w:val="single" w:sz="8" w:space="0" w:color="EFC594"/>
      </w:tblBorders>
    </w:tblPr>
    <w:tblStylePr w:type="firstRow">
      <w:pPr>
        <w:spacing w:before="0" w:after="0" w:line="240" w:lineRule="auto"/>
      </w:pPr>
      <w:rPr>
        <w:b/>
        <w:bCs/>
      </w:rPr>
      <w:tblPr/>
      <w:tcPr>
        <w:tcBorders>
          <w:top w:val="single" w:sz="8" w:space="0" w:color="EFC594"/>
          <w:left w:val="nil"/>
          <w:bottom w:val="single" w:sz="8" w:space="0" w:color="EFC594"/>
          <w:right w:val="nil"/>
          <w:insideH w:val="nil"/>
          <w:insideV w:val="nil"/>
        </w:tcBorders>
      </w:tcPr>
    </w:tblStylePr>
    <w:tblStylePr w:type="lastRow">
      <w:pPr>
        <w:spacing w:before="0" w:after="0" w:line="240" w:lineRule="auto"/>
      </w:pPr>
      <w:rPr>
        <w:b/>
        <w:bCs/>
      </w:rPr>
      <w:tblPr/>
      <w:tcPr>
        <w:tcBorders>
          <w:top w:val="single" w:sz="8" w:space="0" w:color="EFC594"/>
          <w:left w:val="nil"/>
          <w:bottom w:val="single" w:sz="8" w:space="0" w:color="EFC59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F0E4"/>
      </w:tcPr>
    </w:tblStylePr>
    <w:tblStylePr w:type="band1Horz">
      <w:tblPr/>
      <w:tcPr>
        <w:tcBorders>
          <w:left w:val="nil"/>
          <w:right w:val="nil"/>
          <w:insideH w:val="nil"/>
          <w:insideV w:val="nil"/>
        </w:tcBorders>
        <w:shd w:val="clear" w:color="auto" w:fill="FBF0E4"/>
      </w:tcPr>
    </w:tblStylePr>
  </w:style>
  <w:style w:type="table" w:customStyle="1" w:styleId="MediumShading2-Accent11">
    <w:name w:val="Medium Shading 2 - Accent 11"/>
    <w:basedOn w:val="TableNormal"/>
    <w:uiPriority w:val="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8981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8981D"/>
      </w:tcPr>
    </w:tblStylePr>
    <w:tblStylePr w:type="lastCol">
      <w:rPr>
        <w:b/>
        <w:bCs/>
        <w:color w:val="FFFFFF"/>
      </w:rPr>
      <w:tblPr/>
      <w:tcPr>
        <w:tcBorders>
          <w:left w:val="nil"/>
          <w:right w:val="nil"/>
          <w:insideH w:val="nil"/>
          <w:insideV w:val="nil"/>
        </w:tcBorders>
        <w:shd w:val="clear" w:color="auto" w:fill="F8981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12">
    <w:name w:val="Medium Shading 1 - Accent 12"/>
    <w:basedOn w:val="TableNormal"/>
    <w:uiPriority w:val="63"/>
    <w:tblPr>
      <w:tblStyleRowBandSize w:val="1"/>
      <w:tblStyleColBandSize w:val="1"/>
      <w:tblBorders>
        <w:top w:val="single" w:sz="8" w:space="0" w:color="F9B155"/>
        <w:left w:val="single" w:sz="8" w:space="0" w:color="F9B155"/>
        <w:bottom w:val="single" w:sz="8" w:space="0" w:color="F9B155"/>
        <w:right w:val="single" w:sz="8" w:space="0" w:color="F9B155"/>
        <w:insideH w:val="single" w:sz="8" w:space="0" w:color="F9B155"/>
      </w:tblBorders>
    </w:tblPr>
    <w:tblStylePr w:type="firstRow">
      <w:pPr>
        <w:spacing w:before="0" w:after="0" w:line="240" w:lineRule="auto"/>
      </w:pPr>
      <w:rPr>
        <w:b/>
        <w:bCs/>
        <w:color w:val="FFFFFF"/>
      </w:rPr>
      <w:tblPr/>
      <w:tcPr>
        <w:tcBorders>
          <w:top w:val="single" w:sz="8" w:space="0" w:color="F9B155"/>
          <w:left w:val="single" w:sz="8" w:space="0" w:color="F9B155"/>
          <w:bottom w:val="single" w:sz="8" w:space="0" w:color="F9B155"/>
          <w:right w:val="single" w:sz="8" w:space="0" w:color="F9B155"/>
          <w:insideH w:val="nil"/>
          <w:insideV w:val="nil"/>
        </w:tcBorders>
        <w:shd w:val="clear" w:color="auto" w:fill="F8981D"/>
      </w:tcPr>
    </w:tblStylePr>
    <w:tblStylePr w:type="lastRow">
      <w:pPr>
        <w:spacing w:before="0" w:after="0" w:line="240" w:lineRule="auto"/>
      </w:pPr>
      <w:rPr>
        <w:b/>
        <w:bCs/>
      </w:rPr>
      <w:tblPr/>
      <w:tcPr>
        <w:tcBorders>
          <w:top w:val="double" w:sz="6" w:space="0" w:color="F9B155"/>
          <w:left w:val="single" w:sz="8" w:space="0" w:color="F9B155"/>
          <w:bottom w:val="single" w:sz="8" w:space="0" w:color="F9B155"/>
          <w:right w:val="single" w:sz="8" w:space="0" w:color="F9B155"/>
          <w:insideH w:val="nil"/>
          <w:insideV w:val="nil"/>
        </w:tcBorders>
      </w:tcPr>
    </w:tblStylePr>
    <w:tblStylePr w:type="firstCol">
      <w:rPr>
        <w:b/>
        <w:bCs/>
      </w:rPr>
    </w:tblStylePr>
    <w:tblStylePr w:type="lastCol">
      <w:rPr>
        <w:b/>
        <w:bCs/>
      </w:rPr>
    </w:tblStylePr>
    <w:tblStylePr w:type="band1Vert">
      <w:tblPr/>
      <w:tcPr>
        <w:shd w:val="clear" w:color="auto" w:fill="FDE5C7"/>
      </w:tcPr>
    </w:tblStylePr>
    <w:tblStylePr w:type="band1Horz">
      <w:tblPr/>
      <w:tcPr>
        <w:tcBorders>
          <w:insideH w:val="nil"/>
          <w:insideV w:val="nil"/>
        </w:tcBorders>
        <w:shd w:val="clear" w:color="auto" w:fill="FDE5C7"/>
      </w:tcPr>
    </w:tblStylePr>
    <w:tblStylePr w:type="band2Horz">
      <w:tblPr/>
      <w:tcPr>
        <w:tcBorders>
          <w:insideH w:val="nil"/>
          <w:insideV w:val="nil"/>
        </w:tcBorders>
      </w:tcPr>
    </w:tblStylePr>
  </w:style>
  <w:style w:type="table" w:styleId="MediumShading1-Accent3">
    <w:name w:val="Medium Shading 1 Accent 3"/>
    <w:basedOn w:val="TableNormal"/>
    <w:uiPriority w:val="63"/>
    <w:tblPr>
      <w:tblStyleRowBandSize w:val="1"/>
      <w:tblStyleColBandSize w:val="1"/>
      <w:tblBorders>
        <w:top w:val="single" w:sz="8" w:space="0" w:color="F8B172"/>
        <w:left w:val="single" w:sz="8" w:space="0" w:color="F8B172"/>
        <w:bottom w:val="single" w:sz="8" w:space="0" w:color="F8B172"/>
        <w:right w:val="single" w:sz="8" w:space="0" w:color="F8B172"/>
        <w:insideH w:val="single" w:sz="8" w:space="0" w:color="F8B172"/>
      </w:tblBorders>
    </w:tblPr>
    <w:tblStylePr w:type="firstRow">
      <w:pPr>
        <w:spacing w:before="0" w:after="0" w:line="240" w:lineRule="auto"/>
      </w:pPr>
      <w:rPr>
        <w:b/>
        <w:bCs/>
        <w:color w:val="FFFFFF"/>
      </w:rPr>
      <w:tblPr/>
      <w:tcPr>
        <w:tcBorders>
          <w:top w:val="single" w:sz="8" w:space="0" w:color="F8B172"/>
          <w:left w:val="single" w:sz="8" w:space="0" w:color="F8B172"/>
          <w:bottom w:val="single" w:sz="8" w:space="0" w:color="F8B172"/>
          <w:right w:val="single" w:sz="8" w:space="0" w:color="F8B172"/>
          <w:insideH w:val="nil"/>
          <w:insideV w:val="nil"/>
        </w:tcBorders>
        <w:shd w:val="clear" w:color="auto" w:fill="F69843"/>
      </w:tcPr>
    </w:tblStylePr>
    <w:tblStylePr w:type="lastRow">
      <w:pPr>
        <w:spacing w:before="0" w:after="0" w:line="240" w:lineRule="auto"/>
      </w:pPr>
      <w:rPr>
        <w:b/>
        <w:bCs/>
      </w:rPr>
      <w:tblPr/>
      <w:tcPr>
        <w:tcBorders>
          <w:top w:val="double" w:sz="6" w:space="0" w:color="F8B172"/>
          <w:left w:val="single" w:sz="8" w:space="0" w:color="F8B172"/>
          <w:bottom w:val="single" w:sz="8" w:space="0" w:color="F8B172"/>
          <w:right w:val="single" w:sz="8" w:space="0" w:color="F8B172"/>
          <w:insideH w:val="nil"/>
          <w:insideV w:val="nil"/>
        </w:tcBorders>
      </w:tcPr>
    </w:tblStylePr>
    <w:tblStylePr w:type="firstCol">
      <w:rPr>
        <w:b/>
        <w:bCs/>
      </w:rPr>
    </w:tblStylePr>
    <w:tblStylePr w:type="lastCol">
      <w:rPr>
        <w:b/>
        <w:bCs/>
      </w:rPr>
    </w:tblStylePr>
    <w:tblStylePr w:type="band1Vert">
      <w:tblPr/>
      <w:tcPr>
        <w:shd w:val="clear" w:color="auto" w:fill="FCE5D0"/>
      </w:tcPr>
    </w:tblStylePr>
    <w:tblStylePr w:type="band1Horz">
      <w:tblPr/>
      <w:tcPr>
        <w:tcBorders>
          <w:insideH w:val="nil"/>
          <w:insideV w:val="nil"/>
        </w:tcBorders>
        <w:shd w:val="clear" w:color="auto" w:fill="FCE5D0"/>
      </w:tcPr>
    </w:tblStylePr>
    <w:tblStylePr w:type="band2Horz">
      <w:tblPr/>
      <w:tcPr>
        <w:tcBorders>
          <w:insideH w:val="nil"/>
          <w:insideV w:val="nil"/>
        </w:tcBorders>
      </w:tcPr>
    </w:tblStylePr>
  </w:style>
  <w:style w:type="character" w:customStyle="1" w:styleId="CaptionChar">
    <w:name w:val="Caption Char"/>
    <w:aliases w:val="Caption Char Char Char Char Char Char Char Char Char Char Char Char Char Char Char Char Char Char Char,Beschriftung Char2 Char Char,Beschriftung Char1 Cha... Char,Beschriftung Char2 Char1,Beschriftung Char1 Char1 Char,Figure Char"/>
    <w:link w:val="Caption"/>
    <w:uiPriority w:val="99"/>
    <w:locked/>
    <w:rPr>
      <w:rFonts w:eastAsia="Times New Roman"/>
      <w:b/>
      <w:i/>
      <w:color w:val="D06F1A"/>
      <w:lang w:val="en-GB" w:eastAsia="en-US"/>
    </w:rPr>
  </w:style>
  <w:style w:type="table" w:customStyle="1" w:styleId="LightList-Accent12">
    <w:name w:val="Light List - Accent 12"/>
    <w:basedOn w:val="TableNormal"/>
    <w:uiPriority w:val="61"/>
    <w:pPr>
      <w:spacing w:after="120"/>
    </w:pPr>
    <w:rPr>
      <w:rFonts w:eastAsia="Times New Roman"/>
      <w:color w:val="000000"/>
      <w:sz w:val="18"/>
      <w:szCs w:val="21"/>
      <w:lang w:val="en-GB" w:eastAsia="en-US"/>
    </w:rPr>
    <w:tblPr>
      <w:tblStyleRowBandSize w:val="1"/>
      <w:tblStyleColBandSize w:val="1"/>
      <w:tblBorders>
        <w:top w:val="single" w:sz="8" w:space="0" w:color="F8981D"/>
        <w:left w:val="single" w:sz="8" w:space="0" w:color="F8981D"/>
        <w:bottom w:val="single" w:sz="8" w:space="0" w:color="F8981D"/>
        <w:right w:val="single" w:sz="8" w:space="0" w:color="F8981D"/>
      </w:tblBorders>
    </w:tblPr>
    <w:tblStylePr w:type="firstRow">
      <w:pPr>
        <w:spacing w:before="0" w:after="0"/>
      </w:pPr>
      <w:rPr>
        <w:rFonts w:cs="Times New Roman"/>
        <w:b/>
        <w:bCs/>
        <w:color w:val="FFFFFF"/>
      </w:rPr>
      <w:tblPr/>
      <w:tcPr>
        <w:shd w:val="clear" w:color="auto" w:fill="F8981D"/>
      </w:tcPr>
    </w:tblStylePr>
    <w:tblStylePr w:type="lastRow">
      <w:pPr>
        <w:spacing w:before="0" w:after="0"/>
      </w:pPr>
      <w:rPr>
        <w:rFonts w:cs="Times New Roman"/>
        <w:b/>
        <w:bCs/>
      </w:rPr>
      <w:tblPr/>
      <w:tcPr>
        <w:tcBorders>
          <w:top w:val="double" w:sz="6" w:space="0" w:color="F8981D"/>
          <w:left w:val="single" w:sz="8" w:space="0" w:color="F8981D"/>
          <w:bottom w:val="single" w:sz="8" w:space="0" w:color="F8981D"/>
          <w:right w:val="single" w:sz="8" w:space="0" w:color="F8981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8981D"/>
          <w:left w:val="single" w:sz="8" w:space="0" w:color="F8981D"/>
          <w:bottom w:val="single" w:sz="8" w:space="0" w:color="F8981D"/>
          <w:right w:val="single" w:sz="8" w:space="0" w:color="F8981D"/>
        </w:tcBorders>
      </w:tcPr>
    </w:tblStylePr>
    <w:tblStylePr w:type="band1Horz">
      <w:rPr>
        <w:rFonts w:cs="Times New Roman"/>
      </w:rPr>
      <w:tblPr/>
      <w:tcPr>
        <w:tcBorders>
          <w:top w:val="single" w:sz="8" w:space="0" w:color="F8981D"/>
          <w:left w:val="single" w:sz="8" w:space="0" w:color="F8981D"/>
          <w:bottom w:val="single" w:sz="8" w:space="0" w:color="F8981D"/>
          <w:right w:val="single" w:sz="8" w:space="0" w:color="F8981D"/>
        </w:tcBorders>
      </w:tcPr>
    </w:tblStylePr>
  </w:style>
  <w:style w:type="paragraph" w:customStyle="1" w:styleId="tableheading">
    <w:name w:val="table heading"/>
    <w:basedOn w:val="Normal"/>
    <w:link w:val="tableheadingChar"/>
    <w:uiPriority w:val="99"/>
    <w:pPr>
      <w:keepNext/>
      <w:keepLines/>
      <w:widowControl w:val="0"/>
      <w:spacing w:before="120" w:after="120" w:line="240" w:lineRule="auto"/>
      <w:jc w:val="center"/>
    </w:pPr>
    <w:rPr>
      <w:rFonts w:ascii="Arial" w:eastAsia="Times New Roman" w:hAnsi="Arial"/>
      <w:b/>
      <w:bCs/>
      <w:snapToGrid w:val="0"/>
      <w:szCs w:val="18"/>
      <w:lang w:val="fr-FR"/>
    </w:rPr>
  </w:style>
  <w:style w:type="paragraph" w:customStyle="1" w:styleId="tableheading2">
    <w:name w:val="table heading 2"/>
    <w:basedOn w:val="tableheading"/>
    <w:link w:val="tableheading2Char"/>
    <w:pPr>
      <w:spacing w:before="60" w:after="60"/>
    </w:pPr>
    <w:rPr>
      <w:b w:val="0"/>
      <w:bCs w:val="0"/>
    </w:rPr>
  </w:style>
  <w:style w:type="paragraph" w:customStyle="1" w:styleId="tablefillnobullets">
    <w:name w:val="table fill no bullets"/>
    <w:basedOn w:val="Normal"/>
    <w:link w:val="tablefillnobulletsChar"/>
    <w:pPr>
      <w:autoSpaceDE w:val="0"/>
      <w:autoSpaceDN w:val="0"/>
      <w:adjustRightInd w:val="0"/>
      <w:spacing w:before="120" w:after="120" w:line="240" w:lineRule="auto"/>
    </w:pPr>
    <w:rPr>
      <w:rFonts w:ascii="Arial" w:eastAsia="Times New Roman" w:hAnsi="Arial"/>
      <w:snapToGrid w:val="0"/>
      <w:szCs w:val="18"/>
      <w:lang w:val="fr-BE"/>
    </w:rPr>
  </w:style>
  <w:style w:type="paragraph" w:customStyle="1" w:styleId="tablefillbullets">
    <w:name w:val="table fill bullets"/>
    <w:basedOn w:val="tablefillnobullets"/>
    <w:link w:val="tablefillbulletsChar"/>
    <w:pPr>
      <w:numPr>
        <w:numId w:val="16"/>
      </w:numPr>
      <w:tabs>
        <w:tab w:val="clear" w:pos="720"/>
        <w:tab w:val="num" w:pos="926"/>
      </w:tabs>
      <w:spacing w:after="0"/>
      <w:ind w:left="926"/>
    </w:pPr>
  </w:style>
  <w:style w:type="character" w:customStyle="1" w:styleId="tablefillnobulletsChar">
    <w:name w:val="table fill no bullets Char"/>
    <w:link w:val="tablefillnobullets"/>
    <w:rPr>
      <w:rFonts w:ascii="Arial" w:eastAsia="Times New Roman" w:hAnsi="Arial" w:cs="Arial"/>
      <w:snapToGrid w:val="0"/>
      <w:szCs w:val="18"/>
      <w:lang w:val="fr-BE" w:eastAsia="en-US"/>
    </w:rPr>
  </w:style>
  <w:style w:type="character" w:customStyle="1" w:styleId="tablefillbulletsChar">
    <w:name w:val="table fill bullets Char"/>
    <w:link w:val="tablefillbullets"/>
    <w:rPr>
      <w:rFonts w:ascii="Arial" w:eastAsia="Times New Roman" w:hAnsi="Arial"/>
      <w:snapToGrid w:val="0"/>
      <w:szCs w:val="18"/>
      <w:lang w:val="fr-BE" w:eastAsia="en-US"/>
    </w:rPr>
  </w:style>
  <w:style w:type="character" w:customStyle="1" w:styleId="tableheadingChar">
    <w:name w:val="table heading Char"/>
    <w:link w:val="tableheading"/>
    <w:uiPriority w:val="99"/>
    <w:rPr>
      <w:rFonts w:ascii="Arial" w:eastAsia="Times New Roman" w:hAnsi="Arial" w:cs="Arial"/>
      <w:b/>
      <w:bCs/>
      <w:snapToGrid w:val="0"/>
      <w:szCs w:val="18"/>
      <w:lang w:val="fr-FR" w:eastAsia="en-US"/>
    </w:rPr>
  </w:style>
  <w:style w:type="character" w:customStyle="1" w:styleId="tableheading2Char">
    <w:name w:val="table heading 2 Char"/>
    <w:link w:val="tableheading2"/>
    <w:rPr>
      <w:rFonts w:ascii="Arial" w:eastAsia="Times New Roman" w:hAnsi="Arial" w:cs="Arial"/>
      <w:b w:val="0"/>
      <w:bCs w:val="0"/>
      <w:snapToGrid w:val="0"/>
      <w:szCs w:val="18"/>
      <w:lang w:val="fr-FR" w:eastAsia="en-US"/>
    </w:rPr>
  </w:style>
  <w:style w:type="character" w:styleId="IntenseReference">
    <w:name w:val="Intense Reference"/>
    <w:uiPriority w:val="32"/>
    <w:unhideWhenUsed/>
    <w:qFormat/>
    <w:rPr>
      <w:b/>
      <w:bCs/>
      <w:i w:val="0"/>
      <w:smallCaps/>
      <w:color w:val="auto"/>
      <w:spacing w:val="5"/>
      <w:u w:val="none"/>
    </w:rPr>
  </w:style>
  <w:style w:type="character" w:styleId="SubtleEmphasis">
    <w:name w:val="Subtle Emphasis"/>
    <w:uiPriority w:val="19"/>
    <w:unhideWhenUsed/>
    <w:qFormat/>
    <w:rPr>
      <w:b w:val="0"/>
      <w:i/>
      <w:iCs/>
      <w:color w:val="auto"/>
      <w:u w:val="none"/>
    </w:rPr>
  </w:style>
  <w:style w:type="character" w:styleId="SubtleReference">
    <w:name w:val="Subtle Reference"/>
    <w:uiPriority w:val="31"/>
    <w:unhideWhenUsed/>
    <w:qFormat/>
    <w:rPr>
      <w:b w:val="0"/>
      <w:i w:val="0"/>
      <w:smallCaps/>
      <w:color w:val="auto"/>
      <w:u w:val="single"/>
    </w:rPr>
  </w:style>
  <w:style w:type="table" w:styleId="LightShading-Accent2">
    <w:name w:val="Light Shading Accent 2"/>
    <w:basedOn w:val="TableNormal"/>
    <w:uiPriority w:val="60"/>
    <w:rPr>
      <w:rFonts w:ascii="Calibri" w:eastAsia="Calibri" w:hAnsi="Calibri"/>
      <w:color w:val="B05500"/>
      <w:sz w:val="21"/>
      <w:szCs w:val="21"/>
      <w:lang w:val="en-GB" w:eastAsia="en-US"/>
    </w:rPr>
    <w:tblPr>
      <w:tblStyleRowBandSize w:val="1"/>
      <w:tblStyleColBandSize w:val="1"/>
      <w:tblBorders>
        <w:top w:val="single" w:sz="8" w:space="0" w:color="EC7200"/>
        <w:bottom w:val="single" w:sz="8" w:space="0" w:color="EC7200"/>
      </w:tblBorders>
    </w:tblPr>
    <w:tblStylePr w:type="firstRow">
      <w:pPr>
        <w:spacing w:before="0" w:after="0" w:line="240" w:lineRule="auto"/>
      </w:pPr>
      <w:rPr>
        <w:b/>
        <w:bCs/>
      </w:rPr>
      <w:tblPr/>
      <w:tcPr>
        <w:tcBorders>
          <w:top w:val="single" w:sz="8" w:space="0" w:color="EC7200"/>
          <w:left w:val="nil"/>
          <w:bottom w:val="single" w:sz="8" w:space="0" w:color="EC7200"/>
          <w:right w:val="nil"/>
          <w:insideH w:val="nil"/>
          <w:insideV w:val="nil"/>
        </w:tcBorders>
      </w:tcPr>
    </w:tblStylePr>
    <w:tblStylePr w:type="lastRow">
      <w:pPr>
        <w:spacing w:before="0" w:after="0" w:line="240" w:lineRule="auto"/>
      </w:pPr>
      <w:rPr>
        <w:b/>
        <w:bCs/>
      </w:rPr>
      <w:tblPr/>
      <w:tcPr>
        <w:tcBorders>
          <w:top w:val="single" w:sz="8" w:space="0" w:color="EC7200"/>
          <w:left w:val="nil"/>
          <w:bottom w:val="single" w:sz="8" w:space="0" w:color="EC72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BBB"/>
      </w:tcPr>
    </w:tblStylePr>
    <w:tblStylePr w:type="band1Horz">
      <w:tblPr/>
      <w:tcPr>
        <w:tcBorders>
          <w:left w:val="nil"/>
          <w:right w:val="nil"/>
          <w:insideH w:val="nil"/>
          <w:insideV w:val="nil"/>
        </w:tcBorders>
        <w:shd w:val="clear" w:color="auto" w:fill="FFDBBB"/>
      </w:tcPr>
    </w:tblStylePr>
  </w:style>
  <w:style w:type="table" w:styleId="MediumShading1-Accent4">
    <w:name w:val="Medium Shading 1 Accent 4"/>
    <w:basedOn w:val="TableNormal"/>
    <w:uiPriority w:val="63"/>
    <w:rPr>
      <w:rFonts w:ascii="Calibri" w:eastAsia="Calibri" w:hAnsi="Calibri"/>
      <w:color w:val="000000"/>
      <w:sz w:val="21"/>
      <w:szCs w:val="21"/>
      <w:lang w:val="en-GB" w:eastAsia="en-US"/>
    </w:rPr>
    <w:tblPr>
      <w:tblStyleRowBandSize w:val="1"/>
      <w:tblStyleColBandSize w:val="1"/>
      <w:tblBorders>
        <w:top w:val="single" w:sz="8" w:space="0" w:color="F3C18E"/>
        <w:left w:val="single" w:sz="8" w:space="0" w:color="F3C18E"/>
        <w:bottom w:val="single" w:sz="8" w:space="0" w:color="F3C18E"/>
        <w:right w:val="single" w:sz="8" w:space="0" w:color="F3C18E"/>
        <w:insideH w:val="single" w:sz="8" w:space="0" w:color="F3C18E"/>
      </w:tblBorders>
    </w:tblPr>
    <w:tblStylePr w:type="firstRow">
      <w:pPr>
        <w:spacing w:before="0" w:after="0" w:line="240" w:lineRule="auto"/>
      </w:pPr>
      <w:rPr>
        <w:b/>
        <w:bCs/>
        <w:color w:val="FFFFFF"/>
      </w:rPr>
      <w:tblPr/>
      <w:tcPr>
        <w:tcBorders>
          <w:top w:val="single" w:sz="8" w:space="0" w:color="F3C18E"/>
          <w:left w:val="single" w:sz="8" w:space="0" w:color="F3C18E"/>
          <w:bottom w:val="single" w:sz="8" w:space="0" w:color="F3C18E"/>
          <w:right w:val="single" w:sz="8" w:space="0" w:color="F3C18E"/>
          <w:insideH w:val="nil"/>
          <w:insideV w:val="nil"/>
        </w:tcBorders>
        <w:shd w:val="clear" w:color="auto" w:fill="EFAD69"/>
      </w:tcPr>
    </w:tblStylePr>
    <w:tblStylePr w:type="lastRow">
      <w:pPr>
        <w:spacing w:before="0" w:after="0" w:line="240" w:lineRule="auto"/>
      </w:pPr>
      <w:rPr>
        <w:b/>
        <w:bCs/>
      </w:rPr>
      <w:tblPr/>
      <w:tcPr>
        <w:tcBorders>
          <w:top w:val="double" w:sz="6" w:space="0" w:color="F3C18E"/>
          <w:left w:val="single" w:sz="8" w:space="0" w:color="F3C18E"/>
          <w:bottom w:val="single" w:sz="8" w:space="0" w:color="F3C18E"/>
          <w:right w:val="single" w:sz="8" w:space="0" w:color="F3C18E"/>
          <w:insideH w:val="nil"/>
          <w:insideV w:val="nil"/>
        </w:tcBorders>
      </w:tcPr>
    </w:tblStylePr>
    <w:tblStylePr w:type="firstCol">
      <w:rPr>
        <w:b/>
        <w:bCs/>
      </w:rPr>
    </w:tblStylePr>
    <w:tblStylePr w:type="lastCol">
      <w:rPr>
        <w:b/>
        <w:bCs/>
      </w:rPr>
    </w:tblStylePr>
    <w:tblStylePr w:type="band1Vert">
      <w:tblPr/>
      <w:tcPr>
        <w:shd w:val="clear" w:color="auto" w:fill="FBEAD9"/>
      </w:tcPr>
    </w:tblStylePr>
    <w:tblStylePr w:type="band1Horz">
      <w:tblPr/>
      <w:tcPr>
        <w:tcBorders>
          <w:insideH w:val="nil"/>
          <w:insideV w:val="nil"/>
        </w:tcBorders>
        <w:shd w:val="clear" w:color="auto" w:fill="FBEAD9"/>
      </w:tcPr>
    </w:tblStylePr>
    <w:tblStylePr w:type="band2Horz">
      <w:tblPr/>
      <w:tcPr>
        <w:tcBorders>
          <w:insideH w:val="nil"/>
          <w:insideV w:val="nil"/>
        </w:tcBorders>
      </w:tcPr>
    </w:tblStylePr>
  </w:style>
  <w:style w:type="table" w:customStyle="1" w:styleId="MarginTable">
    <w:name w:val="MarginTable"/>
    <w:basedOn w:val="TableNormal"/>
    <w:uiPriority w:val="99"/>
    <w:qFormat/>
    <w:rPr>
      <w:rFonts w:ascii="Calibri" w:eastAsia="Calibri" w:hAnsi="Calibri"/>
      <w:color w:val="000000"/>
      <w:sz w:val="16"/>
      <w:szCs w:val="21"/>
      <w:lang w:val="en-GB" w:eastAsia="en-US"/>
    </w:rPr>
    <w:tblPr>
      <w:tblBorders>
        <w:top w:val="single" w:sz="4" w:space="0" w:color="auto"/>
        <w:bottom w:val="dotted" w:sz="4" w:space="0" w:color="auto"/>
        <w:insideH w:val="dotted" w:sz="4" w:space="0" w:color="auto"/>
      </w:tblBorders>
      <w:tblCellMar>
        <w:top w:w="57" w:type="dxa"/>
        <w:left w:w="0" w:type="dxa"/>
        <w:right w:w="0" w:type="dxa"/>
      </w:tblCellMar>
    </w:tblPr>
    <w:tblStylePr w:type="firstRow">
      <w:rPr>
        <w:b/>
      </w:rPr>
    </w:tblStylePr>
  </w:style>
  <w:style w:type="paragraph" w:customStyle="1" w:styleId="Logo">
    <w:name w:val="Logo"/>
    <w:basedOn w:val="Normal"/>
    <w:next w:val="Normal"/>
    <w:uiPriority w:val="15"/>
    <w:unhideWhenUsed/>
    <w:qFormat/>
    <w:pPr>
      <w:spacing w:after="0" w:line="240" w:lineRule="auto"/>
      <w:jc w:val="right"/>
    </w:pPr>
    <w:rPr>
      <w:rFonts w:ascii="PwC_Logo" w:eastAsia="Calibri" w:hAnsi="PwC_Logo"/>
      <w:color w:val="D06F1A"/>
      <w:sz w:val="48"/>
      <w:szCs w:val="48"/>
    </w:rPr>
  </w:style>
  <w:style w:type="table" w:customStyle="1" w:styleId="PwCTable1">
    <w:name w:val="PwC Table 1"/>
    <w:basedOn w:val="TableNormal"/>
    <w:uiPriority w:val="99"/>
    <w:qFormat/>
    <w:rPr>
      <w:rFonts w:ascii="Calibri" w:eastAsia="Calibri" w:hAnsi="Calibri"/>
      <w:color w:val="000000"/>
      <w:sz w:val="18"/>
      <w:szCs w:val="22"/>
      <w:lang w:val="en-GB" w:eastAsia="en-US"/>
    </w:rPr>
    <w:tblPr>
      <w:tblStyleRowBandSize w:val="1"/>
      <w:tblBorders>
        <w:bottom w:val="dotted" w:sz="6" w:space="0" w:color="D06F1A"/>
      </w:tblBorders>
      <w:tblCellMar>
        <w:top w:w="57" w:type="dxa"/>
        <w:left w:w="0" w:type="dxa"/>
        <w:right w:w="0" w:type="dxa"/>
      </w:tblCellMar>
    </w:tblPr>
    <w:tblStylePr w:type="firstRow">
      <w:pPr>
        <w:wordWrap/>
        <w:spacing w:beforeLines="0" w:beforeAutospacing="0" w:afterLines="0" w:afterAutospacing="0" w:line="210" w:lineRule="atLeast"/>
        <w:contextualSpacing w:val="0"/>
      </w:pPr>
      <w:rPr>
        <w:rFonts w:ascii="Cambria" w:hAnsi="Cambria"/>
        <w:b/>
        <w:color w:val="D06F1A"/>
        <w:sz w:val="18"/>
      </w:rPr>
      <w:tblPr/>
      <w:tcPr>
        <w:tcBorders>
          <w:top w:val="single" w:sz="6" w:space="0" w:color="D06F1A"/>
          <w:left w:val="nil"/>
          <w:bottom w:val="dotted" w:sz="6" w:space="0" w:color="D06F1A"/>
          <w:right w:val="nil"/>
          <w:insideH w:val="nil"/>
          <w:insideV w:val="nil"/>
          <w:tl2br w:val="nil"/>
          <w:tr2bl w:val="nil"/>
        </w:tcBorders>
      </w:tcPr>
    </w:tblStylePr>
    <w:tblStylePr w:type="lastRow">
      <w:tblPr/>
      <w:tcPr>
        <w:shd w:val="clear" w:color="auto" w:fill="F9E1CD"/>
      </w:tcPr>
    </w:tblStylePr>
    <w:tblStylePr w:type="band1Horz">
      <w:pPr>
        <w:wordWrap/>
        <w:spacing w:beforeLines="0" w:beforeAutospacing="0" w:afterLines="0" w:afterAutospacing="0" w:line="210" w:lineRule="atLeast"/>
      </w:pPr>
    </w:tblStylePr>
    <w:tblStylePr w:type="band2Horz">
      <w:pPr>
        <w:wordWrap/>
        <w:spacing w:beforeLines="0" w:beforeAutospacing="0" w:afterLines="0" w:afterAutospacing="0" w:line="210" w:lineRule="atLeast"/>
      </w:pPr>
    </w:tblStylePr>
  </w:style>
  <w:style w:type="paragraph" w:customStyle="1" w:styleId="Disclaimer">
    <w:name w:val="Disclaimer"/>
    <w:basedOn w:val="Footer"/>
    <w:uiPriority w:val="34"/>
    <w:qFormat/>
    <w:pPr>
      <w:tabs>
        <w:tab w:val="center" w:pos="4513"/>
        <w:tab w:val="right" w:pos="9026"/>
      </w:tabs>
      <w:spacing w:line="200" w:lineRule="atLeast"/>
    </w:pPr>
    <w:rPr>
      <w:rFonts w:ascii="Cambria" w:eastAsia="Calibri" w:hAnsi="Cambria"/>
      <w:color w:val="000000"/>
      <w:sz w:val="14"/>
      <w:szCs w:val="14"/>
    </w:rPr>
  </w:style>
  <w:style w:type="numbering" w:customStyle="1" w:styleId="SmartBullets">
    <w:name w:val="Smart Bullets"/>
    <w:uiPriority w:val="99"/>
    <w:pPr>
      <w:numPr>
        <w:numId w:val="17"/>
      </w:numPr>
    </w:pPr>
  </w:style>
  <w:style w:type="character" w:styleId="PlaceholderText">
    <w:name w:val="Placeholder Text"/>
    <w:uiPriority w:val="99"/>
    <w:semiHidden/>
    <w:rPr>
      <w:color w:val="808080"/>
    </w:rPr>
  </w:style>
  <w:style w:type="paragraph" w:customStyle="1" w:styleId="TOCTitles">
    <w:name w:val="TOC Titles"/>
    <w:basedOn w:val="Normal"/>
    <w:uiPriority w:val="34"/>
    <w:qFormat/>
    <w:pPr>
      <w:tabs>
        <w:tab w:val="right" w:pos="8364"/>
      </w:tabs>
      <w:spacing w:after="120"/>
      <w:ind w:left="1701"/>
    </w:pPr>
    <w:rPr>
      <w:rFonts w:eastAsia="Calibri"/>
      <w:b/>
      <w:color w:val="D06F1A"/>
      <w:szCs w:val="21"/>
    </w:rPr>
  </w:style>
  <w:style w:type="paragraph" w:customStyle="1" w:styleId="Quotedetails">
    <w:name w:val="Quote details"/>
    <w:basedOn w:val="Normal"/>
    <w:uiPriority w:val="34"/>
    <w:qFormat/>
    <w:pPr>
      <w:spacing w:after="360"/>
      <w:contextualSpacing/>
    </w:pPr>
    <w:rPr>
      <w:rFonts w:eastAsia="Calibri"/>
      <w:color w:val="D06F1A"/>
      <w:sz w:val="24"/>
      <w:szCs w:val="21"/>
    </w:rPr>
  </w:style>
  <w:style w:type="paragraph" w:customStyle="1" w:styleId="Margintext">
    <w:name w:val="Margin text"/>
    <w:basedOn w:val="Normal"/>
    <w:uiPriority w:val="34"/>
    <w:qFormat/>
    <w:pPr>
      <w:framePr w:w="1928" w:hSpace="227" w:wrap="around" w:vAnchor="text" w:hAnchor="page" w:x="795" w:y="1"/>
      <w:pBdr>
        <w:top w:val="dotted" w:sz="4" w:space="4" w:color="000000"/>
        <w:left w:val="dotted" w:sz="4" w:space="4" w:color="FFFFFF"/>
      </w:pBdr>
    </w:pPr>
    <w:rPr>
      <w:rFonts w:eastAsia="Calibri"/>
      <w:i/>
      <w:szCs w:val="21"/>
    </w:rPr>
  </w:style>
  <w:style w:type="paragraph" w:customStyle="1" w:styleId="MarginTable0">
    <w:name w:val="Margin Table"/>
    <w:basedOn w:val="Margintext"/>
    <w:uiPriority w:val="34"/>
    <w:qFormat/>
    <w:pPr>
      <w:framePr w:wrap="around"/>
      <w:pBdr>
        <w:top w:val="dotted" w:sz="4" w:space="1" w:color="000000"/>
      </w:pBdr>
      <w:spacing w:after="0" w:line="240" w:lineRule="auto"/>
    </w:pPr>
    <w:rPr>
      <w:rFonts w:ascii="Calibri" w:hAnsi="Calibri"/>
      <w:i w:val="0"/>
      <w:sz w:val="16"/>
    </w:rPr>
  </w:style>
  <w:style w:type="table" w:customStyle="1" w:styleId="PwCMarginTable">
    <w:name w:val="PwC Margin Table"/>
    <w:basedOn w:val="TableNormal"/>
    <w:uiPriority w:val="99"/>
    <w:qFormat/>
    <w:rPr>
      <w:rFonts w:ascii="Calibri" w:eastAsia="Calibri" w:hAnsi="Calibri"/>
      <w:color w:val="000000"/>
      <w:sz w:val="21"/>
      <w:szCs w:val="21"/>
      <w:lang w:val="en-GB" w:eastAsia="en-US"/>
    </w:rPr>
    <w:tblPr/>
    <w:tblStylePr w:type="firstRow">
      <w:tblPr/>
      <w:tcPr>
        <w:tcBorders>
          <w:top w:val="nil"/>
        </w:tcBorders>
      </w:tcPr>
    </w:tblStylePr>
  </w:style>
  <w:style w:type="paragraph" w:customStyle="1" w:styleId="MarginLines">
    <w:name w:val="Margin Lines"/>
    <w:basedOn w:val="Margintext"/>
    <w:uiPriority w:val="34"/>
    <w:qFormat/>
    <w:pPr>
      <w:framePr w:wrap="around"/>
      <w:spacing w:after="200" w:line="200" w:lineRule="atLeast"/>
    </w:pPr>
    <w:rPr>
      <w:rFonts w:ascii="Arial" w:hAnsi="Arial"/>
      <w:i w:val="0"/>
      <w:sz w:val="16"/>
    </w:rPr>
  </w:style>
  <w:style w:type="paragraph" w:customStyle="1" w:styleId="MarginLinesHeading">
    <w:name w:val="Margin Lines Heading"/>
    <w:basedOn w:val="MarginLines"/>
    <w:uiPriority w:val="34"/>
    <w:qFormat/>
    <w:pPr>
      <w:framePr w:wrap="around"/>
      <w:pBdr>
        <w:top w:val="single" w:sz="8" w:space="1" w:color="000000"/>
        <w:bottom w:val="dashSmallGap" w:sz="4" w:space="1" w:color="auto"/>
      </w:pBdr>
      <w:spacing w:after="0"/>
    </w:pPr>
  </w:style>
  <w:style w:type="paragraph" w:customStyle="1" w:styleId="MarginLinesBody">
    <w:name w:val="Margin Lines Body"/>
    <w:basedOn w:val="MarginLinesHeading"/>
    <w:uiPriority w:val="34"/>
    <w:qFormat/>
    <w:pPr>
      <w:framePr w:wrap="around"/>
      <w:pBdr>
        <w:top w:val="none" w:sz="0" w:space="0" w:color="auto"/>
        <w:between w:val="dashSmallGap" w:sz="4" w:space="1" w:color="auto"/>
      </w:pBdr>
      <w:tabs>
        <w:tab w:val="right" w:pos="1932"/>
      </w:tabs>
    </w:pPr>
  </w:style>
  <w:style w:type="paragraph" w:customStyle="1" w:styleId="Elbow">
    <w:name w:val="Elbow"/>
    <w:basedOn w:val="Normal"/>
    <w:uiPriority w:val="34"/>
    <w:qFormat/>
    <w:pPr>
      <w:framePr w:wrap="around" w:vAnchor="text" w:hAnchor="text" w:y="1" w:anchorLock="1"/>
      <w:spacing w:after="0" w:line="240" w:lineRule="auto"/>
    </w:pPr>
    <w:rPr>
      <w:rFonts w:eastAsia="Calibri"/>
      <w:color w:val="000000"/>
      <w:szCs w:val="21"/>
    </w:rPr>
  </w:style>
  <w:style w:type="paragraph" w:customStyle="1" w:styleId="FrameLine">
    <w:name w:val="Frame Line"/>
    <w:basedOn w:val="MarginLines"/>
    <w:next w:val="Heading1"/>
    <w:uiPriority w:val="34"/>
    <w:qFormat/>
    <w:pPr>
      <w:framePr w:w="8618" w:h="227" w:hRule="exact" w:hSpace="0" w:wrap="around" w:vAnchor="page" w:hAnchor="text" w:x="-226" w:y="1447" w:anchorLock="1"/>
      <w:pBdr>
        <w:top w:val="single" w:sz="6" w:space="0" w:color="D06F1A"/>
        <w:left w:val="single" w:sz="6" w:space="0" w:color="D06F1A"/>
      </w:pBdr>
      <w:spacing w:after="0"/>
    </w:pPr>
  </w:style>
  <w:style w:type="numbering" w:customStyle="1" w:styleId="Appendix">
    <w:name w:val="Appendix"/>
    <w:uiPriority w:val="99"/>
    <w:pPr>
      <w:numPr>
        <w:numId w:val="18"/>
      </w:numPr>
    </w:pPr>
  </w:style>
  <w:style w:type="paragraph" w:customStyle="1" w:styleId="TableSpacer">
    <w:name w:val="Table Spacer"/>
    <w:basedOn w:val="Normal"/>
    <w:uiPriority w:val="34"/>
    <w:qFormat/>
    <w:pPr>
      <w:spacing w:after="0" w:line="240" w:lineRule="auto"/>
    </w:pPr>
    <w:rPr>
      <w:rFonts w:eastAsia="Calibri"/>
      <w:color w:val="000000"/>
      <w:sz w:val="4"/>
      <w:szCs w:val="21"/>
    </w:rPr>
  </w:style>
  <w:style w:type="paragraph" w:customStyle="1" w:styleId="FrameLine-Cover">
    <w:name w:val="Frame Line-Cover"/>
    <w:basedOn w:val="FrameLine"/>
    <w:uiPriority w:val="34"/>
    <w:qFormat/>
    <w:pPr>
      <w:framePr w:wrap="around" w:y="3176"/>
      <w:pBdr>
        <w:top w:val="single" w:sz="6" w:space="0" w:color="auto"/>
        <w:left w:val="single" w:sz="6" w:space="0" w:color="auto"/>
      </w:pBdr>
    </w:pPr>
  </w:style>
  <w:style w:type="paragraph" w:customStyle="1" w:styleId="Callout2">
    <w:name w:val="Callout 2"/>
    <w:next w:val="NoParagraphStyle"/>
    <w:pPr>
      <w:framePr w:hSpace="187" w:wrap="around" w:vAnchor="page" w:hAnchor="page" w:x="721" w:y="6913"/>
      <w:spacing w:after="180" w:line="280" w:lineRule="atLeast"/>
      <w:suppressOverlap/>
    </w:pPr>
    <w:rPr>
      <w:rFonts w:eastAsia="Times New Roman" w:cs="Arial"/>
      <w:i/>
      <w:sz w:val="19"/>
      <w:szCs w:val="36"/>
      <w:lang w:val="es-ES" w:eastAsia="en-US"/>
    </w:rPr>
  </w:style>
  <w:style w:type="paragraph" w:customStyle="1" w:styleId="Sectionheading">
    <w:name w:val="Sectionheading"/>
    <w:basedOn w:val="Normal"/>
    <w:next w:val="Normal"/>
    <w:qFormat/>
    <w:pPr>
      <w:pageBreakBefore/>
      <w:spacing w:after="960" w:line="264" w:lineRule="auto"/>
    </w:pPr>
    <w:rPr>
      <w:rFonts w:ascii="Cambria" w:eastAsia="Times New Roman" w:hAnsi="Cambria"/>
      <w:sz w:val="60"/>
    </w:rPr>
  </w:style>
  <w:style w:type="paragraph" w:customStyle="1" w:styleId="SectionheadingWhite">
    <w:name w:val="SectionheadingWhite"/>
    <w:basedOn w:val="Sectionheading"/>
    <w:next w:val="Normal"/>
    <w:pPr>
      <w:framePr w:wrap="auto" w:hAnchor="text" w:y="-199"/>
    </w:pPr>
    <w:rPr>
      <w:b/>
      <w:i/>
      <w:color w:val="FFFFFF"/>
    </w:rPr>
  </w:style>
  <w:style w:type="paragraph" w:customStyle="1" w:styleId="Subheading0">
    <w:name w:val="Subheading"/>
    <w:basedOn w:val="Sectionheading"/>
    <w:qFormat/>
    <w:pPr>
      <w:pageBreakBefore w:val="0"/>
      <w:spacing w:after="480" w:line="600" w:lineRule="atLeast"/>
    </w:pPr>
    <w:rPr>
      <w:sz w:val="48"/>
    </w:rPr>
  </w:style>
  <w:style w:type="paragraph" w:customStyle="1" w:styleId="TableSpacer0">
    <w:name w:val="TableSpacer"/>
    <w:basedOn w:val="Normal"/>
    <w:pPr>
      <w:spacing w:after="0" w:line="240" w:lineRule="auto"/>
    </w:pPr>
    <w:rPr>
      <w:rFonts w:ascii="Cambria" w:eastAsia="Times New Roman" w:hAnsi="Cambria" w:cs="Arial"/>
      <w:sz w:val="4"/>
      <w:lang w:eastAsia="en-GB"/>
    </w:rPr>
  </w:style>
  <w:style w:type="paragraph" w:customStyle="1" w:styleId="CoverCallOut">
    <w:name w:val="CoverCallOut"/>
    <w:basedOn w:val="Header"/>
    <w:qFormat/>
    <w:pPr>
      <w:framePr w:w="2126" w:wrap="around" w:vAnchor="page" w:hAnchor="page" w:x="795" w:y="8506"/>
      <w:pBdr>
        <w:top w:val="dotted" w:sz="6" w:space="6" w:color="auto"/>
        <w:left w:val="dotted" w:sz="6" w:space="4" w:color="FFFFFF"/>
        <w:bottom w:val="dotted" w:sz="6" w:space="30" w:color="FFFFFF"/>
      </w:pBdr>
      <w:tabs>
        <w:tab w:val="center" w:pos="4465"/>
        <w:tab w:val="right" w:pos="8930"/>
      </w:tabs>
      <w:spacing w:after="120" w:line="240" w:lineRule="atLeast"/>
    </w:pPr>
    <w:rPr>
      <w:rFonts w:ascii="Cambria" w:eastAsia="Times New Roman" w:hAnsi="Cambria"/>
      <w:i/>
      <w:sz w:val="16"/>
    </w:rPr>
  </w:style>
  <w:style w:type="paragraph" w:customStyle="1" w:styleId="TableText">
    <w:name w:val="Table Text"/>
    <w:basedOn w:val="Normal"/>
    <w:qFormat/>
    <w:pPr>
      <w:spacing w:after="0" w:line="264" w:lineRule="auto"/>
      <w:contextualSpacing/>
    </w:pPr>
    <w:rPr>
      <w:rFonts w:ascii="Calibri" w:eastAsia="Times New Roman" w:hAnsi="Calibri"/>
      <w:sz w:val="16"/>
      <w:lang w:val="en-US"/>
    </w:rPr>
  </w:style>
  <w:style w:type="paragraph" w:customStyle="1" w:styleId="TableColumnHeader">
    <w:name w:val="Table Column Header"/>
    <w:basedOn w:val="TableText"/>
    <w:qFormat/>
    <w:rPr>
      <w:rFonts w:cs="Arial"/>
      <w:szCs w:val="36"/>
      <w:lang w:val="es-ES"/>
    </w:rPr>
  </w:style>
  <w:style w:type="paragraph" w:customStyle="1" w:styleId="TableFigure">
    <w:name w:val="Table Figure"/>
    <w:basedOn w:val="TableText"/>
    <w:qFormat/>
    <w:pPr>
      <w:tabs>
        <w:tab w:val="decimal" w:pos="595"/>
      </w:tabs>
    </w:pPr>
    <w:rPr>
      <w:snapToGrid w:val="0"/>
    </w:rPr>
  </w:style>
  <w:style w:type="paragraph" w:customStyle="1" w:styleId="TableListNumber">
    <w:name w:val="Table List Number"/>
    <w:basedOn w:val="TableText"/>
    <w:qFormat/>
    <w:pPr>
      <w:tabs>
        <w:tab w:val="left" w:pos="298"/>
      </w:tabs>
      <w:ind w:left="298" w:hanging="298"/>
    </w:pPr>
  </w:style>
  <w:style w:type="paragraph" w:styleId="TableofAuthorities">
    <w:name w:val="table of authorities"/>
    <w:basedOn w:val="Normal"/>
    <w:next w:val="Normal"/>
    <w:semiHidden/>
    <w:locked/>
    <w:pPr>
      <w:spacing w:after="0" w:line="264" w:lineRule="auto"/>
      <w:ind w:left="595" w:hanging="200"/>
    </w:pPr>
    <w:rPr>
      <w:rFonts w:ascii="Cambria" w:eastAsia="Times New Roman" w:hAnsi="Cambria"/>
    </w:rPr>
  </w:style>
  <w:style w:type="paragraph" w:customStyle="1" w:styleId="TableRowHeader">
    <w:name w:val="Table Row Header"/>
    <w:basedOn w:val="TableText"/>
    <w:qFormat/>
    <w:rPr>
      <w:b/>
      <w:bCs/>
      <w:snapToGrid w:val="0"/>
    </w:rPr>
  </w:style>
  <w:style w:type="table" w:customStyle="1" w:styleId="DP-Plain">
    <w:name w:val="DP-Plain"/>
    <w:basedOn w:val="TableNormal"/>
    <w:uiPriority w:val="99"/>
    <w:qFormat/>
    <w:rPr>
      <w:rFonts w:ascii="Arial" w:eastAsia="Calibri" w:hAnsi="Arial"/>
      <w:lang w:val="en-GB" w:eastAsia="en-US"/>
    </w:rPr>
    <w:tblPr>
      <w:tblBorders>
        <w:bottom w:val="dotted" w:sz="6" w:space="0" w:color="auto"/>
      </w:tblBorders>
      <w:tblCellMar>
        <w:top w:w="57" w:type="dxa"/>
        <w:left w:w="0" w:type="dxa"/>
        <w:right w:w="0" w:type="dxa"/>
      </w:tblCellMar>
    </w:tblPr>
    <w:tblStylePr w:type="firstRow">
      <w:rPr>
        <w:b/>
      </w:rPr>
      <w:tblPr/>
      <w:tcPr>
        <w:tcBorders>
          <w:top w:val="single" w:sz="6" w:space="0" w:color="auto"/>
          <w:bottom w:val="dotted" w:sz="6" w:space="0" w:color="auto"/>
        </w:tcBorders>
      </w:tcPr>
    </w:tblStylePr>
  </w:style>
  <w:style w:type="table" w:customStyle="1" w:styleId="DP-PlainColoured">
    <w:name w:val="DP-PlainColoured"/>
    <w:basedOn w:val="TableNormal"/>
    <w:uiPriority w:val="99"/>
    <w:qFormat/>
    <w:rPr>
      <w:rFonts w:ascii="Calibri" w:eastAsia="Calibri" w:hAnsi="Calibri"/>
      <w:color w:val="000000"/>
      <w:sz w:val="21"/>
      <w:szCs w:val="21"/>
      <w:lang w:val="en-GB" w:eastAsia="en-US"/>
    </w:rPr>
    <w:tblPr>
      <w:tblBorders>
        <w:top w:val="single" w:sz="4" w:space="0" w:color="D06F1A"/>
        <w:insideH w:val="dotted" w:sz="6" w:space="0" w:color="D06F1A"/>
      </w:tblBorders>
      <w:tblCellMar>
        <w:top w:w="57" w:type="dxa"/>
        <w:left w:w="0" w:type="dxa"/>
        <w:right w:w="0" w:type="dxa"/>
      </w:tblCellMar>
    </w:tblPr>
    <w:tblStylePr w:type="firstRow">
      <w:rPr>
        <w:b/>
      </w:rPr>
    </w:tblStylePr>
  </w:style>
  <w:style w:type="paragraph" w:customStyle="1" w:styleId="DisclaimerCopyright">
    <w:name w:val="Disclaimer &amp; Copyright"/>
    <w:basedOn w:val="Normal"/>
    <w:uiPriority w:val="99"/>
    <w:pPr>
      <w:suppressAutoHyphens/>
      <w:autoSpaceDE w:val="0"/>
      <w:autoSpaceDN w:val="0"/>
      <w:adjustRightInd w:val="0"/>
      <w:spacing w:after="0" w:line="180" w:lineRule="atLeast"/>
      <w:textAlignment w:val="center"/>
    </w:pPr>
    <w:rPr>
      <w:rFonts w:eastAsia="Calibri" w:cs="Georgia"/>
      <w:color w:val="000000"/>
      <w:sz w:val="14"/>
      <w:szCs w:val="14"/>
      <w:lang w:val="en-US"/>
    </w:rPr>
  </w:style>
  <w:style w:type="paragraph" w:styleId="TOAHeading">
    <w:name w:val="toa heading"/>
    <w:basedOn w:val="Normal"/>
    <w:next w:val="Normal"/>
    <w:uiPriority w:val="99"/>
    <w:unhideWhenUsed/>
    <w:locked/>
    <w:pPr>
      <w:spacing w:before="120" w:after="0"/>
    </w:pPr>
    <w:rPr>
      <w:rFonts w:ascii="Cambria" w:eastAsia="Times New Roman" w:hAnsi="Cambria"/>
      <w:b/>
      <w:bCs/>
      <w:color w:val="000000"/>
      <w:sz w:val="24"/>
      <w:szCs w:val="24"/>
    </w:rPr>
  </w:style>
  <w:style w:type="paragraph" w:customStyle="1" w:styleId="NoParagraphStyle">
    <w:name w:val="[No Paragraph Style]"/>
    <w:pPr>
      <w:autoSpaceDE w:val="0"/>
      <w:autoSpaceDN w:val="0"/>
      <w:adjustRightInd w:val="0"/>
      <w:spacing w:line="288" w:lineRule="auto"/>
      <w:textAlignment w:val="center"/>
    </w:pPr>
    <w:rPr>
      <w:rFonts w:ascii="Times New Roman" w:eastAsia="Calibri" w:hAnsi="Times New Roman"/>
      <w:color w:val="000000"/>
      <w:sz w:val="24"/>
      <w:szCs w:val="24"/>
      <w:lang w:val="en-US" w:eastAsia="en-US"/>
    </w:rPr>
  </w:style>
  <w:style w:type="paragraph" w:customStyle="1" w:styleId="Pagenumber1">
    <w:name w:val="Page number 1"/>
    <w:basedOn w:val="Footer"/>
    <w:uiPriority w:val="34"/>
    <w:qFormat/>
    <w:pPr>
      <w:tabs>
        <w:tab w:val="right" w:pos="8392"/>
      </w:tabs>
      <w:spacing w:before="400" w:line="180" w:lineRule="atLeast"/>
    </w:pPr>
    <w:rPr>
      <w:rFonts w:eastAsia="Calibri"/>
      <w:color w:val="000000"/>
      <w:szCs w:val="16"/>
    </w:rPr>
  </w:style>
  <w:style w:type="character" w:customStyle="1" w:styleId="List-bold">
    <w:name w:val="List - bold"/>
    <w:uiPriority w:val="1"/>
    <w:qFormat/>
    <w:rPr>
      <w:b/>
    </w:rPr>
  </w:style>
  <w:style w:type="paragraph" w:customStyle="1" w:styleId="Callout">
    <w:name w:val="Callout"/>
    <w:uiPriority w:val="34"/>
    <w:qFormat/>
    <w:pPr>
      <w:framePr w:hSpace="187" w:wrap="around" w:vAnchor="page" w:hAnchor="page" w:x="721" w:y="6481"/>
      <w:spacing w:after="180" w:line="280" w:lineRule="atLeast"/>
      <w:suppressOverlap/>
    </w:pPr>
    <w:rPr>
      <w:rFonts w:eastAsia="Times New Roman" w:cs="Arial"/>
      <w:i/>
      <w:color w:val="D06F1A"/>
      <w:sz w:val="16"/>
      <w:szCs w:val="24"/>
      <w:lang w:val="es-ES" w:eastAsia="en-US"/>
    </w:rPr>
  </w:style>
  <w:style w:type="paragraph" w:customStyle="1" w:styleId="Dividerpage">
    <w:name w:val="Divider page"/>
    <w:uiPriority w:val="34"/>
    <w:qFormat/>
    <w:pPr>
      <w:spacing w:after="240" w:line="720" w:lineRule="atLeast"/>
      <w:suppressOverlap/>
    </w:pPr>
    <w:rPr>
      <w:rFonts w:eastAsia="Times New Roman"/>
      <w:b/>
      <w:i/>
      <w:noProof/>
      <w:color w:val="FFFFFF"/>
      <w:kern w:val="28"/>
      <w:sz w:val="72"/>
      <w:szCs w:val="66"/>
      <w:lang w:val="en-US" w:eastAsia="en-GB"/>
    </w:rPr>
  </w:style>
  <w:style w:type="paragraph" w:customStyle="1" w:styleId="ChartTitle">
    <w:name w:val="Chart Title"/>
    <w:uiPriority w:val="34"/>
    <w:qFormat/>
    <w:pPr>
      <w:spacing w:before="240" w:line="240" w:lineRule="atLeast"/>
    </w:pPr>
    <w:rPr>
      <w:rFonts w:ascii="Cambria" w:eastAsia="Times New Roman" w:hAnsi="Cambria"/>
      <w:b/>
      <w:bCs/>
      <w:color w:val="000000"/>
      <w:szCs w:val="21"/>
      <w:lang w:val="en-GB" w:eastAsia="en-US"/>
    </w:rPr>
  </w:style>
  <w:style w:type="paragraph" w:customStyle="1" w:styleId="PwCAddress">
    <w:name w:val="PwC Address"/>
    <w:basedOn w:val="Normal"/>
    <w:link w:val="PwCAddressChar"/>
    <w:qFormat/>
    <w:pPr>
      <w:spacing w:after="0" w:line="200" w:lineRule="atLeast"/>
    </w:pPr>
    <w:rPr>
      <w:rFonts w:eastAsia="Calibri"/>
      <w:i/>
      <w:noProof/>
      <w:sz w:val="18"/>
      <w:szCs w:val="22"/>
      <w:lang w:eastAsia="en-GB"/>
    </w:rPr>
  </w:style>
  <w:style w:type="character" w:customStyle="1" w:styleId="PwCAddressChar">
    <w:name w:val="PwC Address Char"/>
    <w:link w:val="PwCAddress"/>
    <w:rPr>
      <w:rFonts w:eastAsia="Calibri" w:cs="Times New Roman"/>
      <w:i/>
      <w:noProof/>
      <w:sz w:val="18"/>
      <w:szCs w:val="22"/>
      <w:lang w:val="en-GB" w:eastAsia="en-GB"/>
    </w:rPr>
  </w:style>
  <w:style w:type="table" w:customStyle="1" w:styleId="TableGrid10">
    <w:name w:val="Table Grid1"/>
    <w:basedOn w:val="TableNormal"/>
    <w:next w:val="TableGrid"/>
    <w:rPr>
      <w:rFonts w:eastAsia="Calibri"/>
      <w:lang w:val="en-GB"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ppendix1">
    <w:name w:val="Appendix 1"/>
    <w:basedOn w:val="Normal"/>
    <w:uiPriority w:val="34"/>
    <w:qFormat/>
    <w:pPr>
      <w:spacing w:after="480" w:line="600" w:lineRule="atLeast"/>
    </w:pPr>
    <w:rPr>
      <w:rFonts w:eastAsia="Times New Roman"/>
      <w:b/>
      <w:bCs/>
      <w:i/>
      <w:color w:val="000000"/>
      <w:sz w:val="56"/>
      <w:szCs w:val="56"/>
      <w:lang w:val="en-US"/>
    </w:rPr>
  </w:style>
  <w:style w:type="character" w:customStyle="1" w:styleId="NoSpacingChar">
    <w:name w:val="No Spacing Char"/>
    <w:link w:val="NoSpacing"/>
    <w:uiPriority w:val="1"/>
    <w:rPr>
      <w:rFonts w:ascii="Calibri" w:eastAsia="Calibri" w:hAnsi="Calibri"/>
      <w:sz w:val="22"/>
      <w:szCs w:val="22"/>
      <w:lang w:val="it-IT" w:eastAsia="en-US" w:bidi="ar-SA"/>
    </w:rPr>
  </w:style>
  <w:style w:type="table" w:customStyle="1" w:styleId="FrameLineColoured">
    <w:name w:val="Frame Line Coloured"/>
    <w:basedOn w:val="TableNormal"/>
    <w:uiPriority w:val="99"/>
    <w:qFormat/>
    <w:rPr>
      <w:rFonts w:eastAsia="Calibri"/>
      <w:lang w:val="en-GB" w:eastAsia="en-US"/>
    </w:rPr>
    <w:tblPr>
      <w:tblBorders>
        <w:top w:val="single" w:sz="8" w:space="0" w:color="D06F1A"/>
        <w:left w:val="single" w:sz="8" w:space="0" w:color="D06F1A"/>
      </w:tblBorders>
      <w:tblCellMar>
        <w:left w:w="227" w:type="dxa"/>
        <w:right w:w="0" w:type="dxa"/>
      </w:tblCellMar>
    </w:tblPr>
  </w:style>
  <w:style w:type="paragraph" w:customStyle="1" w:styleId="BodyTextBlue">
    <w:name w:val="Body Text Blue"/>
    <w:basedOn w:val="BodyText30"/>
    <w:qFormat/>
    <w:pPr>
      <w:spacing w:before="0" w:after="0"/>
      <w:jc w:val="left"/>
    </w:pPr>
    <w:rPr>
      <w:rFonts w:ascii="Georgia" w:hAnsi="Georgia"/>
      <w:bCs/>
      <w:color w:val="000000"/>
      <w:sz w:val="21"/>
      <w:lang w:val="en-GB"/>
    </w:rPr>
  </w:style>
  <w:style w:type="paragraph" w:customStyle="1" w:styleId="CVNormal">
    <w:name w:val="CV Normal"/>
    <w:basedOn w:val="Normal"/>
    <w:pPr>
      <w:suppressAutoHyphens/>
      <w:spacing w:after="0" w:line="240" w:lineRule="auto"/>
      <w:ind w:left="113" w:right="113"/>
    </w:pPr>
    <w:rPr>
      <w:rFonts w:ascii="Arial Narrow" w:eastAsia="Times New Roman" w:hAnsi="Arial Narrow"/>
      <w:lang w:val="en-US" w:eastAsia="ar-SA"/>
    </w:rPr>
  </w:style>
  <w:style w:type="paragraph" w:customStyle="1" w:styleId="OiaeaeiYiio2">
    <w:name w:val="O?ia eaeiYiio 2"/>
    <w:basedOn w:val="Normal"/>
    <w:pPr>
      <w:widowControl w:val="0"/>
      <w:spacing w:after="0" w:line="240" w:lineRule="auto"/>
      <w:jc w:val="right"/>
    </w:pPr>
    <w:rPr>
      <w:rFonts w:ascii="Times New Roman" w:eastAsia="Times New Roman" w:hAnsi="Times New Roman"/>
      <w:i/>
      <w:sz w:val="16"/>
      <w:lang w:val="en-US" w:eastAsia="it-IT"/>
    </w:rPr>
  </w:style>
  <w:style w:type="table" w:customStyle="1" w:styleId="PwCTable11">
    <w:name w:val="PwC Table 11"/>
    <w:basedOn w:val="TableNormal"/>
    <w:uiPriority w:val="99"/>
    <w:qFormat/>
    <w:rPr>
      <w:rFonts w:ascii="Arial" w:hAnsi="Arial"/>
      <w:color w:val="000000"/>
      <w:sz w:val="18"/>
      <w:lang w:val="en-GB" w:eastAsia="en-US"/>
    </w:rPr>
    <w:tblPr>
      <w:tblStyleRowBandSize w:val="1"/>
      <w:tblBorders>
        <w:bottom w:val="dotted" w:sz="6" w:space="0" w:color="DC6900"/>
      </w:tblBorders>
      <w:tblCellMar>
        <w:top w:w="57" w:type="dxa"/>
        <w:left w:w="0" w:type="dxa"/>
        <w:right w:w="0" w:type="dxa"/>
      </w:tblCellMar>
    </w:tblPr>
    <w:tblStylePr w:type="firstRow">
      <w:pPr>
        <w:wordWrap/>
        <w:spacing w:beforeLines="0" w:beforeAutospacing="0" w:afterLines="0" w:afterAutospacing="0" w:line="210" w:lineRule="atLeast"/>
        <w:contextualSpacing w:val="0"/>
      </w:pPr>
      <w:rPr>
        <w:rFonts w:ascii="Arial Bold" w:hAnsi="Arial Bold"/>
        <w:b/>
        <w:color w:val="DC6900"/>
        <w:sz w:val="18"/>
      </w:rPr>
      <w:tblPr/>
      <w:tcPr>
        <w:tcBorders>
          <w:top w:val="single" w:sz="6" w:space="0" w:color="DC6900"/>
          <w:left w:val="nil"/>
          <w:bottom w:val="dotted" w:sz="6" w:space="0" w:color="DC6900"/>
          <w:right w:val="nil"/>
          <w:insideH w:val="nil"/>
          <w:insideV w:val="nil"/>
          <w:tl2br w:val="nil"/>
          <w:tr2bl w:val="nil"/>
        </w:tcBorders>
      </w:tcPr>
    </w:tblStylePr>
    <w:tblStylePr w:type="lastRow">
      <w:tblPr/>
      <w:tcPr>
        <w:shd w:val="clear" w:color="auto" w:fill="FFE0C5"/>
      </w:tcPr>
    </w:tblStylePr>
    <w:tblStylePr w:type="band1Horz">
      <w:pPr>
        <w:wordWrap/>
        <w:spacing w:beforeLines="0" w:beforeAutospacing="0" w:afterLines="0" w:afterAutospacing="0" w:line="210" w:lineRule="atLeast"/>
      </w:pPr>
    </w:tblStylePr>
    <w:tblStylePr w:type="band2Horz">
      <w:pPr>
        <w:wordWrap/>
        <w:spacing w:beforeLines="0" w:beforeAutospacing="0" w:afterLines="0" w:afterAutospacing="0" w:line="210" w:lineRule="atLeast"/>
      </w:pPr>
    </w:tblStylePr>
  </w:style>
  <w:style w:type="character" w:customStyle="1" w:styleId="FootnoteTextChar1">
    <w:name w:val="Footnote Text Char1"/>
    <w:aliases w:val="Reference Char,-E Fußnotentext Char,-E Fußnotentext1 Char,-E Fußnotentext2 Char,-E Fußnotentext3 Char,Fußnotentext Ursprung Char,Fußnote Char,Foot note Char,Foot note Char1 Char,Testo nota a piè di pagina_Rientro Char1,stile 1 Char1"/>
    <w:uiPriority w:val="99"/>
    <w:rPr>
      <w:rFonts w:ascii="Verdana" w:hAnsi="Verdana"/>
      <w:spacing w:val="6"/>
      <w:sz w:val="16"/>
      <w:szCs w:val="14"/>
      <w:lang w:val="en-GB" w:eastAsia="en-US" w:bidi="ar-SA"/>
    </w:rPr>
  </w:style>
  <w:style w:type="paragraph" w:customStyle="1" w:styleId="subtitel">
    <w:name w:val="subtitel"/>
    <w:basedOn w:val="Normal"/>
    <w:pPr>
      <w:suppressAutoHyphens/>
      <w:spacing w:after="0"/>
      <w:jc w:val="both"/>
    </w:pPr>
    <w:rPr>
      <w:rFonts w:ascii="Verdana" w:eastAsia="Times New Roman" w:hAnsi="Verdana"/>
      <w:b/>
      <w:spacing w:val="18"/>
      <w:lang w:val="nl-NL"/>
    </w:rPr>
  </w:style>
  <w:style w:type="paragraph" w:customStyle="1" w:styleId="CM65">
    <w:name w:val="CM65"/>
    <w:basedOn w:val="Normal"/>
    <w:next w:val="Normal"/>
    <w:pPr>
      <w:widowControl w:val="0"/>
      <w:autoSpaceDE w:val="0"/>
      <w:autoSpaceDN w:val="0"/>
      <w:adjustRightInd w:val="0"/>
      <w:spacing w:after="253" w:line="240" w:lineRule="auto"/>
    </w:pPr>
    <w:rPr>
      <w:rFonts w:ascii="Arial" w:eastAsia="Times New Roman" w:hAnsi="Arial"/>
      <w:sz w:val="24"/>
      <w:szCs w:val="24"/>
      <w:lang w:val="nl-NL" w:eastAsia="nl-NL"/>
    </w:rPr>
  </w:style>
  <w:style w:type="paragraph" w:customStyle="1" w:styleId="msolistparagraph0">
    <w:name w:val="msolistparagraph"/>
    <w:basedOn w:val="Normal"/>
    <w:uiPriority w:val="99"/>
    <w:pPr>
      <w:spacing w:after="200" w:line="276" w:lineRule="auto"/>
      <w:ind w:left="720"/>
    </w:pPr>
    <w:rPr>
      <w:rFonts w:ascii="Calibri" w:eastAsia="Times New Roman" w:hAnsi="Calibri"/>
      <w:sz w:val="22"/>
      <w:szCs w:val="22"/>
      <w:lang w:val="en-US" w:eastAsia="ja-JP"/>
    </w:rPr>
  </w:style>
  <w:style w:type="paragraph" w:customStyle="1" w:styleId="ListTE">
    <w:name w:val="List TE"/>
    <w:basedOn w:val="Normal"/>
    <w:link w:val="ListTEChar"/>
    <w:qFormat/>
    <w:pPr>
      <w:keepLines/>
      <w:spacing w:after="40" w:line="260" w:lineRule="atLeast"/>
      <w:jc w:val="both"/>
    </w:pPr>
    <w:rPr>
      <w:rFonts w:ascii="Times New Roman" w:eastAsia="Times New Roman" w:hAnsi="Times New Roman"/>
      <w:sz w:val="22"/>
      <w:szCs w:val="24"/>
      <w:lang w:val="nl-BE"/>
    </w:rPr>
  </w:style>
  <w:style w:type="character" w:customStyle="1" w:styleId="ListTEChar">
    <w:name w:val="List TE Char"/>
    <w:link w:val="ListTE"/>
    <w:rPr>
      <w:rFonts w:ascii="Times New Roman" w:eastAsia="Times New Roman" w:hAnsi="Times New Roman"/>
      <w:sz w:val="22"/>
      <w:szCs w:val="24"/>
      <w:lang w:val="nl-BE" w:eastAsia="en-US"/>
    </w:rPr>
  </w:style>
  <w:style w:type="character" w:customStyle="1" w:styleId="Blue">
    <w:name w:val="Blue"/>
    <w:uiPriority w:val="1"/>
    <w:qFormat/>
    <w:rPr>
      <w:rFonts w:ascii="Times New Roman" w:hAnsi="Times New Roman"/>
      <w:b/>
      <w:color w:val="D06F1A"/>
      <w:sz w:val="22"/>
    </w:rPr>
  </w:style>
  <w:style w:type="table" w:styleId="MediumList1-Accent3">
    <w:name w:val="Medium List 1 Accent 3"/>
    <w:basedOn w:val="TableNormal"/>
    <w:uiPriority w:val="65"/>
    <w:rPr>
      <w:color w:val="000000"/>
    </w:rPr>
    <w:tblPr>
      <w:tblStyleRowBandSize w:val="1"/>
      <w:tblStyleColBandSize w:val="1"/>
      <w:tblBorders>
        <w:top w:val="single" w:sz="8" w:space="0" w:color="F69843"/>
        <w:bottom w:val="single" w:sz="8" w:space="0" w:color="F69843"/>
      </w:tblBorders>
    </w:tblPr>
    <w:tblStylePr w:type="firstRow">
      <w:rPr>
        <w:rFonts w:ascii="Cambria" w:eastAsia="Times New Roman" w:hAnsi="Cambria" w:cs="Times New Roman"/>
      </w:rPr>
      <w:tblPr/>
      <w:tcPr>
        <w:tcBorders>
          <w:top w:val="nil"/>
          <w:bottom w:val="single" w:sz="8" w:space="0" w:color="F69843"/>
        </w:tcBorders>
      </w:tcPr>
    </w:tblStylePr>
    <w:tblStylePr w:type="lastRow">
      <w:rPr>
        <w:b/>
        <w:bCs/>
        <w:color w:val="D06F1A"/>
      </w:rPr>
      <w:tblPr/>
      <w:tcPr>
        <w:tcBorders>
          <w:top w:val="single" w:sz="8" w:space="0" w:color="F69843"/>
          <w:bottom w:val="single" w:sz="8" w:space="0" w:color="F69843"/>
        </w:tcBorders>
      </w:tcPr>
    </w:tblStylePr>
    <w:tblStylePr w:type="firstCol">
      <w:rPr>
        <w:b/>
        <w:bCs/>
      </w:rPr>
    </w:tblStylePr>
    <w:tblStylePr w:type="lastCol">
      <w:rPr>
        <w:b/>
        <w:bCs/>
      </w:rPr>
      <w:tblPr/>
      <w:tcPr>
        <w:tcBorders>
          <w:top w:val="single" w:sz="8" w:space="0" w:color="F69843"/>
          <w:bottom w:val="single" w:sz="8" w:space="0" w:color="F69843"/>
        </w:tcBorders>
      </w:tcPr>
    </w:tblStylePr>
    <w:tblStylePr w:type="band1Vert">
      <w:tblPr/>
      <w:tcPr>
        <w:shd w:val="clear" w:color="auto" w:fill="FCE5D0"/>
      </w:tcPr>
    </w:tblStylePr>
    <w:tblStylePr w:type="band1Horz">
      <w:tblPr/>
      <w:tcPr>
        <w:shd w:val="clear" w:color="auto" w:fill="FCE5D0"/>
      </w:tcPr>
    </w:tblStylePr>
  </w:style>
  <w:style w:type="paragraph" w:customStyle="1" w:styleId="Sectiona">
    <w:name w:val="Sectiona"/>
    <w:basedOn w:val="BodyText"/>
    <w:link w:val="SectionaChar"/>
    <w:qFormat/>
    <w:rPr>
      <w:b/>
      <w:i/>
      <w:sz w:val="32"/>
      <w:szCs w:val="32"/>
      <w:lang w:val="en-US"/>
    </w:rPr>
  </w:style>
  <w:style w:type="character" w:customStyle="1" w:styleId="SectionaChar">
    <w:name w:val="Sectiona Char"/>
    <w:link w:val="Sectiona"/>
    <w:rPr>
      <w:rFonts w:cs="Times New Roman"/>
      <w:b/>
      <w:i/>
      <w:sz w:val="32"/>
      <w:szCs w:val="32"/>
      <w:lang w:val="en-US" w:eastAsia="en-US"/>
    </w:rPr>
  </w:style>
  <w:style w:type="paragraph" w:customStyle="1" w:styleId="xl63">
    <w:name w:val="xl63"/>
    <w:basedOn w:val="Normal"/>
    <w:pPr>
      <w:pBdr>
        <w:bottom w:val="dotted" w:sz="4" w:space="0" w:color="DC6900"/>
      </w:pBdr>
      <w:shd w:val="clear" w:color="000000" w:fill="FBEEE0"/>
      <w:spacing w:before="100" w:beforeAutospacing="1" w:after="100" w:afterAutospacing="1" w:line="240" w:lineRule="auto"/>
      <w:jc w:val="both"/>
    </w:pPr>
    <w:rPr>
      <w:rFonts w:eastAsia="Times New Roman"/>
      <w:b/>
      <w:bCs/>
      <w:color w:val="000000"/>
      <w:sz w:val="18"/>
      <w:szCs w:val="18"/>
      <w:lang w:val="it-IT" w:eastAsia="it-IT"/>
    </w:rPr>
  </w:style>
  <w:style w:type="paragraph" w:customStyle="1" w:styleId="xl64">
    <w:name w:val="xl64"/>
    <w:basedOn w:val="Normal"/>
    <w:pPr>
      <w:pBdr>
        <w:bottom w:val="dotted" w:sz="4" w:space="0" w:color="DC6900"/>
      </w:pBdr>
      <w:shd w:val="clear" w:color="000000" w:fill="FBEEE0"/>
      <w:spacing w:before="100" w:beforeAutospacing="1" w:after="100" w:afterAutospacing="1" w:line="240" w:lineRule="auto"/>
    </w:pPr>
    <w:rPr>
      <w:rFonts w:eastAsia="Times New Roman"/>
      <w:color w:val="000000"/>
      <w:sz w:val="18"/>
      <w:szCs w:val="18"/>
      <w:lang w:val="it-IT" w:eastAsia="it-IT"/>
    </w:rPr>
  </w:style>
  <w:style w:type="paragraph" w:customStyle="1" w:styleId="xl65">
    <w:name w:val="xl65"/>
    <w:basedOn w:val="Normal"/>
    <w:pPr>
      <w:spacing w:before="100" w:beforeAutospacing="1" w:after="100" w:afterAutospacing="1" w:line="240" w:lineRule="auto"/>
      <w:jc w:val="both"/>
    </w:pPr>
    <w:rPr>
      <w:rFonts w:eastAsia="Times New Roman"/>
      <w:color w:val="000000"/>
      <w:sz w:val="18"/>
      <w:szCs w:val="18"/>
      <w:lang w:val="it-IT" w:eastAsia="it-IT"/>
    </w:rPr>
  </w:style>
  <w:style w:type="paragraph" w:customStyle="1" w:styleId="xl66">
    <w:name w:val="xl66"/>
    <w:basedOn w:val="Normal"/>
    <w:pPr>
      <w:pBdr>
        <w:bottom w:val="dotted" w:sz="4" w:space="0" w:color="DC6900"/>
      </w:pBdr>
      <w:spacing w:before="100" w:beforeAutospacing="1" w:after="100" w:afterAutospacing="1" w:line="240" w:lineRule="auto"/>
      <w:jc w:val="both"/>
    </w:pPr>
    <w:rPr>
      <w:rFonts w:eastAsia="Times New Roman"/>
      <w:color w:val="000000"/>
      <w:sz w:val="18"/>
      <w:szCs w:val="18"/>
      <w:lang w:val="it-IT" w:eastAsia="it-IT"/>
    </w:rPr>
  </w:style>
  <w:style w:type="paragraph" w:customStyle="1" w:styleId="xl67">
    <w:name w:val="xl67"/>
    <w:basedOn w:val="Normal"/>
    <w:pPr>
      <w:pBdr>
        <w:bottom w:val="dotted" w:sz="4" w:space="0" w:color="DC6900"/>
      </w:pBdr>
      <w:spacing w:before="100" w:beforeAutospacing="1" w:after="100" w:afterAutospacing="1" w:line="240" w:lineRule="auto"/>
      <w:jc w:val="both"/>
    </w:pPr>
    <w:rPr>
      <w:rFonts w:eastAsia="Times New Roman"/>
      <w:color w:val="000000"/>
      <w:lang w:val="it-IT" w:eastAsia="it-IT"/>
    </w:rPr>
  </w:style>
  <w:style w:type="paragraph" w:customStyle="1" w:styleId="xl68">
    <w:name w:val="xl68"/>
    <w:basedOn w:val="Normal"/>
    <w:pPr>
      <w:pBdr>
        <w:bottom w:val="dotted" w:sz="4" w:space="0" w:color="DC6900"/>
      </w:pBdr>
      <w:spacing w:before="100" w:beforeAutospacing="1" w:after="100" w:afterAutospacing="1" w:line="240" w:lineRule="auto"/>
      <w:jc w:val="both"/>
    </w:pPr>
    <w:rPr>
      <w:rFonts w:eastAsia="Times New Roman"/>
      <w:color w:val="000000"/>
      <w:sz w:val="18"/>
      <w:szCs w:val="18"/>
      <w:lang w:val="it-IT" w:eastAsia="it-IT"/>
    </w:rPr>
  </w:style>
  <w:style w:type="paragraph" w:customStyle="1" w:styleId="xl69">
    <w:name w:val="xl69"/>
    <w:basedOn w:val="Normal"/>
    <w:pPr>
      <w:pBdr>
        <w:bottom w:val="dotted" w:sz="4" w:space="0" w:color="DC6900"/>
      </w:pBdr>
      <w:spacing w:before="100" w:beforeAutospacing="1" w:after="100" w:afterAutospacing="1" w:line="240" w:lineRule="auto"/>
      <w:jc w:val="both"/>
    </w:pPr>
    <w:rPr>
      <w:rFonts w:ascii="Arial" w:eastAsia="Times New Roman" w:hAnsi="Arial" w:cs="Arial"/>
      <w:color w:val="000000"/>
      <w:sz w:val="18"/>
      <w:szCs w:val="18"/>
      <w:lang w:val="it-IT" w:eastAsia="it-IT"/>
    </w:rPr>
  </w:style>
  <w:style w:type="paragraph" w:customStyle="1" w:styleId="xl70">
    <w:name w:val="xl70"/>
    <w:basedOn w:val="Normal"/>
    <w:pPr>
      <w:pBdr>
        <w:bottom w:val="dotted" w:sz="4" w:space="0" w:color="DC6900"/>
      </w:pBdr>
      <w:spacing w:before="100" w:beforeAutospacing="1" w:after="100" w:afterAutospacing="1" w:line="240" w:lineRule="auto"/>
      <w:jc w:val="both"/>
      <w:textAlignment w:val="top"/>
    </w:pPr>
    <w:rPr>
      <w:rFonts w:eastAsia="Times New Roman"/>
      <w:color w:val="000000"/>
      <w:sz w:val="18"/>
      <w:szCs w:val="18"/>
      <w:lang w:val="it-IT" w:eastAsia="it-IT"/>
    </w:rPr>
  </w:style>
  <w:style w:type="paragraph" w:customStyle="1" w:styleId="xl71">
    <w:name w:val="xl71"/>
    <w:basedOn w:val="Normal"/>
    <w:pPr>
      <w:pBdr>
        <w:bottom w:val="dotted" w:sz="4" w:space="0" w:color="DC6900"/>
      </w:pBdr>
      <w:spacing w:before="100" w:beforeAutospacing="1" w:after="100" w:afterAutospacing="1" w:line="240" w:lineRule="auto"/>
      <w:jc w:val="both"/>
    </w:pPr>
    <w:rPr>
      <w:rFonts w:ascii="Arial" w:eastAsia="Times New Roman" w:hAnsi="Arial" w:cs="Arial"/>
      <w:lang w:val="it-IT" w:eastAsia="it-IT"/>
    </w:rPr>
  </w:style>
  <w:style w:type="paragraph" w:customStyle="1" w:styleId="xl72">
    <w:name w:val="xl72"/>
    <w:basedOn w:val="Normal"/>
    <w:pPr>
      <w:pBdr>
        <w:bottom w:val="dotted" w:sz="4" w:space="0" w:color="DC6900"/>
      </w:pBdr>
      <w:spacing w:before="100" w:beforeAutospacing="1" w:after="100" w:afterAutospacing="1" w:line="240" w:lineRule="auto"/>
      <w:jc w:val="both"/>
      <w:textAlignment w:val="top"/>
    </w:pPr>
    <w:rPr>
      <w:rFonts w:eastAsia="Times New Roman"/>
      <w:lang w:val="it-IT" w:eastAsia="it-IT"/>
    </w:rPr>
  </w:style>
  <w:style w:type="paragraph" w:customStyle="1" w:styleId="xl73">
    <w:name w:val="xl73"/>
    <w:basedOn w:val="Normal"/>
    <w:pPr>
      <w:pBdr>
        <w:bottom w:val="dotted" w:sz="4" w:space="0" w:color="DC6900"/>
      </w:pBdr>
      <w:spacing w:before="100" w:beforeAutospacing="1" w:after="100" w:afterAutospacing="1" w:line="240" w:lineRule="auto"/>
      <w:jc w:val="both"/>
      <w:textAlignment w:val="top"/>
    </w:pPr>
    <w:rPr>
      <w:rFonts w:ascii="Arial" w:eastAsia="Times New Roman" w:hAnsi="Arial" w:cs="Arial"/>
      <w:lang w:val="it-IT" w:eastAsia="it-IT"/>
    </w:rPr>
  </w:style>
  <w:style w:type="paragraph" w:customStyle="1" w:styleId="xl74">
    <w:name w:val="xl74"/>
    <w:basedOn w:val="Normal"/>
    <w:pPr>
      <w:pBdr>
        <w:bottom w:val="dotted" w:sz="4" w:space="0" w:color="DC6900"/>
      </w:pBdr>
      <w:spacing w:before="100" w:beforeAutospacing="1" w:after="100" w:afterAutospacing="1" w:line="240" w:lineRule="auto"/>
      <w:jc w:val="both"/>
      <w:textAlignment w:val="top"/>
    </w:pPr>
    <w:rPr>
      <w:rFonts w:ascii="Arial" w:eastAsia="Times New Roman" w:hAnsi="Arial" w:cs="Arial"/>
      <w:color w:val="000000"/>
      <w:sz w:val="18"/>
      <w:szCs w:val="18"/>
      <w:lang w:val="it-IT" w:eastAsia="it-IT"/>
    </w:rPr>
  </w:style>
  <w:style w:type="paragraph" w:customStyle="1" w:styleId="xl75">
    <w:name w:val="xl75"/>
    <w:basedOn w:val="Normal"/>
    <w:pPr>
      <w:pBdr>
        <w:bottom w:val="dotted" w:sz="4" w:space="0" w:color="DC6900"/>
      </w:pBdr>
      <w:spacing w:before="100" w:beforeAutospacing="1" w:after="100" w:afterAutospacing="1" w:line="240" w:lineRule="auto"/>
      <w:jc w:val="both"/>
    </w:pPr>
    <w:rPr>
      <w:rFonts w:eastAsia="Times New Roman"/>
      <w:sz w:val="18"/>
      <w:szCs w:val="18"/>
      <w:lang w:val="it-IT" w:eastAsia="it-IT"/>
    </w:rPr>
  </w:style>
  <w:style w:type="paragraph" w:customStyle="1" w:styleId="xl76">
    <w:name w:val="xl76"/>
    <w:basedOn w:val="Normal"/>
    <w:pPr>
      <w:pBdr>
        <w:bottom w:val="dotted" w:sz="4" w:space="0" w:color="DC6900"/>
      </w:pBdr>
      <w:spacing w:before="100" w:beforeAutospacing="1" w:after="100" w:afterAutospacing="1" w:line="240" w:lineRule="auto"/>
      <w:jc w:val="both"/>
      <w:textAlignment w:val="top"/>
    </w:pPr>
    <w:rPr>
      <w:rFonts w:eastAsia="Times New Roman"/>
      <w:sz w:val="18"/>
      <w:szCs w:val="18"/>
      <w:lang w:val="it-IT" w:eastAsia="it-IT"/>
    </w:rPr>
  </w:style>
  <w:style w:type="paragraph" w:customStyle="1" w:styleId="xl77">
    <w:name w:val="xl77"/>
    <w:basedOn w:val="Normal"/>
    <w:pPr>
      <w:pBdr>
        <w:bottom w:val="dotted" w:sz="4" w:space="0" w:color="DC6900"/>
      </w:pBdr>
      <w:spacing w:before="100" w:beforeAutospacing="1" w:after="100" w:afterAutospacing="1" w:line="240" w:lineRule="auto"/>
      <w:jc w:val="both"/>
    </w:pPr>
    <w:rPr>
      <w:rFonts w:eastAsia="Times New Roman"/>
      <w:color w:val="00457C"/>
      <w:sz w:val="18"/>
      <w:szCs w:val="18"/>
      <w:lang w:val="it-IT" w:eastAsia="it-IT"/>
    </w:rPr>
  </w:style>
  <w:style w:type="paragraph" w:customStyle="1" w:styleId="xl78">
    <w:name w:val="xl78"/>
    <w:basedOn w:val="Normal"/>
    <w:pPr>
      <w:pBdr>
        <w:bottom w:val="dotted" w:sz="4" w:space="0" w:color="DC6900"/>
      </w:pBdr>
      <w:spacing w:before="100" w:beforeAutospacing="1" w:after="100" w:afterAutospacing="1" w:line="240" w:lineRule="auto"/>
      <w:jc w:val="both"/>
    </w:pPr>
    <w:rPr>
      <w:rFonts w:ascii="Arial" w:eastAsia="Times New Roman" w:hAnsi="Arial" w:cs="Arial"/>
      <w:sz w:val="18"/>
      <w:szCs w:val="18"/>
      <w:lang w:val="it-IT" w:eastAsia="it-IT"/>
    </w:rPr>
  </w:style>
  <w:style w:type="paragraph" w:customStyle="1" w:styleId="xl79">
    <w:name w:val="xl79"/>
    <w:basedOn w:val="Normal"/>
    <w:pPr>
      <w:spacing w:before="100" w:beforeAutospacing="1" w:after="100" w:afterAutospacing="1" w:line="240" w:lineRule="auto"/>
      <w:jc w:val="both"/>
      <w:textAlignment w:val="top"/>
    </w:pPr>
    <w:rPr>
      <w:rFonts w:eastAsia="Times New Roman"/>
      <w:color w:val="000000"/>
      <w:sz w:val="18"/>
      <w:szCs w:val="18"/>
      <w:lang w:val="it-IT" w:eastAsia="it-IT"/>
    </w:rPr>
  </w:style>
  <w:style w:type="paragraph" w:customStyle="1" w:styleId="xl80">
    <w:name w:val="xl80"/>
    <w:basedOn w:val="Normal"/>
    <w:pPr>
      <w:pBdr>
        <w:bottom w:val="dotted" w:sz="4" w:space="0" w:color="DC6900"/>
      </w:pBdr>
      <w:spacing w:before="100" w:beforeAutospacing="1" w:after="100" w:afterAutospacing="1" w:line="240" w:lineRule="auto"/>
      <w:jc w:val="both"/>
      <w:textAlignment w:val="top"/>
    </w:pPr>
    <w:rPr>
      <w:rFonts w:eastAsia="Times New Roman"/>
      <w:color w:val="00457C"/>
      <w:sz w:val="18"/>
      <w:szCs w:val="18"/>
      <w:lang w:val="it-IT" w:eastAsia="it-IT"/>
    </w:rPr>
  </w:style>
  <w:style w:type="paragraph" w:customStyle="1" w:styleId="xl81">
    <w:name w:val="xl81"/>
    <w:basedOn w:val="Normal"/>
    <w:pPr>
      <w:pBdr>
        <w:top w:val="dotted" w:sz="4" w:space="0" w:color="DC6900"/>
      </w:pBdr>
      <w:spacing w:before="100" w:beforeAutospacing="1" w:after="100" w:afterAutospacing="1" w:line="240" w:lineRule="auto"/>
      <w:jc w:val="both"/>
    </w:pPr>
    <w:rPr>
      <w:rFonts w:eastAsia="Times New Roman"/>
      <w:color w:val="000000"/>
      <w:sz w:val="18"/>
      <w:szCs w:val="18"/>
      <w:lang w:val="it-IT" w:eastAsia="it-IT"/>
    </w:rPr>
  </w:style>
  <w:style w:type="paragraph" w:customStyle="1" w:styleId="xl82">
    <w:name w:val="xl82"/>
    <w:basedOn w:val="Normal"/>
    <w:pPr>
      <w:pBdr>
        <w:bottom w:val="dotted" w:sz="4" w:space="0" w:color="DC6900"/>
      </w:pBdr>
      <w:shd w:val="clear" w:color="000000" w:fill="FBEEE0"/>
      <w:spacing w:before="100" w:beforeAutospacing="1" w:after="100" w:afterAutospacing="1" w:line="240" w:lineRule="auto"/>
      <w:jc w:val="center"/>
    </w:pPr>
    <w:rPr>
      <w:rFonts w:eastAsia="Times New Roman"/>
      <w:color w:val="000000"/>
      <w:sz w:val="18"/>
      <w:szCs w:val="18"/>
      <w:lang w:val="it-IT" w:eastAsia="it-IT"/>
    </w:rPr>
  </w:style>
  <w:style w:type="paragraph" w:customStyle="1" w:styleId="xl83">
    <w:name w:val="xl83"/>
    <w:basedOn w:val="Normal"/>
    <w:pPr>
      <w:pBdr>
        <w:bottom w:val="dotted" w:sz="4" w:space="0" w:color="DC6900"/>
      </w:pBdr>
      <w:shd w:val="clear" w:color="000000" w:fill="FBEEE0"/>
      <w:spacing w:before="100" w:beforeAutospacing="1" w:after="100" w:afterAutospacing="1" w:line="240" w:lineRule="auto"/>
    </w:pPr>
    <w:rPr>
      <w:rFonts w:eastAsia="Times New Roman"/>
      <w:b/>
      <w:bCs/>
      <w:color w:val="000000"/>
      <w:sz w:val="18"/>
      <w:szCs w:val="18"/>
      <w:lang w:val="it-IT" w:eastAsia="it-IT"/>
    </w:rPr>
  </w:style>
  <w:style w:type="paragraph" w:customStyle="1" w:styleId="xl84">
    <w:name w:val="xl84"/>
    <w:basedOn w:val="Normal"/>
    <w:pPr>
      <w:pBdr>
        <w:top w:val="dotted" w:sz="4" w:space="0" w:color="DC6900"/>
      </w:pBdr>
      <w:spacing w:before="100" w:beforeAutospacing="1" w:after="100" w:afterAutospacing="1" w:line="240" w:lineRule="auto"/>
      <w:jc w:val="both"/>
      <w:textAlignment w:val="top"/>
    </w:pPr>
    <w:rPr>
      <w:rFonts w:eastAsia="Times New Roman"/>
      <w:color w:val="000000"/>
      <w:sz w:val="18"/>
      <w:szCs w:val="18"/>
      <w:lang w:val="it-IT" w:eastAsia="it-IT"/>
    </w:rPr>
  </w:style>
  <w:style w:type="paragraph" w:customStyle="1" w:styleId="xl85">
    <w:name w:val="xl85"/>
    <w:basedOn w:val="Normal"/>
    <w:pPr>
      <w:pBdr>
        <w:top w:val="dotted" w:sz="4" w:space="0" w:color="DC6900"/>
      </w:pBdr>
      <w:spacing w:before="100" w:beforeAutospacing="1" w:after="100" w:afterAutospacing="1" w:line="240" w:lineRule="auto"/>
      <w:jc w:val="both"/>
      <w:textAlignment w:val="top"/>
    </w:pPr>
    <w:rPr>
      <w:rFonts w:eastAsia="Times New Roman"/>
      <w:sz w:val="18"/>
      <w:szCs w:val="18"/>
      <w:lang w:val="it-IT" w:eastAsia="it-IT"/>
    </w:rPr>
  </w:style>
  <w:style w:type="paragraph" w:customStyle="1" w:styleId="xl86">
    <w:name w:val="xl86"/>
    <w:basedOn w:val="Normal"/>
    <w:pPr>
      <w:pBdr>
        <w:bottom w:val="dotted" w:sz="4" w:space="0" w:color="DC6900"/>
      </w:pBdr>
      <w:spacing w:before="100" w:beforeAutospacing="1" w:after="100" w:afterAutospacing="1" w:line="240" w:lineRule="auto"/>
      <w:textAlignment w:val="top"/>
    </w:pPr>
    <w:rPr>
      <w:rFonts w:eastAsia="Times New Roman"/>
      <w:color w:val="000000"/>
      <w:sz w:val="18"/>
      <w:szCs w:val="18"/>
      <w:lang w:val="it-IT" w:eastAsia="it-IT"/>
    </w:rPr>
  </w:style>
  <w:style w:type="paragraph" w:customStyle="1" w:styleId="xl87">
    <w:name w:val="xl87"/>
    <w:basedOn w:val="Normal"/>
    <w:pPr>
      <w:pBdr>
        <w:bottom w:val="dotted" w:sz="4" w:space="0" w:color="DC6900"/>
      </w:pBdr>
      <w:spacing w:before="100" w:beforeAutospacing="1" w:after="100" w:afterAutospacing="1" w:line="240" w:lineRule="auto"/>
    </w:pPr>
    <w:rPr>
      <w:rFonts w:eastAsia="Times New Roman"/>
      <w:color w:val="000000"/>
      <w:sz w:val="18"/>
      <w:szCs w:val="18"/>
      <w:lang w:val="it-IT" w:eastAsia="it-IT"/>
    </w:rPr>
  </w:style>
  <w:style w:type="paragraph" w:customStyle="1" w:styleId="xl88">
    <w:name w:val="xl88"/>
    <w:basedOn w:val="Normal"/>
    <w:pPr>
      <w:spacing w:before="100" w:beforeAutospacing="1" w:after="100" w:afterAutospacing="1" w:line="240" w:lineRule="auto"/>
    </w:pPr>
    <w:rPr>
      <w:rFonts w:eastAsia="Times New Roman"/>
      <w:color w:val="000000"/>
      <w:sz w:val="18"/>
      <w:szCs w:val="18"/>
      <w:lang w:val="it-IT" w:eastAsia="it-IT"/>
    </w:rPr>
  </w:style>
  <w:style w:type="paragraph" w:customStyle="1" w:styleId="xl89">
    <w:name w:val="xl89"/>
    <w:basedOn w:val="Normal"/>
    <w:pPr>
      <w:spacing w:before="100" w:beforeAutospacing="1" w:after="100" w:afterAutospacing="1" w:line="240" w:lineRule="auto"/>
      <w:textAlignment w:val="top"/>
    </w:pPr>
    <w:rPr>
      <w:rFonts w:eastAsia="Times New Roman"/>
      <w:color w:val="000000"/>
      <w:sz w:val="18"/>
      <w:szCs w:val="18"/>
      <w:lang w:val="it-IT" w:eastAsia="it-IT"/>
    </w:rPr>
  </w:style>
  <w:style w:type="paragraph" w:customStyle="1" w:styleId="xl90">
    <w:name w:val="xl90"/>
    <w:basedOn w:val="Normal"/>
    <w:pPr>
      <w:spacing w:before="100" w:beforeAutospacing="1" w:after="100" w:afterAutospacing="1" w:line="240" w:lineRule="auto"/>
    </w:pPr>
    <w:rPr>
      <w:rFonts w:ascii="Times New Roman" w:eastAsia="Times New Roman" w:hAnsi="Times New Roman"/>
      <w:sz w:val="24"/>
      <w:szCs w:val="24"/>
      <w:lang w:val="it-IT" w:eastAsia="it-IT"/>
    </w:rPr>
  </w:style>
  <w:style w:type="paragraph" w:customStyle="1" w:styleId="xl91">
    <w:name w:val="xl91"/>
    <w:basedOn w:val="Normal"/>
    <w:pPr>
      <w:pBdr>
        <w:top w:val="dotted" w:sz="4" w:space="0" w:color="DC6900"/>
      </w:pBdr>
      <w:spacing w:before="100" w:beforeAutospacing="1" w:after="100" w:afterAutospacing="1" w:line="240" w:lineRule="auto"/>
    </w:pPr>
    <w:rPr>
      <w:rFonts w:eastAsia="Times New Roman"/>
      <w:color w:val="000000"/>
      <w:sz w:val="18"/>
      <w:szCs w:val="18"/>
      <w:lang w:val="it-IT" w:eastAsia="it-IT"/>
    </w:rPr>
  </w:style>
  <w:style w:type="paragraph" w:customStyle="1" w:styleId="xl92">
    <w:name w:val="xl92"/>
    <w:basedOn w:val="Normal"/>
    <w:pPr>
      <w:pBdr>
        <w:top w:val="dotted" w:sz="4" w:space="0" w:color="DC6900"/>
      </w:pBdr>
      <w:spacing w:before="100" w:beforeAutospacing="1" w:after="100" w:afterAutospacing="1" w:line="240" w:lineRule="auto"/>
      <w:textAlignment w:val="top"/>
    </w:pPr>
    <w:rPr>
      <w:rFonts w:eastAsia="Times New Roman"/>
      <w:color w:val="000000"/>
      <w:sz w:val="18"/>
      <w:szCs w:val="18"/>
      <w:lang w:val="it-IT" w:eastAsia="it-IT"/>
    </w:rPr>
  </w:style>
  <w:style w:type="paragraph" w:customStyle="1" w:styleId="font5">
    <w:name w:val="font5"/>
    <w:basedOn w:val="Normal"/>
    <w:pPr>
      <w:spacing w:before="100" w:beforeAutospacing="1" w:after="100" w:afterAutospacing="1" w:line="240" w:lineRule="auto"/>
    </w:pPr>
    <w:rPr>
      <w:rFonts w:ascii="Arial" w:eastAsia="Times New Roman" w:hAnsi="Arial" w:cs="Arial"/>
      <w:sz w:val="16"/>
      <w:szCs w:val="16"/>
      <w:lang w:val="it-IT" w:eastAsia="it-IT"/>
    </w:rPr>
  </w:style>
  <w:style w:type="character" w:customStyle="1" w:styleId="ListParagraphChar">
    <w:name w:val="List Paragraph Char"/>
    <w:aliases w:val="List Paragraph1 Char,1st level - Bullet List Paragraph Char,Lettre d'introduction Char,Table of contents numbered Char,Medium Grid 1 - Accent 21 Char,List Paragraph21 Char,Lentele Char,List Paragraph2 Char,ERP-List Paragraph Char"/>
    <w:link w:val="ListParagraph"/>
    <w:uiPriority w:val="34"/>
    <w:qFormat/>
    <w:locked/>
    <w:rPr>
      <w:rFonts w:eastAsia="Times New Roman"/>
      <w:lang w:val="nl-NL" w:eastAsia="en-US"/>
    </w:rPr>
  </w:style>
  <w:style w:type="character" w:customStyle="1" w:styleId="SFSmedindragChar">
    <w:name w:val="SFS med indrag Char"/>
    <w:link w:val="SFSmedindrag"/>
    <w:locked/>
    <w:rPr>
      <w:rFonts w:ascii="Times New Roman" w:hAnsi="Times New Roman"/>
      <w:sz w:val="19"/>
    </w:rPr>
  </w:style>
  <w:style w:type="paragraph" w:customStyle="1" w:styleId="SFSmedindrag">
    <w:name w:val="SFS med indrag"/>
    <w:basedOn w:val="Normal"/>
    <w:link w:val="SFSmedindragChar"/>
    <w:pPr>
      <w:tabs>
        <w:tab w:val="left" w:pos="168"/>
        <w:tab w:val="left" w:pos="396"/>
        <w:tab w:val="left" w:pos="3060"/>
      </w:tabs>
      <w:spacing w:after="0" w:line="232" w:lineRule="exact"/>
      <w:ind w:firstLine="170"/>
      <w:jc w:val="both"/>
    </w:pPr>
    <w:rPr>
      <w:rFonts w:ascii="Times New Roman" w:hAnsi="Times New Roman"/>
      <w:sz w:val="19"/>
    </w:rPr>
  </w:style>
  <w:style w:type="character" w:customStyle="1" w:styleId="SFSutanindragChar">
    <w:name w:val="SFS utan indrag Char"/>
    <w:link w:val="SFSutanindrag"/>
    <w:locked/>
    <w:rPr>
      <w:rFonts w:ascii="Times New Roman" w:hAnsi="Times New Roman"/>
      <w:kern w:val="2"/>
      <w:sz w:val="19"/>
    </w:rPr>
  </w:style>
  <w:style w:type="paragraph" w:customStyle="1" w:styleId="SFSutanindrag">
    <w:name w:val="SFS utan indrag"/>
    <w:basedOn w:val="Normal"/>
    <w:next w:val="SFSmedindrag"/>
    <w:link w:val="SFSutanindragChar"/>
    <w:pPr>
      <w:tabs>
        <w:tab w:val="left" w:pos="168"/>
        <w:tab w:val="left" w:pos="396"/>
        <w:tab w:val="left" w:pos="3060"/>
      </w:tabs>
      <w:spacing w:after="0" w:line="232" w:lineRule="exact"/>
      <w:jc w:val="both"/>
    </w:pPr>
    <w:rPr>
      <w:rFonts w:ascii="Times New Roman" w:hAnsi="Times New Roman"/>
      <w:kern w:val="2"/>
      <w:sz w:val="19"/>
    </w:rPr>
  </w:style>
  <w:style w:type="paragraph" w:customStyle="1" w:styleId="SFSrubrik4">
    <w:name w:val="SFS rubrik 4"/>
    <w:basedOn w:val="Normal"/>
    <w:next w:val="Normal"/>
    <w:pPr>
      <w:tabs>
        <w:tab w:val="left" w:pos="168"/>
        <w:tab w:val="left" w:pos="396"/>
        <w:tab w:val="left" w:pos="3060"/>
      </w:tabs>
      <w:spacing w:after="0" w:line="232" w:lineRule="exact"/>
      <w:jc w:val="both"/>
    </w:pPr>
    <w:rPr>
      <w:rFonts w:ascii="Times New Roman" w:eastAsia="Times New Roman" w:hAnsi="Times New Roman"/>
      <w:i/>
      <w:sz w:val="19"/>
      <w:lang w:val="sv-SE" w:eastAsia="sv-SE"/>
    </w:rPr>
  </w:style>
  <w:style w:type="character" w:customStyle="1" w:styleId="WW8Num4z4">
    <w:name w:val="WW8Num4z4"/>
    <w:rPr>
      <w:rFonts w:ascii="Georgia" w:hAnsi="Georgia" w:cs="Georgia"/>
    </w:rPr>
  </w:style>
  <w:style w:type="paragraph" w:customStyle="1" w:styleId="Style">
    <w:name w:val="Style"/>
    <w:pPr>
      <w:widowControl w:val="0"/>
      <w:autoSpaceDE w:val="0"/>
      <w:autoSpaceDN w:val="0"/>
      <w:adjustRightInd w:val="0"/>
      <w:ind w:left="140" w:right="140" w:firstLine="840"/>
      <w:jc w:val="both"/>
    </w:pPr>
    <w:rPr>
      <w:rFonts w:ascii="Times New Roman" w:eastAsia="Times New Roman" w:hAnsi="Times New Roman"/>
      <w:sz w:val="24"/>
      <w:szCs w:val="24"/>
      <w:lang w:val="en-US" w:eastAsia="en-US"/>
    </w:rPr>
  </w:style>
  <w:style w:type="character" w:customStyle="1" w:styleId="shorttext">
    <w:name w:val="short_text"/>
    <w:basedOn w:val="DefaultParagraphFont"/>
  </w:style>
  <w:style w:type="character" w:customStyle="1" w:styleId="FootnoteTextChar2">
    <w:name w:val="Footnote Text Char2"/>
    <w:aliases w:val="fn Char2,Footnotes Char2,Footnote ak Char2,fn Char Char2,footnote text Char Char1,Footnotes Char Char2,Footnote ak Char Char1,ft Char1,fn cafc Char1,Footnotes Char Char Char1,Footnote Text Char Char Char1,fn Char Char Char1,fn1 Char1"/>
    <w:uiPriority w:val="99"/>
    <w:locked/>
    <w:rPr>
      <w:rFonts w:ascii="Times New Roman" w:hAnsi="Times New Roman" w:cs="Times New Roman"/>
    </w:rPr>
  </w:style>
  <w:style w:type="character" w:customStyle="1" w:styleId="FootnoteTextChar3">
    <w:name w:val="Footnote Text Char3"/>
    <w:aliases w:val="fn Char3,Footnotes Char3,Footnote ak Char3,fn Char Char3,footnote text Char Char2,Footnotes Char Char3,Footnote ak Char Char2,ft Char2,fn cafc Char2,Footnotes Char Char Char2,Footnote Text Char Char Char2,fn Char Char Char2,fn1 Char2"/>
    <w:uiPriority w:val="99"/>
    <w:locked/>
    <w:rPr>
      <w:rFonts w:ascii="Times New Roman" w:hAnsi="Times New Roman" w:cs="Times New Roman"/>
    </w:rPr>
  </w:style>
  <w:style w:type="table" w:customStyle="1" w:styleId="LightList-Accent13">
    <w:name w:val="Light List - Accent 13"/>
    <w:basedOn w:val="TableNormal"/>
    <w:uiPriority w:val="61"/>
    <w:tblPr>
      <w:tblStyleRowBandSize w:val="1"/>
      <w:tblStyleColBandSize w:val="1"/>
      <w:tblBorders>
        <w:top w:val="single" w:sz="8" w:space="0" w:color="F8981D"/>
        <w:left w:val="single" w:sz="8" w:space="0" w:color="F8981D"/>
        <w:bottom w:val="single" w:sz="8" w:space="0" w:color="F8981D"/>
        <w:right w:val="single" w:sz="8" w:space="0" w:color="F8981D"/>
      </w:tblBorders>
    </w:tblPr>
    <w:tblStylePr w:type="firstRow">
      <w:pPr>
        <w:spacing w:before="0" w:after="0" w:line="240" w:lineRule="auto"/>
      </w:pPr>
      <w:rPr>
        <w:b/>
        <w:bCs/>
        <w:color w:val="FFFFFF"/>
      </w:rPr>
      <w:tblPr/>
      <w:tcPr>
        <w:shd w:val="clear" w:color="auto" w:fill="F8981D"/>
      </w:tcPr>
    </w:tblStylePr>
    <w:tblStylePr w:type="lastRow">
      <w:pPr>
        <w:spacing w:before="0" w:after="0" w:line="240" w:lineRule="auto"/>
      </w:pPr>
      <w:rPr>
        <w:b/>
        <w:bCs/>
      </w:rPr>
      <w:tblPr/>
      <w:tcPr>
        <w:tcBorders>
          <w:top w:val="double" w:sz="6" w:space="0" w:color="F8981D"/>
          <w:left w:val="single" w:sz="8" w:space="0" w:color="F8981D"/>
          <w:bottom w:val="single" w:sz="8" w:space="0" w:color="F8981D"/>
          <w:right w:val="single" w:sz="8" w:space="0" w:color="F8981D"/>
        </w:tcBorders>
      </w:tcPr>
    </w:tblStylePr>
    <w:tblStylePr w:type="firstCol">
      <w:rPr>
        <w:b/>
        <w:bCs/>
      </w:rPr>
    </w:tblStylePr>
    <w:tblStylePr w:type="lastCol">
      <w:rPr>
        <w:b/>
        <w:bCs/>
      </w:rPr>
    </w:tblStylePr>
    <w:tblStylePr w:type="band1Vert">
      <w:tblPr/>
      <w:tcPr>
        <w:tcBorders>
          <w:top w:val="single" w:sz="8" w:space="0" w:color="F8981D"/>
          <w:left w:val="single" w:sz="8" w:space="0" w:color="F8981D"/>
          <w:bottom w:val="single" w:sz="8" w:space="0" w:color="F8981D"/>
          <w:right w:val="single" w:sz="8" w:space="0" w:color="F8981D"/>
        </w:tcBorders>
      </w:tcPr>
    </w:tblStylePr>
    <w:tblStylePr w:type="band1Horz">
      <w:tblPr/>
      <w:tcPr>
        <w:tcBorders>
          <w:top w:val="single" w:sz="8" w:space="0" w:color="F8981D"/>
          <w:left w:val="single" w:sz="8" w:space="0" w:color="F8981D"/>
          <w:bottom w:val="single" w:sz="8" w:space="0" w:color="F8981D"/>
          <w:right w:val="single" w:sz="8" w:space="0" w:color="F8981D"/>
        </w:tcBorders>
      </w:tcPr>
    </w:tblStylePr>
  </w:style>
  <w:style w:type="character" w:customStyle="1" w:styleId="googqs-tidbit">
    <w:name w:val="goog_qs-tidbit"/>
    <w:basedOn w:val="DefaultParagraphFont"/>
  </w:style>
  <w:style w:type="character" w:customStyle="1" w:styleId="FootnoteTextChar4">
    <w:name w:val="Footnote Text Char4"/>
    <w:aliases w:val="fn Char4,Footnotes Char4,Footnote ak Char4,fn Char Char4,footnote text Char Char3,Footnotes Char Char4,Footnote ak Char Char3,ft Char3,fn cafc Char3,Footnotes Char Char Char3,Footnote Text Char Char Char3,fn Char Char Char3,fn1 Char3"/>
    <w:uiPriority w:val="99"/>
    <w:locked/>
    <w:rPr>
      <w:rFonts w:ascii="Times New Roman" w:hAnsi="Times New Roman" w:cs="Times New Roman"/>
    </w:rPr>
  </w:style>
  <w:style w:type="character" w:customStyle="1" w:styleId="legdslegrhslegp2text">
    <w:name w:val="legds legrhs legp2text"/>
    <w:uiPriority w:val="99"/>
    <w:rPr>
      <w:rFonts w:cs="Times New Roman"/>
    </w:rPr>
  </w:style>
  <w:style w:type="character" w:customStyle="1" w:styleId="FootnoteTextChar6">
    <w:name w:val="Footnote Text Char6"/>
    <w:aliases w:val="fn Char6,Footnotes Char6,Footnote ak Char6,fn Char Char6,footnote text Char Char5,Footnotes Char Char6,Footnote ak Char Char5,ft Char5,fn cafc Char5,Footnotes Char Char Char5,Footnote Text Char Char Char5,fn Char Char Char5,fn1 Char5"/>
    <w:uiPriority w:val="99"/>
    <w:locked/>
    <w:rPr>
      <w:rFonts w:ascii="Times New Roman" w:hAnsi="Times New Roman" w:cs="Times New Roman"/>
    </w:rPr>
  </w:style>
  <w:style w:type="character" w:customStyle="1" w:styleId="st1">
    <w:name w:val="st1"/>
    <w:basedOn w:val="DefaultParagraphFont"/>
  </w:style>
  <w:style w:type="paragraph" w:styleId="EndnoteText">
    <w:name w:val="endnote text"/>
    <w:basedOn w:val="Normal"/>
    <w:link w:val="EndnoteTextChar"/>
    <w:uiPriority w:val="99"/>
    <w:semiHidden/>
    <w:unhideWhenUsed/>
    <w:locked/>
  </w:style>
  <w:style w:type="character" w:customStyle="1" w:styleId="EndnoteTextChar">
    <w:name w:val="Endnote Text Char"/>
    <w:link w:val="EndnoteText"/>
    <w:uiPriority w:val="99"/>
    <w:semiHidden/>
    <w:rPr>
      <w:lang w:val="en-GB" w:eastAsia="en-US"/>
    </w:rPr>
  </w:style>
  <w:style w:type="character" w:styleId="EndnoteReference">
    <w:name w:val="endnote reference"/>
    <w:uiPriority w:val="99"/>
    <w:semiHidden/>
    <w:unhideWhenUsed/>
    <w:locked/>
    <w:rPr>
      <w:vertAlign w:val="superscript"/>
    </w:rPr>
  </w:style>
  <w:style w:type="table" w:customStyle="1" w:styleId="LightList-Accent14">
    <w:name w:val="Light List - Accent 14"/>
    <w:basedOn w:val="TableNormal"/>
    <w:uiPriority w:val="61"/>
    <w:tblPr>
      <w:tblStyleRowBandSize w:val="1"/>
      <w:tblStyleColBandSize w:val="1"/>
      <w:tblBorders>
        <w:top w:val="single" w:sz="8" w:space="0" w:color="DC6900" w:themeColor="accent1"/>
        <w:left w:val="single" w:sz="8" w:space="0" w:color="DC6900" w:themeColor="accent1"/>
        <w:bottom w:val="single" w:sz="8" w:space="0" w:color="DC6900" w:themeColor="accent1"/>
        <w:right w:val="single" w:sz="8" w:space="0" w:color="DC6900" w:themeColor="accent1"/>
      </w:tblBorders>
    </w:tblPr>
    <w:tblStylePr w:type="firstRow">
      <w:pPr>
        <w:spacing w:before="0" w:after="0" w:line="240" w:lineRule="auto"/>
      </w:pPr>
      <w:rPr>
        <w:b/>
        <w:bCs/>
        <w:color w:val="FFFFFF" w:themeColor="background1"/>
      </w:rPr>
      <w:tblPr/>
      <w:tcPr>
        <w:shd w:val="clear" w:color="auto" w:fill="DC6900" w:themeFill="accent1"/>
      </w:tcPr>
    </w:tblStylePr>
    <w:tblStylePr w:type="lastRow">
      <w:pPr>
        <w:spacing w:before="0" w:after="0" w:line="240" w:lineRule="auto"/>
      </w:pPr>
      <w:rPr>
        <w:b/>
        <w:bCs/>
      </w:rPr>
      <w:tblPr/>
      <w:tcPr>
        <w:tcBorders>
          <w:top w:val="double" w:sz="6" w:space="0" w:color="DC6900" w:themeColor="accent1"/>
          <w:left w:val="single" w:sz="8" w:space="0" w:color="DC6900" w:themeColor="accent1"/>
          <w:bottom w:val="single" w:sz="8" w:space="0" w:color="DC6900" w:themeColor="accent1"/>
          <w:right w:val="single" w:sz="8" w:space="0" w:color="DC6900" w:themeColor="accent1"/>
        </w:tcBorders>
      </w:tcPr>
    </w:tblStylePr>
    <w:tblStylePr w:type="firstCol">
      <w:rPr>
        <w:b/>
        <w:bCs/>
      </w:rPr>
    </w:tblStylePr>
    <w:tblStylePr w:type="lastCol">
      <w:rPr>
        <w:b/>
        <w:bCs/>
      </w:rPr>
    </w:tblStylePr>
    <w:tblStylePr w:type="band1Vert">
      <w:tblPr/>
      <w:tcPr>
        <w:tcBorders>
          <w:top w:val="single" w:sz="8" w:space="0" w:color="DC6900" w:themeColor="accent1"/>
          <w:left w:val="single" w:sz="8" w:space="0" w:color="DC6900" w:themeColor="accent1"/>
          <w:bottom w:val="single" w:sz="8" w:space="0" w:color="DC6900" w:themeColor="accent1"/>
          <w:right w:val="single" w:sz="8" w:space="0" w:color="DC6900" w:themeColor="accent1"/>
        </w:tcBorders>
      </w:tcPr>
    </w:tblStylePr>
    <w:tblStylePr w:type="band1Horz">
      <w:tblPr/>
      <w:tcPr>
        <w:tcBorders>
          <w:top w:val="single" w:sz="8" w:space="0" w:color="DC6900" w:themeColor="accent1"/>
          <w:left w:val="single" w:sz="8" w:space="0" w:color="DC6900" w:themeColor="accent1"/>
          <w:bottom w:val="single" w:sz="8" w:space="0" w:color="DC6900" w:themeColor="accent1"/>
          <w:right w:val="single" w:sz="8" w:space="0" w:color="DC6900" w:themeColor="accent1"/>
        </w:tcBorders>
      </w:tcPr>
    </w:tblStylePr>
  </w:style>
  <w:style w:type="table" w:customStyle="1" w:styleId="LightGrid1">
    <w:name w:val="Light Grid1"/>
    <w:basedOn w:val="TableNormal"/>
    <w:uiPriority w:val="62"/>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Accent4">
    <w:name w:val="Light List Accent 4"/>
    <w:basedOn w:val="TableNormal"/>
    <w:uiPriority w:val="61"/>
    <w:tblPr>
      <w:tblStyleRowBandSize w:val="1"/>
      <w:tblStyleColBandSize w:val="1"/>
      <w:tblBorders>
        <w:top w:val="single" w:sz="8" w:space="0" w:color="DB536A" w:themeColor="accent4"/>
        <w:left w:val="single" w:sz="8" w:space="0" w:color="DB536A" w:themeColor="accent4"/>
        <w:bottom w:val="single" w:sz="8" w:space="0" w:color="DB536A" w:themeColor="accent4"/>
        <w:right w:val="single" w:sz="8" w:space="0" w:color="DB536A" w:themeColor="accent4"/>
      </w:tblBorders>
    </w:tblPr>
    <w:tblStylePr w:type="firstRow">
      <w:pPr>
        <w:spacing w:before="0" w:after="0" w:line="240" w:lineRule="auto"/>
      </w:pPr>
      <w:rPr>
        <w:b/>
        <w:bCs/>
        <w:color w:val="FFFFFF" w:themeColor="background1"/>
      </w:rPr>
      <w:tblPr/>
      <w:tcPr>
        <w:shd w:val="clear" w:color="auto" w:fill="DB536A" w:themeFill="accent4"/>
      </w:tcPr>
    </w:tblStylePr>
    <w:tblStylePr w:type="lastRow">
      <w:pPr>
        <w:spacing w:before="0" w:after="0" w:line="240" w:lineRule="auto"/>
      </w:pPr>
      <w:rPr>
        <w:b/>
        <w:bCs/>
      </w:rPr>
      <w:tblPr/>
      <w:tcPr>
        <w:tcBorders>
          <w:top w:val="double" w:sz="6" w:space="0" w:color="DB536A" w:themeColor="accent4"/>
          <w:left w:val="single" w:sz="8" w:space="0" w:color="DB536A" w:themeColor="accent4"/>
          <w:bottom w:val="single" w:sz="8" w:space="0" w:color="DB536A" w:themeColor="accent4"/>
          <w:right w:val="single" w:sz="8" w:space="0" w:color="DB536A" w:themeColor="accent4"/>
        </w:tcBorders>
      </w:tcPr>
    </w:tblStylePr>
    <w:tblStylePr w:type="firstCol">
      <w:rPr>
        <w:b/>
        <w:bCs/>
      </w:rPr>
    </w:tblStylePr>
    <w:tblStylePr w:type="lastCol">
      <w:rPr>
        <w:b/>
        <w:bCs/>
      </w:rPr>
    </w:tblStylePr>
    <w:tblStylePr w:type="band1Vert">
      <w:tblPr/>
      <w:tcPr>
        <w:tcBorders>
          <w:top w:val="single" w:sz="8" w:space="0" w:color="DB536A" w:themeColor="accent4"/>
          <w:left w:val="single" w:sz="8" w:space="0" w:color="DB536A" w:themeColor="accent4"/>
          <w:bottom w:val="single" w:sz="8" w:space="0" w:color="DB536A" w:themeColor="accent4"/>
          <w:right w:val="single" w:sz="8" w:space="0" w:color="DB536A" w:themeColor="accent4"/>
        </w:tcBorders>
      </w:tcPr>
    </w:tblStylePr>
    <w:tblStylePr w:type="band1Horz">
      <w:tblPr/>
      <w:tcPr>
        <w:tcBorders>
          <w:top w:val="single" w:sz="8" w:space="0" w:color="DB536A" w:themeColor="accent4"/>
          <w:left w:val="single" w:sz="8" w:space="0" w:color="DB536A" w:themeColor="accent4"/>
          <w:bottom w:val="single" w:sz="8" w:space="0" w:color="DB536A" w:themeColor="accent4"/>
          <w:right w:val="single" w:sz="8" w:space="0" w:color="DB536A" w:themeColor="accent4"/>
        </w:tcBorders>
      </w:tcPr>
    </w:tblStylePr>
  </w:style>
  <w:style w:type="paragraph" w:customStyle="1" w:styleId="Corpodeltesto4note">
    <w:name w:val="Corpo del testo 4 note"/>
    <w:basedOn w:val="Normal"/>
    <w:next w:val="Normal"/>
    <w:pPr>
      <w:spacing w:before="60" w:after="120" w:line="240" w:lineRule="auto"/>
      <w:jc w:val="both"/>
    </w:pPr>
    <w:rPr>
      <w:rFonts w:ascii="Arial" w:eastAsia="Times New Roman" w:hAnsi="Arial"/>
      <w:sz w:val="18"/>
      <w:lang w:val="it-IT" w:eastAsia="it-IT"/>
    </w:rPr>
  </w:style>
  <w:style w:type="paragraph" w:customStyle="1" w:styleId="CharChar1CharCharCharCharCharCharCharCharCharCharChar">
    <w:name w:val="Char Char1 Char Char Char Char Char Char Char Char Char Char Char"/>
    <w:basedOn w:val="Normal"/>
    <w:pPr>
      <w:spacing w:before="120" w:after="160" w:line="240" w:lineRule="exact"/>
    </w:pPr>
    <w:rPr>
      <w:rFonts w:ascii="Tahoma" w:eastAsia="Times New Roman" w:hAnsi="Tahoma"/>
      <w:lang w:val="en-US"/>
    </w:rPr>
  </w:style>
  <w:style w:type="paragraph" w:customStyle="1" w:styleId="Paragrafo1livocapitolo">
    <w:name w:val="Paragrafo 1 liv. o capitolo"/>
    <w:basedOn w:val="Heading4"/>
    <w:next w:val="BodyText2"/>
    <w:pPr>
      <w:keepLines w:val="0"/>
      <w:suppressAutoHyphens/>
      <w:spacing w:before="360" w:after="60"/>
    </w:pPr>
    <w:rPr>
      <w:rFonts w:ascii="Arial" w:eastAsia="Times New Roman" w:hAnsi="Arial"/>
      <w:b/>
      <w:bCs w:val="0"/>
      <w:i w:val="0"/>
      <w:iCs w:val="0"/>
      <w:smallCaps/>
      <w:color w:val="auto"/>
      <w:sz w:val="40"/>
      <w:szCs w:val="20"/>
      <w:lang w:val="it-IT" w:eastAsia="it-IT"/>
    </w:rPr>
  </w:style>
  <w:style w:type="paragraph" w:customStyle="1" w:styleId="Paragrafo2liv">
    <w:name w:val="Paragrafo 2 liv."/>
    <w:basedOn w:val="Heading5"/>
    <w:next w:val="BodyText2"/>
    <w:pPr>
      <w:keepNext w:val="0"/>
      <w:keepLines w:val="0"/>
      <w:suppressAutoHyphens/>
      <w:spacing w:before="360" w:after="60"/>
    </w:pPr>
    <w:rPr>
      <w:rFonts w:ascii="Arial" w:eastAsia="Times New Roman" w:hAnsi="Arial"/>
      <w:b/>
      <w:color w:val="auto"/>
      <w:sz w:val="32"/>
      <w:lang w:val="it-IT" w:eastAsia="it-IT"/>
    </w:rPr>
  </w:style>
  <w:style w:type="paragraph" w:customStyle="1" w:styleId="Paragrafo3liv">
    <w:name w:val="Paragrafo 3 liv."/>
    <w:basedOn w:val="Heading6"/>
    <w:next w:val="BodyText2"/>
    <w:pPr>
      <w:keepNext w:val="0"/>
      <w:keepLines w:val="0"/>
      <w:suppressAutoHyphens/>
      <w:spacing w:before="240" w:after="60"/>
    </w:pPr>
    <w:rPr>
      <w:rFonts w:ascii="Arial" w:eastAsia="Times New Roman" w:hAnsi="Arial"/>
      <w:b/>
      <w:iCs w:val="0"/>
      <w:smallCaps/>
      <w:color w:val="auto"/>
      <w:sz w:val="28"/>
      <w:lang w:val="it-IT" w:eastAsia="it-IT"/>
    </w:rPr>
  </w:style>
  <w:style w:type="paragraph" w:customStyle="1" w:styleId="Paragrafo4liv">
    <w:name w:val="Paragrafo 4 liv."/>
    <w:basedOn w:val="Heading7"/>
    <w:next w:val="BodyText2"/>
    <w:pPr>
      <w:keepNext w:val="0"/>
      <w:keepLines w:val="0"/>
      <w:suppressAutoHyphens/>
      <w:spacing w:before="240" w:after="60"/>
      <w:jc w:val="both"/>
    </w:pPr>
    <w:rPr>
      <w:rFonts w:ascii="Arial" w:eastAsia="Times New Roman" w:hAnsi="Arial"/>
      <w:b/>
      <w:i/>
      <w:iCs w:val="0"/>
      <w:color w:val="auto"/>
      <w:sz w:val="24"/>
      <w:lang w:val="it-IT" w:eastAsia="it-IT"/>
    </w:rPr>
  </w:style>
  <w:style w:type="paragraph" w:customStyle="1" w:styleId="Tabellatitolo">
    <w:name w:val="Tabella titolo"/>
    <w:basedOn w:val="Normal"/>
    <w:next w:val="Normal"/>
    <w:pPr>
      <w:spacing w:before="120" w:after="120" w:line="240" w:lineRule="auto"/>
      <w:jc w:val="center"/>
    </w:pPr>
    <w:rPr>
      <w:rFonts w:ascii="Arial" w:eastAsia="Times New Roman" w:hAnsi="Arial"/>
      <w:b/>
      <w:caps/>
      <w:sz w:val="16"/>
      <w:lang w:val="it-IT" w:eastAsia="it-IT"/>
    </w:rPr>
  </w:style>
  <w:style w:type="paragraph" w:customStyle="1" w:styleId="Tabellatestoelenco">
    <w:name w:val="Tabella testo elenco"/>
    <w:basedOn w:val="Normal"/>
    <w:pPr>
      <w:numPr>
        <w:numId w:val="19"/>
      </w:numPr>
      <w:spacing w:before="60" w:after="120" w:line="240" w:lineRule="auto"/>
    </w:pPr>
    <w:rPr>
      <w:rFonts w:ascii="Arial" w:eastAsia="Times New Roman" w:hAnsi="Arial"/>
      <w:sz w:val="16"/>
      <w:lang w:val="it-IT" w:eastAsia="it-IT"/>
    </w:rPr>
  </w:style>
  <w:style w:type="paragraph" w:customStyle="1" w:styleId="Tabellatestoneretto">
    <w:name w:val="Tabella testo neretto"/>
    <w:basedOn w:val="Normal"/>
    <w:next w:val="Normal"/>
    <w:pPr>
      <w:spacing w:before="120" w:after="120" w:line="240" w:lineRule="auto"/>
    </w:pPr>
    <w:rPr>
      <w:rFonts w:ascii="Arial" w:eastAsia="Times New Roman" w:hAnsi="Arial"/>
      <w:b/>
      <w:sz w:val="16"/>
      <w:lang w:val="it-IT" w:eastAsia="it-IT"/>
    </w:rPr>
  </w:style>
  <w:style w:type="paragraph" w:customStyle="1" w:styleId="Tabellatestocentrato">
    <w:name w:val="Tabella testo centrato"/>
    <w:basedOn w:val="Normal"/>
    <w:pPr>
      <w:suppressAutoHyphens/>
      <w:spacing w:before="120" w:after="120" w:line="240" w:lineRule="auto"/>
      <w:jc w:val="center"/>
    </w:pPr>
    <w:rPr>
      <w:rFonts w:ascii="Arial" w:eastAsia="Times New Roman" w:hAnsi="Arial"/>
      <w:sz w:val="16"/>
      <w:lang w:val="it-IT" w:eastAsia="it-IT"/>
    </w:rPr>
  </w:style>
  <w:style w:type="paragraph" w:customStyle="1" w:styleId="Tabellatestocorsivo">
    <w:name w:val="Tabella testo corsivo"/>
    <w:basedOn w:val="Normal"/>
    <w:next w:val="Normal"/>
    <w:pPr>
      <w:spacing w:before="120" w:after="120" w:line="240" w:lineRule="auto"/>
      <w:jc w:val="both"/>
    </w:pPr>
    <w:rPr>
      <w:rFonts w:ascii="Arial" w:eastAsia="Times New Roman" w:hAnsi="Arial"/>
      <w:i/>
      <w:sz w:val="16"/>
      <w:lang w:val="it-IT" w:eastAsia="it-IT"/>
    </w:rPr>
  </w:style>
  <w:style w:type="paragraph" w:customStyle="1" w:styleId="Tabellatestogiustificato">
    <w:name w:val="Tabella testo giustificato"/>
    <w:basedOn w:val="Normal"/>
    <w:next w:val="Tabellatestocorsivo"/>
    <w:pPr>
      <w:spacing w:before="120" w:after="120" w:line="240" w:lineRule="auto"/>
      <w:jc w:val="both"/>
    </w:pPr>
    <w:rPr>
      <w:rFonts w:ascii="Arial" w:eastAsia="Times New Roman" w:hAnsi="Arial"/>
      <w:sz w:val="16"/>
      <w:lang w:val="it-IT" w:eastAsia="it-IT"/>
    </w:rPr>
  </w:style>
  <w:style w:type="character" w:customStyle="1" w:styleId="baseCarattereCarattere">
    <w:name w:val="base Carattere Carattere"/>
    <w:basedOn w:val="DefaultParagraphFont"/>
    <w:rPr>
      <w:rFonts w:ascii="Verdana" w:hAnsi="Verdana"/>
      <w:lang w:val="it-IT" w:eastAsia="it-IT" w:bidi="ar-SA"/>
    </w:rPr>
  </w:style>
  <w:style w:type="paragraph" w:customStyle="1" w:styleId="ListFirst">
    <w:name w:val="List First"/>
    <w:basedOn w:val="List"/>
    <w:next w:val="List"/>
    <w:pPr>
      <w:tabs>
        <w:tab w:val="left" w:pos="720"/>
      </w:tabs>
      <w:overflowPunct w:val="0"/>
      <w:autoSpaceDE w:val="0"/>
      <w:autoSpaceDN w:val="0"/>
      <w:adjustRightInd w:val="0"/>
      <w:spacing w:before="80" w:after="80" w:line="240" w:lineRule="auto"/>
      <w:ind w:left="720" w:hanging="360"/>
      <w:contextualSpacing w:val="0"/>
      <w:jc w:val="both"/>
      <w:textAlignment w:val="baseline"/>
    </w:pPr>
    <w:rPr>
      <w:rFonts w:ascii="Times New Roman" w:eastAsia="Times New Roman" w:hAnsi="Times New Roman"/>
      <w:sz w:val="24"/>
      <w:szCs w:val="24"/>
      <w:lang w:val="it-IT"/>
    </w:rPr>
  </w:style>
  <w:style w:type="paragraph" w:customStyle="1" w:styleId="normalePT">
    <w:name w:val="normale_PT"/>
    <w:pPr>
      <w:spacing w:before="120" w:after="120"/>
      <w:jc w:val="both"/>
    </w:pPr>
    <w:rPr>
      <w:rFonts w:ascii="Times New Roman" w:eastAsia="Times New Roman" w:hAnsi="Times New Roman"/>
      <w:sz w:val="24"/>
      <w:szCs w:val="24"/>
    </w:rPr>
  </w:style>
  <w:style w:type="character" w:customStyle="1" w:styleId="formlabelmandatory">
    <w:name w:val="formlabelmandatory"/>
    <w:basedOn w:val="DefaultParagraphFont"/>
  </w:style>
  <w:style w:type="character" w:customStyle="1" w:styleId="formlabel">
    <w:name w:val="formlabel"/>
    <w:basedOn w:val="DefaultParagraphFont"/>
  </w:style>
  <w:style w:type="character" w:customStyle="1" w:styleId="Corpodeltesto2Carattere">
    <w:name w:val="Corpo del testo 2 Carattere"/>
    <w:basedOn w:val="DefaultParagraphFont"/>
    <w:uiPriority w:val="99"/>
    <w:rPr>
      <w:rFonts w:ascii="Verdana" w:hAnsi="Verdana"/>
      <w:lang w:val="it-IT" w:eastAsia="it-IT" w:bidi="ar-SA"/>
    </w:rPr>
  </w:style>
  <w:style w:type="paragraph" w:customStyle="1" w:styleId="Titolo10">
    <w:name w:val="Titolo 10"/>
    <w:basedOn w:val="Heading7"/>
    <w:next w:val="BodyText2"/>
    <w:link w:val="Titolo10Carattere1"/>
    <w:qFormat/>
    <w:pPr>
      <w:keepNext w:val="0"/>
      <w:keepLines w:val="0"/>
      <w:tabs>
        <w:tab w:val="num" w:pos="1588"/>
      </w:tabs>
      <w:suppressAutoHyphens/>
      <w:spacing w:before="240" w:after="60"/>
      <w:ind w:left="1588" w:hanging="1588"/>
      <w:jc w:val="both"/>
      <w:outlineLvl w:val="7"/>
    </w:pPr>
    <w:rPr>
      <w:rFonts w:ascii="Arial" w:eastAsia="Times New Roman" w:hAnsi="Arial"/>
      <w:b/>
      <w:i/>
      <w:color w:val="auto"/>
      <w:sz w:val="24"/>
      <w:szCs w:val="22"/>
      <w:lang w:val="it-IT" w:eastAsia="it-IT"/>
    </w:rPr>
  </w:style>
  <w:style w:type="paragraph" w:customStyle="1" w:styleId="ParagrafoNormale">
    <w:name w:val="Paragrafo Normale"/>
    <w:pPr>
      <w:spacing w:before="120" w:after="120" w:line="240" w:lineRule="exact"/>
      <w:ind w:left="567"/>
      <w:jc w:val="both"/>
    </w:pPr>
    <w:rPr>
      <w:rFonts w:ascii="Times" w:eastAsia="Times New Roman" w:hAnsi="Times"/>
      <w:sz w:val="24"/>
    </w:rPr>
  </w:style>
  <w:style w:type="paragraph" w:customStyle="1" w:styleId="Paragrafoelenco1">
    <w:name w:val="Paragrafo elenco1"/>
    <w:aliases w:val="Normal bullet 2"/>
    <w:basedOn w:val="Normal"/>
    <w:qFormat/>
    <w:pPr>
      <w:numPr>
        <w:numId w:val="23"/>
      </w:numPr>
      <w:spacing w:before="120" w:after="120" w:line="240" w:lineRule="auto"/>
      <w:contextualSpacing/>
      <w:jc w:val="both"/>
    </w:pPr>
    <w:rPr>
      <w:rFonts w:ascii="Arial" w:eastAsia="Times New Roman" w:hAnsi="Arial"/>
      <w:lang w:eastAsia="it-IT"/>
    </w:rPr>
  </w:style>
  <w:style w:type="paragraph" w:customStyle="1" w:styleId="Revisione1">
    <w:name w:val="Revisione1"/>
    <w:hidden/>
    <w:uiPriority w:val="99"/>
    <w:semiHidden/>
    <w:pPr>
      <w:spacing w:before="120" w:after="120"/>
    </w:pPr>
    <w:rPr>
      <w:rFonts w:ascii="Verdana" w:eastAsia="Times New Roman" w:hAnsi="Verdana"/>
    </w:rPr>
  </w:style>
  <w:style w:type="paragraph" w:customStyle="1" w:styleId="StileCorpodeltesto2">
    <w:name w:val="Stile Corpo del testo 2"/>
    <w:aliases w:val="base +"/>
    <w:basedOn w:val="BodyText2"/>
    <w:pPr>
      <w:spacing w:before="120" w:after="60" w:line="240" w:lineRule="auto"/>
    </w:pPr>
    <w:rPr>
      <w:szCs w:val="20"/>
      <w:lang w:val="it-IT" w:eastAsia="it-IT"/>
    </w:rPr>
  </w:style>
  <w:style w:type="paragraph" w:customStyle="1" w:styleId="Stile9ptCentrato">
    <w:name w:val="Stile 9 pt Centrato"/>
    <w:basedOn w:val="Normal"/>
    <w:next w:val="BodyText2"/>
    <w:pPr>
      <w:spacing w:before="120" w:after="120" w:line="240" w:lineRule="auto"/>
      <w:jc w:val="center"/>
    </w:pPr>
    <w:rPr>
      <w:rFonts w:ascii="Arial" w:eastAsia="Times New Roman" w:hAnsi="Arial"/>
      <w:sz w:val="18"/>
      <w:lang w:val="it-IT" w:eastAsia="it-IT"/>
    </w:rPr>
  </w:style>
  <w:style w:type="character" w:customStyle="1" w:styleId="Titolo10Carattere1">
    <w:name w:val="Titolo 10 Carattere1"/>
    <w:basedOn w:val="Heading7Char"/>
    <w:link w:val="Titolo10"/>
    <w:rPr>
      <w:rFonts w:ascii="Arial" w:eastAsia="Times New Roman" w:hAnsi="Arial"/>
      <w:b/>
      <w:i/>
      <w:iCs/>
      <w:color w:val="DC6900"/>
      <w:sz w:val="24"/>
      <w:szCs w:val="22"/>
      <w:lang w:val="en-GB" w:eastAsia="en-US"/>
    </w:rPr>
  </w:style>
  <w:style w:type="character" w:customStyle="1" w:styleId="Titolo10Carattere">
    <w:name w:val="Titolo 10 Carattere"/>
    <w:basedOn w:val="Heading7Char"/>
    <w:rPr>
      <w:rFonts w:ascii="Arial" w:eastAsia="SimHei" w:hAnsi="Arial"/>
      <w:b/>
      <w:i/>
      <w:iCs/>
      <w:color w:val="DC6900"/>
      <w:sz w:val="24"/>
      <w:lang w:val="en-GB" w:eastAsia="en-US"/>
    </w:rPr>
  </w:style>
  <w:style w:type="character" w:customStyle="1" w:styleId="RientrocorpodeltestoCarattere1">
    <w:name w:val="Rientro corpo del testo Carattere1"/>
    <w:basedOn w:val="DefaultParagraphFont"/>
    <w:locked/>
    <w:rPr>
      <w:rFonts w:ascii="Verdana" w:hAnsi="Verdana"/>
    </w:rPr>
  </w:style>
  <w:style w:type="paragraph" w:customStyle="1" w:styleId="titoli">
    <w:name w:val="titoli"/>
    <w:basedOn w:val="Normal"/>
    <w:autoRedefine/>
    <w:pPr>
      <w:numPr>
        <w:numId w:val="20"/>
      </w:numPr>
      <w:shd w:val="clear" w:color="auto" w:fill="C0C0C0"/>
      <w:spacing w:before="120" w:after="480" w:line="240" w:lineRule="auto"/>
    </w:pPr>
    <w:rPr>
      <w:rFonts w:ascii="Arial" w:eastAsia="Times New Roman" w:hAnsi="Arial"/>
      <w:b/>
      <w:sz w:val="24"/>
      <w:lang w:val="it-IT" w:eastAsia="it-IT"/>
    </w:rPr>
  </w:style>
  <w:style w:type="paragraph" w:customStyle="1" w:styleId="tabellatesto">
    <w:name w:val="tabellatesto"/>
    <w:basedOn w:val="Normal"/>
    <w:pPr>
      <w:spacing w:before="60" w:after="120" w:line="240" w:lineRule="auto"/>
      <w:jc w:val="both"/>
    </w:pPr>
    <w:rPr>
      <w:rFonts w:ascii="Times New Roman" w:eastAsia="Times New Roman" w:hAnsi="Times New Roman"/>
      <w:lang w:val="it-IT" w:eastAsia="it-IT"/>
    </w:rPr>
  </w:style>
  <w:style w:type="paragraph" w:customStyle="1" w:styleId="tabella">
    <w:name w:val="tabella"/>
    <w:basedOn w:val="Normal"/>
    <w:pPr>
      <w:spacing w:before="60" w:after="120" w:line="240" w:lineRule="auto"/>
      <w:jc w:val="both"/>
    </w:pPr>
    <w:rPr>
      <w:rFonts w:ascii="Century Gothic" w:eastAsia="Times New Roman" w:hAnsi="Century Gothic"/>
      <w:b/>
      <w:sz w:val="24"/>
      <w:lang w:val="it-IT"/>
    </w:rPr>
  </w:style>
  <w:style w:type="paragraph" w:customStyle="1" w:styleId="Style10">
    <w:name w:val="Style1"/>
    <w:basedOn w:val="Normal"/>
    <w:link w:val="Style1Char"/>
    <w:qFormat/>
    <w:pPr>
      <w:tabs>
        <w:tab w:val="num" w:pos="907"/>
      </w:tabs>
      <w:spacing w:before="120" w:line="360" w:lineRule="auto"/>
      <w:ind w:left="907" w:hanging="340"/>
    </w:pPr>
    <w:rPr>
      <w:rFonts w:ascii="Arial" w:eastAsia="Times New Roman" w:hAnsi="Arial"/>
      <w:sz w:val="24"/>
      <w:lang w:val="it-IT" w:eastAsia="it-IT"/>
    </w:rPr>
  </w:style>
  <w:style w:type="paragraph" w:customStyle="1" w:styleId="Normale-n-ind">
    <w:name w:val="Normale-n-ind"/>
    <w:basedOn w:val="Normal"/>
    <w:pPr>
      <w:spacing w:before="60" w:after="120" w:line="240" w:lineRule="auto"/>
      <w:jc w:val="both"/>
    </w:pPr>
    <w:rPr>
      <w:rFonts w:ascii="Arial" w:eastAsia="Times New Roman" w:hAnsi="Arial"/>
      <w:lang w:eastAsia="it-IT"/>
    </w:rPr>
  </w:style>
  <w:style w:type="paragraph" w:styleId="Index1">
    <w:name w:val="index 1"/>
    <w:basedOn w:val="Normal"/>
    <w:next w:val="Normal"/>
    <w:autoRedefine/>
    <w:locked/>
    <w:pPr>
      <w:spacing w:before="120" w:after="120" w:line="240" w:lineRule="auto"/>
      <w:ind w:left="240" w:hanging="240"/>
    </w:pPr>
    <w:rPr>
      <w:rFonts w:ascii="Times New Roman" w:eastAsia="Times New Roman" w:hAnsi="Times New Roman"/>
      <w:sz w:val="24"/>
      <w:szCs w:val="24"/>
      <w:lang w:val="it-IT" w:eastAsia="it-IT"/>
    </w:rPr>
  </w:style>
  <w:style w:type="paragraph" w:customStyle="1" w:styleId="FootnoteBase">
    <w:name w:val="Footnote Base"/>
    <w:basedOn w:val="Normal"/>
    <w:pPr>
      <w:tabs>
        <w:tab w:val="left" w:pos="187"/>
      </w:tabs>
      <w:overflowPunct w:val="0"/>
      <w:autoSpaceDE w:val="0"/>
      <w:autoSpaceDN w:val="0"/>
      <w:adjustRightInd w:val="0"/>
      <w:spacing w:before="120" w:after="120" w:line="220" w:lineRule="exact"/>
      <w:ind w:left="187" w:hanging="187"/>
      <w:jc w:val="both"/>
      <w:textAlignment w:val="baseline"/>
    </w:pPr>
    <w:rPr>
      <w:rFonts w:ascii="Times New Roman" w:eastAsia="Times New Roman" w:hAnsi="Times New Roman"/>
      <w:sz w:val="18"/>
      <w:szCs w:val="24"/>
      <w:lang w:val="it-IT"/>
    </w:rPr>
  </w:style>
  <w:style w:type="paragraph" w:customStyle="1" w:styleId="Normalebis">
    <w:name w:val="Normale bis"/>
    <w:basedOn w:val="Normal"/>
    <w:pPr>
      <w:widowControl w:val="0"/>
      <w:spacing w:before="120" w:after="120" w:line="240" w:lineRule="auto"/>
      <w:jc w:val="both"/>
    </w:pPr>
    <w:rPr>
      <w:rFonts w:ascii="Book Antiqua" w:eastAsia="Times New Roman" w:hAnsi="Book Antiqua"/>
      <w:sz w:val="24"/>
      <w:lang w:val="it-IT"/>
    </w:rPr>
  </w:style>
  <w:style w:type="paragraph" w:customStyle="1" w:styleId="Corpotestoamargine">
    <w:name w:val="Corpo testo a margine"/>
    <w:basedOn w:val="Normal"/>
    <w:pPr>
      <w:spacing w:before="240" w:after="120" w:line="240" w:lineRule="auto"/>
      <w:jc w:val="both"/>
    </w:pPr>
    <w:rPr>
      <w:rFonts w:ascii="Arial" w:eastAsia="Times New Roman" w:hAnsi="Arial"/>
      <w:sz w:val="22"/>
      <w:lang w:val="it-IT" w:eastAsia="it-IT"/>
    </w:rPr>
  </w:style>
  <w:style w:type="paragraph" w:customStyle="1" w:styleId="verdana">
    <w:name w:val="verdana"/>
    <w:basedOn w:val="Normal"/>
    <w:pPr>
      <w:spacing w:before="120" w:after="120" w:line="240" w:lineRule="auto"/>
    </w:pPr>
    <w:rPr>
      <w:rFonts w:ascii="Arial" w:eastAsia="Times New Roman" w:hAnsi="Arial"/>
      <w:b/>
      <w:bCs/>
      <w:sz w:val="18"/>
      <w:lang w:val="it-IT" w:eastAsia="it-IT"/>
    </w:rPr>
  </w:style>
  <w:style w:type="paragraph" w:customStyle="1" w:styleId="Rientrotesto3">
    <w:name w:val="Rientro testo 3"/>
    <w:basedOn w:val="BodyText2"/>
    <w:pPr>
      <w:numPr>
        <w:numId w:val="21"/>
      </w:numPr>
      <w:spacing w:before="120" w:after="60" w:line="240" w:lineRule="auto"/>
      <w:jc w:val="left"/>
    </w:pPr>
    <w:rPr>
      <w:szCs w:val="20"/>
      <w:lang w:val="it-IT" w:eastAsia="it-IT"/>
    </w:rPr>
  </w:style>
  <w:style w:type="paragraph" w:customStyle="1" w:styleId="TabellaIntestazione">
    <w:name w:val="Tabella Intestazione"/>
    <w:basedOn w:val="Normal"/>
    <w:pPr>
      <w:spacing w:before="120" w:after="120" w:line="240" w:lineRule="auto"/>
      <w:jc w:val="both"/>
    </w:pPr>
    <w:rPr>
      <w:rFonts w:ascii="Century Gothic" w:eastAsia="Times New Roman" w:hAnsi="Century Gothic"/>
      <w:b/>
      <w:bCs/>
      <w:sz w:val="22"/>
      <w:szCs w:val="22"/>
      <w:lang w:val="it-IT" w:eastAsia="it-IT"/>
    </w:rPr>
  </w:style>
  <w:style w:type="paragraph" w:customStyle="1" w:styleId="Baseintestazione">
    <w:name w:val="Base intestazione"/>
    <w:basedOn w:val="BodyText"/>
    <w:pPr>
      <w:keepLines/>
      <w:tabs>
        <w:tab w:val="center" w:pos="4320"/>
        <w:tab w:val="right" w:pos="8640"/>
      </w:tabs>
      <w:spacing w:before="120" w:after="0"/>
      <w:ind w:left="426"/>
      <w:jc w:val="center"/>
    </w:pPr>
    <w:rPr>
      <w:rFonts w:ascii="Garamond" w:eastAsia="Times New Roman" w:hAnsi="Garamond"/>
      <w:smallCaps/>
      <w:spacing w:val="15"/>
      <w:sz w:val="22"/>
      <w:szCs w:val="22"/>
      <w:lang w:val="it-IT" w:eastAsia="it-IT"/>
    </w:rPr>
  </w:style>
  <w:style w:type="paragraph" w:customStyle="1" w:styleId="TabellaColonna">
    <w:name w:val="Tabella Colonna"/>
    <w:basedOn w:val="Normal"/>
    <w:pPr>
      <w:spacing w:before="120" w:after="120" w:line="240" w:lineRule="auto"/>
    </w:pPr>
    <w:rPr>
      <w:rFonts w:ascii="Century Gothic" w:eastAsia="Times New Roman" w:hAnsi="Century Gothic"/>
      <w:b/>
      <w:bCs/>
      <w:lang w:val="it-IT" w:eastAsia="it-IT"/>
    </w:rPr>
  </w:style>
  <w:style w:type="paragraph" w:customStyle="1" w:styleId="TabellaCampi">
    <w:name w:val="Tabella Campi"/>
    <w:basedOn w:val="Normal"/>
    <w:pPr>
      <w:spacing w:before="120" w:after="120" w:line="240" w:lineRule="auto"/>
    </w:pPr>
    <w:rPr>
      <w:rFonts w:ascii="Garamond" w:eastAsia="Times New Roman" w:hAnsi="Garamond"/>
      <w:lang w:val="it-IT" w:eastAsia="it-IT"/>
    </w:rPr>
  </w:style>
  <w:style w:type="paragraph" w:customStyle="1" w:styleId="N">
    <w:name w:val="N"/>
    <w:basedOn w:val="Heading1"/>
    <w:pPr>
      <w:keepLines/>
      <w:widowControl/>
      <w:overflowPunct w:val="0"/>
      <w:autoSpaceDE w:val="0"/>
      <w:autoSpaceDN w:val="0"/>
      <w:adjustRightInd w:val="0"/>
      <w:spacing w:beforeLines="20" w:afterLines="20" w:line="480" w:lineRule="auto"/>
      <w:jc w:val="both"/>
      <w:textAlignment w:val="baseline"/>
    </w:pPr>
    <w:rPr>
      <w:rFonts w:ascii="Arial" w:eastAsia="Times New Roman" w:hAnsi="Arial" w:cs="Tahoma"/>
      <w:i w:val="0"/>
      <w:kern w:val="28"/>
      <w:sz w:val="20"/>
      <w:szCs w:val="20"/>
      <w:lang w:val="it-IT" w:eastAsia="it-IT"/>
    </w:rPr>
  </w:style>
  <w:style w:type="paragraph" w:customStyle="1" w:styleId="NomeCampo">
    <w:name w:val="Nome Campo"/>
    <w:basedOn w:val="Header"/>
    <w:pPr>
      <w:tabs>
        <w:tab w:val="center" w:pos="4819"/>
        <w:tab w:val="right" w:pos="9638"/>
      </w:tabs>
      <w:spacing w:before="120" w:after="80"/>
    </w:pPr>
    <w:rPr>
      <w:rFonts w:eastAsia="Times New Roman" w:cs="Arial"/>
      <w:i/>
      <w:iCs/>
      <w:sz w:val="16"/>
      <w:szCs w:val="16"/>
      <w:lang w:val="it-IT"/>
    </w:rPr>
  </w:style>
  <w:style w:type="paragraph" w:customStyle="1" w:styleId="HeaderBase">
    <w:name w:val="Header Base"/>
    <w:basedOn w:val="Normal"/>
    <w:pPr>
      <w:keepLines/>
      <w:tabs>
        <w:tab w:val="center" w:pos="4320"/>
        <w:tab w:val="right" w:pos="8640"/>
      </w:tabs>
      <w:overflowPunct w:val="0"/>
      <w:autoSpaceDE w:val="0"/>
      <w:autoSpaceDN w:val="0"/>
      <w:adjustRightInd w:val="0"/>
      <w:spacing w:before="120" w:after="120" w:line="240" w:lineRule="auto"/>
      <w:jc w:val="both"/>
      <w:textAlignment w:val="baseline"/>
    </w:pPr>
    <w:rPr>
      <w:rFonts w:ascii="Times New Roman" w:eastAsia="Times New Roman" w:hAnsi="Times New Roman"/>
      <w:sz w:val="24"/>
      <w:szCs w:val="24"/>
      <w:lang w:val="it-IT"/>
    </w:rPr>
  </w:style>
  <w:style w:type="paragraph" w:customStyle="1" w:styleId="testo2-puntato">
    <w:name w:val="testo2-puntato"/>
    <w:basedOn w:val="Normal"/>
    <w:pPr>
      <w:numPr>
        <w:numId w:val="22"/>
      </w:numPr>
      <w:spacing w:before="240" w:after="120" w:line="360" w:lineRule="atLeast"/>
    </w:pPr>
    <w:rPr>
      <w:rFonts w:ascii="Times New Roman" w:eastAsia="Times New Roman" w:hAnsi="Times New Roman"/>
      <w:sz w:val="24"/>
      <w:szCs w:val="24"/>
      <w:lang w:val="it-IT" w:eastAsia="it-IT"/>
    </w:rPr>
  </w:style>
  <w:style w:type="paragraph" w:styleId="IndexHeading">
    <w:name w:val="index heading"/>
    <w:basedOn w:val="Normal"/>
    <w:next w:val="Index1"/>
    <w:locked/>
    <w:pPr>
      <w:spacing w:before="120" w:after="120" w:line="240" w:lineRule="auto"/>
    </w:pPr>
    <w:rPr>
      <w:rFonts w:ascii="Arial" w:eastAsia="Times New Roman" w:hAnsi="Arial"/>
      <w:sz w:val="22"/>
      <w:lang w:val="it-IT" w:eastAsia="it-IT"/>
    </w:rPr>
  </w:style>
  <w:style w:type="paragraph" w:customStyle="1" w:styleId="BaseTitolo">
    <w:name w:val="Base Titolo"/>
    <w:basedOn w:val="BodyText"/>
    <w:next w:val="BodyText"/>
    <w:pPr>
      <w:keepNext/>
      <w:keepLines/>
      <w:spacing w:before="120" w:after="0"/>
    </w:pPr>
    <w:rPr>
      <w:rFonts w:ascii="Garamond" w:eastAsia="Times New Roman" w:hAnsi="Garamond"/>
      <w:kern w:val="20"/>
      <w:sz w:val="22"/>
      <w:lang w:val="it-IT" w:eastAsia="it-IT"/>
    </w:rPr>
  </w:style>
  <w:style w:type="paragraph" w:customStyle="1" w:styleId="Corpodeltestocontinuo">
    <w:name w:val="Corpo del testo continuo"/>
    <w:basedOn w:val="BodyText"/>
    <w:pPr>
      <w:keepNext/>
      <w:spacing w:before="120"/>
      <w:ind w:left="426"/>
    </w:pPr>
    <w:rPr>
      <w:rFonts w:ascii="Garamond" w:eastAsia="Times New Roman" w:hAnsi="Garamond"/>
      <w:sz w:val="22"/>
      <w:lang w:val="it-IT" w:eastAsia="it-IT"/>
    </w:rPr>
  </w:style>
  <w:style w:type="paragraph" w:customStyle="1" w:styleId="HeadTitolo1">
    <w:name w:val="HeadTitolo1"/>
    <w:basedOn w:val="Heading1"/>
    <w:pPr>
      <w:pageBreakBefore/>
      <w:widowControl/>
      <w:tabs>
        <w:tab w:val="num" w:pos="568"/>
      </w:tabs>
      <w:spacing w:before="240" w:after="360" w:line="240" w:lineRule="auto"/>
      <w:ind w:left="568" w:hanging="284"/>
      <w:jc w:val="both"/>
    </w:pPr>
    <w:rPr>
      <w:rFonts w:ascii="Arial" w:eastAsia="Times New Roman" w:hAnsi="Arial"/>
      <w:bCs w:val="0"/>
      <w:i w:val="0"/>
      <w:caps/>
      <w:kern w:val="28"/>
      <w:sz w:val="32"/>
      <w:szCs w:val="20"/>
      <w:lang w:val="it-IT" w:eastAsia="it-IT"/>
    </w:rPr>
  </w:style>
  <w:style w:type="paragraph" w:customStyle="1" w:styleId="TitleNew">
    <w:name w:val="TitleNew"/>
    <w:basedOn w:val="Normal"/>
    <w:autoRedefine/>
    <w:pPr>
      <w:spacing w:before="120" w:after="120" w:line="240" w:lineRule="auto"/>
      <w:jc w:val="center"/>
    </w:pPr>
    <w:rPr>
      <w:rFonts w:ascii="Arial" w:eastAsia="Times New Roman" w:hAnsi="Arial"/>
      <w:b/>
      <w:sz w:val="36"/>
      <w:lang w:eastAsia="it-IT"/>
    </w:rPr>
  </w:style>
  <w:style w:type="paragraph" w:customStyle="1" w:styleId="Normale1">
    <w:name w:val="Normale1"/>
    <w:basedOn w:val="Normal"/>
    <w:pPr>
      <w:spacing w:before="120" w:after="120" w:line="240" w:lineRule="auto"/>
    </w:pPr>
    <w:rPr>
      <w:rFonts w:ascii="Arial" w:eastAsia="Times New Roman" w:hAnsi="Arial" w:cs="Arial"/>
      <w:b/>
      <w:bCs/>
      <w:lang w:val="it-IT" w:eastAsia="it-IT"/>
    </w:rPr>
  </w:style>
  <w:style w:type="paragraph" w:customStyle="1" w:styleId="Normale-tab">
    <w:name w:val="Normale-tab"/>
    <w:basedOn w:val="Normal"/>
    <w:pPr>
      <w:spacing w:before="60" w:after="60" w:line="240" w:lineRule="auto"/>
      <w:jc w:val="both"/>
    </w:pPr>
    <w:rPr>
      <w:rFonts w:ascii="Arial" w:eastAsia="Times New Roman" w:hAnsi="Arial"/>
      <w:b/>
      <w:sz w:val="24"/>
      <w:lang w:val="it-IT" w:eastAsia="it-IT"/>
    </w:rPr>
  </w:style>
  <w:style w:type="paragraph" w:styleId="Index2">
    <w:name w:val="index 2"/>
    <w:basedOn w:val="Normal"/>
    <w:next w:val="Normal"/>
    <w:autoRedefine/>
    <w:locked/>
    <w:pPr>
      <w:spacing w:before="120" w:after="120" w:line="240" w:lineRule="auto"/>
      <w:ind w:left="480" w:hanging="240"/>
    </w:pPr>
    <w:rPr>
      <w:rFonts w:ascii="Times New Roman" w:eastAsia="Times New Roman" w:hAnsi="Times New Roman"/>
      <w:sz w:val="24"/>
      <w:szCs w:val="24"/>
      <w:lang w:val="it-IT" w:eastAsia="it-IT"/>
    </w:rPr>
  </w:style>
  <w:style w:type="paragraph" w:styleId="Index3">
    <w:name w:val="index 3"/>
    <w:basedOn w:val="Normal"/>
    <w:next w:val="Normal"/>
    <w:autoRedefine/>
    <w:locked/>
    <w:pPr>
      <w:spacing w:before="120" w:after="120" w:line="240" w:lineRule="auto"/>
      <w:ind w:left="720" w:hanging="240"/>
    </w:pPr>
    <w:rPr>
      <w:rFonts w:ascii="Times New Roman" w:eastAsia="Times New Roman" w:hAnsi="Times New Roman"/>
      <w:sz w:val="24"/>
      <w:szCs w:val="24"/>
      <w:lang w:val="it-IT" w:eastAsia="it-IT"/>
    </w:rPr>
  </w:style>
  <w:style w:type="paragraph" w:styleId="Index4">
    <w:name w:val="index 4"/>
    <w:basedOn w:val="Normal"/>
    <w:next w:val="Normal"/>
    <w:autoRedefine/>
    <w:locked/>
    <w:pPr>
      <w:spacing w:before="120" w:after="120" w:line="240" w:lineRule="auto"/>
      <w:ind w:left="960" w:hanging="240"/>
    </w:pPr>
    <w:rPr>
      <w:rFonts w:ascii="Times New Roman" w:eastAsia="Times New Roman" w:hAnsi="Times New Roman"/>
      <w:sz w:val="24"/>
      <w:szCs w:val="24"/>
      <w:lang w:val="it-IT" w:eastAsia="it-IT"/>
    </w:rPr>
  </w:style>
  <w:style w:type="paragraph" w:styleId="Index5">
    <w:name w:val="index 5"/>
    <w:basedOn w:val="Normal"/>
    <w:next w:val="Normal"/>
    <w:autoRedefine/>
    <w:locked/>
    <w:pPr>
      <w:spacing w:before="120" w:after="120" w:line="240" w:lineRule="auto"/>
      <w:ind w:left="1200" w:hanging="240"/>
    </w:pPr>
    <w:rPr>
      <w:rFonts w:ascii="Times New Roman" w:eastAsia="Times New Roman" w:hAnsi="Times New Roman"/>
      <w:sz w:val="24"/>
      <w:szCs w:val="24"/>
      <w:lang w:val="it-IT" w:eastAsia="it-IT"/>
    </w:rPr>
  </w:style>
  <w:style w:type="paragraph" w:styleId="Index6">
    <w:name w:val="index 6"/>
    <w:basedOn w:val="Normal"/>
    <w:next w:val="Normal"/>
    <w:autoRedefine/>
    <w:locked/>
    <w:pPr>
      <w:spacing w:before="120" w:after="120" w:line="240" w:lineRule="auto"/>
      <w:ind w:left="1440" w:hanging="240"/>
    </w:pPr>
    <w:rPr>
      <w:rFonts w:ascii="Times New Roman" w:eastAsia="Times New Roman" w:hAnsi="Times New Roman"/>
      <w:sz w:val="24"/>
      <w:szCs w:val="24"/>
      <w:lang w:val="it-IT" w:eastAsia="it-IT"/>
    </w:rPr>
  </w:style>
  <w:style w:type="paragraph" w:styleId="Index7">
    <w:name w:val="index 7"/>
    <w:basedOn w:val="Normal"/>
    <w:next w:val="Normal"/>
    <w:autoRedefine/>
    <w:locked/>
    <w:pPr>
      <w:spacing w:before="120" w:after="120" w:line="240" w:lineRule="auto"/>
      <w:ind w:left="1680" w:hanging="240"/>
    </w:pPr>
    <w:rPr>
      <w:rFonts w:ascii="Times New Roman" w:eastAsia="Times New Roman" w:hAnsi="Times New Roman"/>
      <w:sz w:val="24"/>
      <w:szCs w:val="24"/>
      <w:lang w:val="it-IT" w:eastAsia="it-IT"/>
    </w:rPr>
  </w:style>
  <w:style w:type="paragraph" w:styleId="Index8">
    <w:name w:val="index 8"/>
    <w:basedOn w:val="Normal"/>
    <w:next w:val="Normal"/>
    <w:autoRedefine/>
    <w:locked/>
    <w:pPr>
      <w:spacing w:before="120" w:after="120" w:line="240" w:lineRule="auto"/>
      <w:ind w:left="1920" w:hanging="240"/>
    </w:pPr>
    <w:rPr>
      <w:rFonts w:ascii="Times New Roman" w:eastAsia="Times New Roman" w:hAnsi="Times New Roman"/>
      <w:sz w:val="24"/>
      <w:szCs w:val="24"/>
      <w:lang w:val="it-IT" w:eastAsia="it-IT"/>
    </w:rPr>
  </w:style>
  <w:style w:type="paragraph" w:styleId="Index9">
    <w:name w:val="index 9"/>
    <w:basedOn w:val="Normal"/>
    <w:next w:val="Normal"/>
    <w:autoRedefine/>
    <w:locked/>
    <w:pPr>
      <w:spacing w:before="120" w:after="120" w:line="240" w:lineRule="auto"/>
      <w:ind w:left="2160" w:hanging="240"/>
    </w:pPr>
    <w:rPr>
      <w:rFonts w:ascii="Times New Roman" w:eastAsia="Times New Roman" w:hAnsi="Times New Roman"/>
      <w:sz w:val="24"/>
      <w:szCs w:val="24"/>
      <w:lang w:val="it-IT" w:eastAsia="it-IT"/>
    </w:rPr>
  </w:style>
  <w:style w:type="paragraph" w:customStyle="1" w:styleId="Heading10">
    <w:name w:val="Heading 10"/>
    <w:basedOn w:val="Normal"/>
    <w:next w:val="BodyText2"/>
    <w:link w:val="Heading10Char"/>
    <w:qFormat/>
    <w:pPr>
      <w:tabs>
        <w:tab w:val="num" w:pos="1588"/>
      </w:tabs>
      <w:spacing w:before="240" w:after="120" w:line="240" w:lineRule="auto"/>
      <w:ind w:left="1588" w:hanging="1588"/>
      <w:jc w:val="both"/>
      <w:outlineLvl w:val="7"/>
    </w:pPr>
    <w:rPr>
      <w:rFonts w:ascii="Arial" w:eastAsia="Times New Roman" w:hAnsi="Arial"/>
      <w:b/>
      <w:sz w:val="22"/>
      <w:lang w:val="it-IT" w:eastAsia="it-IT"/>
    </w:rPr>
  </w:style>
  <w:style w:type="character" w:customStyle="1" w:styleId="Heading10Char">
    <w:name w:val="Heading 10 Char"/>
    <w:basedOn w:val="Heading7Char"/>
    <w:link w:val="Heading10"/>
    <w:rPr>
      <w:rFonts w:ascii="Arial" w:eastAsia="Times New Roman" w:hAnsi="Arial"/>
      <w:b/>
      <w:iCs/>
      <w:color w:val="DC6900"/>
      <w:sz w:val="22"/>
      <w:lang w:val="en-GB" w:eastAsia="en-US"/>
    </w:rPr>
  </w:style>
  <w:style w:type="character" w:customStyle="1" w:styleId="formlabel1">
    <w:name w:val="formlabel1"/>
    <w:basedOn w:val="DefaultParagraphFont"/>
    <w:rPr>
      <w:rFonts w:ascii="Verdana" w:hAnsi="Verdana" w:hint="default"/>
      <w:strike w:val="0"/>
      <w:dstrike w:val="0"/>
      <w:color w:val="000000"/>
      <w:sz w:val="17"/>
      <w:szCs w:val="17"/>
      <w:u w:val="none"/>
      <w:effect w:val="none"/>
    </w:rPr>
  </w:style>
  <w:style w:type="character" w:customStyle="1" w:styleId="StileRimandonotaapidipagina9ptGrassettoNonApiceP">
    <w:name w:val="Stile Rimando nota a piè di pagina + 9 pt Grassetto Non Apice / P..."/>
    <w:basedOn w:val="DefaultParagraphFont"/>
    <w:rPr>
      <w:rFonts w:ascii="Verdana" w:hAnsi="Verdana"/>
      <w:b/>
      <w:bCs/>
      <w:dstrike w:val="0"/>
      <w:sz w:val="18"/>
      <w:vertAlign w:val="superscript"/>
    </w:rPr>
  </w:style>
  <w:style w:type="character" w:customStyle="1" w:styleId="formlabelmandatory1">
    <w:name w:val="formlabelmandatory1"/>
    <w:basedOn w:val="DefaultParagraphFont"/>
    <w:rPr>
      <w:rFonts w:ascii="Verdana" w:hAnsi="Verdana" w:hint="default"/>
      <w:b/>
      <w:bCs/>
      <w:color w:val="000000"/>
      <w:sz w:val="13"/>
      <w:szCs w:val="13"/>
    </w:rPr>
  </w:style>
  <w:style w:type="paragraph" w:customStyle="1" w:styleId="Nessunaspaziatura1">
    <w:name w:val="Nessuna spaziatura1"/>
    <w:link w:val="NessunaspaziaturaCarattere"/>
    <w:uiPriority w:val="1"/>
    <w:qFormat/>
    <w:pPr>
      <w:spacing w:before="120" w:after="120"/>
    </w:pPr>
    <w:rPr>
      <w:rFonts w:ascii="Calibri" w:eastAsia="Times New Roman" w:hAnsi="Calibri"/>
      <w:sz w:val="22"/>
      <w:szCs w:val="22"/>
      <w:lang w:eastAsia="en-US"/>
    </w:rPr>
  </w:style>
  <w:style w:type="character" w:customStyle="1" w:styleId="NessunaspaziaturaCarattere">
    <w:name w:val="Nessuna spaziatura Carattere"/>
    <w:basedOn w:val="DefaultParagraphFont"/>
    <w:link w:val="Nessunaspaziatura1"/>
    <w:uiPriority w:val="1"/>
    <w:rPr>
      <w:rFonts w:ascii="Calibri" w:eastAsia="Times New Roman" w:hAnsi="Calibri"/>
      <w:sz w:val="22"/>
      <w:szCs w:val="22"/>
      <w:lang w:eastAsia="en-US"/>
    </w:rPr>
  </w:style>
  <w:style w:type="paragraph" w:customStyle="1" w:styleId="Titolosommario1">
    <w:name w:val="Titolo sommario1"/>
    <w:basedOn w:val="Heading1"/>
    <w:next w:val="Normal"/>
    <w:uiPriority w:val="39"/>
    <w:semiHidden/>
    <w:unhideWhenUsed/>
    <w:qFormat/>
    <w:pPr>
      <w:keepLines/>
      <w:widowControl/>
      <w:spacing w:before="480" w:after="0" w:line="276" w:lineRule="auto"/>
      <w:outlineLvl w:val="9"/>
    </w:pPr>
    <w:rPr>
      <w:rFonts w:ascii="Cambria" w:eastAsia="Times New Roman" w:hAnsi="Cambria"/>
      <w:i w:val="0"/>
      <w:color w:val="365F91"/>
      <w:sz w:val="28"/>
      <w:lang w:val="it-IT"/>
    </w:rPr>
  </w:style>
  <w:style w:type="character" w:customStyle="1" w:styleId="Titolodellibro1">
    <w:name w:val="Titolo del libro1"/>
    <w:basedOn w:val="DefaultParagraphFont"/>
    <w:uiPriority w:val="33"/>
    <w:qFormat/>
    <w:rPr>
      <w:rFonts w:ascii="Arial" w:hAnsi="Arial"/>
      <w:b/>
      <w:bCs/>
      <w:smallCaps/>
      <w:spacing w:val="5"/>
      <w:sz w:val="24"/>
    </w:rPr>
  </w:style>
  <w:style w:type="paragraph" w:customStyle="1" w:styleId="000">
    <w:name w:val="000"/>
    <w:aliases w:val="standaard,standaard uitvullen,standaard (alt-s),stan084daard,standaard 04...,standaard 155,standaard uitv042ullen,sta550ndaard,standaard 040,standaard81,0001,standaard 042,standaard1,standaard uitvullen1,standaard (alt-s)1,stan084daard1,standaard811"/>
    <w:basedOn w:val="Normal"/>
    <w:link w:val="0003"/>
    <w:pPr>
      <w:overflowPunct w:val="0"/>
      <w:autoSpaceDE w:val="0"/>
      <w:autoSpaceDN w:val="0"/>
      <w:adjustRightInd w:val="0"/>
      <w:spacing w:after="0" w:line="260" w:lineRule="atLeast"/>
      <w:textAlignment w:val="baseline"/>
    </w:pPr>
    <w:rPr>
      <w:rFonts w:ascii="EYInterstate Light" w:eastAsia="Times New Roman" w:hAnsi="EYInterstate Light"/>
      <w:sz w:val="18"/>
      <w:lang w:val="nl-NL"/>
    </w:rPr>
  </w:style>
  <w:style w:type="character" w:customStyle="1" w:styleId="0003">
    <w:name w:val="0003"/>
    <w:aliases w:val="standaard Char Char"/>
    <w:basedOn w:val="DefaultParagraphFont"/>
    <w:link w:val="000"/>
    <w:uiPriority w:val="99"/>
    <w:locked/>
    <w:rPr>
      <w:rFonts w:ascii="EYInterstate Light" w:eastAsia="Times New Roman" w:hAnsi="EYInterstate Light"/>
      <w:sz w:val="18"/>
      <w:lang w:val="nl-NL" w:eastAsia="en-US"/>
    </w:rPr>
  </w:style>
  <w:style w:type="character" w:customStyle="1" w:styleId="Style1Char">
    <w:name w:val="Style1 Char"/>
    <w:basedOn w:val="DefaultParagraphFont"/>
    <w:link w:val="Style10"/>
    <w:locked/>
    <w:rPr>
      <w:rFonts w:ascii="Arial" w:eastAsia="Times New Roman" w:hAnsi="Arial"/>
      <w:sz w:val="24"/>
    </w:rPr>
  </w:style>
  <w:style w:type="paragraph" w:customStyle="1" w:styleId="Questionario3">
    <w:name w:val="Questionario3"/>
    <w:basedOn w:val="Normal"/>
    <w:pPr>
      <w:numPr>
        <w:ilvl w:val="2"/>
        <w:numId w:val="24"/>
      </w:numPr>
      <w:spacing w:before="120" w:after="120" w:line="240" w:lineRule="auto"/>
      <w:jc w:val="both"/>
    </w:pPr>
    <w:rPr>
      <w:rFonts w:ascii="Verdana" w:eastAsia="Times New Roman" w:hAnsi="Verdana"/>
      <w:szCs w:val="24"/>
      <w:lang w:eastAsia="it-IT"/>
    </w:rPr>
  </w:style>
  <w:style w:type="paragraph" w:customStyle="1" w:styleId="Questionario4">
    <w:name w:val="Questionario4"/>
    <w:basedOn w:val="Normal"/>
    <w:pPr>
      <w:numPr>
        <w:ilvl w:val="3"/>
        <w:numId w:val="24"/>
      </w:numPr>
      <w:spacing w:before="120" w:after="120" w:line="240" w:lineRule="auto"/>
      <w:jc w:val="both"/>
    </w:pPr>
    <w:rPr>
      <w:rFonts w:ascii="Verdana" w:eastAsia="Times New Roman" w:hAnsi="Verdana"/>
      <w:szCs w:val="24"/>
      <w:lang w:eastAsia="it-IT"/>
    </w:rPr>
  </w:style>
  <w:style w:type="paragraph" w:customStyle="1" w:styleId="BijlageHeading1">
    <w:name w:val="BijlageHeading 1"/>
    <w:basedOn w:val="Normal"/>
    <w:next w:val="000"/>
    <w:uiPriority w:val="99"/>
    <w:pPr>
      <w:keepNext/>
      <w:numPr>
        <w:numId w:val="25"/>
      </w:numPr>
      <w:overflowPunct w:val="0"/>
      <w:autoSpaceDE w:val="0"/>
      <w:autoSpaceDN w:val="0"/>
      <w:adjustRightInd w:val="0"/>
      <w:spacing w:before="240" w:after="60" w:line="240" w:lineRule="auto"/>
      <w:textAlignment w:val="baseline"/>
      <w:outlineLvl w:val="0"/>
    </w:pPr>
    <w:rPr>
      <w:rFonts w:ascii="EYInterstate Light" w:eastAsia="Times New Roman" w:hAnsi="EYInterstate Light"/>
      <w:b/>
      <w:sz w:val="28"/>
      <w:lang w:val="nl-NL"/>
    </w:rPr>
  </w:style>
  <w:style w:type="paragraph" w:customStyle="1" w:styleId="BijlageHeading2">
    <w:name w:val="BijlageHeading 2"/>
    <w:basedOn w:val="Normal"/>
    <w:next w:val="000"/>
    <w:uiPriority w:val="99"/>
    <w:pPr>
      <w:keepNext/>
      <w:numPr>
        <w:ilvl w:val="1"/>
        <w:numId w:val="25"/>
      </w:numPr>
      <w:overflowPunct w:val="0"/>
      <w:autoSpaceDE w:val="0"/>
      <w:autoSpaceDN w:val="0"/>
      <w:adjustRightInd w:val="0"/>
      <w:spacing w:before="240" w:after="60" w:line="240" w:lineRule="auto"/>
      <w:textAlignment w:val="baseline"/>
      <w:outlineLvl w:val="1"/>
    </w:pPr>
    <w:rPr>
      <w:rFonts w:ascii="EYInterstate Light" w:eastAsia="Times New Roman" w:hAnsi="EYInterstate Light"/>
      <w:b/>
      <w:i/>
      <w:sz w:val="26"/>
      <w:lang w:val="nl-NL"/>
    </w:rPr>
  </w:style>
  <w:style w:type="paragraph" w:customStyle="1" w:styleId="BijlageHeading3">
    <w:name w:val="BijlageHeading 3"/>
    <w:basedOn w:val="Normal"/>
    <w:next w:val="000"/>
    <w:uiPriority w:val="99"/>
    <w:pPr>
      <w:keepNext/>
      <w:numPr>
        <w:ilvl w:val="2"/>
        <w:numId w:val="25"/>
      </w:numPr>
      <w:overflowPunct w:val="0"/>
      <w:autoSpaceDE w:val="0"/>
      <w:autoSpaceDN w:val="0"/>
      <w:adjustRightInd w:val="0"/>
      <w:spacing w:before="240" w:after="60" w:line="240" w:lineRule="auto"/>
      <w:textAlignment w:val="baseline"/>
      <w:outlineLvl w:val="2"/>
    </w:pPr>
    <w:rPr>
      <w:rFonts w:ascii="EYInterstate Light" w:eastAsia="Times New Roman" w:hAnsi="EYInterstate Light"/>
      <w:b/>
      <w:sz w:val="24"/>
      <w:lang w:val="nl-NL"/>
    </w:rPr>
  </w:style>
  <w:style w:type="paragraph" w:customStyle="1" w:styleId="Tableboxtext">
    <w:name w:val="Table/box text"/>
    <w:basedOn w:val="Normal"/>
    <w:link w:val="TableboxtextChar"/>
    <w:qFormat/>
    <w:pPr>
      <w:spacing w:after="80" w:line="240" w:lineRule="auto"/>
    </w:pPr>
    <w:rPr>
      <w:rFonts w:ascii="EYInterstate Light" w:eastAsiaTheme="minorHAnsi" w:hAnsi="EYInterstate Light" w:cstheme="minorBidi"/>
      <w:sz w:val="18"/>
      <w:szCs w:val="22"/>
    </w:rPr>
  </w:style>
  <w:style w:type="character" w:customStyle="1" w:styleId="TableboxtextChar">
    <w:name w:val="Table/box text Char"/>
    <w:basedOn w:val="DefaultParagraphFont"/>
    <w:link w:val="Tableboxtext"/>
    <w:rPr>
      <w:rFonts w:ascii="EYInterstate Light" w:eastAsiaTheme="minorHAnsi" w:hAnsi="EYInterstate Light" w:cstheme="minorBidi"/>
      <w:sz w:val="18"/>
      <w:szCs w:val="22"/>
      <w:lang w:val="en-GB" w:eastAsia="en-US"/>
    </w:rPr>
  </w:style>
  <w:style w:type="paragraph" w:customStyle="1" w:styleId="Tableboxlist">
    <w:name w:val="Table/box list"/>
    <w:basedOn w:val="Normal"/>
    <w:qFormat/>
    <w:pPr>
      <w:numPr>
        <w:numId w:val="26"/>
      </w:numPr>
      <w:spacing w:after="80" w:line="240" w:lineRule="auto"/>
      <w:ind w:left="714" w:hanging="357"/>
      <w:contextualSpacing/>
    </w:pPr>
    <w:rPr>
      <w:rFonts w:ascii="EYInterstate Light" w:eastAsiaTheme="minorHAnsi" w:hAnsi="EYInterstate Light" w:cstheme="minorBidi"/>
      <w:sz w:val="18"/>
      <w:szCs w:val="22"/>
    </w:rPr>
  </w:style>
  <w:style w:type="paragraph" w:customStyle="1" w:styleId="Block">
    <w:name w:val="Block"/>
    <w:basedOn w:val="BlockText2"/>
    <w:link w:val="BlockChar"/>
    <w:uiPriority w:val="99"/>
    <w:qFormat/>
    <w:pPr>
      <w:pBdr>
        <w:top w:val="single" w:sz="2" w:space="10" w:color="DC6900" w:themeColor="text2"/>
        <w:left w:val="single" w:sz="2" w:space="10" w:color="DC6900" w:themeColor="text2"/>
        <w:bottom w:val="single" w:sz="2" w:space="10" w:color="DC6900" w:themeColor="text2"/>
        <w:right w:val="single" w:sz="2" w:space="10" w:color="DC6900" w:themeColor="text2"/>
      </w:pBdr>
      <w:shd w:val="clear" w:color="auto" w:fill="DC6900" w:themeFill="text2"/>
      <w:spacing w:after="0"/>
    </w:pPr>
    <w:rPr>
      <w:rFonts w:eastAsiaTheme="minorHAnsi" w:cstheme="minorBidi"/>
      <w:color w:val="FFFFFF" w:themeColor="background2"/>
      <w:sz w:val="20"/>
      <w:szCs w:val="22"/>
    </w:rPr>
  </w:style>
  <w:style w:type="character" w:customStyle="1" w:styleId="BlockChar">
    <w:name w:val="Block Char"/>
    <w:basedOn w:val="DefaultParagraphFont"/>
    <w:link w:val="Block"/>
    <w:uiPriority w:val="99"/>
    <w:rPr>
      <w:rFonts w:eastAsiaTheme="minorHAnsi" w:cstheme="minorBidi"/>
      <w:i/>
      <w:color w:val="FFFFFF" w:themeColor="background2"/>
      <w:szCs w:val="22"/>
      <w:shd w:val="clear" w:color="auto" w:fill="DC6900" w:themeFill="text2"/>
      <w:lang w:val="en-GB" w:eastAsia="en-US"/>
    </w:rPr>
  </w:style>
  <w:style w:type="paragraph" w:customStyle="1" w:styleId="AppendixHeading2">
    <w:name w:val="Appendix Heading 2"/>
    <w:basedOn w:val="Heading2"/>
    <w:next w:val="BodyText"/>
    <w:uiPriority w:val="99"/>
    <w:qFormat/>
    <w:pPr>
      <w:numPr>
        <w:numId w:val="27"/>
      </w:numPr>
      <w:tabs>
        <w:tab w:val="clear" w:pos="993"/>
      </w:tabs>
      <w:spacing w:before="120" w:after="240"/>
      <w:ind w:right="0"/>
    </w:pPr>
    <w:rPr>
      <w:rFonts w:asciiTheme="majorHAnsi" w:eastAsiaTheme="majorEastAsia" w:hAnsiTheme="majorHAnsi" w:cstheme="majorBidi"/>
      <w:color w:val="DC6900" w:themeColor="text2"/>
    </w:rPr>
  </w:style>
  <w:style w:type="paragraph" w:customStyle="1" w:styleId="CM1">
    <w:name w:val="CM1"/>
    <w:basedOn w:val="Default"/>
    <w:next w:val="Default"/>
    <w:uiPriority w:val="99"/>
    <w:rPr>
      <w:rFonts w:ascii="EUAlbertina" w:eastAsia="Arial" w:hAnsi="EUAlbertina"/>
      <w:color w:val="auto"/>
      <w:lang w:val="it-IT" w:eastAsia="it-IT"/>
    </w:rPr>
  </w:style>
  <w:style w:type="paragraph" w:customStyle="1" w:styleId="CM3">
    <w:name w:val="CM3"/>
    <w:basedOn w:val="Default"/>
    <w:next w:val="Default"/>
    <w:uiPriority w:val="99"/>
    <w:rPr>
      <w:rFonts w:ascii="EUAlbertina" w:eastAsia="Arial" w:hAnsi="EUAlbertina"/>
      <w:color w:val="auto"/>
      <w:lang w:val="it-IT" w:eastAsia="it-IT"/>
    </w:rPr>
  </w:style>
  <w:style w:type="paragraph" w:customStyle="1" w:styleId="CM4">
    <w:name w:val="CM4"/>
    <w:basedOn w:val="Default"/>
    <w:next w:val="Default"/>
    <w:uiPriority w:val="99"/>
    <w:rPr>
      <w:rFonts w:ascii="EUAlbertina" w:eastAsia="Arial" w:hAnsi="EUAlbertina"/>
      <w:color w:val="auto"/>
      <w:lang w:val="it-IT" w:eastAsia="it-IT"/>
    </w:rPr>
  </w:style>
  <w:style w:type="character" w:customStyle="1" w:styleId="NormalItalic">
    <w:name w:val="Normal  Italic"/>
    <w:basedOn w:val="DefaultParagraphFont"/>
    <w:rPr>
      <w:bCs/>
      <w:i/>
      <w:iCs/>
    </w:rPr>
  </w:style>
  <w:style w:type="character" w:customStyle="1" w:styleId="Normalgras">
    <w:name w:val="Normal gras"/>
    <w:rPr>
      <w:b/>
    </w:rPr>
  </w:style>
  <w:style w:type="paragraph" w:customStyle="1" w:styleId="Style5">
    <w:name w:val="Style5"/>
    <w:basedOn w:val="Normal"/>
    <w:link w:val="Style5Char"/>
    <w:qFormat/>
    <w:pPr>
      <w:overflowPunct w:val="0"/>
      <w:autoSpaceDE w:val="0"/>
      <w:autoSpaceDN w:val="0"/>
      <w:adjustRightInd w:val="0"/>
      <w:spacing w:before="80" w:after="120" w:line="260" w:lineRule="atLeast"/>
      <w:textAlignment w:val="baseline"/>
    </w:pPr>
    <w:rPr>
      <w:rFonts w:ascii="EYInterstate Light" w:eastAsia="Times New Roman" w:hAnsi="EYInterstate Light"/>
      <w:sz w:val="18"/>
      <w:szCs w:val="18"/>
      <w:lang w:eastAsia="nl-BE"/>
    </w:rPr>
  </w:style>
  <w:style w:type="character" w:customStyle="1" w:styleId="Style5Char">
    <w:name w:val="Style5 Char"/>
    <w:basedOn w:val="DefaultParagraphFont"/>
    <w:link w:val="Style5"/>
    <w:rPr>
      <w:rFonts w:ascii="EYInterstate Light" w:eastAsia="Times New Roman" w:hAnsi="EYInterstate Light"/>
      <w:sz w:val="18"/>
      <w:szCs w:val="18"/>
      <w:lang w:val="en-GB" w:eastAsia="nl-BE"/>
    </w:rPr>
  </w:style>
  <w:style w:type="paragraph" w:customStyle="1" w:styleId="Style4">
    <w:name w:val="Style4"/>
    <w:basedOn w:val="Heading5"/>
    <w:qFormat/>
    <w:pPr>
      <w:keepNext w:val="0"/>
      <w:keepLines w:val="0"/>
      <w:spacing w:before="240" w:after="120" w:line="240" w:lineRule="atLeast"/>
    </w:pPr>
    <w:rPr>
      <w:rFonts w:ascii="EYInterstate" w:eastAsia="Times New Roman" w:hAnsi="EYInterstate"/>
      <w:b/>
      <w:bCs/>
      <w:iCs/>
      <w:noProof/>
      <w:color w:val="262626" w:themeColor="text1" w:themeTint="D9"/>
      <w:sz w:val="22"/>
      <w:lang w:val="nl-BE" w:eastAsia="nl-BE"/>
    </w:rPr>
  </w:style>
  <w:style w:type="paragraph" w:customStyle="1" w:styleId="Heading1AA">
    <w:name w:val="Heading 1AA"/>
    <w:basedOn w:val="Heading1"/>
    <w:qFormat/>
    <w:pPr>
      <w:widowControl/>
      <w:spacing w:after="240" w:line="520" w:lineRule="atLeast"/>
    </w:pPr>
    <w:rPr>
      <w:rFonts w:ascii="EYInterstate" w:eastAsia="Times New Roman" w:hAnsi="EYInterstate" w:cs="Arial"/>
      <w:i w:val="0"/>
      <w:color w:val="808080" w:themeColor="background1" w:themeShade="80"/>
      <w:kern w:val="32"/>
      <w:sz w:val="46"/>
      <w:szCs w:val="46"/>
    </w:rPr>
  </w:style>
  <w:style w:type="paragraph" w:customStyle="1" w:styleId="Style16-tablewithtriangles">
    <w:name w:val="Style16 - table with triangles"/>
    <w:basedOn w:val="ListParagraph"/>
    <w:qFormat/>
    <w:pPr>
      <w:numPr>
        <w:numId w:val="28"/>
      </w:numPr>
      <w:spacing w:before="20" w:after="20" w:line="220" w:lineRule="exact"/>
      <w:ind w:left="320"/>
      <w:contextualSpacing w:val="0"/>
    </w:pPr>
    <w:rPr>
      <w:rFonts w:ascii="EYInterstate Light" w:hAnsi="EYInterstate Light"/>
      <w:iCs/>
      <w:noProof/>
      <w:sz w:val="16"/>
      <w:szCs w:val="16"/>
      <w:lang w:val="nl-BE" w:eastAsia="nl-BE"/>
    </w:rPr>
  </w:style>
  <w:style w:type="paragraph" w:customStyle="1" w:styleId="Style6">
    <w:name w:val="Style6"/>
    <w:basedOn w:val="TOC1"/>
    <w:qFormat/>
    <w:pPr>
      <w:numPr>
        <w:numId w:val="29"/>
      </w:numPr>
      <w:pBdr>
        <w:top w:val="none" w:sz="0" w:space="0" w:color="auto"/>
      </w:pBdr>
      <w:tabs>
        <w:tab w:val="clear" w:pos="9498"/>
      </w:tabs>
      <w:overflowPunct w:val="0"/>
      <w:autoSpaceDE w:val="0"/>
      <w:autoSpaceDN w:val="0"/>
      <w:adjustRightInd w:val="0"/>
      <w:spacing w:before="0" w:line="260" w:lineRule="atLeast"/>
      <w:ind w:right="0"/>
      <w:textAlignment w:val="baseline"/>
    </w:pPr>
    <w:rPr>
      <w:rFonts w:ascii="EYInterstate Light" w:eastAsia="Times New Roman" w:hAnsi="EYInterstate Light"/>
      <w:bCs/>
      <w:noProof/>
      <w:sz w:val="18"/>
      <w:szCs w:val="18"/>
      <w:lang w:eastAsia="nl-BE"/>
    </w:rPr>
  </w:style>
  <w:style w:type="paragraph" w:customStyle="1" w:styleId="Sottolista">
    <w:name w:val="Sottolista"/>
    <w:basedOn w:val="Normal"/>
    <w:pPr>
      <w:numPr>
        <w:numId w:val="30"/>
      </w:numPr>
      <w:spacing w:after="0" w:line="240" w:lineRule="auto"/>
      <w:jc w:val="both"/>
    </w:pPr>
    <w:rPr>
      <w:rFonts w:ascii="Palatino Linotype" w:eastAsia="Times New Roman" w:hAnsi="Palatino Linotype"/>
      <w:kern w:val="18"/>
      <w:szCs w:val="24"/>
      <w:lang w:val="it-IT" w:eastAsia="it-IT"/>
    </w:rPr>
  </w:style>
  <w:style w:type="table" w:styleId="LightGrid-Accent2">
    <w:name w:val="Light Grid Accent 2"/>
    <w:basedOn w:val="TableNormal"/>
    <w:uiPriority w:val="62"/>
    <w:tblPr>
      <w:tblStyleRowBandSize w:val="1"/>
      <w:tblStyleColBandSize w:val="1"/>
      <w:tblBorders>
        <w:top w:val="single" w:sz="8" w:space="0" w:color="FFB600" w:themeColor="accent2"/>
        <w:left w:val="single" w:sz="8" w:space="0" w:color="FFB600" w:themeColor="accent2"/>
        <w:bottom w:val="single" w:sz="8" w:space="0" w:color="FFB600" w:themeColor="accent2"/>
        <w:right w:val="single" w:sz="8" w:space="0" w:color="FFB600" w:themeColor="accent2"/>
        <w:insideH w:val="single" w:sz="8" w:space="0" w:color="FFB600" w:themeColor="accent2"/>
        <w:insideV w:val="single" w:sz="8" w:space="0" w:color="FFB6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B600" w:themeColor="accent2"/>
          <w:left w:val="single" w:sz="8" w:space="0" w:color="FFB600" w:themeColor="accent2"/>
          <w:bottom w:val="single" w:sz="18" w:space="0" w:color="FFB600" w:themeColor="accent2"/>
          <w:right w:val="single" w:sz="8" w:space="0" w:color="FFB600" w:themeColor="accent2"/>
          <w:insideH w:val="nil"/>
          <w:insideV w:val="single" w:sz="8" w:space="0" w:color="FFB6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B600" w:themeColor="accent2"/>
          <w:left w:val="single" w:sz="8" w:space="0" w:color="FFB600" w:themeColor="accent2"/>
          <w:bottom w:val="single" w:sz="8" w:space="0" w:color="FFB600" w:themeColor="accent2"/>
          <w:right w:val="single" w:sz="8" w:space="0" w:color="FFB600" w:themeColor="accent2"/>
          <w:insideH w:val="nil"/>
          <w:insideV w:val="single" w:sz="8" w:space="0" w:color="FFB6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B600" w:themeColor="accent2"/>
          <w:left w:val="single" w:sz="8" w:space="0" w:color="FFB600" w:themeColor="accent2"/>
          <w:bottom w:val="single" w:sz="8" w:space="0" w:color="FFB600" w:themeColor="accent2"/>
          <w:right w:val="single" w:sz="8" w:space="0" w:color="FFB600" w:themeColor="accent2"/>
        </w:tcBorders>
      </w:tcPr>
    </w:tblStylePr>
    <w:tblStylePr w:type="band1Vert">
      <w:tblPr/>
      <w:tcPr>
        <w:tcBorders>
          <w:top w:val="single" w:sz="8" w:space="0" w:color="FFB600" w:themeColor="accent2"/>
          <w:left w:val="single" w:sz="8" w:space="0" w:color="FFB600" w:themeColor="accent2"/>
          <w:bottom w:val="single" w:sz="8" w:space="0" w:color="FFB600" w:themeColor="accent2"/>
          <w:right w:val="single" w:sz="8" w:space="0" w:color="FFB600" w:themeColor="accent2"/>
        </w:tcBorders>
        <w:shd w:val="clear" w:color="auto" w:fill="FFECC0" w:themeFill="accent2" w:themeFillTint="3F"/>
      </w:tcPr>
    </w:tblStylePr>
    <w:tblStylePr w:type="band1Horz">
      <w:tblPr/>
      <w:tcPr>
        <w:tcBorders>
          <w:top w:val="single" w:sz="8" w:space="0" w:color="FFB600" w:themeColor="accent2"/>
          <w:left w:val="single" w:sz="8" w:space="0" w:color="FFB600" w:themeColor="accent2"/>
          <w:bottom w:val="single" w:sz="8" w:space="0" w:color="FFB600" w:themeColor="accent2"/>
          <w:right w:val="single" w:sz="8" w:space="0" w:color="FFB600" w:themeColor="accent2"/>
          <w:insideV w:val="single" w:sz="8" w:space="0" w:color="FFB600" w:themeColor="accent2"/>
        </w:tcBorders>
        <w:shd w:val="clear" w:color="auto" w:fill="FFECC0" w:themeFill="accent2" w:themeFillTint="3F"/>
      </w:tcPr>
    </w:tblStylePr>
    <w:tblStylePr w:type="band2Horz">
      <w:tblPr/>
      <w:tcPr>
        <w:tcBorders>
          <w:top w:val="single" w:sz="8" w:space="0" w:color="FFB600" w:themeColor="accent2"/>
          <w:left w:val="single" w:sz="8" w:space="0" w:color="FFB600" w:themeColor="accent2"/>
          <w:bottom w:val="single" w:sz="8" w:space="0" w:color="FFB600" w:themeColor="accent2"/>
          <w:right w:val="single" w:sz="8" w:space="0" w:color="FFB600" w:themeColor="accent2"/>
          <w:insideV w:val="single" w:sz="8" w:space="0" w:color="FFB600" w:themeColor="accent2"/>
        </w:tcBorders>
      </w:tcPr>
    </w:tblStylePr>
  </w:style>
  <w:style w:type="paragraph" w:customStyle="1" w:styleId="Paragrafo">
    <w:name w:val="Paragrafo"/>
    <w:basedOn w:val="Normal"/>
    <w:link w:val="ParagrafoCarattere3"/>
    <w:pPr>
      <w:widowControl w:val="0"/>
      <w:spacing w:before="120" w:after="0" w:line="240" w:lineRule="auto"/>
      <w:jc w:val="both"/>
    </w:pPr>
    <w:rPr>
      <w:rFonts w:ascii="Arial" w:eastAsia="Times New Roman" w:hAnsi="Arial" w:cs="Arial"/>
      <w:sz w:val="22"/>
      <w:szCs w:val="22"/>
      <w:lang w:val="it-IT"/>
    </w:rPr>
  </w:style>
  <w:style w:type="character" w:customStyle="1" w:styleId="ParagrafoCarattere3">
    <w:name w:val="Paragrafo Carattere3"/>
    <w:link w:val="Paragrafo"/>
    <w:rPr>
      <w:rFonts w:ascii="Arial" w:eastAsia="Times New Roman" w:hAnsi="Arial" w:cs="Arial"/>
      <w:sz w:val="22"/>
      <w:szCs w:val="22"/>
      <w:lang w:eastAsia="en-US"/>
    </w:rPr>
  </w:style>
  <w:style w:type="paragraph" w:customStyle="1" w:styleId="BodyText4">
    <w:name w:val="Body Text4"/>
    <w:basedOn w:val="NoParagraphStyle"/>
    <w:qFormat/>
    <w:pPr>
      <w:spacing w:after="180" w:line="260" w:lineRule="atLeast"/>
    </w:pPr>
    <w:rPr>
      <w:rFonts w:ascii="Georgia" w:eastAsia="Arial" w:hAnsi="Georgia" w:cs="Georgia"/>
      <w:sz w:val="20"/>
      <w:szCs w:val="20"/>
      <w:lang w:val="en-GB"/>
    </w:rPr>
  </w:style>
  <w:style w:type="character" w:customStyle="1" w:styleId="IntenseEmphasis1">
    <w:name w:val="Intense Emphasis1"/>
    <w:aliases w:val="Header (ALL)"/>
    <w:basedOn w:val="DefaultParagraphFont"/>
    <w:qFormat/>
    <w:rPr>
      <w:rFonts w:ascii="EYInterstate" w:hAnsi="EYInterstate"/>
      <w:b/>
      <w:color w:val="646464"/>
      <w:sz w:val="16"/>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link w:val="FootnoteReference"/>
    <w:uiPriority w:val="99"/>
    <w:qFormat/>
    <w:pPr>
      <w:spacing w:before="60" w:after="160" w:line="240" w:lineRule="exact"/>
      <w:jc w:val="both"/>
    </w:pPr>
    <w:rPr>
      <w:vertAlign w:val="superscript"/>
      <w:lang w:val="it-IT" w:eastAsia="it-IT"/>
    </w:rPr>
  </w:style>
  <w:style w:type="paragraph" w:customStyle="1" w:styleId="CharChar1CharCharCharCharCharCharCharCharCharCharCharCarattereCarattereCharCharCarattereCarattereCharChar1CarattereCarattereCarattereCharChar">
    <w:name w:val="Char Char1 Char Char Char Char Char Char Char Char Char Char Char Carattere Carattere Char Char Carattere Carattere Char Char1 Carattere Carattere Carattere Char Char"/>
    <w:basedOn w:val="Normal"/>
    <w:pPr>
      <w:spacing w:after="160" w:line="240" w:lineRule="exact"/>
    </w:pPr>
    <w:rPr>
      <w:rFonts w:ascii="Tahoma" w:eastAsia="Times New Roman" w:hAnsi="Tahoma"/>
      <w:lang w:val="en-US"/>
    </w:rPr>
  </w:style>
  <w:style w:type="paragraph" w:customStyle="1" w:styleId="bulletone">
    <w:name w:val="bullet one"/>
    <w:basedOn w:val="Normal"/>
    <w:pPr>
      <w:numPr>
        <w:numId w:val="32"/>
      </w:numPr>
      <w:autoSpaceDE w:val="0"/>
      <w:autoSpaceDN w:val="0"/>
      <w:adjustRightInd w:val="0"/>
      <w:spacing w:after="0" w:line="240" w:lineRule="auto"/>
    </w:pPr>
    <w:rPr>
      <w:rFonts w:ascii="Verdana" w:eastAsia="Times New Roman" w:hAnsi="Verdana"/>
      <w:lang w:val="it-IT" w:eastAsia="it-IT"/>
    </w:rPr>
  </w:style>
  <w:style w:type="paragraph" w:customStyle="1" w:styleId="EndNoteBibliography">
    <w:name w:val="EndNote Bibliography"/>
    <w:basedOn w:val="Normal"/>
    <w:pPr>
      <w:numPr>
        <w:numId w:val="34"/>
      </w:numPr>
    </w:pPr>
    <w:rPr>
      <w:lang w:val="en-US"/>
    </w:rPr>
  </w:style>
  <w:style w:type="numbering" w:customStyle="1" w:styleId="NoList1">
    <w:name w:val="No List1"/>
    <w:next w:val="NoList"/>
    <w:uiPriority w:val="99"/>
    <w:semiHidden/>
    <w:unhideWhenUsed/>
  </w:style>
  <w:style w:type="table" w:customStyle="1" w:styleId="CV11">
    <w:name w:val="CV11"/>
    <w:basedOn w:val="TableNormal"/>
    <w:next w:val="TableGri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wCTableFigures1">
    <w:name w:val="PwC Table Figures1"/>
    <w:uiPriority w:val="99"/>
    <w:qFormat/>
    <w:pPr>
      <w:tabs>
        <w:tab w:val="decimal" w:pos="1134"/>
      </w:tabs>
      <w:spacing w:before="60" w:after="60"/>
    </w:pPr>
    <w:rPr>
      <w:rFonts w:ascii="Arial" w:hAnsi="Arial"/>
      <w:lang w:val="de-DE" w:eastAsia="de-DE"/>
    </w:rPr>
    <w:tblPr>
      <w:tblInd w:w="0" w:type="dxa"/>
      <w:tblBorders>
        <w:insideH w:val="dotted" w:sz="4" w:space="0" w:color="DC6900"/>
      </w:tblBorders>
      <w:tblCellMar>
        <w:top w:w="0" w:type="dxa"/>
        <w:left w:w="108" w:type="dxa"/>
        <w:bottom w:w="0" w:type="dxa"/>
        <w:right w:w="108" w:type="dxa"/>
      </w:tblCellMar>
    </w:tblPr>
  </w:style>
  <w:style w:type="table" w:customStyle="1" w:styleId="PwCTableText1">
    <w:name w:val="PwC Table Text1"/>
    <w:basedOn w:val="TableNormal"/>
    <w:uiPriority w:val="99"/>
    <w:qFormat/>
    <w:pPr>
      <w:spacing w:before="60" w:after="60"/>
    </w:pPr>
    <w:rPr>
      <w:rFonts w:eastAsia="Calibri"/>
      <w:lang w:val="en-GB" w:eastAsia="en-US"/>
    </w:rPr>
    <w:tblPr>
      <w:tblStyleRowBandSize w:val="1"/>
      <w:tblBorders>
        <w:insideH w:val="dotted" w:sz="4" w:space="0" w:color="D06F1A"/>
      </w:tblBorders>
    </w:tblPr>
    <w:tblStylePr w:type="firstRow">
      <w:rPr>
        <w:b/>
      </w:rPr>
      <w:tblPr/>
      <w:tcPr>
        <w:tcBorders>
          <w:top w:val="single" w:sz="6" w:space="0" w:color="D06F1A"/>
          <w:bottom w:val="single" w:sz="6" w:space="0" w:color="D06F1A"/>
        </w:tcBorders>
      </w:tcPr>
    </w:tblStylePr>
    <w:tblStylePr w:type="lastRow">
      <w:rPr>
        <w:b/>
      </w:rPr>
      <w:tblPr/>
      <w:tcPr>
        <w:tcBorders>
          <w:top w:val="single" w:sz="6" w:space="0" w:color="D06F1A"/>
          <w:bottom w:val="single" w:sz="6" w:space="0" w:color="D06F1A"/>
        </w:tcBorders>
      </w:tcPr>
    </w:tblStylePr>
    <w:tblStylePr w:type="band1Horz">
      <w:tblPr/>
      <w:tcPr>
        <w:tcBorders>
          <w:bottom w:val="nil"/>
        </w:tcBorders>
      </w:tcPr>
    </w:tblStylePr>
  </w:style>
  <w:style w:type="table" w:customStyle="1" w:styleId="MediumList2-Accent61">
    <w:name w:val="Medium List 2 - Accent 61"/>
    <w:basedOn w:val="TableNormal"/>
    <w:next w:val="MediumList2-Accent6"/>
    <w:uiPriority w:val="99"/>
    <w:rPr>
      <w:rFonts w:eastAsia="SimHei"/>
      <w:color w:val="000000"/>
    </w:rPr>
    <w:tblPr>
      <w:tblStyleRowBandSize w:val="1"/>
      <w:tblStyleColBandSize w:val="1"/>
      <w:tblBorders>
        <w:top w:val="single" w:sz="8" w:space="0" w:color="E0301E"/>
        <w:left w:val="single" w:sz="8" w:space="0" w:color="E0301E"/>
        <w:bottom w:val="single" w:sz="8" w:space="0" w:color="E0301E"/>
        <w:right w:val="single" w:sz="8" w:space="0" w:color="E0301E"/>
      </w:tblBorders>
    </w:tblPr>
    <w:tblStylePr w:type="firstRow">
      <w:rPr>
        <w:rFonts w:cs="Times New Roman"/>
        <w:sz w:val="24"/>
        <w:szCs w:val="24"/>
      </w:rPr>
      <w:tblPr/>
      <w:tcPr>
        <w:tcBorders>
          <w:top w:val="nil"/>
          <w:left w:val="nil"/>
          <w:bottom w:val="single" w:sz="24" w:space="0" w:color="E0301E"/>
          <w:right w:val="nil"/>
          <w:insideH w:val="nil"/>
          <w:insideV w:val="nil"/>
        </w:tcBorders>
        <w:shd w:val="clear" w:color="auto" w:fill="FFFFFF"/>
      </w:tcPr>
    </w:tblStylePr>
    <w:tblStylePr w:type="lastRow">
      <w:rPr>
        <w:rFonts w:cs="Times New Roman"/>
      </w:rPr>
      <w:tblPr/>
      <w:tcPr>
        <w:tcBorders>
          <w:top w:val="single" w:sz="8" w:space="0" w:color="E0301E"/>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E0301E"/>
          <w:insideH w:val="nil"/>
          <w:insideV w:val="nil"/>
        </w:tcBorders>
        <w:shd w:val="clear" w:color="auto" w:fill="FFFFFF"/>
      </w:tcPr>
    </w:tblStylePr>
    <w:tblStylePr w:type="lastCol">
      <w:rPr>
        <w:rFonts w:cs="Times New Roman"/>
      </w:rPr>
      <w:tblPr/>
      <w:tcPr>
        <w:tcBorders>
          <w:top w:val="nil"/>
          <w:left w:val="single" w:sz="8" w:space="0" w:color="E0301E"/>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7CBC7"/>
      </w:tcPr>
    </w:tblStylePr>
    <w:tblStylePr w:type="band1Horz">
      <w:rPr>
        <w:rFonts w:cs="Times New Roman"/>
      </w:rPr>
      <w:tblPr/>
      <w:tcPr>
        <w:tcBorders>
          <w:top w:val="nil"/>
          <w:bottom w:val="nil"/>
          <w:insideH w:val="nil"/>
          <w:insideV w:val="nil"/>
        </w:tcBorders>
        <w:shd w:val="clear" w:color="auto" w:fill="F7CBC7"/>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LightList-Accent22">
    <w:name w:val="Light List - Accent 22"/>
    <w:basedOn w:val="TableNormal"/>
    <w:next w:val="LightList-Accent2"/>
    <w:uiPriority w:val="99"/>
    <w:tblPr>
      <w:tblStyleRowBandSize w:val="1"/>
      <w:tblStyleColBandSize w:val="1"/>
      <w:tblBorders>
        <w:top w:val="single" w:sz="8" w:space="0" w:color="FFB600"/>
        <w:left w:val="single" w:sz="8" w:space="0" w:color="FFB600"/>
        <w:bottom w:val="single" w:sz="8" w:space="0" w:color="FFB600"/>
        <w:right w:val="single" w:sz="8" w:space="0" w:color="FFB600"/>
      </w:tblBorders>
    </w:tblPr>
    <w:tblStylePr w:type="firstRow">
      <w:pPr>
        <w:spacing w:before="0" w:after="0"/>
      </w:pPr>
      <w:rPr>
        <w:rFonts w:cs="Times New Roman"/>
        <w:b/>
        <w:bCs/>
        <w:color w:val="FFFFFF"/>
      </w:rPr>
      <w:tblPr/>
      <w:tcPr>
        <w:shd w:val="clear" w:color="auto" w:fill="FFB600"/>
      </w:tcPr>
    </w:tblStylePr>
    <w:tblStylePr w:type="lastRow">
      <w:pPr>
        <w:spacing w:before="0" w:after="0"/>
      </w:pPr>
      <w:rPr>
        <w:rFonts w:cs="Times New Roman"/>
        <w:b/>
        <w:bCs/>
      </w:rPr>
      <w:tblPr/>
      <w:tcPr>
        <w:tcBorders>
          <w:top w:val="double" w:sz="6" w:space="0" w:color="FFB600"/>
          <w:left w:val="single" w:sz="8" w:space="0" w:color="FFB600"/>
          <w:bottom w:val="single" w:sz="8" w:space="0" w:color="FFB600"/>
          <w:right w:val="single" w:sz="8" w:space="0" w:color="FFB6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FB600"/>
          <w:left w:val="single" w:sz="8" w:space="0" w:color="FFB600"/>
          <w:bottom w:val="single" w:sz="8" w:space="0" w:color="FFB600"/>
          <w:right w:val="single" w:sz="8" w:space="0" w:color="FFB600"/>
        </w:tcBorders>
      </w:tcPr>
    </w:tblStylePr>
    <w:tblStylePr w:type="band1Horz">
      <w:rPr>
        <w:rFonts w:cs="Times New Roman"/>
      </w:rPr>
      <w:tblPr/>
      <w:tcPr>
        <w:tcBorders>
          <w:top w:val="single" w:sz="8" w:space="0" w:color="FFB600"/>
          <w:left w:val="single" w:sz="8" w:space="0" w:color="FFB600"/>
          <w:bottom w:val="single" w:sz="8" w:space="0" w:color="FFB600"/>
          <w:right w:val="single" w:sz="8" w:space="0" w:color="FFB600"/>
        </w:tcBorders>
      </w:tcPr>
    </w:tblStylePr>
  </w:style>
  <w:style w:type="table" w:customStyle="1" w:styleId="MediumShading1-Accent21">
    <w:name w:val="Medium Shading 1 - Accent 21"/>
    <w:basedOn w:val="TableNormal"/>
    <w:next w:val="MediumShading1-Accent2"/>
    <w:uiPriority w:val="99"/>
    <w:tblPr>
      <w:tblStyleRowBandSize w:val="1"/>
      <w:tblStyleColBandSize w:val="1"/>
      <w:tblBorders>
        <w:top w:val="single" w:sz="8" w:space="0" w:color="FFC840"/>
        <w:left w:val="single" w:sz="8" w:space="0" w:color="FFC840"/>
        <w:bottom w:val="single" w:sz="8" w:space="0" w:color="FFC840"/>
        <w:right w:val="single" w:sz="8" w:space="0" w:color="FFC840"/>
        <w:insideH w:val="single" w:sz="8" w:space="0" w:color="FFC840"/>
      </w:tblBorders>
    </w:tblPr>
    <w:tblStylePr w:type="firstRow">
      <w:pPr>
        <w:spacing w:before="0" w:after="0"/>
      </w:pPr>
      <w:rPr>
        <w:rFonts w:cs="Times New Roman"/>
        <w:b/>
        <w:bCs/>
        <w:color w:val="FFFFFF"/>
      </w:rPr>
      <w:tblPr/>
      <w:tcPr>
        <w:tcBorders>
          <w:top w:val="single" w:sz="8" w:space="0" w:color="FFC840"/>
          <w:left w:val="single" w:sz="8" w:space="0" w:color="FFC840"/>
          <w:bottom w:val="single" w:sz="8" w:space="0" w:color="FFC840"/>
          <w:right w:val="single" w:sz="8" w:space="0" w:color="FFC840"/>
          <w:insideH w:val="nil"/>
          <w:insideV w:val="nil"/>
        </w:tcBorders>
        <w:shd w:val="clear" w:color="auto" w:fill="FFB600"/>
      </w:tcPr>
    </w:tblStylePr>
    <w:tblStylePr w:type="lastRow">
      <w:pPr>
        <w:spacing w:before="0" w:after="0"/>
      </w:pPr>
      <w:rPr>
        <w:rFonts w:cs="Times New Roman"/>
        <w:b/>
        <w:bCs/>
      </w:rPr>
      <w:tblPr/>
      <w:tcPr>
        <w:tcBorders>
          <w:top w:val="double" w:sz="6" w:space="0" w:color="FFC840"/>
          <w:left w:val="single" w:sz="8" w:space="0" w:color="FFC840"/>
          <w:bottom w:val="single" w:sz="8" w:space="0" w:color="FFC840"/>
          <w:right w:val="single" w:sz="8" w:space="0" w:color="FFC8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ECC0"/>
      </w:tcPr>
    </w:tblStylePr>
    <w:tblStylePr w:type="band1Horz">
      <w:rPr>
        <w:rFonts w:cs="Times New Roman"/>
      </w:rPr>
      <w:tblPr/>
      <w:tcPr>
        <w:tcBorders>
          <w:insideH w:val="nil"/>
          <w:insideV w:val="nil"/>
        </w:tcBorders>
        <w:shd w:val="clear" w:color="auto" w:fill="FFECC0"/>
      </w:tcPr>
    </w:tblStylePr>
    <w:tblStylePr w:type="band2Horz">
      <w:rPr>
        <w:rFonts w:cs="Times New Roman"/>
      </w:rPr>
      <w:tblPr/>
      <w:tcPr>
        <w:tcBorders>
          <w:insideH w:val="nil"/>
          <w:insideV w:val="nil"/>
        </w:tcBorders>
      </w:tcPr>
    </w:tblStylePr>
  </w:style>
  <w:style w:type="table" w:customStyle="1" w:styleId="LightShading-Accent111">
    <w:name w:val="Light Shading - Accent 111"/>
    <w:uiPriority w:val="99"/>
    <w:rPr>
      <w:color w:val="A44E00"/>
      <w:lang w:val="de-DE" w:eastAsia="de-DE"/>
    </w:rPr>
    <w:tblPr>
      <w:tblStyleRowBandSize w:val="1"/>
      <w:tblStyleColBandSize w:val="1"/>
      <w:tblInd w:w="0" w:type="dxa"/>
      <w:tblBorders>
        <w:top w:val="single" w:sz="8" w:space="0" w:color="DC6900"/>
        <w:bottom w:val="single" w:sz="8" w:space="0" w:color="DC6900"/>
      </w:tblBorders>
      <w:tblCellMar>
        <w:top w:w="0" w:type="dxa"/>
        <w:left w:w="108" w:type="dxa"/>
        <w:bottom w:w="0" w:type="dxa"/>
        <w:right w:w="108" w:type="dxa"/>
      </w:tblCellMar>
    </w:tblPr>
  </w:style>
  <w:style w:type="table" w:customStyle="1" w:styleId="ColorfulGrid-Accent11">
    <w:name w:val="Colorful Grid - Accent 11"/>
    <w:basedOn w:val="TableNormal"/>
    <w:next w:val="ColorfulGrid-Accent1"/>
    <w:uiPriority w:val="99"/>
    <w:rPr>
      <w:color w:val="000000"/>
    </w:rPr>
    <w:tblPr>
      <w:tblStyleRowBandSize w:val="1"/>
      <w:tblStyleColBandSize w:val="1"/>
      <w:tblBorders>
        <w:insideH w:val="single" w:sz="4" w:space="0" w:color="FFFFFF"/>
      </w:tblBorders>
    </w:tblPr>
    <w:tcPr>
      <w:shd w:val="clear" w:color="auto" w:fill="FFE0C5"/>
    </w:tcPr>
    <w:tblStylePr w:type="firstRow">
      <w:rPr>
        <w:rFonts w:cs="Times New Roman"/>
        <w:b/>
        <w:bCs/>
      </w:rPr>
      <w:tblPr/>
      <w:tcPr>
        <w:shd w:val="clear" w:color="auto" w:fill="FFC28B"/>
      </w:tcPr>
    </w:tblStylePr>
    <w:tblStylePr w:type="lastRow">
      <w:rPr>
        <w:rFonts w:cs="Times New Roman"/>
        <w:b/>
        <w:bCs/>
        <w:color w:val="000000"/>
      </w:rPr>
      <w:tblPr/>
      <w:tcPr>
        <w:shd w:val="clear" w:color="auto" w:fill="FFC28B"/>
      </w:tcPr>
    </w:tblStylePr>
    <w:tblStylePr w:type="firstCol">
      <w:rPr>
        <w:rFonts w:cs="Times New Roman"/>
        <w:color w:val="FFFFFF"/>
      </w:rPr>
      <w:tblPr/>
      <w:tcPr>
        <w:shd w:val="clear" w:color="auto" w:fill="A44E00"/>
      </w:tcPr>
    </w:tblStylePr>
    <w:tblStylePr w:type="lastCol">
      <w:rPr>
        <w:rFonts w:cs="Times New Roman"/>
        <w:color w:val="FFFFFF"/>
      </w:rPr>
      <w:tblPr/>
      <w:tcPr>
        <w:shd w:val="clear" w:color="auto" w:fill="A44E00"/>
      </w:tcPr>
    </w:tblStylePr>
    <w:tblStylePr w:type="band1Vert">
      <w:rPr>
        <w:rFonts w:cs="Times New Roman"/>
      </w:rPr>
      <w:tblPr/>
      <w:tcPr>
        <w:shd w:val="clear" w:color="auto" w:fill="FFB26E"/>
      </w:tcPr>
    </w:tblStylePr>
    <w:tblStylePr w:type="band1Horz">
      <w:rPr>
        <w:rFonts w:cs="Times New Roman"/>
      </w:rPr>
      <w:tblPr/>
      <w:tcPr>
        <w:shd w:val="clear" w:color="auto" w:fill="FFB26E"/>
      </w:tcPr>
    </w:tblStylePr>
  </w:style>
  <w:style w:type="table" w:customStyle="1" w:styleId="LightList-Accent111">
    <w:name w:val="Light List - Accent 111"/>
    <w:uiPriority w:val="61"/>
    <w:rPr>
      <w:lang w:val="de-DE" w:eastAsia="de-DE"/>
    </w:rPr>
    <w:tblPr>
      <w:tblStyleRowBandSize w:val="1"/>
      <w:tblStyleColBandSize w:val="1"/>
      <w:tblInd w:w="0" w:type="dxa"/>
      <w:tblBorders>
        <w:top w:val="single" w:sz="8" w:space="0" w:color="DC6900"/>
        <w:left w:val="single" w:sz="8" w:space="0" w:color="DC6900"/>
        <w:bottom w:val="single" w:sz="8" w:space="0" w:color="DC6900"/>
        <w:right w:val="single" w:sz="8" w:space="0" w:color="DC6900"/>
      </w:tblBorders>
      <w:tblCellMar>
        <w:top w:w="0" w:type="dxa"/>
        <w:left w:w="108" w:type="dxa"/>
        <w:bottom w:w="0" w:type="dxa"/>
        <w:right w:w="108" w:type="dxa"/>
      </w:tblCellMar>
    </w:tblPr>
  </w:style>
  <w:style w:type="table" w:customStyle="1" w:styleId="MediumShading1-Accent111">
    <w:name w:val="Medium Shading 1 - Accent 111"/>
    <w:uiPriority w:val="99"/>
    <w:rPr>
      <w:lang w:val="de-DE" w:eastAsia="de-DE"/>
    </w:rPr>
    <w:tblPr>
      <w:tblStyleRowBandSize w:val="1"/>
      <w:tblStyleColBandSize w:val="1"/>
      <w:tblInd w:w="0" w:type="dxa"/>
      <w:tblBorders>
        <w:top w:val="single" w:sz="8" w:space="0" w:color="FF8C25"/>
        <w:left w:val="single" w:sz="8" w:space="0" w:color="FF8C25"/>
        <w:bottom w:val="single" w:sz="8" w:space="0" w:color="FF8C25"/>
        <w:right w:val="single" w:sz="8" w:space="0" w:color="FF8C25"/>
        <w:insideH w:val="single" w:sz="8" w:space="0" w:color="FF8C25"/>
      </w:tblBorders>
      <w:tblCellMar>
        <w:top w:w="0" w:type="dxa"/>
        <w:left w:w="108" w:type="dxa"/>
        <w:bottom w:w="0" w:type="dxa"/>
        <w:right w:w="108" w:type="dxa"/>
      </w:tblCellMar>
    </w:tblPr>
  </w:style>
  <w:style w:type="table" w:customStyle="1" w:styleId="LightGrid-Accent111">
    <w:name w:val="Light Grid - Accent 111"/>
    <w:uiPriority w:val="99"/>
    <w:rPr>
      <w:lang w:val="de-DE" w:eastAsia="de-DE"/>
    </w:rPr>
    <w:tblPr>
      <w:tblStyleRowBandSize w:val="1"/>
      <w:tblStyleColBandSize w:val="1"/>
      <w:tblInd w:w="0" w:type="dxa"/>
      <w:tblBorders>
        <w:top w:val="single" w:sz="8" w:space="0" w:color="DC6900"/>
        <w:left w:val="single" w:sz="8" w:space="0" w:color="DC6900"/>
        <w:bottom w:val="single" w:sz="8" w:space="0" w:color="DC6900"/>
        <w:right w:val="single" w:sz="8" w:space="0" w:color="DC6900"/>
        <w:insideH w:val="single" w:sz="8" w:space="0" w:color="DC6900"/>
        <w:insideV w:val="single" w:sz="8" w:space="0" w:color="DC6900"/>
      </w:tblBorders>
      <w:tblCellMar>
        <w:top w:w="0" w:type="dxa"/>
        <w:left w:w="108" w:type="dxa"/>
        <w:bottom w:w="0" w:type="dxa"/>
        <w:right w:w="108" w:type="dxa"/>
      </w:tblCellMar>
    </w:tblPr>
  </w:style>
  <w:style w:type="table" w:customStyle="1" w:styleId="LightList-Accent61">
    <w:name w:val="Light List - Accent 61"/>
    <w:basedOn w:val="TableNormal"/>
    <w:next w:val="LightList-Accent6"/>
    <w:uiPriority w:val="61"/>
    <w:tblPr>
      <w:tblStyleRowBandSize w:val="1"/>
      <w:tblStyleColBandSize w:val="1"/>
      <w:tblBorders>
        <w:top w:val="single" w:sz="8" w:space="0" w:color="D06F1A"/>
        <w:left w:val="single" w:sz="8" w:space="0" w:color="D06F1A"/>
        <w:bottom w:val="single" w:sz="8" w:space="0" w:color="D06F1A"/>
        <w:right w:val="single" w:sz="8" w:space="0" w:color="D06F1A"/>
      </w:tblBorders>
    </w:tblPr>
    <w:tblStylePr w:type="firstRow">
      <w:pPr>
        <w:spacing w:before="0" w:after="0" w:line="240" w:lineRule="auto"/>
      </w:pPr>
      <w:rPr>
        <w:b/>
        <w:bCs/>
        <w:color w:val="FFFFFF"/>
      </w:rPr>
      <w:tblPr/>
      <w:tcPr>
        <w:shd w:val="clear" w:color="auto" w:fill="D06F1A"/>
      </w:tcPr>
    </w:tblStylePr>
    <w:tblStylePr w:type="lastRow">
      <w:pPr>
        <w:spacing w:before="0" w:after="0" w:line="240" w:lineRule="auto"/>
      </w:pPr>
      <w:rPr>
        <w:b/>
        <w:bCs/>
      </w:rPr>
      <w:tblPr/>
      <w:tcPr>
        <w:tcBorders>
          <w:top w:val="double" w:sz="6" w:space="0" w:color="D06F1A"/>
          <w:left w:val="single" w:sz="8" w:space="0" w:color="D06F1A"/>
          <w:bottom w:val="single" w:sz="8" w:space="0" w:color="D06F1A"/>
          <w:right w:val="single" w:sz="8" w:space="0" w:color="D06F1A"/>
        </w:tcBorders>
      </w:tcPr>
    </w:tblStylePr>
    <w:tblStylePr w:type="firstCol">
      <w:rPr>
        <w:b/>
        <w:bCs/>
      </w:rPr>
    </w:tblStylePr>
    <w:tblStylePr w:type="lastCol">
      <w:rPr>
        <w:b/>
        <w:bCs/>
      </w:rPr>
    </w:tblStylePr>
    <w:tblStylePr w:type="band1Vert">
      <w:tblPr/>
      <w:tcPr>
        <w:tcBorders>
          <w:top w:val="single" w:sz="8" w:space="0" w:color="D06F1A"/>
          <w:left w:val="single" w:sz="8" w:space="0" w:color="D06F1A"/>
          <w:bottom w:val="single" w:sz="8" w:space="0" w:color="D06F1A"/>
          <w:right w:val="single" w:sz="8" w:space="0" w:color="D06F1A"/>
        </w:tcBorders>
      </w:tcPr>
    </w:tblStylePr>
    <w:tblStylePr w:type="band1Horz">
      <w:tblPr/>
      <w:tcPr>
        <w:tcBorders>
          <w:top w:val="single" w:sz="8" w:space="0" w:color="D06F1A"/>
          <w:left w:val="single" w:sz="8" w:space="0" w:color="D06F1A"/>
          <w:bottom w:val="single" w:sz="8" w:space="0" w:color="D06F1A"/>
          <w:right w:val="single" w:sz="8" w:space="0" w:color="D06F1A"/>
        </w:tcBorders>
      </w:tcPr>
    </w:tblStylePr>
  </w:style>
  <w:style w:type="table" w:customStyle="1" w:styleId="LightList-Accent211">
    <w:name w:val="Light List - Accent 211"/>
    <w:basedOn w:val="TableNormal"/>
    <w:next w:val="LightList-Accent2"/>
    <w:uiPriority w:val="61"/>
    <w:rPr>
      <w:rFonts w:eastAsia="Calibri"/>
      <w:lang w:val="en-GB" w:eastAsia="en-US"/>
    </w:rPr>
    <w:tblPr>
      <w:tblStyleRowBandSize w:val="1"/>
      <w:tblStyleColBandSize w:val="1"/>
      <w:tblBorders>
        <w:top w:val="single" w:sz="8" w:space="0" w:color="EC7200"/>
        <w:left w:val="single" w:sz="8" w:space="0" w:color="EC7200"/>
        <w:bottom w:val="single" w:sz="8" w:space="0" w:color="EC7200"/>
        <w:right w:val="single" w:sz="8" w:space="0" w:color="EC7200"/>
      </w:tblBorders>
    </w:tblPr>
    <w:tblStylePr w:type="firstRow">
      <w:pPr>
        <w:spacing w:before="0" w:after="0" w:line="240" w:lineRule="auto"/>
      </w:pPr>
      <w:rPr>
        <w:b/>
        <w:bCs/>
        <w:color w:val="FFFFFF"/>
      </w:rPr>
      <w:tblPr/>
      <w:tcPr>
        <w:shd w:val="clear" w:color="auto" w:fill="EC7200"/>
      </w:tcPr>
    </w:tblStylePr>
    <w:tblStylePr w:type="lastRow">
      <w:pPr>
        <w:spacing w:before="0" w:after="0" w:line="240" w:lineRule="auto"/>
      </w:pPr>
      <w:rPr>
        <w:b/>
        <w:bCs/>
      </w:rPr>
      <w:tblPr/>
      <w:tcPr>
        <w:tcBorders>
          <w:top w:val="double" w:sz="6" w:space="0" w:color="EC7200"/>
          <w:left w:val="single" w:sz="8" w:space="0" w:color="EC7200"/>
          <w:bottom w:val="single" w:sz="8" w:space="0" w:color="EC7200"/>
          <w:right w:val="single" w:sz="8" w:space="0" w:color="EC7200"/>
        </w:tcBorders>
      </w:tcPr>
    </w:tblStylePr>
    <w:tblStylePr w:type="firstCol">
      <w:rPr>
        <w:b/>
        <w:bCs/>
      </w:rPr>
    </w:tblStylePr>
    <w:tblStylePr w:type="lastCol">
      <w:rPr>
        <w:b/>
        <w:bCs/>
      </w:rPr>
    </w:tblStylePr>
    <w:tblStylePr w:type="band1Vert">
      <w:tblPr/>
      <w:tcPr>
        <w:tcBorders>
          <w:top w:val="single" w:sz="8" w:space="0" w:color="EC7200"/>
          <w:left w:val="single" w:sz="8" w:space="0" w:color="EC7200"/>
          <w:bottom w:val="single" w:sz="8" w:space="0" w:color="EC7200"/>
          <w:right w:val="single" w:sz="8" w:space="0" w:color="EC7200"/>
        </w:tcBorders>
      </w:tcPr>
    </w:tblStylePr>
    <w:tblStylePr w:type="band1Horz">
      <w:tblPr/>
      <w:tcPr>
        <w:tcBorders>
          <w:top w:val="single" w:sz="8" w:space="0" w:color="EC7200"/>
          <w:left w:val="single" w:sz="8" w:space="0" w:color="EC7200"/>
          <w:bottom w:val="single" w:sz="8" w:space="0" w:color="EC7200"/>
          <w:right w:val="single" w:sz="8" w:space="0" w:color="EC7200"/>
        </w:tcBorders>
      </w:tcPr>
    </w:tblStylePr>
  </w:style>
  <w:style w:type="table" w:customStyle="1" w:styleId="MediumGrid3-Accent21">
    <w:name w:val="Medium Grid 3 - Accent 21"/>
    <w:basedOn w:val="TableNormal"/>
    <w:next w:val="MediumGrid3-Accent2"/>
    <w:uiPriority w:val="99"/>
    <w:rPr>
      <w:lang w:val="en-GB"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C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B6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B6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FB6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FB6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FDA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A80"/>
      </w:tcPr>
    </w:tblStylePr>
  </w:style>
  <w:style w:type="table" w:customStyle="1" w:styleId="MediumGrid3-Accent61">
    <w:name w:val="Medium Grid 3 - Accent 61"/>
    <w:basedOn w:val="TableNormal"/>
    <w:next w:val="MediumGrid3-Accent6"/>
    <w:uiPriority w:val="69"/>
    <w:rPr>
      <w:lang w:val="en-GB"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7DBC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D06F1A"/>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D06F1A"/>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D06F1A"/>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D06F1A"/>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FB684"/>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FB684"/>
      </w:tcPr>
    </w:tblStylePr>
  </w:style>
  <w:style w:type="table" w:customStyle="1" w:styleId="MediumShading1-Accent61">
    <w:name w:val="Medium Shading 1 - Accent 61"/>
    <w:basedOn w:val="TableNormal"/>
    <w:next w:val="MediumShading1-Accent6"/>
    <w:uiPriority w:val="63"/>
    <w:tblPr>
      <w:tblStyleRowBandSize w:val="1"/>
      <w:tblStyleColBandSize w:val="1"/>
      <w:tblBorders>
        <w:top w:val="single" w:sz="8" w:space="0" w:color="E89247"/>
        <w:left w:val="single" w:sz="8" w:space="0" w:color="E89247"/>
        <w:bottom w:val="single" w:sz="8" w:space="0" w:color="E89247"/>
        <w:right w:val="single" w:sz="8" w:space="0" w:color="E89247"/>
        <w:insideH w:val="single" w:sz="8" w:space="0" w:color="E89247"/>
      </w:tblBorders>
    </w:tblPr>
    <w:tblStylePr w:type="firstRow">
      <w:pPr>
        <w:spacing w:before="0" w:after="0" w:line="240" w:lineRule="auto"/>
      </w:pPr>
      <w:rPr>
        <w:b/>
        <w:bCs/>
        <w:color w:val="FFFFFF"/>
      </w:rPr>
      <w:tblPr/>
      <w:tcPr>
        <w:tcBorders>
          <w:top w:val="single" w:sz="8" w:space="0" w:color="E89247"/>
          <w:left w:val="single" w:sz="8" w:space="0" w:color="E89247"/>
          <w:bottom w:val="single" w:sz="8" w:space="0" w:color="E89247"/>
          <w:right w:val="single" w:sz="8" w:space="0" w:color="E89247"/>
          <w:insideH w:val="nil"/>
          <w:insideV w:val="nil"/>
        </w:tcBorders>
        <w:shd w:val="clear" w:color="auto" w:fill="D06F1A"/>
      </w:tcPr>
    </w:tblStylePr>
    <w:tblStylePr w:type="lastRow">
      <w:pPr>
        <w:spacing w:before="0" w:after="0" w:line="240" w:lineRule="auto"/>
      </w:pPr>
      <w:rPr>
        <w:b/>
        <w:bCs/>
      </w:rPr>
      <w:tblPr/>
      <w:tcPr>
        <w:tcBorders>
          <w:top w:val="double" w:sz="6" w:space="0" w:color="E89247"/>
          <w:left w:val="single" w:sz="8" w:space="0" w:color="E89247"/>
          <w:bottom w:val="single" w:sz="8" w:space="0" w:color="E89247"/>
          <w:right w:val="single" w:sz="8" w:space="0" w:color="E89247"/>
          <w:insideH w:val="nil"/>
          <w:insideV w:val="nil"/>
        </w:tcBorders>
      </w:tcPr>
    </w:tblStylePr>
    <w:tblStylePr w:type="firstCol">
      <w:rPr>
        <w:b/>
        <w:bCs/>
      </w:rPr>
    </w:tblStylePr>
    <w:tblStylePr w:type="lastCol">
      <w:rPr>
        <w:b/>
        <w:bCs/>
      </w:rPr>
    </w:tblStylePr>
    <w:tblStylePr w:type="band1Vert">
      <w:tblPr/>
      <w:tcPr>
        <w:shd w:val="clear" w:color="auto" w:fill="F7DBC2"/>
      </w:tcPr>
    </w:tblStylePr>
    <w:tblStylePr w:type="band1Horz">
      <w:tblPr/>
      <w:tcPr>
        <w:tcBorders>
          <w:insideH w:val="nil"/>
          <w:insideV w:val="nil"/>
        </w:tcBorders>
        <w:shd w:val="clear" w:color="auto" w:fill="F7DBC2"/>
      </w:tcPr>
    </w:tblStylePr>
    <w:tblStylePr w:type="band2Horz">
      <w:tblPr/>
      <w:tcPr>
        <w:tcBorders>
          <w:insideH w:val="nil"/>
          <w:insideV w:val="nil"/>
        </w:tcBorders>
      </w:tcPr>
    </w:tblStylePr>
  </w:style>
  <w:style w:type="table" w:customStyle="1" w:styleId="LightGrid-Accent61">
    <w:name w:val="Light Grid - Accent 61"/>
    <w:basedOn w:val="TableNormal"/>
    <w:next w:val="LightGrid-Accent6"/>
    <w:uiPriority w:val="62"/>
    <w:tblPr>
      <w:tblStyleRowBandSize w:val="1"/>
      <w:tblStyleColBandSize w:val="1"/>
      <w:tblBorders>
        <w:top w:val="single" w:sz="8" w:space="0" w:color="D06F1A"/>
        <w:left w:val="single" w:sz="8" w:space="0" w:color="D06F1A"/>
        <w:bottom w:val="single" w:sz="8" w:space="0" w:color="D06F1A"/>
        <w:right w:val="single" w:sz="8" w:space="0" w:color="D06F1A"/>
        <w:insideH w:val="single" w:sz="8" w:space="0" w:color="D06F1A"/>
        <w:insideV w:val="single" w:sz="8" w:space="0" w:color="D06F1A"/>
      </w:tblBorders>
    </w:tblPr>
    <w:tblStylePr w:type="firstRow">
      <w:pPr>
        <w:spacing w:before="0" w:after="0" w:line="240" w:lineRule="auto"/>
      </w:pPr>
      <w:rPr>
        <w:rFonts w:ascii="Cambria" w:eastAsia="Times New Roman" w:hAnsi="Cambria" w:cs="Times New Roman"/>
        <w:b/>
        <w:bCs/>
      </w:rPr>
      <w:tblPr/>
      <w:tcPr>
        <w:tcBorders>
          <w:top w:val="single" w:sz="8" w:space="0" w:color="D06F1A"/>
          <w:left w:val="single" w:sz="8" w:space="0" w:color="D06F1A"/>
          <w:bottom w:val="single" w:sz="18" w:space="0" w:color="D06F1A"/>
          <w:right w:val="single" w:sz="8" w:space="0" w:color="D06F1A"/>
          <w:insideH w:val="nil"/>
          <w:insideV w:val="single" w:sz="8" w:space="0" w:color="D06F1A"/>
        </w:tcBorders>
      </w:tcPr>
    </w:tblStylePr>
    <w:tblStylePr w:type="lastRow">
      <w:pPr>
        <w:spacing w:before="0" w:after="0" w:line="240" w:lineRule="auto"/>
      </w:pPr>
      <w:rPr>
        <w:rFonts w:ascii="Cambria" w:eastAsia="Times New Roman" w:hAnsi="Cambria" w:cs="Times New Roman"/>
        <w:b/>
        <w:bCs/>
      </w:rPr>
      <w:tblPr/>
      <w:tcPr>
        <w:tcBorders>
          <w:top w:val="double" w:sz="6" w:space="0" w:color="D06F1A"/>
          <w:left w:val="single" w:sz="8" w:space="0" w:color="D06F1A"/>
          <w:bottom w:val="single" w:sz="8" w:space="0" w:color="D06F1A"/>
          <w:right w:val="single" w:sz="8" w:space="0" w:color="D06F1A"/>
          <w:insideH w:val="nil"/>
          <w:insideV w:val="single" w:sz="8" w:space="0" w:color="D06F1A"/>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D06F1A"/>
          <w:left w:val="single" w:sz="8" w:space="0" w:color="D06F1A"/>
          <w:bottom w:val="single" w:sz="8" w:space="0" w:color="D06F1A"/>
          <w:right w:val="single" w:sz="8" w:space="0" w:color="D06F1A"/>
        </w:tcBorders>
      </w:tcPr>
    </w:tblStylePr>
    <w:tblStylePr w:type="band1Vert">
      <w:tblPr/>
      <w:tcPr>
        <w:tcBorders>
          <w:top w:val="single" w:sz="8" w:space="0" w:color="D06F1A"/>
          <w:left w:val="single" w:sz="8" w:space="0" w:color="D06F1A"/>
          <w:bottom w:val="single" w:sz="8" w:space="0" w:color="D06F1A"/>
          <w:right w:val="single" w:sz="8" w:space="0" w:color="D06F1A"/>
        </w:tcBorders>
        <w:shd w:val="clear" w:color="auto" w:fill="F7DBC2"/>
      </w:tcPr>
    </w:tblStylePr>
    <w:tblStylePr w:type="band1Horz">
      <w:tblPr/>
      <w:tcPr>
        <w:tcBorders>
          <w:top w:val="single" w:sz="8" w:space="0" w:color="D06F1A"/>
          <w:left w:val="single" w:sz="8" w:space="0" w:color="D06F1A"/>
          <w:bottom w:val="single" w:sz="8" w:space="0" w:color="D06F1A"/>
          <w:right w:val="single" w:sz="8" w:space="0" w:color="D06F1A"/>
          <w:insideV w:val="single" w:sz="8" w:space="0" w:color="D06F1A"/>
        </w:tcBorders>
        <w:shd w:val="clear" w:color="auto" w:fill="F7DBC2"/>
      </w:tcPr>
    </w:tblStylePr>
    <w:tblStylePr w:type="band2Horz">
      <w:tblPr/>
      <w:tcPr>
        <w:tcBorders>
          <w:top w:val="single" w:sz="8" w:space="0" w:color="D06F1A"/>
          <w:left w:val="single" w:sz="8" w:space="0" w:color="D06F1A"/>
          <w:bottom w:val="single" w:sz="8" w:space="0" w:color="D06F1A"/>
          <w:right w:val="single" w:sz="8" w:space="0" w:color="D06F1A"/>
          <w:insideV w:val="single" w:sz="8" w:space="0" w:color="D06F1A"/>
        </w:tcBorders>
      </w:tcPr>
    </w:tblStylePr>
  </w:style>
  <w:style w:type="table" w:customStyle="1" w:styleId="MediumShading2-Accent31">
    <w:name w:val="Medium Shading 2 - Accent 31"/>
    <w:basedOn w:val="TableNormal"/>
    <w:next w:val="MediumShading2-Accent3"/>
    <w:uiPriority w:val="64"/>
    <w:rPr>
      <w:rFonts w:eastAsia="Calibri"/>
      <w:lang w:val="en-GB"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6984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69843"/>
      </w:tcPr>
    </w:tblStylePr>
    <w:tblStylePr w:type="lastCol">
      <w:rPr>
        <w:b/>
        <w:bCs/>
        <w:color w:val="FFFFFF"/>
      </w:rPr>
      <w:tblPr/>
      <w:tcPr>
        <w:tcBorders>
          <w:left w:val="nil"/>
          <w:right w:val="nil"/>
          <w:insideH w:val="nil"/>
          <w:insideV w:val="nil"/>
        </w:tcBorders>
        <w:shd w:val="clear" w:color="auto" w:fill="F6984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3Deffects11">
    <w:name w:val="Table 3D effects 11"/>
    <w:basedOn w:val="TableNormal"/>
    <w:next w:val="Table3Deffects1"/>
    <w:semiHidden/>
    <w:locked/>
    <w:pPr>
      <w:spacing w:line="240" w:lineRule="exact"/>
    </w:pPr>
    <w:rPr>
      <w:rFonts w:ascii="Times New Roman" w:eastAsia="Times New Roman" w:hAnsi="Times New Roman"/>
      <w:lang w:eastAsia="zh-C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semiHidden/>
    <w:locked/>
    <w:pPr>
      <w:spacing w:line="240" w:lineRule="exact"/>
    </w:pPr>
    <w:rPr>
      <w:rFonts w:ascii="Times New Roman" w:eastAsia="Times New Roman" w:hAnsi="Times New Roman"/>
      <w:lang w:eastAsia="zh-C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semiHidden/>
    <w:locked/>
    <w:pPr>
      <w:spacing w:line="240" w:lineRule="exact"/>
    </w:pPr>
    <w:rPr>
      <w:rFonts w:ascii="Times New Roman" w:eastAsia="Times New Roman" w:hAnsi="Times New Roman"/>
      <w:lang w:eastAsia="zh-C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semiHidden/>
    <w:locked/>
    <w:pPr>
      <w:spacing w:line="240" w:lineRule="exact"/>
    </w:pPr>
    <w:rPr>
      <w:rFonts w:ascii="Times New Roman" w:eastAsia="Times New Roman" w:hAnsi="Times New Roman"/>
      <w:lang w:eastAsia="zh-C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semiHidden/>
    <w:locked/>
    <w:pPr>
      <w:spacing w:line="240" w:lineRule="exact"/>
    </w:pPr>
    <w:rPr>
      <w:rFonts w:ascii="Times New Roman" w:eastAsia="Times New Roman" w:hAnsi="Times New Roman"/>
      <w:lang w:eastAsia="zh-C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semiHidden/>
    <w:locked/>
    <w:pPr>
      <w:spacing w:line="240" w:lineRule="exact"/>
    </w:pPr>
    <w:rPr>
      <w:rFonts w:ascii="Times New Roman" w:eastAsia="Times New Roman" w:hAnsi="Times New Roman"/>
      <w:color w:val="000080"/>
      <w:lang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semiHidden/>
    <w:locked/>
    <w:pPr>
      <w:spacing w:line="240" w:lineRule="exact"/>
    </w:pPr>
    <w:rPr>
      <w:rFonts w:ascii="Times New Roman" w:eastAsia="Times New Roman" w:hAnsi="Times New Roman"/>
      <w:lang w:eastAsia="zh-C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semiHidden/>
    <w:locked/>
    <w:pPr>
      <w:spacing w:line="240" w:lineRule="exact"/>
    </w:pPr>
    <w:rPr>
      <w:rFonts w:ascii="Times New Roman" w:eastAsia="Times New Roman" w:hAnsi="Times New Roman"/>
      <w:color w:val="FFFFFF"/>
      <w:lang w:eastAsia="zh-C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locked/>
    <w:pPr>
      <w:spacing w:line="240" w:lineRule="exact"/>
    </w:pPr>
    <w:rPr>
      <w:rFonts w:ascii="Times New Roman" w:eastAsia="Times New Roman" w:hAnsi="Times New Roman"/>
      <w:lang w:eastAsia="zh-C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semiHidden/>
    <w:locked/>
    <w:pPr>
      <w:spacing w:line="240" w:lineRule="exact"/>
    </w:pPr>
    <w:rPr>
      <w:rFonts w:ascii="Times New Roman" w:eastAsia="Times New Roman" w:hAnsi="Times New Roman"/>
      <w:lang w:eastAsia="zh-C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semiHidden/>
    <w:locked/>
    <w:pPr>
      <w:spacing w:line="240" w:lineRule="exact"/>
    </w:pPr>
    <w:rPr>
      <w:rFonts w:ascii="Times New Roman" w:eastAsia="Times New Roman" w:hAnsi="Times New Roman"/>
      <w:b/>
      <w:bCs/>
      <w:lang w:eastAsia="zh-CN"/>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semiHidden/>
    <w:locked/>
    <w:pPr>
      <w:spacing w:line="240" w:lineRule="exact"/>
    </w:pPr>
    <w:rPr>
      <w:rFonts w:ascii="Times New Roman" w:eastAsia="Times New Roman" w:hAnsi="Times New Roman"/>
      <w:b/>
      <w:bCs/>
      <w:lang w:eastAsia="zh-CN"/>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semiHidden/>
    <w:locked/>
    <w:pPr>
      <w:spacing w:line="240" w:lineRule="exact"/>
    </w:pPr>
    <w:rPr>
      <w:rFonts w:ascii="Times New Roman" w:eastAsia="Times New Roman" w:hAnsi="Times New Roman"/>
      <w:b/>
      <w:bCs/>
      <w:lang w:eastAsia="zh-CN"/>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semiHidden/>
    <w:locked/>
    <w:pPr>
      <w:spacing w:line="240" w:lineRule="exact"/>
    </w:pPr>
    <w:rPr>
      <w:rFonts w:ascii="Times New Roman" w:eastAsia="Times New Roman" w:hAnsi="Times New Roman"/>
      <w:lang w:eastAsia="zh-C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TableColumns51">
    <w:name w:val="Table Columns 51"/>
    <w:basedOn w:val="TableNormal"/>
    <w:next w:val="TableColumns5"/>
    <w:semiHidden/>
    <w:locked/>
    <w:pPr>
      <w:spacing w:line="240" w:lineRule="exact"/>
    </w:pPr>
    <w:rPr>
      <w:rFonts w:ascii="Times New Roman" w:eastAsia="Times New Roman" w:hAnsi="Times New Roman"/>
      <w:lang w:eastAsia="zh-C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TableContemporary1">
    <w:name w:val="Table Contemporary1"/>
    <w:basedOn w:val="TableNormal"/>
    <w:next w:val="TableContemporary"/>
    <w:semiHidden/>
    <w:locked/>
    <w:pPr>
      <w:spacing w:line="240" w:lineRule="exact"/>
    </w:pPr>
    <w:rPr>
      <w:rFonts w:ascii="Times New Roman" w:eastAsia="Times New Roman" w:hAnsi="Times New Roman"/>
      <w:lang w:eastAsia="zh-C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semiHidden/>
    <w:locked/>
    <w:pPr>
      <w:spacing w:line="240" w:lineRule="exact"/>
    </w:pPr>
    <w:rPr>
      <w:rFonts w:ascii="Times New Roman" w:eastAsia="Times New Roman" w:hAnsi="Times New Roman"/>
      <w:lang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TableGrid11">
    <w:name w:val="Table Grid 11"/>
    <w:basedOn w:val="TableNormal"/>
    <w:next w:val="TableGrid1"/>
    <w:semiHidden/>
    <w:locked/>
    <w:pPr>
      <w:spacing w:line="240" w:lineRule="exact"/>
    </w:pPr>
    <w:rPr>
      <w:rFonts w:ascii="Times New Roman" w:eastAsia="Times New Roman" w:hAnsi="Times New Roman"/>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TableGrid21">
    <w:name w:val="Table Grid 21"/>
    <w:basedOn w:val="TableNormal"/>
    <w:next w:val="TableGrid2"/>
    <w:semiHidden/>
    <w:locked/>
    <w:pPr>
      <w:spacing w:line="240" w:lineRule="exact"/>
    </w:pPr>
    <w:rPr>
      <w:rFonts w:ascii="Times New Roman" w:eastAsia="Times New Roman" w:hAnsi="Times New Roman"/>
      <w:lang w:eastAsia="zh-C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eGrid31">
    <w:name w:val="Table Grid 31"/>
    <w:basedOn w:val="TableNormal"/>
    <w:next w:val="TableGrid3"/>
    <w:semiHidden/>
    <w:locked/>
    <w:pPr>
      <w:spacing w:line="240" w:lineRule="exact"/>
    </w:pPr>
    <w:rPr>
      <w:rFonts w:ascii="Times New Roman" w:eastAsia="Times New Roman" w:hAnsi="Times New Roman"/>
      <w:lang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eGrid41">
    <w:name w:val="Table Grid 41"/>
    <w:basedOn w:val="TableNormal"/>
    <w:next w:val="TableGrid4"/>
    <w:semiHidden/>
    <w:locked/>
    <w:pPr>
      <w:spacing w:line="240" w:lineRule="exact"/>
    </w:pPr>
    <w:rPr>
      <w:rFonts w:ascii="Times New Roman" w:eastAsia="Times New Roman" w:hAnsi="Times New Roman"/>
      <w:lang w:eastAsia="zh-C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semiHidden/>
    <w:locked/>
    <w:pPr>
      <w:spacing w:line="240" w:lineRule="exact"/>
    </w:pPr>
    <w:rPr>
      <w:rFonts w:ascii="Times New Roman" w:eastAsia="Times New Roman" w:hAnsi="Times New Roman"/>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61">
    <w:name w:val="Table Grid 61"/>
    <w:basedOn w:val="TableNormal"/>
    <w:next w:val="TableGrid6"/>
    <w:semiHidden/>
    <w:locked/>
    <w:pPr>
      <w:spacing w:line="240" w:lineRule="exact"/>
    </w:pPr>
    <w:rPr>
      <w:rFonts w:ascii="Times New Roman" w:eastAsia="Times New Roman" w:hAnsi="Times New Roman"/>
      <w:lang w:eastAsia="zh-C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71">
    <w:name w:val="Table Grid 71"/>
    <w:basedOn w:val="TableNormal"/>
    <w:next w:val="TableGrid7"/>
    <w:semiHidden/>
    <w:locked/>
    <w:pPr>
      <w:spacing w:line="240" w:lineRule="exact"/>
    </w:pPr>
    <w:rPr>
      <w:rFonts w:ascii="Times New Roman" w:eastAsia="Times New Roman" w:hAnsi="Times New Roman"/>
      <w:b/>
      <w:bCs/>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81">
    <w:name w:val="Table Grid 81"/>
    <w:basedOn w:val="TableNormal"/>
    <w:next w:val="TableGrid8"/>
    <w:semiHidden/>
    <w:locked/>
    <w:pPr>
      <w:spacing w:line="240" w:lineRule="exact"/>
    </w:pPr>
    <w:rPr>
      <w:rFonts w:ascii="Times New Roman" w:eastAsia="Times New Roman" w:hAnsi="Times New Roman"/>
      <w:lang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semiHidden/>
    <w:locked/>
    <w:pPr>
      <w:spacing w:line="240" w:lineRule="exact"/>
    </w:pPr>
    <w:rPr>
      <w:rFonts w:ascii="Times New Roman" w:eastAsia="Times New Roman" w:hAnsi="Times New Roman"/>
      <w:lang w:eastAsia="zh-C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List21">
    <w:name w:val="Table List 21"/>
    <w:basedOn w:val="TableNormal"/>
    <w:next w:val="TableList2"/>
    <w:semiHidden/>
    <w:locked/>
    <w:pPr>
      <w:spacing w:line="240" w:lineRule="exact"/>
    </w:pPr>
    <w:rPr>
      <w:rFonts w:ascii="Times New Roman" w:eastAsia="Times New Roman" w:hAnsi="Times New Roman"/>
      <w:lang w:eastAsia="zh-C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List31">
    <w:name w:val="Table List 31"/>
    <w:basedOn w:val="TableNormal"/>
    <w:next w:val="TableList3"/>
    <w:semiHidden/>
    <w:locked/>
    <w:pPr>
      <w:spacing w:line="240" w:lineRule="exact"/>
    </w:pPr>
    <w:rPr>
      <w:rFonts w:ascii="Times New Roman" w:eastAsia="Times New Roman" w:hAnsi="Times New Roman"/>
      <w:lang w:eastAsia="zh-C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semiHidden/>
    <w:locked/>
    <w:pPr>
      <w:spacing w:line="240" w:lineRule="exact"/>
    </w:pPr>
    <w:rPr>
      <w:rFonts w:ascii="Times New Roman" w:eastAsia="Times New Roman" w:hAnsi="Times New Roman"/>
      <w:lang w:eastAsia="zh-C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semiHidden/>
    <w:locked/>
    <w:pPr>
      <w:spacing w:line="240" w:lineRule="exact"/>
    </w:pPr>
    <w:rPr>
      <w:rFonts w:ascii="Times New Roman" w:eastAsia="Times New Roman" w:hAnsi="Times New Roman"/>
      <w:lang w:eastAsia="zh-C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TableList61">
    <w:name w:val="Table List 61"/>
    <w:basedOn w:val="TableNormal"/>
    <w:next w:val="TableList6"/>
    <w:semiHidden/>
    <w:locked/>
    <w:pPr>
      <w:spacing w:line="240" w:lineRule="exact"/>
    </w:pPr>
    <w:rPr>
      <w:rFonts w:ascii="Times New Roman" w:eastAsia="Times New Roman" w:hAnsi="Times New Roman"/>
      <w:lang w:eastAsia="zh-C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semiHidden/>
    <w:locked/>
    <w:pPr>
      <w:spacing w:line="240" w:lineRule="exact"/>
    </w:pPr>
    <w:rPr>
      <w:rFonts w:ascii="Times New Roman" w:eastAsia="Times New Roman" w:hAnsi="Times New Roman"/>
      <w:lang w:eastAsia="zh-C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semiHidden/>
    <w:locked/>
    <w:pPr>
      <w:spacing w:line="240" w:lineRule="exact"/>
    </w:pPr>
    <w:rPr>
      <w:rFonts w:ascii="Times New Roman" w:eastAsia="Times New Roman" w:hAnsi="Times New Roman"/>
      <w:lang w:eastAsia="zh-C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semiHidden/>
    <w:locked/>
    <w:pPr>
      <w:spacing w:line="240" w:lineRule="exact"/>
    </w:pPr>
    <w:rPr>
      <w:rFonts w:ascii="Times New Roman" w:eastAsia="Times New Roman" w:hAnsi="Times New Roman"/>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semiHidden/>
    <w:locked/>
    <w:pPr>
      <w:spacing w:line="240" w:lineRule="exact"/>
    </w:pPr>
    <w:rPr>
      <w:rFonts w:ascii="Times New Roman" w:eastAsia="Times New Roman" w:hAnsi="Times New Roman"/>
      <w:lang w:eastAsia="zh-C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semiHidden/>
    <w:locked/>
    <w:pPr>
      <w:spacing w:line="240" w:lineRule="exact"/>
    </w:pPr>
    <w:rPr>
      <w:rFonts w:ascii="Times New Roman" w:eastAsia="Times New Roman" w:hAnsi="Times New Roman"/>
      <w:lang w:eastAsia="zh-C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semiHidden/>
    <w:locked/>
    <w:pPr>
      <w:spacing w:line="240" w:lineRule="exact"/>
    </w:pPr>
    <w:rPr>
      <w:rFonts w:ascii="Times New Roman" w:eastAsia="Times New Roman" w:hAnsi="Times New Roman"/>
      <w:lang w:eastAsia="zh-C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semiHidden/>
    <w:locked/>
    <w:pPr>
      <w:spacing w:line="240" w:lineRule="exact"/>
    </w:pPr>
    <w:rPr>
      <w:rFonts w:ascii="Times New Roman" w:eastAsia="Times New Roman" w:hAnsi="Times New Roman"/>
      <w:lang w:eastAsia="zh-C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semiHidden/>
    <w:locked/>
    <w:pPr>
      <w:spacing w:line="240" w:lineRule="exact"/>
    </w:pPr>
    <w:rPr>
      <w:rFonts w:ascii="Times New Roman" w:eastAsia="Times New Roman" w:hAnsi="Times New Roman"/>
      <w:lang w:eastAsia="zh-C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Theme1">
    <w:name w:val="Table Theme1"/>
    <w:basedOn w:val="TableNormal"/>
    <w:next w:val="TableTheme"/>
    <w:semiHidden/>
    <w:locked/>
    <w:pPr>
      <w:spacing w:line="240" w:lineRule="exact"/>
    </w:pPr>
    <w:rPr>
      <w:rFonts w:ascii="Times New Roman" w:eastAsia="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
    <w:name w:val="Table Web 11"/>
    <w:basedOn w:val="TableNormal"/>
    <w:next w:val="TableWeb1"/>
    <w:semiHidden/>
    <w:locked/>
    <w:pPr>
      <w:spacing w:line="240" w:lineRule="exact"/>
    </w:pPr>
    <w:rPr>
      <w:rFonts w:ascii="Times New Roman" w:eastAsia="Times New Roman" w:hAnsi="Times New Roman"/>
      <w:lang w:eastAsia="zh-C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semiHidden/>
    <w:locked/>
    <w:pPr>
      <w:spacing w:line="240" w:lineRule="exact"/>
    </w:pPr>
    <w:rPr>
      <w:rFonts w:ascii="Times New Roman" w:eastAsia="Times New Roman" w:hAnsi="Times New Roman"/>
      <w:lang w:eastAsia="zh-C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semiHidden/>
    <w:locked/>
    <w:pPr>
      <w:spacing w:line="240" w:lineRule="exact"/>
    </w:pPr>
    <w:rPr>
      <w:rFonts w:ascii="Times New Roman" w:eastAsia="Times New Roman" w:hAnsi="Times New Roman"/>
      <w:lang w:eastAsia="zh-C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LightList11">
    <w:name w:val="Light List11"/>
    <w:basedOn w:val="TableNormal"/>
    <w:uiPriority w:val="61"/>
    <w:rPr>
      <w:rFonts w:ascii="Times New Roman" w:eastAsia="Times New Roman" w:hAnsi="Times New Roman"/>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51">
    <w:name w:val="Light List - Accent 51"/>
    <w:basedOn w:val="TableNormal"/>
    <w:next w:val="LightList-Accent5"/>
    <w:uiPriority w:val="61"/>
    <w:rPr>
      <w:rFonts w:ascii="Times New Roman" w:eastAsia="Times New Roman" w:hAnsi="Times New Roman"/>
      <w:lang w:eastAsia="zh-CN"/>
    </w:rPr>
    <w:tblPr>
      <w:tblStyleRowBandSize w:val="1"/>
      <w:tblStyleColBandSize w:val="1"/>
      <w:tblBorders>
        <w:top w:val="single" w:sz="8" w:space="0" w:color="EFC594"/>
        <w:left w:val="single" w:sz="8" w:space="0" w:color="EFC594"/>
        <w:bottom w:val="single" w:sz="8" w:space="0" w:color="EFC594"/>
        <w:right w:val="single" w:sz="8" w:space="0" w:color="EFC594"/>
      </w:tblBorders>
    </w:tblPr>
    <w:tblStylePr w:type="firstRow">
      <w:pPr>
        <w:spacing w:before="0" w:after="0" w:line="240" w:lineRule="auto"/>
      </w:pPr>
      <w:rPr>
        <w:b/>
        <w:bCs/>
        <w:color w:val="FFFFFF"/>
      </w:rPr>
      <w:tblPr/>
      <w:tcPr>
        <w:shd w:val="clear" w:color="auto" w:fill="EFC594"/>
      </w:tcPr>
    </w:tblStylePr>
    <w:tblStylePr w:type="lastRow">
      <w:pPr>
        <w:spacing w:before="0" w:after="0" w:line="240" w:lineRule="auto"/>
      </w:pPr>
      <w:rPr>
        <w:b/>
        <w:bCs/>
      </w:rPr>
      <w:tblPr/>
      <w:tcPr>
        <w:tcBorders>
          <w:top w:val="double" w:sz="6" w:space="0" w:color="EFC594"/>
          <w:left w:val="single" w:sz="8" w:space="0" w:color="EFC594"/>
          <w:bottom w:val="single" w:sz="8" w:space="0" w:color="EFC594"/>
          <w:right w:val="single" w:sz="8" w:space="0" w:color="EFC594"/>
        </w:tcBorders>
      </w:tcPr>
    </w:tblStylePr>
    <w:tblStylePr w:type="firstCol">
      <w:rPr>
        <w:b/>
        <w:bCs/>
      </w:rPr>
    </w:tblStylePr>
    <w:tblStylePr w:type="lastCol">
      <w:rPr>
        <w:b/>
        <w:bCs/>
      </w:rPr>
    </w:tblStylePr>
    <w:tblStylePr w:type="band1Vert">
      <w:tblPr/>
      <w:tcPr>
        <w:tcBorders>
          <w:top w:val="single" w:sz="8" w:space="0" w:color="EFC594"/>
          <w:left w:val="single" w:sz="8" w:space="0" w:color="EFC594"/>
          <w:bottom w:val="single" w:sz="8" w:space="0" w:color="EFC594"/>
          <w:right w:val="single" w:sz="8" w:space="0" w:color="EFC594"/>
        </w:tcBorders>
      </w:tcPr>
    </w:tblStylePr>
    <w:tblStylePr w:type="band1Horz">
      <w:tblPr/>
      <w:tcPr>
        <w:tcBorders>
          <w:top w:val="single" w:sz="8" w:space="0" w:color="EFC594"/>
          <w:left w:val="single" w:sz="8" w:space="0" w:color="EFC594"/>
          <w:bottom w:val="single" w:sz="8" w:space="0" w:color="EFC594"/>
          <w:right w:val="single" w:sz="8" w:space="0" w:color="EFC594"/>
        </w:tcBorders>
      </w:tcPr>
    </w:tblStylePr>
  </w:style>
  <w:style w:type="table" w:customStyle="1" w:styleId="LightShading-Accent51">
    <w:name w:val="Light Shading - Accent 51"/>
    <w:basedOn w:val="TableNormal"/>
    <w:next w:val="LightShading-Accent5"/>
    <w:uiPriority w:val="60"/>
    <w:rPr>
      <w:color w:val="E2963F"/>
    </w:rPr>
    <w:tblPr>
      <w:tblStyleRowBandSize w:val="1"/>
      <w:tblStyleColBandSize w:val="1"/>
      <w:tblBorders>
        <w:top w:val="single" w:sz="8" w:space="0" w:color="EFC594"/>
        <w:bottom w:val="single" w:sz="8" w:space="0" w:color="EFC594"/>
      </w:tblBorders>
    </w:tblPr>
    <w:tblStylePr w:type="firstRow">
      <w:pPr>
        <w:spacing w:before="0" w:after="0" w:line="240" w:lineRule="auto"/>
      </w:pPr>
      <w:rPr>
        <w:b/>
        <w:bCs/>
      </w:rPr>
      <w:tblPr/>
      <w:tcPr>
        <w:tcBorders>
          <w:top w:val="single" w:sz="8" w:space="0" w:color="EFC594"/>
          <w:left w:val="nil"/>
          <w:bottom w:val="single" w:sz="8" w:space="0" w:color="EFC594"/>
          <w:right w:val="nil"/>
          <w:insideH w:val="nil"/>
          <w:insideV w:val="nil"/>
        </w:tcBorders>
      </w:tcPr>
    </w:tblStylePr>
    <w:tblStylePr w:type="lastRow">
      <w:pPr>
        <w:spacing w:before="0" w:after="0" w:line="240" w:lineRule="auto"/>
      </w:pPr>
      <w:rPr>
        <w:b/>
        <w:bCs/>
      </w:rPr>
      <w:tblPr/>
      <w:tcPr>
        <w:tcBorders>
          <w:top w:val="single" w:sz="8" w:space="0" w:color="EFC594"/>
          <w:left w:val="nil"/>
          <w:bottom w:val="single" w:sz="8" w:space="0" w:color="EFC59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F0E4"/>
      </w:tcPr>
    </w:tblStylePr>
    <w:tblStylePr w:type="band1Horz">
      <w:tblPr/>
      <w:tcPr>
        <w:tcBorders>
          <w:left w:val="nil"/>
          <w:right w:val="nil"/>
          <w:insideH w:val="nil"/>
          <w:insideV w:val="nil"/>
        </w:tcBorders>
        <w:shd w:val="clear" w:color="auto" w:fill="FBF0E4"/>
      </w:tcPr>
    </w:tblStylePr>
  </w:style>
  <w:style w:type="table" w:customStyle="1" w:styleId="MediumShading2-Accent111">
    <w:name w:val="Medium Shading 2 - Accent 111"/>
    <w:basedOn w:val="TableNormal"/>
    <w:uiPriority w:val="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8981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8981D"/>
      </w:tcPr>
    </w:tblStylePr>
    <w:tblStylePr w:type="lastCol">
      <w:rPr>
        <w:b/>
        <w:bCs/>
        <w:color w:val="FFFFFF"/>
      </w:rPr>
      <w:tblPr/>
      <w:tcPr>
        <w:tcBorders>
          <w:left w:val="nil"/>
          <w:right w:val="nil"/>
          <w:insideH w:val="nil"/>
          <w:insideV w:val="nil"/>
        </w:tcBorders>
        <w:shd w:val="clear" w:color="auto" w:fill="F8981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121">
    <w:name w:val="Medium Shading 1 - Accent 121"/>
    <w:basedOn w:val="TableNormal"/>
    <w:uiPriority w:val="63"/>
    <w:tblPr>
      <w:tblStyleRowBandSize w:val="1"/>
      <w:tblStyleColBandSize w:val="1"/>
      <w:tblBorders>
        <w:top w:val="single" w:sz="8" w:space="0" w:color="F9B155"/>
        <w:left w:val="single" w:sz="8" w:space="0" w:color="F9B155"/>
        <w:bottom w:val="single" w:sz="8" w:space="0" w:color="F9B155"/>
        <w:right w:val="single" w:sz="8" w:space="0" w:color="F9B155"/>
        <w:insideH w:val="single" w:sz="8" w:space="0" w:color="F9B155"/>
      </w:tblBorders>
    </w:tblPr>
    <w:tblStylePr w:type="firstRow">
      <w:pPr>
        <w:spacing w:before="0" w:after="0" w:line="240" w:lineRule="auto"/>
      </w:pPr>
      <w:rPr>
        <w:b/>
        <w:bCs/>
        <w:color w:val="FFFFFF"/>
      </w:rPr>
      <w:tblPr/>
      <w:tcPr>
        <w:tcBorders>
          <w:top w:val="single" w:sz="8" w:space="0" w:color="F9B155"/>
          <w:left w:val="single" w:sz="8" w:space="0" w:color="F9B155"/>
          <w:bottom w:val="single" w:sz="8" w:space="0" w:color="F9B155"/>
          <w:right w:val="single" w:sz="8" w:space="0" w:color="F9B155"/>
          <w:insideH w:val="nil"/>
          <w:insideV w:val="nil"/>
        </w:tcBorders>
        <w:shd w:val="clear" w:color="auto" w:fill="F8981D"/>
      </w:tcPr>
    </w:tblStylePr>
    <w:tblStylePr w:type="lastRow">
      <w:pPr>
        <w:spacing w:before="0" w:after="0" w:line="240" w:lineRule="auto"/>
      </w:pPr>
      <w:rPr>
        <w:b/>
        <w:bCs/>
      </w:rPr>
      <w:tblPr/>
      <w:tcPr>
        <w:tcBorders>
          <w:top w:val="double" w:sz="6" w:space="0" w:color="F9B155"/>
          <w:left w:val="single" w:sz="8" w:space="0" w:color="F9B155"/>
          <w:bottom w:val="single" w:sz="8" w:space="0" w:color="F9B155"/>
          <w:right w:val="single" w:sz="8" w:space="0" w:color="F9B155"/>
          <w:insideH w:val="nil"/>
          <w:insideV w:val="nil"/>
        </w:tcBorders>
      </w:tcPr>
    </w:tblStylePr>
    <w:tblStylePr w:type="firstCol">
      <w:rPr>
        <w:b/>
        <w:bCs/>
      </w:rPr>
    </w:tblStylePr>
    <w:tblStylePr w:type="lastCol">
      <w:rPr>
        <w:b/>
        <w:bCs/>
      </w:rPr>
    </w:tblStylePr>
    <w:tblStylePr w:type="band1Vert">
      <w:tblPr/>
      <w:tcPr>
        <w:shd w:val="clear" w:color="auto" w:fill="FDE5C7"/>
      </w:tcPr>
    </w:tblStylePr>
    <w:tblStylePr w:type="band1Horz">
      <w:tblPr/>
      <w:tcPr>
        <w:tcBorders>
          <w:insideH w:val="nil"/>
          <w:insideV w:val="nil"/>
        </w:tcBorders>
        <w:shd w:val="clear" w:color="auto" w:fill="FDE5C7"/>
      </w:tcPr>
    </w:tblStylePr>
    <w:tblStylePr w:type="band2Horz">
      <w:tblPr/>
      <w:tcPr>
        <w:tcBorders>
          <w:insideH w:val="nil"/>
          <w:insideV w:val="nil"/>
        </w:tcBorders>
      </w:tcPr>
    </w:tblStylePr>
  </w:style>
  <w:style w:type="table" w:customStyle="1" w:styleId="MediumShading1-Accent31">
    <w:name w:val="Medium Shading 1 - Accent 31"/>
    <w:basedOn w:val="TableNormal"/>
    <w:next w:val="MediumShading1-Accent3"/>
    <w:uiPriority w:val="63"/>
    <w:tblPr>
      <w:tblStyleRowBandSize w:val="1"/>
      <w:tblStyleColBandSize w:val="1"/>
      <w:tblBorders>
        <w:top w:val="single" w:sz="8" w:space="0" w:color="F8B172"/>
        <w:left w:val="single" w:sz="8" w:space="0" w:color="F8B172"/>
        <w:bottom w:val="single" w:sz="8" w:space="0" w:color="F8B172"/>
        <w:right w:val="single" w:sz="8" w:space="0" w:color="F8B172"/>
        <w:insideH w:val="single" w:sz="8" w:space="0" w:color="F8B172"/>
      </w:tblBorders>
    </w:tblPr>
    <w:tblStylePr w:type="firstRow">
      <w:pPr>
        <w:spacing w:before="0" w:after="0" w:line="240" w:lineRule="auto"/>
      </w:pPr>
      <w:rPr>
        <w:b/>
        <w:bCs/>
        <w:color w:val="FFFFFF"/>
      </w:rPr>
      <w:tblPr/>
      <w:tcPr>
        <w:tcBorders>
          <w:top w:val="single" w:sz="8" w:space="0" w:color="F8B172"/>
          <w:left w:val="single" w:sz="8" w:space="0" w:color="F8B172"/>
          <w:bottom w:val="single" w:sz="8" w:space="0" w:color="F8B172"/>
          <w:right w:val="single" w:sz="8" w:space="0" w:color="F8B172"/>
          <w:insideH w:val="nil"/>
          <w:insideV w:val="nil"/>
        </w:tcBorders>
        <w:shd w:val="clear" w:color="auto" w:fill="F69843"/>
      </w:tcPr>
    </w:tblStylePr>
    <w:tblStylePr w:type="lastRow">
      <w:pPr>
        <w:spacing w:before="0" w:after="0" w:line="240" w:lineRule="auto"/>
      </w:pPr>
      <w:rPr>
        <w:b/>
        <w:bCs/>
      </w:rPr>
      <w:tblPr/>
      <w:tcPr>
        <w:tcBorders>
          <w:top w:val="double" w:sz="6" w:space="0" w:color="F8B172"/>
          <w:left w:val="single" w:sz="8" w:space="0" w:color="F8B172"/>
          <w:bottom w:val="single" w:sz="8" w:space="0" w:color="F8B172"/>
          <w:right w:val="single" w:sz="8" w:space="0" w:color="F8B172"/>
          <w:insideH w:val="nil"/>
          <w:insideV w:val="nil"/>
        </w:tcBorders>
      </w:tcPr>
    </w:tblStylePr>
    <w:tblStylePr w:type="firstCol">
      <w:rPr>
        <w:b/>
        <w:bCs/>
      </w:rPr>
    </w:tblStylePr>
    <w:tblStylePr w:type="lastCol">
      <w:rPr>
        <w:b/>
        <w:bCs/>
      </w:rPr>
    </w:tblStylePr>
    <w:tblStylePr w:type="band1Vert">
      <w:tblPr/>
      <w:tcPr>
        <w:shd w:val="clear" w:color="auto" w:fill="FCE5D0"/>
      </w:tcPr>
    </w:tblStylePr>
    <w:tblStylePr w:type="band1Horz">
      <w:tblPr/>
      <w:tcPr>
        <w:tcBorders>
          <w:insideH w:val="nil"/>
          <w:insideV w:val="nil"/>
        </w:tcBorders>
        <w:shd w:val="clear" w:color="auto" w:fill="FCE5D0"/>
      </w:tcPr>
    </w:tblStylePr>
    <w:tblStylePr w:type="band2Horz">
      <w:tblPr/>
      <w:tcPr>
        <w:tcBorders>
          <w:insideH w:val="nil"/>
          <w:insideV w:val="nil"/>
        </w:tcBorders>
      </w:tcPr>
    </w:tblStylePr>
  </w:style>
  <w:style w:type="table" w:customStyle="1" w:styleId="LightList-Accent121">
    <w:name w:val="Light List - Accent 121"/>
    <w:basedOn w:val="TableNormal"/>
    <w:uiPriority w:val="61"/>
    <w:pPr>
      <w:spacing w:after="120"/>
    </w:pPr>
    <w:rPr>
      <w:rFonts w:eastAsia="Times New Roman"/>
      <w:color w:val="000000"/>
      <w:sz w:val="18"/>
      <w:szCs w:val="21"/>
      <w:lang w:val="en-GB" w:eastAsia="en-US"/>
    </w:rPr>
    <w:tblPr>
      <w:tblStyleRowBandSize w:val="1"/>
      <w:tblStyleColBandSize w:val="1"/>
      <w:tblBorders>
        <w:top w:val="single" w:sz="8" w:space="0" w:color="F8981D"/>
        <w:left w:val="single" w:sz="8" w:space="0" w:color="F8981D"/>
        <w:bottom w:val="single" w:sz="8" w:space="0" w:color="F8981D"/>
        <w:right w:val="single" w:sz="8" w:space="0" w:color="F8981D"/>
      </w:tblBorders>
    </w:tblPr>
    <w:tblStylePr w:type="firstRow">
      <w:pPr>
        <w:spacing w:before="0" w:after="0"/>
      </w:pPr>
      <w:rPr>
        <w:rFonts w:cs="Times New Roman"/>
        <w:b/>
        <w:bCs/>
        <w:color w:val="FFFFFF"/>
      </w:rPr>
      <w:tblPr/>
      <w:tcPr>
        <w:shd w:val="clear" w:color="auto" w:fill="F8981D"/>
      </w:tcPr>
    </w:tblStylePr>
    <w:tblStylePr w:type="lastRow">
      <w:pPr>
        <w:spacing w:before="0" w:after="0"/>
      </w:pPr>
      <w:rPr>
        <w:rFonts w:cs="Times New Roman"/>
        <w:b/>
        <w:bCs/>
      </w:rPr>
      <w:tblPr/>
      <w:tcPr>
        <w:tcBorders>
          <w:top w:val="double" w:sz="6" w:space="0" w:color="F8981D"/>
          <w:left w:val="single" w:sz="8" w:space="0" w:color="F8981D"/>
          <w:bottom w:val="single" w:sz="8" w:space="0" w:color="F8981D"/>
          <w:right w:val="single" w:sz="8" w:space="0" w:color="F8981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8981D"/>
          <w:left w:val="single" w:sz="8" w:space="0" w:color="F8981D"/>
          <w:bottom w:val="single" w:sz="8" w:space="0" w:color="F8981D"/>
          <w:right w:val="single" w:sz="8" w:space="0" w:color="F8981D"/>
        </w:tcBorders>
      </w:tcPr>
    </w:tblStylePr>
    <w:tblStylePr w:type="band1Horz">
      <w:rPr>
        <w:rFonts w:cs="Times New Roman"/>
      </w:rPr>
      <w:tblPr/>
      <w:tcPr>
        <w:tcBorders>
          <w:top w:val="single" w:sz="8" w:space="0" w:color="F8981D"/>
          <w:left w:val="single" w:sz="8" w:space="0" w:color="F8981D"/>
          <w:bottom w:val="single" w:sz="8" w:space="0" w:color="F8981D"/>
          <w:right w:val="single" w:sz="8" w:space="0" w:color="F8981D"/>
        </w:tcBorders>
      </w:tcPr>
    </w:tblStylePr>
  </w:style>
  <w:style w:type="table" w:customStyle="1" w:styleId="LightShading-Accent21">
    <w:name w:val="Light Shading - Accent 21"/>
    <w:basedOn w:val="TableNormal"/>
    <w:next w:val="LightShading-Accent2"/>
    <w:uiPriority w:val="60"/>
    <w:rPr>
      <w:rFonts w:ascii="Calibri" w:eastAsia="Calibri" w:hAnsi="Calibri"/>
      <w:color w:val="B05500"/>
      <w:sz w:val="21"/>
      <w:szCs w:val="21"/>
      <w:lang w:val="en-GB" w:eastAsia="en-US"/>
    </w:rPr>
    <w:tblPr>
      <w:tblStyleRowBandSize w:val="1"/>
      <w:tblStyleColBandSize w:val="1"/>
      <w:tblBorders>
        <w:top w:val="single" w:sz="8" w:space="0" w:color="EC7200"/>
        <w:bottom w:val="single" w:sz="8" w:space="0" w:color="EC7200"/>
      </w:tblBorders>
    </w:tblPr>
    <w:tblStylePr w:type="firstRow">
      <w:pPr>
        <w:spacing w:before="0" w:after="0" w:line="240" w:lineRule="auto"/>
      </w:pPr>
      <w:rPr>
        <w:b/>
        <w:bCs/>
      </w:rPr>
      <w:tblPr/>
      <w:tcPr>
        <w:tcBorders>
          <w:top w:val="single" w:sz="8" w:space="0" w:color="EC7200"/>
          <w:left w:val="nil"/>
          <w:bottom w:val="single" w:sz="8" w:space="0" w:color="EC7200"/>
          <w:right w:val="nil"/>
          <w:insideH w:val="nil"/>
          <w:insideV w:val="nil"/>
        </w:tcBorders>
      </w:tcPr>
    </w:tblStylePr>
    <w:tblStylePr w:type="lastRow">
      <w:pPr>
        <w:spacing w:before="0" w:after="0" w:line="240" w:lineRule="auto"/>
      </w:pPr>
      <w:rPr>
        <w:b/>
        <w:bCs/>
      </w:rPr>
      <w:tblPr/>
      <w:tcPr>
        <w:tcBorders>
          <w:top w:val="single" w:sz="8" w:space="0" w:color="EC7200"/>
          <w:left w:val="nil"/>
          <w:bottom w:val="single" w:sz="8" w:space="0" w:color="EC72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BBB"/>
      </w:tcPr>
    </w:tblStylePr>
    <w:tblStylePr w:type="band1Horz">
      <w:tblPr/>
      <w:tcPr>
        <w:tcBorders>
          <w:left w:val="nil"/>
          <w:right w:val="nil"/>
          <w:insideH w:val="nil"/>
          <w:insideV w:val="nil"/>
        </w:tcBorders>
        <w:shd w:val="clear" w:color="auto" w:fill="FFDBBB"/>
      </w:tcPr>
    </w:tblStylePr>
  </w:style>
  <w:style w:type="table" w:customStyle="1" w:styleId="MediumShading1-Accent41">
    <w:name w:val="Medium Shading 1 - Accent 41"/>
    <w:basedOn w:val="TableNormal"/>
    <w:next w:val="MediumShading1-Accent4"/>
    <w:uiPriority w:val="63"/>
    <w:rPr>
      <w:rFonts w:ascii="Calibri" w:eastAsia="Calibri" w:hAnsi="Calibri"/>
      <w:color w:val="000000"/>
      <w:sz w:val="21"/>
      <w:szCs w:val="21"/>
      <w:lang w:val="en-GB" w:eastAsia="en-US"/>
    </w:rPr>
    <w:tblPr>
      <w:tblStyleRowBandSize w:val="1"/>
      <w:tblStyleColBandSize w:val="1"/>
      <w:tblBorders>
        <w:top w:val="single" w:sz="8" w:space="0" w:color="F3C18E"/>
        <w:left w:val="single" w:sz="8" w:space="0" w:color="F3C18E"/>
        <w:bottom w:val="single" w:sz="8" w:space="0" w:color="F3C18E"/>
        <w:right w:val="single" w:sz="8" w:space="0" w:color="F3C18E"/>
        <w:insideH w:val="single" w:sz="8" w:space="0" w:color="F3C18E"/>
      </w:tblBorders>
    </w:tblPr>
    <w:tblStylePr w:type="firstRow">
      <w:pPr>
        <w:spacing w:before="0" w:after="0" w:line="240" w:lineRule="auto"/>
      </w:pPr>
      <w:rPr>
        <w:b/>
        <w:bCs/>
        <w:color w:val="FFFFFF"/>
      </w:rPr>
      <w:tblPr/>
      <w:tcPr>
        <w:tcBorders>
          <w:top w:val="single" w:sz="8" w:space="0" w:color="F3C18E"/>
          <w:left w:val="single" w:sz="8" w:space="0" w:color="F3C18E"/>
          <w:bottom w:val="single" w:sz="8" w:space="0" w:color="F3C18E"/>
          <w:right w:val="single" w:sz="8" w:space="0" w:color="F3C18E"/>
          <w:insideH w:val="nil"/>
          <w:insideV w:val="nil"/>
        </w:tcBorders>
        <w:shd w:val="clear" w:color="auto" w:fill="EFAD69"/>
      </w:tcPr>
    </w:tblStylePr>
    <w:tblStylePr w:type="lastRow">
      <w:pPr>
        <w:spacing w:before="0" w:after="0" w:line="240" w:lineRule="auto"/>
      </w:pPr>
      <w:rPr>
        <w:b/>
        <w:bCs/>
      </w:rPr>
      <w:tblPr/>
      <w:tcPr>
        <w:tcBorders>
          <w:top w:val="double" w:sz="6" w:space="0" w:color="F3C18E"/>
          <w:left w:val="single" w:sz="8" w:space="0" w:color="F3C18E"/>
          <w:bottom w:val="single" w:sz="8" w:space="0" w:color="F3C18E"/>
          <w:right w:val="single" w:sz="8" w:space="0" w:color="F3C18E"/>
          <w:insideH w:val="nil"/>
          <w:insideV w:val="nil"/>
        </w:tcBorders>
      </w:tcPr>
    </w:tblStylePr>
    <w:tblStylePr w:type="firstCol">
      <w:rPr>
        <w:b/>
        <w:bCs/>
      </w:rPr>
    </w:tblStylePr>
    <w:tblStylePr w:type="lastCol">
      <w:rPr>
        <w:b/>
        <w:bCs/>
      </w:rPr>
    </w:tblStylePr>
    <w:tblStylePr w:type="band1Vert">
      <w:tblPr/>
      <w:tcPr>
        <w:shd w:val="clear" w:color="auto" w:fill="FBEAD9"/>
      </w:tcPr>
    </w:tblStylePr>
    <w:tblStylePr w:type="band1Horz">
      <w:tblPr/>
      <w:tcPr>
        <w:tcBorders>
          <w:insideH w:val="nil"/>
          <w:insideV w:val="nil"/>
        </w:tcBorders>
        <w:shd w:val="clear" w:color="auto" w:fill="FBEAD9"/>
      </w:tcPr>
    </w:tblStylePr>
    <w:tblStylePr w:type="band2Horz">
      <w:tblPr/>
      <w:tcPr>
        <w:tcBorders>
          <w:insideH w:val="nil"/>
          <w:insideV w:val="nil"/>
        </w:tcBorders>
      </w:tcPr>
    </w:tblStylePr>
  </w:style>
  <w:style w:type="table" w:customStyle="1" w:styleId="MarginTable1">
    <w:name w:val="MarginTable1"/>
    <w:basedOn w:val="TableNormal"/>
    <w:uiPriority w:val="99"/>
    <w:qFormat/>
    <w:rPr>
      <w:rFonts w:ascii="Calibri" w:eastAsia="Calibri" w:hAnsi="Calibri"/>
      <w:color w:val="000000"/>
      <w:sz w:val="16"/>
      <w:szCs w:val="21"/>
      <w:lang w:val="en-GB" w:eastAsia="en-US"/>
    </w:rPr>
    <w:tblPr>
      <w:tblBorders>
        <w:top w:val="single" w:sz="4" w:space="0" w:color="auto"/>
        <w:bottom w:val="dotted" w:sz="4" w:space="0" w:color="auto"/>
        <w:insideH w:val="dotted" w:sz="4" w:space="0" w:color="auto"/>
      </w:tblBorders>
      <w:tblCellMar>
        <w:top w:w="57" w:type="dxa"/>
        <w:left w:w="0" w:type="dxa"/>
        <w:right w:w="0" w:type="dxa"/>
      </w:tblCellMar>
    </w:tblPr>
    <w:tblStylePr w:type="firstRow">
      <w:rPr>
        <w:b/>
      </w:rPr>
    </w:tblStylePr>
  </w:style>
  <w:style w:type="table" w:customStyle="1" w:styleId="PwCTable12">
    <w:name w:val="PwC Table 12"/>
    <w:basedOn w:val="TableNormal"/>
    <w:uiPriority w:val="99"/>
    <w:qFormat/>
    <w:rPr>
      <w:rFonts w:ascii="Calibri" w:eastAsia="Calibri" w:hAnsi="Calibri"/>
      <w:color w:val="000000"/>
      <w:sz w:val="18"/>
      <w:szCs w:val="22"/>
      <w:lang w:val="en-GB" w:eastAsia="en-US"/>
    </w:rPr>
    <w:tblPr>
      <w:tblStyleRowBandSize w:val="1"/>
      <w:tblBorders>
        <w:bottom w:val="dotted" w:sz="6" w:space="0" w:color="D06F1A"/>
      </w:tblBorders>
      <w:tblCellMar>
        <w:top w:w="57" w:type="dxa"/>
        <w:left w:w="0" w:type="dxa"/>
        <w:right w:w="0" w:type="dxa"/>
      </w:tblCellMar>
    </w:tblPr>
    <w:tblStylePr w:type="firstRow">
      <w:pPr>
        <w:wordWrap/>
        <w:spacing w:beforeLines="0" w:beforeAutospacing="0" w:afterLines="0" w:afterAutospacing="0" w:line="210" w:lineRule="atLeast"/>
        <w:contextualSpacing w:val="0"/>
      </w:pPr>
      <w:rPr>
        <w:rFonts w:ascii="Cambria" w:hAnsi="Cambria"/>
        <w:b/>
        <w:color w:val="D06F1A"/>
        <w:sz w:val="18"/>
      </w:rPr>
      <w:tblPr/>
      <w:tcPr>
        <w:tcBorders>
          <w:top w:val="single" w:sz="6" w:space="0" w:color="D06F1A"/>
          <w:left w:val="nil"/>
          <w:bottom w:val="dotted" w:sz="6" w:space="0" w:color="D06F1A"/>
          <w:right w:val="nil"/>
          <w:insideH w:val="nil"/>
          <w:insideV w:val="nil"/>
          <w:tl2br w:val="nil"/>
          <w:tr2bl w:val="nil"/>
        </w:tcBorders>
      </w:tcPr>
    </w:tblStylePr>
    <w:tblStylePr w:type="lastRow">
      <w:tblPr/>
      <w:tcPr>
        <w:shd w:val="clear" w:color="auto" w:fill="F9E1CD"/>
      </w:tcPr>
    </w:tblStylePr>
    <w:tblStylePr w:type="band1Horz">
      <w:pPr>
        <w:wordWrap/>
        <w:spacing w:beforeLines="0" w:beforeAutospacing="0" w:afterLines="0" w:afterAutospacing="0" w:line="210" w:lineRule="atLeast"/>
      </w:pPr>
    </w:tblStylePr>
    <w:tblStylePr w:type="band2Horz">
      <w:pPr>
        <w:wordWrap/>
        <w:spacing w:beforeLines="0" w:beforeAutospacing="0" w:afterLines="0" w:afterAutospacing="0" w:line="210" w:lineRule="atLeast"/>
      </w:pPr>
    </w:tblStylePr>
  </w:style>
  <w:style w:type="table" w:customStyle="1" w:styleId="PwCMarginTable1">
    <w:name w:val="PwC Margin Table1"/>
    <w:basedOn w:val="TableNormal"/>
    <w:uiPriority w:val="99"/>
    <w:qFormat/>
    <w:rPr>
      <w:rFonts w:ascii="Calibri" w:eastAsia="Calibri" w:hAnsi="Calibri"/>
      <w:color w:val="000000"/>
      <w:sz w:val="21"/>
      <w:szCs w:val="21"/>
      <w:lang w:val="en-GB" w:eastAsia="en-US"/>
    </w:rPr>
    <w:tblPr/>
    <w:tblStylePr w:type="firstRow">
      <w:tblPr/>
      <w:tcPr>
        <w:tcBorders>
          <w:top w:val="nil"/>
        </w:tcBorders>
      </w:tcPr>
    </w:tblStylePr>
  </w:style>
  <w:style w:type="table" w:customStyle="1" w:styleId="DP-Plain1">
    <w:name w:val="DP-Plain1"/>
    <w:basedOn w:val="TableNormal"/>
    <w:uiPriority w:val="99"/>
    <w:qFormat/>
    <w:rPr>
      <w:rFonts w:ascii="Arial" w:eastAsia="Calibri" w:hAnsi="Arial"/>
      <w:lang w:val="en-GB" w:eastAsia="en-US"/>
    </w:rPr>
    <w:tblPr>
      <w:tblBorders>
        <w:bottom w:val="dotted" w:sz="6" w:space="0" w:color="auto"/>
      </w:tblBorders>
      <w:tblCellMar>
        <w:top w:w="57" w:type="dxa"/>
        <w:left w:w="0" w:type="dxa"/>
        <w:right w:w="0" w:type="dxa"/>
      </w:tblCellMar>
    </w:tblPr>
    <w:tblStylePr w:type="firstRow">
      <w:rPr>
        <w:b/>
      </w:rPr>
      <w:tblPr/>
      <w:tcPr>
        <w:tcBorders>
          <w:top w:val="single" w:sz="6" w:space="0" w:color="auto"/>
          <w:bottom w:val="dotted" w:sz="6" w:space="0" w:color="auto"/>
        </w:tcBorders>
      </w:tcPr>
    </w:tblStylePr>
  </w:style>
  <w:style w:type="table" w:customStyle="1" w:styleId="DP-PlainColoured1">
    <w:name w:val="DP-PlainColoured1"/>
    <w:basedOn w:val="TableNormal"/>
    <w:uiPriority w:val="99"/>
    <w:qFormat/>
    <w:rPr>
      <w:rFonts w:ascii="Calibri" w:eastAsia="Calibri" w:hAnsi="Calibri"/>
      <w:color w:val="000000"/>
      <w:sz w:val="21"/>
      <w:szCs w:val="21"/>
      <w:lang w:val="en-GB" w:eastAsia="en-US"/>
    </w:rPr>
    <w:tblPr>
      <w:tblBorders>
        <w:top w:val="single" w:sz="4" w:space="0" w:color="D06F1A"/>
        <w:insideH w:val="dotted" w:sz="6" w:space="0" w:color="D06F1A"/>
      </w:tblBorders>
      <w:tblCellMar>
        <w:top w:w="57" w:type="dxa"/>
        <w:left w:w="0" w:type="dxa"/>
        <w:right w:w="0" w:type="dxa"/>
      </w:tblCellMar>
    </w:tblPr>
    <w:tblStylePr w:type="firstRow">
      <w:rPr>
        <w:b/>
      </w:rPr>
    </w:tblStylePr>
  </w:style>
  <w:style w:type="table" w:customStyle="1" w:styleId="TableGrid110">
    <w:name w:val="Table Grid11"/>
    <w:basedOn w:val="TableNormal"/>
    <w:next w:val="TableGrid"/>
    <w:rPr>
      <w:rFonts w:eastAsia="Calibri"/>
      <w:lang w:val="en-GB"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FrameLineColoured1">
    <w:name w:val="Frame Line Coloured1"/>
    <w:basedOn w:val="TableNormal"/>
    <w:uiPriority w:val="99"/>
    <w:qFormat/>
    <w:rPr>
      <w:rFonts w:eastAsia="Calibri"/>
      <w:lang w:val="en-GB" w:eastAsia="en-US"/>
    </w:rPr>
    <w:tblPr>
      <w:tblBorders>
        <w:top w:val="single" w:sz="8" w:space="0" w:color="D06F1A"/>
        <w:left w:val="single" w:sz="8" w:space="0" w:color="D06F1A"/>
      </w:tblBorders>
      <w:tblCellMar>
        <w:left w:w="227" w:type="dxa"/>
        <w:right w:w="0" w:type="dxa"/>
      </w:tblCellMar>
    </w:tblPr>
  </w:style>
  <w:style w:type="table" w:customStyle="1" w:styleId="PwCTable111">
    <w:name w:val="PwC Table 111"/>
    <w:basedOn w:val="TableNormal"/>
    <w:uiPriority w:val="99"/>
    <w:qFormat/>
    <w:rPr>
      <w:rFonts w:ascii="Arial" w:hAnsi="Arial"/>
      <w:color w:val="000000"/>
      <w:sz w:val="18"/>
      <w:lang w:val="en-GB" w:eastAsia="en-US"/>
    </w:rPr>
    <w:tblPr>
      <w:tblStyleRowBandSize w:val="1"/>
      <w:tblBorders>
        <w:bottom w:val="dotted" w:sz="6" w:space="0" w:color="DC6900"/>
      </w:tblBorders>
      <w:tblCellMar>
        <w:top w:w="57" w:type="dxa"/>
        <w:left w:w="0" w:type="dxa"/>
        <w:right w:w="0" w:type="dxa"/>
      </w:tblCellMar>
    </w:tblPr>
    <w:tblStylePr w:type="firstRow">
      <w:pPr>
        <w:wordWrap/>
        <w:spacing w:beforeLines="0" w:beforeAutospacing="0" w:afterLines="0" w:afterAutospacing="0" w:line="210" w:lineRule="atLeast"/>
        <w:contextualSpacing w:val="0"/>
      </w:pPr>
      <w:rPr>
        <w:rFonts w:ascii="Arial Bold" w:hAnsi="Arial Bold"/>
        <w:b/>
        <w:color w:val="DC6900"/>
        <w:sz w:val="18"/>
      </w:rPr>
      <w:tblPr/>
      <w:tcPr>
        <w:tcBorders>
          <w:top w:val="single" w:sz="6" w:space="0" w:color="DC6900"/>
          <w:left w:val="nil"/>
          <w:bottom w:val="dotted" w:sz="6" w:space="0" w:color="DC6900"/>
          <w:right w:val="nil"/>
          <w:insideH w:val="nil"/>
          <w:insideV w:val="nil"/>
          <w:tl2br w:val="nil"/>
          <w:tr2bl w:val="nil"/>
        </w:tcBorders>
      </w:tcPr>
    </w:tblStylePr>
    <w:tblStylePr w:type="lastRow">
      <w:tblPr/>
      <w:tcPr>
        <w:shd w:val="clear" w:color="auto" w:fill="FFE0C5"/>
      </w:tcPr>
    </w:tblStylePr>
    <w:tblStylePr w:type="band1Horz">
      <w:pPr>
        <w:wordWrap/>
        <w:spacing w:beforeLines="0" w:beforeAutospacing="0" w:afterLines="0" w:afterAutospacing="0" w:line="210" w:lineRule="atLeast"/>
      </w:pPr>
    </w:tblStylePr>
    <w:tblStylePr w:type="band2Horz">
      <w:pPr>
        <w:wordWrap/>
        <w:spacing w:beforeLines="0" w:beforeAutospacing="0" w:afterLines="0" w:afterAutospacing="0" w:line="210" w:lineRule="atLeast"/>
      </w:pPr>
    </w:tblStylePr>
  </w:style>
  <w:style w:type="table" w:customStyle="1" w:styleId="MediumList1-Accent31">
    <w:name w:val="Medium List 1 - Accent 31"/>
    <w:basedOn w:val="TableNormal"/>
    <w:next w:val="MediumList1-Accent3"/>
    <w:uiPriority w:val="65"/>
    <w:rPr>
      <w:color w:val="000000"/>
    </w:rPr>
    <w:tblPr>
      <w:tblStyleRowBandSize w:val="1"/>
      <w:tblStyleColBandSize w:val="1"/>
      <w:tblBorders>
        <w:top w:val="single" w:sz="8" w:space="0" w:color="F69843"/>
        <w:bottom w:val="single" w:sz="8" w:space="0" w:color="F69843"/>
      </w:tblBorders>
    </w:tblPr>
    <w:tblStylePr w:type="firstRow">
      <w:rPr>
        <w:rFonts w:ascii="Cambria" w:eastAsia="Times New Roman" w:hAnsi="Cambria" w:cs="Times New Roman"/>
      </w:rPr>
      <w:tblPr/>
      <w:tcPr>
        <w:tcBorders>
          <w:top w:val="nil"/>
          <w:bottom w:val="single" w:sz="8" w:space="0" w:color="F69843"/>
        </w:tcBorders>
      </w:tcPr>
    </w:tblStylePr>
    <w:tblStylePr w:type="lastRow">
      <w:rPr>
        <w:b/>
        <w:bCs/>
        <w:color w:val="D06F1A"/>
      </w:rPr>
      <w:tblPr/>
      <w:tcPr>
        <w:tcBorders>
          <w:top w:val="single" w:sz="8" w:space="0" w:color="F69843"/>
          <w:bottom w:val="single" w:sz="8" w:space="0" w:color="F69843"/>
        </w:tcBorders>
      </w:tcPr>
    </w:tblStylePr>
    <w:tblStylePr w:type="firstCol">
      <w:rPr>
        <w:b/>
        <w:bCs/>
      </w:rPr>
    </w:tblStylePr>
    <w:tblStylePr w:type="lastCol">
      <w:rPr>
        <w:b/>
        <w:bCs/>
      </w:rPr>
      <w:tblPr/>
      <w:tcPr>
        <w:tcBorders>
          <w:top w:val="single" w:sz="8" w:space="0" w:color="F69843"/>
          <w:bottom w:val="single" w:sz="8" w:space="0" w:color="F69843"/>
        </w:tcBorders>
      </w:tcPr>
    </w:tblStylePr>
    <w:tblStylePr w:type="band1Vert">
      <w:tblPr/>
      <w:tcPr>
        <w:shd w:val="clear" w:color="auto" w:fill="FCE5D0"/>
      </w:tcPr>
    </w:tblStylePr>
    <w:tblStylePr w:type="band1Horz">
      <w:tblPr/>
      <w:tcPr>
        <w:shd w:val="clear" w:color="auto" w:fill="FCE5D0"/>
      </w:tcPr>
    </w:tblStylePr>
  </w:style>
  <w:style w:type="table" w:customStyle="1" w:styleId="LightList-Accent131">
    <w:name w:val="Light List - Accent 131"/>
    <w:basedOn w:val="TableNormal"/>
    <w:uiPriority w:val="61"/>
    <w:tblPr>
      <w:tblStyleRowBandSize w:val="1"/>
      <w:tblStyleColBandSize w:val="1"/>
      <w:tblBorders>
        <w:top w:val="single" w:sz="8" w:space="0" w:color="F8981D"/>
        <w:left w:val="single" w:sz="8" w:space="0" w:color="F8981D"/>
        <w:bottom w:val="single" w:sz="8" w:space="0" w:color="F8981D"/>
        <w:right w:val="single" w:sz="8" w:space="0" w:color="F8981D"/>
      </w:tblBorders>
    </w:tblPr>
    <w:tblStylePr w:type="firstRow">
      <w:pPr>
        <w:spacing w:before="0" w:after="0" w:line="240" w:lineRule="auto"/>
      </w:pPr>
      <w:rPr>
        <w:b/>
        <w:bCs/>
        <w:color w:val="FFFFFF"/>
      </w:rPr>
      <w:tblPr/>
      <w:tcPr>
        <w:shd w:val="clear" w:color="auto" w:fill="F8981D"/>
      </w:tcPr>
    </w:tblStylePr>
    <w:tblStylePr w:type="lastRow">
      <w:pPr>
        <w:spacing w:before="0" w:after="0" w:line="240" w:lineRule="auto"/>
      </w:pPr>
      <w:rPr>
        <w:b/>
        <w:bCs/>
      </w:rPr>
      <w:tblPr/>
      <w:tcPr>
        <w:tcBorders>
          <w:top w:val="double" w:sz="6" w:space="0" w:color="F8981D"/>
          <w:left w:val="single" w:sz="8" w:space="0" w:color="F8981D"/>
          <w:bottom w:val="single" w:sz="8" w:space="0" w:color="F8981D"/>
          <w:right w:val="single" w:sz="8" w:space="0" w:color="F8981D"/>
        </w:tcBorders>
      </w:tcPr>
    </w:tblStylePr>
    <w:tblStylePr w:type="firstCol">
      <w:rPr>
        <w:b/>
        <w:bCs/>
      </w:rPr>
    </w:tblStylePr>
    <w:tblStylePr w:type="lastCol">
      <w:rPr>
        <w:b/>
        <w:bCs/>
      </w:rPr>
    </w:tblStylePr>
    <w:tblStylePr w:type="band1Vert">
      <w:tblPr/>
      <w:tcPr>
        <w:tcBorders>
          <w:top w:val="single" w:sz="8" w:space="0" w:color="F8981D"/>
          <w:left w:val="single" w:sz="8" w:space="0" w:color="F8981D"/>
          <w:bottom w:val="single" w:sz="8" w:space="0" w:color="F8981D"/>
          <w:right w:val="single" w:sz="8" w:space="0" w:color="F8981D"/>
        </w:tcBorders>
      </w:tcPr>
    </w:tblStylePr>
    <w:tblStylePr w:type="band1Horz">
      <w:tblPr/>
      <w:tcPr>
        <w:tcBorders>
          <w:top w:val="single" w:sz="8" w:space="0" w:color="F8981D"/>
          <w:left w:val="single" w:sz="8" w:space="0" w:color="F8981D"/>
          <w:bottom w:val="single" w:sz="8" w:space="0" w:color="F8981D"/>
          <w:right w:val="single" w:sz="8" w:space="0" w:color="F8981D"/>
        </w:tcBorders>
      </w:tcPr>
    </w:tblStylePr>
  </w:style>
  <w:style w:type="table" w:customStyle="1" w:styleId="LightList-Accent141">
    <w:name w:val="Light List - Accent 141"/>
    <w:basedOn w:val="TableNormal"/>
    <w:uiPriority w:val="61"/>
    <w:tblPr>
      <w:tblStyleRowBandSize w:val="1"/>
      <w:tblStyleColBandSize w:val="1"/>
      <w:tblBorders>
        <w:top w:val="single" w:sz="8" w:space="0" w:color="DC6900" w:themeColor="accent1"/>
        <w:left w:val="single" w:sz="8" w:space="0" w:color="DC6900" w:themeColor="accent1"/>
        <w:bottom w:val="single" w:sz="8" w:space="0" w:color="DC6900" w:themeColor="accent1"/>
        <w:right w:val="single" w:sz="8" w:space="0" w:color="DC6900" w:themeColor="accent1"/>
      </w:tblBorders>
    </w:tblPr>
    <w:tblStylePr w:type="firstRow">
      <w:pPr>
        <w:spacing w:before="0" w:after="0" w:line="240" w:lineRule="auto"/>
      </w:pPr>
      <w:rPr>
        <w:b/>
        <w:bCs/>
        <w:color w:val="FFFFFF" w:themeColor="background1"/>
      </w:rPr>
      <w:tblPr/>
      <w:tcPr>
        <w:shd w:val="clear" w:color="auto" w:fill="DC6900" w:themeFill="accent1"/>
      </w:tcPr>
    </w:tblStylePr>
    <w:tblStylePr w:type="lastRow">
      <w:pPr>
        <w:spacing w:before="0" w:after="0" w:line="240" w:lineRule="auto"/>
      </w:pPr>
      <w:rPr>
        <w:b/>
        <w:bCs/>
      </w:rPr>
      <w:tblPr/>
      <w:tcPr>
        <w:tcBorders>
          <w:top w:val="double" w:sz="6" w:space="0" w:color="DC6900" w:themeColor="accent1"/>
          <w:left w:val="single" w:sz="8" w:space="0" w:color="DC6900" w:themeColor="accent1"/>
          <w:bottom w:val="single" w:sz="8" w:space="0" w:color="DC6900" w:themeColor="accent1"/>
          <w:right w:val="single" w:sz="8" w:space="0" w:color="DC6900" w:themeColor="accent1"/>
        </w:tcBorders>
      </w:tcPr>
    </w:tblStylePr>
    <w:tblStylePr w:type="firstCol">
      <w:rPr>
        <w:b/>
        <w:bCs/>
      </w:rPr>
    </w:tblStylePr>
    <w:tblStylePr w:type="lastCol">
      <w:rPr>
        <w:b/>
        <w:bCs/>
      </w:rPr>
    </w:tblStylePr>
    <w:tblStylePr w:type="band1Vert">
      <w:tblPr/>
      <w:tcPr>
        <w:tcBorders>
          <w:top w:val="single" w:sz="8" w:space="0" w:color="DC6900" w:themeColor="accent1"/>
          <w:left w:val="single" w:sz="8" w:space="0" w:color="DC6900" w:themeColor="accent1"/>
          <w:bottom w:val="single" w:sz="8" w:space="0" w:color="DC6900" w:themeColor="accent1"/>
          <w:right w:val="single" w:sz="8" w:space="0" w:color="DC6900" w:themeColor="accent1"/>
        </w:tcBorders>
      </w:tcPr>
    </w:tblStylePr>
    <w:tblStylePr w:type="band1Horz">
      <w:tblPr/>
      <w:tcPr>
        <w:tcBorders>
          <w:top w:val="single" w:sz="8" w:space="0" w:color="DC6900" w:themeColor="accent1"/>
          <w:left w:val="single" w:sz="8" w:space="0" w:color="DC6900" w:themeColor="accent1"/>
          <w:bottom w:val="single" w:sz="8" w:space="0" w:color="DC6900" w:themeColor="accent1"/>
          <w:right w:val="single" w:sz="8" w:space="0" w:color="DC6900" w:themeColor="accent1"/>
        </w:tcBorders>
      </w:tcPr>
    </w:tblStylePr>
  </w:style>
  <w:style w:type="table" w:customStyle="1" w:styleId="LightGrid11">
    <w:name w:val="Light Grid11"/>
    <w:basedOn w:val="TableNormal"/>
    <w:uiPriority w:val="62"/>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List-Accent41">
    <w:name w:val="Light List - Accent 41"/>
    <w:basedOn w:val="TableNormal"/>
    <w:next w:val="LightList-Accent4"/>
    <w:uiPriority w:val="61"/>
    <w:tblPr>
      <w:tblStyleRowBandSize w:val="1"/>
      <w:tblStyleColBandSize w:val="1"/>
      <w:tblBorders>
        <w:top w:val="single" w:sz="8" w:space="0" w:color="DB536A" w:themeColor="accent4"/>
        <w:left w:val="single" w:sz="8" w:space="0" w:color="DB536A" w:themeColor="accent4"/>
        <w:bottom w:val="single" w:sz="8" w:space="0" w:color="DB536A" w:themeColor="accent4"/>
        <w:right w:val="single" w:sz="8" w:space="0" w:color="DB536A" w:themeColor="accent4"/>
      </w:tblBorders>
    </w:tblPr>
    <w:tblStylePr w:type="firstRow">
      <w:pPr>
        <w:spacing w:before="0" w:after="0" w:line="240" w:lineRule="auto"/>
      </w:pPr>
      <w:rPr>
        <w:b/>
        <w:bCs/>
        <w:color w:val="FFFFFF" w:themeColor="background1"/>
      </w:rPr>
      <w:tblPr/>
      <w:tcPr>
        <w:shd w:val="clear" w:color="auto" w:fill="DB536A" w:themeFill="accent4"/>
      </w:tcPr>
    </w:tblStylePr>
    <w:tblStylePr w:type="lastRow">
      <w:pPr>
        <w:spacing w:before="0" w:after="0" w:line="240" w:lineRule="auto"/>
      </w:pPr>
      <w:rPr>
        <w:b/>
        <w:bCs/>
      </w:rPr>
      <w:tblPr/>
      <w:tcPr>
        <w:tcBorders>
          <w:top w:val="double" w:sz="6" w:space="0" w:color="DB536A" w:themeColor="accent4"/>
          <w:left w:val="single" w:sz="8" w:space="0" w:color="DB536A" w:themeColor="accent4"/>
          <w:bottom w:val="single" w:sz="8" w:space="0" w:color="DB536A" w:themeColor="accent4"/>
          <w:right w:val="single" w:sz="8" w:space="0" w:color="DB536A" w:themeColor="accent4"/>
        </w:tcBorders>
      </w:tcPr>
    </w:tblStylePr>
    <w:tblStylePr w:type="firstCol">
      <w:rPr>
        <w:b/>
        <w:bCs/>
      </w:rPr>
    </w:tblStylePr>
    <w:tblStylePr w:type="lastCol">
      <w:rPr>
        <w:b/>
        <w:bCs/>
      </w:rPr>
    </w:tblStylePr>
    <w:tblStylePr w:type="band1Vert">
      <w:tblPr/>
      <w:tcPr>
        <w:tcBorders>
          <w:top w:val="single" w:sz="8" w:space="0" w:color="DB536A" w:themeColor="accent4"/>
          <w:left w:val="single" w:sz="8" w:space="0" w:color="DB536A" w:themeColor="accent4"/>
          <w:bottom w:val="single" w:sz="8" w:space="0" w:color="DB536A" w:themeColor="accent4"/>
          <w:right w:val="single" w:sz="8" w:space="0" w:color="DB536A" w:themeColor="accent4"/>
        </w:tcBorders>
      </w:tcPr>
    </w:tblStylePr>
    <w:tblStylePr w:type="band1Horz">
      <w:tblPr/>
      <w:tcPr>
        <w:tcBorders>
          <w:top w:val="single" w:sz="8" w:space="0" w:color="DB536A" w:themeColor="accent4"/>
          <w:left w:val="single" w:sz="8" w:space="0" w:color="DB536A" w:themeColor="accent4"/>
          <w:bottom w:val="single" w:sz="8" w:space="0" w:color="DB536A" w:themeColor="accent4"/>
          <w:right w:val="single" w:sz="8" w:space="0" w:color="DB536A" w:themeColor="accent4"/>
        </w:tcBorders>
      </w:tcPr>
    </w:tblStylePr>
  </w:style>
  <w:style w:type="table" w:customStyle="1" w:styleId="LightGrid-Accent21">
    <w:name w:val="Light Grid - Accent 21"/>
    <w:basedOn w:val="TableNormal"/>
    <w:next w:val="LightGrid-Accent2"/>
    <w:uiPriority w:val="62"/>
    <w:tblPr>
      <w:tblStyleRowBandSize w:val="1"/>
      <w:tblStyleColBandSize w:val="1"/>
      <w:tblBorders>
        <w:top w:val="single" w:sz="8" w:space="0" w:color="FFB600" w:themeColor="accent2"/>
        <w:left w:val="single" w:sz="8" w:space="0" w:color="FFB600" w:themeColor="accent2"/>
        <w:bottom w:val="single" w:sz="8" w:space="0" w:color="FFB600" w:themeColor="accent2"/>
        <w:right w:val="single" w:sz="8" w:space="0" w:color="FFB600" w:themeColor="accent2"/>
        <w:insideH w:val="single" w:sz="8" w:space="0" w:color="FFB600" w:themeColor="accent2"/>
        <w:insideV w:val="single" w:sz="8" w:space="0" w:color="FFB6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B600" w:themeColor="accent2"/>
          <w:left w:val="single" w:sz="8" w:space="0" w:color="FFB600" w:themeColor="accent2"/>
          <w:bottom w:val="single" w:sz="18" w:space="0" w:color="FFB600" w:themeColor="accent2"/>
          <w:right w:val="single" w:sz="8" w:space="0" w:color="FFB600" w:themeColor="accent2"/>
          <w:insideH w:val="nil"/>
          <w:insideV w:val="single" w:sz="8" w:space="0" w:color="FFB6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B600" w:themeColor="accent2"/>
          <w:left w:val="single" w:sz="8" w:space="0" w:color="FFB600" w:themeColor="accent2"/>
          <w:bottom w:val="single" w:sz="8" w:space="0" w:color="FFB600" w:themeColor="accent2"/>
          <w:right w:val="single" w:sz="8" w:space="0" w:color="FFB600" w:themeColor="accent2"/>
          <w:insideH w:val="nil"/>
          <w:insideV w:val="single" w:sz="8" w:space="0" w:color="FFB6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B600" w:themeColor="accent2"/>
          <w:left w:val="single" w:sz="8" w:space="0" w:color="FFB600" w:themeColor="accent2"/>
          <w:bottom w:val="single" w:sz="8" w:space="0" w:color="FFB600" w:themeColor="accent2"/>
          <w:right w:val="single" w:sz="8" w:space="0" w:color="FFB600" w:themeColor="accent2"/>
        </w:tcBorders>
      </w:tcPr>
    </w:tblStylePr>
    <w:tblStylePr w:type="band1Vert">
      <w:tblPr/>
      <w:tcPr>
        <w:tcBorders>
          <w:top w:val="single" w:sz="8" w:space="0" w:color="FFB600" w:themeColor="accent2"/>
          <w:left w:val="single" w:sz="8" w:space="0" w:color="FFB600" w:themeColor="accent2"/>
          <w:bottom w:val="single" w:sz="8" w:space="0" w:color="FFB600" w:themeColor="accent2"/>
          <w:right w:val="single" w:sz="8" w:space="0" w:color="FFB600" w:themeColor="accent2"/>
        </w:tcBorders>
        <w:shd w:val="clear" w:color="auto" w:fill="FFECC0" w:themeFill="accent2" w:themeFillTint="3F"/>
      </w:tcPr>
    </w:tblStylePr>
    <w:tblStylePr w:type="band1Horz">
      <w:tblPr/>
      <w:tcPr>
        <w:tcBorders>
          <w:top w:val="single" w:sz="8" w:space="0" w:color="FFB600" w:themeColor="accent2"/>
          <w:left w:val="single" w:sz="8" w:space="0" w:color="FFB600" w:themeColor="accent2"/>
          <w:bottom w:val="single" w:sz="8" w:space="0" w:color="FFB600" w:themeColor="accent2"/>
          <w:right w:val="single" w:sz="8" w:space="0" w:color="FFB600" w:themeColor="accent2"/>
          <w:insideV w:val="single" w:sz="8" w:space="0" w:color="FFB600" w:themeColor="accent2"/>
        </w:tcBorders>
        <w:shd w:val="clear" w:color="auto" w:fill="FFECC0" w:themeFill="accent2" w:themeFillTint="3F"/>
      </w:tcPr>
    </w:tblStylePr>
    <w:tblStylePr w:type="band2Horz">
      <w:tblPr/>
      <w:tcPr>
        <w:tcBorders>
          <w:top w:val="single" w:sz="8" w:space="0" w:color="FFB600" w:themeColor="accent2"/>
          <w:left w:val="single" w:sz="8" w:space="0" w:color="FFB600" w:themeColor="accent2"/>
          <w:bottom w:val="single" w:sz="8" w:space="0" w:color="FFB600" w:themeColor="accent2"/>
          <w:right w:val="single" w:sz="8" w:space="0" w:color="FFB600" w:themeColor="accent2"/>
          <w:insideV w:val="single" w:sz="8" w:space="0" w:color="FFB600" w:themeColor="accent2"/>
        </w:tcBorders>
      </w:tcPr>
    </w:tblStylePr>
  </w:style>
  <w:style w:type="character" w:customStyle="1" w:styleId="Text1Char">
    <w:name w:val="Text 1 Char"/>
    <w:link w:val="Text1"/>
    <w:rPr>
      <w:rFonts w:ascii="Times New Roman" w:eastAsia="Times New Roman" w:hAnsi="Times New Roman"/>
      <w:sz w:val="24"/>
      <w:szCs w:val="24"/>
      <w:lang w:val="en-GB" w:eastAsia="en-GB"/>
    </w:rPr>
  </w:style>
  <w:style w:type="character" w:customStyle="1" w:styleId="CommentTextChar1">
    <w:name w:val="Comment Text Char1"/>
    <w:basedOn w:val="DefaultParagraphFont"/>
    <w:uiPriority w:val="9"/>
    <w:rPr>
      <w:lang w:eastAsia="en-US"/>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qFormat/>
    <w:pPr>
      <w:spacing w:after="0" w:line="240" w:lineRule="auto"/>
      <w:ind w:left="284" w:hanging="284"/>
      <w:jc w:val="both"/>
    </w:pPr>
    <w:rPr>
      <w:rFonts w:ascii="Times New Roman" w:eastAsia="Times New Roman" w:hAnsi="Times New Roman"/>
      <w:vertAlign w:val="superscript"/>
      <w:lang w:eastAsia="en-GB"/>
    </w:rPr>
  </w:style>
  <w:style w:type="table" w:customStyle="1" w:styleId="LightList-Accent1211">
    <w:name w:val="Light List - Accent 1211"/>
    <w:basedOn w:val="TableNormal"/>
    <w:uiPriority w:val="61"/>
    <w:pPr>
      <w:spacing w:after="120"/>
    </w:pPr>
    <w:rPr>
      <w:rFonts w:eastAsia="Times New Roman"/>
      <w:color w:val="000000"/>
      <w:sz w:val="18"/>
      <w:szCs w:val="21"/>
      <w:lang w:val="en-GB" w:eastAsia="en-US"/>
    </w:rPr>
    <w:tblPr>
      <w:tblStyleRowBandSize w:val="1"/>
      <w:tblStyleColBandSize w:val="1"/>
      <w:tblBorders>
        <w:top w:val="single" w:sz="8" w:space="0" w:color="F8981D"/>
        <w:left w:val="single" w:sz="8" w:space="0" w:color="F8981D"/>
        <w:bottom w:val="single" w:sz="8" w:space="0" w:color="F8981D"/>
        <w:right w:val="single" w:sz="8" w:space="0" w:color="F8981D"/>
      </w:tblBorders>
    </w:tblPr>
    <w:tblStylePr w:type="firstRow">
      <w:pPr>
        <w:spacing w:before="0" w:after="0"/>
      </w:pPr>
      <w:rPr>
        <w:rFonts w:cs="Times New Roman"/>
        <w:b/>
        <w:bCs/>
        <w:color w:val="FFFFFF"/>
      </w:rPr>
      <w:tblPr/>
      <w:tcPr>
        <w:shd w:val="clear" w:color="auto" w:fill="F8981D"/>
      </w:tcPr>
    </w:tblStylePr>
    <w:tblStylePr w:type="lastRow">
      <w:pPr>
        <w:spacing w:before="0" w:after="0"/>
      </w:pPr>
      <w:rPr>
        <w:rFonts w:cs="Times New Roman"/>
        <w:b/>
        <w:bCs/>
      </w:rPr>
      <w:tblPr/>
      <w:tcPr>
        <w:tcBorders>
          <w:top w:val="double" w:sz="6" w:space="0" w:color="F8981D"/>
          <w:left w:val="single" w:sz="8" w:space="0" w:color="F8981D"/>
          <w:bottom w:val="single" w:sz="8" w:space="0" w:color="F8981D"/>
          <w:right w:val="single" w:sz="8" w:space="0" w:color="F8981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8981D"/>
          <w:left w:val="single" w:sz="8" w:space="0" w:color="F8981D"/>
          <w:bottom w:val="single" w:sz="8" w:space="0" w:color="F8981D"/>
          <w:right w:val="single" w:sz="8" w:space="0" w:color="F8981D"/>
        </w:tcBorders>
      </w:tcPr>
    </w:tblStylePr>
    <w:tblStylePr w:type="band1Horz">
      <w:rPr>
        <w:rFonts w:cs="Times New Roman"/>
      </w:rPr>
      <w:tblPr/>
      <w:tcPr>
        <w:tcBorders>
          <w:top w:val="single" w:sz="8" w:space="0" w:color="F8981D"/>
          <w:left w:val="single" w:sz="8" w:space="0" w:color="F8981D"/>
          <w:bottom w:val="single" w:sz="8" w:space="0" w:color="F8981D"/>
          <w:right w:val="single" w:sz="8" w:space="0" w:color="F8981D"/>
        </w:tcBorders>
      </w:tcPr>
    </w:tblStylePr>
  </w:style>
  <w:style w:type="paragraph" w:customStyle="1" w:styleId="xl93">
    <w:name w:val="xl93"/>
    <w:basedOn w:val="Normal"/>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textAlignment w:val="center"/>
    </w:pPr>
    <w:rPr>
      <w:rFonts w:ascii="Times New Roman" w:eastAsia="Times New Roman" w:hAnsi="Times New Roman"/>
      <w:sz w:val="24"/>
      <w:szCs w:val="24"/>
      <w:lang w:val="it-IT" w:eastAsia="it-IT"/>
    </w:rPr>
  </w:style>
  <w:style w:type="paragraph" w:customStyle="1" w:styleId="xl94">
    <w:name w:val="xl94"/>
    <w:basedOn w:val="Normal"/>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textAlignment w:val="center"/>
    </w:pPr>
    <w:rPr>
      <w:rFonts w:ascii="Times New Roman" w:eastAsia="Times New Roman" w:hAnsi="Times New Roman"/>
      <w:color w:val="0563C1"/>
      <w:sz w:val="24"/>
      <w:szCs w:val="24"/>
      <w:u w:val="single"/>
      <w:lang w:val="it-IT" w:eastAsia="it-IT"/>
    </w:rPr>
  </w:style>
  <w:style w:type="table" w:customStyle="1" w:styleId="MediumList2-Accent62">
    <w:name w:val="Medium List 2 - Accent 62"/>
    <w:basedOn w:val="TableNormal"/>
    <w:next w:val="MediumList2-Accent6"/>
    <w:uiPriority w:val="66"/>
    <w:rPr>
      <w:rFonts w:eastAsia="Times New Roman"/>
      <w:color w:val="000000"/>
      <w:szCs w:val="22"/>
      <w:lang w:val="en-US" w:eastAsia="en-US"/>
    </w:rPr>
    <w:tblPr>
      <w:tblStyleRowBandSize w:val="1"/>
      <w:tblStyleColBandSize w:val="1"/>
      <w:tblBorders>
        <w:top w:val="single" w:sz="4" w:space="0" w:color="D9D9D9"/>
        <w:left w:val="single" w:sz="4" w:space="0" w:color="D9D9D9"/>
        <w:bottom w:val="single" w:sz="4" w:space="0" w:color="D9D9D9"/>
        <w:right w:val="single" w:sz="4" w:space="0" w:color="D9D9D9"/>
      </w:tblBorders>
    </w:tblPr>
    <w:tblStylePr w:type="firstRow">
      <w:rPr>
        <w:sz w:val="24"/>
        <w:szCs w:val="24"/>
      </w:rPr>
      <w:tblPr/>
      <w:tcPr>
        <w:tcBorders>
          <w:top w:val="nil"/>
          <w:left w:val="nil"/>
          <w:bottom w:val="single" w:sz="24" w:space="0" w:color="E0301E"/>
          <w:right w:val="nil"/>
          <w:insideH w:val="nil"/>
          <w:insideV w:val="nil"/>
        </w:tcBorders>
        <w:shd w:val="clear" w:color="auto" w:fill="FFFFFF"/>
      </w:tcPr>
    </w:tblStylePr>
    <w:tblStylePr w:type="lastRow">
      <w:tblPr/>
      <w:tcPr>
        <w:tcBorders>
          <w:top w:val="single" w:sz="8" w:space="0" w:color="E0301E"/>
          <w:left w:val="nil"/>
          <w:bottom w:val="nil"/>
          <w:right w:val="nil"/>
          <w:insideH w:val="nil"/>
          <w:insideV w:val="nil"/>
        </w:tcBorders>
        <w:shd w:val="clear" w:color="auto" w:fill="FFFFFF"/>
      </w:tcPr>
    </w:tblStylePr>
    <w:tblStylePr w:type="firstCol">
      <w:tblPr/>
      <w:tcPr>
        <w:tcBorders>
          <w:top w:val="nil"/>
          <w:left w:val="nil"/>
          <w:bottom w:val="nil"/>
          <w:right w:val="single" w:sz="8" w:space="0" w:color="E0301E"/>
          <w:insideH w:val="nil"/>
          <w:insideV w:val="nil"/>
        </w:tcBorders>
        <w:shd w:val="clear" w:color="auto" w:fill="FFFFFF"/>
      </w:tcPr>
    </w:tblStylePr>
    <w:tblStylePr w:type="lastCol">
      <w:tblPr/>
      <w:tcPr>
        <w:tcBorders>
          <w:top w:val="nil"/>
          <w:left w:val="single" w:sz="8" w:space="0" w:color="E0301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7CBC7"/>
      </w:tcPr>
    </w:tblStylePr>
    <w:tblStylePr w:type="band1Horz">
      <w:tblPr/>
      <w:tcPr>
        <w:tcBorders>
          <w:top w:val="nil"/>
          <w:bottom w:val="nil"/>
          <w:insideH w:val="nil"/>
          <w:insideV w:val="nil"/>
        </w:tcBorders>
        <w:shd w:val="clear" w:color="auto" w:fill="F7CBC7"/>
      </w:tcPr>
    </w:tblStylePr>
    <w:tblStylePr w:type="nwCell">
      <w:tblPr/>
      <w:tcPr>
        <w:shd w:val="clear" w:color="auto" w:fill="FFFFFF"/>
      </w:tcPr>
    </w:tblStylePr>
    <w:tblStylePr w:type="swCell">
      <w:tblPr/>
      <w:tcPr>
        <w:tcBorders>
          <w:top w:val="nil"/>
        </w:tcBorders>
      </w:tcPr>
    </w:tblStylePr>
  </w:style>
  <w:style w:type="table" w:customStyle="1" w:styleId="MediumList2-Accent63">
    <w:name w:val="Medium List 2 - Accent 63"/>
    <w:basedOn w:val="TableNormal"/>
    <w:next w:val="MediumList2-Accent6"/>
    <w:uiPriority w:val="66"/>
    <w:rPr>
      <w:rFonts w:eastAsia="SimHei"/>
      <w:color w:val="000000"/>
      <w:szCs w:val="22"/>
      <w:lang w:val="en-US" w:eastAsia="en-US"/>
    </w:rPr>
    <w:tblPr>
      <w:tblStyleRowBandSize w:val="1"/>
      <w:tblStyleColBandSize w:val="1"/>
      <w:tblBorders>
        <w:top w:val="single" w:sz="4" w:space="0" w:color="D9D9D9"/>
        <w:left w:val="single" w:sz="4" w:space="0" w:color="D9D9D9"/>
        <w:bottom w:val="single" w:sz="4" w:space="0" w:color="D9D9D9"/>
        <w:right w:val="single" w:sz="4" w:space="0" w:color="D9D9D9"/>
      </w:tblBorders>
    </w:tblPr>
    <w:tblStylePr w:type="firstRow">
      <w:rPr>
        <w:sz w:val="24"/>
        <w:szCs w:val="24"/>
      </w:rPr>
      <w:tblPr/>
      <w:tcPr>
        <w:tcBorders>
          <w:top w:val="nil"/>
          <w:left w:val="nil"/>
          <w:bottom w:val="single" w:sz="24" w:space="0" w:color="E0301E"/>
          <w:right w:val="nil"/>
          <w:insideH w:val="nil"/>
          <w:insideV w:val="nil"/>
        </w:tcBorders>
        <w:shd w:val="clear" w:color="auto" w:fill="FFFFFF"/>
      </w:tcPr>
    </w:tblStylePr>
    <w:tblStylePr w:type="lastRow">
      <w:tblPr/>
      <w:tcPr>
        <w:tcBorders>
          <w:top w:val="single" w:sz="8" w:space="0" w:color="E0301E"/>
          <w:left w:val="nil"/>
          <w:bottom w:val="nil"/>
          <w:right w:val="nil"/>
          <w:insideH w:val="nil"/>
          <w:insideV w:val="nil"/>
        </w:tcBorders>
        <w:shd w:val="clear" w:color="auto" w:fill="FFFFFF"/>
      </w:tcPr>
    </w:tblStylePr>
    <w:tblStylePr w:type="firstCol">
      <w:tblPr/>
      <w:tcPr>
        <w:tcBorders>
          <w:top w:val="nil"/>
          <w:left w:val="nil"/>
          <w:bottom w:val="nil"/>
          <w:right w:val="single" w:sz="8" w:space="0" w:color="E0301E"/>
          <w:insideH w:val="nil"/>
          <w:insideV w:val="nil"/>
        </w:tcBorders>
        <w:shd w:val="clear" w:color="auto" w:fill="FFFFFF"/>
      </w:tcPr>
    </w:tblStylePr>
    <w:tblStylePr w:type="lastCol">
      <w:tblPr/>
      <w:tcPr>
        <w:tcBorders>
          <w:top w:val="nil"/>
          <w:left w:val="single" w:sz="8" w:space="0" w:color="E0301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7CBC7"/>
      </w:tcPr>
    </w:tblStylePr>
    <w:tblStylePr w:type="band1Horz">
      <w:tblPr/>
      <w:tcPr>
        <w:tcBorders>
          <w:top w:val="nil"/>
          <w:bottom w:val="nil"/>
          <w:insideH w:val="nil"/>
          <w:insideV w:val="nil"/>
        </w:tcBorders>
        <w:shd w:val="clear" w:color="auto" w:fill="F7CBC7"/>
      </w:tcPr>
    </w:tblStylePr>
    <w:tblStylePr w:type="nwCell">
      <w:tblPr/>
      <w:tcPr>
        <w:shd w:val="clear" w:color="auto" w:fill="FFFFFF"/>
      </w:tcPr>
    </w:tblStylePr>
    <w:tblStylePr w:type="swCell">
      <w:tblPr/>
      <w:tcPr>
        <w:tcBorders>
          <w:top w:val="nil"/>
        </w:tcBorders>
      </w:tcPr>
    </w:tblStyle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eastAsiaTheme="minorHAnsi" w:hAnsi="Times New Roman"/>
      <w:sz w:val="24"/>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iCs/>
      <w:sz w:val="24"/>
      <w:szCs w:val="32"/>
    </w:rPr>
  </w:style>
  <w:style w:type="character" w:customStyle="1" w:styleId="FooterCoverPageChar">
    <w:name w:val="Footer Cover Page Char"/>
    <w:basedOn w:val="DefaultParagraphFont"/>
    <w:link w:val="FooterCoverPage"/>
    <w:rPr>
      <w:rFonts w:ascii="Times New Roman" w:hAnsi="Times New Roman"/>
      <w:iCs/>
      <w:sz w:val="24"/>
      <w:szCs w:val="32"/>
      <w:lang w:val="en-GB" w:eastAsia="en-US"/>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iCs/>
      <w:sz w:val="24"/>
      <w:szCs w:val="32"/>
    </w:rPr>
  </w:style>
  <w:style w:type="character" w:customStyle="1" w:styleId="HeaderCoverPageChar">
    <w:name w:val="Header Cover Page Char"/>
    <w:basedOn w:val="DefaultParagraphFont"/>
    <w:link w:val="HeaderCoverPage"/>
    <w:rPr>
      <w:rFonts w:ascii="Times New Roman" w:hAnsi="Times New Roman"/>
      <w:iCs/>
      <w:sz w:val="24"/>
      <w:szCs w:val="32"/>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Arial" w:hAnsi="Georgia" w:cs="Times New Roman"/>
        <w:lang w:val="it-IT" w:eastAsia="it-IT" w:bidi="ar-SA"/>
      </w:rPr>
    </w:rPrDefault>
    <w:pPrDefault/>
  </w:docDefaults>
  <w:latentStyles w:defLockedState="1" w:defUIPriority="0" w:defSemiHidden="1" w:defUnhideWhenUsed="1" w:defQFormat="0" w:count="267">
    <w:lsdException w:name="Normal" w:semiHidden="0" w:unhideWhenUsed="0" w:qFormat="1"/>
    <w:lsdException w:name="heading 1" w:semiHidden="0" w:unhideWhenUsed="0" w:qFormat="1"/>
    <w:lsdException w:name="heading 2" w:semiHidden="0" w:uiPriority="9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lsdException w:name="toc 7" w:uiPriority="39"/>
    <w:lsdException w:name="toc 8" w:uiPriority="39"/>
    <w:lsdException w:name="toc 9" w:uiPriority="39"/>
    <w:lsdException w:name="footnote text" w:uiPriority="99" w:qFormat="1"/>
    <w:lsdException w:name="header" w:qFormat="1"/>
    <w:lsdException w:name="caption" w:semiHidden="0" w:uiPriority="35" w:unhideWhenUsed="0" w:qFormat="1"/>
    <w:lsdException w:name="footnote reference" w:uiPriority="99" w:qFormat="1"/>
    <w:lsdException w:name="annotation reference" w:uiPriority="99"/>
    <w:lsdException w:name="endnote reference" w:uiPriority="99"/>
    <w:lsdException w:name="endnote text" w:uiPriority="99"/>
    <w:lsdException w:name="macro" w:uiPriority="99"/>
    <w:lsdException w:name="toa heading" w:uiPriority="99"/>
    <w:lsdException w:name="List Bullet" w:qFormat="1"/>
    <w:lsdException w:name="List Number" w:uiPriority="13" w:qFormat="1"/>
    <w:lsdException w:name="List 2" w:uiPriority="99"/>
    <w:lsdException w:name="List 3" w:uiPriority="99"/>
    <w:lsdException w:name="List 4" w:uiPriority="99"/>
    <w:lsdException w:name="List 5" w:uiPriority="99"/>
    <w:lsdException w:name="List Bullet 2" w:uiPriority="99" w:qFormat="1"/>
    <w:lsdException w:name="List Bullet 3" w:uiPriority="99" w:qFormat="1"/>
    <w:lsdException w:name="List Bullet 4" w:uiPriority="99"/>
    <w:lsdException w:name="List Bullet 5" w:uiPriority="99"/>
    <w:lsdException w:name="List Number 2" w:uiPriority="13" w:qFormat="1"/>
    <w:lsdException w:name="List Number 3" w:uiPriority="13" w:qFormat="1"/>
    <w:lsdException w:name="List Number 4" w:uiPriority="13"/>
    <w:lsdException w:name="List Number 5" w:uiPriority="13"/>
    <w:lsdException w:name="Title" w:semiHidden="0" w:unhideWhenUsed="0" w:qFormat="1"/>
    <w:lsdException w:name="Closing" w:uiPriority="99"/>
    <w:lsdException w:name="Signature" w:uiPriority="99"/>
    <w:lsdException w:name="Default Paragraph Font" w:uiPriority="1"/>
    <w:lsdException w:name="Body Text" w:uiPriority="99" w:qFormat="1"/>
    <w:lsdException w:name="List Continue" w:uiPriority="99" w:qFormat="1"/>
    <w:lsdException w:name="List Continue 2" w:uiPriority="99" w:qFormat="1"/>
    <w:lsdException w:name="List Continue 3" w:uiPriority="99" w:qFormat="1"/>
    <w:lsdException w:name="List Continue 4" w:uiPriority="99"/>
    <w:lsdException w:name="List Continue 5" w:uiPriority="99"/>
    <w:lsdException w:name="Message Header" w:uiPriority="99"/>
    <w:lsdException w:name="Subtitle" w:semiHidden="0" w:uiPriority="11" w:unhideWhenUsed="0" w:qFormat="1"/>
    <w:lsdException w:name="Salutation" w:uiPriority="99"/>
    <w:lsdException w:name="Date" w:uiPriority="99"/>
    <w:lsdException w:name="Body Text First Indent" w:uiPriority="99"/>
    <w:lsdException w:name="Body Text First Indent 2" w:uiPriority="99"/>
    <w:lsdException w:name="Note Heading" w:uiPriority="99"/>
    <w:lsdException w:name="Body Text Indent 3" w:uiPriority="99"/>
    <w:lsdException w:name="Hyperlink" w:uiPriority="99"/>
    <w:lsdException w:name="FollowedHyperlink" w:uiPriority="99"/>
    <w:lsdException w:name="Strong" w:semiHidden="0" w:uiPriority="99" w:unhideWhenUsed="0" w:qFormat="1"/>
    <w:lsdException w:name="Emphasis" w:semiHidden="0" w:uiPriority="99" w:unhideWhenUsed="0" w:qFormat="1"/>
    <w:lsdException w:name="Plain Text" w:uiPriority="99"/>
    <w:lsdException w:name="E-mail Signature" w:uiPriority="99"/>
    <w:lsdException w:name="HTML Top of Form" w:uiPriority="99"/>
    <w:lsdException w:name="HTML Bottom of Form" w:uiPriority="99"/>
    <w:lsdException w:name="Normal (Web)" w:uiPriority="99"/>
    <w:lsdException w:name="HTML Address" w:uiPriority="99"/>
    <w:lsdException w:name="HTML Preformatted" w:uiPriority="99"/>
    <w:lsdException w:name="Normal Table" w:uiPriority="99"/>
    <w:lsdException w:name="No List" w:uiPriority="99"/>
    <w:lsdException w:name="Outline List 1" w:uiPriority="99"/>
    <w:lsdException w:name="Table Grid" w:semiHidden="0" w:uiPriority="99" w:unhideWhenUsed="0"/>
    <w:lsdException w:name="Placeholder Text" w:locked="0" w:uiPriority="99"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iPriority="9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99" w:unhideWhenUsed="0"/>
    <w:lsdException w:name="Light Shading Accent 2" w:locked="0" w:semiHidden="0" w:uiPriority="60" w:unhideWhenUsed="0"/>
    <w:lsdException w:name="Light List Accent 2" w:locked="0" w:semiHidden="0" w:uiPriority="99" w:unhideWhenUsed="0"/>
    <w:lsdException w:name="Light Grid Accent 2" w:locked="0" w:semiHidden="0" w:uiPriority="62" w:unhideWhenUsed="0"/>
    <w:lsdException w:name="Medium Shading 1 Accent 2" w:locked="0" w:semiHidden="0" w:uiPriority="99"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9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99"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99" w:qFormat="1"/>
  </w:latentStyles>
  <w:style w:type="paragraph" w:default="1" w:styleId="Normal">
    <w:name w:val="Normal"/>
    <w:qFormat/>
    <w:pPr>
      <w:spacing w:after="240" w:line="240" w:lineRule="atLeast"/>
    </w:pPr>
    <w:rPr>
      <w:lang w:val="en-GB" w:eastAsia="en-US"/>
    </w:rPr>
  </w:style>
  <w:style w:type="paragraph" w:styleId="Heading1">
    <w:name w:val="heading 1"/>
    <w:aliases w:val="Section,Section Heading,Article Heading,HEADING 1,App1,EASI 1,Hoofdstuk,Heading 1-nonum,H1,1,h1,Header 1,Heading 1-nonum Char,Heading 11,Section1,Section Heading1,Article Heading1,HEADING 11,App11,EASI 11,Hoofdstuk1,Hoofd...,Chapter Title,II+"/>
    <w:basedOn w:val="Normal"/>
    <w:next w:val="Heading2"/>
    <w:link w:val="Heading1Char"/>
    <w:qFormat/>
    <w:pPr>
      <w:keepNext/>
      <w:widowControl w:val="0"/>
      <w:spacing w:after="480" w:line="600" w:lineRule="atLeast"/>
      <w:outlineLvl w:val="0"/>
    </w:pPr>
    <w:rPr>
      <w:rFonts w:eastAsia="SimHei"/>
      <w:b/>
      <w:bCs/>
      <w:i/>
      <w:sz w:val="36"/>
      <w:szCs w:val="28"/>
    </w:rPr>
  </w:style>
  <w:style w:type="paragraph" w:styleId="Heading2">
    <w:name w:val="heading 2"/>
    <w:aliases w:val="sottotitolo,H2,h2,l2,ITT t2,CAPITOLO,PA Major Section,TE Heading 2,Livello 4,2,heading 2,Arial 12 Fett Kursiv,t2,Heading new,(Alt+2),Attribute Heading 2,Attribute Heading 21,H21,H22,H23,H211,H221,H24,H212,H222,H231,H2111,H2211,A"/>
    <w:basedOn w:val="Normal"/>
    <w:next w:val="BodyText"/>
    <w:link w:val="Heading2Char"/>
    <w:uiPriority w:val="99"/>
    <w:qFormat/>
    <w:pPr>
      <w:keepNext/>
      <w:keepLines/>
      <w:tabs>
        <w:tab w:val="left" w:pos="993"/>
      </w:tabs>
      <w:spacing w:after="120" w:line="240" w:lineRule="auto"/>
      <w:ind w:right="-23"/>
      <w:outlineLvl w:val="1"/>
    </w:pPr>
    <w:rPr>
      <w:rFonts w:eastAsia="SimHei"/>
      <w:b/>
      <w:bCs/>
      <w:i/>
      <w:color w:val="DC6900"/>
      <w:sz w:val="32"/>
      <w:szCs w:val="26"/>
    </w:rPr>
  </w:style>
  <w:style w:type="paragraph" w:styleId="Heading3">
    <w:name w:val="heading 3"/>
    <w:aliases w:val="Level 1 - 1,Internal Head,BOD 0,Premessa,Annotationen,ASAPHeading 3,ASAPHeading 3 Char,ASAPHeading 3 Char Char,h3,h31,h32,h33,h34,h35,h36,h37,h38,h39,h310,h311,h312,h313,h314,3,H3,l3,t3,Livello 3,Arial 12 Fett,1.2.3.,e,OdsKap3,3 bullet,b,SECON"/>
    <w:basedOn w:val="Normal"/>
    <w:next w:val="BodyText"/>
    <w:link w:val="Heading3Char"/>
    <w:qFormat/>
    <w:pPr>
      <w:keepNext/>
      <w:keepLines/>
      <w:tabs>
        <w:tab w:val="left" w:pos="993"/>
      </w:tabs>
      <w:spacing w:after="120" w:line="240" w:lineRule="auto"/>
      <w:ind w:right="-23"/>
      <w:outlineLvl w:val="2"/>
    </w:pPr>
    <w:rPr>
      <w:rFonts w:eastAsia="SimHei"/>
      <w:bCs/>
      <w:i/>
      <w:noProof/>
      <w:color w:val="DC6900"/>
      <w:sz w:val="28"/>
      <w:szCs w:val="28"/>
    </w:rPr>
  </w:style>
  <w:style w:type="paragraph" w:styleId="Heading4">
    <w:name w:val="heading 4"/>
    <w:aliases w:val="paragrafo 1 liv,Subsection,ASAPHeading 4,H4,h4,First Subheading"/>
    <w:basedOn w:val="Normal"/>
    <w:next w:val="BodyText"/>
    <w:link w:val="Heading4Char"/>
    <w:qFormat/>
    <w:pPr>
      <w:keepNext/>
      <w:keepLines/>
      <w:spacing w:after="120" w:line="240" w:lineRule="auto"/>
      <w:outlineLvl w:val="3"/>
    </w:pPr>
    <w:rPr>
      <w:rFonts w:eastAsia="SimHei"/>
      <w:bCs/>
      <w:i/>
      <w:iCs/>
      <w:color w:val="DC6900"/>
      <w:sz w:val="24"/>
      <w:szCs w:val="24"/>
    </w:rPr>
  </w:style>
  <w:style w:type="paragraph" w:styleId="Heading5">
    <w:name w:val="heading 5"/>
    <w:aliases w:val="Level 3 - i,paragrafo 2 liv,ASAPHeading 5"/>
    <w:basedOn w:val="Normal"/>
    <w:next w:val="BodyText"/>
    <w:link w:val="Heading5Char"/>
    <w:qFormat/>
    <w:pPr>
      <w:keepNext/>
      <w:keepLines/>
      <w:spacing w:after="40" w:line="240" w:lineRule="auto"/>
      <w:outlineLvl w:val="4"/>
    </w:pPr>
    <w:rPr>
      <w:rFonts w:eastAsia="SimHei"/>
      <w:color w:val="DC6900"/>
    </w:rPr>
  </w:style>
  <w:style w:type="paragraph" w:styleId="Heading6">
    <w:name w:val="heading 6"/>
    <w:aliases w:val="paragrafo 3 liv,ASAPHeading 6"/>
    <w:basedOn w:val="Normal"/>
    <w:next w:val="Normal"/>
    <w:link w:val="Heading6Char"/>
    <w:qFormat/>
    <w:pPr>
      <w:keepNext/>
      <w:keepLines/>
      <w:spacing w:after="40" w:line="240" w:lineRule="auto"/>
      <w:outlineLvl w:val="5"/>
    </w:pPr>
    <w:rPr>
      <w:rFonts w:eastAsia="SimHei"/>
      <w:iCs/>
      <w:color w:val="DC6900"/>
    </w:rPr>
  </w:style>
  <w:style w:type="paragraph" w:styleId="Heading7">
    <w:name w:val="heading 7"/>
    <w:aliases w:val="paragrafo 4 liv,ASAPHeading 7,sottopar11111,ITT t7,PA Appendix Major,Heading 7 (do not use),7,h7,letter list,lettered list,letter list1,lettered list1,letter list2,lettered list2,letter list11,lettered list11,letter list3,lettered list3"/>
    <w:basedOn w:val="Normal"/>
    <w:next w:val="Normal"/>
    <w:link w:val="Heading7Char"/>
    <w:qFormat/>
    <w:pPr>
      <w:keepNext/>
      <w:keepLines/>
      <w:spacing w:after="40" w:line="240" w:lineRule="auto"/>
      <w:outlineLvl w:val="6"/>
    </w:pPr>
    <w:rPr>
      <w:rFonts w:eastAsia="SimHei"/>
      <w:iCs/>
      <w:color w:val="DC6900"/>
    </w:rPr>
  </w:style>
  <w:style w:type="paragraph" w:styleId="Heading8">
    <w:name w:val="heading 8"/>
    <w:aliases w:val="titolo con rientro,ASAPHeading 8"/>
    <w:basedOn w:val="Normal"/>
    <w:next w:val="Normal"/>
    <w:link w:val="Heading8Char"/>
    <w:qFormat/>
    <w:pPr>
      <w:keepNext/>
      <w:keepLines/>
      <w:spacing w:after="40" w:line="240" w:lineRule="auto"/>
      <w:outlineLvl w:val="7"/>
    </w:pPr>
    <w:rPr>
      <w:rFonts w:eastAsia="SimHei"/>
      <w:color w:val="DC6900"/>
    </w:rPr>
  </w:style>
  <w:style w:type="paragraph" w:styleId="Heading9">
    <w:name w:val="heading 9"/>
    <w:aliases w:val="sottotitolo con rientro,ASAPHeading 9"/>
    <w:basedOn w:val="Normal"/>
    <w:next w:val="Normal"/>
    <w:link w:val="Heading9Char"/>
    <w:qFormat/>
    <w:pPr>
      <w:keepNext/>
      <w:keepLines/>
      <w:spacing w:after="40" w:line="240" w:lineRule="auto"/>
      <w:outlineLvl w:val="8"/>
    </w:pPr>
    <w:rPr>
      <w:rFonts w:eastAsia="SimHei"/>
      <w:iCs/>
      <w:color w:val="DC69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Char,Section Heading Char,Article Heading Char,HEADING 1 Char,App1 Char,EASI 1 Char,Hoofdstuk Char,Heading 1-nonum Char1,H1 Char,1 Char,h1 Char,Header 1 Char,Heading 1-nonum Char Char,Heading 11 Char,Section1 Char,HEADING 11 Char"/>
    <w:link w:val="Heading1"/>
    <w:locked/>
    <w:rPr>
      <w:rFonts w:eastAsia="SimHei"/>
      <w:b/>
      <w:bCs/>
      <w:i/>
      <w:sz w:val="36"/>
      <w:szCs w:val="28"/>
      <w:lang w:val="en-GB" w:eastAsia="en-US"/>
    </w:rPr>
  </w:style>
  <w:style w:type="character" w:customStyle="1" w:styleId="Heading2Char">
    <w:name w:val="Heading 2 Char"/>
    <w:aliases w:val="sottotitolo Char,H2 Char,h2 Char,l2 Char,ITT t2 Char,CAPITOLO Char,PA Major Section Char,TE Heading 2 Char,Livello 4 Char,2 Char,heading 2 Char,Arial 12 Fett Kursiv Char,t2 Char,Heading new Char,(Alt+2) Char,Attribute Heading 2 Char"/>
    <w:link w:val="Heading2"/>
    <w:uiPriority w:val="99"/>
    <w:locked/>
    <w:rPr>
      <w:rFonts w:eastAsia="SimHei"/>
      <w:b/>
      <w:bCs/>
      <w:i/>
      <w:color w:val="DC6900"/>
      <w:sz w:val="32"/>
      <w:szCs w:val="26"/>
      <w:lang w:val="en-GB" w:eastAsia="en-US"/>
    </w:rPr>
  </w:style>
  <w:style w:type="character" w:customStyle="1" w:styleId="Heading3Char">
    <w:name w:val="Heading 3 Char"/>
    <w:aliases w:val="Level 1 - 1 Char,Internal Head Char,BOD 0 Char,Premessa Char,Annotationen Char,ASAPHeading 3 Char1,ASAPHeading 3 Char Char1,ASAPHeading 3 Char Char Char,h3 Char,h31 Char,h32 Char,h33 Char,h34 Char,h35 Char,h36 Char,h37 Char,h38 Char"/>
    <w:link w:val="Heading3"/>
    <w:locked/>
    <w:rPr>
      <w:rFonts w:eastAsia="SimHei"/>
      <w:bCs/>
      <w:i/>
      <w:noProof/>
      <w:color w:val="DC6900"/>
      <w:sz w:val="28"/>
      <w:szCs w:val="28"/>
      <w:lang w:val="en-GB" w:eastAsia="en-US"/>
    </w:rPr>
  </w:style>
  <w:style w:type="character" w:customStyle="1" w:styleId="Heading4Char">
    <w:name w:val="Heading 4 Char"/>
    <w:aliases w:val="paragrafo 1 liv Char,Subsection Char,ASAPHeading 4 Char,H4 Char,h4 Char,First Subheading Char"/>
    <w:link w:val="Heading4"/>
    <w:locked/>
    <w:rPr>
      <w:rFonts w:eastAsia="SimHei"/>
      <w:bCs/>
      <w:i/>
      <w:iCs/>
      <w:color w:val="DC6900"/>
      <w:sz w:val="24"/>
      <w:szCs w:val="24"/>
      <w:lang w:val="en-GB" w:eastAsia="en-US"/>
    </w:rPr>
  </w:style>
  <w:style w:type="character" w:customStyle="1" w:styleId="Heading5Char">
    <w:name w:val="Heading 5 Char"/>
    <w:aliases w:val="Level 3 - i Char,paragrafo 2 liv Char,ASAPHeading 5 Char"/>
    <w:link w:val="Heading5"/>
    <w:locked/>
    <w:rPr>
      <w:rFonts w:eastAsia="SimHei"/>
      <w:color w:val="DC6900"/>
      <w:lang w:val="en-GB" w:eastAsia="en-US"/>
    </w:rPr>
  </w:style>
  <w:style w:type="character" w:customStyle="1" w:styleId="Heading6Char">
    <w:name w:val="Heading 6 Char"/>
    <w:aliases w:val="paragrafo 3 liv Char,ASAPHeading 6 Char"/>
    <w:link w:val="Heading6"/>
    <w:locked/>
    <w:rPr>
      <w:rFonts w:eastAsia="SimHei"/>
      <w:iCs/>
      <w:color w:val="DC6900"/>
      <w:lang w:val="en-GB" w:eastAsia="en-US"/>
    </w:rPr>
  </w:style>
  <w:style w:type="character" w:customStyle="1" w:styleId="Heading7Char">
    <w:name w:val="Heading 7 Char"/>
    <w:aliases w:val="paragrafo 4 liv Char,ASAPHeading 7 Char,sottopar11111 Char,ITT t7 Char,PA Appendix Major Char,Heading 7 (do not use) Char,7 Char,h7 Char,letter list Char,lettered list Char,letter list1 Char,lettered list1 Char,letter list2 Char"/>
    <w:link w:val="Heading7"/>
    <w:locked/>
    <w:rPr>
      <w:rFonts w:eastAsia="SimHei"/>
      <w:iCs/>
      <w:color w:val="DC6900"/>
      <w:lang w:val="en-GB" w:eastAsia="en-US"/>
    </w:rPr>
  </w:style>
  <w:style w:type="character" w:customStyle="1" w:styleId="Heading8Char">
    <w:name w:val="Heading 8 Char"/>
    <w:aliases w:val="titolo con rientro Char,ASAPHeading 8 Char"/>
    <w:link w:val="Heading8"/>
    <w:locked/>
    <w:rPr>
      <w:rFonts w:eastAsia="SimHei"/>
      <w:color w:val="DC6900"/>
      <w:lang w:val="en-GB" w:eastAsia="en-US"/>
    </w:rPr>
  </w:style>
  <w:style w:type="character" w:customStyle="1" w:styleId="Heading9Char">
    <w:name w:val="Heading 9 Char"/>
    <w:aliases w:val="sottotitolo con rientro Char,ASAPHeading 9 Char"/>
    <w:link w:val="Heading9"/>
    <w:locked/>
    <w:rPr>
      <w:rFonts w:eastAsia="SimHei"/>
      <w:iCs/>
      <w:color w:val="DC6900"/>
      <w:lang w:val="en-GB" w:eastAsia="en-US"/>
    </w:rPr>
  </w:style>
  <w:style w:type="paragraph" w:styleId="BodyText">
    <w:name w:val="Body Text"/>
    <w:aliases w:val="DNV-Body,bt,BODY TEXT,body text,t,Block text,heading_txt,bodytxy2,Para,EHPT,Body Text2,bt1,bodytext,BT,txt1,T1,Title 1,EDStext,sp,bullet title,sbs,block text,Resume Text,bt4,body text4,bt5,body text5,body text1,tx,text,Justified,pp,RFP Text"/>
    <w:basedOn w:val="Normal"/>
    <w:link w:val="BodyTextChar"/>
    <w:uiPriority w:val="99"/>
    <w:qFormat/>
    <w:pPr>
      <w:spacing w:before="60" w:after="60"/>
      <w:jc w:val="both"/>
    </w:pPr>
  </w:style>
  <w:style w:type="character" w:customStyle="1" w:styleId="BodyTextChar">
    <w:name w:val="Body Text Char"/>
    <w:aliases w:val="DNV-Body Char,bt Char,BODY TEXT Char,body text Char,t Char,Block text Char,heading_txt Char,bodytxy2 Char,Para Char,EHPT Char,Body Text2 Char,bt1 Char,bodytext Char,BT Char,txt1 Char,T1 Char,Title 1 Char,EDStext Char,sp Char,sbs Char"/>
    <w:link w:val="BodyText"/>
    <w:uiPriority w:val="99"/>
    <w:locked/>
    <w:rPr>
      <w:lang w:val="en-GB" w:eastAsia="en-US"/>
    </w:rPr>
  </w:style>
  <w:style w:type="paragraph" w:customStyle="1" w:styleId="BodySingle">
    <w:name w:val="Body Single"/>
    <w:basedOn w:val="BodyText"/>
    <w:link w:val="BodySingleChar"/>
    <w:uiPriority w:val="99"/>
    <w:qFormat/>
    <w:pPr>
      <w:spacing w:after="0"/>
    </w:pPr>
  </w:style>
  <w:style w:type="paragraph" w:styleId="Header">
    <w:name w:val="header"/>
    <w:basedOn w:val="Normal"/>
    <w:link w:val="HeaderChar"/>
    <w:qFormat/>
    <w:pPr>
      <w:spacing w:after="0" w:line="240" w:lineRule="auto"/>
    </w:pPr>
    <w:rPr>
      <w:rFonts w:ascii="Arial" w:hAnsi="Arial"/>
      <w:sz w:val="19"/>
    </w:rPr>
  </w:style>
  <w:style w:type="character" w:customStyle="1" w:styleId="HeaderChar">
    <w:name w:val="Header Char"/>
    <w:link w:val="Header"/>
    <w:locked/>
    <w:rPr>
      <w:rFonts w:ascii="Arial" w:hAnsi="Arial"/>
      <w:sz w:val="19"/>
      <w:szCs w:val="20"/>
      <w:lang w:val="en-GB" w:eastAsia="en-US"/>
    </w:rPr>
  </w:style>
  <w:style w:type="character" w:customStyle="1" w:styleId="BodySingleChar">
    <w:name w:val="Body Single Char"/>
    <w:link w:val="BodySingle"/>
    <w:uiPriority w:val="99"/>
    <w:locked/>
    <w:rPr>
      <w:rFonts w:cs="Times New Roman"/>
    </w:rPr>
  </w:style>
  <w:style w:type="paragraph" w:styleId="Footer">
    <w:name w:val="footer"/>
    <w:aliases w:val="|| Footer"/>
    <w:basedOn w:val="Normal"/>
    <w:link w:val="FooterChar"/>
    <w:pPr>
      <w:spacing w:after="0" w:line="240" w:lineRule="auto"/>
    </w:pPr>
    <w:rPr>
      <w:rFonts w:ascii="Arial" w:hAnsi="Arial"/>
      <w:sz w:val="19"/>
    </w:rPr>
  </w:style>
  <w:style w:type="character" w:customStyle="1" w:styleId="FooterChar">
    <w:name w:val="Footer Char"/>
    <w:aliases w:val="|| Footer Char"/>
    <w:link w:val="Footer"/>
    <w:locked/>
    <w:rPr>
      <w:rFonts w:ascii="Arial" w:hAnsi="Arial"/>
      <w:sz w:val="19"/>
      <w:szCs w:val="20"/>
      <w:lang w:val="en-GB" w:eastAsia="en-US"/>
    </w:rPr>
  </w:style>
  <w:style w:type="paragraph" w:styleId="Title">
    <w:name w:val="Title"/>
    <w:basedOn w:val="Normal"/>
    <w:next w:val="Subtitle"/>
    <w:link w:val="TitleChar"/>
    <w:qFormat/>
    <w:pPr>
      <w:spacing w:after="0" w:line="240" w:lineRule="auto"/>
      <w:contextualSpacing/>
    </w:pPr>
    <w:rPr>
      <w:rFonts w:eastAsia="SimHei"/>
      <w:b/>
      <w:i/>
      <w:spacing w:val="5"/>
      <w:kern w:val="28"/>
      <w:sz w:val="80"/>
      <w:szCs w:val="52"/>
    </w:rPr>
  </w:style>
  <w:style w:type="character" w:customStyle="1" w:styleId="TitleChar">
    <w:name w:val="Title Char"/>
    <w:link w:val="Title"/>
    <w:locked/>
    <w:rPr>
      <w:rFonts w:eastAsia="SimHei"/>
      <w:b/>
      <w:i/>
      <w:spacing w:val="5"/>
      <w:kern w:val="28"/>
      <w:sz w:val="80"/>
      <w:szCs w:val="52"/>
      <w:lang w:val="en-GB" w:eastAsia="en-US"/>
    </w:rPr>
  </w:style>
  <w:style w:type="paragraph" w:styleId="TOCHeading">
    <w:name w:val="TOC Heading"/>
    <w:basedOn w:val="Heading1"/>
    <w:next w:val="Normal"/>
    <w:uiPriority w:val="99"/>
    <w:qFormat/>
    <w:pPr>
      <w:outlineLvl w:val="9"/>
    </w:pPr>
  </w:style>
  <w:style w:type="paragraph" w:styleId="Subtitle">
    <w:name w:val="Subtitle"/>
    <w:basedOn w:val="Normal"/>
    <w:next w:val="Normal"/>
    <w:link w:val="SubtitleChar"/>
    <w:uiPriority w:val="11"/>
    <w:qFormat/>
    <w:pPr>
      <w:numPr>
        <w:ilvl w:val="1"/>
      </w:numPr>
      <w:spacing w:after="1200" w:line="240" w:lineRule="auto"/>
    </w:pPr>
    <w:rPr>
      <w:rFonts w:eastAsia="SimHei"/>
      <w:iCs/>
      <w:spacing w:val="15"/>
      <w:sz w:val="80"/>
      <w:szCs w:val="24"/>
    </w:rPr>
  </w:style>
  <w:style w:type="character" w:customStyle="1" w:styleId="SubtitleChar">
    <w:name w:val="Subtitle Char"/>
    <w:link w:val="Subtitle"/>
    <w:uiPriority w:val="11"/>
    <w:locked/>
    <w:rPr>
      <w:rFonts w:eastAsia="SimHei"/>
      <w:iCs/>
      <w:spacing w:val="15"/>
      <w:sz w:val="80"/>
      <w:szCs w:val="24"/>
      <w:lang w:val="en-GB" w:eastAsia="en-US"/>
    </w:rPr>
  </w:style>
  <w:style w:type="paragraph" w:styleId="TOC1">
    <w:name w:val="toc 1"/>
    <w:basedOn w:val="Normal"/>
    <w:next w:val="Normal"/>
    <w:autoRedefine/>
    <w:uiPriority w:val="39"/>
    <w:qFormat/>
    <w:pPr>
      <w:pBdr>
        <w:top w:val="single" w:sz="8" w:space="4" w:color="DC6900"/>
      </w:pBdr>
      <w:tabs>
        <w:tab w:val="right" w:leader="dot" w:pos="9498"/>
      </w:tabs>
      <w:spacing w:before="120" w:after="120"/>
      <w:ind w:left="284" w:right="-23" w:hanging="284"/>
    </w:pPr>
  </w:style>
  <w:style w:type="paragraph" w:styleId="TOC2">
    <w:name w:val="toc 2"/>
    <w:basedOn w:val="Normal"/>
    <w:next w:val="Normal"/>
    <w:autoRedefine/>
    <w:uiPriority w:val="39"/>
    <w:qFormat/>
    <w:pPr>
      <w:pBdr>
        <w:top w:val="dotted" w:sz="8" w:space="4" w:color="DC6900"/>
      </w:pBdr>
      <w:tabs>
        <w:tab w:val="right" w:leader="dot" w:pos="9498"/>
      </w:tabs>
      <w:spacing w:before="120" w:after="120"/>
      <w:ind w:left="567" w:hanging="567"/>
      <w:jc w:val="both"/>
    </w:pPr>
  </w:style>
  <w:style w:type="paragraph" w:styleId="TOC3">
    <w:name w:val="toc 3"/>
    <w:basedOn w:val="Normal"/>
    <w:next w:val="Normal"/>
    <w:autoRedefine/>
    <w:uiPriority w:val="39"/>
    <w:qFormat/>
    <w:pPr>
      <w:tabs>
        <w:tab w:val="left" w:pos="1135"/>
        <w:tab w:val="right" w:leader="dot" w:pos="9498"/>
      </w:tabs>
      <w:spacing w:before="120" w:after="120"/>
      <w:ind w:left="568" w:right="535" w:hanging="284"/>
    </w:pPr>
  </w:style>
  <w:style w:type="character" w:styleId="Hyperlink">
    <w:name w:val="Hyperlink"/>
    <w:uiPriority w:val="99"/>
    <w:rPr>
      <w:rFonts w:cs="Times New Roman"/>
      <w:color w:val="0000FF"/>
      <w:u w:val="single"/>
    </w:rPr>
  </w:style>
  <w:style w:type="paragraph" w:styleId="BalloonText">
    <w:name w:val="Balloon Text"/>
    <w:basedOn w:val="Normal"/>
    <w:link w:val="BalloonTextChar"/>
    <w:pPr>
      <w:spacing w:after="0" w:line="240" w:lineRule="auto"/>
    </w:pPr>
    <w:rPr>
      <w:rFonts w:ascii="Tahoma" w:hAnsi="Tahoma"/>
      <w:sz w:val="16"/>
      <w:szCs w:val="16"/>
    </w:rPr>
  </w:style>
  <w:style w:type="character" w:customStyle="1" w:styleId="BalloonTextChar">
    <w:name w:val="Balloon Text Char"/>
    <w:link w:val="BalloonText"/>
    <w:locked/>
    <w:rPr>
      <w:rFonts w:ascii="Tahoma" w:hAnsi="Tahoma" w:cs="Tahoma"/>
      <w:sz w:val="16"/>
      <w:szCs w:val="16"/>
    </w:rPr>
  </w:style>
  <w:style w:type="paragraph" w:styleId="ListBullet">
    <w:name w:val="List Bullet"/>
    <w:basedOn w:val="Normal"/>
    <w:qFormat/>
    <w:pPr>
      <w:tabs>
        <w:tab w:val="num" w:pos="567"/>
      </w:tabs>
      <w:ind w:left="567" w:hanging="567"/>
      <w:contextualSpacing/>
    </w:pPr>
  </w:style>
  <w:style w:type="paragraph" w:styleId="ListNumber">
    <w:name w:val="List Number"/>
    <w:basedOn w:val="Normal"/>
    <w:uiPriority w:val="13"/>
    <w:qFormat/>
    <w:pPr>
      <w:tabs>
        <w:tab w:val="num" w:pos="567"/>
      </w:tabs>
      <w:ind w:left="567" w:hanging="567"/>
      <w:contextualSpacing/>
    </w:pPr>
  </w:style>
  <w:style w:type="paragraph" w:styleId="ListBullet2">
    <w:name w:val="List Bullet 2"/>
    <w:basedOn w:val="Normal"/>
    <w:uiPriority w:val="99"/>
    <w:qFormat/>
    <w:pPr>
      <w:tabs>
        <w:tab w:val="num" w:pos="1134"/>
      </w:tabs>
      <w:ind w:left="1134" w:hanging="567"/>
      <w:contextualSpacing/>
    </w:pPr>
  </w:style>
  <w:style w:type="paragraph" w:styleId="ListBullet3">
    <w:name w:val="List Bullet 3"/>
    <w:basedOn w:val="Normal"/>
    <w:uiPriority w:val="99"/>
    <w:qFormat/>
    <w:pPr>
      <w:tabs>
        <w:tab w:val="num" w:pos="1701"/>
      </w:tabs>
      <w:ind w:left="1701" w:hanging="567"/>
      <w:contextualSpacing/>
    </w:pPr>
  </w:style>
  <w:style w:type="paragraph" w:styleId="ListBullet4">
    <w:name w:val="List Bullet 4"/>
    <w:basedOn w:val="Normal"/>
    <w:uiPriority w:val="99"/>
    <w:pPr>
      <w:tabs>
        <w:tab w:val="num" w:pos="2268"/>
      </w:tabs>
      <w:ind w:left="2268" w:hanging="567"/>
      <w:contextualSpacing/>
    </w:pPr>
  </w:style>
  <w:style w:type="paragraph" w:styleId="ListBullet5">
    <w:name w:val="List Bullet 5"/>
    <w:basedOn w:val="Normal"/>
    <w:uiPriority w:val="99"/>
    <w:pPr>
      <w:tabs>
        <w:tab w:val="num" w:pos="2835"/>
      </w:tabs>
      <w:ind w:left="2835" w:hanging="567"/>
      <w:contextualSpacing/>
    </w:pPr>
  </w:style>
  <w:style w:type="paragraph" w:styleId="ListNumber2">
    <w:name w:val="List Number 2"/>
    <w:basedOn w:val="Normal"/>
    <w:uiPriority w:val="13"/>
    <w:qFormat/>
    <w:pPr>
      <w:tabs>
        <w:tab w:val="num" w:pos="1134"/>
      </w:tabs>
      <w:ind w:left="1134" w:hanging="567"/>
      <w:contextualSpacing/>
    </w:pPr>
  </w:style>
  <w:style w:type="paragraph" w:styleId="ListNumber3">
    <w:name w:val="List Number 3"/>
    <w:basedOn w:val="Normal"/>
    <w:uiPriority w:val="13"/>
    <w:qFormat/>
    <w:pPr>
      <w:tabs>
        <w:tab w:val="num" w:pos="1701"/>
      </w:tabs>
      <w:ind w:left="1701" w:hanging="567"/>
      <w:contextualSpacing/>
    </w:pPr>
  </w:style>
  <w:style w:type="paragraph" w:styleId="ListNumber4">
    <w:name w:val="List Number 4"/>
    <w:basedOn w:val="Normal"/>
    <w:uiPriority w:val="13"/>
    <w:pPr>
      <w:tabs>
        <w:tab w:val="num" w:pos="2268"/>
      </w:tabs>
      <w:ind w:left="2268" w:hanging="567"/>
      <w:contextualSpacing/>
    </w:pPr>
  </w:style>
  <w:style w:type="paragraph" w:styleId="ListNumber5">
    <w:name w:val="List Number 5"/>
    <w:basedOn w:val="Normal"/>
    <w:uiPriority w:val="13"/>
    <w:pPr>
      <w:tabs>
        <w:tab w:val="num" w:pos="2835"/>
      </w:tabs>
      <w:ind w:left="2835" w:hanging="567"/>
      <w:contextualSpacing/>
    </w:pPr>
  </w:style>
  <w:style w:type="paragraph" w:styleId="List">
    <w:name w:val="List"/>
    <w:basedOn w:val="Normal"/>
    <w:pPr>
      <w:ind w:left="567" w:hanging="567"/>
      <w:contextualSpacing/>
    </w:pPr>
  </w:style>
  <w:style w:type="paragraph" w:styleId="List2">
    <w:name w:val="List 2"/>
    <w:basedOn w:val="Normal"/>
    <w:uiPriority w:val="99"/>
    <w:pPr>
      <w:ind w:left="1134" w:hanging="567"/>
      <w:contextualSpacing/>
    </w:pPr>
  </w:style>
  <w:style w:type="paragraph" w:styleId="ListContinue">
    <w:name w:val="List Continue"/>
    <w:basedOn w:val="Normal"/>
    <w:uiPriority w:val="99"/>
    <w:qFormat/>
    <w:pPr>
      <w:spacing w:after="120"/>
      <w:ind w:left="567"/>
      <w:contextualSpacing/>
    </w:pPr>
  </w:style>
  <w:style w:type="paragraph" w:styleId="ListContinue2">
    <w:name w:val="List Continue 2"/>
    <w:basedOn w:val="Normal"/>
    <w:uiPriority w:val="99"/>
    <w:qFormat/>
    <w:pPr>
      <w:spacing w:after="120"/>
      <w:ind w:left="1134"/>
      <w:contextualSpacing/>
    </w:pPr>
  </w:style>
  <w:style w:type="paragraph" w:styleId="ListContinue3">
    <w:name w:val="List Continue 3"/>
    <w:basedOn w:val="Normal"/>
    <w:uiPriority w:val="99"/>
    <w:qFormat/>
    <w:pPr>
      <w:spacing w:after="120"/>
      <w:ind w:left="1701"/>
      <w:contextualSpacing/>
    </w:pPr>
  </w:style>
  <w:style w:type="paragraph" w:styleId="ListContinue4">
    <w:name w:val="List Continue 4"/>
    <w:basedOn w:val="Normal"/>
    <w:uiPriority w:val="99"/>
    <w:semiHidden/>
    <w:pPr>
      <w:spacing w:after="120"/>
      <w:ind w:left="2268"/>
      <w:contextualSpacing/>
    </w:pPr>
  </w:style>
  <w:style w:type="paragraph" w:styleId="ListContinue5">
    <w:name w:val="List Continue 5"/>
    <w:basedOn w:val="Normal"/>
    <w:uiPriority w:val="99"/>
    <w:semiHidden/>
    <w:pPr>
      <w:spacing w:after="120"/>
      <w:ind w:left="2835"/>
      <w:contextualSpacing/>
    </w:pPr>
  </w:style>
  <w:style w:type="paragraph" w:styleId="List3">
    <w:name w:val="List 3"/>
    <w:basedOn w:val="Normal"/>
    <w:uiPriority w:val="99"/>
    <w:pPr>
      <w:ind w:left="1701" w:hanging="567"/>
      <w:contextualSpacing/>
    </w:pPr>
  </w:style>
  <w:style w:type="paragraph" w:styleId="List4">
    <w:name w:val="List 4"/>
    <w:basedOn w:val="Normal"/>
    <w:uiPriority w:val="99"/>
    <w:semiHidden/>
    <w:pPr>
      <w:ind w:left="2268" w:hanging="567"/>
      <w:contextualSpacing/>
    </w:pPr>
  </w:style>
  <w:style w:type="paragraph" w:styleId="List5">
    <w:name w:val="List 5"/>
    <w:basedOn w:val="Normal"/>
    <w:uiPriority w:val="99"/>
    <w:semiHidden/>
    <w:pPr>
      <w:ind w:left="2835" w:hanging="567"/>
      <w:contextualSpacing/>
    </w:pPr>
  </w:style>
  <w:style w:type="table" w:styleId="TableGrid">
    <w:name w:val="Table Grid"/>
    <w:aliases w:val="CV1,Deloitte,HTG,TabelEcorys"/>
    <w:basedOn w:val="TableNormal"/>
    <w:uiPriority w:val="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wCTableFigures">
    <w:name w:val="PwC Table Figures"/>
    <w:uiPriority w:val="99"/>
    <w:qFormat/>
    <w:pPr>
      <w:tabs>
        <w:tab w:val="decimal" w:pos="1134"/>
      </w:tabs>
      <w:spacing w:before="60" w:after="60"/>
    </w:pPr>
    <w:rPr>
      <w:rFonts w:ascii="Arial" w:hAnsi="Arial"/>
      <w:lang w:val="de-DE" w:eastAsia="de-DE"/>
    </w:rPr>
    <w:tblPr>
      <w:tblInd w:w="0" w:type="dxa"/>
      <w:tblBorders>
        <w:insideH w:val="dotted" w:sz="4" w:space="0" w:color="DC6900"/>
      </w:tblBorders>
      <w:tblCellMar>
        <w:top w:w="0" w:type="dxa"/>
        <w:left w:w="108" w:type="dxa"/>
        <w:bottom w:w="0" w:type="dxa"/>
        <w:right w:w="108" w:type="dxa"/>
      </w:tblCellMar>
    </w:tblPr>
  </w:style>
  <w:style w:type="table" w:customStyle="1" w:styleId="PwCTableText">
    <w:name w:val="PwC Table Text"/>
    <w:basedOn w:val="TableNormal"/>
    <w:uiPriority w:val="99"/>
    <w:qFormat/>
    <w:pPr>
      <w:spacing w:before="60" w:after="60"/>
    </w:pPr>
    <w:rPr>
      <w:rFonts w:eastAsia="Calibri"/>
      <w:lang w:val="en-GB" w:eastAsia="en-US"/>
    </w:rPr>
    <w:tblPr>
      <w:tblStyleRowBandSize w:val="1"/>
      <w:tblBorders>
        <w:insideH w:val="dotted" w:sz="4" w:space="0" w:color="D06F1A"/>
      </w:tblBorders>
    </w:tblPr>
    <w:tblStylePr w:type="firstRow">
      <w:rPr>
        <w:b/>
      </w:rPr>
      <w:tblPr/>
      <w:tcPr>
        <w:tcBorders>
          <w:top w:val="single" w:sz="6" w:space="0" w:color="D06F1A"/>
          <w:bottom w:val="single" w:sz="6" w:space="0" w:color="D06F1A"/>
        </w:tcBorders>
      </w:tcPr>
    </w:tblStylePr>
    <w:tblStylePr w:type="lastRow">
      <w:rPr>
        <w:b/>
      </w:rPr>
      <w:tblPr/>
      <w:tcPr>
        <w:tcBorders>
          <w:top w:val="single" w:sz="6" w:space="0" w:color="D06F1A"/>
          <w:bottom w:val="single" w:sz="6" w:space="0" w:color="D06F1A"/>
        </w:tcBorders>
      </w:tcPr>
    </w:tblStylePr>
    <w:tblStylePr w:type="band1Horz">
      <w:tblPr/>
      <w:tcPr>
        <w:tcBorders>
          <w:bottom w:val="nil"/>
        </w:tcBorders>
      </w:tcPr>
    </w:tblStylePr>
  </w:style>
  <w:style w:type="paragraph" w:customStyle="1" w:styleId="SubHeading">
    <w:name w:val="Sub Heading"/>
    <w:basedOn w:val="Heading1"/>
    <w:uiPriority w:val="99"/>
    <w:rPr>
      <w:b w:val="0"/>
      <w:i w:val="0"/>
    </w:rPr>
  </w:style>
  <w:style w:type="paragraph" w:customStyle="1" w:styleId="Heading1NoSpacing">
    <w:name w:val="Heading 1 No Spacing"/>
    <w:basedOn w:val="Heading1"/>
    <w:next w:val="Heading2"/>
    <w:link w:val="Heading1NoSpacingChar"/>
    <w:uiPriority w:val="99"/>
    <w:pPr>
      <w:spacing w:after="0"/>
    </w:pPr>
    <w:rPr>
      <w:b w:val="0"/>
      <w:bCs w:val="0"/>
      <w:i w:val="0"/>
      <w:lang w:val="en-US"/>
    </w:rPr>
  </w:style>
  <w:style w:type="character" w:customStyle="1" w:styleId="Heading1NoSpacingChar">
    <w:name w:val="Heading 1 No Spacing Char"/>
    <w:link w:val="Heading1NoSpacing"/>
    <w:uiPriority w:val="99"/>
    <w:locked/>
    <w:rPr>
      <w:rFonts w:eastAsia="SimHei"/>
      <w:sz w:val="36"/>
      <w:szCs w:val="28"/>
      <w:lang w:val="en-US" w:eastAsia="en-US"/>
    </w:rPr>
  </w:style>
  <w:style w:type="paragraph" w:styleId="TOC4">
    <w:name w:val="toc 4"/>
    <w:basedOn w:val="Normal"/>
    <w:next w:val="Normal"/>
    <w:autoRedefine/>
    <w:uiPriority w:val="39"/>
    <w:qFormat/>
    <w:pPr>
      <w:spacing w:after="120"/>
      <w:ind w:left="851" w:hanging="284"/>
    </w:pPr>
  </w:style>
  <w:style w:type="paragraph" w:styleId="TOC5">
    <w:name w:val="toc 5"/>
    <w:basedOn w:val="Normal"/>
    <w:next w:val="Normal"/>
    <w:autoRedefine/>
    <w:uiPriority w:val="39"/>
    <w:qFormat/>
    <w:pPr>
      <w:spacing w:after="120"/>
      <w:ind w:left="1135" w:hanging="284"/>
    </w:pPr>
  </w:style>
  <w:style w:type="paragraph" w:styleId="TOC6">
    <w:name w:val="toc 6"/>
    <w:basedOn w:val="Normal"/>
    <w:next w:val="Normal"/>
    <w:autoRedefine/>
    <w:uiPriority w:val="39"/>
    <w:pPr>
      <w:spacing w:after="120"/>
      <w:ind w:left="1418" w:hanging="284"/>
    </w:pPr>
  </w:style>
  <w:style w:type="paragraph" w:styleId="TOC7">
    <w:name w:val="toc 7"/>
    <w:basedOn w:val="Normal"/>
    <w:next w:val="Normal"/>
    <w:autoRedefine/>
    <w:uiPriority w:val="39"/>
    <w:pPr>
      <w:spacing w:after="120"/>
      <w:ind w:left="1702" w:hanging="284"/>
    </w:pPr>
  </w:style>
  <w:style w:type="paragraph" w:styleId="TOC8">
    <w:name w:val="toc 8"/>
    <w:basedOn w:val="Normal"/>
    <w:next w:val="Normal"/>
    <w:autoRedefine/>
    <w:uiPriority w:val="39"/>
    <w:pPr>
      <w:spacing w:after="120"/>
      <w:ind w:left="1985" w:hanging="284"/>
    </w:pPr>
  </w:style>
  <w:style w:type="paragraph" w:styleId="TOC9">
    <w:name w:val="toc 9"/>
    <w:basedOn w:val="Normal"/>
    <w:next w:val="Normal"/>
    <w:autoRedefine/>
    <w:uiPriority w:val="39"/>
    <w:pPr>
      <w:spacing w:after="120"/>
      <w:ind w:left="2269" w:hanging="284"/>
    </w:pPr>
  </w:style>
  <w:style w:type="character" w:styleId="Emphasis">
    <w:name w:val="Emphasis"/>
    <w:uiPriority w:val="99"/>
    <w:qFormat/>
    <w:rPr>
      <w:rFonts w:cs="Times New Roman"/>
      <w:i/>
      <w:iCs/>
    </w:rPr>
  </w:style>
  <w:style w:type="paragraph" w:styleId="Quote">
    <w:name w:val="Quote"/>
    <w:basedOn w:val="Normal"/>
    <w:next w:val="Normal"/>
    <w:link w:val="QuoteChar"/>
    <w:uiPriority w:val="99"/>
    <w:qFormat/>
    <w:rPr>
      <w:i/>
      <w:iCs/>
      <w:color w:val="000000"/>
    </w:rPr>
  </w:style>
  <w:style w:type="character" w:customStyle="1" w:styleId="QuoteChar">
    <w:name w:val="Quote Char"/>
    <w:link w:val="Quote"/>
    <w:uiPriority w:val="99"/>
    <w:locked/>
    <w:rPr>
      <w:rFonts w:cs="Times New Roman"/>
      <w:i/>
      <w:iCs/>
      <w:color w:val="000000"/>
    </w:rPr>
  </w:style>
  <w:style w:type="paragraph" w:styleId="BlockText">
    <w:name w:val="Block Text"/>
    <w:basedOn w:val="Normal"/>
    <w:next w:val="BodyText3"/>
    <w:pPr>
      <w:spacing w:line="240" w:lineRule="auto"/>
    </w:pPr>
    <w:rPr>
      <w:b/>
      <w:i/>
      <w:color w:val="DC6900"/>
      <w:sz w:val="48"/>
      <w:szCs w:val="48"/>
    </w:rPr>
  </w:style>
  <w:style w:type="paragraph" w:customStyle="1" w:styleId="BlockText2">
    <w:name w:val="Block Text 2"/>
    <w:basedOn w:val="Normal"/>
    <w:uiPriority w:val="99"/>
    <w:qFormat/>
    <w:pPr>
      <w:pBdr>
        <w:top w:val="single" w:sz="2" w:space="10" w:color="DC6900"/>
        <w:left w:val="single" w:sz="2" w:space="10" w:color="DC6900"/>
        <w:bottom w:val="single" w:sz="2" w:space="10" w:color="DC6900"/>
        <w:right w:val="single" w:sz="2" w:space="10" w:color="DC6900"/>
      </w:pBdr>
      <w:shd w:val="clear" w:color="auto" w:fill="DC6900"/>
      <w:spacing w:line="240" w:lineRule="auto"/>
      <w:ind w:left="227" w:right="227"/>
    </w:pPr>
    <w:rPr>
      <w:i/>
      <w:color w:val="FFFFFF"/>
      <w:sz w:val="48"/>
      <w:szCs w:val="48"/>
    </w:rPr>
  </w:style>
  <w:style w:type="paragraph" w:customStyle="1" w:styleId="BlockText3">
    <w:name w:val="Block Text 3"/>
    <w:basedOn w:val="BlockText"/>
    <w:uiPriority w:val="99"/>
    <w:pPr>
      <w:pBdr>
        <w:top w:val="single" w:sz="8" w:space="10" w:color="F2F2F2"/>
        <w:left w:val="single" w:sz="8" w:space="10" w:color="F2F2F2"/>
        <w:bottom w:val="single" w:sz="8" w:space="10" w:color="F2F2F2"/>
        <w:right w:val="single" w:sz="8" w:space="10" w:color="F2F2F2"/>
      </w:pBdr>
      <w:shd w:val="clear" w:color="auto" w:fill="F2F2F2"/>
      <w:ind w:left="227" w:right="227"/>
    </w:pPr>
    <w:rPr>
      <w:rFonts w:eastAsia="SimSun"/>
      <w:iCs/>
      <w:sz w:val="96"/>
      <w:szCs w:val="20"/>
    </w:rPr>
  </w:style>
  <w:style w:type="paragraph" w:styleId="BodyText3">
    <w:name w:val="Body Text 3"/>
    <w:aliases w:val="bibliografia"/>
    <w:basedOn w:val="Normal"/>
    <w:link w:val="BodyText3Char"/>
    <w:pPr>
      <w:spacing w:after="120"/>
    </w:pPr>
    <w:rPr>
      <w:sz w:val="16"/>
      <w:szCs w:val="16"/>
    </w:rPr>
  </w:style>
  <w:style w:type="character" w:customStyle="1" w:styleId="BodyText3Char">
    <w:name w:val="Body Text 3 Char"/>
    <w:aliases w:val="bibliografia Char"/>
    <w:link w:val="BodyText3"/>
    <w:uiPriority w:val="99"/>
    <w:semiHidden/>
    <w:locked/>
    <w:rPr>
      <w:rFonts w:cs="Times New Roman"/>
      <w:sz w:val="16"/>
      <w:szCs w:val="16"/>
    </w:rPr>
  </w:style>
  <w:style w:type="paragraph" w:customStyle="1" w:styleId="Callout1">
    <w:name w:val="Callout 1"/>
    <w:uiPriority w:val="99"/>
    <w:pPr>
      <w:framePr w:hSpace="187" w:wrap="around" w:vAnchor="page" w:hAnchor="page" w:x="721" w:y="6913"/>
      <w:spacing w:after="180" w:line="280" w:lineRule="atLeast"/>
      <w:suppressOverlap/>
    </w:pPr>
    <w:rPr>
      <w:rFonts w:eastAsia="Times New Roman" w:cs="Arial"/>
      <w:i/>
      <w:sz w:val="19"/>
      <w:szCs w:val="36"/>
      <w:lang w:val="es-ES" w:eastAsia="en-US"/>
    </w:rPr>
  </w:style>
  <w:style w:type="table" w:styleId="MediumList2-Accent6">
    <w:name w:val="Medium List 2 Accent 6"/>
    <w:basedOn w:val="TableNormal"/>
    <w:uiPriority w:val="66"/>
    <w:rPr>
      <w:rFonts w:eastAsia="SimHei"/>
      <w:color w:val="000000"/>
    </w:rPr>
    <w:tblPr>
      <w:tblStyleRowBandSize w:val="1"/>
      <w:tblStyleColBandSize w:val="1"/>
      <w:tblBorders>
        <w:top w:val="single" w:sz="8" w:space="0" w:color="E0301E"/>
        <w:left w:val="single" w:sz="8" w:space="0" w:color="E0301E"/>
        <w:bottom w:val="single" w:sz="8" w:space="0" w:color="E0301E"/>
        <w:right w:val="single" w:sz="8" w:space="0" w:color="E0301E"/>
      </w:tblBorders>
    </w:tblPr>
    <w:tblStylePr w:type="firstRow">
      <w:rPr>
        <w:rFonts w:cs="Times New Roman"/>
        <w:sz w:val="24"/>
        <w:szCs w:val="24"/>
      </w:rPr>
      <w:tblPr/>
      <w:tcPr>
        <w:tcBorders>
          <w:top w:val="nil"/>
          <w:left w:val="nil"/>
          <w:bottom w:val="single" w:sz="24" w:space="0" w:color="E0301E"/>
          <w:right w:val="nil"/>
          <w:insideH w:val="nil"/>
          <w:insideV w:val="nil"/>
        </w:tcBorders>
        <w:shd w:val="clear" w:color="auto" w:fill="FFFFFF"/>
      </w:tcPr>
    </w:tblStylePr>
    <w:tblStylePr w:type="lastRow">
      <w:rPr>
        <w:rFonts w:cs="Times New Roman"/>
      </w:rPr>
      <w:tblPr/>
      <w:tcPr>
        <w:tcBorders>
          <w:top w:val="single" w:sz="8" w:space="0" w:color="E0301E"/>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E0301E"/>
          <w:insideH w:val="nil"/>
          <w:insideV w:val="nil"/>
        </w:tcBorders>
        <w:shd w:val="clear" w:color="auto" w:fill="FFFFFF"/>
      </w:tcPr>
    </w:tblStylePr>
    <w:tblStylePr w:type="lastCol">
      <w:rPr>
        <w:rFonts w:cs="Times New Roman"/>
      </w:rPr>
      <w:tblPr/>
      <w:tcPr>
        <w:tcBorders>
          <w:top w:val="nil"/>
          <w:left w:val="single" w:sz="8" w:space="0" w:color="E0301E"/>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7CBC7"/>
      </w:tcPr>
    </w:tblStylePr>
    <w:tblStylePr w:type="band1Horz">
      <w:rPr>
        <w:rFonts w:cs="Times New Roman"/>
      </w:rPr>
      <w:tblPr/>
      <w:tcPr>
        <w:tcBorders>
          <w:top w:val="nil"/>
          <w:bottom w:val="nil"/>
          <w:insideH w:val="nil"/>
          <w:insideV w:val="nil"/>
        </w:tcBorders>
        <w:shd w:val="clear" w:color="auto" w:fill="F7CBC7"/>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LightList-Accent2">
    <w:name w:val="Light List Accent 2"/>
    <w:basedOn w:val="TableNormal"/>
    <w:uiPriority w:val="99"/>
    <w:tblPr>
      <w:tblStyleRowBandSize w:val="1"/>
      <w:tblStyleColBandSize w:val="1"/>
      <w:tblBorders>
        <w:top w:val="single" w:sz="8" w:space="0" w:color="FFB600"/>
        <w:left w:val="single" w:sz="8" w:space="0" w:color="FFB600"/>
        <w:bottom w:val="single" w:sz="8" w:space="0" w:color="FFB600"/>
        <w:right w:val="single" w:sz="8" w:space="0" w:color="FFB600"/>
      </w:tblBorders>
    </w:tblPr>
    <w:tblStylePr w:type="firstRow">
      <w:pPr>
        <w:spacing w:before="0" w:after="0"/>
      </w:pPr>
      <w:rPr>
        <w:rFonts w:cs="Times New Roman"/>
        <w:b/>
        <w:bCs/>
        <w:color w:val="FFFFFF"/>
      </w:rPr>
      <w:tblPr/>
      <w:tcPr>
        <w:shd w:val="clear" w:color="auto" w:fill="FFB600"/>
      </w:tcPr>
    </w:tblStylePr>
    <w:tblStylePr w:type="lastRow">
      <w:pPr>
        <w:spacing w:before="0" w:after="0"/>
      </w:pPr>
      <w:rPr>
        <w:rFonts w:cs="Times New Roman"/>
        <w:b/>
        <w:bCs/>
      </w:rPr>
      <w:tblPr/>
      <w:tcPr>
        <w:tcBorders>
          <w:top w:val="double" w:sz="6" w:space="0" w:color="FFB600"/>
          <w:left w:val="single" w:sz="8" w:space="0" w:color="FFB600"/>
          <w:bottom w:val="single" w:sz="8" w:space="0" w:color="FFB600"/>
          <w:right w:val="single" w:sz="8" w:space="0" w:color="FFB6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FB600"/>
          <w:left w:val="single" w:sz="8" w:space="0" w:color="FFB600"/>
          <w:bottom w:val="single" w:sz="8" w:space="0" w:color="FFB600"/>
          <w:right w:val="single" w:sz="8" w:space="0" w:color="FFB600"/>
        </w:tcBorders>
      </w:tcPr>
    </w:tblStylePr>
    <w:tblStylePr w:type="band1Horz">
      <w:rPr>
        <w:rFonts w:cs="Times New Roman"/>
      </w:rPr>
      <w:tblPr/>
      <w:tcPr>
        <w:tcBorders>
          <w:top w:val="single" w:sz="8" w:space="0" w:color="FFB600"/>
          <w:left w:val="single" w:sz="8" w:space="0" w:color="FFB600"/>
          <w:bottom w:val="single" w:sz="8" w:space="0" w:color="FFB600"/>
          <w:right w:val="single" w:sz="8" w:space="0" w:color="FFB600"/>
        </w:tcBorders>
      </w:tcPr>
    </w:tblStylePr>
  </w:style>
  <w:style w:type="table" w:styleId="MediumShading1-Accent2">
    <w:name w:val="Medium Shading 1 Accent 2"/>
    <w:basedOn w:val="TableNormal"/>
    <w:uiPriority w:val="99"/>
    <w:tblPr>
      <w:tblStyleRowBandSize w:val="1"/>
      <w:tblStyleColBandSize w:val="1"/>
      <w:tblBorders>
        <w:top w:val="single" w:sz="8" w:space="0" w:color="FFC840"/>
        <w:left w:val="single" w:sz="8" w:space="0" w:color="FFC840"/>
        <w:bottom w:val="single" w:sz="8" w:space="0" w:color="FFC840"/>
        <w:right w:val="single" w:sz="8" w:space="0" w:color="FFC840"/>
        <w:insideH w:val="single" w:sz="8" w:space="0" w:color="FFC840"/>
      </w:tblBorders>
    </w:tblPr>
    <w:tblStylePr w:type="firstRow">
      <w:pPr>
        <w:spacing w:before="0" w:after="0"/>
      </w:pPr>
      <w:rPr>
        <w:rFonts w:cs="Times New Roman"/>
        <w:b/>
        <w:bCs/>
        <w:color w:val="FFFFFF"/>
      </w:rPr>
      <w:tblPr/>
      <w:tcPr>
        <w:tcBorders>
          <w:top w:val="single" w:sz="8" w:space="0" w:color="FFC840"/>
          <w:left w:val="single" w:sz="8" w:space="0" w:color="FFC840"/>
          <w:bottom w:val="single" w:sz="8" w:space="0" w:color="FFC840"/>
          <w:right w:val="single" w:sz="8" w:space="0" w:color="FFC840"/>
          <w:insideH w:val="nil"/>
          <w:insideV w:val="nil"/>
        </w:tcBorders>
        <w:shd w:val="clear" w:color="auto" w:fill="FFB600"/>
      </w:tcPr>
    </w:tblStylePr>
    <w:tblStylePr w:type="lastRow">
      <w:pPr>
        <w:spacing w:before="0" w:after="0"/>
      </w:pPr>
      <w:rPr>
        <w:rFonts w:cs="Times New Roman"/>
        <w:b/>
        <w:bCs/>
      </w:rPr>
      <w:tblPr/>
      <w:tcPr>
        <w:tcBorders>
          <w:top w:val="double" w:sz="6" w:space="0" w:color="FFC840"/>
          <w:left w:val="single" w:sz="8" w:space="0" w:color="FFC840"/>
          <w:bottom w:val="single" w:sz="8" w:space="0" w:color="FFC840"/>
          <w:right w:val="single" w:sz="8" w:space="0" w:color="FFC8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ECC0"/>
      </w:tcPr>
    </w:tblStylePr>
    <w:tblStylePr w:type="band1Horz">
      <w:rPr>
        <w:rFonts w:cs="Times New Roman"/>
      </w:rPr>
      <w:tblPr/>
      <w:tcPr>
        <w:tcBorders>
          <w:insideH w:val="nil"/>
          <w:insideV w:val="nil"/>
        </w:tcBorders>
        <w:shd w:val="clear" w:color="auto" w:fill="FFECC0"/>
      </w:tcPr>
    </w:tblStylePr>
    <w:tblStylePr w:type="band2Horz">
      <w:rPr>
        <w:rFonts w:cs="Times New Roman"/>
      </w:rPr>
      <w:tblPr/>
      <w:tcPr>
        <w:tcBorders>
          <w:insideH w:val="nil"/>
          <w:insideV w:val="nil"/>
        </w:tcBorders>
      </w:tcPr>
    </w:tblStylePr>
  </w:style>
  <w:style w:type="paragraph" w:styleId="Caption">
    <w:name w:val="caption"/>
    <w:aliases w:val="Caption Char Char Char Char Char Char Char Char Char Char Char Char Char Char Char Char Char Char,Beschriftung Char2 Char,Beschriftung Char1 Cha...,Beschriftung Char2,Beschriftung Char1 Char1,Beschriftung Char Char Char1,Figure,Caption (ALL)"/>
    <w:basedOn w:val="Normal"/>
    <w:next w:val="Normal"/>
    <w:link w:val="CaptionChar"/>
    <w:uiPriority w:val="35"/>
    <w:qFormat/>
    <w:pPr>
      <w:keepNext/>
      <w:tabs>
        <w:tab w:val="left" w:pos="8908"/>
      </w:tabs>
      <w:spacing w:after="120" w:line="240" w:lineRule="auto"/>
      <w:ind w:right="-23"/>
    </w:pPr>
    <w:rPr>
      <w:rFonts w:eastAsia="Times New Roman"/>
      <w:b/>
      <w:i/>
      <w:color w:val="D06F1A"/>
    </w:rPr>
  </w:style>
  <w:style w:type="paragraph" w:styleId="EnvelopeReturn">
    <w:name w:val="envelope return"/>
    <w:basedOn w:val="Normal"/>
    <w:pPr>
      <w:spacing w:after="0" w:line="240" w:lineRule="auto"/>
    </w:pPr>
    <w:rPr>
      <w:rFonts w:ascii="Arial" w:eastAsia="Times New Roman" w:hAnsi="Arial"/>
      <w:lang w:val="nl-NL"/>
    </w:rPr>
  </w:style>
  <w:style w:type="character" w:customStyle="1" w:styleId="xmlref">
    <w:name w:val="xmlref"/>
    <w:uiPriority w:val="99"/>
    <w:rPr>
      <w:rFonts w:ascii="Arial" w:hAnsi="Arial" w:cs="Times New Roman"/>
      <w:vanish/>
      <w:color w:val="008000"/>
      <w:sz w:val="16"/>
      <w:lang w:val="en-GB"/>
    </w:rPr>
  </w:style>
  <w:style w:type="paragraph" w:customStyle="1" w:styleId="Text">
    <w:name w:val="Text"/>
    <w:basedOn w:val="Normal"/>
    <w:link w:val="TextChar"/>
    <w:uiPriority w:val="99"/>
    <w:pPr>
      <w:keepLines/>
      <w:tabs>
        <w:tab w:val="left" w:pos="1440"/>
        <w:tab w:val="left" w:pos="2304"/>
      </w:tabs>
      <w:spacing w:before="120" w:after="120" w:line="240" w:lineRule="auto"/>
      <w:jc w:val="both"/>
    </w:pPr>
    <w:rPr>
      <w:rFonts w:ascii="Times New Roman" w:hAnsi="Times New Roman"/>
      <w:kern w:val="28"/>
      <w:sz w:val="24"/>
    </w:rPr>
  </w:style>
  <w:style w:type="character" w:customStyle="1" w:styleId="TextChar">
    <w:name w:val="Text Char"/>
    <w:link w:val="Text"/>
    <w:uiPriority w:val="99"/>
    <w:locked/>
    <w:rPr>
      <w:rFonts w:ascii="Times New Roman" w:hAnsi="Times New Roman" w:cs="Times New Roman"/>
      <w:kern w:val="28"/>
      <w:sz w:val="24"/>
    </w:rPr>
  </w:style>
  <w:style w:type="paragraph" w:customStyle="1" w:styleId="BodyText1">
    <w:name w:val="Body Text1"/>
    <w:basedOn w:val="Normal"/>
    <w:link w:val="BodytextChar0"/>
    <w:uiPriority w:val="99"/>
    <w:pPr>
      <w:spacing w:before="120" w:after="0" w:line="240" w:lineRule="auto"/>
      <w:ind w:left="360"/>
      <w:jc w:val="both"/>
    </w:pPr>
    <w:rPr>
      <w:rFonts w:ascii="Times New Roman" w:hAnsi="Times New Roman"/>
      <w:sz w:val="24"/>
      <w:szCs w:val="24"/>
    </w:rPr>
  </w:style>
  <w:style w:type="character" w:customStyle="1" w:styleId="BodytextChar0">
    <w:name w:val="Body text Char"/>
    <w:link w:val="BodyText1"/>
    <w:uiPriority w:val="99"/>
    <w:locked/>
    <w:rPr>
      <w:rFonts w:ascii="Times New Roman" w:hAnsi="Times New Roman" w:cs="Times New Roman"/>
      <w:sz w:val="24"/>
      <w:szCs w:val="24"/>
    </w:rPr>
  </w:style>
  <w:style w:type="paragraph" w:customStyle="1" w:styleId="NormalReference">
    <w:name w:val="Normal Reference"/>
    <w:basedOn w:val="Normal"/>
    <w:uiPriority w:val="99"/>
    <w:pPr>
      <w:spacing w:after="120" w:line="240" w:lineRule="auto"/>
      <w:jc w:val="both"/>
    </w:pPr>
    <w:rPr>
      <w:rFonts w:ascii="Arial" w:eastAsia="Times New Roman" w:hAnsi="Arial" w:cs="Arial"/>
    </w:rPr>
  </w:style>
  <w:style w:type="paragraph" w:styleId="FootnoteText">
    <w:name w:val="footnote text"/>
    <w:aliases w:val="fn,Footnotes,Footnote ak,fn Char,footnote text Char,Footnotes Char,Footnote ak Char,ft,fn cafc,Footnotes Char Char,Footnote Text Char Char,fn Char Char,footnote text Char Char Char Ch,fn1,footnote text1,ft1,o,stile 1,Footnote1,Footnote2"/>
    <w:basedOn w:val="Normal"/>
    <w:link w:val="FootnoteTextChar"/>
    <w:uiPriority w:val="99"/>
    <w:qFormat/>
    <w:pPr>
      <w:tabs>
        <w:tab w:val="left" w:pos="720"/>
        <w:tab w:val="left" w:pos="1440"/>
        <w:tab w:val="left" w:pos="2304"/>
      </w:tabs>
      <w:spacing w:after="288" w:line="240" w:lineRule="auto"/>
      <w:jc w:val="both"/>
    </w:pPr>
    <w:rPr>
      <w:rFonts w:ascii="Times New Roman" w:hAnsi="Times New Roman"/>
    </w:rPr>
  </w:style>
  <w:style w:type="character" w:customStyle="1" w:styleId="FootnoteTextChar">
    <w:name w:val="Footnote Text Char"/>
    <w:aliases w:val="fn Char1,Footnotes Char1,Footnote ak Char1,fn Char Char1,footnote text Char Char,Footnotes Char Char1,Footnote ak Char Char,ft Char,fn cafc Char,Footnotes Char Char Char,Footnote Text Char Char Char,fn Char Char Char,fn1 Char,ft1 Char"/>
    <w:link w:val="FootnoteText"/>
    <w:uiPriority w:val="99"/>
    <w:qFormat/>
    <w:locked/>
    <w:rPr>
      <w:rFonts w:ascii="Times New Roman" w:hAnsi="Times New Roman" w:cs="Times New Roman"/>
    </w:rPr>
  </w:style>
  <w:style w:type="character" w:styleId="PageNumber">
    <w:name w:val="page number"/>
    <w:rPr>
      <w:rFonts w:cs="Times New Roman"/>
    </w:rPr>
  </w:style>
  <w:style w:type="character" w:styleId="CommentReference">
    <w:name w:val="annotation reference"/>
    <w:uiPriority w:val="99"/>
    <w:rPr>
      <w:rFonts w:cs="Times New Roman"/>
      <w:sz w:val="16"/>
      <w:szCs w:val="16"/>
    </w:rPr>
  </w:style>
  <w:style w:type="paragraph" w:styleId="CommentText">
    <w:name w:val="annotation text"/>
    <w:basedOn w:val="Normal"/>
    <w:link w:val="CommentTextChar"/>
    <w:pPr>
      <w:spacing w:after="0" w:line="240" w:lineRule="auto"/>
    </w:pPr>
    <w:rPr>
      <w:rFonts w:ascii="Arial" w:hAnsi="Arial"/>
      <w:lang w:val="nl-NL"/>
    </w:rPr>
  </w:style>
  <w:style w:type="character" w:customStyle="1" w:styleId="CommentTextChar">
    <w:name w:val="Comment Text Char"/>
    <w:link w:val="CommentText"/>
    <w:uiPriority w:val="99"/>
    <w:locked/>
    <w:rPr>
      <w:rFonts w:ascii="Arial" w:hAnsi="Arial" w:cs="Times New Roman"/>
      <w:lang w:val="nl-NL"/>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locked/>
    <w:rPr>
      <w:rFonts w:ascii="Arial" w:hAnsi="Arial" w:cs="Times New Roman"/>
      <w:b/>
      <w:bCs/>
      <w:lang w:val="nl-NL"/>
    </w:rPr>
  </w:style>
  <w:style w:type="paragraph" w:styleId="ListParagraph">
    <w:name w:val="List Paragraph"/>
    <w:aliases w:val="List Paragraph1,1st level - Bullet List Paragraph,Lettre d'introduction,Table of contents numbered,Medium Grid 1 - Accent 21,List Paragraph21,Lentele,List Paragraph2,ERP-List Paragraph,List Paragraph11,Bullets1,Fiche List Paragraph,List1"/>
    <w:basedOn w:val="Normal"/>
    <w:link w:val="ListParagraphChar"/>
    <w:uiPriority w:val="34"/>
    <w:qFormat/>
    <w:pPr>
      <w:spacing w:before="120" w:line="240" w:lineRule="auto"/>
      <w:ind w:left="720"/>
      <w:contextualSpacing/>
    </w:pPr>
    <w:rPr>
      <w:rFonts w:eastAsia="Times New Roman"/>
      <w:lang w:val="nl-NL"/>
    </w:rPr>
  </w:style>
  <w:style w:type="character" w:styleId="FootnoteReference">
    <w:name w:val="footnote reference"/>
    <w:aliases w:val="Ref,de nota al pie,Ref1,de nota al pie1,Ref2,de nota al pie2,Ref11,de nota al pie11,Source Reference,SUPERS,number,Footnote reference number,Footnote symbol,note TESI,-E Fußnotenzeichen,Footnote,Times 10 Point,no...,f,BVI fnr,callout"/>
    <w:link w:val="SUPERSCharCharCharCharCharCharCharChar"/>
    <w:uiPriority w:val="99"/>
    <w:qFormat/>
    <w:rPr>
      <w:rFonts w:cs="Times New Roman"/>
      <w:vertAlign w:val="superscript"/>
    </w:rPr>
  </w:style>
  <w:style w:type="paragraph" w:styleId="Revision">
    <w:name w:val="Revision"/>
    <w:hidden/>
    <w:uiPriority w:val="99"/>
    <w:semiHidden/>
    <w:rPr>
      <w:lang w:val="en-GB" w:eastAsia="en-US"/>
    </w:rPr>
  </w:style>
  <w:style w:type="table" w:customStyle="1" w:styleId="LightShading-Accent11">
    <w:name w:val="Light Shading - Accent 11"/>
    <w:uiPriority w:val="99"/>
    <w:rPr>
      <w:color w:val="A44E00"/>
      <w:lang w:val="de-DE" w:eastAsia="de-DE"/>
    </w:rPr>
    <w:tblPr>
      <w:tblStyleRowBandSize w:val="1"/>
      <w:tblStyleColBandSize w:val="1"/>
      <w:tblInd w:w="0" w:type="dxa"/>
      <w:tblBorders>
        <w:top w:val="single" w:sz="8" w:space="0" w:color="DC6900"/>
        <w:bottom w:val="single" w:sz="8" w:space="0" w:color="DC6900"/>
      </w:tblBorders>
      <w:tblCellMar>
        <w:top w:w="0" w:type="dxa"/>
        <w:left w:w="108" w:type="dxa"/>
        <w:bottom w:w="0" w:type="dxa"/>
        <w:right w:w="108" w:type="dxa"/>
      </w:tblCellMar>
    </w:tblPr>
  </w:style>
  <w:style w:type="table" w:styleId="ColorfulGrid-Accent1">
    <w:name w:val="Colorful Grid Accent 1"/>
    <w:basedOn w:val="TableNormal"/>
    <w:uiPriority w:val="99"/>
    <w:rPr>
      <w:color w:val="000000"/>
    </w:rPr>
    <w:tblPr>
      <w:tblStyleRowBandSize w:val="1"/>
      <w:tblStyleColBandSize w:val="1"/>
      <w:tblBorders>
        <w:insideH w:val="single" w:sz="4" w:space="0" w:color="FFFFFF"/>
      </w:tblBorders>
    </w:tblPr>
    <w:tcPr>
      <w:shd w:val="clear" w:color="auto" w:fill="FFE0C5"/>
    </w:tcPr>
    <w:tblStylePr w:type="firstRow">
      <w:rPr>
        <w:rFonts w:cs="Times New Roman"/>
        <w:b/>
        <w:bCs/>
      </w:rPr>
      <w:tblPr/>
      <w:tcPr>
        <w:shd w:val="clear" w:color="auto" w:fill="FFC28B"/>
      </w:tcPr>
    </w:tblStylePr>
    <w:tblStylePr w:type="lastRow">
      <w:rPr>
        <w:rFonts w:cs="Times New Roman"/>
        <w:b/>
        <w:bCs/>
        <w:color w:val="000000"/>
      </w:rPr>
      <w:tblPr/>
      <w:tcPr>
        <w:shd w:val="clear" w:color="auto" w:fill="FFC28B"/>
      </w:tcPr>
    </w:tblStylePr>
    <w:tblStylePr w:type="firstCol">
      <w:rPr>
        <w:rFonts w:cs="Times New Roman"/>
        <w:color w:val="FFFFFF"/>
      </w:rPr>
      <w:tblPr/>
      <w:tcPr>
        <w:shd w:val="clear" w:color="auto" w:fill="A44E00"/>
      </w:tcPr>
    </w:tblStylePr>
    <w:tblStylePr w:type="lastCol">
      <w:rPr>
        <w:rFonts w:cs="Times New Roman"/>
        <w:color w:val="FFFFFF"/>
      </w:rPr>
      <w:tblPr/>
      <w:tcPr>
        <w:shd w:val="clear" w:color="auto" w:fill="A44E00"/>
      </w:tcPr>
    </w:tblStylePr>
    <w:tblStylePr w:type="band1Vert">
      <w:rPr>
        <w:rFonts w:cs="Times New Roman"/>
      </w:rPr>
      <w:tblPr/>
      <w:tcPr>
        <w:shd w:val="clear" w:color="auto" w:fill="FFB26E"/>
      </w:tcPr>
    </w:tblStylePr>
    <w:tblStylePr w:type="band1Horz">
      <w:rPr>
        <w:rFonts w:cs="Times New Roman"/>
      </w:rPr>
      <w:tblPr/>
      <w:tcPr>
        <w:shd w:val="clear" w:color="auto" w:fill="FFB26E"/>
      </w:tcPr>
    </w:tblStylePr>
  </w:style>
  <w:style w:type="paragraph" w:customStyle="1" w:styleId="bodytekst">
    <w:name w:val="bodytekst"/>
    <w:basedOn w:val="Normal"/>
    <w:link w:val="bodytekstChar"/>
    <w:uiPriority w:val="99"/>
    <w:pPr>
      <w:spacing w:line="240" w:lineRule="auto"/>
    </w:pPr>
    <w:rPr>
      <w:rFonts w:ascii="Arial" w:hAnsi="Arial"/>
      <w:lang w:eastAsia="en-GB"/>
    </w:rPr>
  </w:style>
  <w:style w:type="paragraph" w:customStyle="1" w:styleId="opsommingnr">
    <w:name w:val="opsomming_nr"/>
    <w:basedOn w:val="Normal"/>
    <w:uiPriority w:val="99"/>
    <w:pPr>
      <w:numPr>
        <w:numId w:val="4"/>
      </w:numPr>
      <w:spacing w:after="0" w:line="240" w:lineRule="auto"/>
    </w:pPr>
    <w:rPr>
      <w:rFonts w:ascii="Arial" w:eastAsia="Times New Roman" w:hAnsi="Arial"/>
      <w:lang w:val="nl-NL"/>
    </w:rPr>
  </w:style>
  <w:style w:type="character" w:customStyle="1" w:styleId="bodytekstChar">
    <w:name w:val="bodytekst Char"/>
    <w:link w:val="bodytekst"/>
    <w:uiPriority w:val="99"/>
    <w:locked/>
    <w:rPr>
      <w:rFonts w:ascii="Arial" w:hAnsi="Arial" w:cs="Times New Roman"/>
      <w:lang w:eastAsia="en-GB"/>
    </w:rPr>
  </w:style>
  <w:style w:type="table" w:customStyle="1" w:styleId="LightList-Accent11">
    <w:name w:val="Light List - Accent 11"/>
    <w:uiPriority w:val="61"/>
    <w:rPr>
      <w:lang w:val="de-DE" w:eastAsia="de-DE"/>
    </w:rPr>
    <w:tblPr>
      <w:tblStyleRowBandSize w:val="1"/>
      <w:tblStyleColBandSize w:val="1"/>
      <w:tblInd w:w="0" w:type="dxa"/>
      <w:tblBorders>
        <w:top w:val="single" w:sz="8" w:space="0" w:color="DC6900"/>
        <w:left w:val="single" w:sz="8" w:space="0" w:color="DC6900"/>
        <w:bottom w:val="single" w:sz="8" w:space="0" w:color="DC6900"/>
        <w:right w:val="single" w:sz="8" w:space="0" w:color="DC6900"/>
      </w:tblBorders>
      <w:tblCellMar>
        <w:top w:w="0" w:type="dxa"/>
        <w:left w:w="108" w:type="dxa"/>
        <w:bottom w:w="0" w:type="dxa"/>
        <w:right w:w="108" w:type="dxa"/>
      </w:tblCellMar>
    </w:tblPr>
  </w:style>
  <w:style w:type="table" w:customStyle="1" w:styleId="MediumShading1-Accent11">
    <w:name w:val="Medium Shading 1 - Accent 11"/>
    <w:uiPriority w:val="99"/>
    <w:rPr>
      <w:lang w:val="de-DE" w:eastAsia="de-DE"/>
    </w:rPr>
    <w:tblPr>
      <w:tblStyleRowBandSize w:val="1"/>
      <w:tblStyleColBandSize w:val="1"/>
      <w:tblInd w:w="0" w:type="dxa"/>
      <w:tblBorders>
        <w:top w:val="single" w:sz="8" w:space="0" w:color="FF8C25"/>
        <w:left w:val="single" w:sz="8" w:space="0" w:color="FF8C25"/>
        <w:bottom w:val="single" w:sz="8" w:space="0" w:color="FF8C25"/>
        <w:right w:val="single" w:sz="8" w:space="0" w:color="FF8C25"/>
        <w:insideH w:val="single" w:sz="8" w:space="0" w:color="FF8C25"/>
      </w:tblBorders>
      <w:tblCellMar>
        <w:top w:w="0" w:type="dxa"/>
        <w:left w:w="108" w:type="dxa"/>
        <w:bottom w:w="0" w:type="dxa"/>
        <w:right w:w="108" w:type="dxa"/>
      </w:tblCellMar>
    </w:tblPr>
  </w:style>
  <w:style w:type="character" w:styleId="IntenseEmphasis">
    <w:name w:val="Intense Emphasis"/>
    <w:uiPriority w:val="99"/>
    <w:qFormat/>
    <w:rPr>
      <w:rFonts w:ascii="Georgia" w:hAnsi="Georgia" w:cs="Times New Roman"/>
      <w:b/>
      <w:bCs/>
      <w:i/>
      <w:iCs/>
      <w:color w:val="DC6900"/>
      <w:sz w:val="24"/>
    </w:rPr>
  </w:style>
  <w:style w:type="table" w:customStyle="1" w:styleId="LightGrid-Accent11">
    <w:name w:val="Light Grid - Accent 11"/>
    <w:uiPriority w:val="99"/>
    <w:rPr>
      <w:lang w:val="de-DE" w:eastAsia="de-DE"/>
    </w:rPr>
    <w:tblPr>
      <w:tblStyleRowBandSize w:val="1"/>
      <w:tblStyleColBandSize w:val="1"/>
      <w:tblInd w:w="0" w:type="dxa"/>
      <w:tblBorders>
        <w:top w:val="single" w:sz="8" w:space="0" w:color="DC6900"/>
        <w:left w:val="single" w:sz="8" w:space="0" w:color="DC6900"/>
        <w:bottom w:val="single" w:sz="8" w:space="0" w:color="DC6900"/>
        <w:right w:val="single" w:sz="8" w:space="0" w:color="DC6900"/>
        <w:insideH w:val="single" w:sz="8" w:space="0" w:color="DC6900"/>
        <w:insideV w:val="single" w:sz="8" w:space="0" w:color="DC6900"/>
      </w:tblBorders>
      <w:tblCellMar>
        <w:top w:w="0" w:type="dxa"/>
        <w:left w:w="108" w:type="dxa"/>
        <w:bottom w:w="0" w:type="dxa"/>
        <w:right w:w="108" w:type="dxa"/>
      </w:tblCellMar>
    </w:tblPr>
  </w:style>
  <w:style w:type="paragraph" w:customStyle="1" w:styleId="BodyText10">
    <w:name w:val="Body Text 1"/>
    <w:basedOn w:val="Normal"/>
    <w:link w:val="BodyText1Zchn"/>
    <w:uiPriority w:val="99"/>
    <w:pPr>
      <w:spacing w:after="120"/>
      <w:jc w:val="both"/>
    </w:pPr>
    <w:rPr>
      <w:rFonts w:ascii="Arial" w:hAnsi="Arial"/>
      <w:sz w:val="21"/>
    </w:rPr>
  </w:style>
  <w:style w:type="character" w:customStyle="1" w:styleId="BodyText1Zchn">
    <w:name w:val="Body Text 1 Zchn"/>
    <w:link w:val="BodyText10"/>
    <w:uiPriority w:val="99"/>
    <w:locked/>
    <w:rPr>
      <w:rFonts w:ascii="Arial" w:hAnsi="Arial" w:cs="Times New Roman"/>
      <w:sz w:val="21"/>
      <w:lang w:val="en-GB" w:eastAsia="en-US" w:bidi="ar-SA"/>
    </w:rPr>
  </w:style>
  <w:style w:type="numbering" w:customStyle="1" w:styleId="PwCListNumbers1">
    <w:name w:val="PwC List Numbers 1"/>
    <w:uiPriority w:val="99"/>
    <w:pPr>
      <w:numPr>
        <w:numId w:val="2"/>
      </w:numPr>
    </w:pPr>
  </w:style>
  <w:style w:type="numbering" w:customStyle="1" w:styleId="StyleBulletedSymbolsymbolLeft063cmHanging063cm">
    <w:name w:val="Style Bulleted Symbol (symbol) Left:  063 cm Hanging:  063 cm"/>
    <w:pPr>
      <w:numPr>
        <w:numId w:val="5"/>
      </w:numPr>
    </w:pPr>
  </w:style>
  <w:style w:type="numbering" w:customStyle="1" w:styleId="PwCListBullets1">
    <w:name w:val="PwC List Bullets 1"/>
    <w:pPr>
      <w:numPr>
        <w:numId w:val="1"/>
      </w:numPr>
    </w:pPr>
  </w:style>
  <w:style w:type="table" w:styleId="LightList-Accent6">
    <w:name w:val="Light List Accent 6"/>
    <w:basedOn w:val="TableNormal"/>
    <w:uiPriority w:val="61"/>
    <w:tblPr>
      <w:tblStyleRowBandSize w:val="1"/>
      <w:tblStyleColBandSize w:val="1"/>
      <w:tblBorders>
        <w:top w:val="single" w:sz="8" w:space="0" w:color="D06F1A"/>
        <w:left w:val="single" w:sz="8" w:space="0" w:color="D06F1A"/>
        <w:bottom w:val="single" w:sz="8" w:space="0" w:color="D06F1A"/>
        <w:right w:val="single" w:sz="8" w:space="0" w:color="D06F1A"/>
      </w:tblBorders>
    </w:tblPr>
    <w:tblStylePr w:type="firstRow">
      <w:pPr>
        <w:spacing w:before="0" w:after="0" w:line="240" w:lineRule="auto"/>
      </w:pPr>
      <w:rPr>
        <w:b/>
        <w:bCs/>
        <w:color w:val="FFFFFF"/>
      </w:rPr>
      <w:tblPr/>
      <w:tcPr>
        <w:shd w:val="clear" w:color="auto" w:fill="D06F1A"/>
      </w:tcPr>
    </w:tblStylePr>
    <w:tblStylePr w:type="lastRow">
      <w:pPr>
        <w:spacing w:before="0" w:after="0" w:line="240" w:lineRule="auto"/>
      </w:pPr>
      <w:rPr>
        <w:b/>
        <w:bCs/>
      </w:rPr>
      <w:tblPr/>
      <w:tcPr>
        <w:tcBorders>
          <w:top w:val="double" w:sz="6" w:space="0" w:color="D06F1A"/>
          <w:left w:val="single" w:sz="8" w:space="0" w:color="D06F1A"/>
          <w:bottom w:val="single" w:sz="8" w:space="0" w:color="D06F1A"/>
          <w:right w:val="single" w:sz="8" w:space="0" w:color="D06F1A"/>
        </w:tcBorders>
      </w:tcPr>
    </w:tblStylePr>
    <w:tblStylePr w:type="firstCol">
      <w:rPr>
        <w:b/>
        <w:bCs/>
      </w:rPr>
    </w:tblStylePr>
    <w:tblStylePr w:type="lastCol">
      <w:rPr>
        <w:b/>
        <w:bCs/>
      </w:rPr>
    </w:tblStylePr>
    <w:tblStylePr w:type="band1Vert">
      <w:tblPr/>
      <w:tcPr>
        <w:tcBorders>
          <w:top w:val="single" w:sz="8" w:space="0" w:color="D06F1A"/>
          <w:left w:val="single" w:sz="8" w:space="0" w:color="D06F1A"/>
          <w:bottom w:val="single" w:sz="8" w:space="0" w:color="D06F1A"/>
          <w:right w:val="single" w:sz="8" w:space="0" w:color="D06F1A"/>
        </w:tcBorders>
      </w:tcPr>
    </w:tblStylePr>
    <w:tblStylePr w:type="band1Horz">
      <w:tblPr/>
      <w:tcPr>
        <w:tcBorders>
          <w:top w:val="single" w:sz="8" w:space="0" w:color="D06F1A"/>
          <w:left w:val="single" w:sz="8" w:space="0" w:color="D06F1A"/>
          <w:bottom w:val="single" w:sz="8" w:space="0" w:color="D06F1A"/>
          <w:right w:val="single" w:sz="8" w:space="0" w:color="D06F1A"/>
        </w:tcBorders>
      </w:tcPr>
    </w:tblStylePr>
  </w:style>
  <w:style w:type="table" w:customStyle="1" w:styleId="LightList-Accent21">
    <w:name w:val="Light List - Accent 21"/>
    <w:basedOn w:val="TableNormal"/>
    <w:next w:val="LightList-Accent2"/>
    <w:uiPriority w:val="61"/>
    <w:rPr>
      <w:rFonts w:eastAsia="Calibri"/>
      <w:lang w:val="en-GB" w:eastAsia="en-US"/>
    </w:rPr>
    <w:tblPr>
      <w:tblStyleRowBandSize w:val="1"/>
      <w:tblStyleColBandSize w:val="1"/>
      <w:tblBorders>
        <w:top w:val="single" w:sz="8" w:space="0" w:color="EC7200"/>
        <w:left w:val="single" w:sz="8" w:space="0" w:color="EC7200"/>
        <w:bottom w:val="single" w:sz="8" w:space="0" w:color="EC7200"/>
        <w:right w:val="single" w:sz="8" w:space="0" w:color="EC7200"/>
      </w:tblBorders>
    </w:tblPr>
    <w:tblStylePr w:type="firstRow">
      <w:pPr>
        <w:spacing w:before="0" w:after="0" w:line="240" w:lineRule="auto"/>
      </w:pPr>
      <w:rPr>
        <w:b/>
        <w:bCs/>
        <w:color w:val="FFFFFF"/>
      </w:rPr>
      <w:tblPr/>
      <w:tcPr>
        <w:shd w:val="clear" w:color="auto" w:fill="EC7200"/>
      </w:tcPr>
    </w:tblStylePr>
    <w:tblStylePr w:type="lastRow">
      <w:pPr>
        <w:spacing w:before="0" w:after="0" w:line="240" w:lineRule="auto"/>
      </w:pPr>
      <w:rPr>
        <w:b/>
        <w:bCs/>
      </w:rPr>
      <w:tblPr/>
      <w:tcPr>
        <w:tcBorders>
          <w:top w:val="double" w:sz="6" w:space="0" w:color="EC7200"/>
          <w:left w:val="single" w:sz="8" w:space="0" w:color="EC7200"/>
          <w:bottom w:val="single" w:sz="8" w:space="0" w:color="EC7200"/>
          <w:right w:val="single" w:sz="8" w:space="0" w:color="EC7200"/>
        </w:tcBorders>
      </w:tcPr>
    </w:tblStylePr>
    <w:tblStylePr w:type="firstCol">
      <w:rPr>
        <w:b/>
        <w:bCs/>
      </w:rPr>
    </w:tblStylePr>
    <w:tblStylePr w:type="lastCol">
      <w:rPr>
        <w:b/>
        <w:bCs/>
      </w:rPr>
    </w:tblStylePr>
    <w:tblStylePr w:type="band1Vert">
      <w:tblPr/>
      <w:tcPr>
        <w:tcBorders>
          <w:top w:val="single" w:sz="8" w:space="0" w:color="EC7200"/>
          <w:left w:val="single" w:sz="8" w:space="0" w:color="EC7200"/>
          <w:bottom w:val="single" w:sz="8" w:space="0" w:color="EC7200"/>
          <w:right w:val="single" w:sz="8" w:space="0" w:color="EC7200"/>
        </w:tcBorders>
      </w:tcPr>
    </w:tblStylePr>
    <w:tblStylePr w:type="band1Horz">
      <w:tblPr/>
      <w:tcPr>
        <w:tcBorders>
          <w:top w:val="single" w:sz="8" w:space="0" w:color="EC7200"/>
          <w:left w:val="single" w:sz="8" w:space="0" w:color="EC7200"/>
          <w:bottom w:val="single" w:sz="8" w:space="0" w:color="EC7200"/>
          <w:right w:val="single" w:sz="8" w:space="0" w:color="EC7200"/>
        </w:tcBorders>
      </w:tcPr>
    </w:tblStylePr>
  </w:style>
  <w:style w:type="table" w:styleId="MediumGrid3-Accent2">
    <w:name w:val="Medium Grid 3 Accent 2"/>
    <w:basedOn w:val="TableNormal"/>
    <w:uiPriority w:val="99"/>
    <w:rPr>
      <w:lang w:val="en-GB"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C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B6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B6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FB6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FB6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FDA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A80"/>
      </w:tcPr>
    </w:tblStylePr>
  </w:style>
  <w:style w:type="paragraph" w:customStyle="1" w:styleId="Source">
    <w:name w:val="Source"/>
    <w:basedOn w:val="BodyText"/>
    <w:link w:val="SourceChar"/>
    <w:qFormat/>
    <w:rPr>
      <w:i/>
      <w:noProof/>
      <w:sz w:val="16"/>
      <w:szCs w:val="16"/>
    </w:rPr>
  </w:style>
  <w:style w:type="table" w:styleId="MediumGrid3-Accent6">
    <w:name w:val="Medium Grid 3 Accent 6"/>
    <w:basedOn w:val="TableNormal"/>
    <w:uiPriority w:val="69"/>
    <w:rPr>
      <w:lang w:val="en-GB"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7DBC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D06F1A"/>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D06F1A"/>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D06F1A"/>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D06F1A"/>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FB684"/>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FB684"/>
      </w:tcPr>
    </w:tblStylePr>
  </w:style>
  <w:style w:type="character" w:customStyle="1" w:styleId="SourceChar">
    <w:name w:val="Source Char"/>
    <w:link w:val="Source"/>
    <w:rPr>
      <w:i/>
      <w:noProof/>
      <w:sz w:val="16"/>
      <w:szCs w:val="16"/>
      <w:lang w:val="en-GB"/>
    </w:rPr>
  </w:style>
  <w:style w:type="paragraph" w:customStyle="1" w:styleId="Tabletitle">
    <w:name w:val="Table title"/>
    <w:basedOn w:val="Tablebodytext"/>
    <w:pPr>
      <w:spacing w:after="40"/>
    </w:pPr>
    <w:rPr>
      <w:b/>
      <w:iCs w:val="0"/>
      <w:color w:val="00A5D9"/>
    </w:rPr>
  </w:style>
  <w:style w:type="paragraph" w:customStyle="1" w:styleId="Tablebodytext">
    <w:name w:val="Table body text"/>
    <w:pPr>
      <w:spacing w:before="80" w:after="80" w:line="210" w:lineRule="atLeast"/>
      <w:ind w:left="-115"/>
      <w:textAlignment w:val="center"/>
    </w:pPr>
    <w:rPr>
      <w:rFonts w:ascii="Arial" w:eastAsia="Times New Roman" w:hAnsi="Arial" w:cs="Arial"/>
      <w:iCs/>
      <w:color w:val="00457C"/>
      <w:sz w:val="18"/>
      <w:szCs w:val="18"/>
      <w:lang w:val="en-US" w:eastAsia="en-US"/>
    </w:rPr>
  </w:style>
  <w:style w:type="paragraph" w:styleId="NormalWeb">
    <w:name w:val="Normal (Web)"/>
    <w:aliases w:val="Normale (Web) Carattere"/>
    <w:basedOn w:val="Normal"/>
    <w:uiPriority w:val="99"/>
    <w:unhideWhenUsed/>
    <w:locked/>
    <w:pPr>
      <w:spacing w:after="100" w:afterAutospacing="1" w:line="255" w:lineRule="atLeast"/>
    </w:pPr>
    <w:rPr>
      <w:rFonts w:ascii="Tahoma" w:eastAsia="Times New Roman" w:hAnsi="Tahoma" w:cs="Tahoma"/>
      <w:color w:val="000000"/>
      <w:sz w:val="17"/>
      <w:szCs w:val="17"/>
      <w:lang w:eastAsia="en-GB"/>
    </w:rPr>
  </w:style>
  <w:style w:type="character" w:styleId="Strong">
    <w:name w:val="Strong"/>
    <w:uiPriority w:val="99"/>
    <w:qFormat/>
    <w:locked/>
    <w:rPr>
      <w:b/>
      <w:bCs/>
    </w:rPr>
  </w:style>
  <w:style w:type="table" w:styleId="MediumShading1-Accent6">
    <w:name w:val="Medium Shading 1 Accent 6"/>
    <w:basedOn w:val="TableNormal"/>
    <w:uiPriority w:val="63"/>
    <w:tblPr>
      <w:tblStyleRowBandSize w:val="1"/>
      <w:tblStyleColBandSize w:val="1"/>
      <w:tblBorders>
        <w:top w:val="single" w:sz="8" w:space="0" w:color="E89247"/>
        <w:left w:val="single" w:sz="8" w:space="0" w:color="E89247"/>
        <w:bottom w:val="single" w:sz="8" w:space="0" w:color="E89247"/>
        <w:right w:val="single" w:sz="8" w:space="0" w:color="E89247"/>
        <w:insideH w:val="single" w:sz="8" w:space="0" w:color="E89247"/>
      </w:tblBorders>
    </w:tblPr>
    <w:tblStylePr w:type="firstRow">
      <w:pPr>
        <w:spacing w:before="0" w:after="0" w:line="240" w:lineRule="auto"/>
      </w:pPr>
      <w:rPr>
        <w:b/>
        <w:bCs/>
        <w:color w:val="FFFFFF"/>
      </w:rPr>
      <w:tblPr/>
      <w:tcPr>
        <w:tcBorders>
          <w:top w:val="single" w:sz="8" w:space="0" w:color="E89247"/>
          <w:left w:val="single" w:sz="8" w:space="0" w:color="E89247"/>
          <w:bottom w:val="single" w:sz="8" w:space="0" w:color="E89247"/>
          <w:right w:val="single" w:sz="8" w:space="0" w:color="E89247"/>
          <w:insideH w:val="nil"/>
          <w:insideV w:val="nil"/>
        </w:tcBorders>
        <w:shd w:val="clear" w:color="auto" w:fill="D06F1A"/>
      </w:tcPr>
    </w:tblStylePr>
    <w:tblStylePr w:type="lastRow">
      <w:pPr>
        <w:spacing w:before="0" w:after="0" w:line="240" w:lineRule="auto"/>
      </w:pPr>
      <w:rPr>
        <w:b/>
        <w:bCs/>
      </w:rPr>
      <w:tblPr/>
      <w:tcPr>
        <w:tcBorders>
          <w:top w:val="double" w:sz="6" w:space="0" w:color="E89247"/>
          <w:left w:val="single" w:sz="8" w:space="0" w:color="E89247"/>
          <w:bottom w:val="single" w:sz="8" w:space="0" w:color="E89247"/>
          <w:right w:val="single" w:sz="8" w:space="0" w:color="E89247"/>
          <w:insideH w:val="nil"/>
          <w:insideV w:val="nil"/>
        </w:tcBorders>
      </w:tcPr>
    </w:tblStylePr>
    <w:tblStylePr w:type="firstCol">
      <w:rPr>
        <w:b/>
        <w:bCs/>
      </w:rPr>
    </w:tblStylePr>
    <w:tblStylePr w:type="lastCol">
      <w:rPr>
        <w:b/>
        <w:bCs/>
      </w:rPr>
    </w:tblStylePr>
    <w:tblStylePr w:type="band1Vert">
      <w:tblPr/>
      <w:tcPr>
        <w:shd w:val="clear" w:color="auto" w:fill="F7DBC2"/>
      </w:tcPr>
    </w:tblStylePr>
    <w:tblStylePr w:type="band1Horz">
      <w:tblPr/>
      <w:tcPr>
        <w:tcBorders>
          <w:insideH w:val="nil"/>
          <w:insideV w:val="nil"/>
        </w:tcBorders>
        <w:shd w:val="clear" w:color="auto" w:fill="F7DBC2"/>
      </w:tcPr>
    </w:tblStylePr>
    <w:tblStylePr w:type="band2Horz">
      <w:tblPr/>
      <w:tcPr>
        <w:tcBorders>
          <w:insideH w:val="nil"/>
          <w:insideV w:val="nil"/>
        </w:tcBorders>
      </w:tcPr>
    </w:tblStylePr>
  </w:style>
  <w:style w:type="table" w:styleId="LightGrid-Accent6">
    <w:name w:val="Light Grid Accent 6"/>
    <w:basedOn w:val="TableNormal"/>
    <w:uiPriority w:val="62"/>
    <w:tblPr>
      <w:tblStyleRowBandSize w:val="1"/>
      <w:tblStyleColBandSize w:val="1"/>
      <w:tblBorders>
        <w:top w:val="single" w:sz="8" w:space="0" w:color="D06F1A"/>
        <w:left w:val="single" w:sz="8" w:space="0" w:color="D06F1A"/>
        <w:bottom w:val="single" w:sz="8" w:space="0" w:color="D06F1A"/>
        <w:right w:val="single" w:sz="8" w:space="0" w:color="D06F1A"/>
        <w:insideH w:val="single" w:sz="8" w:space="0" w:color="D06F1A"/>
        <w:insideV w:val="single" w:sz="8" w:space="0" w:color="D06F1A"/>
      </w:tblBorders>
    </w:tblPr>
    <w:tblStylePr w:type="firstRow">
      <w:pPr>
        <w:spacing w:before="0" w:after="0" w:line="240" w:lineRule="auto"/>
      </w:pPr>
      <w:rPr>
        <w:rFonts w:ascii="Cambria" w:eastAsia="Times New Roman" w:hAnsi="Cambria" w:cs="Times New Roman"/>
        <w:b/>
        <w:bCs/>
      </w:rPr>
      <w:tblPr/>
      <w:tcPr>
        <w:tcBorders>
          <w:top w:val="single" w:sz="8" w:space="0" w:color="D06F1A"/>
          <w:left w:val="single" w:sz="8" w:space="0" w:color="D06F1A"/>
          <w:bottom w:val="single" w:sz="18" w:space="0" w:color="D06F1A"/>
          <w:right w:val="single" w:sz="8" w:space="0" w:color="D06F1A"/>
          <w:insideH w:val="nil"/>
          <w:insideV w:val="single" w:sz="8" w:space="0" w:color="D06F1A"/>
        </w:tcBorders>
      </w:tcPr>
    </w:tblStylePr>
    <w:tblStylePr w:type="lastRow">
      <w:pPr>
        <w:spacing w:before="0" w:after="0" w:line="240" w:lineRule="auto"/>
      </w:pPr>
      <w:rPr>
        <w:rFonts w:ascii="Cambria" w:eastAsia="Times New Roman" w:hAnsi="Cambria" w:cs="Times New Roman"/>
        <w:b/>
        <w:bCs/>
      </w:rPr>
      <w:tblPr/>
      <w:tcPr>
        <w:tcBorders>
          <w:top w:val="double" w:sz="6" w:space="0" w:color="D06F1A"/>
          <w:left w:val="single" w:sz="8" w:space="0" w:color="D06F1A"/>
          <w:bottom w:val="single" w:sz="8" w:space="0" w:color="D06F1A"/>
          <w:right w:val="single" w:sz="8" w:space="0" w:color="D06F1A"/>
          <w:insideH w:val="nil"/>
          <w:insideV w:val="single" w:sz="8" w:space="0" w:color="D06F1A"/>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D06F1A"/>
          <w:left w:val="single" w:sz="8" w:space="0" w:color="D06F1A"/>
          <w:bottom w:val="single" w:sz="8" w:space="0" w:color="D06F1A"/>
          <w:right w:val="single" w:sz="8" w:space="0" w:color="D06F1A"/>
        </w:tcBorders>
      </w:tcPr>
    </w:tblStylePr>
    <w:tblStylePr w:type="band1Vert">
      <w:tblPr/>
      <w:tcPr>
        <w:tcBorders>
          <w:top w:val="single" w:sz="8" w:space="0" w:color="D06F1A"/>
          <w:left w:val="single" w:sz="8" w:space="0" w:color="D06F1A"/>
          <w:bottom w:val="single" w:sz="8" w:space="0" w:color="D06F1A"/>
          <w:right w:val="single" w:sz="8" w:space="0" w:color="D06F1A"/>
        </w:tcBorders>
        <w:shd w:val="clear" w:color="auto" w:fill="F7DBC2"/>
      </w:tcPr>
    </w:tblStylePr>
    <w:tblStylePr w:type="band1Horz">
      <w:tblPr/>
      <w:tcPr>
        <w:tcBorders>
          <w:top w:val="single" w:sz="8" w:space="0" w:color="D06F1A"/>
          <w:left w:val="single" w:sz="8" w:space="0" w:color="D06F1A"/>
          <w:bottom w:val="single" w:sz="8" w:space="0" w:color="D06F1A"/>
          <w:right w:val="single" w:sz="8" w:space="0" w:color="D06F1A"/>
          <w:insideV w:val="single" w:sz="8" w:space="0" w:color="D06F1A"/>
        </w:tcBorders>
        <w:shd w:val="clear" w:color="auto" w:fill="F7DBC2"/>
      </w:tcPr>
    </w:tblStylePr>
    <w:tblStylePr w:type="band2Horz">
      <w:tblPr/>
      <w:tcPr>
        <w:tcBorders>
          <w:top w:val="single" w:sz="8" w:space="0" w:color="D06F1A"/>
          <w:left w:val="single" w:sz="8" w:space="0" w:color="D06F1A"/>
          <w:bottom w:val="single" w:sz="8" w:space="0" w:color="D06F1A"/>
          <w:right w:val="single" w:sz="8" w:space="0" w:color="D06F1A"/>
          <w:insideV w:val="single" w:sz="8" w:space="0" w:color="D06F1A"/>
        </w:tcBorders>
      </w:tcPr>
    </w:tblStylePr>
  </w:style>
  <w:style w:type="paragraph" w:customStyle="1" w:styleId="Style1">
    <w:name w:val="Style 1"/>
    <w:uiPriority w:val="99"/>
    <w:pPr>
      <w:widowControl w:val="0"/>
      <w:autoSpaceDE w:val="0"/>
      <w:autoSpaceDN w:val="0"/>
      <w:adjustRightInd w:val="0"/>
    </w:pPr>
    <w:rPr>
      <w:rFonts w:ascii="Times New Roman" w:eastAsia="SimSun" w:hAnsi="Times New Roman"/>
      <w:lang w:val="en-US" w:eastAsia="zh-CN"/>
    </w:rPr>
  </w:style>
  <w:style w:type="paragraph" w:customStyle="1" w:styleId="docsubtitlelevel2bis">
    <w:name w:val="doc_subtitle_level2_bis"/>
    <w:basedOn w:val="Normal"/>
    <w:pPr>
      <w:spacing w:before="100" w:beforeAutospacing="1" w:after="100" w:afterAutospacing="1" w:line="240" w:lineRule="auto"/>
    </w:pPr>
    <w:rPr>
      <w:rFonts w:ascii="Arial" w:eastAsia="Times New Roman" w:hAnsi="Arial" w:cs="Arial"/>
      <w:b/>
      <w:bCs/>
      <w:color w:val="99A5B8"/>
      <w:sz w:val="24"/>
      <w:szCs w:val="24"/>
      <w:lang w:eastAsia="en-GB"/>
    </w:rPr>
  </w:style>
  <w:style w:type="character" w:customStyle="1" w:styleId="bold1">
    <w:name w:val="bold1"/>
    <w:rPr>
      <w:b/>
      <w:bCs/>
    </w:rPr>
  </w:style>
  <w:style w:type="character" w:customStyle="1" w:styleId="hps">
    <w:name w:val="hps"/>
    <w:basedOn w:val="DefaultParagraphFont"/>
    <w:uiPriority w:val="99"/>
  </w:style>
  <w:style w:type="table" w:styleId="MediumShading2-Accent3">
    <w:name w:val="Medium Shading 2 Accent 3"/>
    <w:basedOn w:val="TableNormal"/>
    <w:uiPriority w:val="64"/>
    <w:rPr>
      <w:rFonts w:eastAsia="Calibri"/>
      <w:lang w:val="en-GB"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6984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69843"/>
      </w:tcPr>
    </w:tblStylePr>
    <w:tblStylePr w:type="lastCol">
      <w:rPr>
        <w:b/>
        <w:bCs/>
        <w:color w:val="FFFFFF"/>
      </w:rPr>
      <w:tblPr/>
      <w:tcPr>
        <w:tcBorders>
          <w:left w:val="nil"/>
          <w:right w:val="nil"/>
          <w:insideH w:val="nil"/>
          <w:insideV w:val="nil"/>
        </w:tcBorders>
        <w:shd w:val="clear" w:color="auto" w:fill="F6984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sdtext1">
    <w:name w:val="c_sd_text1"/>
    <w:rPr>
      <w:rFonts w:ascii="Arial" w:hAnsi="Arial" w:cs="Arial" w:hint="default"/>
      <w:b w:val="0"/>
      <w:bCs w:val="0"/>
      <w:color w:val="000000"/>
      <w:spacing w:val="0"/>
      <w:sz w:val="20"/>
      <w:szCs w:val="20"/>
    </w:rPr>
  </w:style>
  <w:style w:type="paragraph" w:styleId="PlainText">
    <w:name w:val="Plain Text"/>
    <w:basedOn w:val="Normal"/>
    <w:link w:val="PlainTextChar"/>
    <w:uiPriority w:val="99"/>
    <w:unhideWhenUsed/>
    <w:locked/>
    <w:pPr>
      <w:spacing w:after="0" w:line="240" w:lineRule="auto"/>
    </w:pPr>
    <w:rPr>
      <w:rFonts w:ascii="Calibri" w:eastAsia="Calibri" w:hAnsi="Calibri"/>
      <w:szCs w:val="21"/>
    </w:rPr>
  </w:style>
  <w:style w:type="character" w:customStyle="1" w:styleId="PlainTextChar">
    <w:name w:val="Plain Text Char"/>
    <w:link w:val="PlainText"/>
    <w:uiPriority w:val="99"/>
    <w:rPr>
      <w:rFonts w:ascii="Calibri" w:eastAsia="Calibri" w:hAnsi="Calibri" w:cs="Consolas"/>
      <w:szCs w:val="21"/>
      <w:lang w:val="en-GB" w:eastAsia="en-US"/>
    </w:rPr>
  </w:style>
  <w:style w:type="paragraph" w:customStyle="1" w:styleId="BodyText30">
    <w:name w:val="Body Text3"/>
    <w:basedOn w:val="Normal"/>
    <w:link w:val="BodytextCharChar"/>
    <w:pPr>
      <w:adjustRightInd w:val="0"/>
      <w:spacing w:before="60" w:after="60" w:line="240" w:lineRule="auto"/>
      <w:jc w:val="both"/>
      <w:textAlignment w:val="baseline"/>
    </w:pPr>
    <w:rPr>
      <w:rFonts w:ascii="Arial" w:eastAsia="Times New Roman" w:hAnsi="Arial"/>
      <w:color w:val="00457C"/>
      <w:szCs w:val="24"/>
      <w:lang w:val="en-US"/>
    </w:rPr>
  </w:style>
  <w:style w:type="character" w:customStyle="1" w:styleId="BodytextCharChar">
    <w:name w:val="Body text Char Char"/>
    <w:link w:val="BodyText30"/>
    <w:locked/>
    <w:rPr>
      <w:rFonts w:ascii="Arial" w:eastAsia="Times New Roman" w:hAnsi="Arial"/>
      <w:color w:val="00457C"/>
      <w:sz w:val="20"/>
      <w:szCs w:val="24"/>
      <w:lang w:val="en-US" w:eastAsia="en-US"/>
    </w:rPr>
  </w:style>
  <w:style w:type="paragraph" w:customStyle="1" w:styleId="TOC">
    <w:name w:val="TOC"/>
    <w:basedOn w:val="BodyText30"/>
    <w:pPr>
      <w:spacing w:line="360" w:lineRule="atLeast"/>
      <w:ind w:left="-54"/>
    </w:pPr>
    <w:rPr>
      <w:bCs/>
      <w:sz w:val="36"/>
      <w:szCs w:val="28"/>
    </w:rPr>
  </w:style>
  <w:style w:type="paragraph" w:customStyle="1" w:styleId="Copyright">
    <w:name w:val="Copyright"/>
    <w:basedOn w:val="Normal"/>
    <w:uiPriority w:val="99"/>
    <w:pPr>
      <w:spacing w:before="60" w:after="60" w:line="150" w:lineRule="exact"/>
      <w:ind w:right="58"/>
      <w:jc w:val="both"/>
    </w:pPr>
    <w:rPr>
      <w:rFonts w:ascii="Arial" w:eastAsia="Times New Roman" w:hAnsi="Arial" w:cs="Arial"/>
      <w:color w:val="FFFFFF"/>
      <w:sz w:val="12"/>
      <w:szCs w:val="16"/>
      <w:lang w:val="en-US" w:bidi="th-TH"/>
    </w:rPr>
  </w:style>
  <w:style w:type="paragraph" w:customStyle="1" w:styleId="bulletcoverletter">
    <w:name w:val="bullet cover letter"/>
    <w:pPr>
      <w:numPr>
        <w:numId w:val="6"/>
      </w:numPr>
      <w:spacing w:before="120" w:after="120" w:line="240" w:lineRule="exact"/>
    </w:pPr>
    <w:rPr>
      <w:rFonts w:ascii="Arial" w:eastAsia="Times New Roman" w:hAnsi="Arial"/>
      <w:color w:val="000000"/>
      <w:sz w:val="21"/>
      <w:szCs w:val="22"/>
      <w:lang w:val="en-US" w:eastAsia="en-US"/>
    </w:rPr>
  </w:style>
  <w:style w:type="paragraph" w:customStyle="1" w:styleId="Questions">
    <w:name w:val="Questions"/>
    <w:basedOn w:val="Heading4"/>
    <w:pPr>
      <w:keepNext w:val="0"/>
      <w:keepLines w:val="0"/>
      <w:spacing w:before="120"/>
      <w:jc w:val="both"/>
    </w:pPr>
    <w:rPr>
      <w:rFonts w:ascii="Arial Bold" w:eastAsia="Times New Roman" w:hAnsi="Arial Bold"/>
      <w:b/>
      <w:bCs w:val="0"/>
      <w:iCs w:val="0"/>
      <w:color w:val="00A5D9"/>
      <w:sz w:val="20"/>
      <w:szCs w:val="21"/>
      <w:lang w:val="en-US"/>
    </w:rPr>
  </w:style>
  <w:style w:type="paragraph" w:customStyle="1" w:styleId="boldbodytext">
    <w:name w:val="bold body text"/>
    <w:basedOn w:val="Heading3"/>
    <w:semiHidden/>
    <w:pPr>
      <w:keepNext w:val="0"/>
      <w:keepLines w:val="0"/>
      <w:adjustRightInd w:val="0"/>
      <w:spacing w:before="240"/>
      <w:ind w:left="3636"/>
      <w:jc w:val="both"/>
      <w:textAlignment w:val="baseline"/>
    </w:pPr>
    <w:rPr>
      <w:rFonts w:ascii="Arial Bold" w:eastAsia="Times New Roman" w:hAnsi="Arial Bold"/>
      <w:b/>
      <w:bCs w:val="0"/>
      <w:i w:val="0"/>
      <w:noProof w:val="0"/>
      <w:color w:val="00A5D9"/>
      <w:sz w:val="20"/>
      <w:szCs w:val="20"/>
    </w:rPr>
  </w:style>
  <w:style w:type="paragraph" w:customStyle="1" w:styleId="Boldcoverlettertext">
    <w:name w:val="Bold cover letter text"/>
    <w:basedOn w:val="Normal"/>
    <w:pPr>
      <w:spacing w:before="60" w:after="120" w:line="240" w:lineRule="auto"/>
      <w:jc w:val="both"/>
    </w:pPr>
    <w:rPr>
      <w:rFonts w:ascii="Arial" w:eastAsia="Times New Roman" w:hAnsi="Arial"/>
      <w:b/>
      <w:bCs/>
      <w:szCs w:val="24"/>
      <w:lang w:val="en-US"/>
    </w:rPr>
  </w:style>
  <w:style w:type="paragraph" w:customStyle="1" w:styleId="Address">
    <w:name w:val="Address"/>
    <w:basedOn w:val="Normal"/>
    <w:semiHidden/>
    <w:pPr>
      <w:framePr w:w="3005" w:h="567" w:hSpace="181" w:vSpace="181" w:wrap="around" w:hAnchor="page" w:xAlign="right" w:yAlign="top" w:anchorLock="1"/>
      <w:spacing w:before="60" w:after="60" w:line="180" w:lineRule="exact"/>
      <w:ind w:right="284"/>
      <w:jc w:val="both"/>
    </w:pPr>
    <w:rPr>
      <w:rFonts w:ascii="Arial" w:eastAsia="Times New Roman" w:hAnsi="Arial"/>
      <w:sz w:val="14"/>
    </w:rPr>
  </w:style>
  <w:style w:type="paragraph" w:customStyle="1" w:styleId="CoverTitle">
    <w:name w:val="Cover Title"/>
    <w:basedOn w:val="Normal"/>
    <w:pPr>
      <w:autoSpaceDE w:val="0"/>
      <w:autoSpaceDN w:val="0"/>
      <w:adjustRightInd w:val="0"/>
      <w:spacing w:before="3840" w:after="60" w:line="720" w:lineRule="atLeast"/>
      <w:jc w:val="both"/>
    </w:pPr>
    <w:rPr>
      <w:rFonts w:ascii="Arial" w:eastAsia="Times New Roman" w:hAnsi="Arial" w:cs="Arial"/>
      <w:color w:val="00457C"/>
      <w:sz w:val="72"/>
      <w:szCs w:val="58"/>
      <w:lang w:val="en-US"/>
    </w:rPr>
  </w:style>
  <w:style w:type="paragraph" w:customStyle="1" w:styleId="CoverSubtitle">
    <w:name w:val="Cover Subtitle"/>
    <w:basedOn w:val="Normal"/>
    <w:pPr>
      <w:autoSpaceDE w:val="0"/>
      <w:autoSpaceDN w:val="0"/>
      <w:adjustRightInd w:val="0"/>
      <w:spacing w:before="360" w:after="60" w:line="360" w:lineRule="atLeast"/>
      <w:jc w:val="both"/>
    </w:pPr>
    <w:rPr>
      <w:rFonts w:ascii="Arial" w:eastAsia="Times New Roman" w:hAnsi="Arial" w:cs="Arial"/>
      <w:color w:val="00A5D9"/>
      <w:sz w:val="36"/>
      <w:szCs w:val="38"/>
      <w:lang w:val="en-US"/>
    </w:rPr>
  </w:style>
  <w:style w:type="paragraph" w:customStyle="1" w:styleId="Descriptor1">
    <w:name w:val="Descriptor 1"/>
    <w:basedOn w:val="Normal"/>
    <w:pPr>
      <w:autoSpaceDE w:val="0"/>
      <w:autoSpaceDN w:val="0"/>
      <w:adjustRightInd w:val="0"/>
      <w:spacing w:before="60" w:after="60" w:line="360" w:lineRule="exact"/>
      <w:jc w:val="both"/>
    </w:pPr>
    <w:rPr>
      <w:rFonts w:ascii="Arial" w:eastAsia="Times New Roman" w:hAnsi="Arial" w:cs="Arial"/>
      <w:color w:val="00457C"/>
      <w:sz w:val="36"/>
      <w:szCs w:val="36"/>
      <w:lang w:val="en-US"/>
    </w:rPr>
  </w:style>
  <w:style w:type="paragraph" w:customStyle="1" w:styleId="Subbullet">
    <w:name w:val="Sub bullet"/>
    <w:basedOn w:val="ListBullet"/>
    <w:pPr>
      <w:numPr>
        <w:numId w:val="10"/>
      </w:numPr>
      <w:tabs>
        <w:tab w:val="clear" w:pos="547"/>
        <w:tab w:val="num" w:pos="1800"/>
      </w:tabs>
      <w:spacing w:before="120" w:after="120" w:line="240" w:lineRule="auto"/>
      <w:ind w:left="360"/>
      <w:contextualSpacing w:val="0"/>
      <w:jc w:val="both"/>
    </w:pPr>
    <w:rPr>
      <w:rFonts w:ascii="Arial" w:eastAsia="Times New Roman" w:hAnsi="Arial"/>
      <w:color w:val="00457C"/>
      <w:szCs w:val="24"/>
      <w:lang w:val="en-US"/>
    </w:rPr>
  </w:style>
  <w:style w:type="paragraph" w:styleId="BodyText2">
    <w:name w:val="Body Text 2"/>
    <w:aliases w:val="base,nuovo normale"/>
    <w:basedOn w:val="Normal"/>
    <w:link w:val="BodyText2Char"/>
    <w:locked/>
    <w:pPr>
      <w:spacing w:before="60" w:after="120" w:line="480" w:lineRule="auto"/>
      <w:jc w:val="both"/>
    </w:pPr>
    <w:rPr>
      <w:rFonts w:ascii="Arial" w:eastAsia="Times New Roman" w:hAnsi="Arial"/>
      <w:szCs w:val="24"/>
      <w:lang w:val="en-US"/>
    </w:rPr>
  </w:style>
  <w:style w:type="character" w:customStyle="1" w:styleId="BodyText2Char">
    <w:name w:val="Body Text 2 Char"/>
    <w:aliases w:val="base Char,nuovo normale Char"/>
    <w:link w:val="BodyText2"/>
    <w:rPr>
      <w:rFonts w:ascii="Arial" w:eastAsia="Times New Roman" w:hAnsi="Arial"/>
      <w:sz w:val="20"/>
      <w:szCs w:val="24"/>
      <w:lang w:val="en-US" w:eastAsia="en-US"/>
    </w:rPr>
  </w:style>
  <w:style w:type="paragraph" w:styleId="BodyTextFirstIndent">
    <w:name w:val="Body Text First Indent"/>
    <w:basedOn w:val="BodyText"/>
    <w:link w:val="BodyTextFirstIndentChar"/>
    <w:uiPriority w:val="99"/>
    <w:semiHidden/>
    <w:locked/>
    <w:pPr>
      <w:spacing w:after="120" w:line="240" w:lineRule="auto"/>
      <w:ind w:firstLine="210"/>
    </w:pPr>
    <w:rPr>
      <w:rFonts w:ascii="Arial" w:eastAsia="Times New Roman" w:hAnsi="Arial"/>
      <w:szCs w:val="24"/>
      <w:lang w:val="en-US"/>
    </w:rPr>
  </w:style>
  <w:style w:type="character" w:customStyle="1" w:styleId="BodyTextFirstIndentChar">
    <w:name w:val="Body Text First Indent Char"/>
    <w:link w:val="BodyTextFirstIndent"/>
    <w:uiPriority w:val="99"/>
    <w:semiHidden/>
    <w:rPr>
      <w:rFonts w:ascii="Arial" w:eastAsia="Times New Roman" w:hAnsi="Arial" w:cs="Times New Roman"/>
      <w:sz w:val="20"/>
      <w:szCs w:val="24"/>
      <w:lang w:val="en-US" w:eastAsia="en-US"/>
    </w:rPr>
  </w:style>
  <w:style w:type="paragraph" w:styleId="BodyTextIndent">
    <w:name w:val="Body Text Indent"/>
    <w:basedOn w:val="Normal"/>
    <w:link w:val="BodyTextIndentChar"/>
    <w:locked/>
    <w:pPr>
      <w:spacing w:before="60" w:after="120" w:line="240" w:lineRule="auto"/>
      <w:ind w:left="360"/>
      <w:jc w:val="both"/>
    </w:pPr>
    <w:rPr>
      <w:rFonts w:ascii="Arial" w:eastAsia="Times New Roman" w:hAnsi="Arial"/>
      <w:szCs w:val="24"/>
      <w:lang w:val="en-US"/>
    </w:rPr>
  </w:style>
  <w:style w:type="character" w:customStyle="1" w:styleId="BodyTextIndentChar">
    <w:name w:val="Body Text Indent Char"/>
    <w:link w:val="BodyTextIndent"/>
    <w:rPr>
      <w:rFonts w:ascii="Arial" w:eastAsia="Times New Roman" w:hAnsi="Arial"/>
      <w:sz w:val="20"/>
      <w:szCs w:val="24"/>
      <w:lang w:val="en-US" w:eastAsia="en-US"/>
    </w:rPr>
  </w:style>
  <w:style w:type="paragraph" w:styleId="BodyTextFirstIndent2">
    <w:name w:val="Body Text First Indent 2"/>
    <w:basedOn w:val="BodyTextIndent"/>
    <w:link w:val="BodyTextFirstIndent2Char"/>
    <w:uiPriority w:val="99"/>
    <w:semiHidden/>
    <w:locked/>
    <w:pPr>
      <w:ind w:firstLine="210"/>
    </w:pPr>
  </w:style>
  <w:style w:type="character" w:customStyle="1" w:styleId="BodyTextFirstIndent2Char">
    <w:name w:val="Body Text First Indent 2 Char"/>
    <w:link w:val="BodyTextFirstIndent2"/>
    <w:uiPriority w:val="99"/>
    <w:semiHidden/>
    <w:rPr>
      <w:rFonts w:ascii="Arial" w:eastAsia="Times New Roman" w:hAnsi="Arial"/>
      <w:sz w:val="20"/>
      <w:szCs w:val="24"/>
      <w:lang w:val="en-US" w:eastAsia="en-US"/>
    </w:rPr>
  </w:style>
  <w:style w:type="paragraph" w:styleId="BodyTextIndent2">
    <w:name w:val="Body Text Indent 2"/>
    <w:basedOn w:val="Normal"/>
    <w:link w:val="BodyTextIndent2Char"/>
    <w:locked/>
    <w:pPr>
      <w:spacing w:before="60" w:after="120" w:line="480" w:lineRule="auto"/>
      <w:ind w:left="360"/>
      <w:jc w:val="both"/>
    </w:pPr>
    <w:rPr>
      <w:rFonts w:ascii="Arial" w:eastAsia="Times New Roman" w:hAnsi="Arial"/>
      <w:szCs w:val="24"/>
      <w:lang w:val="en-US"/>
    </w:rPr>
  </w:style>
  <w:style w:type="character" w:customStyle="1" w:styleId="BodyTextIndent2Char">
    <w:name w:val="Body Text Indent 2 Char"/>
    <w:link w:val="BodyTextIndent2"/>
    <w:uiPriority w:val="99"/>
    <w:semiHidden/>
    <w:rPr>
      <w:rFonts w:ascii="Arial" w:eastAsia="Times New Roman" w:hAnsi="Arial"/>
      <w:sz w:val="20"/>
      <w:szCs w:val="24"/>
      <w:lang w:val="en-US" w:eastAsia="en-US"/>
    </w:rPr>
  </w:style>
  <w:style w:type="paragraph" w:styleId="BodyTextIndent3">
    <w:name w:val="Body Text Indent 3"/>
    <w:basedOn w:val="Normal"/>
    <w:link w:val="BodyTextIndent3Char"/>
    <w:uiPriority w:val="99"/>
    <w:semiHidden/>
    <w:locked/>
    <w:pPr>
      <w:spacing w:before="60" w:after="120" w:line="240" w:lineRule="auto"/>
      <w:ind w:left="360"/>
      <w:jc w:val="both"/>
    </w:pPr>
    <w:rPr>
      <w:rFonts w:ascii="Arial" w:eastAsia="Times New Roman" w:hAnsi="Arial"/>
      <w:sz w:val="16"/>
      <w:szCs w:val="16"/>
      <w:lang w:val="en-US"/>
    </w:rPr>
  </w:style>
  <w:style w:type="character" w:customStyle="1" w:styleId="BodyTextIndent3Char">
    <w:name w:val="Body Text Indent 3 Char"/>
    <w:link w:val="BodyTextIndent3"/>
    <w:uiPriority w:val="99"/>
    <w:semiHidden/>
    <w:rPr>
      <w:rFonts w:ascii="Arial" w:eastAsia="Times New Roman" w:hAnsi="Arial"/>
      <w:sz w:val="16"/>
      <w:szCs w:val="16"/>
      <w:lang w:val="en-US" w:eastAsia="en-US"/>
    </w:rPr>
  </w:style>
  <w:style w:type="paragraph" w:styleId="Closing">
    <w:name w:val="Closing"/>
    <w:aliases w:val="Closing title"/>
    <w:basedOn w:val="Normal"/>
    <w:link w:val="ClosingChar"/>
    <w:uiPriority w:val="99"/>
    <w:locked/>
    <w:pPr>
      <w:spacing w:before="60" w:after="60" w:line="240" w:lineRule="auto"/>
      <w:ind w:left="4320"/>
      <w:jc w:val="both"/>
    </w:pPr>
    <w:rPr>
      <w:rFonts w:ascii="Arial" w:eastAsia="Times New Roman" w:hAnsi="Arial"/>
      <w:szCs w:val="24"/>
      <w:lang w:val="en-US"/>
    </w:rPr>
  </w:style>
  <w:style w:type="character" w:customStyle="1" w:styleId="ClosingChar">
    <w:name w:val="Closing Char"/>
    <w:aliases w:val="Closing title Char"/>
    <w:link w:val="Closing"/>
    <w:uiPriority w:val="99"/>
    <w:rPr>
      <w:rFonts w:ascii="Arial" w:eastAsia="Times New Roman" w:hAnsi="Arial"/>
      <w:sz w:val="20"/>
      <w:szCs w:val="24"/>
      <w:lang w:val="en-US" w:eastAsia="en-US"/>
    </w:rPr>
  </w:style>
  <w:style w:type="paragraph" w:styleId="Date">
    <w:name w:val="Date"/>
    <w:basedOn w:val="Normal"/>
    <w:next w:val="Normal"/>
    <w:link w:val="DateChar"/>
    <w:uiPriority w:val="99"/>
    <w:semiHidden/>
    <w:locked/>
    <w:pPr>
      <w:spacing w:before="60" w:after="60" w:line="240" w:lineRule="auto"/>
      <w:jc w:val="both"/>
    </w:pPr>
    <w:rPr>
      <w:rFonts w:ascii="Arial" w:eastAsia="Times New Roman" w:hAnsi="Arial"/>
      <w:szCs w:val="24"/>
      <w:lang w:val="en-US"/>
    </w:rPr>
  </w:style>
  <w:style w:type="character" w:customStyle="1" w:styleId="DateChar">
    <w:name w:val="Date Char"/>
    <w:link w:val="Date"/>
    <w:uiPriority w:val="99"/>
    <w:semiHidden/>
    <w:rPr>
      <w:rFonts w:ascii="Arial" w:eastAsia="Times New Roman" w:hAnsi="Arial"/>
      <w:sz w:val="20"/>
      <w:szCs w:val="24"/>
      <w:lang w:val="en-US" w:eastAsia="en-US"/>
    </w:rPr>
  </w:style>
  <w:style w:type="paragraph" w:styleId="E-mailSignature">
    <w:name w:val="E-mail Signature"/>
    <w:basedOn w:val="Normal"/>
    <w:link w:val="E-mailSignatureChar"/>
    <w:uiPriority w:val="99"/>
    <w:semiHidden/>
    <w:locked/>
    <w:pPr>
      <w:spacing w:before="60" w:after="60" w:line="240" w:lineRule="auto"/>
      <w:jc w:val="both"/>
    </w:pPr>
    <w:rPr>
      <w:rFonts w:ascii="Arial" w:eastAsia="Times New Roman" w:hAnsi="Arial"/>
      <w:szCs w:val="24"/>
      <w:lang w:val="en-US"/>
    </w:rPr>
  </w:style>
  <w:style w:type="character" w:customStyle="1" w:styleId="E-mailSignatureChar">
    <w:name w:val="E-mail Signature Char"/>
    <w:link w:val="E-mailSignature"/>
    <w:uiPriority w:val="99"/>
    <w:semiHidden/>
    <w:rPr>
      <w:rFonts w:ascii="Arial" w:eastAsia="Times New Roman" w:hAnsi="Arial"/>
      <w:sz w:val="20"/>
      <w:szCs w:val="24"/>
      <w:lang w:val="en-US" w:eastAsia="en-US"/>
    </w:rPr>
  </w:style>
  <w:style w:type="paragraph" w:styleId="EnvelopeAddress">
    <w:name w:val="envelope address"/>
    <w:basedOn w:val="Normal"/>
    <w:semiHidden/>
    <w:locked/>
    <w:pPr>
      <w:framePr w:w="7920" w:h="1980" w:hRule="exact" w:hSpace="180" w:wrap="auto" w:hAnchor="page" w:xAlign="center" w:yAlign="bottom"/>
      <w:spacing w:before="60" w:after="60" w:line="240" w:lineRule="auto"/>
      <w:ind w:left="2880"/>
      <w:jc w:val="both"/>
    </w:pPr>
    <w:rPr>
      <w:rFonts w:ascii="Arial" w:eastAsia="Times New Roman" w:hAnsi="Arial" w:cs="Arial"/>
      <w:sz w:val="24"/>
      <w:szCs w:val="24"/>
      <w:lang w:val="en-US"/>
    </w:rPr>
  </w:style>
  <w:style w:type="character" w:styleId="FollowedHyperlink">
    <w:name w:val="FollowedHyperlink"/>
    <w:uiPriority w:val="99"/>
    <w:locked/>
    <w:rPr>
      <w:rFonts w:cs="Times New Roman"/>
      <w:color w:val="606420"/>
      <w:u w:val="single"/>
    </w:rPr>
  </w:style>
  <w:style w:type="character" w:styleId="HTMLAcronym">
    <w:name w:val="HTML Acronym"/>
    <w:semiHidden/>
    <w:locked/>
    <w:rPr>
      <w:rFonts w:cs="Times New Roman"/>
    </w:rPr>
  </w:style>
  <w:style w:type="paragraph" w:styleId="HTMLAddress">
    <w:name w:val="HTML Address"/>
    <w:basedOn w:val="Normal"/>
    <w:link w:val="HTMLAddressChar"/>
    <w:uiPriority w:val="99"/>
    <w:semiHidden/>
    <w:locked/>
    <w:pPr>
      <w:spacing w:before="60" w:after="60" w:line="240" w:lineRule="auto"/>
      <w:jc w:val="both"/>
    </w:pPr>
    <w:rPr>
      <w:rFonts w:ascii="Arial" w:eastAsia="Times New Roman" w:hAnsi="Arial"/>
      <w:i/>
      <w:iCs/>
      <w:szCs w:val="24"/>
      <w:lang w:val="en-US"/>
    </w:rPr>
  </w:style>
  <w:style w:type="character" w:customStyle="1" w:styleId="HTMLAddressChar">
    <w:name w:val="HTML Address Char"/>
    <w:link w:val="HTMLAddress"/>
    <w:uiPriority w:val="99"/>
    <w:semiHidden/>
    <w:rPr>
      <w:rFonts w:ascii="Arial" w:eastAsia="Times New Roman" w:hAnsi="Arial"/>
      <w:i/>
      <w:iCs/>
      <w:sz w:val="20"/>
      <w:szCs w:val="24"/>
      <w:lang w:val="en-US" w:eastAsia="en-US"/>
    </w:rPr>
  </w:style>
  <w:style w:type="character" w:styleId="HTMLCite">
    <w:name w:val="HTML Cite"/>
    <w:semiHidden/>
    <w:locked/>
    <w:rPr>
      <w:rFonts w:cs="Times New Roman"/>
      <w:i/>
      <w:iCs/>
    </w:rPr>
  </w:style>
  <w:style w:type="character" w:styleId="HTMLCode">
    <w:name w:val="HTML Code"/>
    <w:semiHidden/>
    <w:locked/>
    <w:rPr>
      <w:rFonts w:ascii="Courier New" w:hAnsi="Courier New" w:cs="Courier New"/>
      <w:sz w:val="20"/>
      <w:szCs w:val="20"/>
    </w:rPr>
  </w:style>
  <w:style w:type="character" w:styleId="HTMLDefinition">
    <w:name w:val="HTML Definition"/>
    <w:semiHidden/>
    <w:locked/>
    <w:rPr>
      <w:rFonts w:cs="Times New Roman"/>
      <w:i/>
      <w:iCs/>
    </w:rPr>
  </w:style>
  <w:style w:type="character" w:styleId="HTMLKeyboard">
    <w:name w:val="HTML Keyboard"/>
    <w:semiHidden/>
    <w:locked/>
    <w:rPr>
      <w:rFonts w:ascii="Courier New" w:hAnsi="Courier New" w:cs="Courier New"/>
      <w:sz w:val="20"/>
      <w:szCs w:val="20"/>
    </w:rPr>
  </w:style>
  <w:style w:type="paragraph" w:styleId="HTMLPreformatted">
    <w:name w:val="HTML Preformatted"/>
    <w:basedOn w:val="Normal"/>
    <w:link w:val="HTMLPreformattedChar"/>
    <w:uiPriority w:val="99"/>
    <w:semiHidden/>
    <w:locked/>
    <w:pPr>
      <w:spacing w:before="60" w:after="60" w:line="240" w:lineRule="auto"/>
      <w:jc w:val="both"/>
    </w:pPr>
    <w:rPr>
      <w:rFonts w:ascii="Courier New" w:eastAsia="Times New Roman" w:hAnsi="Courier New"/>
      <w:lang w:val="en-US"/>
    </w:rPr>
  </w:style>
  <w:style w:type="character" w:customStyle="1" w:styleId="HTMLPreformattedChar">
    <w:name w:val="HTML Preformatted Char"/>
    <w:link w:val="HTMLPreformatted"/>
    <w:uiPriority w:val="99"/>
    <w:semiHidden/>
    <w:rPr>
      <w:rFonts w:ascii="Courier New" w:eastAsia="Times New Roman" w:hAnsi="Courier New" w:cs="Courier New"/>
      <w:sz w:val="20"/>
      <w:szCs w:val="20"/>
      <w:lang w:val="en-US" w:eastAsia="en-US"/>
    </w:rPr>
  </w:style>
  <w:style w:type="character" w:styleId="HTMLSample">
    <w:name w:val="HTML Sample"/>
    <w:semiHidden/>
    <w:locked/>
    <w:rPr>
      <w:rFonts w:ascii="Courier New" w:hAnsi="Courier New" w:cs="Courier New"/>
    </w:rPr>
  </w:style>
  <w:style w:type="character" w:styleId="HTMLTypewriter">
    <w:name w:val="HTML Typewriter"/>
    <w:semiHidden/>
    <w:locked/>
    <w:rPr>
      <w:rFonts w:ascii="Courier New" w:hAnsi="Courier New" w:cs="Courier New"/>
      <w:sz w:val="20"/>
      <w:szCs w:val="20"/>
    </w:rPr>
  </w:style>
  <w:style w:type="character" w:styleId="HTMLVariable">
    <w:name w:val="HTML Variable"/>
    <w:semiHidden/>
    <w:locked/>
    <w:rPr>
      <w:rFonts w:cs="Times New Roman"/>
      <w:i/>
      <w:iCs/>
    </w:rPr>
  </w:style>
  <w:style w:type="character" w:styleId="LineNumber">
    <w:name w:val="line number"/>
    <w:semiHidden/>
    <w:locked/>
    <w:rPr>
      <w:rFonts w:cs="Times New Roman"/>
    </w:rPr>
  </w:style>
  <w:style w:type="paragraph" w:styleId="MessageHeader">
    <w:name w:val="Message Header"/>
    <w:basedOn w:val="Normal"/>
    <w:link w:val="MessageHeaderChar"/>
    <w:uiPriority w:val="99"/>
    <w:semiHidden/>
    <w:locked/>
    <w:pPr>
      <w:pBdr>
        <w:top w:val="single" w:sz="6" w:space="1" w:color="auto"/>
        <w:left w:val="single" w:sz="6" w:space="1" w:color="auto"/>
        <w:bottom w:val="single" w:sz="6" w:space="1" w:color="auto"/>
        <w:right w:val="single" w:sz="6" w:space="1" w:color="auto"/>
      </w:pBdr>
      <w:shd w:val="pct20" w:color="auto" w:fill="auto"/>
      <w:spacing w:before="60" w:after="60" w:line="240" w:lineRule="auto"/>
      <w:ind w:left="1080" w:hanging="1080"/>
      <w:jc w:val="both"/>
    </w:pPr>
    <w:rPr>
      <w:rFonts w:ascii="Arial" w:eastAsia="Times New Roman" w:hAnsi="Arial"/>
      <w:sz w:val="24"/>
      <w:szCs w:val="24"/>
      <w:lang w:val="en-US"/>
    </w:rPr>
  </w:style>
  <w:style w:type="character" w:customStyle="1" w:styleId="MessageHeaderChar">
    <w:name w:val="Message Header Char"/>
    <w:link w:val="MessageHeader"/>
    <w:uiPriority w:val="99"/>
    <w:semiHidden/>
    <w:rPr>
      <w:rFonts w:ascii="Arial" w:eastAsia="Times New Roman" w:hAnsi="Arial" w:cs="Arial"/>
      <w:sz w:val="24"/>
      <w:szCs w:val="24"/>
      <w:shd w:val="pct20" w:color="auto" w:fill="auto"/>
      <w:lang w:val="en-US" w:eastAsia="en-US"/>
    </w:rPr>
  </w:style>
  <w:style w:type="paragraph" w:styleId="NormalIndent">
    <w:name w:val="Normal Indent"/>
    <w:basedOn w:val="Normal"/>
    <w:locked/>
    <w:pPr>
      <w:spacing w:before="60" w:after="60" w:line="240" w:lineRule="auto"/>
      <w:ind w:left="720"/>
      <w:jc w:val="both"/>
    </w:pPr>
    <w:rPr>
      <w:rFonts w:ascii="Arial" w:eastAsia="Times New Roman" w:hAnsi="Arial"/>
      <w:szCs w:val="24"/>
      <w:lang w:val="en-US"/>
    </w:rPr>
  </w:style>
  <w:style w:type="paragraph" w:styleId="NoteHeading">
    <w:name w:val="Note Heading"/>
    <w:basedOn w:val="Normal"/>
    <w:next w:val="Normal"/>
    <w:link w:val="NoteHeadingChar"/>
    <w:uiPriority w:val="99"/>
    <w:semiHidden/>
    <w:locked/>
    <w:pPr>
      <w:spacing w:before="60" w:after="60" w:line="240" w:lineRule="auto"/>
      <w:jc w:val="both"/>
    </w:pPr>
    <w:rPr>
      <w:rFonts w:ascii="Arial" w:eastAsia="Times New Roman" w:hAnsi="Arial"/>
      <w:szCs w:val="24"/>
      <w:lang w:val="en-US"/>
    </w:rPr>
  </w:style>
  <w:style w:type="character" w:customStyle="1" w:styleId="NoteHeadingChar">
    <w:name w:val="Note Heading Char"/>
    <w:link w:val="NoteHeading"/>
    <w:uiPriority w:val="99"/>
    <w:semiHidden/>
    <w:rPr>
      <w:rFonts w:ascii="Arial" w:eastAsia="Times New Roman" w:hAnsi="Arial"/>
      <w:sz w:val="20"/>
      <w:szCs w:val="24"/>
      <w:lang w:val="en-US" w:eastAsia="en-US"/>
    </w:rPr>
  </w:style>
  <w:style w:type="paragraph" w:styleId="Salutation">
    <w:name w:val="Salutation"/>
    <w:basedOn w:val="Normal"/>
    <w:next w:val="Normal"/>
    <w:link w:val="SalutationChar"/>
    <w:uiPriority w:val="99"/>
    <w:semiHidden/>
    <w:locked/>
    <w:pPr>
      <w:spacing w:before="60" w:after="60" w:line="240" w:lineRule="auto"/>
      <w:jc w:val="both"/>
    </w:pPr>
    <w:rPr>
      <w:rFonts w:ascii="Arial" w:eastAsia="Times New Roman" w:hAnsi="Arial"/>
      <w:szCs w:val="24"/>
      <w:lang w:val="en-US"/>
    </w:rPr>
  </w:style>
  <w:style w:type="character" w:customStyle="1" w:styleId="SalutationChar">
    <w:name w:val="Salutation Char"/>
    <w:link w:val="Salutation"/>
    <w:uiPriority w:val="99"/>
    <w:semiHidden/>
    <w:rPr>
      <w:rFonts w:ascii="Arial" w:eastAsia="Times New Roman" w:hAnsi="Arial"/>
      <w:sz w:val="20"/>
      <w:szCs w:val="24"/>
      <w:lang w:val="en-US" w:eastAsia="en-US"/>
    </w:rPr>
  </w:style>
  <w:style w:type="paragraph" w:styleId="Signature">
    <w:name w:val="Signature"/>
    <w:basedOn w:val="Normal"/>
    <w:link w:val="SignatureChar"/>
    <w:uiPriority w:val="99"/>
    <w:semiHidden/>
    <w:locked/>
    <w:pPr>
      <w:spacing w:before="60" w:after="60" w:line="240" w:lineRule="auto"/>
      <w:ind w:left="4320"/>
      <w:jc w:val="both"/>
    </w:pPr>
    <w:rPr>
      <w:rFonts w:ascii="Arial" w:eastAsia="Times New Roman" w:hAnsi="Arial"/>
      <w:szCs w:val="24"/>
      <w:lang w:val="en-US"/>
    </w:rPr>
  </w:style>
  <w:style w:type="character" w:customStyle="1" w:styleId="SignatureChar">
    <w:name w:val="Signature Char"/>
    <w:link w:val="Signature"/>
    <w:uiPriority w:val="99"/>
    <w:semiHidden/>
    <w:rPr>
      <w:rFonts w:ascii="Arial" w:eastAsia="Times New Roman" w:hAnsi="Arial"/>
      <w:sz w:val="20"/>
      <w:szCs w:val="24"/>
      <w:lang w:val="en-US" w:eastAsia="en-US"/>
    </w:rPr>
  </w:style>
  <w:style w:type="table" w:styleId="Table3Deffects1">
    <w:name w:val="Table 3D effects 1"/>
    <w:basedOn w:val="TableNormal"/>
    <w:semiHidden/>
    <w:locked/>
    <w:pPr>
      <w:spacing w:line="240" w:lineRule="exact"/>
    </w:pPr>
    <w:rPr>
      <w:rFonts w:ascii="Times New Roman" w:eastAsia="Times New Roman" w:hAnsi="Times New Roman"/>
      <w:lang w:eastAsia="zh-C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pPr>
      <w:spacing w:line="240" w:lineRule="exact"/>
    </w:pPr>
    <w:rPr>
      <w:rFonts w:ascii="Times New Roman" w:eastAsia="Times New Roman" w:hAnsi="Times New Roman"/>
      <w:lang w:eastAsia="zh-C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semiHidden/>
    <w:locked/>
    <w:pPr>
      <w:spacing w:line="240" w:lineRule="exact"/>
    </w:pPr>
    <w:rPr>
      <w:rFonts w:ascii="Times New Roman" w:eastAsia="Times New Roman" w:hAnsi="Times New Roman"/>
      <w:lang w:eastAsia="zh-C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semiHidden/>
    <w:locked/>
    <w:pPr>
      <w:spacing w:line="240" w:lineRule="exact"/>
    </w:pPr>
    <w:rPr>
      <w:rFonts w:ascii="Times New Roman" w:eastAsia="Times New Roman" w:hAnsi="Times New Roman"/>
      <w:lang w:eastAsia="zh-C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semiHidden/>
    <w:locked/>
    <w:pPr>
      <w:spacing w:line="240" w:lineRule="exact"/>
    </w:pPr>
    <w:rPr>
      <w:rFonts w:ascii="Times New Roman" w:eastAsia="Times New Roman" w:hAnsi="Times New Roman"/>
      <w:lang w:eastAsia="zh-C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semiHidden/>
    <w:locked/>
    <w:pPr>
      <w:spacing w:line="240" w:lineRule="exact"/>
    </w:pPr>
    <w:rPr>
      <w:rFonts w:ascii="Times New Roman" w:eastAsia="Times New Roman" w:hAnsi="Times New Roman"/>
      <w:color w:val="000080"/>
      <w:lang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pPr>
      <w:spacing w:line="240" w:lineRule="exact"/>
    </w:pPr>
    <w:rPr>
      <w:rFonts w:ascii="Times New Roman" w:eastAsia="Times New Roman" w:hAnsi="Times New Roman"/>
      <w:lang w:eastAsia="zh-C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semiHidden/>
    <w:locked/>
    <w:pPr>
      <w:spacing w:line="240" w:lineRule="exact"/>
    </w:pPr>
    <w:rPr>
      <w:rFonts w:ascii="Times New Roman" w:eastAsia="Times New Roman" w:hAnsi="Times New Roman"/>
      <w:color w:val="FFFFFF"/>
      <w:lang w:eastAsia="zh-C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locked/>
    <w:pPr>
      <w:spacing w:line="240" w:lineRule="exact"/>
    </w:pPr>
    <w:rPr>
      <w:rFonts w:ascii="Times New Roman" w:eastAsia="Times New Roman" w:hAnsi="Times New Roman"/>
      <w:lang w:eastAsia="zh-C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pPr>
      <w:spacing w:line="240" w:lineRule="exact"/>
    </w:pPr>
    <w:rPr>
      <w:rFonts w:ascii="Times New Roman" w:eastAsia="Times New Roman" w:hAnsi="Times New Roman"/>
      <w:lang w:eastAsia="zh-C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pPr>
      <w:spacing w:line="240" w:lineRule="exact"/>
    </w:pPr>
    <w:rPr>
      <w:rFonts w:ascii="Times New Roman" w:eastAsia="Times New Roman" w:hAnsi="Times New Roman"/>
      <w:b/>
      <w:bCs/>
      <w:lang w:eastAsia="zh-CN"/>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semiHidden/>
    <w:locked/>
    <w:pPr>
      <w:spacing w:line="240" w:lineRule="exact"/>
    </w:pPr>
    <w:rPr>
      <w:rFonts w:ascii="Times New Roman" w:eastAsia="Times New Roman" w:hAnsi="Times New Roman"/>
      <w:b/>
      <w:bCs/>
      <w:lang w:eastAsia="zh-CN"/>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semiHidden/>
    <w:locked/>
    <w:pPr>
      <w:spacing w:line="240" w:lineRule="exact"/>
    </w:pPr>
    <w:rPr>
      <w:rFonts w:ascii="Times New Roman" w:eastAsia="Times New Roman" w:hAnsi="Times New Roman"/>
      <w:b/>
      <w:bCs/>
      <w:lang w:eastAsia="zh-CN"/>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semiHidden/>
    <w:locked/>
    <w:pPr>
      <w:spacing w:line="240" w:lineRule="exact"/>
    </w:pPr>
    <w:rPr>
      <w:rFonts w:ascii="Times New Roman" w:eastAsia="Times New Roman" w:hAnsi="Times New Roman"/>
      <w:lang w:eastAsia="zh-C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semiHidden/>
    <w:locked/>
    <w:pPr>
      <w:spacing w:line="240" w:lineRule="exact"/>
    </w:pPr>
    <w:rPr>
      <w:rFonts w:ascii="Times New Roman" w:eastAsia="Times New Roman" w:hAnsi="Times New Roman"/>
      <w:lang w:eastAsia="zh-C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semiHidden/>
    <w:locked/>
    <w:pPr>
      <w:spacing w:line="240" w:lineRule="exact"/>
    </w:pPr>
    <w:rPr>
      <w:rFonts w:ascii="Times New Roman" w:eastAsia="Times New Roman" w:hAnsi="Times New Roman"/>
      <w:lang w:eastAsia="zh-C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pPr>
      <w:spacing w:line="240" w:lineRule="exact"/>
    </w:pPr>
    <w:rPr>
      <w:rFonts w:ascii="Times New Roman" w:eastAsia="Times New Roman" w:hAnsi="Times New Roman"/>
      <w:lang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semiHidden/>
    <w:locked/>
    <w:pPr>
      <w:spacing w:line="240" w:lineRule="exact"/>
    </w:pPr>
    <w:rPr>
      <w:rFonts w:ascii="Times New Roman" w:eastAsia="Times New Roman" w:hAnsi="Times New Roman"/>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semiHidden/>
    <w:locked/>
    <w:pPr>
      <w:spacing w:line="240" w:lineRule="exact"/>
    </w:pPr>
    <w:rPr>
      <w:rFonts w:ascii="Times New Roman" w:eastAsia="Times New Roman" w:hAnsi="Times New Roman"/>
      <w:lang w:eastAsia="zh-C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semiHidden/>
    <w:locked/>
    <w:pPr>
      <w:spacing w:line="240" w:lineRule="exact"/>
    </w:pPr>
    <w:rPr>
      <w:rFonts w:ascii="Times New Roman" w:eastAsia="Times New Roman" w:hAnsi="Times New Roman"/>
      <w:lang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semiHidden/>
    <w:locked/>
    <w:pPr>
      <w:spacing w:line="240" w:lineRule="exact"/>
    </w:pPr>
    <w:rPr>
      <w:rFonts w:ascii="Times New Roman" w:eastAsia="Times New Roman" w:hAnsi="Times New Roman"/>
      <w:lang w:eastAsia="zh-C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semiHidden/>
    <w:locked/>
    <w:pPr>
      <w:spacing w:line="240" w:lineRule="exact"/>
    </w:pPr>
    <w:rPr>
      <w:rFonts w:ascii="Times New Roman" w:eastAsia="Times New Roman" w:hAnsi="Times New Roman"/>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semiHidden/>
    <w:locked/>
    <w:pPr>
      <w:spacing w:line="240" w:lineRule="exact"/>
    </w:pPr>
    <w:rPr>
      <w:rFonts w:ascii="Times New Roman" w:eastAsia="Times New Roman" w:hAnsi="Times New Roman"/>
      <w:lang w:eastAsia="zh-C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semiHidden/>
    <w:locked/>
    <w:pPr>
      <w:spacing w:line="240" w:lineRule="exact"/>
    </w:pPr>
    <w:rPr>
      <w:rFonts w:ascii="Times New Roman" w:eastAsia="Times New Roman" w:hAnsi="Times New Roman"/>
      <w:b/>
      <w:bCs/>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semiHidden/>
    <w:locked/>
    <w:pPr>
      <w:spacing w:line="240" w:lineRule="exact"/>
    </w:pPr>
    <w:rPr>
      <w:rFonts w:ascii="Times New Roman" w:eastAsia="Times New Roman" w:hAnsi="Times New Roman"/>
      <w:lang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semiHidden/>
    <w:locked/>
    <w:pPr>
      <w:spacing w:line="240" w:lineRule="exact"/>
    </w:pPr>
    <w:rPr>
      <w:rFonts w:ascii="Times New Roman" w:eastAsia="Times New Roman" w:hAnsi="Times New Roman"/>
      <w:lang w:eastAsia="zh-C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semiHidden/>
    <w:locked/>
    <w:pPr>
      <w:spacing w:line="240" w:lineRule="exact"/>
    </w:pPr>
    <w:rPr>
      <w:rFonts w:ascii="Times New Roman" w:eastAsia="Times New Roman" w:hAnsi="Times New Roman"/>
      <w:lang w:eastAsia="zh-C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semiHidden/>
    <w:locked/>
    <w:pPr>
      <w:spacing w:line="240" w:lineRule="exact"/>
    </w:pPr>
    <w:rPr>
      <w:rFonts w:ascii="Times New Roman" w:eastAsia="Times New Roman" w:hAnsi="Times New Roman"/>
      <w:lang w:eastAsia="zh-C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semiHidden/>
    <w:locked/>
    <w:pPr>
      <w:spacing w:line="240" w:lineRule="exact"/>
    </w:pPr>
    <w:rPr>
      <w:rFonts w:ascii="Times New Roman" w:eastAsia="Times New Roman" w:hAnsi="Times New Roman"/>
      <w:lang w:eastAsia="zh-C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pPr>
      <w:spacing w:line="240" w:lineRule="exact"/>
    </w:pPr>
    <w:rPr>
      <w:rFonts w:ascii="Times New Roman" w:eastAsia="Times New Roman" w:hAnsi="Times New Roman"/>
      <w:lang w:eastAsia="zh-C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semiHidden/>
    <w:locked/>
    <w:pPr>
      <w:spacing w:line="240" w:lineRule="exact"/>
    </w:pPr>
    <w:rPr>
      <w:rFonts w:ascii="Times New Roman" w:eastAsia="Times New Roman" w:hAnsi="Times New Roman"/>
      <w:lang w:eastAsia="zh-C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pPr>
      <w:spacing w:line="240" w:lineRule="exact"/>
    </w:pPr>
    <w:rPr>
      <w:rFonts w:ascii="Times New Roman" w:eastAsia="Times New Roman" w:hAnsi="Times New Roman"/>
      <w:lang w:eastAsia="zh-C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pPr>
      <w:spacing w:line="240" w:lineRule="exact"/>
    </w:pPr>
    <w:rPr>
      <w:rFonts w:ascii="Times New Roman" w:eastAsia="Times New Roman" w:hAnsi="Times New Roman"/>
      <w:lang w:eastAsia="zh-C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pPr>
      <w:spacing w:line="240" w:lineRule="exact"/>
    </w:pPr>
    <w:rPr>
      <w:rFonts w:ascii="Times New Roman" w:eastAsia="Times New Roman" w:hAnsi="Times New Roman"/>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pPr>
      <w:spacing w:line="240" w:lineRule="exact"/>
    </w:pPr>
    <w:rPr>
      <w:rFonts w:ascii="Times New Roman" w:eastAsia="Times New Roman" w:hAnsi="Times New Roman"/>
      <w:lang w:eastAsia="zh-C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pPr>
      <w:spacing w:line="240" w:lineRule="exact"/>
    </w:pPr>
    <w:rPr>
      <w:rFonts w:ascii="Times New Roman" w:eastAsia="Times New Roman" w:hAnsi="Times New Roman"/>
      <w:lang w:eastAsia="zh-C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pPr>
      <w:spacing w:line="240" w:lineRule="exact"/>
    </w:pPr>
    <w:rPr>
      <w:rFonts w:ascii="Times New Roman" w:eastAsia="Times New Roman" w:hAnsi="Times New Roman"/>
      <w:lang w:eastAsia="zh-C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pPr>
      <w:spacing w:line="240" w:lineRule="exact"/>
    </w:pPr>
    <w:rPr>
      <w:rFonts w:ascii="Times New Roman" w:eastAsia="Times New Roman" w:hAnsi="Times New Roman"/>
      <w:lang w:eastAsia="zh-C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semiHidden/>
    <w:locked/>
    <w:pPr>
      <w:spacing w:line="240" w:lineRule="exact"/>
    </w:pPr>
    <w:rPr>
      <w:rFonts w:ascii="Times New Roman" w:eastAsia="Times New Roman" w:hAnsi="Times New Roman"/>
      <w:lang w:eastAsia="zh-C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semiHidden/>
    <w:locked/>
    <w:pPr>
      <w:spacing w:line="240" w:lineRule="exact"/>
    </w:pPr>
    <w:rPr>
      <w:rFonts w:ascii="Times New Roman" w:eastAsia="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pPr>
      <w:spacing w:line="240" w:lineRule="exact"/>
    </w:pPr>
    <w:rPr>
      <w:rFonts w:ascii="Times New Roman" w:eastAsia="Times New Roman" w:hAnsi="Times New Roman"/>
      <w:lang w:eastAsia="zh-C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semiHidden/>
    <w:locked/>
    <w:pPr>
      <w:spacing w:line="240" w:lineRule="exact"/>
    </w:pPr>
    <w:rPr>
      <w:rFonts w:ascii="Times New Roman" w:eastAsia="Times New Roman" w:hAnsi="Times New Roman"/>
      <w:lang w:eastAsia="zh-C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semiHidden/>
    <w:locked/>
    <w:pPr>
      <w:spacing w:line="240" w:lineRule="exact"/>
    </w:pPr>
    <w:rPr>
      <w:rFonts w:ascii="Times New Roman" w:eastAsia="Times New Roman" w:hAnsi="Times New Roman"/>
      <w:lang w:eastAsia="zh-C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Tablebullet0">
    <w:name w:val="Table bullet"/>
    <w:pPr>
      <w:numPr>
        <w:numId w:val="11"/>
      </w:numPr>
      <w:tabs>
        <w:tab w:val="clear" w:pos="403"/>
        <w:tab w:val="num" w:pos="162"/>
      </w:tabs>
      <w:spacing w:before="80" w:after="80" w:line="210" w:lineRule="atLeast"/>
      <w:ind w:left="162" w:hanging="243"/>
    </w:pPr>
    <w:rPr>
      <w:rFonts w:ascii="Arial" w:eastAsia="Times New Roman" w:hAnsi="Arial"/>
      <w:color w:val="00457C"/>
      <w:sz w:val="18"/>
      <w:szCs w:val="22"/>
      <w:lang w:val="en-US" w:eastAsia="en-US"/>
    </w:rPr>
  </w:style>
  <w:style w:type="paragraph" w:customStyle="1" w:styleId="DescriptorII">
    <w:name w:val="Descriptor II"/>
    <w:basedOn w:val="Descriptor1"/>
    <w:rPr>
      <w:color w:val="00A5D9"/>
    </w:rPr>
  </w:style>
  <w:style w:type="numbering" w:styleId="111111">
    <w:name w:val="Outline List 2"/>
    <w:basedOn w:val="NoList"/>
    <w:semiHidden/>
    <w:unhideWhenUsed/>
    <w:locked/>
    <w:pPr>
      <w:numPr>
        <w:numId w:val="7"/>
      </w:numPr>
    </w:pPr>
  </w:style>
  <w:style w:type="numbering" w:styleId="1ai">
    <w:name w:val="Outline List 1"/>
    <w:basedOn w:val="NoList"/>
    <w:uiPriority w:val="99"/>
    <w:semiHidden/>
    <w:unhideWhenUsed/>
    <w:locked/>
    <w:pPr>
      <w:numPr>
        <w:numId w:val="8"/>
      </w:numPr>
    </w:pPr>
  </w:style>
  <w:style w:type="numbering" w:styleId="ArticleSection">
    <w:name w:val="Outline List 3"/>
    <w:basedOn w:val="NoList"/>
    <w:unhideWhenUsed/>
    <w:locked/>
    <w:pPr>
      <w:numPr>
        <w:numId w:val="9"/>
      </w:numPr>
    </w:pPr>
  </w:style>
  <w:style w:type="paragraph" w:customStyle="1" w:styleId="StyleText11pt2">
    <w:name w:val="Style Text + 11 pt2"/>
    <w:basedOn w:val="Normal"/>
    <w:link w:val="StyleText11pt2Char"/>
    <w:pPr>
      <w:widowControl w:val="0"/>
      <w:tabs>
        <w:tab w:val="left" w:pos="1440"/>
        <w:tab w:val="left" w:pos="2304"/>
      </w:tabs>
      <w:spacing w:before="120" w:after="120" w:line="240" w:lineRule="auto"/>
      <w:jc w:val="both"/>
    </w:pPr>
    <w:rPr>
      <w:rFonts w:ascii="Times New Roman" w:eastAsia="Times New Roman" w:hAnsi="Times New Roman"/>
      <w:kern w:val="28"/>
    </w:rPr>
  </w:style>
  <w:style w:type="character" w:customStyle="1" w:styleId="StyleText11pt2Char">
    <w:name w:val="Style Text + 11 pt2 Char"/>
    <w:link w:val="StyleText11pt2"/>
    <w:rPr>
      <w:rFonts w:ascii="Times New Roman" w:eastAsia="Times New Roman" w:hAnsi="Times New Roman"/>
      <w:kern w:val="28"/>
      <w:szCs w:val="20"/>
      <w:lang w:val="en-GB" w:eastAsia="en-US"/>
    </w:rPr>
  </w:style>
  <w:style w:type="paragraph" w:customStyle="1" w:styleId="Default">
    <w:name w:val="Default"/>
    <w:pPr>
      <w:autoSpaceDE w:val="0"/>
      <w:autoSpaceDN w:val="0"/>
      <w:adjustRightInd w:val="0"/>
    </w:pPr>
    <w:rPr>
      <w:rFonts w:ascii="Times New Roman" w:eastAsia="SimSun" w:hAnsi="Times New Roman"/>
      <w:color w:val="000000"/>
      <w:sz w:val="24"/>
      <w:szCs w:val="24"/>
      <w:lang w:val="en-US" w:eastAsia="zh-CN"/>
    </w:rPr>
  </w:style>
  <w:style w:type="table" w:customStyle="1" w:styleId="LightList1">
    <w:name w:val="Light List1"/>
    <w:basedOn w:val="TableNormal"/>
    <w:uiPriority w:val="61"/>
    <w:rPr>
      <w:rFonts w:ascii="Times New Roman" w:eastAsia="Times New Roman" w:hAnsi="Times New Roman"/>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5">
    <w:name w:val="Light List Accent 5"/>
    <w:basedOn w:val="TableNormal"/>
    <w:uiPriority w:val="61"/>
    <w:rPr>
      <w:rFonts w:ascii="Times New Roman" w:eastAsia="Times New Roman" w:hAnsi="Times New Roman"/>
      <w:lang w:eastAsia="zh-CN"/>
    </w:rPr>
    <w:tblPr>
      <w:tblStyleRowBandSize w:val="1"/>
      <w:tblStyleColBandSize w:val="1"/>
      <w:tblBorders>
        <w:top w:val="single" w:sz="8" w:space="0" w:color="EFC594"/>
        <w:left w:val="single" w:sz="8" w:space="0" w:color="EFC594"/>
        <w:bottom w:val="single" w:sz="8" w:space="0" w:color="EFC594"/>
        <w:right w:val="single" w:sz="8" w:space="0" w:color="EFC594"/>
      </w:tblBorders>
    </w:tblPr>
    <w:tblStylePr w:type="firstRow">
      <w:pPr>
        <w:spacing w:before="0" w:after="0" w:line="240" w:lineRule="auto"/>
      </w:pPr>
      <w:rPr>
        <w:b/>
        <w:bCs/>
        <w:color w:val="FFFFFF"/>
      </w:rPr>
      <w:tblPr/>
      <w:tcPr>
        <w:shd w:val="clear" w:color="auto" w:fill="EFC594"/>
      </w:tcPr>
    </w:tblStylePr>
    <w:tblStylePr w:type="lastRow">
      <w:pPr>
        <w:spacing w:before="0" w:after="0" w:line="240" w:lineRule="auto"/>
      </w:pPr>
      <w:rPr>
        <w:b/>
        <w:bCs/>
      </w:rPr>
      <w:tblPr/>
      <w:tcPr>
        <w:tcBorders>
          <w:top w:val="double" w:sz="6" w:space="0" w:color="EFC594"/>
          <w:left w:val="single" w:sz="8" w:space="0" w:color="EFC594"/>
          <w:bottom w:val="single" w:sz="8" w:space="0" w:color="EFC594"/>
          <w:right w:val="single" w:sz="8" w:space="0" w:color="EFC594"/>
        </w:tcBorders>
      </w:tcPr>
    </w:tblStylePr>
    <w:tblStylePr w:type="firstCol">
      <w:rPr>
        <w:b/>
        <w:bCs/>
      </w:rPr>
    </w:tblStylePr>
    <w:tblStylePr w:type="lastCol">
      <w:rPr>
        <w:b/>
        <w:bCs/>
      </w:rPr>
    </w:tblStylePr>
    <w:tblStylePr w:type="band1Vert">
      <w:tblPr/>
      <w:tcPr>
        <w:tcBorders>
          <w:top w:val="single" w:sz="8" w:space="0" w:color="EFC594"/>
          <w:left w:val="single" w:sz="8" w:space="0" w:color="EFC594"/>
          <w:bottom w:val="single" w:sz="8" w:space="0" w:color="EFC594"/>
          <w:right w:val="single" w:sz="8" w:space="0" w:color="EFC594"/>
        </w:tcBorders>
      </w:tcPr>
    </w:tblStylePr>
    <w:tblStylePr w:type="band1Horz">
      <w:tblPr/>
      <w:tcPr>
        <w:tcBorders>
          <w:top w:val="single" w:sz="8" w:space="0" w:color="EFC594"/>
          <w:left w:val="single" w:sz="8" w:space="0" w:color="EFC594"/>
          <w:bottom w:val="single" w:sz="8" w:space="0" w:color="EFC594"/>
          <w:right w:val="single" w:sz="8" w:space="0" w:color="EFC594"/>
        </w:tcBorders>
      </w:tcPr>
    </w:tblStylePr>
  </w:style>
  <w:style w:type="paragraph" w:styleId="DocumentMap">
    <w:name w:val="Document Map"/>
    <w:basedOn w:val="Normal"/>
    <w:link w:val="DocumentMapChar"/>
    <w:unhideWhenUsed/>
    <w:locked/>
    <w:pPr>
      <w:spacing w:after="0" w:line="240" w:lineRule="auto"/>
      <w:jc w:val="both"/>
    </w:pPr>
    <w:rPr>
      <w:rFonts w:ascii="Tahoma" w:eastAsia="Times New Roman" w:hAnsi="Tahoma"/>
      <w:sz w:val="16"/>
      <w:szCs w:val="16"/>
      <w:lang w:val="en-US"/>
    </w:rPr>
  </w:style>
  <w:style w:type="character" w:customStyle="1" w:styleId="DocumentMapChar">
    <w:name w:val="Document Map Char"/>
    <w:link w:val="DocumentMap"/>
    <w:rPr>
      <w:rFonts w:ascii="Tahoma" w:eastAsia="Times New Roman" w:hAnsi="Tahoma" w:cs="Tahoma"/>
      <w:sz w:val="16"/>
      <w:szCs w:val="16"/>
      <w:lang w:val="en-US" w:eastAsia="en-US"/>
    </w:rPr>
  </w:style>
  <w:style w:type="paragraph" w:styleId="IntenseQuote">
    <w:name w:val="Intense Quote"/>
    <w:basedOn w:val="Normal"/>
    <w:next w:val="Normal"/>
    <w:link w:val="IntenseQuoteChar"/>
    <w:uiPriority w:val="30"/>
    <w:qFormat/>
    <w:pPr>
      <w:pBdr>
        <w:bottom w:val="single" w:sz="4" w:space="4" w:color="F8981D"/>
      </w:pBdr>
      <w:spacing w:before="200" w:after="280"/>
      <w:ind w:left="936" w:right="936"/>
    </w:pPr>
    <w:rPr>
      <w:b/>
      <w:bCs/>
      <w:i/>
      <w:iCs/>
      <w:color w:val="9B5213"/>
    </w:rPr>
  </w:style>
  <w:style w:type="character" w:customStyle="1" w:styleId="IntenseQuoteChar">
    <w:name w:val="Intense Quote Char"/>
    <w:link w:val="IntenseQuote"/>
    <w:uiPriority w:val="30"/>
    <w:rPr>
      <w:b/>
      <w:bCs/>
      <w:i/>
      <w:iCs/>
      <w:color w:val="9B5213"/>
      <w:lang w:val="en-GB" w:eastAsia="en-US"/>
    </w:rPr>
  </w:style>
  <w:style w:type="paragraph" w:customStyle="1" w:styleId="StyleJustified">
    <w:name w:val="Style Justified"/>
    <w:basedOn w:val="Normal"/>
    <w:pPr>
      <w:spacing w:before="40" w:after="120" w:line="240" w:lineRule="auto"/>
      <w:jc w:val="both"/>
    </w:pPr>
    <w:rPr>
      <w:rFonts w:ascii="Arial" w:eastAsia="Times New Roman" w:hAnsi="Arial"/>
      <w:color w:val="00457C"/>
      <w:sz w:val="21"/>
    </w:rPr>
  </w:style>
  <w:style w:type="paragraph" w:customStyle="1" w:styleId="SectionTitleodd">
    <w:name w:val="Section Title odd"/>
    <w:basedOn w:val="CoverSubtitle"/>
    <w:pPr>
      <w:spacing w:after="120"/>
      <w:jc w:val="right"/>
    </w:pPr>
    <w:rPr>
      <w:rFonts w:cs="Times New Roman"/>
      <w:szCs w:val="20"/>
    </w:rPr>
  </w:style>
  <w:style w:type="paragraph" w:customStyle="1" w:styleId="reporttext">
    <w:name w:val="report text"/>
    <w:basedOn w:val="Normal"/>
    <w:link w:val="reporttextChar"/>
    <w:pPr>
      <w:spacing w:after="300" w:line="264" w:lineRule="auto"/>
      <w:jc w:val="both"/>
    </w:pPr>
    <w:rPr>
      <w:rFonts w:ascii="Arial" w:eastAsia="Batang" w:hAnsi="Arial"/>
      <w:lang w:val="en-US"/>
    </w:rPr>
  </w:style>
  <w:style w:type="character" w:customStyle="1" w:styleId="reporttextChar">
    <w:name w:val="report text Char"/>
    <w:link w:val="reporttext"/>
    <w:rPr>
      <w:rFonts w:ascii="Arial" w:eastAsia="Batang" w:hAnsi="Arial"/>
      <w:lang w:val="en-US" w:eastAsia="en-US"/>
    </w:rPr>
  </w:style>
  <w:style w:type="paragraph" w:customStyle="1" w:styleId="Bulletlist">
    <w:name w:val="Bullet list"/>
    <w:basedOn w:val="reporttext"/>
    <w:pPr>
      <w:numPr>
        <w:numId w:val="12"/>
      </w:numPr>
      <w:tabs>
        <w:tab w:val="clear" w:pos="600"/>
        <w:tab w:val="num" w:pos="720"/>
        <w:tab w:val="num" w:pos="1080"/>
      </w:tabs>
      <w:spacing w:after="0" w:line="240" w:lineRule="auto"/>
      <w:ind w:left="720"/>
    </w:pPr>
    <w:rPr>
      <w:rFonts w:ascii="Times New Roman" w:eastAsia="Times New Roman" w:hAnsi="Times New Roman" w:cs="Frutiger-Roman"/>
      <w:noProof/>
      <w:color w:val="000000"/>
      <w:sz w:val="22"/>
      <w:lang w:bidi="sa-IN"/>
    </w:rPr>
  </w:style>
  <w:style w:type="paragraph" w:customStyle="1" w:styleId="Text1">
    <w:name w:val="Text 1"/>
    <w:basedOn w:val="Normal"/>
    <w:link w:val="Text1Char"/>
    <w:pPr>
      <w:spacing w:before="120" w:after="120" w:line="240" w:lineRule="auto"/>
      <w:ind w:left="850"/>
      <w:jc w:val="both"/>
    </w:pPr>
    <w:rPr>
      <w:rFonts w:ascii="Times New Roman" w:eastAsia="Times New Roman" w:hAnsi="Times New Roman"/>
      <w:sz w:val="24"/>
      <w:szCs w:val="24"/>
      <w:lang w:eastAsia="en-GB"/>
    </w:rPr>
  </w:style>
  <w:style w:type="paragraph" w:customStyle="1" w:styleId="TableSBorder">
    <w:name w:val="Table S Border"/>
    <w:basedOn w:val="Normal"/>
    <w:pPr>
      <w:keepLines/>
      <w:pBdr>
        <w:bottom w:val="single" w:sz="4" w:space="4" w:color="auto"/>
      </w:pBdr>
      <w:tabs>
        <w:tab w:val="decimal" w:pos="720"/>
        <w:tab w:val="decimal" w:pos="1440"/>
        <w:tab w:val="decimal" w:pos="2304"/>
      </w:tabs>
      <w:spacing w:before="40" w:after="40" w:line="240" w:lineRule="auto"/>
    </w:pPr>
    <w:rPr>
      <w:rFonts w:ascii="Times New Roman" w:eastAsia="Times New Roman" w:hAnsi="Times New Roman"/>
      <w:kern w:val="28"/>
      <w:sz w:val="24"/>
    </w:rPr>
  </w:style>
  <w:style w:type="paragraph" w:customStyle="1" w:styleId="TableSDBorder">
    <w:name w:val="Table S/D Border"/>
    <w:basedOn w:val="Normal"/>
    <w:pPr>
      <w:keepLines/>
      <w:pBdr>
        <w:top w:val="single" w:sz="4" w:space="4" w:color="auto"/>
        <w:bottom w:val="double" w:sz="4" w:space="4" w:color="auto"/>
      </w:pBdr>
      <w:tabs>
        <w:tab w:val="decimal" w:pos="720"/>
        <w:tab w:val="decimal" w:pos="1440"/>
        <w:tab w:val="decimal" w:pos="2304"/>
      </w:tabs>
      <w:spacing w:before="40" w:after="40" w:line="240" w:lineRule="auto"/>
    </w:pPr>
    <w:rPr>
      <w:rFonts w:ascii="Times New Roman" w:eastAsia="Times New Roman" w:hAnsi="Times New Roman"/>
      <w:kern w:val="28"/>
      <w:sz w:val="24"/>
    </w:rPr>
  </w:style>
  <w:style w:type="paragraph" w:customStyle="1" w:styleId="Level11">
    <w:name w:val="Level 1.1"/>
    <w:aliases w:val="Reports,Reports Char Char,Reports Char Char Char Char,Reports Char,Level 1.1 Char,Level 1.1 Char Char,Level 1.1 Char Char Char Char,Level 1.1 Char Char Char Char Char Char,Level 1.1 Char Char Char Char Char Char Char Char Char Char Char Char"/>
    <w:basedOn w:val="Normal"/>
    <w:link w:val="ReportsCharCharCharCharChar"/>
    <w:pPr>
      <w:keepLines/>
      <w:tabs>
        <w:tab w:val="num" w:pos="990"/>
        <w:tab w:val="left" w:pos="1440"/>
        <w:tab w:val="left" w:pos="2304"/>
      </w:tabs>
      <w:spacing w:after="288" w:line="240" w:lineRule="auto"/>
      <w:ind w:left="990" w:hanging="720"/>
      <w:jc w:val="both"/>
    </w:pPr>
    <w:rPr>
      <w:rFonts w:ascii="Times New Roman" w:eastAsia="Times New Roman" w:hAnsi="Times New Roman"/>
      <w:kern w:val="28"/>
      <w:sz w:val="24"/>
    </w:rPr>
  </w:style>
  <w:style w:type="character" w:customStyle="1" w:styleId="ReportsCharCharCharCharChar">
    <w:name w:val="Reports Char Char Char Char Char"/>
    <w:aliases w:val="Level 1.11,Reports1,Reports Char1,Level 1.1 Char1,Reports Char Char1,Reports Char Char Char,Reports Char Char Char Char + L... Char,Level 1.1 Char Char Char Char Char Char Char Char Char"/>
    <w:link w:val="Level11"/>
    <w:rPr>
      <w:rFonts w:ascii="Times New Roman" w:eastAsia="Times New Roman" w:hAnsi="Times New Roman"/>
      <w:kern w:val="28"/>
      <w:sz w:val="24"/>
      <w:lang w:val="en-GB" w:eastAsia="en-US"/>
    </w:rPr>
  </w:style>
  <w:style w:type="paragraph" w:customStyle="1" w:styleId="Level3">
    <w:name w:val="Level 3"/>
    <w:aliases w:val="(i),(ii),(iii)"/>
    <w:basedOn w:val="Normal"/>
    <w:pPr>
      <w:tabs>
        <w:tab w:val="left" w:pos="1440"/>
        <w:tab w:val="num" w:pos="2304"/>
      </w:tabs>
      <w:spacing w:after="288" w:line="240" w:lineRule="auto"/>
      <w:ind w:left="2304" w:hanging="864"/>
      <w:jc w:val="both"/>
    </w:pPr>
    <w:rPr>
      <w:rFonts w:ascii="Times New Roman" w:eastAsia="Times New Roman" w:hAnsi="Times New Roman"/>
      <w:sz w:val="24"/>
    </w:rPr>
  </w:style>
  <w:style w:type="character" w:customStyle="1" w:styleId="Sub-MinorCharChar">
    <w:name w:val="Sub-Minor Char Char"/>
    <w:rPr>
      <w:b/>
      <w:kern w:val="28"/>
      <w:sz w:val="24"/>
      <w:lang w:val="en-GB" w:eastAsia="en-US" w:bidi="ar-SA"/>
    </w:rPr>
  </w:style>
  <w:style w:type="character" w:customStyle="1" w:styleId="CharChar1">
    <w:name w:val="Char Char1"/>
    <w:rPr>
      <w:rFonts w:ascii="Arial" w:hAnsi="Arial" w:cs="Arial"/>
      <w:b/>
      <w:iCs/>
      <w:color w:val="00457C"/>
      <w:sz w:val="22"/>
      <w:szCs w:val="24"/>
      <w:lang w:val="en-US" w:eastAsia="en-US"/>
    </w:rPr>
  </w:style>
  <w:style w:type="paragraph" w:customStyle="1" w:styleId="CarattereCarattereCarattere">
    <w:name w:val="Carattere Carattere Carattere"/>
    <w:basedOn w:val="Normal"/>
    <w:pPr>
      <w:spacing w:before="120" w:after="120" w:line="240" w:lineRule="exact"/>
    </w:pPr>
    <w:rPr>
      <w:rFonts w:ascii="Tahoma" w:eastAsia="Times New Roman" w:hAnsi="Tahoma"/>
      <w:lang w:val="en-US"/>
    </w:rPr>
  </w:style>
  <w:style w:type="paragraph" w:customStyle="1" w:styleId="Titrepage1">
    <w:name w:val="Titre page 1"/>
    <w:basedOn w:val="Normal"/>
    <w:pPr>
      <w:spacing w:after="120" w:line="240" w:lineRule="auto"/>
      <w:ind w:left="567"/>
    </w:pPr>
    <w:rPr>
      <w:rFonts w:ascii="Times New Roman" w:eastAsia="Times New Roman" w:hAnsi="Times New Roman"/>
      <w:b/>
      <w:noProof/>
      <w:color w:val="000080"/>
      <w:sz w:val="60"/>
      <w:lang w:eastAsia="fr-FR"/>
    </w:rPr>
  </w:style>
  <w:style w:type="paragraph" w:customStyle="1" w:styleId="TextmTz">
    <w:name w:val="Text m. Tz."/>
    <w:basedOn w:val="PlainText"/>
    <w:uiPriority w:val="99"/>
    <w:pPr>
      <w:spacing w:before="198" w:after="57" w:line="312" w:lineRule="auto"/>
      <w:jc w:val="both"/>
    </w:pPr>
    <w:rPr>
      <w:rFonts w:ascii="Arial" w:eastAsia="Times New Roman" w:hAnsi="Arial"/>
      <w:szCs w:val="20"/>
      <w:lang w:eastAsia="de-DE"/>
    </w:rPr>
  </w:style>
  <w:style w:type="paragraph" w:styleId="TableofFigures">
    <w:name w:val="table of figures"/>
    <w:basedOn w:val="Normal"/>
    <w:next w:val="Normal"/>
    <w:locked/>
    <w:pPr>
      <w:spacing w:before="40" w:after="120" w:line="240" w:lineRule="auto"/>
    </w:pPr>
    <w:rPr>
      <w:rFonts w:ascii="Arial" w:eastAsia="Times New Roman" w:hAnsi="Arial"/>
      <w:color w:val="00457C"/>
      <w:sz w:val="21"/>
      <w:szCs w:val="24"/>
      <w:lang w:val="en-US"/>
    </w:rPr>
  </w:style>
  <w:style w:type="paragraph" w:customStyle="1" w:styleId="Fuguretitle">
    <w:name w:val="Fugure title"/>
    <w:basedOn w:val="Text"/>
    <w:pPr>
      <w:numPr>
        <w:numId w:val="13"/>
      </w:numPr>
      <w:tabs>
        <w:tab w:val="clear" w:pos="1440"/>
        <w:tab w:val="clear" w:pos="2304"/>
      </w:tabs>
      <w:jc w:val="center"/>
    </w:pPr>
    <w:rPr>
      <w:b/>
      <w:bCs/>
      <w:i/>
      <w:sz w:val="22"/>
    </w:rPr>
  </w:style>
  <w:style w:type="paragraph" w:customStyle="1" w:styleId="NumberedList">
    <w:name w:val="Numbered List"/>
    <w:basedOn w:val="ListBullet"/>
    <w:pPr>
      <w:keepLines/>
      <w:numPr>
        <w:numId w:val="14"/>
      </w:numPr>
      <w:tabs>
        <w:tab w:val="left" w:pos="1440"/>
        <w:tab w:val="left" w:pos="2304"/>
      </w:tabs>
      <w:spacing w:before="120" w:after="120" w:line="240" w:lineRule="auto"/>
      <w:contextualSpacing w:val="0"/>
      <w:jc w:val="both"/>
    </w:pPr>
    <w:rPr>
      <w:rFonts w:ascii="TimesNewRoman" w:eastAsia="Times New Roman" w:hAnsi="TimesNewRoman"/>
      <w:kern w:val="28"/>
      <w:sz w:val="24"/>
    </w:rPr>
  </w:style>
  <w:style w:type="paragraph" w:customStyle="1" w:styleId="TextWS">
    <w:name w:val="TextWS"/>
    <w:pPr>
      <w:spacing w:after="200"/>
      <w:ind w:firstLine="284"/>
      <w:jc w:val="both"/>
    </w:pPr>
    <w:rPr>
      <w:rFonts w:ascii="Times New Roman" w:eastAsia="Times New Roman" w:hAnsi="Times New Roman"/>
      <w:sz w:val="24"/>
      <w:lang w:val="en-GB" w:eastAsia="de-DE"/>
    </w:rPr>
  </w:style>
  <w:style w:type="paragraph" w:customStyle="1" w:styleId="HyphenatedList6">
    <w:name w:val="Hyphenated List 6"/>
    <w:basedOn w:val="Normal"/>
    <w:pPr>
      <w:tabs>
        <w:tab w:val="num" w:pos="1080"/>
        <w:tab w:val="num" w:pos="2387"/>
      </w:tabs>
      <w:spacing w:after="0" w:line="240" w:lineRule="auto"/>
      <w:ind w:left="2387" w:hanging="363"/>
    </w:pPr>
    <w:rPr>
      <w:rFonts w:ascii="Optima" w:eastAsia="Times New Roman" w:hAnsi="Optima"/>
      <w:snapToGrid w:val="0"/>
      <w:color w:val="000000"/>
      <w:lang w:eastAsia="nl-NL"/>
    </w:rPr>
  </w:style>
  <w:style w:type="paragraph" w:customStyle="1" w:styleId="BeschriftungFigure">
    <w:name w:val="Beschriftung Figure"/>
    <w:basedOn w:val="Caption"/>
    <w:pPr>
      <w:tabs>
        <w:tab w:val="num" w:pos="3600"/>
      </w:tabs>
      <w:overflowPunct w:val="0"/>
      <w:autoSpaceDE w:val="0"/>
      <w:autoSpaceDN w:val="0"/>
      <w:adjustRightInd w:val="0"/>
      <w:spacing w:before="40" w:after="360"/>
      <w:jc w:val="center"/>
      <w:textAlignment w:val="baseline"/>
    </w:pPr>
    <w:rPr>
      <w:rFonts w:ascii="Times" w:hAnsi="Times"/>
      <w:b w:val="0"/>
      <w:bCs/>
      <w:color w:val="auto"/>
      <w:sz w:val="22"/>
      <w:lang w:eastAsia="de-DE"/>
    </w:rPr>
  </w:style>
  <w:style w:type="paragraph" w:customStyle="1" w:styleId="absatz2">
    <w:name w:val="absatz2"/>
    <w:basedOn w:val="Normal"/>
    <w:uiPriority w:val="99"/>
    <w:pPr>
      <w:tabs>
        <w:tab w:val="left" w:pos="851"/>
        <w:tab w:val="left" w:pos="1152"/>
      </w:tabs>
      <w:spacing w:before="240" w:after="0" w:line="360" w:lineRule="atLeast"/>
      <w:jc w:val="both"/>
    </w:pPr>
    <w:rPr>
      <w:rFonts w:ascii="Times" w:eastAsia="SimSun" w:hAnsi="Times"/>
      <w:sz w:val="24"/>
      <w:lang w:val="de-DE" w:eastAsia="de-DE"/>
    </w:rPr>
  </w:style>
  <w:style w:type="paragraph" w:customStyle="1" w:styleId="0Standard">
    <w:name w:val="0 Standard"/>
    <w:uiPriority w:val="99"/>
    <w:pPr>
      <w:spacing w:line="234" w:lineRule="exact"/>
      <w:ind w:firstLine="221"/>
      <w:jc w:val="both"/>
    </w:pPr>
    <w:rPr>
      <w:rFonts w:ascii="Times New Roman" w:eastAsia="SimSun" w:hAnsi="Times New Roman"/>
      <w:lang w:val="de-DE" w:eastAsia="de-DE"/>
    </w:rPr>
  </w:style>
  <w:style w:type="character" w:customStyle="1" w:styleId="Versalien">
    <w:name w:val="Versalien"/>
    <w:uiPriority w:val="99"/>
    <w:rPr>
      <w:rFonts w:cs="Times New Roman"/>
      <w:caps/>
      <w:spacing w:val="4"/>
      <w:sz w:val="18"/>
    </w:rPr>
  </w:style>
  <w:style w:type="paragraph" w:customStyle="1" w:styleId="TablesandFigures">
    <w:name w:val="Tables and Figures"/>
    <w:basedOn w:val="Normal"/>
    <w:next w:val="Normal"/>
    <w:uiPriority w:val="99"/>
    <w:pPr>
      <w:spacing w:after="0" w:line="240" w:lineRule="auto"/>
      <w:jc w:val="both"/>
    </w:pPr>
    <w:rPr>
      <w:rFonts w:ascii="Arial" w:eastAsia="SimSun" w:hAnsi="Arial"/>
      <w:lang w:val="de-DE" w:eastAsia="de-DE"/>
    </w:rPr>
  </w:style>
  <w:style w:type="paragraph" w:customStyle="1" w:styleId="KeinLeerraum">
    <w:name w:val="Kein Leerraum"/>
    <w:uiPriority w:val="99"/>
    <w:qFormat/>
    <w:rPr>
      <w:rFonts w:eastAsia="SimSun"/>
      <w:color w:val="D06F1A"/>
      <w:sz w:val="21"/>
      <w:szCs w:val="24"/>
      <w:lang w:val="en-US" w:eastAsia="en-US"/>
    </w:rPr>
  </w:style>
  <w:style w:type="paragraph" w:customStyle="1" w:styleId="TableBullet">
    <w:name w:val="Table Bullet"/>
    <w:basedOn w:val="Normal"/>
    <w:uiPriority w:val="99"/>
    <w:qFormat/>
    <w:pPr>
      <w:numPr>
        <w:numId w:val="15"/>
      </w:numPr>
      <w:spacing w:before="40" w:after="120" w:line="120" w:lineRule="atLeast"/>
      <w:ind w:left="302" w:hanging="302"/>
    </w:pPr>
    <w:rPr>
      <w:rFonts w:ascii="Arial" w:eastAsia="Times" w:hAnsi="Arial"/>
      <w:sz w:val="16"/>
      <w:szCs w:val="16"/>
      <w:lang w:eastAsia="en-GB"/>
    </w:rPr>
  </w:style>
  <w:style w:type="paragraph" w:customStyle="1" w:styleId="TableBullet2">
    <w:name w:val="Table Bullet 2"/>
    <w:basedOn w:val="TableBullet"/>
    <w:pPr>
      <w:widowControl w:val="0"/>
      <w:numPr>
        <w:ilvl w:val="1"/>
      </w:numPr>
    </w:pPr>
  </w:style>
  <w:style w:type="paragraph" w:styleId="NoSpacing">
    <w:name w:val="No Spacing"/>
    <w:link w:val="NoSpacingChar"/>
    <w:uiPriority w:val="1"/>
    <w:qFormat/>
    <w:rPr>
      <w:rFonts w:ascii="Calibri" w:eastAsia="Calibri" w:hAnsi="Calibri"/>
      <w:sz w:val="22"/>
      <w:szCs w:val="22"/>
      <w:lang w:eastAsia="en-US"/>
    </w:rPr>
  </w:style>
  <w:style w:type="table" w:styleId="LightShading-Accent5">
    <w:name w:val="Light Shading Accent 5"/>
    <w:basedOn w:val="TableNormal"/>
    <w:uiPriority w:val="60"/>
    <w:rPr>
      <w:color w:val="E2963F"/>
    </w:rPr>
    <w:tblPr>
      <w:tblStyleRowBandSize w:val="1"/>
      <w:tblStyleColBandSize w:val="1"/>
      <w:tblBorders>
        <w:top w:val="single" w:sz="8" w:space="0" w:color="EFC594"/>
        <w:bottom w:val="single" w:sz="8" w:space="0" w:color="EFC594"/>
      </w:tblBorders>
    </w:tblPr>
    <w:tblStylePr w:type="firstRow">
      <w:pPr>
        <w:spacing w:before="0" w:after="0" w:line="240" w:lineRule="auto"/>
      </w:pPr>
      <w:rPr>
        <w:b/>
        <w:bCs/>
      </w:rPr>
      <w:tblPr/>
      <w:tcPr>
        <w:tcBorders>
          <w:top w:val="single" w:sz="8" w:space="0" w:color="EFC594"/>
          <w:left w:val="nil"/>
          <w:bottom w:val="single" w:sz="8" w:space="0" w:color="EFC594"/>
          <w:right w:val="nil"/>
          <w:insideH w:val="nil"/>
          <w:insideV w:val="nil"/>
        </w:tcBorders>
      </w:tcPr>
    </w:tblStylePr>
    <w:tblStylePr w:type="lastRow">
      <w:pPr>
        <w:spacing w:before="0" w:after="0" w:line="240" w:lineRule="auto"/>
      </w:pPr>
      <w:rPr>
        <w:b/>
        <w:bCs/>
      </w:rPr>
      <w:tblPr/>
      <w:tcPr>
        <w:tcBorders>
          <w:top w:val="single" w:sz="8" w:space="0" w:color="EFC594"/>
          <w:left w:val="nil"/>
          <w:bottom w:val="single" w:sz="8" w:space="0" w:color="EFC59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F0E4"/>
      </w:tcPr>
    </w:tblStylePr>
    <w:tblStylePr w:type="band1Horz">
      <w:tblPr/>
      <w:tcPr>
        <w:tcBorders>
          <w:left w:val="nil"/>
          <w:right w:val="nil"/>
          <w:insideH w:val="nil"/>
          <w:insideV w:val="nil"/>
        </w:tcBorders>
        <w:shd w:val="clear" w:color="auto" w:fill="FBF0E4"/>
      </w:tcPr>
    </w:tblStylePr>
  </w:style>
  <w:style w:type="table" w:customStyle="1" w:styleId="MediumShading2-Accent11">
    <w:name w:val="Medium Shading 2 - Accent 11"/>
    <w:basedOn w:val="TableNormal"/>
    <w:uiPriority w:val="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8981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8981D"/>
      </w:tcPr>
    </w:tblStylePr>
    <w:tblStylePr w:type="lastCol">
      <w:rPr>
        <w:b/>
        <w:bCs/>
        <w:color w:val="FFFFFF"/>
      </w:rPr>
      <w:tblPr/>
      <w:tcPr>
        <w:tcBorders>
          <w:left w:val="nil"/>
          <w:right w:val="nil"/>
          <w:insideH w:val="nil"/>
          <w:insideV w:val="nil"/>
        </w:tcBorders>
        <w:shd w:val="clear" w:color="auto" w:fill="F8981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12">
    <w:name w:val="Medium Shading 1 - Accent 12"/>
    <w:basedOn w:val="TableNormal"/>
    <w:uiPriority w:val="63"/>
    <w:tblPr>
      <w:tblStyleRowBandSize w:val="1"/>
      <w:tblStyleColBandSize w:val="1"/>
      <w:tblBorders>
        <w:top w:val="single" w:sz="8" w:space="0" w:color="F9B155"/>
        <w:left w:val="single" w:sz="8" w:space="0" w:color="F9B155"/>
        <w:bottom w:val="single" w:sz="8" w:space="0" w:color="F9B155"/>
        <w:right w:val="single" w:sz="8" w:space="0" w:color="F9B155"/>
        <w:insideH w:val="single" w:sz="8" w:space="0" w:color="F9B155"/>
      </w:tblBorders>
    </w:tblPr>
    <w:tblStylePr w:type="firstRow">
      <w:pPr>
        <w:spacing w:before="0" w:after="0" w:line="240" w:lineRule="auto"/>
      </w:pPr>
      <w:rPr>
        <w:b/>
        <w:bCs/>
        <w:color w:val="FFFFFF"/>
      </w:rPr>
      <w:tblPr/>
      <w:tcPr>
        <w:tcBorders>
          <w:top w:val="single" w:sz="8" w:space="0" w:color="F9B155"/>
          <w:left w:val="single" w:sz="8" w:space="0" w:color="F9B155"/>
          <w:bottom w:val="single" w:sz="8" w:space="0" w:color="F9B155"/>
          <w:right w:val="single" w:sz="8" w:space="0" w:color="F9B155"/>
          <w:insideH w:val="nil"/>
          <w:insideV w:val="nil"/>
        </w:tcBorders>
        <w:shd w:val="clear" w:color="auto" w:fill="F8981D"/>
      </w:tcPr>
    </w:tblStylePr>
    <w:tblStylePr w:type="lastRow">
      <w:pPr>
        <w:spacing w:before="0" w:after="0" w:line="240" w:lineRule="auto"/>
      </w:pPr>
      <w:rPr>
        <w:b/>
        <w:bCs/>
      </w:rPr>
      <w:tblPr/>
      <w:tcPr>
        <w:tcBorders>
          <w:top w:val="double" w:sz="6" w:space="0" w:color="F9B155"/>
          <w:left w:val="single" w:sz="8" w:space="0" w:color="F9B155"/>
          <w:bottom w:val="single" w:sz="8" w:space="0" w:color="F9B155"/>
          <w:right w:val="single" w:sz="8" w:space="0" w:color="F9B155"/>
          <w:insideH w:val="nil"/>
          <w:insideV w:val="nil"/>
        </w:tcBorders>
      </w:tcPr>
    </w:tblStylePr>
    <w:tblStylePr w:type="firstCol">
      <w:rPr>
        <w:b/>
        <w:bCs/>
      </w:rPr>
    </w:tblStylePr>
    <w:tblStylePr w:type="lastCol">
      <w:rPr>
        <w:b/>
        <w:bCs/>
      </w:rPr>
    </w:tblStylePr>
    <w:tblStylePr w:type="band1Vert">
      <w:tblPr/>
      <w:tcPr>
        <w:shd w:val="clear" w:color="auto" w:fill="FDE5C7"/>
      </w:tcPr>
    </w:tblStylePr>
    <w:tblStylePr w:type="band1Horz">
      <w:tblPr/>
      <w:tcPr>
        <w:tcBorders>
          <w:insideH w:val="nil"/>
          <w:insideV w:val="nil"/>
        </w:tcBorders>
        <w:shd w:val="clear" w:color="auto" w:fill="FDE5C7"/>
      </w:tcPr>
    </w:tblStylePr>
    <w:tblStylePr w:type="band2Horz">
      <w:tblPr/>
      <w:tcPr>
        <w:tcBorders>
          <w:insideH w:val="nil"/>
          <w:insideV w:val="nil"/>
        </w:tcBorders>
      </w:tcPr>
    </w:tblStylePr>
  </w:style>
  <w:style w:type="table" w:styleId="MediumShading1-Accent3">
    <w:name w:val="Medium Shading 1 Accent 3"/>
    <w:basedOn w:val="TableNormal"/>
    <w:uiPriority w:val="63"/>
    <w:tblPr>
      <w:tblStyleRowBandSize w:val="1"/>
      <w:tblStyleColBandSize w:val="1"/>
      <w:tblBorders>
        <w:top w:val="single" w:sz="8" w:space="0" w:color="F8B172"/>
        <w:left w:val="single" w:sz="8" w:space="0" w:color="F8B172"/>
        <w:bottom w:val="single" w:sz="8" w:space="0" w:color="F8B172"/>
        <w:right w:val="single" w:sz="8" w:space="0" w:color="F8B172"/>
        <w:insideH w:val="single" w:sz="8" w:space="0" w:color="F8B172"/>
      </w:tblBorders>
    </w:tblPr>
    <w:tblStylePr w:type="firstRow">
      <w:pPr>
        <w:spacing w:before="0" w:after="0" w:line="240" w:lineRule="auto"/>
      </w:pPr>
      <w:rPr>
        <w:b/>
        <w:bCs/>
        <w:color w:val="FFFFFF"/>
      </w:rPr>
      <w:tblPr/>
      <w:tcPr>
        <w:tcBorders>
          <w:top w:val="single" w:sz="8" w:space="0" w:color="F8B172"/>
          <w:left w:val="single" w:sz="8" w:space="0" w:color="F8B172"/>
          <w:bottom w:val="single" w:sz="8" w:space="0" w:color="F8B172"/>
          <w:right w:val="single" w:sz="8" w:space="0" w:color="F8B172"/>
          <w:insideH w:val="nil"/>
          <w:insideV w:val="nil"/>
        </w:tcBorders>
        <w:shd w:val="clear" w:color="auto" w:fill="F69843"/>
      </w:tcPr>
    </w:tblStylePr>
    <w:tblStylePr w:type="lastRow">
      <w:pPr>
        <w:spacing w:before="0" w:after="0" w:line="240" w:lineRule="auto"/>
      </w:pPr>
      <w:rPr>
        <w:b/>
        <w:bCs/>
      </w:rPr>
      <w:tblPr/>
      <w:tcPr>
        <w:tcBorders>
          <w:top w:val="double" w:sz="6" w:space="0" w:color="F8B172"/>
          <w:left w:val="single" w:sz="8" w:space="0" w:color="F8B172"/>
          <w:bottom w:val="single" w:sz="8" w:space="0" w:color="F8B172"/>
          <w:right w:val="single" w:sz="8" w:space="0" w:color="F8B172"/>
          <w:insideH w:val="nil"/>
          <w:insideV w:val="nil"/>
        </w:tcBorders>
      </w:tcPr>
    </w:tblStylePr>
    <w:tblStylePr w:type="firstCol">
      <w:rPr>
        <w:b/>
        <w:bCs/>
      </w:rPr>
    </w:tblStylePr>
    <w:tblStylePr w:type="lastCol">
      <w:rPr>
        <w:b/>
        <w:bCs/>
      </w:rPr>
    </w:tblStylePr>
    <w:tblStylePr w:type="band1Vert">
      <w:tblPr/>
      <w:tcPr>
        <w:shd w:val="clear" w:color="auto" w:fill="FCE5D0"/>
      </w:tcPr>
    </w:tblStylePr>
    <w:tblStylePr w:type="band1Horz">
      <w:tblPr/>
      <w:tcPr>
        <w:tcBorders>
          <w:insideH w:val="nil"/>
          <w:insideV w:val="nil"/>
        </w:tcBorders>
        <w:shd w:val="clear" w:color="auto" w:fill="FCE5D0"/>
      </w:tcPr>
    </w:tblStylePr>
    <w:tblStylePr w:type="band2Horz">
      <w:tblPr/>
      <w:tcPr>
        <w:tcBorders>
          <w:insideH w:val="nil"/>
          <w:insideV w:val="nil"/>
        </w:tcBorders>
      </w:tcPr>
    </w:tblStylePr>
  </w:style>
  <w:style w:type="character" w:customStyle="1" w:styleId="CaptionChar">
    <w:name w:val="Caption Char"/>
    <w:aliases w:val="Caption Char Char Char Char Char Char Char Char Char Char Char Char Char Char Char Char Char Char Char,Beschriftung Char2 Char Char,Beschriftung Char1 Cha... Char,Beschriftung Char2 Char1,Beschriftung Char1 Char1 Char,Figure Char"/>
    <w:link w:val="Caption"/>
    <w:uiPriority w:val="99"/>
    <w:locked/>
    <w:rPr>
      <w:rFonts w:eastAsia="Times New Roman"/>
      <w:b/>
      <w:i/>
      <w:color w:val="D06F1A"/>
      <w:lang w:val="en-GB" w:eastAsia="en-US"/>
    </w:rPr>
  </w:style>
  <w:style w:type="table" w:customStyle="1" w:styleId="LightList-Accent12">
    <w:name w:val="Light List - Accent 12"/>
    <w:basedOn w:val="TableNormal"/>
    <w:uiPriority w:val="61"/>
    <w:pPr>
      <w:spacing w:after="120"/>
    </w:pPr>
    <w:rPr>
      <w:rFonts w:eastAsia="Times New Roman"/>
      <w:color w:val="000000"/>
      <w:sz w:val="18"/>
      <w:szCs w:val="21"/>
      <w:lang w:val="en-GB" w:eastAsia="en-US"/>
    </w:rPr>
    <w:tblPr>
      <w:tblStyleRowBandSize w:val="1"/>
      <w:tblStyleColBandSize w:val="1"/>
      <w:tblBorders>
        <w:top w:val="single" w:sz="8" w:space="0" w:color="F8981D"/>
        <w:left w:val="single" w:sz="8" w:space="0" w:color="F8981D"/>
        <w:bottom w:val="single" w:sz="8" w:space="0" w:color="F8981D"/>
        <w:right w:val="single" w:sz="8" w:space="0" w:color="F8981D"/>
      </w:tblBorders>
    </w:tblPr>
    <w:tblStylePr w:type="firstRow">
      <w:pPr>
        <w:spacing w:before="0" w:after="0"/>
      </w:pPr>
      <w:rPr>
        <w:rFonts w:cs="Times New Roman"/>
        <w:b/>
        <w:bCs/>
        <w:color w:val="FFFFFF"/>
      </w:rPr>
      <w:tblPr/>
      <w:tcPr>
        <w:shd w:val="clear" w:color="auto" w:fill="F8981D"/>
      </w:tcPr>
    </w:tblStylePr>
    <w:tblStylePr w:type="lastRow">
      <w:pPr>
        <w:spacing w:before="0" w:after="0"/>
      </w:pPr>
      <w:rPr>
        <w:rFonts w:cs="Times New Roman"/>
        <w:b/>
        <w:bCs/>
      </w:rPr>
      <w:tblPr/>
      <w:tcPr>
        <w:tcBorders>
          <w:top w:val="double" w:sz="6" w:space="0" w:color="F8981D"/>
          <w:left w:val="single" w:sz="8" w:space="0" w:color="F8981D"/>
          <w:bottom w:val="single" w:sz="8" w:space="0" w:color="F8981D"/>
          <w:right w:val="single" w:sz="8" w:space="0" w:color="F8981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8981D"/>
          <w:left w:val="single" w:sz="8" w:space="0" w:color="F8981D"/>
          <w:bottom w:val="single" w:sz="8" w:space="0" w:color="F8981D"/>
          <w:right w:val="single" w:sz="8" w:space="0" w:color="F8981D"/>
        </w:tcBorders>
      </w:tcPr>
    </w:tblStylePr>
    <w:tblStylePr w:type="band1Horz">
      <w:rPr>
        <w:rFonts w:cs="Times New Roman"/>
      </w:rPr>
      <w:tblPr/>
      <w:tcPr>
        <w:tcBorders>
          <w:top w:val="single" w:sz="8" w:space="0" w:color="F8981D"/>
          <w:left w:val="single" w:sz="8" w:space="0" w:color="F8981D"/>
          <w:bottom w:val="single" w:sz="8" w:space="0" w:color="F8981D"/>
          <w:right w:val="single" w:sz="8" w:space="0" w:color="F8981D"/>
        </w:tcBorders>
      </w:tcPr>
    </w:tblStylePr>
  </w:style>
  <w:style w:type="paragraph" w:customStyle="1" w:styleId="tableheading">
    <w:name w:val="table heading"/>
    <w:basedOn w:val="Normal"/>
    <w:link w:val="tableheadingChar"/>
    <w:uiPriority w:val="99"/>
    <w:pPr>
      <w:keepNext/>
      <w:keepLines/>
      <w:widowControl w:val="0"/>
      <w:spacing w:before="120" w:after="120" w:line="240" w:lineRule="auto"/>
      <w:jc w:val="center"/>
    </w:pPr>
    <w:rPr>
      <w:rFonts w:ascii="Arial" w:eastAsia="Times New Roman" w:hAnsi="Arial"/>
      <w:b/>
      <w:bCs/>
      <w:snapToGrid w:val="0"/>
      <w:szCs w:val="18"/>
      <w:lang w:val="fr-FR"/>
    </w:rPr>
  </w:style>
  <w:style w:type="paragraph" w:customStyle="1" w:styleId="tableheading2">
    <w:name w:val="table heading 2"/>
    <w:basedOn w:val="tableheading"/>
    <w:link w:val="tableheading2Char"/>
    <w:pPr>
      <w:spacing w:before="60" w:after="60"/>
    </w:pPr>
    <w:rPr>
      <w:b w:val="0"/>
      <w:bCs w:val="0"/>
    </w:rPr>
  </w:style>
  <w:style w:type="paragraph" w:customStyle="1" w:styleId="tablefillnobullets">
    <w:name w:val="table fill no bullets"/>
    <w:basedOn w:val="Normal"/>
    <w:link w:val="tablefillnobulletsChar"/>
    <w:pPr>
      <w:autoSpaceDE w:val="0"/>
      <w:autoSpaceDN w:val="0"/>
      <w:adjustRightInd w:val="0"/>
      <w:spacing w:before="120" w:after="120" w:line="240" w:lineRule="auto"/>
    </w:pPr>
    <w:rPr>
      <w:rFonts w:ascii="Arial" w:eastAsia="Times New Roman" w:hAnsi="Arial"/>
      <w:snapToGrid w:val="0"/>
      <w:szCs w:val="18"/>
      <w:lang w:val="fr-BE"/>
    </w:rPr>
  </w:style>
  <w:style w:type="paragraph" w:customStyle="1" w:styleId="tablefillbullets">
    <w:name w:val="table fill bullets"/>
    <w:basedOn w:val="tablefillnobullets"/>
    <w:link w:val="tablefillbulletsChar"/>
    <w:pPr>
      <w:numPr>
        <w:numId w:val="16"/>
      </w:numPr>
      <w:tabs>
        <w:tab w:val="clear" w:pos="720"/>
        <w:tab w:val="num" w:pos="926"/>
      </w:tabs>
      <w:spacing w:after="0"/>
      <w:ind w:left="926"/>
    </w:pPr>
  </w:style>
  <w:style w:type="character" w:customStyle="1" w:styleId="tablefillnobulletsChar">
    <w:name w:val="table fill no bullets Char"/>
    <w:link w:val="tablefillnobullets"/>
    <w:rPr>
      <w:rFonts w:ascii="Arial" w:eastAsia="Times New Roman" w:hAnsi="Arial" w:cs="Arial"/>
      <w:snapToGrid w:val="0"/>
      <w:szCs w:val="18"/>
      <w:lang w:val="fr-BE" w:eastAsia="en-US"/>
    </w:rPr>
  </w:style>
  <w:style w:type="character" w:customStyle="1" w:styleId="tablefillbulletsChar">
    <w:name w:val="table fill bullets Char"/>
    <w:link w:val="tablefillbullets"/>
    <w:rPr>
      <w:rFonts w:ascii="Arial" w:eastAsia="Times New Roman" w:hAnsi="Arial"/>
      <w:snapToGrid w:val="0"/>
      <w:szCs w:val="18"/>
      <w:lang w:val="fr-BE" w:eastAsia="en-US"/>
    </w:rPr>
  </w:style>
  <w:style w:type="character" w:customStyle="1" w:styleId="tableheadingChar">
    <w:name w:val="table heading Char"/>
    <w:link w:val="tableheading"/>
    <w:uiPriority w:val="99"/>
    <w:rPr>
      <w:rFonts w:ascii="Arial" w:eastAsia="Times New Roman" w:hAnsi="Arial" w:cs="Arial"/>
      <w:b/>
      <w:bCs/>
      <w:snapToGrid w:val="0"/>
      <w:szCs w:val="18"/>
      <w:lang w:val="fr-FR" w:eastAsia="en-US"/>
    </w:rPr>
  </w:style>
  <w:style w:type="character" w:customStyle="1" w:styleId="tableheading2Char">
    <w:name w:val="table heading 2 Char"/>
    <w:link w:val="tableheading2"/>
    <w:rPr>
      <w:rFonts w:ascii="Arial" w:eastAsia="Times New Roman" w:hAnsi="Arial" w:cs="Arial"/>
      <w:b w:val="0"/>
      <w:bCs w:val="0"/>
      <w:snapToGrid w:val="0"/>
      <w:szCs w:val="18"/>
      <w:lang w:val="fr-FR" w:eastAsia="en-US"/>
    </w:rPr>
  </w:style>
  <w:style w:type="character" w:styleId="IntenseReference">
    <w:name w:val="Intense Reference"/>
    <w:uiPriority w:val="32"/>
    <w:unhideWhenUsed/>
    <w:qFormat/>
    <w:rPr>
      <w:b/>
      <w:bCs/>
      <w:i w:val="0"/>
      <w:smallCaps/>
      <w:color w:val="auto"/>
      <w:spacing w:val="5"/>
      <w:u w:val="none"/>
    </w:rPr>
  </w:style>
  <w:style w:type="character" w:styleId="SubtleEmphasis">
    <w:name w:val="Subtle Emphasis"/>
    <w:uiPriority w:val="19"/>
    <w:unhideWhenUsed/>
    <w:qFormat/>
    <w:rPr>
      <w:b w:val="0"/>
      <w:i/>
      <w:iCs/>
      <w:color w:val="auto"/>
      <w:u w:val="none"/>
    </w:rPr>
  </w:style>
  <w:style w:type="character" w:styleId="SubtleReference">
    <w:name w:val="Subtle Reference"/>
    <w:uiPriority w:val="31"/>
    <w:unhideWhenUsed/>
    <w:qFormat/>
    <w:rPr>
      <w:b w:val="0"/>
      <w:i w:val="0"/>
      <w:smallCaps/>
      <w:color w:val="auto"/>
      <w:u w:val="single"/>
    </w:rPr>
  </w:style>
  <w:style w:type="table" w:styleId="LightShading-Accent2">
    <w:name w:val="Light Shading Accent 2"/>
    <w:basedOn w:val="TableNormal"/>
    <w:uiPriority w:val="60"/>
    <w:rPr>
      <w:rFonts w:ascii="Calibri" w:eastAsia="Calibri" w:hAnsi="Calibri"/>
      <w:color w:val="B05500"/>
      <w:sz w:val="21"/>
      <w:szCs w:val="21"/>
      <w:lang w:val="en-GB" w:eastAsia="en-US"/>
    </w:rPr>
    <w:tblPr>
      <w:tblStyleRowBandSize w:val="1"/>
      <w:tblStyleColBandSize w:val="1"/>
      <w:tblBorders>
        <w:top w:val="single" w:sz="8" w:space="0" w:color="EC7200"/>
        <w:bottom w:val="single" w:sz="8" w:space="0" w:color="EC7200"/>
      </w:tblBorders>
    </w:tblPr>
    <w:tblStylePr w:type="firstRow">
      <w:pPr>
        <w:spacing w:before="0" w:after="0" w:line="240" w:lineRule="auto"/>
      </w:pPr>
      <w:rPr>
        <w:b/>
        <w:bCs/>
      </w:rPr>
      <w:tblPr/>
      <w:tcPr>
        <w:tcBorders>
          <w:top w:val="single" w:sz="8" w:space="0" w:color="EC7200"/>
          <w:left w:val="nil"/>
          <w:bottom w:val="single" w:sz="8" w:space="0" w:color="EC7200"/>
          <w:right w:val="nil"/>
          <w:insideH w:val="nil"/>
          <w:insideV w:val="nil"/>
        </w:tcBorders>
      </w:tcPr>
    </w:tblStylePr>
    <w:tblStylePr w:type="lastRow">
      <w:pPr>
        <w:spacing w:before="0" w:after="0" w:line="240" w:lineRule="auto"/>
      </w:pPr>
      <w:rPr>
        <w:b/>
        <w:bCs/>
      </w:rPr>
      <w:tblPr/>
      <w:tcPr>
        <w:tcBorders>
          <w:top w:val="single" w:sz="8" w:space="0" w:color="EC7200"/>
          <w:left w:val="nil"/>
          <w:bottom w:val="single" w:sz="8" w:space="0" w:color="EC72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BBB"/>
      </w:tcPr>
    </w:tblStylePr>
    <w:tblStylePr w:type="band1Horz">
      <w:tblPr/>
      <w:tcPr>
        <w:tcBorders>
          <w:left w:val="nil"/>
          <w:right w:val="nil"/>
          <w:insideH w:val="nil"/>
          <w:insideV w:val="nil"/>
        </w:tcBorders>
        <w:shd w:val="clear" w:color="auto" w:fill="FFDBBB"/>
      </w:tcPr>
    </w:tblStylePr>
  </w:style>
  <w:style w:type="table" w:styleId="MediumShading1-Accent4">
    <w:name w:val="Medium Shading 1 Accent 4"/>
    <w:basedOn w:val="TableNormal"/>
    <w:uiPriority w:val="63"/>
    <w:rPr>
      <w:rFonts w:ascii="Calibri" w:eastAsia="Calibri" w:hAnsi="Calibri"/>
      <w:color w:val="000000"/>
      <w:sz w:val="21"/>
      <w:szCs w:val="21"/>
      <w:lang w:val="en-GB" w:eastAsia="en-US"/>
    </w:rPr>
    <w:tblPr>
      <w:tblStyleRowBandSize w:val="1"/>
      <w:tblStyleColBandSize w:val="1"/>
      <w:tblBorders>
        <w:top w:val="single" w:sz="8" w:space="0" w:color="F3C18E"/>
        <w:left w:val="single" w:sz="8" w:space="0" w:color="F3C18E"/>
        <w:bottom w:val="single" w:sz="8" w:space="0" w:color="F3C18E"/>
        <w:right w:val="single" w:sz="8" w:space="0" w:color="F3C18E"/>
        <w:insideH w:val="single" w:sz="8" w:space="0" w:color="F3C18E"/>
      </w:tblBorders>
    </w:tblPr>
    <w:tblStylePr w:type="firstRow">
      <w:pPr>
        <w:spacing w:before="0" w:after="0" w:line="240" w:lineRule="auto"/>
      </w:pPr>
      <w:rPr>
        <w:b/>
        <w:bCs/>
        <w:color w:val="FFFFFF"/>
      </w:rPr>
      <w:tblPr/>
      <w:tcPr>
        <w:tcBorders>
          <w:top w:val="single" w:sz="8" w:space="0" w:color="F3C18E"/>
          <w:left w:val="single" w:sz="8" w:space="0" w:color="F3C18E"/>
          <w:bottom w:val="single" w:sz="8" w:space="0" w:color="F3C18E"/>
          <w:right w:val="single" w:sz="8" w:space="0" w:color="F3C18E"/>
          <w:insideH w:val="nil"/>
          <w:insideV w:val="nil"/>
        </w:tcBorders>
        <w:shd w:val="clear" w:color="auto" w:fill="EFAD69"/>
      </w:tcPr>
    </w:tblStylePr>
    <w:tblStylePr w:type="lastRow">
      <w:pPr>
        <w:spacing w:before="0" w:after="0" w:line="240" w:lineRule="auto"/>
      </w:pPr>
      <w:rPr>
        <w:b/>
        <w:bCs/>
      </w:rPr>
      <w:tblPr/>
      <w:tcPr>
        <w:tcBorders>
          <w:top w:val="double" w:sz="6" w:space="0" w:color="F3C18E"/>
          <w:left w:val="single" w:sz="8" w:space="0" w:color="F3C18E"/>
          <w:bottom w:val="single" w:sz="8" w:space="0" w:color="F3C18E"/>
          <w:right w:val="single" w:sz="8" w:space="0" w:color="F3C18E"/>
          <w:insideH w:val="nil"/>
          <w:insideV w:val="nil"/>
        </w:tcBorders>
      </w:tcPr>
    </w:tblStylePr>
    <w:tblStylePr w:type="firstCol">
      <w:rPr>
        <w:b/>
        <w:bCs/>
      </w:rPr>
    </w:tblStylePr>
    <w:tblStylePr w:type="lastCol">
      <w:rPr>
        <w:b/>
        <w:bCs/>
      </w:rPr>
    </w:tblStylePr>
    <w:tblStylePr w:type="band1Vert">
      <w:tblPr/>
      <w:tcPr>
        <w:shd w:val="clear" w:color="auto" w:fill="FBEAD9"/>
      </w:tcPr>
    </w:tblStylePr>
    <w:tblStylePr w:type="band1Horz">
      <w:tblPr/>
      <w:tcPr>
        <w:tcBorders>
          <w:insideH w:val="nil"/>
          <w:insideV w:val="nil"/>
        </w:tcBorders>
        <w:shd w:val="clear" w:color="auto" w:fill="FBEAD9"/>
      </w:tcPr>
    </w:tblStylePr>
    <w:tblStylePr w:type="band2Horz">
      <w:tblPr/>
      <w:tcPr>
        <w:tcBorders>
          <w:insideH w:val="nil"/>
          <w:insideV w:val="nil"/>
        </w:tcBorders>
      </w:tcPr>
    </w:tblStylePr>
  </w:style>
  <w:style w:type="table" w:customStyle="1" w:styleId="MarginTable">
    <w:name w:val="MarginTable"/>
    <w:basedOn w:val="TableNormal"/>
    <w:uiPriority w:val="99"/>
    <w:qFormat/>
    <w:rPr>
      <w:rFonts w:ascii="Calibri" w:eastAsia="Calibri" w:hAnsi="Calibri"/>
      <w:color w:val="000000"/>
      <w:sz w:val="16"/>
      <w:szCs w:val="21"/>
      <w:lang w:val="en-GB" w:eastAsia="en-US"/>
    </w:rPr>
    <w:tblPr>
      <w:tblBorders>
        <w:top w:val="single" w:sz="4" w:space="0" w:color="auto"/>
        <w:bottom w:val="dotted" w:sz="4" w:space="0" w:color="auto"/>
        <w:insideH w:val="dotted" w:sz="4" w:space="0" w:color="auto"/>
      </w:tblBorders>
      <w:tblCellMar>
        <w:top w:w="57" w:type="dxa"/>
        <w:left w:w="0" w:type="dxa"/>
        <w:right w:w="0" w:type="dxa"/>
      </w:tblCellMar>
    </w:tblPr>
    <w:tblStylePr w:type="firstRow">
      <w:rPr>
        <w:b/>
      </w:rPr>
    </w:tblStylePr>
  </w:style>
  <w:style w:type="paragraph" w:customStyle="1" w:styleId="Logo">
    <w:name w:val="Logo"/>
    <w:basedOn w:val="Normal"/>
    <w:next w:val="Normal"/>
    <w:uiPriority w:val="15"/>
    <w:unhideWhenUsed/>
    <w:qFormat/>
    <w:pPr>
      <w:spacing w:after="0" w:line="240" w:lineRule="auto"/>
      <w:jc w:val="right"/>
    </w:pPr>
    <w:rPr>
      <w:rFonts w:ascii="PwC_Logo" w:eastAsia="Calibri" w:hAnsi="PwC_Logo"/>
      <w:color w:val="D06F1A"/>
      <w:sz w:val="48"/>
      <w:szCs w:val="48"/>
    </w:rPr>
  </w:style>
  <w:style w:type="table" w:customStyle="1" w:styleId="PwCTable1">
    <w:name w:val="PwC Table 1"/>
    <w:basedOn w:val="TableNormal"/>
    <w:uiPriority w:val="99"/>
    <w:qFormat/>
    <w:rPr>
      <w:rFonts w:ascii="Calibri" w:eastAsia="Calibri" w:hAnsi="Calibri"/>
      <w:color w:val="000000"/>
      <w:sz w:val="18"/>
      <w:szCs w:val="22"/>
      <w:lang w:val="en-GB" w:eastAsia="en-US"/>
    </w:rPr>
    <w:tblPr>
      <w:tblStyleRowBandSize w:val="1"/>
      <w:tblBorders>
        <w:bottom w:val="dotted" w:sz="6" w:space="0" w:color="D06F1A"/>
      </w:tblBorders>
      <w:tblCellMar>
        <w:top w:w="57" w:type="dxa"/>
        <w:left w:w="0" w:type="dxa"/>
        <w:right w:w="0" w:type="dxa"/>
      </w:tblCellMar>
    </w:tblPr>
    <w:tblStylePr w:type="firstRow">
      <w:pPr>
        <w:wordWrap/>
        <w:spacing w:beforeLines="0" w:beforeAutospacing="0" w:afterLines="0" w:afterAutospacing="0" w:line="210" w:lineRule="atLeast"/>
        <w:contextualSpacing w:val="0"/>
      </w:pPr>
      <w:rPr>
        <w:rFonts w:ascii="Cambria" w:hAnsi="Cambria"/>
        <w:b/>
        <w:color w:val="D06F1A"/>
        <w:sz w:val="18"/>
      </w:rPr>
      <w:tblPr/>
      <w:tcPr>
        <w:tcBorders>
          <w:top w:val="single" w:sz="6" w:space="0" w:color="D06F1A"/>
          <w:left w:val="nil"/>
          <w:bottom w:val="dotted" w:sz="6" w:space="0" w:color="D06F1A"/>
          <w:right w:val="nil"/>
          <w:insideH w:val="nil"/>
          <w:insideV w:val="nil"/>
          <w:tl2br w:val="nil"/>
          <w:tr2bl w:val="nil"/>
        </w:tcBorders>
      </w:tcPr>
    </w:tblStylePr>
    <w:tblStylePr w:type="lastRow">
      <w:tblPr/>
      <w:tcPr>
        <w:shd w:val="clear" w:color="auto" w:fill="F9E1CD"/>
      </w:tcPr>
    </w:tblStylePr>
    <w:tblStylePr w:type="band1Horz">
      <w:pPr>
        <w:wordWrap/>
        <w:spacing w:beforeLines="0" w:beforeAutospacing="0" w:afterLines="0" w:afterAutospacing="0" w:line="210" w:lineRule="atLeast"/>
      </w:pPr>
    </w:tblStylePr>
    <w:tblStylePr w:type="band2Horz">
      <w:pPr>
        <w:wordWrap/>
        <w:spacing w:beforeLines="0" w:beforeAutospacing="0" w:afterLines="0" w:afterAutospacing="0" w:line="210" w:lineRule="atLeast"/>
      </w:pPr>
    </w:tblStylePr>
  </w:style>
  <w:style w:type="paragraph" w:customStyle="1" w:styleId="Disclaimer">
    <w:name w:val="Disclaimer"/>
    <w:basedOn w:val="Footer"/>
    <w:uiPriority w:val="34"/>
    <w:qFormat/>
    <w:pPr>
      <w:tabs>
        <w:tab w:val="center" w:pos="4513"/>
        <w:tab w:val="right" w:pos="9026"/>
      </w:tabs>
      <w:spacing w:line="200" w:lineRule="atLeast"/>
    </w:pPr>
    <w:rPr>
      <w:rFonts w:ascii="Cambria" w:eastAsia="Calibri" w:hAnsi="Cambria"/>
      <w:color w:val="000000"/>
      <w:sz w:val="14"/>
      <w:szCs w:val="14"/>
    </w:rPr>
  </w:style>
  <w:style w:type="numbering" w:customStyle="1" w:styleId="SmartBullets">
    <w:name w:val="Smart Bullets"/>
    <w:uiPriority w:val="99"/>
    <w:pPr>
      <w:numPr>
        <w:numId w:val="17"/>
      </w:numPr>
    </w:pPr>
  </w:style>
  <w:style w:type="character" w:styleId="PlaceholderText">
    <w:name w:val="Placeholder Text"/>
    <w:uiPriority w:val="99"/>
    <w:semiHidden/>
    <w:rPr>
      <w:color w:val="808080"/>
    </w:rPr>
  </w:style>
  <w:style w:type="paragraph" w:customStyle="1" w:styleId="TOCTitles">
    <w:name w:val="TOC Titles"/>
    <w:basedOn w:val="Normal"/>
    <w:uiPriority w:val="34"/>
    <w:qFormat/>
    <w:pPr>
      <w:tabs>
        <w:tab w:val="right" w:pos="8364"/>
      </w:tabs>
      <w:spacing w:after="120"/>
      <w:ind w:left="1701"/>
    </w:pPr>
    <w:rPr>
      <w:rFonts w:eastAsia="Calibri"/>
      <w:b/>
      <w:color w:val="D06F1A"/>
      <w:szCs w:val="21"/>
    </w:rPr>
  </w:style>
  <w:style w:type="paragraph" w:customStyle="1" w:styleId="Quotedetails">
    <w:name w:val="Quote details"/>
    <w:basedOn w:val="Normal"/>
    <w:uiPriority w:val="34"/>
    <w:qFormat/>
    <w:pPr>
      <w:spacing w:after="360"/>
      <w:contextualSpacing/>
    </w:pPr>
    <w:rPr>
      <w:rFonts w:eastAsia="Calibri"/>
      <w:color w:val="D06F1A"/>
      <w:sz w:val="24"/>
      <w:szCs w:val="21"/>
    </w:rPr>
  </w:style>
  <w:style w:type="paragraph" w:customStyle="1" w:styleId="Margintext">
    <w:name w:val="Margin text"/>
    <w:basedOn w:val="Normal"/>
    <w:uiPriority w:val="34"/>
    <w:qFormat/>
    <w:pPr>
      <w:framePr w:w="1928" w:hSpace="227" w:wrap="around" w:vAnchor="text" w:hAnchor="page" w:x="795" w:y="1"/>
      <w:pBdr>
        <w:top w:val="dotted" w:sz="4" w:space="4" w:color="000000"/>
        <w:left w:val="dotted" w:sz="4" w:space="4" w:color="FFFFFF"/>
      </w:pBdr>
    </w:pPr>
    <w:rPr>
      <w:rFonts w:eastAsia="Calibri"/>
      <w:i/>
      <w:szCs w:val="21"/>
    </w:rPr>
  </w:style>
  <w:style w:type="paragraph" w:customStyle="1" w:styleId="MarginTable0">
    <w:name w:val="Margin Table"/>
    <w:basedOn w:val="Margintext"/>
    <w:uiPriority w:val="34"/>
    <w:qFormat/>
    <w:pPr>
      <w:framePr w:wrap="around"/>
      <w:pBdr>
        <w:top w:val="dotted" w:sz="4" w:space="1" w:color="000000"/>
      </w:pBdr>
      <w:spacing w:after="0" w:line="240" w:lineRule="auto"/>
    </w:pPr>
    <w:rPr>
      <w:rFonts w:ascii="Calibri" w:hAnsi="Calibri"/>
      <w:i w:val="0"/>
      <w:sz w:val="16"/>
    </w:rPr>
  </w:style>
  <w:style w:type="table" w:customStyle="1" w:styleId="PwCMarginTable">
    <w:name w:val="PwC Margin Table"/>
    <w:basedOn w:val="TableNormal"/>
    <w:uiPriority w:val="99"/>
    <w:qFormat/>
    <w:rPr>
      <w:rFonts w:ascii="Calibri" w:eastAsia="Calibri" w:hAnsi="Calibri"/>
      <w:color w:val="000000"/>
      <w:sz w:val="21"/>
      <w:szCs w:val="21"/>
      <w:lang w:val="en-GB" w:eastAsia="en-US"/>
    </w:rPr>
    <w:tblPr/>
    <w:tblStylePr w:type="firstRow">
      <w:tblPr/>
      <w:tcPr>
        <w:tcBorders>
          <w:top w:val="nil"/>
        </w:tcBorders>
      </w:tcPr>
    </w:tblStylePr>
  </w:style>
  <w:style w:type="paragraph" w:customStyle="1" w:styleId="MarginLines">
    <w:name w:val="Margin Lines"/>
    <w:basedOn w:val="Margintext"/>
    <w:uiPriority w:val="34"/>
    <w:qFormat/>
    <w:pPr>
      <w:framePr w:wrap="around"/>
      <w:spacing w:after="200" w:line="200" w:lineRule="atLeast"/>
    </w:pPr>
    <w:rPr>
      <w:rFonts w:ascii="Arial" w:hAnsi="Arial"/>
      <w:i w:val="0"/>
      <w:sz w:val="16"/>
    </w:rPr>
  </w:style>
  <w:style w:type="paragraph" w:customStyle="1" w:styleId="MarginLinesHeading">
    <w:name w:val="Margin Lines Heading"/>
    <w:basedOn w:val="MarginLines"/>
    <w:uiPriority w:val="34"/>
    <w:qFormat/>
    <w:pPr>
      <w:framePr w:wrap="around"/>
      <w:pBdr>
        <w:top w:val="single" w:sz="8" w:space="1" w:color="000000"/>
        <w:bottom w:val="dashSmallGap" w:sz="4" w:space="1" w:color="auto"/>
      </w:pBdr>
      <w:spacing w:after="0"/>
    </w:pPr>
  </w:style>
  <w:style w:type="paragraph" w:customStyle="1" w:styleId="MarginLinesBody">
    <w:name w:val="Margin Lines Body"/>
    <w:basedOn w:val="MarginLinesHeading"/>
    <w:uiPriority w:val="34"/>
    <w:qFormat/>
    <w:pPr>
      <w:framePr w:wrap="around"/>
      <w:pBdr>
        <w:top w:val="none" w:sz="0" w:space="0" w:color="auto"/>
        <w:between w:val="dashSmallGap" w:sz="4" w:space="1" w:color="auto"/>
      </w:pBdr>
      <w:tabs>
        <w:tab w:val="right" w:pos="1932"/>
      </w:tabs>
    </w:pPr>
  </w:style>
  <w:style w:type="paragraph" w:customStyle="1" w:styleId="Elbow">
    <w:name w:val="Elbow"/>
    <w:basedOn w:val="Normal"/>
    <w:uiPriority w:val="34"/>
    <w:qFormat/>
    <w:pPr>
      <w:framePr w:wrap="around" w:vAnchor="text" w:hAnchor="text" w:y="1" w:anchorLock="1"/>
      <w:spacing w:after="0" w:line="240" w:lineRule="auto"/>
    </w:pPr>
    <w:rPr>
      <w:rFonts w:eastAsia="Calibri"/>
      <w:color w:val="000000"/>
      <w:szCs w:val="21"/>
    </w:rPr>
  </w:style>
  <w:style w:type="paragraph" w:customStyle="1" w:styleId="FrameLine">
    <w:name w:val="Frame Line"/>
    <w:basedOn w:val="MarginLines"/>
    <w:next w:val="Heading1"/>
    <w:uiPriority w:val="34"/>
    <w:qFormat/>
    <w:pPr>
      <w:framePr w:w="8618" w:h="227" w:hRule="exact" w:hSpace="0" w:wrap="around" w:vAnchor="page" w:hAnchor="text" w:x="-226" w:y="1447" w:anchorLock="1"/>
      <w:pBdr>
        <w:top w:val="single" w:sz="6" w:space="0" w:color="D06F1A"/>
        <w:left w:val="single" w:sz="6" w:space="0" w:color="D06F1A"/>
      </w:pBdr>
      <w:spacing w:after="0"/>
    </w:pPr>
  </w:style>
  <w:style w:type="numbering" w:customStyle="1" w:styleId="Appendix">
    <w:name w:val="Appendix"/>
    <w:uiPriority w:val="99"/>
    <w:pPr>
      <w:numPr>
        <w:numId w:val="18"/>
      </w:numPr>
    </w:pPr>
  </w:style>
  <w:style w:type="paragraph" w:customStyle="1" w:styleId="TableSpacer">
    <w:name w:val="Table Spacer"/>
    <w:basedOn w:val="Normal"/>
    <w:uiPriority w:val="34"/>
    <w:qFormat/>
    <w:pPr>
      <w:spacing w:after="0" w:line="240" w:lineRule="auto"/>
    </w:pPr>
    <w:rPr>
      <w:rFonts w:eastAsia="Calibri"/>
      <w:color w:val="000000"/>
      <w:sz w:val="4"/>
      <w:szCs w:val="21"/>
    </w:rPr>
  </w:style>
  <w:style w:type="paragraph" w:customStyle="1" w:styleId="FrameLine-Cover">
    <w:name w:val="Frame Line-Cover"/>
    <w:basedOn w:val="FrameLine"/>
    <w:uiPriority w:val="34"/>
    <w:qFormat/>
    <w:pPr>
      <w:framePr w:wrap="around" w:y="3176"/>
      <w:pBdr>
        <w:top w:val="single" w:sz="6" w:space="0" w:color="auto"/>
        <w:left w:val="single" w:sz="6" w:space="0" w:color="auto"/>
      </w:pBdr>
    </w:pPr>
  </w:style>
  <w:style w:type="paragraph" w:customStyle="1" w:styleId="Callout2">
    <w:name w:val="Callout 2"/>
    <w:next w:val="NoParagraphStyle"/>
    <w:pPr>
      <w:framePr w:hSpace="187" w:wrap="around" w:vAnchor="page" w:hAnchor="page" w:x="721" w:y="6913"/>
      <w:spacing w:after="180" w:line="280" w:lineRule="atLeast"/>
      <w:suppressOverlap/>
    </w:pPr>
    <w:rPr>
      <w:rFonts w:eastAsia="Times New Roman" w:cs="Arial"/>
      <w:i/>
      <w:sz w:val="19"/>
      <w:szCs w:val="36"/>
      <w:lang w:val="es-ES" w:eastAsia="en-US"/>
    </w:rPr>
  </w:style>
  <w:style w:type="paragraph" w:customStyle="1" w:styleId="Sectionheading">
    <w:name w:val="Sectionheading"/>
    <w:basedOn w:val="Normal"/>
    <w:next w:val="Normal"/>
    <w:qFormat/>
    <w:pPr>
      <w:pageBreakBefore/>
      <w:spacing w:after="960" w:line="264" w:lineRule="auto"/>
    </w:pPr>
    <w:rPr>
      <w:rFonts w:ascii="Cambria" w:eastAsia="Times New Roman" w:hAnsi="Cambria"/>
      <w:sz w:val="60"/>
    </w:rPr>
  </w:style>
  <w:style w:type="paragraph" w:customStyle="1" w:styleId="SectionheadingWhite">
    <w:name w:val="SectionheadingWhite"/>
    <w:basedOn w:val="Sectionheading"/>
    <w:next w:val="Normal"/>
    <w:pPr>
      <w:framePr w:wrap="auto" w:hAnchor="text" w:y="-199"/>
    </w:pPr>
    <w:rPr>
      <w:b/>
      <w:i/>
      <w:color w:val="FFFFFF"/>
    </w:rPr>
  </w:style>
  <w:style w:type="paragraph" w:customStyle="1" w:styleId="Subheading0">
    <w:name w:val="Subheading"/>
    <w:basedOn w:val="Sectionheading"/>
    <w:qFormat/>
    <w:pPr>
      <w:pageBreakBefore w:val="0"/>
      <w:spacing w:after="480" w:line="600" w:lineRule="atLeast"/>
    </w:pPr>
    <w:rPr>
      <w:sz w:val="48"/>
    </w:rPr>
  </w:style>
  <w:style w:type="paragraph" w:customStyle="1" w:styleId="TableSpacer0">
    <w:name w:val="TableSpacer"/>
    <w:basedOn w:val="Normal"/>
    <w:pPr>
      <w:spacing w:after="0" w:line="240" w:lineRule="auto"/>
    </w:pPr>
    <w:rPr>
      <w:rFonts w:ascii="Cambria" w:eastAsia="Times New Roman" w:hAnsi="Cambria" w:cs="Arial"/>
      <w:sz w:val="4"/>
      <w:lang w:eastAsia="en-GB"/>
    </w:rPr>
  </w:style>
  <w:style w:type="paragraph" w:customStyle="1" w:styleId="CoverCallOut">
    <w:name w:val="CoverCallOut"/>
    <w:basedOn w:val="Header"/>
    <w:qFormat/>
    <w:pPr>
      <w:framePr w:w="2126" w:wrap="around" w:vAnchor="page" w:hAnchor="page" w:x="795" w:y="8506"/>
      <w:pBdr>
        <w:top w:val="dotted" w:sz="6" w:space="6" w:color="auto"/>
        <w:left w:val="dotted" w:sz="6" w:space="4" w:color="FFFFFF"/>
        <w:bottom w:val="dotted" w:sz="6" w:space="30" w:color="FFFFFF"/>
      </w:pBdr>
      <w:tabs>
        <w:tab w:val="center" w:pos="4465"/>
        <w:tab w:val="right" w:pos="8930"/>
      </w:tabs>
      <w:spacing w:after="120" w:line="240" w:lineRule="atLeast"/>
    </w:pPr>
    <w:rPr>
      <w:rFonts w:ascii="Cambria" w:eastAsia="Times New Roman" w:hAnsi="Cambria"/>
      <w:i/>
      <w:sz w:val="16"/>
    </w:rPr>
  </w:style>
  <w:style w:type="paragraph" w:customStyle="1" w:styleId="TableText">
    <w:name w:val="Table Text"/>
    <w:basedOn w:val="Normal"/>
    <w:qFormat/>
    <w:pPr>
      <w:spacing w:after="0" w:line="264" w:lineRule="auto"/>
      <w:contextualSpacing/>
    </w:pPr>
    <w:rPr>
      <w:rFonts w:ascii="Calibri" w:eastAsia="Times New Roman" w:hAnsi="Calibri"/>
      <w:sz w:val="16"/>
      <w:lang w:val="en-US"/>
    </w:rPr>
  </w:style>
  <w:style w:type="paragraph" w:customStyle="1" w:styleId="TableColumnHeader">
    <w:name w:val="Table Column Header"/>
    <w:basedOn w:val="TableText"/>
    <w:qFormat/>
    <w:rPr>
      <w:rFonts w:cs="Arial"/>
      <w:szCs w:val="36"/>
      <w:lang w:val="es-ES"/>
    </w:rPr>
  </w:style>
  <w:style w:type="paragraph" w:customStyle="1" w:styleId="TableFigure">
    <w:name w:val="Table Figure"/>
    <w:basedOn w:val="TableText"/>
    <w:qFormat/>
    <w:pPr>
      <w:tabs>
        <w:tab w:val="decimal" w:pos="595"/>
      </w:tabs>
    </w:pPr>
    <w:rPr>
      <w:snapToGrid w:val="0"/>
    </w:rPr>
  </w:style>
  <w:style w:type="paragraph" w:customStyle="1" w:styleId="TableListNumber">
    <w:name w:val="Table List Number"/>
    <w:basedOn w:val="TableText"/>
    <w:qFormat/>
    <w:pPr>
      <w:tabs>
        <w:tab w:val="left" w:pos="298"/>
      </w:tabs>
      <w:ind w:left="298" w:hanging="298"/>
    </w:pPr>
  </w:style>
  <w:style w:type="paragraph" w:styleId="TableofAuthorities">
    <w:name w:val="table of authorities"/>
    <w:basedOn w:val="Normal"/>
    <w:next w:val="Normal"/>
    <w:semiHidden/>
    <w:locked/>
    <w:pPr>
      <w:spacing w:after="0" w:line="264" w:lineRule="auto"/>
      <w:ind w:left="595" w:hanging="200"/>
    </w:pPr>
    <w:rPr>
      <w:rFonts w:ascii="Cambria" w:eastAsia="Times New Roman" w:hAnsi="Cambria"/>
    </w:rPr>
  </w:style>
  <w:style w:type="paragraph" w:customStyle="1" w:styleId="TableRowHeader">
    <w:name w:val="Table Row Header"/>
    <w:basedOn w:val="TableText"/>
    <w:qFormat/>
    <w:rPr>
      <w:b/>
      <w:bCs/>
      <w:snapToGrid w:val="0"/>
    </w:rPr>
  </w:style>
  <w:style w:type="table" w:customStyle="1" w:styleId="DP-Plain">
    <w:name w:val="DP-Plain"/>
    <w:basedOn w:val="TableNormal"/>
    <w:uiPriority w:val="99"/>
    <w:qFormat/>
    <w:rPr>
      <w:rFonts w:ascii="Arial" w:eastAsia="Calibri" w:hAnsi="Arial"/>
      <w:lang w:val="en-GB" w:eastAsia="en-US"/>
    </w:rPr>
    <w:tblPr>
      <w:tblBorders>
        <w:bottom w:val="dotted" w:sz="6" w:space="0" w:color="auto"/>
      </w:tblBorders>
      <w:tblCellMar>
        <w:top w:w="57" w:type="dxa"/>
        <w:left w:w="0" w:type="dxa"/>
        <w:right w:w="0" w:type="dxa"/>
      </w:tblCellMar>
    </w:tblPr>
    <w:tblStylePr w:type="firstRow">
      <w:rPr>
        <w:b/>
      </w:rPr>
      <w:tblPr/>
      <w:tcPr>
        <w:tcBorders>
          <w:top w:val="single" w:sz="6" w:space="0" w:color="auto"/>
          <w:bottom w:val="dotted" w:sz="6" w:space="0" w:color="auto"/>
        </w:tcBorders>
      </w:tcPr>
    </w:tblStylePr>
  </w:style>
  <w:style w:type="table" w:customStyle="1" w:styleId="DP-PlainColoured">
    <w:name w:val="DP-PlainColoured"/>
    <w:basedOn w:val="TableNormal"/>
    <w:uiPriority w:val="99"/>
    <w:qFormat/>
    <w:rPr>
      <w:rFonts w:ascii="Calibri" w:eastAsia="Calibri" w:hAnsi="Calibri"/>
      <w:color w:val="000000"/>
      <w:sz w:val="21"/>
      <w:szCs w:val="21"/>
      <w:lang w:val="en-GB" w:eastAsia="en-US"/>
    </w:rPr>
    <w:tblPr>
      <w:tblBorders>
        <w:top w:val="single" w:sz="4" w:space="0" w:color="D06F1A"/>
        <w:insideH w:val="dotted" w:sz="6" w:space="0" w:color="D06F1A"/>
      </w:tblBorders>
      <w:tblCellMar>
        <w:top w:w="57" w:type="dxa"/>
        <w:left w:w="0" w:type="dxa"/>
        <w:right w:w="0" w:type="dxa"/>
      </w:tblCellMar>
    </w:tblPr>
    <w:tblStylePr w:type="firstRow">
      <w:rPr>
        <w:b/>
      </w:rPr>
    </w:tblStylePr>
  </w:style>
  <w:style w:type="paragraph" w:customStyle="1" w:styleId="DisclaimerCopyright">
    <w:name w:val="Disclaimer &amp; Copyright"/>
    <w:basedOn w:val="Normal"/>
    <w:uiPriority w:val="99"/>
    <w:pPr>
      <w:suppressAutoHyphens/>
      <w:autoSpaceDE w:val="0"/>
      <w:autoSpaceDN w:val="0"/>
      <w:adjustRightInd w:val="0"/>
      <w:spacing w:after="0" w:line="180" w:lineRule="atLeast"/>
      <w:textAlignment w:val="center"/>
    </w:pPr>
    <w:rPr>
      <w:rFonts w:eastAsia="Calibri" w:cs="Georgia"/>
      <w:color w:val="000000"/>
      <w:sz w:val="14"/>
      <w:szCs w:val="14"/>
      <w:lang w:val="en-US"/>
    </w:rPr>
  </w:style>
  <w:style w:type="paragraph" w:styleId="TOAHeading">
    <w:name w:val="toa heading"/>
    <w:basedOn w:val="Normal"/>
    <w:next w:val="Normal"/>
    <w:uiPriority w:val="99"/>
    <w:unhideWhenUsed/>
    <w:locked/>
    <w:pPr>
      <w:spacing w:before="120" w:after="0"/>
    </w:pPr>
    <w:rPr>
      <w:rFonts w:ascii="Cambria" w:eastAsia="Times New Roman" w:hAnsi="Cambria"/>
      <w:b/>
      <w:bCs/>
      <w:color w:val="000000"/>
      <w:sz w:val="24"/>
      <w:szCs w:val="24"/>
    </w:rPr>
  </w:style>
  <w:style w:type="paragraph" w:customStyle="1" w:styleId="NoParagraphStyle">
    <w:name w:val="[No Paragraph Style]"/>
    <w:pPr>
      <w:autoSpaceDE w:val="0"/>
      <w:autoSpaceDN w:val="0"/>
      <w:adjustRightInd w:val="0"/>
      <w:spacing w:line="288" w:lineRule="auto"/>
      <w:textAlignment w:val="center"/>
    </w:pPr>
    <w:rPr>
      <w:rFonts w:ascii="Times New Roman" w:eastAsia="Calibri" w:hAnsi="Times New Roman"/>
      <w:color w:val="000000"/>
      <w:sz w:val="24"/>
      <w:szCs w:val="24"/>
      <w:lang w:val="en-US" w:eastAsia="en-US"/>
    </w:rPr>
  </w:style>
  <w:style w:type="paragraph" w:customStyle="1" w:styleId="Pagenumber1">
    <w:name w:val="Page number 1"/>
    <w:basedOn w:val="Footer"/>
    <w:uiPriority w:val="34"/>
    <w:qFormat/>
    <w:pPr>
      <w:tabs>
        <w:tab w:val="right" w:pos="8392"/>
      </w:tabs>
      <w:spacing w:before="400" w:line="180" w:lineRule="atLeast"/>
    </w:pPr>
    <w:rPr>
      <w:rFonts w:eastAsia="Calibri"/>
      <w:color w:val="000000"/>
      <w:szCs w:val="16"/>
    </w:rPr>
  </w:style>
  <w:style w:type="character" w:customStyle="1" w:styleId="List-bold">
    <w:name w:val="List - bold"/>
    <w:uiPriority w:val="1"/>
    <w:qFormat/>
    <w:rPr>
      <w:b/>
    </w:rPr>
  </w:style>
  <w:style w:type="paragraph" w:customStyle="1" w:styleId="Callout">
    <w:name w:val="Callout"/>
    <w:uiPriority w:val="34"/>
    <w:qFormat/>
    <w:pPr>
      <w:framePr w:hSpace="187" w:wrap="around" w:vAnchor="page" w:hAnchor="page" w:x="721" w:y="6481"/>
      <w:spacing w:after="180" w:line="280" w:lineRule="atLeast"/>
      <w:suppressOverlap/>
    </w:pPr>
    <w:rPr>
      <w:rFonts w:eastAsia="Times New Roman" w:cs="Arial"/>
      <w:i/>
      <w:color w:val="D06F1A"/>
      <w:sz w:val="16"/>
      <w:szCs w:val="24"/>
      <w:lang w:val="es-ES" w:eastAsia="en-US"/>
    </w:rPr>
  </w:style>
  <w:style w:type="paragraph" w:customStyle="1" w:styleId="Dividerpage">
    <w:name w:val="Divider page"/>
    <w:uiPriority w:val="34"/>
    <w:qFormat/>
    <w:pPr>
      <w:spacing w:after="240" w:line="720" w:lineRule="atLeast"/>
      <w:suppressOverlap/>
    </w:pPr>
    <w:rPr>
      <w:rFonts w:eastAsia="Times New Roman"/>
      <w:b/>
      <w:i/>
      <w:noProof/>
      <w:color w:val="FFFFFF"/>
      <w:kern w:val="28"/>
      <w:sz w:val="72"/>
      <w:szCs w:val="66"/>
      <w:lang w:val="en-US" w:eastAsia="en-GB"/>
    </w:rPr>
  </w:style>
  <w:style w:type="paragraph" w:customStyle="1" w:styleId="ChartTitle">
    <w:name w:val="Chart Title"/>
    <w:uiPriority w:val="34"/>
    <w:qFormat/>
    <w:pPr>
      <w:spacing w:before="240" w:line="240" w:lineRule="atLeast"/>
    </w:pPr>
    <w:rPr>
      <w:rFonts w:ascii="Cambria" w:eastAsia="Times New Roman" w:hAnsi="Cambria"/>
      <w:b/>
      <w:bCs/>
      <w:color w:val="000000"/>
      <w:szCs w:val="21"/>
      <w:lang w:val="en-GB" w:eastAsia="en-US"/>
    </w:rPr>
  </w:style>
  <w:style w:type="paragraph" w:customStyle="1" w:styleId="PwCAddress">
    <w:name w:val="PwC Address"/>
    <w:basedOn w:val="Normal"/>
    <w:link w:val="PwCAddressChar"/>
    <w:qFormat/>
    <w:pPr>
      <w:spacing w:after="0" w:line="200" w:lineRule="atLeast"/>
    </w:pPr>
    <w:rPr>
      <w:rFonts w:eastAsia="Calibri"/>
      <w:i/>
      <w:noProof/>
      <w:sz w:val="18"/>
      <w:szCs w:val="22"/>
      <w:lang w:eastAsia="en-GB"/>
    </w:rPr>
  </w:style>
  <w:style w:type="character" w:customStyle="1" w:styleId="PwCAddressChar">
    <w:name w:val="PwC Address Char"/>
    <w:link w:val="PwCAddress"/>
    <w:rPr>
      <w:rFonts w:eastAsia="Calibri" w:cs="Times New Roman"/>
      <w:i/>
      <w:noProof/>
      <w:sz w:val="18"/>
      <w:szCs w:val="22"/>
      <w:lang w:val="en-GB" w:eastAsia="en-GB"/>
    </w:rPr>
  </w:style>
  <w:style w:type="table" w:customStyle="1" w:styleId="TableGrid10">
    <w:name w:val="Table Grid1"/>
    <w:basedOn w:val="TableNormal"/>
    <w:next w:val="TableGrid"/>
    <w:rPr>
      <w:rFonts w:eastAsia="Calibri"/>
      <w:lang w:val="en-GB"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ppendix1">
    <w:name w:val="Appendix 1"/>
    <w:basedOn w:val="Normal"/>
    <w:uiPriority w:val="34"/>
    <w:qFormat/>
    <w:pPr>
      <w:spacing w:after="480" w:line="600" w:lineRule="atLeast"/>
    </w:pPr>
    <w:rPr>
      <w:rFonts w:eastAsia="Times New Roman"/>
      <w:b/>
      <w:bCs/>
      <w:i/>
      <w:color w:val="000000"/>
      <w:sz w:val="56"/>
      <w:szCs w:val="56"/>
      <w:lang w:val="en-US"/>
    </w:rPr>
  </w:style>
  <w:style w:type="character" w:customStyle="1" w:styleId="NoSpacingChar">
    <w:name w:val="No Spacing Char"/>
    <w:link w:val="NoSpacing"/>
    <w:uiPriority w:val="1"/>
    <w:rPr>
      <w:rFonts w:ascii="Calibri" w:eastAsia="Calibri" w:hAnsi="Calibri"/>
      <w:sz w:val="22"/>
      <w:szCs w:val="22"/>
      <w:lang w:val="it-IT" w:eastAsia="en-US" w:bidi="ar-SA"/>
    </w:rPr>
  </w:style>
  <w:style w:type="table" w:customStyle="1" w:styleId="FrameLineColoured">
    <w:name w:val="Frame Line Coloured"/>
    <w:basedOn w:val="TableNormal"/>
    <w:uiPriority w:val="99"/>
    <w:qFormat/>
    <w:rPr>
      <w:rFonts w:eastAsia="Calibri"/>
      <w:lang w:val="en-GB" w:eastAsia="en-US"/>
    </w:rPr>
    <w:tblPr>
      <w:tblBorders>
        <w:top w:val="single" w:sz="8" w:space="0" w:color="D06F1A"/>
        <w:left w:val="single" w:sz="8" w:space="0" w:color="D06F1A"/>
      </w:tblBorders>
      <w:tblCellMar>
        <w:left w:w="227" w:type="dxa"/>
        <w:right w:w="0" w:type="dxa"/>
      </w:tblCellMar>
    </w:tblPr>
  </w:style>
  <w:style w:type="paragraph" w:customStyle="1" w:styleId="BodyTextBlue">
    <w:name w:val="Body Text Blue"/>
    <w:basedOn w:val="BodyText30"/>
    <w:qFormat/>
    <w:pPr>
      <w:spacing w:before="0" w:after="0"/>
      <w:jc w:val="left"/>
    </w:pPr>
    <w:rPr>
      <w:rFonts w:ascii="Georgia" w:hAnsi="Georgia"/>
      <w:bCs/>
      <w:color w:val="000000"/>
      <w:sz w:val="21"/>
      <w:lang w:val="en-GB"/>
    </w:rPr>
  </w:style>
  <w:style w:type="paragraph" w:customStyle="1" w:styleId="CVNormal">
    <w:name w:val="CV Normal"/>
    <w:basedOn w:val="Normal"/>
    <w:pPr>
      <w:suppressAutoHyphens/>
      <w:spacing w:after="0" w:line="240" w:lineRule="auto"/>
      <w:ind w:left="113" w:right="113"/>
    </w:pPr>
    <w:rPr>
      <w:rFonts w:ascii="Arial Narrow" w:eastAsia="Times New Roman" w:hAnsi="Arial Narrow"/>
      <w:lang w:val="en-US" w:eastAsia="ar-SA"/>
    </w:rPr>
  </w:style>
  <w:style w:type="paragraph" w:customStyle="1" w:styleId="OiaeaeiYiio2">
    <w:name w:val="O?ia eaeiYiio 2"/>
    <w:basedOn w:val="Normal"/>
    <w:pPr>
      <w:widowControl w:val="0"/>
      <w:spacing w:after="0" w:line="240" w:lineRule="auto"/>
      <w:jc w:val="right"/>
    </w:pPr>
    <w:rPr>
      <w:rFonts w:ascii="Times New Roman" w:eastAsia="Times New Roman" w:hAnsi="Times New Roman"/>
      <w:i/>
      <w:sz w:val="16"/>
      <w:lang w:val="en-US" w:eastAsia="it-IT"/>
    </w:rPr>
  </w:style>
  <w:style w:type="table" w:customStyle="1" w:styleId="PwCTable11">
    <w:name w:val="PwC Table 11"/>
    <w:basedOn w:val="TableNormal"/>
    <w:uiPriority w:val="99"/>
    <w:qFormat/>
    <w:rPr>
      <w:rFonts w:ascii="Arial" w:hAnsi="Arial"/>
      <w:color w:val="000000"/>
      <w:sz w:val="18"/>
      <w:lang w:val="en-GB" w:eastAsia="en-US"/>
    </w:rPr>
    <w:tblPr>
      <w:tblStyleRowBandSize w:val="1"/>
      <w:tblBorders>
        <w:bottom w:val="dotted" w:sz="6" w:space="0" w:color="DC6900"/>
      </w:tblBorders>
      <w:tblCellMar>
        <w:top w:w="57" w:type="dxa"/>
        <w:left w:w="0" w:type="dxa"/>
        <w:right w:w="0" w:type="dxa"/>
      </w:tblCellMar>
    </w:tblPr>
    <w:tblStylePr w:type="firstRow">
      <w:pPr>
        <w:wordWrap/>
        <w:spacing w:beforeLines="0" w:beforeAutospacing="0" w:afterLines="0" w:afterAutospacing="0" w:line="210" w:lineRule="atLeast"/>
        <w:contextualSpacing w:val="0"/>
      </w:pPr>
      <w:rPr>
        <w:rFonts w:ascii="Arial Bold" w:hAnsi="Arial Bold"/>
        <w:b/>
        <w:color w:val="DC6900"/>
        <w:sz w:val="18"/>
      </w:rPr>
      <w:tblPr/>
      <w:tcPr>
        <w:tcBorders>
          <w:top w:val="single" w:sz="6" w:space="0" w:color="DC6900"/>
          <w:left w:val="nil"/>
          <w:bottom w:val="dotted" w:sz="6" w:space="0" w:color="DC6900"/>
          <w:right w:val="nil"/>
          <w:insideH w:val="nil"/>
          <w:insideV w:val="nil"/>
          <w:tl2br w:val="nil"/>
          <w:tr2bl w:val="nil"/>
        </w:tcBorders>
      </w:tcPr>
    </w:tblStylePr>
    <w:tblStylePr w:type="lastRow">
      <w:tblPr/>
      <w:tcPr>
        <w:shd w:val="clear" w:color="auto" w:fill="FFE0C5"/>
      </w:tcPr>
    </w:tblStylePr>
    <w:tblStylePr w:type="band1Horz">
      <w:pPr>
        <w:wordWrap/>
        <w:spacing w:beforeLines="0" w:beforeAutospacing="0" w:afterLines="0" w:afterAutospacing="0" w:line="210" w:lineRule="atLeast"/>
      </w:pPr>
    </w:tblStylePr>
    <w:tblStylePr w:type="band2Horz">
      <w:pPr>
        <w:wordWrap/>
        <w:spacing w:beforeLines="0" w:beforeAutospacing="0" w:afterLines="0" w:afterAutospacing="0" w:line="210" w:lineRule="atLeast"/>
      </w:pPr>
    </w:tblStylePr>
  </w:style>
  <w:style w:type="character" w:customStyle="1" w:styleId="FootnoteTextChar1">
    <w:name w:val="Footnote Text Char1"/>
    <w:aliases w:val="Reference Char,-E Fußnotentext Char,-E Fußnotentext1 Char,-E Fußnotentext2 Char,-E Fußnotentext3 Char,Fußnotentext Ursprung Char,Fußnote Char,Foot note Char,Foot note Char1 Char,Testo nota a piè di pagina_Rientro Char1,stile 1 Char1"/>
    <w:uiPriority w:val="99"/>
    <w:rPr>
      <w:rFonts w:ascii="Verdana" w:hAnsi="Verdana"/>
      <w:spacing w:val="6"/>
      <w:sz w:val="16"/>
      <w:szCs w:val="14"/>
      <w:lang w:val="en-GB" w:eastAsia="en-US" w:bidi="ar-SA"/>
    </w:rPr>
  </w:style>
  <w:style w:type="paragraph" w:customStyle="1" w:styleId="subtitel">
    <w:name w:val="subtitel"/>
    <w:basedOn w:val="Normal"/>
    <w:pPr>
      <w:suppressAutoHyphens/>
      <w:spacing w:after="0"/>
      <w:jc w:val="both"/>
    </w:pPr>
    <w:rPr>
      <w:rFonts w:ascii="Verdana" w:eastAsia="Times New Roman" w:hAnsi="Verdana"/>
      <w:b/>
      <w:spacing w:val="18"/>
      <w:lang w:val="nl-NL"/>
    </w:rPr>
  </w:style>
  <w:style w:type="paragraph" w:customStyle="1" w:styleId="CM65">
    <w:name w:val="CM65"/>
    <w:basedOn w:val="Normal"/>
    <w:next w:val="Normal"/>
    <w:pPr>
      <w:widowControl w:val="0"/>
      <w:autoSpaceDE w:val="0"/>
      <w:autoSpaceDN w:val="0"/>
      <w:adjustRightInd w:val="0"/>
      <w:spacing w:after="253" w:line="240" w:lineRule="auto"/>
    </w:pPr>
    <w:rPr>
      <w:rFonts w:ascii="Arial" w:eastAsia="Times New Roman" w:hAnsi="Arial"/>
      <w:sz w:val="24"/>
      <w:szCs w:val="24"/>
      <w:lang w:val="nl-NL" w:eastAsia="nl-NL"/>
    </w:rPr>
  </w:style>
  <w:style w:type="paragraph" w:customStyle="1" w:styleId="msolistparagraph0">
    <w:name w:val="msolistparagraph"/>
    <w:basedOn w:val="Normal"/>
    <w:uiPriority w:val="99"/>
    <w:pPr>
      <w:spacing w:after="200" w:line="276" w:lineRule="auto"/>
      <w:ind w:left="720"/>
    </w:pPr>
    <w:rPr>
      <w:rFonts w:ascii="Calibri" w:eastAsia="Times New Roman" w:hAnsi="Calibri"/>
      <w:sz w:val="22"/>
      <w:szCs w:val="22"/>
      <w:lang w:val="en-US" w:eastAsia="ja-JP"/>
    </w:rPr>
  </w:style>
  <w:style w:type="paragraph" w:customStyle="1" w:styleId="ListTE">
    <w:name w:val="List TE"/>
    <w:basedOn w:val="Normal"/>
    <w:link w:val="ListTEChar"/>
    <w:qFormat/>
    <w:pPr>
      <w:keepLines/>
      <w:spacing w:after="40" w:line="260" w:lineRule="atLeast"/>
      <w:jc w:val="both"/>
    </w:pPr>
    <w:rPr>
      <w:rFonts w:ascii="Times New Roman" w:eastAsia="Times New Roman" w:hAnsi="Times New Roman"/>
      <w:sz w:val="22"/>
      <w:szCs w:val="24"/>
      <w:lang w:val="nl-BE"/>
    </w:rPr>
  </w:style>
  <w:style w:type="character" w:customStyle="1" w:styleId="ListTEChar">
    <w:name w:val="List TE Char"/>
    <w:link w:val="ListTE"/>
    <w:rPr>
      <w:rFonts w:ascii="Times New Roman" w:eastAsia="Times New Roman" w:hAnsi="Times New Roman"/>
      <w:sz w:val="22"/>
      <w:szCs w:val="24"/>
      <w:lang w:val="nl-BE" w:eastAsia="en-US"/>
    </w:rPr>
  </w:style>
  <w:style w:type="character" w:customStyle="1" w:styleId="Blue">
    <w:name w:val="Blue"/>
    <w:uiPriority w:val="1"/>
    <w:qFormat/>
    <w:rPr>
      <w:rFonts w:ascii="Times New Roman" w:hAnsi="Times New Roman"/>
      <w:b/>
      <w:color w:val="D06F1A"/>
      <w:sz w:val="22"/>
    </w:rPr>
  </w:style>
  <w:style w:type="table" w:styleId="MediumList1-Accent3">
    <w:name w:val="Medium List 1 Accent 3"/>
    <w:basedOn w:val="TableNormal"/>
    <w:uiPriority w:val="65"/>
    <w:rPr>
      <w:color w:val="000000"/>
    </w:rPr>
    <w:tblPr>
      <w:tblStyleRowBandSize w:val="1"/>
      <w:tblStyleColBandSize w:val="1"/>
      <w:tblBorders>
        <w:top w:val="single" w:sz="8" w:space="0" w:color="F69843"/>
        <w:bottom w:val="single" w:sz="8" w:space="0" w:color="F69843"/>
      </w:tblBorders>
    </w:tblPr>
    <w:tblStylePr w:type="firstRow">
      <w:rPr>
        <w:rFonts w:ascii="Cambria" w:eastAsia="Times New Roman" w:hAnsi="Cambria" w:cs="Times New Roman"/>
      </w:rPr>
      <w:tblPr/>
      <w:tcPr>
        <w:tcBorders>
          <w:top w:val="nil"/>
          <w:bottom w:val="single" w:sz="8" w:space="0" w:color="F69843"/>
        </w:tcBorders>
      </w:tcPr>
    </w:tblStylePr>
    <w:tblStylePr w:type="lastRow">
      <w:rPr>
        <w:b/>
        <w:bCs/>
        <w:color w:val="D06F1A"/>
      </w:rPr>
      <w:tblPr/>
      <w:tcPr>
        <w:tcBorders>
          <w:top w:val="single" w:sz="8" w:space="0" w:color="F69843"/>
          <w:bottom w:val="single" w:sz="8" w:space="0" w:color="F69843"/>
        </w:tcBorders>
      </w:tcPr>
    </w:tblStylePr>
    <w:tblStylePr w:type="firstCol">
      <w:rPr>
        <w:b/>
        <w:bCs/>
      </w:rPr>
    </w:tblStylePr>
    <w:tblStylePr w:type="lastCol">
      <w:rPr>
        <w:b/>
        <w:bCs/>
      </w:rPr>
      <w:tblPr/>
      <w:tcPr>
        <w:tcBorders>
          <w:top w:val="single" w:sz="8" w:space="0" w:color="F69843"/>
          <w:bottom w:val="single" w:sz="8" w:space="0" w:color="F69843"/>
        </w:tcBorders>
      </w:tcPr>
    </w:tblStylePr>
    <w:tblStylePr w:type="band1Vert">
      <w:tblPr/>
      <w:tcPr>
        <w:shd w:val="clear" w:color="auto" w:fill="FCE5D0"/>
      </w:tcPr>
    </w:tblStylePr>
    <w:tblStylePr w:type="band1Horz">
      <w:tblPr/>
      <w:tcPr>
        <w:shd w:val="clear" w:color="auto" w:fill="FCE5D0"/>
      </w:tcPr>
    </w:tblStylePr>
  </w:style>
  <w:style w:type="paragraph" w:customStyle="1" w:styleId="Sectiona">
    <w:name w:val="Sectiona"/>
    <w:basedOn w:val="BodyText"/>
    <w:link w:val="SectionaChar"/>
    <w:qFormat/>
    <w:rPr>
      <w:b/>
      <w:i/>
      <w:sz w:val="32"/>
      <w:szCs w:val="32"/>
      <w:lang w:val="en-US"/>
    </w:rPr>
  </w:style>
  <w:style w:type="character" w:customStyle="1" w:styleId="SectionaChar">
    <w:name w:val="Sectiona Char"/>
    <w:link w:val="Sectiona"/>
    <w:rPr>
      <w:rFonts w:cs="Times New Roman"/>
      <w:b/>
      <w:i/>
      <w:sz w:val="32"/>
      <w:szCs w:val="32"/>
      <w:lang w:val="en-US" w:eastAsia="en-US"/>
    </w:rPr>
  </w:style>
  <w:style w:type="paragraph" w:customStyle="1" w:styleId="xl63">
    <w:name w:val="xl63"/>
    <w:basedOn w:val="Normal"/>
    <w:pPr>
      <w:pBdr>
        <w:bottom w:val="dotted" w:sz="4" w:space="0" w:color="DC6900"/>
      </w:pBdr>
      <w:shd w:val="clear" w:color="000000" w:fill="FBEEE0"/>
      <w:spacing w:before="100" w:beforeAutospacing="1" w:after="100" w:afterAutospacing="1" w:line="240" w:lineRule="auto"/>
      <w:jc w:val="both"/>
    </w:pPr>
    <w:rPr>
      <w:rFonts w:eastAsia="Times New Roman"/>
      <w:b/>
      <w:bCs/>
      <w:color w:val="000000"/>
      <w:sz w:val="18"/>
      <w:szCs w:val="18"/>
      <w:lang w:val="it-IT" w:eastAsia="it-IT"/>
    </w:rPr>
  </w:style>
  <w:style w:type="paragraph" w:customStyle="1" w:styleId="xl64">
    <w:name w:val="xl64"/>
    <w:basedOn w:val="Normal"/>
    <w:pPr>
      <w:pBdr>
        <w:bottom w:val="dotted" w:sz="4" w:space="0" w:color="DC6900"/>
      </w:pBdr>
      <w:shd w:val="clear" w:color="000000" w:fill="FBEEE0"/>
      <w:spacing w:before="100" w:beforeAutospacing="1" w:after="100" w:afterAutospacing="1" w:line="240" w:lineRule="auto"/>
    </w:pPr>
    <w:rPr>
      <w:rFonts w:eastAsia="Times New Roman"/>
      <w:color w:val="000000"/>
      <w:sz w:val="18"/>
      <w:szCs w:val="18"/>
      <w:lang w:val="it-IT" w:eastAsia="it-IT"/>
    </w:rPr>
  </w:style>
  <w:style w:type="paragraph" w:customStyle="1" w:styleId="xl65">
    <w:name w:val="xl65"/>
    <w:basedOn w:val="Normal"/>
    <w:pPr>
      <w:spacing w:before="100" w:beforeAutospacing="1" w:after="100" w:afterAutospacing="1" w:line="240" w:lineRule="auto"/>
      <w:jc w:val="both"/>
    </w:pPr>
    <w:rPr>
      <w:rFonts w:eastAsia="Times New Roman"/>
      <w:color w:val="000000"/>
      <w:sz w:val="18"/>
      <w:szCs w:val="18"/>
      <w:lang w:val="it-IT" w:eastAsia="it-IT"/>
    </w:rPr>
  </w:style>
  <w:style w:type="paragraph" w:customStyle="1" w:styleId="xl66">
    <w:name w:val="xl66"/>
    <w:basedOn w:val="Normal"/>
    <w:pPr>
      <w:pBdr>
        <w:bottom w:val="dotted" w:sz="4" w:space="0" w:color="DC6900"/>
      </w:pBdr>
      <w:spacing w:before="100" w:beforeAutospacing="1" w:after="100" w:afterAutospacing="1" w:line="240" w:lineRule="auto"/>
      <w:jc w:val="both"/>
    </w:pPr>
    <w:rPr>
      <w:rFonts w:eastAsia="Times New Roman"/>
      <w:color w:val="000000"/>
      <w:sz w:val="18"/>
      <w:szCs w:val="18"/>
      <w:lang w:val="it-IT" w:eastAsia="it-IT"/>
    </w:rPr>
  </w:style>
  <w:style w:type="paragraph" w:customStyle="1" w:styleId="xl67">
    <w:name w:val="xl67"/>
    <w:basedOn w:val="Normal"/>
    <w:pPr>
      <w:pBdr>
        <w:bottom w:val="dotted" w:sz="4" w:space="0" w:color="DC6900"/>
      </w:pBdr>
      <w:spacing w:before="100" w:beforeAutospacing="1" w:after="100" w:afterAutospacing="1" w:line="240" w:lineRule="auto"/>
      <w:jc w:val="both"/>
    </w:pPr>
    <w:rPr>
      <w:rFonts w:eastAsia="Times New Roman"/>
      <w:color w:val="000000"/>
      <w:lang w:val="it-IT" w:eastAsia="it-IT"/>
    </w:rPr>
  </w:style>
  <w:style w:type="paragraph" w:customStyle="1" w:styleId="xl68">
    <w:name w:val="xl68"/>
    <w:basedOn w:val="Normal"/>
    <w:pPr>
      <w:pBdr>
        <w:bottom w:val="dotted" w:sz="4" w:space="0" w:color="DC6900"/>
      </w:pBdr>
      <w:spacing w:before="100" w:beforeAutospacing="1" w:after="100" w:afterAutospacing="1" w:line="240" w:lineRule="auto"/>
      <w:jc w:val="both"/>
    </w:pPr>
    <w:rPr>
      <w:rFonts w:eastAsia="Times New Roman"/>
      <w:color w:val="000000"/>
      <w:sz w:val="18"/>
      <w:szCs w:val="18"/>
      <w:lang w:val="it-IT" w:eastAsia="it-IT"/>
    </w:rPr>
  </w:style>
  <w:style w:type="paragraph" w:customStyle="1" w:styleId="xl69">
    <w:name w:val="xl69"/>
    <w:basedOn w:val="Normal"/>
    <w:pPr>
      <w:pBdr>
        <w:bottom w:val="dotted" w:sz="4" w:space="0" w:color="DC6900"/>
      </w:pBdr>
      <w:spacing w:before="100" w:beforeAutospacing="1" w:after="100" w:afterAutospacing="1" w:line="240" w:lineRule="auto"/>
      <w:jc w:val="both"/>
    </w:pPr>
    <w:rPr>
      <w:rFonts w:ascii="Arial" w:eastAsia="Times New Roman" w:hAnsi="Arial" w:cs="Arial"/>
      <w:color w:val="000000"/>
      <w:sz w:val="18"/>
      <w:szCs w:val="18"/>
      <w:lang w:val="it-IT" w:eastAsia="it-IT"/>
    </w:rPr>
  </w:style>
  <w:style w:type="paragraph" w:customStyle="1" w:styleId="xl70">
    <w:name w:val="xl70"/>
    <w:basedOn w:val="Normal"/>
    <w:pPr>
      <w:pBdr>
        <w:bottom w:val="dotted" w:sz="4" w:space="0" w:color="DC6900"/>
      </w:pBdr>
      <w:spacing w:before="100" w:beforeAutospacing="1" w:after="100" w:afterAutospacing="1" w:line="240" w:lineRule="auto"/>
      <w:jc w:val="both"/>
      <w:textAlignment w:val="top"/>
    </w:pPr>
    <w:rPr>
      <w:rFonts w:eastAsia="Times New Roman"/>
      <w:color w:val="000000"/>
      <w:sz w:val="18"/>
      <w:szCs w:val="18"/>
      <w:lang w:val="it-IT" w:eastAsia="it-IT"/>
    </w:rPr>
  </w:style>
  <w:style w:type="paragraph" w:customStyle="1" w:styleId="xl71">
    <w:name w:val="xl71"/>
    <w:basedOn w:val="Normal"/>
    <w:pPr>
      <w:pBdr>
        <w:bottom w:val="dotted" w:sz="4" w:space="0" w:color="DC6900"/>
      </w:pBdr>
      <w:spacing w:before="100" w:beforeAutospacing="1" w:after="100" w:afterAutospacing="1" w:line="240" w:lineRule="auto"/>
      <w:jc w:val="both"/>
    </w:pPr>
    <w:rPr>
      <w:rFonts w:ascii="Arial" w:eastAsia="Times New Roman" w:hAnsi="Arial" w:cs="Arial"/>
      <w:lang w:val="it-IT" w:eastAsia="it-IT"/>
    </w:rPr>
  </w:style>
  <w:style w:type="paragraph" w:customStyle="1" w:styleId="xl72">
    <w:name w:val="xl72"/>
    <w:basedOn w:val="Normal"/>
    <w:pPr>
      <w:pBdr>
        <w:bottom w:val="dotted" w:sz="4" w:space="0" w:color="DC6900"/>
      </w:pBdr>
      <w:spacing w:before="100" w:beforeAutospacing="1" w:after="100" w:afterAutospacing="1" w:line="240" w:lineRule="auto"/>
      <w:jc w:val="both"/>
      <w:textAlignment w:val="top"/>
    </w:pPr>
    <w:rPr>
      <w:rFonts w:eastAsia="Times New Roman"/>
      <w:lang w:val="it-IT" w:eastAsia="it-IT"/>
    </w:rPr>
  </w:style>
  <w:style w:type="paragraph" w:customStyle="1" w:styleId="xl73">
    <w:name w:val="xl73"/>
    <w:basedOn w:val="Normal"/>
    <w:pPr>
      <w:pBdr>
        <w:bottom w:val="dotted" w:sz="4" w:space="0" w:color="DC6900"/>
      </w:pBdr>
      <w:spacing w:before="100" w:beforeAutospacing="1" w:after="100" w:afterAutospacing="1" w:line="240" w:lineRule="auto"/>
      <w:jc w:val="both"/>
      <w:textAlignment w:val="top"/>
    </w:pPr>
    <w:rPr>
      <w:rFonts w:ascii="Arial" w:eastAsia="Times New Roman" w:hAnsi="Arial" w:cs="Arial"/>
      <w:lang w:val="it-IT" w:eastAsia="it-IT"/>
    </w:rPr>
  </w:style>
  <w:style w:type="paragraph" w:customStyle="1" w:styleId="xl74">
    <w:name w:val="xl74"/>
    <w:basedOn w:val="Normal"/>
    <w:pPr>
      <w:pBdr>
        <w:bottom w:val="dotted" w:sz="4" w:space="0" w:color="DC6900"/>
      </w:pBdr>
      <w:spacing w:before="100" w:beforeAutospacing="1" w:after="100" w:afterAutospacing="1" w:line="240" w:lineRule="auto"/>
      <w:jc w:val="both"/>
      <w:textAlignment w:val="top"/>
    </w:pPr>
    <w:rPr>
      <w:rFonts w:ascii="Arial" w:eastAsia="Times New Roman" w:hAnsi="Arial" w:cs="Arial"/>
      <w:color w:val="000000"/>
      <w:sz w:val="18"/>
      <w:szCs w:val="18"/>
      <w:lang w:val="it-IT" w:eastAsia="it-IT"/>
    </w:rPr>
  </w:style>
  <w:style w:type="paragraph" w:customStyle="1" w:styleId="xl75">
    <w:name w:val="xl75"/>
    <w:basedOn w:val="Normal"/>
    <w:pPr>
      <w:pBdr>
        <w:bottom w:val="dotted" w:sz="4" w:space="0" w:color="DC6900"/>
      </w:pBdr>
      <w:spacing w:before="100" w:beforeAutospacing="1" w:after="100" w:afterAutospacing="1" w:line="240" w:lineRule="auto"/>
      <w:jc w:val="both"/>
    </w:pPr>
    <w:rPr>
      <w:rFonts w:eastAsia="Times New Roman"/>
      <w:sz w:val="18"/>
      <w:szCs w:val="18"/>
      <w:lang w:val="it-IT" w:eastAsia="it-IT"/>
    </w:rPr>
  </w:style>
  <w:style w:type="paragraph" w:customStyle="1" w:styleId="xl76">
    <w:name w:val="xl76"/>
    <w:basedOn w:val="Normal"/>
    <w:pPr>
      <w:pBdr>
        <w:bottom w:val="dotted" w:sz="4" w:space="0" w:color="DC6900"/>
      </w:pBdr>
      <w:spacing w:before="100" w:beforeAutospacing="1" w:after="100" w:afterAutospacing="1" w:line="240" w:lineRule="auto"/>
      <w:jc w:val="both"/>
      <w:textAlignment w:val="top"/>
    </w:pPr>
    <w:rPr>
      <w:rFonts w:eastAsia="Times New Roman"/>
      <w:sz w:val="18"/>
      <w:szCs w:val="18"/>
      <w:lang w:val="it-IT" w:eastAsia="it-IT"/>
    </w:rPr>
  </w:style>
  <w:style w:type="paragraph" w:customStyle="1" w:styleId="xl77">
    <w:name w:val="xl77"/>
    <w:basedOn w:val="Normal"/>
    <w:pPr>
      <w:pBdr>
        <w:bottom w:val="dotted" w:sz="4" w:space="0" w:color="DC6900"/>
      </w:pBdr>
      <w:spacing w:before="100" w:beforeAutospacing="1" w:after="100" w:afterAutospacing="1" w:line="240" w:lineRule="auto"/>
      <w:jc w:val="both"/>
    </w:pPr>
    <w:rPr>
      <w:rFonts w:eastAsia="Times New Roman"/>
      <w:color w:val="00457C"/>
      <w:sz w:val="18"/>
      <w:szCs w:val="18"/>
      <w:lang w:val="it-IT" w:eastAsia="it-IT"/>
    </w:rPr>
  </w:style>
  <w:style w:type="paragraph" w:customStyle="1" w:styleId="xl78">
    <w:name w:val="xl78"/>
    <w:basedOn w:val="Normal"/>
    <w:pPr>
      <w:pBdr>
        <w:bottom w:val="dotted" w:sz="4" w:space="0" w:color="DC6900"/>
      </w:pBdr>
      <w:spacing w:before="100" w:beforeAutospacing="1" w:after="100" w:afterAutospacing="1" w:line="240" w:lineRule="auto"/>
      <w:jc w:val="both"/>
    </w:pPr>
    <w:rPr>
      <w:rFonts w:ascii="Arial" w:eastAsia="Times New Roman" w:hAnsi="Arial" w:cs="Arial"/>
      <w:sz w:val="18"/>
      <w:szCs w:val="18"/>
      <w:lang w:val="it-IT" w:eastAsia="it-IT"/>
    </w:rPr>
  </w:style>
  <w:style w:type="paragraph" w:customStyle="1" w:styleId="xl79">
    <w:name w:val="xl79"/>
    <w:basedOn w:val="Normal"/>
    <w:pPr>
      <w:spacing w:before="100" w:beforeAutospacing="1" w:after="100" w:afterAutospacing="1" w:line="240" w:lineRule="auto"/>
      <w:jc w:val="both"/>
      <w:textAlignment w:val="top"/>
    </w:pPr>
    <w:rPr>
      <w:rFonts w:eastAsia="Times New Roman"/>
      <w:color w:val="000000"/>
      <w:sz w:val="18"/>
      <w:szCs w:val="18"/>
      <w:lang w:val="it-IT" w:eastAsia="it-IT"/>
    </w:rPr>
  </w:style>
  <w:style w:type="paragraph" w:customStyle="1" w:styleId="xl80">
    <w:name w:val="xl80"/>
    <w:basedOn w:val="Normal"/>
    <w:pPr>
      <w:pBdr>
        <w:bottom w:val="dotted" w:sz="4" w:space="0" w:color="DC6900"/>
      </w:pBdr>
      <w:spacing w:before="100" w:beforeAutospacing="1" w:after="100" w:afterAutospacing="1" w:line="240" w:lineRule="auto"/>
      <w:jc w:val="both"/>
      <w:textAlignment w:val="top"/>
    </w:pPr>
    <w:rPr>
      <w:rFonts w:eastAsia="Times New Roman"/>
      <w:color w:val="00457C"/>
      <w:sz w:val="18"/>
      <w:szCs w:val="18"/>
      <w:lang w:val="it-IT" w:eastAsia="it-IT"/>
    </w:rPr>
  </w:style>
  <w:style w:type="paragraph" w:customStyle="1" w:styleId="xl81">
    <w:name w:val="xl81"/>
    <w:basedOn w:val="Normal"/>
    <w:pPr>
      <w:pBdr>
        <w:top w:val="dotted" w:sz="4" w:space="0" w:color="DC6900"/>
      </w:pBdr>
      <w:spacing w:before="100" w:beforeAutospacing="1" w:after="100" w:afterAutospacing="1" w:line="240" w:lineRule="auto"/>
      <w:jc w:val="both"/>
    </w:pPr>
    <w:rPr>
      <w:rFonts w:eastAsia="Times New Roman"/>
      <w:color w:val="000000"/>
      <w:sz w:val="18"/>
      <w:szCs w:val="18"/>
      <w:lang w:val="it-IT" w:eastAsia="it-IT"/>
    </w:rPr>
  </w:style>
  <w:style w:type="paragraph" w:customStyle="1" w:styleId="xl82">
    <w:name w:val="xl82"/>
    <w:basedOn w:val="Normal"/>
    <w:pPr>
      <w:pBdr>
        <w:bottom w:val="dotted" w:sz="4" w:space="0" w:color="DC6900"/>
      </w:pBdr>
      <w:shd w:val="clear" w:color="000000" w:fill="FBEEE0"/>
      <w:spacing w:before="100" w:beforeAutospacing="1" w:after="100" w:afterAutospacing="1" w:line="240" w:lineRule="auto"/>
      <w:jc w:val="center"/>
    </w:pPr>
    <w:rPr>
      <w:rFonts w:eastAsia="Times New Roman"/>
      <w:color w:val="000000"/>
      <w:sz w:val="18"/>
      <w:szCs w:val="18"/>
      <w:lang w:val="it-IT" w:eastAsia="it-IT"/>
    </w:rPr>
  </w:style>
  <w:style w:type="paragraph" w:customStyle="1" w:styleId="xl83">
    <w:name w:val="xl83"/>
    <w:basedOn w:val="Normal"/>
    <w:pPr>
      <w:pBdr>
        <w:bottom w:val="dotted" w:sz="4" w:space="0" w:color="DC6900"/>
      </w:pBdr>
      <w:shd w:val="clear" w:color="000000" w:fill="FBEEE0"/>
      <w:spacing w:before="100" w:beforeAutospacing="1" w:after="100" w:afterAutospacing="1" w:line="240" w:lineRule="auto"/>
    </w:pPr>
    <w:rPr>
      <w:rFonts w:eastAsia="Times New Roman"/>
      <w:b/>
      <w:bCs/>
      <w:color w:val="000000"/>
      <w:sz w:val="18"/>
      <w:szCs w:val="18"/>
      <w:lang w:val="it-IT" w:eastAsia="it-IT"/>
    </w:rPr>
  </w:style>
  <w:style w:type="paragraph" w:customStyle="1" w:styleId="xl84">
    <w:name w:val="xl84"/>
    <w:basedOn w:val="Normal"/>
    <w:pPr>
      <w:pBdr>
        <w:top w:val="dotted" w:sz="4" w:space="0" w:color="DC6900"/>
      </w:pBdr>
      <w:spacing w:before="100" w:beforeAutospacing="1" w:after="100" w:afterAutospacing="1" w:line="240" w:lineRule="auto"/>
      <w:jc w:val="both"/>
      <w:textAlignment w:val="top"/>
    </w:pPr>
    <w:rPr>
      <w:rFonts w:eastAsia="Times New Roman"/>
      <w:color w:val="000000"/>
      <w:sz w:val="18"/>
      <w:szCs w:val="18"/>
      <w:lang w:val="it-IT" w:eastAsia="it-IT"/>
    </w:rPr>
  </w:style>
  <w:style w:type="paragraph" w:customStyle="1" w:styleId="xl85">
    <w:name w:val="xl85"/>
    <w:basedOn w:val="Normal"/>
    <w:pPr>
      <w:pBdr>
        <w:top w:val="dotted" w:sz="4" w:space="0" w:color="DC6900"/>
      </w:pBdr>
      <w:spacing w:before="100" w:beforeAutospacing="1" w:after="100" w:afterAutospacing="1" w:line="240" w:lineRule="auto"/>
      <w:jc w:val="both"/>
      <w:textAlignment w:val="top"/>
    </w:pPr>
    <w:rPr>
      <w:rFonts w:eastAsia="Times New Roman"/>
      <w:sz w:val="18"/>
      <w:szCs w:val="18"/>
      <w:lang w:val="it-IT" w:eastAsia="it-IT"/>
    </w:rPr>
  </w:style>
  <w:style w:type="paragraph" w:customStyle="1" w:styleId="xl86">
    <w:name w:val="xl86"/>
    <w:basedOn w:val="Normal"/>
    <w:pPr>
      <w:pBdr>
        <w:bottom w:val="dotted" w:sz="4" w:space="0" w:color="DC6900"/>
      </w:pBdr>
      <w:spacing w:before="100" w:beforeAutospacing="1" w:after="100" w:afterAutospacing="1" w:line="240" w:lineRule="auto"/>
      <w:textAlignment w:val="top"/>
    </w:pPr>
    <w:rPr>
      <w:rFonts w:eastAsia="Times New Roman"/>
      <w:color w:val="000000"/>
      <w:sz w:val="18"/>
      <w:szCs w:val="18"/>
      <w:lang w:val="it-IT" w:eastAsia="it-IT"/>
    </w:rPr>
  </w:style>
  <w:style w:type="paragraph" w:customStyle="1" w:styleId="xl87">
    <w:name w:val="xl87"/>
    <w:basedOn w:val="Normal"/>
    <w:pPr>
      <w:pBdr>
        <w:bottom w:val="dotted" w:sz="4" w:space="0" w:color="DC6900"/>
      </w:pBdr>
      <w:spacing w:before="100" w:beforeAutospacing="1" w:after="100" w:afterAutospacing="1" w:line="240" w:lineRule="auto"/>
    </w:pPr>
    <w:rPr>
      <w:rFonts w:eastAsia="Times New Roman"/>
      <w:color w:val="000000"/>
      <w:sz w:val="18"/>
      <w:szCs w:val="18"/>
      <w:lang w:val="it-IT" w:eastAsia="it-IT"/>
    </w:rPr>
  </w:style>
  <w:style w:type="paragraph" w:customStyle="1" w:styleId="xl88">
    <w:name w:val="xl88"/>
    <w:basedOn w:val="Normal"/>
    <w:pPr>
      <w:spacing w:before="100" w:beforeAutospacing="1" w:after="100" w:afterAutospacing="1" w:line="240" w:lineRule="auto"/>
    </w:pPr>
    <w:rPr>
      <w:rFonts w:eastAsia="Times New Roman"/>
      <w:color w:val="000000"/>
      <w:sz w:val="18"/>
      <w:szCs w:val="18"/>
      <w:lang w:val="it-IT" w:eastAsia="it-IT"/>
    </w:rPr>
  </w:style>
  <w:style w:type="paragraph" w:customStyle="1" w:styleId="xl89">
    <w:name w:val="xl89"/>
    <w:basedOn w:val="Normal"/>
    <w:pPr>
      <w:spacing w:before="100" w:beforeAutospacing="1" w:after="100" w:afterAutospacing="1" w:line="240" w:lineRule="auto"/>
      <w:textAlignment w:val="top"/>
    </w:pPr>
    <w:rPr>
      <w:rFonts w:eastAsia="Times New Roman"/>
      <w:color w:val="000000"/>
      <w:sz w:val="18"/>
      <w:szCs w:val="18"/>
      <w:lang w:val="it-IT" w:eastAsia="it-IT"/>
    </w:rPr>
  </w:style>
  <w:style w:type="paragraph" w:customStyle="1" w:styleId="xl90">
    <w:name w:val="xl90"/>
    <w:basedOn w:val="Normal"/>
    <w:pPr>
      <w:spacing w:before="100" w:beforeAutospacing="1" w:after="100" w:afterAutospacing="1" w:line="240" w:lineRule="auto"/>
    </w:pPr>
    <w:rPr>
      <w:rFonts w:ascii="Times New Roman" w:eastAsia="Times New Roman" w:hAnsi="Times New Roman"/>
      <w:sz w:val="24"/>
      <w:szCs w:val="24"/>
      <w:lang w:val="it-IT" w:eastAsia="it-IT"/>
    </w:rPr>
  </w:style>
  <w:style w:type="paragraph" w:customStyle="1" w:styleId="xl91">
    <w:name w:val="xl91"/>
    <w:basedOn w:val="Normal"/>
    <w:pPr>
      <w:pBdr>
        <w:top w:val="dotted" w:sz="4" w:space="0" w:color="DC6900"/>
      </w:pBdr>
      <w:spacing w:before="100" w:beforeAutospacing="1" w:after="100" w:afterAutospacing="1" w:line="240" w:lineRule="auto"/>
    </w:pPr>
    <w:rPr>
      <w:rFonts w:eastAsia="Times New Roman"/>
      <w:color w:val="000000"/>
      <w:sz w:val="18"/>
      <w:szCs w:val="18"/>
      <w:lang w:val="it-IT" w:eastAsia="it-IT"/>
    </w:rPr>
  </w:style>
  <w:style w:type="paragraph" w:customStyle="1" w:styleId="xl92">
    <w:name w:val="xl92"/>
    <w:basedOn w:val="Normal"/>
    <w:pPr>
      <w:pBdr>
        <w:top w:val="dotted" w:sz="4" w:space="0" w:color="DC6900"/>
      </w:pBdr>
      <w:spacing w:before="100" w:beforeAutospacing="1" w:after="100" w:afterAutospacing="1" w:line="240" w:lineRule="auto"/>
      <w:textAlignment w:val="top"/>
    </w:pPr>
    <w:rPr>
      <w:rFonts w:eastAsia="Times New Roman"/>
      <w:color w:val="000000"/>
      <w:sz w:val="18"/>
      <w:szCs w:val="18"/>
      <w:lang w:val="it-IT" w:eastAsia="it-IT"/>
    </w:rPr>
  </w:style>
  <w:style w:type="paragraph" w:customStyle="1" w:styleId="font5">
    <w:name w:val="font5"/>
    <w:basedOn w:val="Normal"/>
    <w:pPr>
      <w:spacing w:before="100" w:beforeAutospacing="1" w:after="100" w:afterAutospacing="1" w:line="240" w:lineRule="auto"/>
    </w:pPr>
    <w:rPr>
      <w:rFonts w:ascii="Arial" w:eastAsia="Times New Roman" w:hAnsi="Arial" w:cs="Arial"/>
      <w:sz w:val="16"/>
      <w:szCs w:val="16"/>
      <w:lang w:val="it-IT" w:eastAsia="it-IT"/>
    </w:rPr>
  </w:style>
  <w:style w:type="character" w:customStyle="1" w:styleId="ListParagraphChar">
    <w:name w:val="List Paragraph Char"/>
    <w:aliases w:val="List Paragraph1 Char,1st level - Bullet List Paragraph Char,Lettre d'introduction Char,Table of contents numbered Char,Medium Grid 1 - Accent 21 Char,List Paragraph21 Char,Lentele Char,List Paragraph2 Char,ERP-List Paragraph Char"/>
    <w:link w:val="ListParagraph"/>
    <w:uiPriority w:val="34"/>
    <w:qFormat/>
    <w:locked/>
    <w:rPr>
      <w:rFonts w:eastAsia="Times New Roman"/>
      <w:lang w:val="nl-NL" w:eastAsia="en-US"/>
    </w:rPr>
  </w:style>
  <w:style w:type="character" w:customStyle="1" w:styleId="SFSmedindragChar">
    <w:name w:val="SFS med indrag Char"/>
    <w:link w:val="SFSmedindrag"/>
    <w:locked/>
    <w:rPr>
      <w:rFonts w:ascii="Times New Roman" w:hAnsi="Times New Roman"/>
      <w:sz w:val="19"/>
    </w:rPr>
  </w:style>
  <w:style w:type="paragraph" w:customStyle="1" w:styleId="SFSmedindrag">
    <w:name w:val="SFS med indrag"/>
    <w:basedOn w:val="Normal"/>
    <w:link w:val="SFSmedindragChar"/>
    <w:pPr>
      <w:tabs>
        <w:tab w:val="left" w:pos="168"/>
        <w:tab w:val="left" w:pos="396"/>
        <w:tab w:val="left" w:pos="3060"/>
      </w:tabs>
      <w:spacing w:after="0" w:line="232" w:lineRule="exact"/>
      <w:ind w:firstLine="170"/>
      <w:jc w:val="both"/>
    </w:pPr>
    <w:rPr>
      <w:rFonts w:ascii="Times New Roman" w:hAnsi="Times New Roman"/>
      <w:sz w:val="19"/>
    </w:rPr>
  </w:style>
  <w:style w:type="character" w:customStyle="1" w:styleId="SFSutanindragChar">
    <w:name w:val="SFS utan indrag Char"/>
    <w:link w:val="SFSutanindrag"/>
    <w:locked/>
    <w:rPr>
      <w:rFonts w:ascii="Times New Roman" w:hAnsi="Times New Roman"/>
      <w:kern w:val="2"/>
      <w:sz w:val="19"/>
    </w:rPr>
  </w:style>
  <w:style w:type="paragraph" w:customStyle="1" w:styleId="SFSutanindrag">
    <w:name w:val="SFS utan indrag"/>
    <w:basedOn w:val="Normal"/>
    <w:next w:val="SFSmedindrag"/>
    <w:link w:val="SFSutanindragChar"/>
    <w:pPr>
      <w:tabs>
        <w:tab w:val="left" w:pos="168"/>
        <w:tab w:val="left" w:pos="396"/>
        <w:tab w:val="left" w:pos="3060"/>
      </w:tabs>
      <w:spacing w:after="0" w:line="232" w:lineRule="exact"/>
      <w:jc w:val="both"/>
    </w:pPr>
    <w:rPr>
      <w:rFonts w:ascii="Times New Roman" w:hAnsi="Times New Roman"/>
      <w:kern w:val="2"/>
      <w:sz w:val="19"/>
    </w:rPr>
  </w:style>
  <w:style w:type="paragraph" w:customStyle="1" w:styleId="SFSrubrik4">
    <w:name w:val="SFS rubrik 4"/>
    <w:basedOn w:val="Normal"/>
    <w:next w:val="Normal"/>
    <w:pPr>
      <w:tabs>
        <w:tab w:val="left" w:pos="168"/>
        <w:tab w:val="left" w:pos="396"/>
        <w:tab w:val="left" w:pos="3060"/>
      </w:tabs>
      <w:spacing w:after="0" w:line="232" w:lineRule="exact"/>
      <w:jc w:val="both"/>
    </w:pPr>
    <w:rPr>
      <w:rFonts w:ascii="Times New Roman" w:eastAsia="Times New Roman" w:hAnsi="Times New Roman"/>
      <w:i/>
      <w:sz w:val="19"/>
      <w:lang w:val="sv-SE" w:eastAsia="sv-SE"/>
    </w:rPr>
  </w:style>
  <w:style w:type="character" w:customStyle="1" w:styleId="WW8Num4z4">
    <w:name w:val="WW8Num4z4"/>
    <w:rPr>
      <w:rFonts w:ascii="Georgia" w:hAnsi="Georgia" w:cs="Georgia"/>
    </w:rPr>
  </w:style>
  <w:style w:type="paragraph" w:customStyle="1" w:styleId="Style">
    <w:name w:val="Style"/>
    <w:pPr>
      <w:widowControl w:val="0"/>
      <w:autoSpaceDE w:val="0"/>
      <w:autoSpaceDN w:val="0"/>
      <w:adjustRightInd w:val="0"/>
      <w:ind w:left="140" w:right="140" w:firstLine="840"/>
      <w:jc w:val="both"/>
    </w:pPr>
    <w:rPr>
      <w:rFonts w:ascii="Times New Roman" w:eastAsia="Times New Roman" w:hAnsi="Times New Roman"/>
      <w:sz w:val="24"/>
      <w:szCs w:val="24"/>
      <w:lang w:val="en-US" w:eastAsia="en-US"/>
    </w:rPr>
  </w:style>
  <w:style w:type="character" w:customStyle="1" w:styleId="shorttext">
    <w:name w:val="short_text"/>
    <w:basedOn w:val="DefaultParagraphFont"/>
  </w:style>
  <w:style w:type="character" w:customStyle="1" w:styleId="FootnoteTextChar2">
    <w:name w:val="Footnote Text Char2"/>
    <w:aliases w:val="fn Char2,Footnotes Char2,Footnote ak Char2,fn Char Char2,footnote text Char Char1,Footnotes Char Char2,Footnote ak Char Char1,ft Char1,fn cafc Char1,Footnotes Char Char Char1,Footnote Text Char Char Char1,fn Char Char Char1,fn1 Char1"/>
    <w:uiPriority w:val="99"/>
    <w:locked/>
    <w:rPr>
      <w:rFonts w:ascii="Times New Roman" w:hAnsi="Times New Roman" w:cs="Times New Roman"/>
    </w:rPr>
  </w:style>
  <w:style w:type="character" w:customStyle="1" w:styleId="FootnoteTextChar3">
    <w:name w:val="Footnote Text Char3"/>
    <w:aliases w:val="fn Char3,Footnotes Char3,Footnote ak Char3,fn Char Char3,footnote text Char Char2,Footnotes Char Char3,Footnote ak Char Char2,ft Char2,fn cafc Char2,Footnotes Char Char Char2,Footnote Text Char Char Char2,fn Char Char Char2,fn1 Char2"/>
    <w:uiPriority w:val="99"/>
    <w:locked/>
    <w:rPr>
      <w:rFonts w:ascii="Times New Roman" w:hAnsi="Times New Roman" w:cs="Times New Roman"/>
    </w:rPr>
  </w:style>
  <w:style w:type="table" w:customStyle="1" w:styleId="LightList-Accent13">
    <w:name w:val="Light List - Accent 13"/>
    <w:basedOn w:val="TableNormal"/>
    <w:uiPriority w:val="61"/>
    <w:tblPr>
      <w:tblStyleRowBandSize w:val="1"/>
      <w:tblStyleColBandSize w:val="1"/>
      <w:tblBorders>
        <w:top w:val="single" w:sz="8" w:space="0" w:color="F8981D"/>
        <w:left w:val="single" w:sz="8" w:space="0" w:color="F8981D"/>
        <w:bottom w:val="single" w:sz="8" w:space="0" w:color="F8981D"/>
        <w:right w:val="single" w:sz="8" w:space="0" w:color="F8981D"/>
      </w:tblBorders>
    </w:tblPr>
    <w:tblStylePr w:type="firstRow">
      <w:pPr>
        <w:spacing w:before="0" w:after="0" w:line="240" w:lineRule="auto"/>
      </w:pPr>
      <w:rPr>
        <w:b/>
        <w:bCs/>
        <w:color w:val="FFFFFF"/>
      </w:rPr>
      <w:tblPr/>
      <w:tcPr>
        <w:shd w:val="clear" w:color="auto" w:fill="F8981D"/>
      </w:tcPr>
    </w:tblStylePr>
    <w:tblStylePr w:type="lastRow">
      <w:pPr>
        <w:spacing w:before="0" w:after="0" w:line="240" w:lineRule="auto"/>
      </w:pPr>
      <w:rPr>
        <w:b/>
        <w:bCs/>
      </w:rPr>
      <w:tblPr/>
      <w:tcPr>
        <w:tcBorders>
          <w:top w:val="double" w:sz="6" w:space="0" w:color="F8981D"/>
          <w:left w:val="single" w:sz="8" w:space="0" w:color="F8981D"/>
          <w:bottom w:val="single" w:sz="8" w:space="0" w:color="F8981D"/>
          <w:right w:val="single" w:sz="8" w:space="0" w:color="F8981D"/>
        </w:tcBorders>
      </w:tcPr>
    </w:tblStylePr>
    <w:tblStylePr w:type="firstCol">
      <w:rPr>
        <w:b/>
        <w:bCs/>
      </w:rPr>
    </w:tblStylePr>
    <w:tblStylePr w:type="lastCol">
      <w:rPr>
        <w:b/>
        <w:bCs/>
      </w:rPr>
    </w:tblStylePr>
    <w:tblStylePr w:type="band1Vert">
      <w:tblPr/>
      <w:tcPr>
        <w:tcBorders>
          <w:top w:val="single" w:sz="8" w:space="0" w:color="F8981D"/>
          <w:left w:val="single" w:sz="8" w:space="0" w:color="F8981D"/>
          <w:bottom w:val="single" w:sz="8" w:space="0" w:color="F8981D"/>
          <w:right w:val="single" w:sz="8" w:space="0" w:color="F8981D"/>
        </w:tcBorders>
      </w:tcPr>
    </w:tblStylePr>
    <w:tblStylePr w:type="band1Horz">
      <w:tblPr/>
      <w:tcPr>
        <w:tcBorders>
          <w:top w:val="single" w:sz="8" w:space="0" w:color="F8981D"/>
          <w:left w:val="single" w:sz="8" w:space="0" w:color="F8981D"/>
          <w:bottom w:val="single" w:sz="8" w:space="0" w:color="F8981D"/>
          <w:right w:val="single" w:sz="8" w:space="0" w:color="F8981D"/>
        </w:tcBorders>
      </w:tcPr>
    </w:tblStylePr>
  </w:style>
  <w:style w:type="character" w:customStyle="1" w:styleId="googqs-tidbit">
    <w:name w:val="goog_qs-tidbit"/>
    <w:basedOn w:val="DefaultParagraphFont"/>
  </w:style>
  <w:style w:type="character" w:customStyle="1" w:styleId="FootnoteTextChar4">
    <w:name w:val="Footnote Text Char4"/>
    <w:aliases w:val="fn Char4,Footnotes Char4,Footnote ak Char4,fn Char Char4,footnote text Char Char3,Footnotes Char Char4,Footnote ak Char Char3,ft Char3,fn cafc Char3,Footnotes Char Char Char3,Footnote Text Char Char Char3,fn Char Char Char3,fn1 Char3"/>
    <w:uiPriority w:val="99"/>
    <w:locked/>
    <w:rPr>
      <w:rFonts w:ascii="Times New Roman" w:hAnsi="Times New Roman" w:cs="Times New Roman"/>
    </w:rPr>
  </w:style>
  <w:style w:type="character" w:customStyle="1" w:styleId="legdslegrhslegp2text">
    <w:name w:val="legds legrhs legp2text"/>
    <w:uiPriority w:val="99"/>
    <w:rPr>
      <w:rFonts w:cs="Times New Roman"/>
    </w:rPr>
  </w:style>
  <w:style w:type="character" w:customStyle="1" w:styleId="FootnoteTextChar6">
    <w:name w:val="Footnote Text Char6"/>
    <w:aliases w:val="fn Char6,Footnotes Char6,Footnote ak Char6,fn Char Char6,footnote text Char Char5,Footnotes Char Char6,Footnote ak Char Char5,ft Char5,fn cafc Char5,Footnotes Char Char Char5,Footnote Text Char Char Char5,fn Char Char Char5,fn1 Char5"/>
    <w:uiPriority w:val="99"/>
    <w:locked/>
    <w:rPr>
      <w:rFonts w:ascii="Times New Roman" w:hAnsi="Times New Roman" w:cs="Times New Roman"/>
    </w:rPr>
  </w:style>
  <w:style w:type="character" w:customStyle="1" w:styleId="st1">
    <w:name w:val="st1"/>
    <w:basedOn w:val="DefaultParagraphFont"/>
  </w:style>
  <w:style w:type="paragraph" w:styleId="EndnoteText">
    <w:name w:val="endnote text"/>
    <w:basedOn w:val="Normal"/>
    <w:link w:val="EndnoteTextChar"/>
    <w:uiPriority w:val="99"/>
    <w:semiHidden/>
    <w:unhideWhenUsed/>
    <w:locked/>
  </w:style>
  <w:style w:type="character" w:customStyle="1" w:styleId="EndnoteTextChar">
    <w:name w:val="Endnote Text Char"/>
    <w:link w:val="EndnoteText"/>
    <w:uiPriority w:val="99"/>
    <w:semiHidden/>
    <w:rPr>
      <w:lang w:val="en-GB" w:eastAsia="en-US"/>
    </w:rPr>
  </w:style>
  <w:style w:type="character" w:styleId="EndnoteReference">
    <w:name w:val="endnote reference"/>
    <w:uiPriority w:val="99"/>
    <w:semiHidden/>
    <w:unhideWhenUsed/>
    <w:locked/>
    <w:rPr>
      <w:vertAlign w:val="superscript"/>
    </w:rPr>
  </w:style>
  <w:style w:type="table" w:customStyle="1" w:styleId="LightList-Accent14">
    <w:name w:val="Light List - Accent 14"/>
    <w:basedOn w:val="TableNormal"/>
    <w:uiPriority w:val="61"/>
    <w:tblPr>
      <w:tblStyleRowBandSize w:val="1"/>
      <w:tblStyleColBandSize w:val="1"/>
      <w:tblBorders>
        <w:top w:val="single" w:sz="8" w:space="0" w:color="DC6900" w:themeColor="accent1"/>
        <w:left w:val="single" w:sz="8" w:space="0" w:color="DC6900" w:themeColor="accent1"/>
        <w:bottom w:val="single" w:sz="8" w:space="0" w:color="DC6900" w:themeColor="accent1"/>
        <w:right w:val="single" w:sz="8" w:space="0" w:color="DC6900" w:themeColor="accent1"/>
      </w:tblBorders>
    </w:tblPr>
    <w:tblStylePr w:type="firstRow">
      <w:pPr>
        <w:spacing w:before="0" w:after="0" w:line="240" w:lineRule="auto"/>
      </w:pPr>
      <w:rPr>
        <w:b/>
        <w:bCs/>
        <w:color w:val="FFFFFF" w:themeColor="background1"/>
      </w:rPr>
      <w:tblPr/>
      <w:tcPr>
        <w:shd w:val="clear" w:color="auto" w:fill="DC6900" w:themeFill="accent1"/>
      </w:tcPr>
    </w:tblStylePr>
    <w:tblStylePr w:type="lastRow">
      <w:pPr>
        <w:spacing w:before="0" w:after="0" w:line="240" w:lineRule="auto"/>
      </w:pPr>
      <w:rPr>
        <w:b/>
        <w:bCs/>
      </w:rPr>
      <w:tblPr/>
      <w:tcPr>
        <w:tcBorders>
          <w:top w:val="double" w:sz="6" w:space="0" w:color="DC6900" w:themeColor="accent1"/>
          <w:left w:val="single" w:sz="8" w:space="0" w:color="DC6900" w:themeColor="accent1"/>
          <w:bottom w:val="single" w:sz="8" w:space="0" w:color="DC6900" w:themeColor="accent1"/>
          <w:right w:val="single" w:sz="8" w:space="0" w:color="DC6900" w:themeColor="accent1"/>
        </w:tcBorders>
      </w:tcPr>
    </w:tblStylePr>
    <w:tblStylePr w:type="firstCol">
      <w:rPr>
        <w:b/>
        <w:bCs/>
      </w:rPr>
    </w:tblStylePr>
    <w:tblStylePr w:type="lastCol">
      <w:rPr>
        <w:b/>
        <w:bCs/>
      </w:rPr>
    </w:tblStylePr>
    <w:tblStylePr w:type="band1Vert">
      <w:tblPr/>
      <w:tcPr>
        <w:tcBorders>
          <w:top w:val="single" w:sz="8" w:space="0" w:color="DC6900" w:themeColor="accent1"/>
          <w:left w:val="single" w:sz="8" w:space="0" w:color="DC6900" w:themeColor="accent1"/>
          <w:bottom w:val="single" w:sz="8" w:space="0" w:color="DC6900" w:themeColor="accent1"/>
          <w:right w:val="single" w:sz="8" w:space="0" w:color="DC6900" w:themeColor="accent1"/>
        </w:tcBorders>
      </w:tcPr>
    </w:tblStylePr>
    <w:tblStylePr w:type="band1Horz">
      <w:tblPr/>
      <w:tcPr>
        <w:tcBorders>
          <w:top w:val="single" w:sz="8" w:space="0" w:color="DC6900" w:themeColor="accent1"/>
          <w:left w:val="single" w:sz="8" w:space="0" w:color="DC6900" w:themeColor="accent1"/>
          <w:bottom w:val="single" w:sz="8" w:space="0" w:color="DC6900" w:themeColor="accent1"/>
          <w:right w:val="single" w:sz="8" w:space="0" w:color="DC6900" w:themeColor="accent1"/>
        </w:tcBorders>
      </w:tcPr>
    </w:tblStylePr>
  </w:style>
  <w:style w:type="table" w:customStyle="1" w:styleId="LightGrid1">
    <w:name w:val="Light Grid1"/>
    <w:basedOn w:val="TableNormal"/>
    <w:uiPriority w:val="62"/>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Accent4">
    <w:name w:val="Light List Accent 4"/>
    <w:basedOn w:val="TableNormal"/>
    <w:uiPriority w:val="61"/>
    <w:tblPr>
      <w:tblStyleRowBandSize w:val="1"/>
      <w:tblStyleColBandSize w:val="1"/>
      <w:tblBorders>
        <w:top w:val="single" w:sz="8" w:space="0" w:color="DB536A" w:themeColor="accent4"/>
        <w:left w:val="single" w:sz="8" w:space="0" w:color="DB536A" w:themeColor="accent4"/>
        <w:bottom w:val="single" w:sz="8" w:space="0" w:color="DB536A" w:themeColor="accent4"/>
        <w:right w:val="single" w:sz="8" w:space="0" w:color="DB536A" w:themeColor="accent4"/>
      </w:tblBorders>
    </w:tblPr>
    <w:tblStylePr w:type="firstRow">
      <w:pPr>
        <w:spacing w:before="0" w:after="0" w:line="240" w:lineRule="auto"/>
      </w:pPr>
      <w:rPr>
        <w:b/>
        <w:bCs/>
        <w:color w:val="FFFFFF" w:themeColor="background1"/>
      </w:rPr>
      <w:tblPr/>
      <w:tcPr>
        <w:shd w:val="clear" w:color="auto" w:fill="DB536A" w:themeFill="accent4"/>
      </w:tcPr>
    </w:tblStylePr>
    <w:tblStylePr w:type="lastRow">
      <w:pPr>
        <w:spacing w:before="0" w:after="0" w:line="240" w:lineRule="auto"/>
      </w:pPr>
      <w:rPr>
        <w:b/>
        <w:bCs/>
      </w:rPr>
      <w:tblPr/>
      <w:tcPr>
        <w:tcBorders>
          <w:top w:val="double" w:sz="6" w:space="0" w:color="DB536A" w:themeColor="accent4"/>
          <w:left w:val="single" w:sz="8" w:space="0" w:color="DB536A" w:themeColor="accent4"/>
          <w:bottom w:val="single" w:sz="8" w:space="0" w:color="DB536A" w:themeColor="accent4"/>
          <w:right w:val="single" w:sz="8" w:space="0" w:color="DB536A" w:themeColor="accent4"/>
        </w:tcBorders>
      </w:tcPr>
    </w:tblStylePr>
    <w:tblStylePr w:type="firstCol">
      <w:rPr>
        <w:b/>
        <w:bCs/>
      </w:rPr>
    </w:tblStylePr>
    <w:tblStylePr w:type="lastCol">
      <w:rPr>
        <w:b/>
        <w:bCs/>
      </w:rPr>
    </w:tblStylePr>
    <w:tblStylePr w:type="band1Vert">
      <w:tblPr/>
      <w:tcPr>
        <w:tcBorders>
          <w:top w:val="single" w:sz="8" w:space="0" w:color="DB536A" w:themeColor="accent4"/>
          <w:left w:val="single" w:sz="8" w:space="0" w:color="DB536A" w:themeColor="accent4"/>
          <w:bottom w:val="single" w:sz="8" w:space="0" w:color="DB536A" w:themeColor="accent4"/>
          <w:right w:val="single" w:sz="8" w:space="0" w:color="DB536A" w:themeColor="accent4"/>
        </w:tcBorders>
      </w:tcPr>
    </w:tblStylePr>
    <w:tblStylePr w:type="band1Horz">
      <w:tblPr/>
      <w:tcPr>
        <w:tcBorders>
          <w:top w:val="single" w:sz="8" w:space="0" w:color="DB536A" w:themeColor="accent4"/>
          <w:left w:val="single" w:sz="8" w:space="0" w:color="DB536A" w:themeColor="accent4"/>
          <w:bottom w:val="single" w:sz="8" w:space="0" w:color="DB536A" w:themeColor="accent4"/>
          <w:right w:val="single" w:sz="8" w:space="0" w:color="DB536A" w:themeColor="accent4"/>
        </w:tcBorders>
      </w:tcPr>
    </w:tblStylePr>
  </w:style>
  <w:style w:type="paragraph" w:customStyle="1" w:styleId="Corpodeltesto4note">
    <w:name w:val="Corpo del testo 4 note"/>
    <w:basedOn w:val="Normal"/>
    <w:next w:val="Normal"/>
    <w:pPr>
      <w:spacing w:before="60" w:after="120" w:line="240" w:lineRule="auto"/>
      <w:jc w:val="both"/>
    </w:pPr>
    <w:rPr>
      <w:rFonts w:ascii="Arial" w:eastAsia="Times New Roman" w:hAnsi="Arial"/>
      <w:sz w:val="18"/>
      <w:lang w:val="it-IT" w:eastAsia="it-IT"/>
    </w:rPr>
  </w:style>
  <w:style w:type="paragraph" w:customStyle="1" w:styleId="CharChar1CharCharCharCharCharCharCharCharCharCharChar">
    <w:name w:val="Char Char1 Char Char Char Char Char Char Char Char Char Char Char"/>
    <w:basedOn w:val="Normal"/>
    <w:pPr>
      <w:spacing w:before="120" w:after="160" w:line="240" w:lineRule="exact"/>
    </w:pPr>
    <w:rPr>
      <w:rFonts w:ascii="Tahoma" w:eastAsia="Times New Roman" w:hAnsi="Tahoma"/>
      <w:lang w:val="en-US"/>
    </w:rPr>
  </w:style>
  <w:style w:type="paragraph" w:customStyle="1" w:styleId="Paragrafo1livocapitolo">
    <w:name w:val="Paragrafo 1 liv. o capitolo"/>
    <w:basedOn w:val="Heading4"/>
    <w:next w:val="BodyText2"/>
    <w:pPr>
      <w:keepLines w:val="0"/>
      <w:suppressAutoHyphens/>
      <w:spacing w:before="360" w:after="60"/>
    </w:pPr>
    <w:rPr>
      <w:rFonts w:ascii="Arial" w:eastAsia="Times New Roman" w:hAnsi="Arial"/>
      <w:b/>
      <w:bCs w:val="0"/>
      <w:i w:val="0"/>
      <w:iCs w:val="0"/>
      <w:smallCaps/>
      <w:color w:val="auto"/>
      <w:sz w:val="40"/>
      <w:szCs w:val="20"/>
      <w:lang w:val="it-IT" w:eastAsia="it-IT"/>
    </w:rPr>
  </w:style>
  <w:style w:type="paragraph" w:customStyle="1" w:styleId="Paragrafo2liv">
    <w:name w:val="Paragrafo 2 liv."/>
    <w:basedOn w:val="Heading5"/>
    <w:next w:val="BodyText2"/>
    <w:pPr>
      <w:keepNext w:val="0"/>
      <w:keepLines w:val="0"/>
      <w:suppressAutoHyphens/>
      <w:spacing w:before="360" w:after="60"/>
    </w:pPr>
    <w:rPr>
      <w:rFonts w:ascii="Arial" w:eastAsia="Times New Roman" w:hAnsi="Arial"/>
      <w:b/>
      <w:color w:val="auto"/>
      <w:sz w:val="32"/>
      <w:lang w:val="it-IT" w:eastAsia="it-IT"/>
    </w:rPr>
  </w:style>
  <w:style w:type="paragraph" w:customStyle="1" w:styleId="Paragrafo3liv">
    <w:name w:val="Paragrafo 3 liv."/>
    <w:basedOn w:val="Heading6"/>
    <w:next w:val="BodyText2"/>
    <w:pPr>
      <w:keepNext w:val="0"/>
      <w:keepLines w:val="0"/>
      <w:suppressAutoHyphens/>
      <w:spacing w:before="240" w:after="60"/>
    </w:pPr>
    <w:rPr>
      <w:rFonts w:ascii="Arial" w:eastAsia="Times New Roman" w:hAnsi="Arial"/>
      <w:b/>
      <w:iCs w:val="0"/>
      <w:smallCaps/>
      <w:color w:val="auto"/>
      <w:sz w:val="28"/>
      <w:lang w:val="it-IT" w:eastAsia="it-IT"/>
    </w:rPr>
  </w:style>
  <w:style w:type="paragraph" w:customStyle="1" w:styleId="Paragrafo4liv">
    <w:name w:val="Paragrafo 4 liv."/>
    <w:basedOn w:val="Heading7"/>
    <w:next w:val="BodyText2"/>
    <w:pPr>
      <w:keepNext w:val="0"/>
      <w:keepLines w:val="0"/>
      <w:suppressAutoHyphens/>
      <w:spacing w:before="240" w:after="60"/>
      <w:jc w:val="both"/>
    </w:pPr>
    <w:rPr>
      <w:rFonts w:ascii="Arial" w:eastAsia="Times New Roman" w:hAnsi="Arial"/>
      <w:b/>
      <w:i/>
      <w:iCs w:val="0"/>
      <w:color w:val="auto"/>
      <w:sz w:val="24"/>
      <w:lang w:val="it-IT" w:eastAsia="it-IT"/>
    </w:rPr>
  </w:style>
  <w:style w:type="paragraph" w:customStyle="1" w:styleId="Tabellatitolo">
    <w:name w:val="Tabella titolo"/>
    <w:basedOn w:val="Normal"/>
    <w:next w:val="Normal"/>
    <w:pPr>
      <w:spacing w:before="120" w:after="120" w:line="240" w:lineRule="auto"/>
      <w:jc w:val="center"/>
    </w:pPr>
    <w:rPr>
      <w:rFonts w:ascii="Arial" w:eastAsia="Times New Roman" w:hAnsi="Arial"/>
      <w:b/>
      <w:caps/>
      <w:sz w:val="16"/>
      <w:lang w:val="it-IT" w:eastAsia="it-IT"/>
    </w:rPr>
  </w:style>
  <w:style w:type="paragraph" w:customStyle="1" w:styleId="Tabellatestoelenco">
    <w:name w:val="Tabella testo elenco"/>
    <w:basedOn w:val="Normal"/>
    <w:pPr>
      <w:numPr>
        <w:numId w:val="19"/>
      </w:numPr>
      <w:spacing w:before="60" w:after="120" w:line="240" w:lineRule="auto"/>
    </w:pPr>
    <w:rPr>
      <w:rFonts w:ascii="Arial" w:eastAsia="Times New Roman" w:hAnsi="Arial"/>
      <w:sz w:val="16"/>
      <w:lang w:val="it-IT" w:eastAsia="it-IT"/>
    </w:rPr>
  </w:style>
  <w:style w:type="paragraph" w:customStyle="1" w:styleId="Tabellatestoneretto">
    <w:name w:val="Tabella testo neretto"/>
    <w:basedOn w:val="Normal"/>
    <w:next w:val="Normal"/>
    <w:pPr>
      <w:spacing w:before="120" w:after="120" w:line="240" w:lineRule="auto"/>
    </w:pPr>
    <w:rPr>
      <w:rFonts w:ascii="Arial" w:eastAsia="Times New Roman" w:hAnsi="Arial"/>
      <w:b/>
      <w:sz w:val="16"/>
      <w:lang w:val="it-IT" w:eastAsia="it-IT"/>
    </w:rPr>
  </w:style>
  <w:style w:type="paragraph" w:customStyle="1" w:styleId="Tabellatestocentrato">
    <w:name w:val="Tabella testo centrato"/>
    <w:basedOn w:val="Normal"/>
    <w:pPr>
      <w:suppressAutoHyphens/>
      <w:spacing w:before="120" w:after="120" w:line="240" w:lineRule="auto"/>
      <w:jc w:val="center"/>
    </w:pPr>
    <w:rPr>
      <w:rFonts w:ascii="Arial" w:eastAsia="Times New Roman" w:hAnsi="Arial"/>
      <w:sz w:val="16"/>
      <w:lang w:val="it-IT" w:eastAsia="it-IT"/>
    </w:rPr>
  </w:style>
  <w:style w:type="paragraph" w:customStyle="1" w:styleId="Tabellatestocorsivo">
    <w:name w:val="Tabella testo corsivo"/>
    <w:basedOn w:val="Normal"/>
    <w:next w:val="Normal"/>
    <w:pPr>
      <w:spacing w:before="120" w:after="120" w:line="240" w:lineRule="auto"/>
      <w:jc w:val="both"/>
    </w:pPr>
    <w:rPr>
      <w:rFonts w:ascii="Arial" w:eastAsia="Times New Roman" w:hAnsi="Arial"/>
      <w:i/>
      <w:sz w:val="16"/>
      <w:lang w:val="it-IT" w:eastAsia="it-IT"/>
    </w:rPr>
  </w:style>
  <w:style w:type="paragraph" w:customStyle="1" w:styleId="Tabellatestogiustificato">
    <w:name w:val="Tabella testo giustificato"/>
    <w:basedOn w:val="Normal"/>
    <w:next w:val="Tabellatestocorsivo"/>
    <w:pPr>
      <w:spacing w:before="120" w:after="120" w:line="240" w:lineRule="auto"/>
      <w:jc w:val="both"/>
    </w:pPr>
    <w:rPr>
      <w:rFonts w:ascii="Arial" w:eastAsia="Times New Roman" w:hAnsi="Arial"/>
      <w:sz w:val="16"/>
      <w:lang w:val="it-IT" w:eastAsia="it-IT"/>
    </w:rPr>
  </w:style>
  <w:style w:type="character" w:customStyle="1" w:styleId="baseCarattereCarattere">
    <w:name w:val="base Carattere Carattere"/>
    <w:basedOn w:val="DefaultParagraphFont"/>
    <w:rPr>
      <w:rFonts w:ascii="Verdana" w:hAnsi="Verdana"/>
      <w:lang w:val="it-IT" w:eastAsia="it-IT" w:bidi="ar-SA"/>
    </w:rPr>
  </w:style>
  <w:style w:type="paragraph" w:customStyle="1" w:styleId="ListFirst">
    <w:name w:val="List First"/>
    <w:basedOn w:val="List"/>
    <w:next w:val="List"/>
    <w:pPr>
      <w:tabs>
        <w:tab w:val="left" w:pos="720"/>
      </w:tabs>
      <w:overflowPunct w:val="0"/>
      <w:autoSpaceDE w:val="0"/>
      <w:autoSpaceDN w:val="0"/>
      <w:adjustRightInd w:val="0"/>
      <w:spacing w:before="80" w:after="80" w:line="240" w:lineRule="auto"/>
      <w:ind w:left="720" w:hanging="360"/>
      <w:contextualSpacing w:val="0"/>
      <w:jc w:val="both"/>
      <w:textAlignment w:val="baseline"/>
    </w:pPr>
    <w:rPr>
      <w:rFonts w:ascii="Times New Roman" w:eastAsia="Times New Roman" w:hAnsi="Times New Roman"/>
      <w:sz w:val="24"/>
      <w:szCs w:val="24"/>
      <w:lang w:val="it-IT"/>
    </w:rPr>
  </w:style>
  <w:style w:type="paragraph" w:customStyle="1" w:styleId="normalePT">
    <w:name w:val="normale_PT"/>
    <w:pPr>
      <w:spacing w:before="120" w:after="120"/>
      <w:jc w:val="both"/>
    </w:pPr>
    <w:rPr>
      <w:rFonts w:ascii="Times New Roman" w:eastAsia="Times New Roman" w:hAnsi="Times New Roman"/>
      <w:sz w:val="24"/>
      <w:szCs w:val="24"/>
    </w:rPr>
  </w:style>
  <w:style w:type="character" w:customStyle="1" w:styleId="formlabelmandatory">
    <w:name w:val="formlabelmandatory"/>
    <w:basedOn w:val="DefaultParagraphFont"/>
  </w:style>
  <w:style w:type="character" w:customStyle="1" w:styleId="formlabel">
    <w:name w:val="formlabel"/>
    <w:basedOn w:val="DefaultParagraphFont"/>
  </w:style>
  <w:style w:type="character" w:customStyle="1" w:styleId="Corpodeltesto2Carattere">
    <w:name w:val="Corpo del testo 2 Carattere"/>
    <w:basedOn w:val="DefaultParagraphFont"/>
    <w:uiPriority w:val="99"/>
    <w:rPr>
      <w:rFonts w:ascii="Verdana" w:hAnsi="Verdana"/>
      <w:lang w:val="it-IT" w:eastAsia="it-IT" w:bidi="ar-SA"/>
    </w:rPr>
  </w:style>
  <w:style w:type="paragraph" w:customStyle="1" w:styleId="Titolo10">
    <w:name w:val="Titolo 10"/>
    <w:basedOn w:val="Heading7"/>
    <w:next w:val="BodyText2"/>
    <w:link w:val="Titolo10Carattere1"/>
    <w:qFormat/>
    <w:pPr>
      <w:keepNext w:val="0"/>
      <w:keepLines w:val="0"/>
      <w:tabs>
        <w:tab w:val="num" w:pos="1588"/>
      </w:tabs>
      <w:suppressAutoHyphens/>
      <w:spacing w:before="240" w:after="60"/>
      <w:ind w:left="1588" w:hanging="1588"/>
      <w:jc w:val="both"/>
      <w:outlineLvl w:val="7"/>
    </w:pPr>
    <w:rPr>
      <w:rFonts w:ascii="Arial" w:eastAsia="Times New Roman" w:hAnsi="Arial"/>
      <w:b/>
      <w:i/>
      <w:color w:val="auto"/>
      <w:sz w:val="24"/>
      <w:szCs w:val="22"/>
      <w:lang w:val="it-IT" w:eastAsia="it-IT"/>
    </w:rPr>
  </w:style>
  <w:style w:type="paragraph" w:customStyle="1" w:styleId="ParagrafoNormale">
    <w:name w:val="Paragrafo Normale"/>
    <w:pPr>
      <w:spacing w:before="120" w:after="120" w:line="240" w:lineRule="exact"/>
      <w:ind w:left="567"/>
      <w:jc w:val="both"/>
    </w:pPr>
    <w:rPr>
      <w:rFonts w:ascii="Times" w:eastAsia="Times New Roman" w:hAnsi="Times"/>
      <w:sz w:val="24"/>
    </w:rPr>
  </w:style>
  <w:style w:type="paragraph" w:customStyle="1" w:styleId="Paragrafoelenco1">
    <w:name w:val="Paragrafo elenco1"/>
    <w:aliases w:val="Normal bullet 2"/>
    <w:basedOn w:val="Normal"/>
    <w:qFormat/>
    <w:pPr>
      <w:numPr>
        <w:numId w:val="23"/>
      </w:numPr>
      <w:spacing w:before="120" w:after="120" w:line="240" w:lineRule="auto"/>
      <w:contextualSpacing/>
      <w:jc w:val="both"/>
    </w:pPr>
    <w:rPr>
      <w:rFonts w:ascii="Arial" w:eastAsia="Times New Roman" w:hAnsi="Arial"/>
      <w:lang w:eastAsia="it-IT"/>
    </w:rPr>
  </w:style>
  <w:style w:type="paragraph" w:customStyle="1" w:styleId="Revisione1">
    <w:name w:val="Revisione1"/>
    <w:hidden/>
    <w:uiPriority w:val="99"/>
    <w:semiHidden/>
    <w:pPr>
      <w:spacing w:before="120" w:after="120"/>
    </w:pPr>
    <w:rPr>
      <w:rFonts w:ascii="Verdana" w:eastAsia="Times New Roman" w:hAnsi="Verdana"/>
    </w:rPr>
  </w:style>
  <w:style w:type="paragraph" w:customStyle="1" w:styleId="StileCorpodeltesto2">
    <w:name w:val="Stile Corpo del testo 2"/>
    <w:aliases w:val="base +"/>
    <w:basedOn w:val="BodyText2"/>
    <w:pPr>
      <w:spacing w:before="120" w:after="60" w:line="240" w:lineRule="auto"/>
    </w:pPr>
    <w:rPr>
      <w:szCs w:val="20"/>
      <w:lang w:val="it-IT" w:eastAsia="it-IT"/>
    </w:rPr>
  </w:style>
  <w:style w:type="paragraph" w:customStyle="1" w:styleId="Stile9ptCentrato">
    <w:name w:val="Stile 9 pt Centrato"/>
    <w:basedOn w:val="Normal"/>
    <w:next w:val="BodyText2"/>
    <w:pPr>
      <w:spacing w:before="120" w:after="120" w:line="240" w:lineRule="auto"/>
      <w:jc w:val="center"/>
    </w:pPr>
    <w:rPr>
      <w:rFonts w:ascii="Arial" w:eastAsia="Times New Roman" w:hAnsi="Arial"/>
      <w:sz w:val="18"/>
      <w:lang w:val="it-IT" w:eastAsia="it-IT"/>
    </w:rPr>
  </w:style>
  <w:style w:type="character" w:customStyle="1" w:styleId="Titolo10Carattere1">
    <w:name w:val="Titolo 10 Carattere1"/>
    <w:basedOn w:val="Heading7Char"/>
    <w:link w:val="Titolo10"/>
    <w:rPr>
      <w:rFonts w:ascii="Arial" w:eastAsia="Times New Roman" w:hAnsi="Arial"/>
      <w:b/>
      <w:i/>
      <w:iCs/>
      <w:color w:val="DC6900"/>
      <w:sz w:val="24"/>
      <w:szCs w:val="22"/>
      <w:lang w:val="en-GB" w:eastAsia="en-US"/>
    </w:rPr>
  </w:style>
  <w:style w:type="character" w:customStyle="1" w:styleId="Titolo10Carattere">
    <w:name w:val="Titolo 10 Carattere"/>
    <w:basedOn w:val="Heading7Char"/>
    <w:rPr>
      <w:rFonts w:ascii="Arial" w:eastAsia="SimHei" w:hAnsi="Arial"/>
      <w:b/>
      <w:i/>
      <w:iCs/>
      <w:color w:val="DC6900"/>
      <w:sz w:val="24"/>
      <w:lang w:val="en-GB" w:eastAsia="en-US"/>
    </w:rPr>
  </w:style>
  <w:style w:type="character" w:customStyle="1" w:styleId="RientrocorpodeltestoCarattere1">
    <w:name w:val="Rientro corpo del testo Carattere1"/>
    <w:basedOn w:val="DefaultParagraphFont"/>
    <w:locked/>
    <w:rPr>
      <w:rFonts w:ascii="Verdana" w:hAnsi="Verdana"/>
    </w:rPr>
  </w:style>
  <w:style w:type="paragraph" w:customStyle="1" w:styleId="titoli">
    <w:name w:val="titoli"/>
    <w:basedOn w:val="Normal"/>
    <w:autoRedefine/>
    <w:pPr>
      <w:numPr>
        <w:numId w:val="20"/>
      </w:numPr>
      <w:shd w:val="clear" w:color="auto" w:fill="C0C0C0"/>
      <w:spacing w:before="120" w:after="480" w:line="240" w:lineRule="auto"/>
    </w:pPr>
    <w:rPr>
      <w:rFonts w:ascii="Arial" w:eastAsia="Times New Roman" w:hAnsi="Arial"/>
      <w:b/>
      <w:sz w:val="24"/>
      <w:lang w:val="it-IT" w:eastAsia="it-IT"/>
    </w:rPr>
  </w:style>
  <w:style w:type="paragraph" w:customStyle="1" w:styleId="tabellatesto">
    <w:name w:val="tabellatesto"/>
    <w:basedOn w:val="Normal"/>
    <w:pPr>
      <w:spacing w:before="60" w:after="120" w:line="240" w:lineRule="auto"/>
      <w:jc w:val="both"/>
    </w:pPr>
    <w:rPr>
      <w:rFonts w:ascii="Times New Roman" w:eastAsia="Times New Roman" w:hAnsi="Times New Roman"/>
      <w:lang w:val="it-IT" w:eastAsia="it-IT"/>
    </w:rPr>
  </w:style>
  <w:style w:type="paragraph" w:customStyle="1" w:styleId="tabella">
    <w:name w:val="tabella"/>
    <w:basedOn w:val="Normal"/>
    <w:pPr>
      <w:spacing w:before="60" w:after="120" w:line="240" w:lineRule="auto"/>
      <w:jc w:val="both"/>
    </w:pPr>
    <w:rPr>
      <w:rFonts w:ascii="Century Gothic" w:eastAsia="Times New Roman" w:hAnsi="Century Gothic"/>
      <w:b/>
      <w:sz w:val="24"/>
      <w:lang w:val="it-IT"/>
    </w:rPr>
  </w:style>
  <w:style w:type="paragraph" w:customStyle="1" w:styleId="Style10">
    <w:name w:val="Style1"/>
    <w:basedOn w:val="Normal"/>
    <w:link w:val="Style1Char"/>
    <w:qFormat/>
    <w:pPr>
      <w:tabs>
        <w:tab w:val="num" w:pos="907"/>
      </w:tabs>
      <w:spacing w:before="120" w:line="360" w:lineRule="auto"/>
      <w:ind w:left="907" w:hanging="340"/>
    </w:pPr>
    <w:rPr>
      <w:rFonts w:ascii="Arial" w:eastAsia="Times New Roman" w:hAnsi="Arial"/>
      <w:sz w:val="24"/>
      <w:lang w:val="it-IT" w:eastAsia="it-IT"/>
    </w:rPr>
  </w:style>
  <w:style w:type="paragraph" w:customStyle="1" w:styleId="Normale-n-ind">
    <w:name w:val="Normale-n-ind"/>
    <w:basedOn w:val="Normal"/>
    <w:pPr>
      <w:spacing w:before="60" w:after="120" w:line="240" w:lineRule="auto"/>
      <w:jc w:val="both"/>
    </w:pPr>
    <w:rPr>
      <w:rFonts w:ascii="Arial" w:eastAsia="Times New Roman" w:hAnsi="Arial"/>
      <w:lang w:eastAsia="it-IT"/>
    </w:rPr>
  </w:style>
  <w:style w:type="paragraph" w:styleId="Index1">
    <w:name w:val="index 1"/>
    <w:basedOn w:val="Normal"/>
    <w:next w:val="Normal"/>
    <w:autoRedefine/>
    <w:locked/>
    <w:pPr>
      <w:spacing w:before="120" w:after="120" w:line="240" w:lineRule="auto"/>
      <w:ind w:left="240" w:hanging="240"/>
    </w:pPr>
    <w:rPr>
      <w:rFonts w:ascii="Times New Roman" w:eastAsia="Times New Roman" w:hAnsi="Times New Roman"/>
      <w:sz w:val="24"/>
      <w:szCs w:val="24"/>
      <w:lang w:val="it-IT" w:eastAsia="it-IT"/>
    </w:rPr>
  </w:style>
  <w:style w:type="paragraph" w:customStyle="1" w:styleId="FootnoteBase">
    <w:name w:val="Footnote Base"/>
    <w:basedOn w:val="Normal"/>
    <w:pPr>
      <w:tabs>
        <w:tab w:val="left" w:pos="187"/>
      </w:tabs>
      <w:overflowPunct w:val="0"/>
      <w:autoSpaceDE w:val="0"/>
      <w:autoSpaceDN w:val="0"/>
      <w:adjustRightInd w:val="0"/>
      <w:spacing w:before="120" w:after="120" w:line="220" w:lineRule="exact"/>
      <w:ind w:left="187" w:hanging="187"/>
      <w:jc w:val="both"/>
      <w:textAlignment w:val="baseline"/>
    </w:pPr>
    <w:rPr>
      <w:rFonts w:ascii="Times New Roman" w:eastAsia="Times New Roman" w:hAnsi="Times New Roman"/>
      <w:sz w:val="18"/>
      <w:szCs w:val="24"/>
      <w:lang w:val="it-IT"/>
    </w:rPr>
  </w:style>
  <w:style w:type="paragraph" w:customStyle="1" w:styleId="Normalebis">
    <w:name w:val="Normale bis"/>
    <w:basedOn w:val="Normal"/>
    <w:pPr>
      <w:widowControl w:val="0"/>
      <w:spacing w:before="120" w:after="120" w:line="240" w:lineRule="auto"/>
      <w:jc w:val="both"/>
    </w:pPr>
    <w:rPr>
      <w:rFonts w:ascii="Book Antiqua" w:eastAsia="Times New Roman" w:hAnsi="Book Antiqua"/>
      <w:sz w:val="24"/>
      <w:lang w:val="it-IT"/>
    </w:rPr>
  </w:style>
  <w:style w:type="paragraph" w:customStyle="1" w:styleId="Corpotestoamargine">
    <w:name w:val="Corpo testo a margine"/>
    <w:basedOn w:val="Normal"/>
    <w:pPr>
      <w:spacing w:before="240" w:after="120" w:line="240" w:lineRule="auto"/>
      <w:jc w:val="both"/>
    </w:pPr>
    <w:rPr>
      <w:rFonts w:ascii="Arial" w:eastAsia="Times New Roman" w:hAnsi="Arial"/>
      <w:sz w:val="22"/>
      <w:lang w:val="it-IT" w:eastAsia="it-IT"/>
    </w:rPr>
  </w:style>
  <w:style w:type="paragraph" w:customStyle="1" w:styleId="verdana">
    <w:name w:val="verdana"/>
    <w:basedOn w:val="Normal"/>
    <w:pPr>
      <w:spacing w:before="120" w:after="120" w:line="240" w:lineRule="auto"/>
    </w:pPr>
    <w:rPr>
      <w:rFonts w:ascii="Arial" w:eastAsia="Times New Roman" w:hAnsi="Arial"/>
      <w:b/>
      <w:bCs/>
      <w:sz w:val="18"/>
      <w:lang w:val="it-IT" w:eastAsia="it-IT"/>
    </w:rPr>
  </w:style>
  <w:style w:type="paragraph" w:customStyle="1" w:styleId="Rientrotesto3">
    <w:name w:val="Rientro testo 3"/>
    <w:basedOn w:val="BodyText2"/>
    <w:pPr>
      <w:numPr>
        <w:numId w:val="21"/>
      </w:numPr>
      <w:spacing w:before="120" w:after="60" w:line="240" w:lineRule="auto"/>
      <w:jc w:val="left"/>
    </w:pPr>
    <w:rPr>
      <w:szCs w:val="20"/>
      <w:lang w:val="it-IT" w:eastAsia="it-IT"/>
    </w:rPr>
  </w:style>
  <w:style w:type="paragraph" w:customStyle="1" w:styleId="TabellaIntestazione">
    <w:name w:val="Tabella Intestazione"/>
    <w:basedOn w:val="Normal"/>
    <w:pPr>
      <w:spacing w:before="120" w:after="120" w:line="240" w:lineRule="auto"/>
      <w:jc w:val="both"/>
    </w:pPr>
    <w:rPr>
      <w:rFonts w:ascii="Century Gothic" w:eastAsia="Times New Roman" w:hAnsi="Century Gothic"/>
      <w:b/>
      <w:bCs/>
      <w:sz w:val="22"/>
      <w:szCs w:val="22"/>
      <w:lang w:val="it-IT" w:eastAsia="it-IT"/>
    </w:rPr>
  </w:style>
  <w:style w:type="paragraph" w:customStyle="1" w:styleId="Baseintestazione">
    <w:name w:val="Base intestazione"/>
    <w:basedOn w:val="BodyText"/>
    <w:pPr>
      <w:keepLines/>
      <w:tabs>
        <w:tab w:val="center" w:pos="4320"/>
        <w:tab w:val="right" w:pos="8640"/>
      </w:tabs>
      <w:spacing w:before="120" w:after="0"/>
      <w:ind w:left="426"/>
      <w:jc w:val="center"/>
    </w:pPr>
    <w:rPr>
      <w:rFonts w:ascii="Garamond" w:eastAsia="Times New Roman" w:hAnsi="Garamond"/>
      <w:smallCaps/>
      <w:spacing w:val="15"/>
      <w:sz w:val="22"/>
      <w:szCs w:val="22"/>
      <w:lang w:val="it-IT" w:eastAsia="it-IT"/>
    </w:rPr>
  </w:style>
  <w:style w:type="paragraph" w:customStyle="1" w:styleId="TabellaColonna">
    <w:name w:val="Tabella Colonna"/>
    <w:basedOn w:val="Normal"/>
    <w:pPr>
      <w:spacing w:before="120" w:after="120" w:line="240" w:lineRule="auto"/>
    </w:pPr>
    <w:rPr>
      <w:rFonts w:ascii="Century Gothic" w:eastAsia="Times New Roman" w:hAnsi="Century Gothic"/>
      <w:b/>
      <w:bCs/>
      <w:lang w:val="it-IT" w:eastAsia="it-IT"/>
    </w:rPr>
  </w:style>
  <w:style w:type="paragraph" w:customStyle="1" w:styleId="TabellaCampi">
    <w:name w:val="Tabella Campi"/>
    <w:basedOn w:val="Normal"/>
    <w:pPr>
      <w:spacing w:before="120" w:after="120" w:line="240" w:lineRule="auto"/>
    </w:pPr>
    <w:rPr>
      <w:rFonts w:ascii="Garamond" w:eastAsia="Times New Roman" w:hAnsi="Garamond"/>
      <w:lang w:val="it-IT" w:eastAsia="it-IT"/>
    </w:rPr>
  </w:style>
  <w:style w:type="paragraph" w:customStyle="1" w:styleId="N">
    <w:name w:val="N"/>
    <w:basedOn w:val="Heading1"/>
    <w:pPr>
      <w:keepLines/>
      <w:widowControl/>
      <w:overflowPunct w:val="0"/>
      <w:autoSpaceDE w:val="0"/>
      <w:autoSpaceDN w:val="0"/>
      <w:adjustRightInd w:val="0"/>
      <w:spacing w:beforeLines="20" w:afterLines="20" w:line="480" w:lineRule="auto"/>
      <w:jc w:val="both"/>
      <w:textAlignment w:val="baseline"/>
    </w:pPr>
    <w:rPr>
      <w:rFonts w:ascii="Arial" w:eastAsia="Times New Roman" w:hAnsi="Arial" w:cs="Tahoma"/>
      <w:i w:val="0"/>
      <w:kern w:val="28"/>
      <w:sz w:val="20"/>
      <w:szCs w:val="20"/>
      <w:lang w:val="it-IT" w:eastAsia="it-IT"/>
    </w:rPr>
  </w:style>
  <w:style w:type="paragraph" w:customStyle="1" w:styleId="NomeCampo">
    <w:name w:val="Nome Campo"/>
    <w:basedOn w:val="Header"/>
    <w:pPr>
      <w:tabs>
        <w:tab w:val="center" w:pos="4819"/>
        <w:tab w:val="right" w:pos="9638"/>
      </w:tabs>
      <w:spacing w:before="120" w:after="80"/>
    </w:pPr>
    <w:rPr>
      <w:rFonts w:eastAsia="Times New Roman" w:cs="Arial"/>
      <w:i/>
      <w:iCs/>
      <w:sz w:val="16"/>
      <w:szCs w:val="16"/>
      <w:lang w:val="it-IT"/>
    </w:rPr>
  </w:style>
  <w:style w:type="paragraph" w:customStyle="1" w:styleId="HeaderBase">
    <w:name w:val="Header Base"/>
    <w:basedOn w:val="Normal"/>
    <w:pPr>
      <w:keepLines/>
      <w:tabs>
        <w:tab w:val="center" w:pos="4320"/>
        <w:tab w:val="right" w:pos="8640"/>
      </w:tabs>
      <w:overflowPunct w:val="0"/>
      <w:autoSpaceDE w:val="0"/>
      <w:autoSpaceDN w:val="0"/>
      <w:adjustRightInd w:val="0"/>
      <w:spacing w:before="120" w:after="120" w:line="240" w:lineRule="auto"/>
      <w:jc w:val="both"/>
      <w:textAlignment w:val="baseline"/>
    </w:pPr>
    <w:rPr>
      <w:rFonts w:ascii="Times New Roman" w:eastAsia="Times New Roman" w:hAnsi="Times New Roman"/>
      <w:sz w:val="24"/>
      <w:szCs w:val="24"/>
      <w:lang w:val="it-IT"/>
    </w:rPr>
  </w:style>
  <w:style w:type="paragraph" w:customStyle="1" w:styleId="testo2-puntato">
    <w:name w:val="testo2-puntato"/>
    <w:basedOn w:val="Normal"/>
    <w:pPr>
      <w:numPr>
        <w:numId w:val="22"/>
      </w:numPr>
      <w:spacing w:before="240" w:after="120" w:line="360" w:lineRule="atLeast"/>
    </w:pPr>
    <w:rPr>
      <w:rFonts w:ascii="Times New Roman" w:eastAsia="Times New Roman" w:hAnsi="Times New Roman"/>
      <w:sz w:val="24"/>
      <w:szCs w:val="24"/>
      <w:lang w:val="it-IT" w:eastAsia="it-IT"/>
    </w:rPr>
  </w:style>
  <w:style w:type="paragraph" w:styleId="IndexHeading">
    <w:name w:val="index heading"/>
    <w:basedOn w:val="Normal"/>
    <w:next w:val="Index1"/>
    <w:locked/>
    <w:pPr>
      <w:spacing w:before="120" w:after="120" w:line="240" w:lineRule="auto"/>
    </w:pPr>
    <w:rPr>
      <w:rFonts w:ascii="Arial" w:eastAsia="Times New Roman" w:hAnsi="Arial"/>
      <w:sz w:val="22"/>
      <w:lang w:val="it-IT" w:eastAsia="it-IT"/>
    </w:rPr>
  </w:style>
  <w:style w:type="paragraph" w:customStyle="1" w:styleId="BaseTitolo">
    <w:name w:val="Base Titolo"/>
    <w:basedOn w:val="BodyText"/>
    <w:next w:val="BodyText"/>
    <w:pPr>
      <w:keepNext/>
      <w:keepLines/>
      <w:spacing w:before="120" w:after="0"/>
    </w:pPr>
    <w:rPr>
      <w:rFonts w:ascii="Garamond" w:eastAsia="Times New Roman" w:hAnsi="Garamond"/>
      <w:kern w:val="20"/>
      <w:sz w:val="22"/>
      <w:lang w:val="it-IT" w:eastAsia="it-IT"/>
    </w:rPr>
  </w:style>
  <w:style w:type="paragraph" w:customStyle="1" w:styleId="Corpodeltestocontinuo">
    <w:name w:val="Corpo del testo continuo"/>
    <w:basedOn w:val="BodyText"/>
    <w:pPr>
      <w:keepNext/>
      <w:spacing w:before="120"/>
      <w:ind w:left="426"/>
    </w:pPr>
    <w:rPr>
      <w:rFonts w:ascii="Garamond" w:eastAsia="Times New Roman" w:hAnsi="Garamond"/>
      <w:sz w:val="22"/>
      <w:lang w:val="it-IT" w:eastAsia="it-IT"/>
    </w:rPr>
  </w:style>
  <w:style w:type="paragraph" w:customStyle="1" w:styleId="HeadTitolo1">
    <w:name w:val="HeadTitolo1"/>
    <w:basedOn w:val="Heading1"/>
    <w:pPr>
      <w:pageBreakBefore/>
      <w:widowControl/>
      <w:tabs>
        <w:tab w:val="num" w:pos="568"/>
      </w:tabs>
      <w:spacing w:before="240" w:after="360" w:line="240" w:lineRule="auto"/>
      <w:ind w:left="568" w:hanging="284"/>
      <w:jc w:val="both"/>
    </w:pPr>
    <w:rPr>
      <w:rFonts w:ascii="Arial" w:eastAsia="Times New Roman" w:hAnsi="Arial"/>
      <w:bCs w:val="0"/>
      <w:i w:val="0"/>
      <w:caps/>
      <w:kern w:val="28"/>
      <w:sz w:val="32"/>
      <w:szCs w:val="20"/>
      <w:lang w:val="it-IT" w:eastAsia="it-IT"/>
    </w:rPr>
  </w:style>
  <w:style w:type="paragraph" w:customStyle="1" w:styleId="TitleNew">
    <w:name w:val="TitleNew"/>
    <w:basedOn w:val="Normal"/>
    <w:autoRedefine/>
    <w:pPr>
      <w:spacing w:before="120" w:after="120" w:line="240" w:lineRule="auto"/>
      <w:jc w:val="center"/>
    </w:pPr>
    <w:rPr>
      <w:rFonts w:ascii="Arial" w:eastAsia="Times New Roman" w:hAnsi="Arial"/>
      <w:b/>
      <w:sz w:val="36"/>
      <w:lang w:eastAsia="it-IT"/>
    </w:rPr>
  </w:style>
  <w:style w:type="paragraph" w:customStyle="1" w:styleId="Normale1">
    <w:name w:val="Normale1"/>
    <w:basedOn w:val="Normal"/>
    <w:pPr>
      <w:spacing w:before="120" w:after="120" w:line="240" w:lineRule="auto"/>
    </w:pPr>
    <w:rPr>
      <w:rFonts w:ascii="Arial" w:eastAsia="Times New Roman" w:hAnsi="Arial" w:cs="Arial"/>
      <w:b/>
      <w:bCs/>
      <w:lang w:val="it-IT" w:eastAsia="it-IT"/>
    </w:rPr>
  </w:style>
  <w:style w:type="paragraph" w:customStyle="1" w:styleId="Normale-tab">
    <w:name w:val="Normale-tab"/>
    <w:basedOn w:val="Normal"/>
    <w:pPr>
      <w:spacing w:before="60" w:after="60" w:line="240" w:lineRule="auto"/>
      <w:jc w:val="both"/>
    </w:pPr>
    <w:rPr>
      <w:rFonts w:ascii="Arial" w:eastAsia="Times New Roman" w:hAnsi="Arial"/>
      <w:b/>
      <w:sz w:val="24"/>
      <w:lang w:val="it-IT" w:eastAsia="it-IT"/>
    </w:rPr>
  </w:style>
  <w:style w:type="paragraph" w:styleId="Index2">
    <w:name w:val="index 2"/>
    <w:basedOn w:val="Normal"/>
    <w:next w:val="Normal"/>
    <w:autoRedefine/>
    <w:locked/>
    <w:pPr>
      <w:spacing w:before="120" w:after="120" w:line="240" w:lineRule="auto"/>
      <w:ind w:left="480" w:hanging="240"/>
    </w:pPr>
    <w:rPr>
      <w:rFonts w:ascii="Times New Roman" w:eastAsia="Times New Roman" w:hAnsi="Times New Roman"/>
      <w:sz w:val="24"/>
      <w:szCs w:val="24"/>
      <w:lang w:val="it-IT" w:eastAsia="it-IT"/>
    </w:rPr>
  </w:style>
  <w:style w:type="paragraph" w:styleId="Index3">
    <w:name w:val="index 3"/>
    <w:basedOn w:val="Normal"/>
    <w:next w:val="Normal"/>
    <w:autoRedefine/>
    <w:locked/>
    <w:pPr>
      <w:spacing w:before="120" w:after="120" w:line="240" w:lineRule="auto"/>
      <w:ind w:left="720" w:hanging="240"/>
    </w:pPr>
    <w:rPr>
      <w:rFonts w:ascii="Times New Roman" w:eastAsia="Times New Roman" w:hAnsi="Times New Roman"/>
      <w:sz w:val="24"/>
      <w:szCs w:val="24"/>
      <w:lang w:val="it-IT" w:eastAsia="it-IT"/>
    </w:rPr>
  </w:style>
  <w:style w:type="paragraph" w:styleId="Index4">
    <w:name w:val="index 4"/>
    <w:basedOn w:val="Normal"/>
    <w:next w:val="Normal"/>
    <w:autoRedefine/>
    <w:locked/>
    <w:pPr>
      <w:spacing w:before="120" w:after="120" w:line="240" w:lineRule="auto"/>
      <w:ind w:left="960" w:hanging="240"/>
    </w:pPr>
    <w:rPr>
      <w:rFonts w:ascii="Times New Roman" w:eastAsia="Times New Roman" w:hAnsi="Times New Roman"/>
      <w:sz w:val="24"/>
      <w:szCs w:val="24"/>
      <w:lang w:val="it-IT" w:eastAsia="it-IT"/>
    </w:rPr>
  </w:style>
  <w:style w:type="paragraph" w:styleId="Index5">
    <w:name w:val="index 5"/>
    <w:basedOn w:val="Normal"/>
    <w:next w:val="Normal"/>
    <w:autoRedefine/>
    <w:locked/>
    <w:pPr>
      <w:spacing w:before="120" w:after="120" w:line="240" w:lineRule="auto"/>
      <w:ind w:left="1200" w:hanging="240"/>
    </w:pPr>
    <w:rPr>
      <w:rFonts w:ascii="Times New Roman" w:eastAsia="Times New Roman" w:hAnsi="Times New Roman"/>
      <w:sz w:val="24"/>
      <w:szCs w:val="24"/>
      <w:lang w:val="it-IT" w:eastAsia="it-IT"/>
    </w:rPr>
  </w:style>
  <w:style w:type="paragraph" w:styleId="Index6">
    <w:name w:val="index 6"/>
    <w:basedOn w:val="Normal"/>
    <w:next w:val="Normal"/>
    <w:autoRedefine/>
    <w:locked/>
    <w:pPr>
      <w:spacing w:before="120" w:after="120" w:line="240" w:lineRule="auto"/>
      <w:ind w:left="1440" w:hanging="240"/>
    </w:pPr>
    <w:rPr>
      <w:rFonts w:ascii="Times New Roman" w:eastAsia="Times New Roman" w:hAnsi="Times New Roman"/>
      <w:sz w:val="24"/>
      <w:szCs w:val="24"/>
      <w:lang w:val="it-IT" w:eastAsia="it-IT"/>
    </w:rPr>
  </w:style>
  <w:style w:type="paragraph" w:styleId="Index7">
    <w:name w:val="index 7"/>
    <w:basedOn w:val="Normal"/>
    <w:next w:val="Normal"/>
    <w:autoRedefine/>
    <w:locked/>
    <w:pPr>
      <w:spacing w:before="120" w:after="120" w:line="240" w:lineRule="auto"/>
      <w:ind w:left="1680" w:hanging="240"/>
    </w:pPr>
    <w:rPr>
      <w:rFonts w:ascii="Times New Roman" w:eastAsia="Times New Roman" w:hAnsi="Times New Roman"/>
      <w:sz w:val="24"/>
      <w:szCs w:val="24"/>
      <w:lang w:val="it-IT" w:eastAsia="it-IT"/>
    </w:rPr>
  </w:style>
  <w:style w:type="paragraph" w:styleId="Index8">
    <w:name w:val="index 8"/>
    <w:basedOn w:val="Normal"/>
    <w:next w:val="Normal"/>
    <w:autoRedefine/>
    <w:locked/>
    <w:pPr>
      <w:spacing w:before="120" w:after="120" w:line="240" w:lineRule="auto"/>
      <w:ind w:left="1920" w:hanging="240"/>
    </w:pPr>
    <w:rPr>
      <w:rFonts w:ascii="Times New Roman" w:eastAsia="Times New Roman" w:hAnsi="Times New Roman"/>
      <w:sz w:val="24"/>
      <w:szCs w:val="24"/>
      <w:lang w:val="it-IT" w:eastAsia="it-IT"/>
    </w:rPr>
  </w:style>
  <w:style w:type="paragraph" w:styleId="Index9">
    <w:name w:val="index 9"/>
    <w:basedOn w:val="Normal"/>
    <w:next w:val="Normal"/>
    <w:autoRedefine/>
    <w:locked/>
    <w:pPr>
      <w:spacing w:before="120" w:after="120" w:line="240" w:lineRule="auto"/>
      <w:ind w:left="2160" w:hanging="240"/>
    </w:pPr>
    <w:rPr>
      <w:rFonts w:ascii="Times New Roman" w:eastAsia="Times New Roman" w:hAnsi="Times New Roman"/>
      <w:sz w:val="24"/>
      <w:szCs w:val="24"/>
      <w:lang w:val="it-IT" w:eastAsia="it-IT"/>
    </w:rPr>
  </w:style>
  <w:style w:type="paragraph" w:customStyle="1" w:styleId="Heading10">
    <w:name w:val="Heading 10"/>
    <w:basedOn w:val="Normal"/>
    <w:next w:val="BodyText2"/>
    <w:link w:val="Heading10Char"/>
    <w:qFormat/>
    <w:pPr>
      <w:tabs>
        <w:tab w:val="num" w:pos="1588"/>
      </w:tabs>
      <w:spacing w:before="240" w:after="120" w:line="240" w:lineRule="auto"/>
      <w:ind w:left="1588" w:hanging="1588"/>
      <w:jc w:val="both"/>
      <w:outlineLvl w:val="7"/>
    </w:pPr>
    <w:rPr>
      <w:rFonts w:ascii="Arial" w:eastAsia="Times New Roman" w:hAnsi="Arial"/>
      <w:b/>
      <w:sz w:val="22"/>
      <w:lang w:val="it-IT" w:eastAsia="it-IT"/>
    </w:rPr>
  </w:style>
  <w:style w:type="character" w:customStyle="1" w:styleId="Heading10Char">
    <w:name w:val="Heading 10 Char"/>
    <w:basedOn w:val="Heading7Char"/>
    <w:link w:val="Heading10"/>
    <w:rPr>
      <w:rFonts w:ascii="Arial" w:eastAsia="Times New Roman" w:hAnsi="Arial"/>
      <w:b/>
      <w:iCs/>
      <w:color w:val="DC6900"/>
      <w:sz w:val="22"/>
      <w:lang w:val="en-GB" w:eastAsia="en-US"/>
    </w:rPr>
  </w:style>
  <w:style w:type="character" w:customStyle="1" w:styleId="formlabel1">
    <w:name w:val="formlabel1"/>
    <w:basedOn w:val="DefaultParagraphFont"/>
    <w:rPr>
      <w:rFonts w:ascii="Verdana" w:hAnsi="Verdana" w:hint="default"/>
      <w:strike w:val="0"/>
      <w:dstrike w:val="0"/>
      <w:color w:val="000000"/>
      <w:sz w:val="17"/>
      <w:szCs w:val="17"/>
      <w:u w:val="none"/>
      <w:effect w:val="none"/>
    </w:rPr>
  </w:style>
  <w:style w:type="character" w:customStyle="1" w:styleId="StileRimandonotaapidipagina9ptGrassettoNonApiceP">
    <w:name w:val="Stile Rimando nota a piè di pagina + 9 pt Grassetto Non Apice / P..."/>
    <w:basedOn w:val="DefaultParagraphFont"/>
    <w:rPr>
      <w:rFonts w:ascii="Verdana" w:hAnsi="Verdana"/>
      <w:b/>
      <w:bCs/>
      <w:dstrike w:val="0"/>
      <w:sz w:val="18"/>
      <w:vertAlign w:val="superscript"/>
    </w:rPr>
  </w:style>
  <w:style w:type="character" w:customStyle="1" w:styleId="formlabelmandatory1">
    <w:name w:val="formlabelmandatory1"/>
    <w:basedOn w:val="DefaultParagraphFont"/>
    <w:rPr>
      <w:rFonts w:ascii="Verdana" w:hAnsi="Verdana" w:hint="default"/>
      <w:b/>
      <w:bCs/>
      <w:color w:val="000000"/>
      <w:sz w:val="13"/>
      <w:szCs w:val="13"/>
    </w:rPr>
  </w:style>
  <w:style w:type="paragraph" w:customStyle="1" w:styleId="Nessunaspaziatura1">
    <w:name w:val="Nessuna spaziatura1"/>
    <w:link w:val="NessunaspaziaturaCarattere"/>
    <w:uiPriority w:val="1"/>
    <w:qFormat/>
    <w:pPr>
      <w:spacing w:before="120" w:after="120"/>
    </w:pPr>
    <w:rPr>
      <w:rFonts w:ascii="Calibri" w:eastAsia="Times New Roman" w:hAnsi="Calibri"/>
      <w:sz w:val="22"/>
      <w:szCs w:val="22"/>
      <w:lang w:eastAsia="en-US"/>
    </w:rPr>
  </w:style>
  <w:style w:type="character" w:customStyle="1" w:styleId="NessunaspaziaturaCarattere">
    <w:name w:val="Nessuna spaziatura Carattere"/>
    <w:basedOn w:val="DefaultParagraphFont"/>
    <w:link w:val="Nessunaspaziatura1"/>
    <w:uiPriority w:val="1"/>
    <w:rPr>
      <w:rFonts w:ascii="Calibri" w:eastAsia="Times New Roman" w:hAnsi="Calibri"/>
      <w:sz w:val="22"/>
      <w:szCs w:val="22"/>
      <w:lang w:eastAsia="en-US"/>
    </w:rPr>
  </w:style>
  <w:style w:type="paragraph" w:customStyle="1" w:styleId="Titolosommario1">
    <w:name w:val="Titolo sommario1"/>
    <w:basedOn w:val="Heading1"/>
    <w:next w:val="Normal"/>
    <w:uiPriority w:val="39"/>
    <w:semiHidden/>
    <w:unhideWhenUsed/>
    <w:qFormat/>
    <w:pPr>
      <w:keepLines/>
      <w:widowControl/>
      <w:spacing w:before="480" w:after="0" w:line="276" w:lineRule="auto"/>
      <w:outlineLvl w:val="9"/>
    </w:pPr>
    <w:rPr>
      <w:rFonts w:ascii="Cambria" w:eastAsia="Times New Roman" w:hAnsi="Cambria"/>
      <w:i w:val="0"/>
      <w:color w:val="365F91"/>
      <w:sz w:val="28"/>
      <w:lang w:val="it-IT"/>
    </w:rPr>
  </w:style>
  <w:style w:type="character" w:customStyle="1" w:styleId="Titolodellibro1">
    <w:name w:val="Titolo del libro1"/>
    <w:basedOn w:val="DefaultParagraphFont"/>
    <w:uiPriority w:val="33"/>
    <w:qFormat/>
    <w:rPr>
      <w:rFonts w:ascii="Arial" w:hAnsi="Arial"/>
      <w:b/>
      <w:bCs/>
      <w:smallCaps/>
      <w:spacing w:val="5"/>
      <w:sz w:val="24"/>
    </w:rPr>
  </w:style>
  <w:style w:type="paragraph" w:customStyle="1" w:styleId="000">
    <w:name w:val="000"/>
    <w:aliases w:val="standaard,standaard uitvullen,standaard (alt-s),stan084daard,standaard 04...,standaard 155,standaard uitv042ullen,sta550ndaard,standaard 040,standaard81,0001,standaard 042,standaard1,standaard uitvullen1,standaard (alt-s)1,stan084daard1,standaard811"/>
    <w:basedOn w:val="Normal"/>
    <w:link w:val="0003"/>
    <w:pPr>
      <w:overflowPunct w:val="0"/>
      <w:autoSpaceDE w:val="0"/>
      <w:autoSpaceDN w:val="0"/>
      <w:adjustRightInd w:val="0"/>
      <w:spacing w:after="0" w:line="260" w:lineRule="atLeast"/>
      <w:textAlignment w:val="baseline"/>
    </w:pPr>
    <w:rPr>
      <w:rFonts w:ascii="EYInterstate Light" w:eastAsia="Times New Roman" w:hAnsi="EYInterstate Light"/>
      <w:sz w:val="18"/>
      <w:lang w:val="nl-NL"/>
    </w:rPr>
  </w:style>
  <w:style w:type="character" w:customStyle="1" w:styleId="0003">
    <w:name w:val="0003"/>
    <w:aliases w:val="standaard Char Char"/>
    <w:basedOn w:val="DefaultParagraphFont"/>
    <w:link w:val="000"/>
    <w:uiPriority w:val="99"/>
    <w:locked/>
    <w:rPr>
      <w:rFonts w:ascii="EYInterstate Light" w:eastAsia="Times New Roman" w:hAnsi="EYInterstate Light"/>
      <w:sz w:val="18"/>
      <w:lang w:val="nl-NL" w:eastAsia="en-US"/>
    </w:rPr>
  </w:style>
  <w:style w:type="character" w:customStyle="1" w:styleId="Style1Char">
    <w:name w:val="Style1 Char"/>
    <w:basedOn w:val="DefaultParagraphFont"/>
    <w:link w:val="Style10"/>
    <w:locked/>
    <w:rPr>
      <w:rFonts w:ascii="Arial" w:eastAsia="Times New Roman" w:hAnsi="Arial"/>
      <w:sz w:val="24"/>
    </w:rPr>
  </w:style>
  <w:style w:type="paragraph" w:customStyle="1" w:styleId="Questionario3">
    <w:name w:val="Questionario3"/>
    <w:basedOn w:val="Normal"/>
    <w:pPr>
      <w:numPr>
        <w:ilvl w:val="2"/>
        <w:numId w:val="24"/>
      </w:numPr>
      <w:spacing w:before="120" w:after="120" w:line="240" w:lineRule="auto"/>
      <w:jc w:val="both"/>
    </w:pPr>
    <w:rPr>
      <w:rFonts w:ascii="Verdana" w:eastAsia="Times New Roman" w:hAnsi="Verdana"/>
      <w:szCs w:val="24"/>
      <w:lang w:eastAsia="it-IT"/>
    </w:rPr>
  </w:style>
  <w:style w:type="paragraph" w:customStyle="1" w:styleId="Questionario4">
    <w:name w:val="Questionario4"/>
    <w:basedOn w:val="Normal"/>
    <w:pPr>
      <w:numPr>
        <w:ilvl w:val="3"/>
        <w:numId w:val="24"/>
      </w:numPr>
      <w:spacing w:before="120" w:after="120" w:line="240" w:lineRule="auto"/>
      <w:jc w:val="both"/>
    </w:pPr>
    <w:rPr>
      <w:rFonts w:ascii="Verdana" w:eastAsia="Times New Roman" w:hAnsi="Verdana"/>
      <w:szCs w:val="24"/>
      <w:lang w:eastAsia="it-IT"/>
    </w:rPr>
  </w:style>
  <w:style w:type="paragraph" w:customStyle="1" w:styleId="BijlageHeading1">
    <w:name w:val="BijlageHeading 1"/>
    <w:basedOn w:val="Normal"/>
    <w:next w:val="000"/>
    <w:uiPriority w:val="99"/>
    <w:pPr>
      <w:keepNext/>
      <w:numPr>
        <w:numId w:val="25"/>
      </w:numPr>
      <w:overflowPunct w:val="0"/>
      <w:autoSpaceDE w:val="0"/>
      <w:autoSpaceDN w:val="0"/>
      <w:adjustRightInd w:val="0"/>
      <w:spacing w:before="240" w:after="60" w:line="240" w:lineRule="auto"/>
      <w:textAlignment w:val="baseline"/>
      <w:outlineLvl w:val="0"/>
    </w:pPr>
    <w:rPr>
      <w:rFonts w:ascii="EYInterstate Light" w:eastAsia="Times New Roman" w:hAnsi="EYInterstate Light"/>
      <w:b/>
      <w:sz w:val="28"/>
      <w:lang w:val="nl-NL"/>
    </w:rPr>
  </w:style>
  <w:style w:type="paragraph" w:customStyle="1" w:styleId="BijlageHeading2">
    <w:name w:val="BijlageHeading 2"/>
    <w:basedOn w:val="Normal"/>
    <w:next w:val="000"/>
    <w:uiPriority w:val="99"/>
    <w:pPr>
      <w:keepNext/>
      <w:numPr>
        <w:ilvl w:val="1"/>
        <w:numId w:val="25"/>
      </w:numPr>
      <w:overflowPunct w:val="0"/>
      <w:autoSpaceDE w:val="0"/>
      <w:autoSpaceDN w:val="0"/>
      <w:adjustRightInd w:val="0"/>
      <w:spacing w:before="240" w:after="60" w:line="240" w:lineRule="auto"/>
      <w:textAlignment w:val="baseline"/>
      <w:outlineLvl w:val="1"/>
    </w:pPr>
    <w:rPr>
      <w:rFonts w:ascii="EYInterstate Light" w:eastAsia="Times New Roman" w:hAnsi="EYInterstate Light"/>
      <w:b/>
      <w:i/>
      <w:sz w:val="26"/>
      <w:lang w:val="nl-NL"/>
    </w:rPr>
  </w:style>
  <w:style w:type="paragraph" w:customStyle="1" w:styleId="BijlageHeading3">
    <w:name w:val="BijlageHeading 3"/>
    <w:basedOn w:val="Normal"/>
    <w:next w:val="000"/>
    <w:uiPriority w:val="99"/>
    <w:pPr>
      <w:keepNext/>
      <w:numPr>
        <w:ilvl w:val="2"/>
        <w:numId w:val="25"/>
      </w:numPr>
      <w:overflowPunct w:val="0"/>
      <w:autoSpaceDE w:val="0"/>
      <w:autoSpaceDN w:val="0"/>
      <w:adjustRightInd w:val="0"/>
      <w:spacing w:before="240" w:after="60" w:line="240" w:lineRule="auto"/>
      <w:textAlignment w:val="baseline"/>
      <w:outlineLvl w:val="2"/>
    </w:pPr>
    <w:rPr>
      <w:rFonts w:ascii="EYInterstate Light" w:eastAsia="Times New Roman" w:hAnsi="EYInterstate Light"/>
      <w:b/>
      <w:sz w:val="24"/>
      <w:lang w:val="nl-NL"/>
    </w:rPr>
  </w:style>
  <w:style w:type="paragraph" w:customStyle="1" w:styleId="Tableboxtext">
    <w:name w:val="Table/box text"/>
    <w:basedOn w:val="Normal"/>
    <w:link w:val="TableboxtextChar"/>
    <w:qFormat/>
    <w:pPr>
      <w:spacing w:after="80" w:line="240" w:lineRule="auto"/>
    </w:pPr>
    <w:rPr>
      <w:rFonts w:ascii="EYInterstate Light" w:eastAsiaTheme="minorHAnsi" w:hAnsi="EYInterstate Light" w:cstheme="minorBidi"/>
      <w:sz w:val="18"/>
      <w:szCs w:val="22"/>
    </w:rPr>
  </w:style>
  <w:style w:type="character" w:customStyle="1" w:styleId="TableboxtextChar">
    <w:name w:val="Table/box text Char"/>
    <w:basedOn w:val="DefaultParagraphFont"/>
    <w:link w:val="Tableboxtext"/>
    <w:rPr>
      <w:rFonts w:ascii="EYInterstate Light" w:eastAsiaTheme="minorHAnsi" w:hAnsi="EYInterstate Light" w:cstheme="minorBidi"/>
      <w:sz w:val="18"/>
      <w:szCs w:val="22"/>
      <w:lang w:val="en-GB" w:eastAsia="en-US"/>
    </w:rPr>
  </w:style>
  <w:style w:type="paragraph" w:customStyle="1" w:styleId="Tableboxlist">
    <w:name w:val="Table/box list"/>
    <w:basedOn w:val="Normal"/>
    <w:qFormat/>
    <w:pPr>
      <w:numPr>
        <w:numId w:val="26"/>
      </w:numPr>
      <w:spacing w:after="80" w:line="240" w:lineRule="auto"/>
      <w:ind w:left="714" w:hanging="357"/>
      <w:contextualSpacing/>
    </w:pPr>
    <w:rPr>
      <w:rFonts w:ascii="EYInterstate Light" w:eastAsiaTheme="minorHAnsi" w:hAnsi="EYInterstate Light" w:cstheme="minorBidi"/>
      <w:sz w:val="18"/>
      <w:szCs w:val="22"/>
    </w:rPr>
  </w:style>
  <w:style w:type="paragraph" w:customStyle="1" w:styleId="Block">
    <w:name w:val="Block"/>
    <w:basedOn w:val="BlockText2"/>
    <w:link w:val="BlockChar"/>
    <w:uiPriority w:val="99"/>
    <w:qFormat/>
    <w:pPr>
      <w:pBdr>
        <w:top w:val="single" w:sz="2" w:space="10" w:color="DC6900" w:themeColor="text2"/>
        <w:left w:val="single" w:sz="2" w:space="10" w:color="DC6900" w:themeColor="text2"/>
        <w:bottom w:val="single" w:sz="2" w:space="10" w:color="DC6900" w:themeColor="text2"/>
        <w:right w:val="single" w:sz="2" w:space="10" w:color="DC6900" w:themeColor="text2"/>
      </w:pBdr>
      <w:shd w:val="clear" w:color="auto" w:fill="DC6900" w:themeFill="text2"/>
      <w:spacing w:after="0"/>
    </w:pPr>
    <w:rPr>
      <w:rFonts w:eastAsiaTheme="minorHAnsi" w:cstheme="minorBidi"/>
      <w:color w:val="FFFFFF" w:themeColor="background2"/>
      <w:sz w:val="20"/>
      <w:szCs w:val="22"/>
    </w:rPr>
  </w:style>
  <w:style w:type="character" w:customStyle="1" w:styleId="BlockChar">
    <w:name w:val="Block Char"/>
    <w:basedOn w:val="DefaultParagraphFont"/>
    <w:link w:val="Block"/>
    <w:uiPriority w:val="99"/>
    <w:rPr>
      <w:rFonts w:eastAsiaTheme="minorHAnsi" w:cstheme="minorBidi"/>
      <w:i/>
      <w:color w:val="FFFFFF" w:themeColor="background2"/>
      <w:szCs w:val="22"/>
      <w:shd w:val="clear" w:color="auto" w:fill="DC6900" w:themeFill="text2"/>
      <w:lang w:val="en-GB" w:eastAsia="en-US"/>
    </w:rPr>
  </w:style>
  <w:style w:type="paragraph" w:customStyle="1" w:styleId="AppendixHeading2">
    <w:name w:val="Appendix Heading 2"/>
    <w:basedOn w:val="Heading2"/>
    <w:next w:val="BodyText"/>
    <w:uiPriority w:val="99"/>
    <w:qFormat/>
    <w:pPr>
      <w:numPr>
        <w:numId w:val="27"/>
      </w:numPr>
      <w:tabs>
        <w:tab w:val="clear" w:pos="993"/>
      </w:tabs>
      <w:spacing w:before="120" w:after="240"/>
      <w:ind w:right="0"/>
    </w:pPr>
    <w:rPr>
      <w:rFonts w:asciiTheme="majorHAnsi" w:eastAsiaTheme="majorEastAsia" w:hAnsiTheme="majorHAnsi" w:cstheme="majorBidi"/>
      <w:color w:val="DC6900" w:themeColor="text2"/>
    </w:rPr>
  </w:style>
  <w:style w:type="paragraph" w:customStyle="1" w:styleId="CM1">
    <w:name w:val="CM1"/>
    <w:basedOn w:val="Default"/>
    <w:next w:val="Default"/>
    <w:uiPriority w:val="99"/>
    <w:rPr>
      <w:rFonts w:ascii="EUAlbertina" w:eastAsia="Arial" w:hAnsi="EUAlbertina"/>
      <w:color w:val="auto"/>
      <w:lang w:val="it-IT" w:eastAsia="it-IT"/>
    </w:rPr>
  </w:style>
  <w:style w:type="paragraph" w:customStyle="1" w:styleId="CM3">
    <w:name w:val="CM3"/>
    <w:basedOn w:val="Default"/>
    <w:next w:val="Default"/>
    <w:uiPriority w:val="99"/>
    <w:rPr>
      <w:rFonts w:ascii="EUAlbertina" w:eastAsia="Arial" w:hAnsi="EUAlbertina"/>
      <w:color w:val="auto"/>
      <w:lang w:val="it-IT" w:eastAsia="it-IT"/>
    </w:rPr>
  </w:style>
  <w:style w:type="paragraph" w:customStyle="1" w:styleId="CM4">
    <w:name w:val="CM4"/>
    <w:basedOn w:val="Default"/>
    <w:next w:val="Default"/>
    <w:uiPriority w:val="99"/>
    <w:rPr>
      <w:rFonts w:ascii="EUAlbertina" w:eastAsia="Arial" w:hAnsi="EUAlbertina"/>
      <w:color w:val="auto"/>
      <w:lang w:val="it-IT" w:eastAsia="it-IT"/>
    </w:rPr>
  </w:style>
  <w:style w:type="character" w:customStyle="1" w:styleId="NormalItalic">
    <w:name w:val="Normal  Italic"/>
    <w:basedOn w:val="DefaultParagraphFont"/>
    <w:rPr>
      <w:bCs/>
      <w:i/>
      <w:iCs/>
    </w:rPr>
  </w:style>
  <w:style w:type="character" w:customStyle="1" w:styleId="Normalgras">
    <w:name w:val="Normal gras"/>
    <w:rPr>
      <w:b/>
    </w:rPr>
  </w:style>
  <w:style w:type="paragraph" w:customStyle="1" w:styleId="Style5">
    <w:name w:val="Style5"/>
    <w:basedOn w:val="Normal"/>
    <w:link w:val="Style5Char"/>
    <w:qFormat/>
    <w:pPr>
      <w:overflowPunct w:val="0"/>
      <w:autoSpaceDE w:val="0"/>
      <w:autoSpaceDN w:val="0"/>
      <w:adjustRightInd w:val="0"/>
      <w:spacing w:before="80" w:after="120" w:line="260" w:lineRule="atLeast"/>
      <w:textAlignment w:val="baseline"/>
    </w:pPr>
    <w:rPr>
      <w:rFonts w:ascii="EYInterstate Light" w:eastAsia="Times New Roman" w:hAnsi="EYInterstate Light"/>
      <w:sz w:val="18"/>
      <w:szCs w:val="18"/>
      <w:lang w:eastAsia="nl-BE"/>
    </w:rPr>
  </w:style>
  <w:style w:type="character" w:customStyle="1" w:styleId="Style5Char">
    <w:name w:val="Style5 Char"/>
    <w:basedOn w:val="DefaultParagraphFont"/>
    <w:link w:val="Style5"/>
    <w:rPr>
      <w:rFonts w:ascii="EYInterstate Light" w:eastAsia="Times New Roman" w:hAnsi="EYInterstate Light"/>
      <w:sz w:val="18"/>
      <w:szCs w:val="18"/>
      <w:lang w:val="en-GB" w:eastAsia="nl-BE"/>
    </w:rPr>
  </w:style>
  <w:style w:type="paragraph" w:customStyle="1" w:styleId="Style4">
    <w:name w:val="Style4"/>
    <w:basedOn w:val="Heading5"/>
    <w:qFormat/>
    <w:pPr>
      <w:keepNext w:val="0"/>
      <w:keepLines w:val="0"/>
      <w:spacing w:before="240" w:after="120" w:line="240" w:lineRule="atLeast"/>
    </w:pPr>
    <w:rPr>
      <w:rFonts w:ascii="EYInterstate" w:eastAsia="Times New Roman" w:hAnsi="EYInterstate"/>
      <w:b/>
      <w:bCs/>
      <w:iCs/>
      <w:noProof/>
      <w:color w:val="262626" w:themeColor="text1" w:themeTint="D9"/>
      <w:sz w:val="22"/>
      <w:lang w:val="nl-BE" w:eastAsia="nl-BE"/>
    </w:rPr>
  </w:style>
  <w:style w:type="paragraph" w:customStyle="1" w:styleId="Heading1AA">
    <w:name w:val="Heading 1AA"/>
    <w:basedOn w:val="Heading1"/>
    <w:qFormat/>
    <w:pPr>
      <w:widowControl/>
      <w:spacing w:after="240" w:line="520" w:lineRule="atLeast"/>
    </w:pPr>
    <w:rPr>
      <w:rFonts w:ascii="EYInterstate" w:eastAsia="Times New Roman" w:hAnsi="EYInterstate" w:cs="Arial"/>
      <w:i w:val="0"/>
      <w:color w:val="808080" w:themeColor="background1" w:themeShade="80"/>
      <w:kern w:val="32"/>
      <w:sz w:val="46"/>
      <w:szCs w:val="46"/>
    </w:rPr>
  </w:style>
  <w:style w:type="paragraph" w:customStyle="1" w:styleId="Style16-tablewithtriangles">
    <w:name w:val="Style16 - table with triangles"/>
    <w:basedOn w:val="ListParagraph"/>
    <w:qFormat/>
    <w:pPr>
      <w:numPr>
        <w:numId w:val="28"/>
      </w:numPr>
      <w:spacing w:before="20" w:after="20" w:line="220" w:lineRule="exact"/>
      <w:ind w:left="320"/>
      <w:contextualSpacing w:val="0"/>
    </w:pPr>
    <w:rPr>
      <w:rFonts w:ascii="EYInterstate Light" w:hAnsi="EYInterstate Light"/>
      <w:iCs/>
      <w:noProof/>
      <w:sz w:val="16"/>
      <w:szCs w:val="16"/>
      <w:lang w:val="nl-BE" w:eastAsia="nl-BE"/>
    </w:rPr>
  </w:style>
  <w:style w:type="paragraph" w:customStyle="1" w:styleId="Style6">
    <w:name w:val="Style6"/>
    <w:basedOn w:val="TOC1"/>
    <w:qFormat/>
    <w:pPr>
      <w:numPr>
        <w:numId w:val="29"/>
      </w:numPr>
      <w:pBdr>
        <w:top w:val="none" w:sz="0" w:space="0" w:color="auto"/>
      </w:pBdr>
      <w:tabs>
        <w:tab w:val="clear" w:pos="9498"/>
      </w:tabs>
      <w:overflowPunct w:val="0"/>
      <w:autoSpaceDE w:val="0"/>
      <w:autoSpaceDN w:val="0"/>
      <w:adjustRightInd w:val="0"/>
      <w:spacing w:before="0" w:line="260" w:lineRule="atLeast"/>
      <w:ind w:right="0"/>
      <w:textAlignment w:val="baseline"/>
    </w:pPr>
    <w:rPr>
      <w:rFonts w:ascii="EYInterstate Light" w:eastAsia="Times New Roman" w:hAnsi="EYInterstate Light"/>
      <w:bCs/>
      <w:noProof/>
      <w:sz w:val="18"/>
      <w:szCs w:val="18"/>
      <w:lang w:eastAsia="nl-BE"/>
    </w:rPr>
  </w:style>
  <w:style w:type="paragraph" w:customStyle="1" w:styleId="Sottolista">
    <w:name w:val="Sottolista"/>
    <w:basedOn w:val="Normal"/>
    <w:pPr>
      <w:numPr>
        <w:numId w:val="30"/>
      </w:numPr>
      <w:spacing w:after="0" w:line="240" w:lineRule="auto"/>
      <w:jc w:val="both"/>
    </w:pPr>
    <w:rPr>
      <w:rFonts w:ascii="Palatino Linotype" w:eastAsia="Times New Roman" w:hAnsi="Palatino Linotype"/>
      <w:kern w:val="18"/>
      <w:szCs w:val="24"/>
      <w:lang w:val="it-IT" w:eastAsia="it-IT"/>
    </w:rPr>
  </w:style>
  <w:style w:type="table" w:styleId="LightGrid-Accent2">
    <w:name w:val="Light Grid Accent 2"/>
    <w:basedOn w:val="TableNormal"/>
    <w:uiPriority w:val="62"/>
    <w:tblPr>
      <w:tblStyleRowBandSize w:val="1"/>
      <w:tblStyleColBandSize w:val="1"/>
      <w:tblBorders>
        <w:top w:val="single" w:sz="8" w:space="0" w:color="FFB600" w:themeColor="accent2"/>
        <w:left w:val="single" w:sz="8" w:space="0" w:color="FFB600" w:themeColor="accent2"/>
        <w:bottom w:val="single" w:sz="8" w:space="0" w:color="FFB600" w:themeColor="accent2"/>
        <w:right w:val="single" w:sz="8" w:space="0" w:color="FFB600" w:themeColor="accent2"/>
        <w:insideH w:val="single" w:sz="8" w:space="0" w:color="FFB600" w:themeColor="accent2"/>
        <w:insideV w:val="single" w:sz="8" w:space="0" w:color="FFB6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B600" w:themeColor="accent2"/>
          <w:left w:val="single" w:sz="8" w:space="0" w:color="FFB600" w:themeColor="accent2"/>
          <w:bottom w:val="single" w:sz="18" w:space="0" w:color="FFB600" w:themeColor="accent2"/>
          <w:right w:val="single" w:sz="8" w:space="0" w:color="FFB600" w:themeColor="accent2"/>
          <w:insideH w:val="nil"/>
          <w:insideV w:val="single" w:sz="8" w:space="0" w:color="FFB6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B600" w:themeColor="accent2"/>
          <w:left w:val="single" w:sz="8" w:space="0" w:color="FFB600" w:themeColor="accent2"/>
          <w:bottom w:val="single" w:sz="8" w:space="0" w:color="FFB600" w:themeColor="accent2"/>
          <w:right w:val="single" w:sz="8" w:space="0" w:color="FFB600" w:themeColor="accent2"/>
          <w:insideH w:val="nil"/>
          <w:insideV w:val="single" w:sz="8" w:space="0" w:color="FFB6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B600" w:themeColor="accent2"/>
          <w:left w:val="single" w:sz="8" w:space="0" w:color="FFB600" w:themeColor="accent2"/>
          <w:bottom w:val="single" w:sz="8" w:space="0" w:color="FFB600" w:themeColor="accent2"/>
          <w:right w:val="single" w:sz="8" w:space="0" w:color="FFB600" w:themeColor="accent2"/>
        </w:tcBorders>
      </w:tcPr>
    </w:tblStylePr>
    <w:tblStylePr w:type="band1Vert">
      <w:tblPr/>
      <w:tcPr>
        <w:tcBorders>
          <w:top w:val="single" w:sz="8" w:space="0" w:color="FFB600" w:themeColor="accent2"/>
          <w:left w:val="single" w:sz="8" w:space="0" w:color="FFB600" w:themeColor="accent2"/>
          <w:bottom w:val="single" w:sz="8" w:space="0" w:color="FFB600" w:themeColor="accent2"/>
          <w:right w:val="single" w:sz="8" w:space="0" w:color="FFB600" w:themeColor="accent2"/>
        </w:tcBorders>
        <w:shd w:val="clear" w:color="auto" w:fill="FFECC0" w:themeFill="accent2" w:themeFillTint="3F"/>
      </w:tcPr>
    </w:tblStylePr>
    <w:tblStylePr w:type="band1Horz">
      <w:tblPr/>
      <w:tcPr>
        <w:tcBorders>
          <w:top w:val="single" w:sz="8" w:space="0" w:color="FFB600" w:themeColor="accent2"/>
          <w:left w:val="single" w:sz="8" w:space="0" w:color="FFB600" w:themeColor="accent2"/>
          <w:bottom w:val="single" w:sz="8" w:space="0" w:color="FFB600" w:themeColor="accent2"/>
          <w:right w:val="single" w:sz="8" w:space="0" w:color="FFB600" w:themeColor="accent2"/>
          <w:insideV w:val="single" w:sz="8" w:space="0" w:color="FFB600" w:themeColor="accent2"/>
        </w:tcBorders>
        <w:shd w:val="clear" w:color="auto" w:fill="FFECC0" w:themeFill="accent2" w:themeFillTint="3F"/>
      </w:tcPr>
    </w:tblStylePr>
    <w:tblStylePr w:type="band2Horz">
      <w:tblPr/>
      <w:tcPr>
        <w:tcBorders>
          <w:top w:val="single" w:sz="8" w:space="0" w:color="FFB600" w:themeColor="accent2"/>
          <w:left w:val="single" w:sz="8" w:space="0" w:color="FFB600" w:themeColor="accent2"/>
          <w:bottom w:val="single" w:sz="8" w:space="0" w:color="FFB600" w:themeColor="accent2"/>
          <w:right w:val="single" w:sz="8" w:space="0" w:color="FFB600" w:themeColor="accent2"/>
          <w:insideV w:val="single" w:sz="8" w:space="0" w:color="FFB600" w:themeColor="accent2"/>
        </w:tcBorders>
      </w:tcPr>
    </w:tblStylePr>
  </w:style>
  <w:style w:type="paragraph" w:customStyle="1" w:styleId="Paragrafo">
    <w:name w:val="Paragrafo"/>
    <w:basedOn w:val="Normal"/>
    <w:link w:val="ParagrafoCarattere3"/>
    <w:pPr>
      <w:widowControl w:val="0"/>
      <w:spacing w:before="120" w:after="0" w:line="240" w:lineRule="auto"/>
      <w:jc w:val="both"/>
    </w:pPr>
    <w:rPr>
      <w:rFonts w:ascii="Arial" w:eastAsia="Times New Roman" w:hAnsi="Arial" w:cs="Arial"/>
      <w:sz w:val="22"/>
      <w:szCs w:val="22"/>
      <w:lang w:val="it-IT"/>
    </w:rPr>
  </w:style>
  <w:style w:type="character" w:customStyle="1" w:styleId="ParagrafoCarattere3">
    <w:name w:val="Paragrafo Carattere3"/>
    <w:link w:val="Paragrafo"/>
    <w:rPr>
      <w:rFonts w:ascii="Arial" w:eastAsia="Times New Roman" w:hAnsi="Arial" w:cs="Arial"/>
      <w:sz w:val="22"/>
      <w:szCs w:val="22"/>
      <w:lang w:eastAsia="en-US"/>
    </w:rPr>
  </w:style>
  <w:style w:type="paragraph" w:customStyle="1" w:styleId="BodyText4">
    <w:name w:val="Body Text4"/>
    <w:basedOn w:val="NoParagraphStyle"/>
    <w:qFormat/>
    <w:pPr>
      <w:spacing w:after="180" w:line="260" w:lineRule="atLeast"/>
    </w:pPr>
    <w:rPr>
      <w:rFonts w:ascii="Georgia" w:eastAsia="Arial" w:hAnsi="Georgia" w:cs="Georgia"/>
      <w:sz w:val="20"/>
      <w:szCs w:val="20"/>
      <w:lang w:val="en-GB"/>
    </w:rPr>
  </w:style>
  <w:style w:type="character" w:customStyle="1" w:styleId="IntenseEmphasis1">
    <w:name w:val="Intense Emphasis1"/>
    <w:aliases w:val="Header (ALL)"/>
    <w:basedOn w:val="DefaultParagraphFont"/>
    <w:qFormat/>
    <w:rPr>
      <w:rFonts w:ascii="EYInterstate" w:hAnsi="EYInterstate"/>
      <w:b/>
      <w:color w:val="646464"/>
      <w:sz w:val="16"/>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link w:val="FootnoteReference"/>
    <w:uiPriority w:val="99"/>
    <w:qFormat/>
    <w:pPr>
      <w:spacing w:before="60" w:after="160" w:line="240" w:lineRule="exact"/>
      <w:jc w:val="both"/>
    </w:pPr>
    <w:rPr>
      <w:vertAlign w:val="superscript"/>
      <w:lang w:val="it-IT" w:eastAsia="it-IT"/>
    </w:rPr>
  </w:style>
  <w:style w:type="paragraph" w:customStyle="1" w:styleId="CharChar1CharCharCharCharCharCharCharCharCharCharCharCarattereCarattereCharCharCarattereCarattereCharChar1CarattereCarattereCarattereCharChar">
    <w:name w:val="Char Char1 Char Char Char Char Char Char Char Char Char Char Char Carattere Carattere Char Char Carattere Carattere Char Char1 Carattere Carattere Carattere Char Char"/>
    <w:basedOn w:val="Normal"/>
    <w:pPr>
      <w:spacing w:after="160" w:line="240" w:lineRule="exact"/>
    </w:pPr>
    <w:rPr>
      <w:rFonts w:ascii="Tahoma" w:eastAsia="Times New Roman" w:hAnsi="Tahoma"/>
      <w:lang w:val="en-US"/>
    </w:rPr>
  </w:style>
  <w:style w:type="paragraph" w:customStyle="1" w:styleId="bulletone">
    <w:name w:val="bullet one"/>
    <w:basedOn w:val="Normal"/>
    <w:pPr>
      <w:numPr>
        <w:numId w:val="32"/>
      </w:numPr>
      <w:autoSpaceDE w:val="0"/>
      <w:autoSpaceDN w:val="0"/>
      <w:adjustRightInd w:val="0"/>
      <w:spacing w:after="0" w:line="240" w:lineRule="auto"/>
    </w:pPr>
    <w:rPr>
      <w:rFonts w:ascii="Verdana" w:eastAsia="Times New Roman" w:hAnsi="Verdana"/>
      <w:lang w:val="it-IT" w:eastAsia="it-IT"/>
    </w:rPr>
  </w:style>
  <w:style w:type="paragraph" w:customStyle="1" w:styleId="EndNoteBibliography">
    <w:name w:val="EndNote Bibliography"/>
    <w:basedOn w:val="Normal"/>
    <w:pPr>
      <w:numPr>
        <w:numId w:val="34"/>
      </w:numPr>
    </w:pPr>
    <w:rPr>
      <w:lang w:val="en-US"/>
    </w:rPr>
  </w:style>
  <w:style w:type="numbering" w:customStyle="1" w:styleId="NoList1">
    <w:name w:val="No List1"/>
    <w:next w:val="NoList"/>
    <w:uiPriority w:val="99"/>
    <w:semiHidden/>
    <w:unhideWhenUsed/>
  </w:style>
  <w:style w:type="table" w:customStyle="1" w:styleId="CV11">
    <w:name w:val="CV11"/>
    <w:basedOn w:val="TableNormal"/>
    <w:next w:val="TableGri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wCTableFigures1">
    <w:name w:val="PwC Table Figures1"/>
    <w:uiPriority w:val="99"/>
    <w:qFormat/>
    <w:pPr>
      <w:tabs>
        <w:tab w:val="decimal" w:pos="1134"/>
      </w:tabs>
      <w:spacing w:before="60" w:after="60"/>
    </w:pPr>
    <w:rPr>
      <w:rFonts w:ascii="Arial" w:hAnsi="Arial"/>
      <w:lang w:val="de-DE" w:eastAsia="de-DE"/>
    </w:rPr>
    <w:tblPr>
      <w:tblInd w:w="0" w:type="dxa"/>
      <w:tblBorders>
        <w:insideH w:val="dotted" w:sz="4" w:space="0" w:color="DC6900"/>
      </w:tblBorders>
      <w:tblCellMar>
        <w:top w:w="0" w:type="dxa"/>
        <w:left w:w="108" w:type="dxa"/>
        <w:bottom w:w="0" w:type="dxa"/>
        <w:right w:w="108" w:type="dxa"/>
      </w:tblCellMar>
    </w:tblPr>
  </w:style>
  <w:style w:type="table" w:customStyle="1" w:styleId="PwCTableText1">
    <w:name w:val="PwC Table Text1"/>
    <w:basedOn w:val="TableNormal"/>
    <w:uiPriority w:val="99"/>
    <w:qFormat/>
    <w:pPr>
      <w:spacing w:before="60" w:after="60"/>
    </w:pPr>
    <w:rPr>
      <w:rFonts w:eastAsia="Calibri"/>
      <w:lang w:val="en-GB" w:eastAsia="en-US"/>
    </w:rPr>
    <w:tblPr>
      <w:tblStyleRowBandSize w:val="1"/>
      <w:tblBorders>
        <w:insideH w:val="dotted" w:sz="4" w:space="0" w:color="D06F1A"/>
      </w:tblBorders>
    </w:tblPr>
    <w:tblStylePr w:type="firstRow">
      <w:rPr>
        <w:b/>
      </w:rPr>
      <w:tblPr/>
      <w:tcPr>
        <w:tcBorders>
          <w:top w:val="single" w:sz="6" w:space="0" w:color="D06F1A"/>
          <w:bottom w:val="single" w:sz="6" w:space="0" w:color="D06F1A"/>
        </w:tcBorders>
      </w:tcPr>
    </w:tblStylePr>
    <w:tblStylePr w:type="lastRow">
      <w:rPr>
        <w:b/>
      </w:rPr>
      <w:tblPr/>
      <w:tcPr>
        <w:tcBorders>
          <w:top w:val="single" w:sz="6" w:space="0" w:color="D06F1A"/>
          <w:bottom w:val="single" w:sz="6" w:space="0" w:color="D06F1A"/>
        </w:tcBorders>
      </w:tcPr>
    </w:tblStylePr>
    <w:tblStylePr w:type="band1Horz">
      <w:tblPr/>
      <w:tcPr>
        <w:tcBorders>
          <w:bottom w:val="nil"/>
        </w:tcBorders>
      </w:tcPr>
    </w:tblStylePr>
  </w:style>
  <w:style w:type="table" w:customStyle="1" w:styleId="MediumList2-Accent61">
    <w:name w:val="Medium List 2 - Accent 61"/>
    <w:basedOn w:val="TableNormal"/>
    <w:next w:val="MediumList2-Accent6"/>
    <w:uiPriority w:val="99"/>
    <w:rPr>
      <w:rFonts w:eastAsia="SimHei"/>
      <w:color w:val="000000"/>
    </w:rPr>
    <w:tblPr>
      <w:tblStyleRowBandSize w:val="1"/>
      <w:tblStyleColBandSize w:val="1"/>
      <w:tblBorders>
        <w:top w:val="single" w:sz="8" w:space="0" w:color="E0301E"/>
        <w:left w:val="single" w:sz="8" w:space="0" w:color="E0301E"/>
        <w:bottom w:val="single" w:sz="8" w:space="0" w:color="E0301E"/>
        <w:right w:val="single" w:sz="8" w:space="0" w:color="E0301E"/>
      </w:tblBorders>
    </w:tblPr>
    <w:tblStylePr w:type="firstRow">
      <w:rPr>
        <w:rFonts w:cs="Times New Roman"/>
        <w:sz w:val="24"/>
        <w:szCs w:val="24"/>
      </w:rPr>
      <w:tblPr/>
      <w:tcPr>
        <w:tcBorders>
          <w:top w:val="nil"/>
          <w:left w:val="nil"/>
          <w:bottom w:val="single" w:sz="24" w:space="0" w:color="E0301E"/>
          <w:right w:val="nil"/>
          <w:insideH w:val="nil"/>
          <w:insideV w:val="nil"/>
        </w:tcBorders>
        <w:shd w:val="clear" w:color="auto" w:fill="FFFFFF"/>
      </w:tcPr>
    </w:tblStylePr>
    <w:tblStylePr w:type="lastRow">
      <w:rPr>
        <w:rFonts w:cs="Times New Roman"/>
      </w:rPr>
      <w:tblPr/>
      <w:tcPr>
        <w:tcBorders>
          <w:top w:val="single" w:sz="8" w:space="0" w:color="E0301E"/>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E0301E"/>
          <w:insideH w:val="nil"/>
          <w:insideV w:val="nil"/>
        </w:tcBorders>
        <w:shd w:val="clear" w:color="auto" w:fill="FFFFFF"/>
      </w:tcPr>
    </w:tblStylePr>
    <w:tblStylePr w:type="lastCol">
      <w:rPr>
        <w:rFonts w:cs="Times New Roman"/>
      </w:rPr>
      <w:tblPr/>
      <w:tcPr>
        <w:tcBorders>
          <w:top w:val="nil"/>
          <w:left w:val="single" w:sz="8" w:space="0" w:color="E0301E"/>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7CBC7"/>
      </w:tcPr>
    </w:tblStylePr>
    <w:tblStylePr w:type="band1Horz">
      <w:rPr>
        <w:rFonts w:cs="Times New Roman"/>
      </w:rPr>
      <w:tblPr/>
      <w:tcPr>
        <w:tcBorders>
          <w:top w:val="nil"/>
          <w:bottom w:val="nil"/>
          <w:insideH w:val="nil"/>
          <w:insideV w:val="nil"/>
        </w:tcBorders>
        <w:shd w:val="clear" w:color="auto" w:fill="F7CBC7"/>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LightList-Accent22">
    <w:name w:val="Light List - Accent 22"/>
    <w:basedOn w:val="TableNormal"/>
    <w:next w:val="LightList-Accent2"/>
    <w:uiPriority w:val="99"/>
    <w:tblPr>
      <w:tblStyleRowBandSize w:val="1"/>
      <w:tblStyleColBandSize w:val="1"/>
      <w:tblBorders>
        <w:top w:val="single" w:sz="8" w:space="0" w:color="FFB600"/>
        <w:left w:val="single" w:sz="8" w:space="0" w:color="FFB600"/>
        <w:bottom w:val="single" w:sz="8" w:space="0" w:color="FFB600"/>
        <w:right w:val="single" w:sz="8" w:space="0" w:color="FFB600"/>
      </w:tblBorders>
    </w:tblPr>
    <w:tblStylePr w:type="firstRow">
      <w:pPr>
        <w:spacing w:before="0" w:after="0"/>
      </w:pPr>
      <w:rPr>
        <w:rFonts w:cs="Times New Roman"/>
        <w:b/>
        <w:bCs/>
        <w:color w:val="FFFFFF"/>
      </w:rPr>
      <w:tblPr/>
      <w:tcPr>
        <w:shd w:val="clear" w:color="auto" w:fill="FFB600"/>
      </w:tcPr>
    </w:tblStylePr>
    <w:tblStylePr w:type="lastRow">
      <w:pPr>
        <w:spacing w:before="0" w:after="0"/>
      </w:pPr>
      <w:rPr>
        <w:rFonts w:cs="Times New Roman"/>
        <w:b/>
        <w:bCs/>
      </w:rPr>
      <w:tblPr/>
      <w:tcPr>
        <w:tcBorders>
          <w:top w:val="double" w:sz="6" w:space="0" w:color="FFB600"/>
          <w:left w:val="single" w:sz="8" w:space="0" w:color="FFB600"/>
          <w:bottom w:val="single" w:sz="8" w:space="0" w:color="FFB600"/>
          <w:right w:val="single" w:sz="8" w:space="0" w:color="FFB6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FB600"/>
          <w:left w:val="single" w:sz="8" w:space="0" w:color="FFB600"/>
          <w:bottom w:val="single" w:sz="8" w:space="0" w:color="FFB600"/>
          <w:right w:val="single" w:sz="8" w:space="0" w:color="FFB600"/>
        </w:tcBorders>
      </w:tcPr>
    </w:tblStylePr>
    <w:tblStylePr w:type="band1Horz">
      <w:rPr>
        <w:rFonts w:cs="Times New Roman"/>
      </w:rPr>
      <w:tblPr/>
      <w:tcPr>
        <w:tcBorders>
          <w:top w:val="single" w:sz="8" w:space="0" w:color="FFB600"/>
          <w:left w:val="single" w:sz="8" w:space="0" w:color="FFB600"/>
          <w:bottom w:val="single" w:sz="8" w:space="0" w:color="FFB600"/>
          <w:right w:val="single" w:sz="8" w:space="0" w:color="FFB600"/>
        </w:tcBorders>
      </w:tcPr>
    </w:tblStylePr>
  </w:style>
  <w:style w:type="table" w:customStyle="1" w:styleId="MediumShading1-Accent21">
    <w:name w:val="Medium Shading 1 - Accent 21"/>
    <w:basedOn w:val="TableNormal"/>
    <w:next w:val="MediumShading1-Accent2"/>
    <w:uiPriority w:val="99"/>
    <w:tblPr>
      <w:tblStyleRowBandSize w:val="1"/>
      <w:tblStyleColBandSize w:val="1"/>
      <w:tblBorders>
        <w:top w:val="single" w:sz="8" w:space="0" w:color="FFC840"/>
        <w:left w:val="single" w:sz="8" w:space="0" w:color="FFC840"/>
        <w:bottom w:val="single" w:sz="8" w:space="0" w:color="FFC840"/>
        <w:right w:val="single" w:sz="8" w:space="0" w:color="FFC840"/>
        <w:insideH w:val="single" w:sz="8" w:space="0" w:color="FFC840"/>
      </w:tblBorders>
    </w:tblPr>
    <w:tblStylePr w:type="firstRow">
      <w:pPr>
        <w:spacing w:before="0" w:after="0"/>
      </w:pPr>
      <w:rPr>
        <w:rFonts w:cs="Times New Roman"/>
        <w:b/>
        <w:bCs/>
        <w:color w:val="FFFFFF"/>
      </w:rPr>
      <w:tblPr/>
      <w:tcPr>
        <w:tcBorders>
          <w:top w:val="single" w:sz="8" w:space="0" w:color="FFC840"/>
          <w:left w:val="single" w:sz="8" w:space="0" w:color="FFC840"/>
          <w:bottom w:val="single" w:sz="8" w:space="0" w:color="FFC840"/>
          <w:right w:val="single" w:sz="8" w:space="0" w:color="FFC840"/>
          <w:insideH w:val="nil"/>
          <w:insideV w:val="nil"/>
        </w:tcBorders>
        <w:shd w:val="clear" w:color="auto" w:fill="FFB600"/>
      </w:tcPr>
    </w:tblStylePr>
    <w:tblStylePr w:type="lastRow">
      <w:pPr>
        <w:spacing w:before="0" w:after="0"/>
      </w:pPr>
      <w:rPr>
        <w:rFonts w:cs="Times New Roman"/>
        <w:b/>
        <w:bCs/>
      </w:rPr>
      <w:tblPr/>
      <w:tcPr>
        <w:tcBorders>
          <w:top w:val="double" w:sz="6" w:space="0" w:color="FFC840"/>
          <w:left w:val="single" w:sz="8" w:space="0" w:color="FFC840"/>
          <w:bottom w:val="single" w:sz="8" w:space="0" w:color="FFC840"/>
          <w:right w:val="single" w:sz="8" w:space="0" w:color="FFC8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ECC0"/>
      </w:tcPr>
    </w:tblStylePr>
    <w:tblStylePr w:type="band1Horz">
      <w:rPr>
        <w:rFonts w:cs="Times New Roman"/>
      </w:rPr>
      <w:tblPr/>
      <w:tcPr>
        <w:tcBorders>
          <w:insideH w:val="nil"/>
          <w:insideV w:val="nil"/>
        </w:tcBorders>
        <w:shd w:val="clear" w:color="auto" w:fill="FFECC0"/>
      </w:tcPr>
    </w:tblStylePr>
    <w:tblStylePr w:type="band2Horz">
      <w:rPr>
        <w:rFonts w:cs="Times New Roman"/>
      </w:rPr>
      <w:tblPr/>
      <w:tcPr>
        <w:tcBorders>
          <w:insideH w:val="nil"/>
          <w:insideV w:val="nil"/>
        </w:tcBorders>
      </w:tcPr>
    </w:tblStylePr>
  </w:style>
  <w:style w:type="table" w:customStyle="1" w:styleId="LightShading-Accent111">
    <w:name w:val="Light Shading - Accent 111"/>
    <w:uiPriority w:val="99"/>
    <w:rPr>
      <w:color w:val="A44E00"/>
      <w:lang w:val="de-DE" w:eastAsia="de-DE"/>
    </w:rPr>
    <w:tblPr>
      <w:tblStyleRowBandSize w:val="1"/>
      <w:tblStyleColBandSize w:val="1"/>
      <w:tblInd w:w="0" w:type="dxa"/>
      <w:tblBorders>
        <w:top w:val="single" w:sz="8" w:space="0" w:color="DC6900"/>
        <w:bottom w:val="single" w:sz="8" w:space="0" w:color="DC6900"/>
      </w:tblBorders>
      <w:tblCellMar>
        <w:top w:w="0" w:type="dxa"/>
        <w:left w:w="108" w:type="dxa"/>
        <w:bottom w:w="0" w:type="dxa"/>
        <w:right w:w="108" w:type="dxa"/>
      </w:tblCellMar>
    </w:tblPr>
  </w:style>
  <w:style w:type="table" w:customStyle="1" w:styleId="ColorfulGrid-Accent11">
    <w:name w:val="Colorful Grid - Accent 11"/>
    <w:basedOn w:val="TableNormal"/>
    <w:next w:val="ColorfulGrid-Accent1"/>
    <w:uiPriority w:val="99"/>
    <w:rPr>
      <w:color w:val="000000"/>
    </w:rPr>
    <w:tblPr>
      <w:tblStyleRowBandSize w:val="1"/>
      <w:tblStyleColBandSize w:val="1"/>
      <w:tblBorders>
        <w:insideH w:val="single" w:sz="4" w:space="0" w:color="FFFFFF"/>
      </w:tblBorders>
    </w:tblPr>
    <w:tcPr>
      <w:shd w:val="clear" w:color="auto" w:fill="FFE0C5"/>
    </w:tcPr>
    <w:tblStylePr w:type="firstRow">
      <w:rPr>
        <w:rFonts w:cs="Times New Roman"/>
        <w:b/>
        <w:bCs/>
      </w:rPr>
      <w:tblPr/>
      <w:tcPr>
        <w:shd w:val="clear" w:color="auto" w:fill="FFC28B"/>
      </w:tcPr>
    </w:tblStylePr>
    <w:tblStylePr w:type="lastRow">
      <w:rPr>
        <w:rFonts w:cs="Times New Roman"/>
        <w:b/>
        <w:bCs/>
        <w:color w:val="000000"/>
      </w:rPr>
      <w:tblPr/>
      <w:tcPr>
        <w:shd w:val="clear" w:color="auto" w:fill="FFC28B"/>
      </w:tcPr>
    </w:tblStylePr>
    <w:tblStylePr w:type="firstCol">
      <w:rPr>
        <w:rFonts w:cs="Times New Roman"/>
        <w:color w:val="FFFFFF"/>
      </w:rPr>
      <w:tblPr/>
      <w:tcPr>
        <w:shd w:val="clear" w:color="auto" w:fill="A44E00"/>
      </w:tcPr>
    </w:tblStylePr>
    <w:tblStylePr w:type="lastCol">
      <w:rPr>
        <w:rFonts w:cs="Times New Roman"/>
        <w:color w:val="FFFFFF"/>
      </w:rPr>
      <w:tblPr/>
      <w:tcPr>
        <w:shd w:val="clear" w:color="auto" w:fill="A44E00"/>
      </w:tcPr>
    </w:tblStylePr>
    <w:tblStylePr w:type="band1Vert">
      <w:rPr>
        <w:rFonts w:cs="Times New Roman"/>
      </w:rPr>
      <w:tblPr/>
      <w:tcPr>
        <w:shd w:val="clear" w:color="auto" w:fill="FFB26E"/>
      </w:tcPr>
    </w:tblStylePr>
    <w:tblStylePr w:type="band1Horz">
      <w:rPr>
        <w:rFonts w:cs="Times New Roman"/>
      </w:rPr>
      <w:tblPr/>
      <w:tcPr>
        <w:shd w:val="clear" w:color="auto" w:fill="FFB26E"/>
      </w:tcPr>
    </w:tblStylePr>
  </w:style>
  <w:style w:type="table" w:customStyle="1" w:styleId="LightList-Accent111">
    <w:name w:val="Light List - Accent 111"/>
    <w:uiPriority w:val="61"/>
    <w:rPr>
      <w:lang w:val="de-DE" w:eastAsia="de-DE"/>
    </w:rPr>
    <w:tblPr>
      <w:tblStyleRowBandSize w:val="1"/>
      <w:tblStyleColBandSize w:val="1"/>
      <w:tblInd w:w="0" w:type="dxa"/>
      <w:tblBorders>
        <w:top w:val="single" w:sz="8" w:space="0" w:color="DC6900"/>
        <w:left w:val="single" w:sz="8" w:space="0" w:color="DC6900"/>
        <w:bottom w:val="single" w:sz="8" w:space="0" w:color="DC6900"/>
        <w:right w:val="single" w:sz="8" w:space="0" w:color="DC6900"/>
      </w:tblBorders>
      <w:tblCellMar>
        <w:top w:w="0" w:type="dxa"/>
        <w:left w:w="108" w:type="dxa"/>
        <w:bottom w:w="0" w:type="dxa"/>
        <w:right w:w="108" w:type="dxa"/>
      </w:tblCellMar>
    </w:tblPr>
  </w:style>
  <w:style w:type="table" w:customStyle="1" w:styleId="MediumShading1-Accent111">
    <w:name w:val="Medium Shading 1 - Accent 111"/>
    <w:uiPriority w:val="99"/>
    <w:rPr>
      <w:lang w:val="de-DE" w:eastAsia="de-DE"/>
    </w:rPr>
    <w:tblPr>
      <w:tblStyleRowBandSize w:val="1"/>
      <w:tblStyleColBandSize w:val="1"/>
      <w:tblInd w:w="0" w:type="dxa"/>
      <w:tblBorders>
        <w:top w:val="single" w:sz="8" w:space="0" w:color="FF8C25"/>
        <w:left w:val="single" w:sz="8" w:space="0" w:color="FF8C25"/>
        <w:bottom w:val="single" w:sz="8" w:space="0" w:color="FF8C25"/>
        <w:right w:val="single" w:sz="8" w:space="0" w:color="FF8C25"/>
        <w:insideH w:val="single" w:sz="8" w:space="0" w:color="FF8C25"/>
      </w:tblBorders>
      <w:tblCellMar>
        <w:top w:w="0" w:type="dxa"/>
        <w:left w:w="108" w:type="dxa"/>
        <w:bottom w:w="0" w:type="dxa"/>
        <w:right w:w="108" w:type="dxa"/>
      </w:tblCellMar>
    </w:tblPr>
  </w:style>
  <w:style w:type="table" w:customStyle="1" w:styleId="LightGrid-Accent111">
    <w:name w:val="Light Grid - Accent 111"/>
    <w:uiPriority w:val="99"/>
    <w:rPr>
      <w:lang w:val="de-DE" w:eastAsia="de-DE"/>
    </w:rPr>
    <w:tblPr>
      <w:tblStyleRowBandSize w:val="1"/>
      <w:tblStyleColBandSize w:val="1"/>
      <w:tblInd w:w="0" w:type="dxa"/>
      <w:tblBorders>
        <w:top w:val="single" w:sz="8" w:space="0" w:color="DC6900"/>
        <w:left w:val="single" w:sz="8" w:space="0" w:color="DC6900"/>
        <w:bottom w:val="single" w:sz="8" w:space="0" w:color="DC6900"/>
        <w:right w:val="single" w:sz="8" w:space="0" w:color="DC6900"/>
        <w:insideH w:val="single" w:sz="8" w:space="0" w:color="DC6900"/>
        <w:insideV w:val="single" w:sz="8" w:space="0" w:color="DC6900"/>
      </w:tblBorders>
      <w:tblCellMar>
        <w:top w:w="0" w:type="dxa"/>
        <w:left w:w="108" w:type="dxa"/>
        <w:bottom w:w="0" w:type="dxa"/>
        <w:right w:w="108" w:type="dxa"/>
      </w:tblCellMar>
    </w:tblPr>
  </w:style>
  <w:style w:type="table" w:customStyle="1" w:styleId="LightList-Accent61">
    <w:name w:val="Light List - Accent 61"/>
    <w:basedOn w:val="TableNormal"/>
    <w:next w:val="LightList-Accent6"/>
    <w:uiPriority w:val="61"/>
    <w:tblPr>
      <w:tblStyleRowBandSize w:val="1"/>
      <w:tblStyleColBandSize w:val="1"/>
      <w:tblBorders>
        <w:top w:val="single" w:sz="8" w:space="0" w:color="D06F1A"/>
        <w:left w:val="single" w:sz="8" w:space="0" w:color="D06F1A"/>
        <w:bottom w:val="single" w:sz="8" w:space="0" w:color="D06F1A"/>
        <w:right w:val="single" w:sz="8" w:space="0" w:color="D06F1A"/>
      </w:tblBorders>
    </w:tblPr>
    <w:tblStylePr w:type="firstRow">
      <w:pPr>
        <w:spacing w:before="0" w:after="0" w:line="240" w:lineRule="auto"/>
      </w:pPr>
      <w:rPr>
        <w:b/>
        <w:bCs/>
        <w:color w:val="FFFFFF"/>
      </w:rPr>
      <w:tblPr/>
      <w:tcPr>
        <w:shd w:val="clear" w:color="auto" w:fill="D06F1A"/>
      </w:tcPr>
    </w:tblStylePr>
    <w:tblStylePr w:type="lastRow">
      <w:pPr>
        <w:spacing w:before="0" w:after="0" w:line="240" w:lineRule="auto"/>
      </w:pPr>
      <w:rPr>
        <w:b/>
        <w:bCs/>
      </w:rPr>
      <w:tblPr/>
      <w:tcPr>
        <w:tcBorders>
          <w:top w:val="double" w:sz="6" w:space="0" w:color="D06F1A"/>
          <w:left w:val="single" w:sz="8" w:space="0" w:color="D06F1A"/>
          <w:bottom w:val="single" w:sz="8" w:space="0" w:color="D06F1A"/>
          <w:right w:val="single" w:sz="8" w:space="0" w:color="D06F1A"/>
        </w:tcBorders>
      </w:tcPr>
    </w:tblStylePr>
    <w:tblStylePr w:type="firstCol">
      <w:rPr>
        <w:b/>
        <w:bCs/>
      </w:rPr>
    </w:tblStylePr>
    <w:tblStylePr w:type="lastCol">
      <w:rPr>
        <w:b/>
        <w:bCs/>
      </w:rPr>
    </w:tblStylePr>
    <w:tblStylePr w:type="band1Vert">
      <w:tblPr/>
      <w:tcPr>
        <w:tcBorders>
          <w:top w:val="single" w:sz="8" w:space="0" w:color="D06F1A"/>
          <w:left w:val="single" w:sz="8" w:space="0" w:color="D06F1A"/>
          <w:bottom w:val="single" w:sz="8" w:space="0" w:color="D06F1A"/>
          <w:right w:val="single" w:sz="8" w:space="0" w:color="D06F1A"/>
        </w:tcBorders>
      </w:tcPr>
    </w:tblStylePr>
    <w:tblStylePr w:type="band1Horz">
      <w:tblPr/>
      <w:tcPr>
        <w:tcBorders>
          <w:top w:val="single" w:sz="8" w:space="0" w:color="D06F1A"/>
          <w:left w:val="single" w:sz="8" w:space="0" w:color="D06F1A"/>
          <w:bottom w:val="single" w:sz="8" w:space="0" w:color="D06F1A"/>
          <w:right w:val="single" w:sz="8" w:space="0" w:color="D06F1A"/>
        </w:tcBorders>
      </w:tcPr>
    </w:tblStylePr>
  </w:style>
  <w:style w:type="table" w:customStyle="1" w:styleId="LightList-Accent211">
    <w:name w:val="Light List - Accent 211"/>
    <w:basedOn w:val="TableNormal"/>
    <w:next w:val="LightList-Accent2"/>
    <w:uiPriority w:val="61"/>
    <w:rPr>
      <w:rFonts w:eastAsia="Calibri"/>
      <w:lang w:val="en-GB" w:eastAsia="en-US"/>
    </w:rPr>
    <w:tblPr>
      <w:tblStyleRowBandSize w:val="1"/>
      <w:tblStyleColBandSize w:val="1"/>
      <w:tblBorders>
        <w:top w:val="single" w:sz="8" w:space="0" w:color="EC7200"/>
        <w:left w:val="single" w:sz="8" w:space="0" w:color="EC7200"/>
        <w:bottom w:val="single" w:sz="8" w:space="0" w:color="EC7200"/>
        <w:right w:val="single" w:sz="8" w:space="0" w:color="EC7200"/>
      </w:tblBorders>
    </w:tblPr>
    <w:tblStylePr w:type="firstRow">
      <w:pPr>
        <w:spacing w:before="0" w:after="0" w:line="240" w:lineRule="auto"/>
      </w:pPr>
      <w:rPr>
        <w:b/>
        <w:bCs/>
        <w:color w:val="FFFFFF"/>
      </w:rPr>
      <w:tblPr/>
      <w:tcPr>
        <w:shd w:val="clear" w:color="auto" w:fill="EC7200"/>
      </w:tcPr>
    </w:tblStylePr>
    <w:tblStylePr w:type="lastRow">
      <w:pPr>
        <w:spacing w:before="0" w:after="0" w:line="240" w:lineRule="auto"/>
      </w:pPr>
      <w:rPr>
        <w:b/>
        <w:bCs/>
      </w:rPr>
      <w:tblPr/>
      <w:tcPr>
        <w:tcBorders>
          <w:top w:val="double" w:sz="6" w:space="0" w:color="EC7200"/>
          <w:left w:val="single" w:sz="8" w:space="0" w:color="EC7200"/>
          <w:bottom w:val="single" w:sz="8" w:space="0" w:color="EC7200"/>
          <w:right w:val="single" w:sz="8" w:space="0" w:color="EC7200"/>
        </w:tcBorders>
      </w:tcPr>
    </w:tblStylePr>
    <w:tblStylePr w:type="firstCol">
      <w:rPr>
        <w:b/>
        <w:bCs/>
      </w:rPr>
    </w:tblStylePr>
    <w:tblStylePr w:type="lastCol">
      <w:rPr>
        <w:b/>
        <w:bCs/>
      </w:rPr>
    </w:tblStylePr>
    <w:tblStylePr w:type="band1Vert">
      <w:tblPr/>
      <w:tcPr>
        <w:tcBorders>
          <w:top w:val="single" w:sz="8" w:space="0" w:color="EC7200"/>
          <w:left w:val="single" w:sz="8" w:space="0" w:color="EC7200"/>
          <w:bottom w:val="single" w:sz="8" w:space="0" w:color="EC7200"/>
          <w:right w:val="single" w:sz="8" w:space="0" w:color="EC7200"/>
        </w:tcBorders>
      </w:tcPr>
    </w:tblStylePr>
    <w:tblStylePr w:type="band1Horz">
      <w:tblPr/>
      <w:tcPr>
        <w:tcBorders>
          <w:top w:val="single" w:sz="8" w:space="0" w:color="EC7200"/>
          <w:left w:val="single" w:sz="8" w:space="0" w:color="EC7200"/>
          <w:bottom w:val="single" w:sz="8" w:space="0" w:color="EC7200"/>
          <w:right w:val="single" w:sz="8" w:space="0" w:color="EC7200"/>
        </w:tcBorders>
      </w:tcPr>
    </w:tblStylePr>
  </w:style>
  <w:style w:type="table" w:customStyle="1" w:styleId="MediumGrid3-Accent21">
    <w:name w:val="Medium Grid 3 - Accent 21"/>
    <w:basedOn w:val="TableNormal"/>
    <w:next w:val="MediumGrid3-Accent2"/>
    <w:uiPriority w:val="99"/>
    <w:rPr>
      <w:lang w:val="en-GB"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C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B6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B6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FB6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FB6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FDA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A80"/>
      </w:tcPr>
    </w:tblStylePr>
  </w:style>
  <w:style w:type="table" w:customStyle="1" w:styleId="MediumGrid3-Accent61">
    <w:name w:val="Medium Grid 3 - Accent 61"/>
    <w:basedOn w:val="TableNormal"/>
    <w:next w:val="MediumGrid3-Accent6"/>
    <w:uiPriority w:val="69"/>
    <w:rPr>
      <w:lang w:val="en-GB"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7DBC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D06F1A"/>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D06F1A"/>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D06F1A"/>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D06F1A"/>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FB684"/>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FB684"/>
      </w:tcPr>
    </w:tblStylePr>
  </w:style>
  <w:style w:type="table" w:customStyle="1" w:styleId="MediumShading1-Accent61">
    <w:name w:val="Medium Shading 1 - Accent 61"/>
    <w:basedOn w:val="TableNormal"/>
    <w:next w:val="MediumShading1-Accent6"/>
    <w:uiPriority w:val="63"/>
    <w:tblPr>
      <w:tblStyleRowBandSize w:val="1"/>
      <w:tblStyleColBandSize w:val="1"/>
      <w:tblBorders>
        <w:top w:val="single" w:sz="8" w:space="0" w:color="E89247"/>
        <w:left w:val="single" w:sz="8" w:space="0" w:color="E89247"/>
        <w:bottom w:val="single" w:sz="8" w:space="0" w:color="E89247"/>
        <w:right w:val="single" w:sz="8" w:space="0" w:color="E89247"/>
        <w:insideH w:val="single" w:sz="8" w:space="0" w:color="E89247"/>
      </w:tblBorders>
    </w:tblPr>
    <w:tblStylePr w:type="firstRow">
      <w:pPr>
        <w:spacing w:before="0" w:after="0" w:line="240" w:lineRule="auto"/>
      </w:pPr>
      <w:rPr>
        <w:b/>
        <w:bCs/>
        <w:color w:val="FFFFFF"/>
      </w:rPr>
      <w:tblPr/>
      <w:tcPr>
        <w:tcBorders>
          <w:top w:val="single" w:sz="8" w:space="0" w:color="E89247"/>
          <w:left w:val="single" w:sz="8" w:space="0" w:color="E89247"/>
          <w:bottom w:val="single" w:sz="8" w:space="0" w:color="E89247"/>
          <w:right w:val="single" w:sz="8" w:space="0" w:color="E89247"/>
          <w:insideH w:val="nil"/>
          <w:insideV w:val="nil"/>
        </w:tcBorders>
        <w:shd w:val="clear" w:color="auto" w:fill="D06F1A"/>
      </w:tcPr>
    </w:tblStylePr>
    <w:tblStylePr w:type="lastRow">
      <w:pPr>
        <w:spacing w:before="0" w:after="0" w:line="240" w:lineRule="auto"/>
      </w:pPr>
      <w:rPr>
        <w:b/>
        <w:bCs/>
      </w:rPr>
      <w:tblPr/>
      <w:tcPr>
        <w:tcBorders>
          <w:top w:val="double" w:sz="6" w:space="0" w:color="E89247"/>
          <w:left w:val="single" w:sz="8" w:space="0" w:color="E89247"/>
          <w:bottom w:val="single" w:sz="8" w:space="0" w:color="E89247"/>
          <w:right w:val="single" w:sz="8" w:space="0" w:color="E89247"/>
          <w:insideH w:val="nil"/>
          <w:insideV w:val="nil"/>
        </w:tcBorders>
      </w:tcPr>
    </w:tblStylePr>
    <w:tblStylePr w:type="firstCol">
      <w:rPr>
        <w:b/>
        <w:bCs/>
      </w:rPr>
    </w:tblStylePr>
    <w:tblStylePr w:type="lastCol">
      <w:rPr>
        <w:b/>
        <w:bCs/>
      </w:rPr>
    </w:tblStylePr>
    <w:tblStylePr w:type="band1Vert">
      <w:tblPr/>
      <w:tcPr>
        <w:shd w:val="clear" w:color="auto" w:fill="F7DBC2"/>
      </w:tcPr>
    </w:tblStylePr>
    <w:tblStylePr w:type="band1Horz">
      <w:tblPr/>
      <w:tcPr>
        <w:tcBorders>
          <w:insideH w:val="nil"/>
          <w:insideV w:val="nil"/>
        </w:tcBorders>
        <w:shd w:val="clear" w:color="auto" w:fill="F7DBC2"/>
      </w:tcPr>
    </w:tblStylePr>
    <w:tblStylePr w:type="band2Horz">
      <w:tblPr/>
      <w:tcPr>
        <w:tcBorders>
          <w:insideH w:val="nil"/>
          <w:insideV w:val="nil"/>
        </w:tcBorders>
      </w:tcPr>
    </w:tblStylePr>
  </w:style>
  <w:style w:type="table" w:customStyle="1" w:styleId="LightGrid-Accent61">
    <w:name w:val="Light Grid - Accent 61"/>
    <w:basedOn w:val="TableNormal"/>
    <w:next w:val="LightGrid-Accent6"/>
    <w:uiPriority w:val="62"/>
    <w:tblPr>
      <w:tblStyleRowBandSize w:val="1"/>
      <w:tblStyleColBandSize w:val="1"/>
      <w:tblBorders>
        <w:top w:val="single" w:sz="8" w:space="0" w:color="D06F1A"/>
        <w:left w:val="single" w:sz="8" w:space="0" w:color="D06F1A"/>
        <w:bottom w:val="single" w:sz="8" w:space="0" w:color="D06F1A"/>
        <w:right w:val="single" w:sz="8" w:space="0" w:color="D06F1A"/>
        <w:insideH w:val="single" w:sz="8" w:space="0" w:color="D06F1A"/>
        <w:insideV w:val="single" w:sz="8" w:space="0" w:color="D06F1A"/>
      </w:tblBorders>
    </w:tblPr>
    <w:tblStylePr w:type="firstRow">
      <w:pPr>
        <w:spacing w:before="0" w:after="0" w:line="240" w:lineRule="auto"/>
      </w:pPr>
      <w:rPr>
        <w:rFonts w:ascii="Cambria" w:eastAsia="Times New Roman" w:hAnsi="Cambria" w:cs="Times New Roman"/>
        <w:b/>
        <w:bCs/>
      </w:rPr>
      <w:tblPr/>
      <w:tcPr>
        <w:tcBorders>
          <w:top w:val="single" w:sz="8" w:space="0" w:color="D06F1A"/>
          <w:left w:val="single" w:sz="8" w:space="0" w:color="D06F1A"/>
          <w:bottom w:val="single" w:sz="18" w:space="0" w:color="D06F1A"/>
          <w:right w:val="single" w:sz="8" w:space="0" w:color="D06F1A"/>
          <w:insideH w:val="nil"/>
          <w:insideV w:val="single" w:sz="8" w:space="0" w:color="D06F1A"/>
        </w:tcBorders>
      </w:tcPr>
    </w:tblStylePr>
    <w:tblStylePr w:type="lastRow">
      <w:pPr>
        <w:spacing w:before="0" w:after="0" w:line="240" w:lineRule="auto"/>
      </w:pPr>
      <w:rPr>
        <w:rFonts w:ascii="Cambria" w:eastAsia="Times New Roman" w:hAnsi="Cambria" w:cs="Times New Roman"/>
        <w:b/>
        <w:bCs/>
      </w:rPr>
      <w:tblPr/>
      <w:tcPr>
        <w:tcBorders>
          <w:top w:val="double" w:sz="6" w:space="0" w:color="D06F1A"/>
          <w:left w:val="single" w:sz="8" w:space="0" w:color="D06F1A"/>
          <w:bottom w:val="single" w:sz="8" w:space="0" w:color="D06F1A"/>
          <w:right w:val="single" w:sz="8" w:space="0" w:color="D06F1A"/>
          <w:insideH w:val="nil"/>
          <w:insideV w:val="single" w:sz="8" w:space="0" w:color="D06F1A"/>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D06F1A"/>
          <w:left w:val="single" w:sz="8" w:space="0" w:color="D06F1A"/>
          <w:bottom w:val="single" w:sz="8" w:space="0" w:color="D06F1A"/>
          <w:right w:val="single" w:sz="8" w:space="0" w:color="D06F1A"/>
        </w:tcBorders>
      </w:tcPr>
    </w:tblStylePr>
    <w:tblStylePr w:type="band1Vert">
      <w:tblPr/>
      <w:tcPr>
        <w:tcBorders>
          <w:top w:val="single" w:sz="8" w:space="0" w:color="D06F1A"/>
          <w:left w:val="single" w:sz="8" w:space="0" w:color="D06F1A"/>
          <w:bottom w:val="single" w:sz="8" w:space="0" w:color="D06F1A"/>
          <w:right w:val="single" w:sz="8" w:space="0" w:color="D06F1A"/>
        </w:tcBorders>
        <w:shd w:val="clear" w:color="auto" w:fill="F7DBC2"/>
      </w:tcPr>
    </w:tblStylePr>
    <w:tblStylePr w:type="band1Horz">
      <w:tblPr/>
      <w:tcPr>
        <w:tcBorders>
          <w:top w:val="single" w:sz="8" w:space="0" w:color="D06F1A"/>
          <w:left w:val="single" w:sz="8" w:space="0" w:color="D06F1A"/>
          <w:bottom w:val="single" w:sz="8" w:space="0" w:color="D06F1A"/>
          <w:right w:val="single" w:sz="8" w:space="0" w:color="D06F1A"/>
          <w:insideV w:val="single" w:sz="8" w:space="0" w:color="D06F1A"/>
        </w:tcBorders>
        <w:shd w:val="clear" w:color="auto" w:fill="F7DBC2"/>
      </w:tcPr>
    </w:tblStylePr>
    <w:tblStylePr w:type="band2Horz">
      <w:tblPr/>
      <w:tcPr>
        <w:tcBorders>
          <w:top w:val="single" w:sz="8" w:space="0" w:color="D06F1A"/>
          <w:left w:val="single" w:sz="8" w:space="0" w:color="D06F1A"/>
          <w:bottom w:val="single" w:sz="8" w:space="0" w:color="D06F1A"/>
          <w:right w:val="single" w:sz="8" w:space="0" w:color="D06F1A"/>
          <w:insideV w:val="single" w:sz="8" w:space="0" w:color="D06F1A"/>
        </w:tcBorders>
      </w:tcPr>
    </w:tblStylePr>
  </w:style>
  <w:style w:type="table" w:customStyle="1" w:styleId="MediumShading2-Accent31">
    <w:name w:val="Medium Shading 2 - Accent 31"/>
    <w:basedOn w:val="TableNormal"/>
    <w:next w:val="MediumShading2-Accent3"/>
    <w:uiPriority w:val="64"/>
    <w:rPr>
      <w:rFonts w:eastAsia="Calibri"/>
      <w:lang w:val="en-GB"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6984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69843"/>
      </w:tcPr>
    </w:tblStylePr>
    <w:tblStylePr w:type="lastCol">
      <w:rPr>
        <w:b/>
        <w:bCs/>
        <w:color w:val="FFFFFF"/>
      </w:rPr>
      <w:tblPr/>
      <w:tcPr>
        <w:tcBorders>
          <w:left w:val="nil"/>
          <w:right w:val="nil"/>
          <w:insideH w:val="nil"/>
          <w:insideV w:val="nil"/>
        </w:tcBorders>
        <w:shd w:val="clear" w:color="auto" w:fill="F6984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3Deffects11">
    <w:name w:val="Table 3D effects 11"/>
    <w:basedOn w:val="TableNormal"/>
    <w:next w:val="Table3Deffects1"/>
    <w:semiHidden/>
    <w:locked/>
    <w:pPr>
      <w:spacing w:line="240" w:lineRule="exact"/>
    </w:pPr>
    <w:rPr>
      <w:rFonts w:ascii="Times New Roman" w:eastAsia="Times New Roman" w:hAnsi="Times New Roman"/>
      <w:lang w:eastAsia="zh-C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semiHidden/>
    <w:locked/>
    <w:pPr>
      <w:spacing w:line="240" w:lineRule="exact"/>
    </w:pPr>
    <w:rPr>
      <w:rFonts w:ascii="Times New Roman" w:eastAsia="Times New Roman" w:hAnsi="Times New Roman"/>
      <w:lang w:eastAsia="zh-C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semiHidden/>
    <w:locked/>
    <w:pPr>
      <w:spacing w:line="240" w:lineRule="exact"/>
    </w:pPr>
    <w:rPr>
      <w:rFonts w:ascii="Times New Roman" w:eastAsia="Times New Roman" w:hAnsi="Times New Roman"/>
      <w:lang w:eastAsia="zh-C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semiHidden/>
    <w:locked/>
    <w:pPr>
      <w:spacing w:line="240" w:lineRule="exact"/>
    </w:pPr>
    <w:rPr>
      <w:rFonts w:ascii="Times New Roman" w:eastAsia="Times New Roman" w:hAnsi="Times New Roman"/>
      <w:lang w:eastAsia="zh-C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semiHidden/>
    <w:locked/>
    <w:pPr>
      <w:spacing w:line="240" w:lineRule="exact"/>
    </w:pPr>
    <w:rPr>
      <w:rFonts w:ascii="Times New Roman" w:eastAsia="Times New Roman" w:hAnsi="Times New Roman"/>
      <w:lang w:eastAsia="zh-C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semiHidden/>
    <w:locked/>
    <w:pPr>
      <w:spacing w:line="240" w:lineRule="exact"/>
    </w:pPr>
    <w:rPr>
      <w:rFonts w:ascii="Times New Roman" w:eastAsia="Times New Roman" w:hAnsi="Times New Roman"/>
      <w:color w:val="000080"/>
      <w:lang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semiHidden/>
    <w:locked/>
    <w:pPr>
      <w:spacing w:line="240" w:lineRule="exact"/>
    </w:pPr>
    <w:rPr>
      <w:rFonts w:ascii="Times New Roman" w:eastAsia="Times New Roman" w:hAnsi="Times New Roman"/>
      <w:lang w:eastAsia="zh-C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semiHidden/>
    <w:locked/>
    <w:pPr>
      <w:spacing w:line="240" w:lineRule="exact"/>
    </w:pPr>
    <w:rPr>
      <w:rFonts w:ascii="Times New Roman" w:eastAsia="Times New Roman" w:hAnsi="Times New Roman"/>
      <w:color w:val="FFFFFF"/>
      <w:lang w:eastAsia="zh-C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locked/>
    <w:pPr>
      <w:spacing w:line="240" w:lineRule="exact"/>
    </w:pPr>
    <w:rPr>
      <w:rFonts w:ascii="Times New Roman" w:eastAsia="Times New Roman" w:hAnsi="Times New Roman"/>
      <w:lang w:eastAsia="zh-C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semiHidden/>
    <w:locked/>
    <w:pPr>
      <w:spacing w:line="240" w:lineRule="exact"/>
    </w:pPr>
    <w:rPr>
      <w:rFonts w:ascii="Times New Roman" w:eastAsia="Times New Roman" w:hAnsi="Times New Roman"/>
      <w:lang w:eastAsia="zh-C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semiHidden/>
    <w:locked/>
    <w:pPr>
      <w:spacing w:line="240" w:lineRule="exact"/>
    </w:pPr>
    <w:rPr>
      <w:rFonts w:ascii="Times New Roman" w:eastAsia="Times New Roman" w:hAnsi="Times New Roman"/>
      <w:b/>
      <w:bCs/>
      <w:lang w:eastAsia="zh-CN"/>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semiHidden/>
    <w:locked/>
    <w:pPr>
      <w:spacing w:line="240" w:lineRule="exact"/>
    </w:pPr>
    <w:rPr>
      <w:rFonts w:ascii="Times New Roman" w:eastAsia="Times New Roman" w:hAnsi="Times New Roman"/>
      <w:b/>
      <w:bCs/>
      <w:lang w:eastAsia="zh-CN"/>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semiHidden/>
    <w:locked/>
    <w:pPr>
      <w:spacing w:line="240" w:lineRule="exact"/>
    </w:pPr>
    <w:rPr>
      <w:rFonts w:ascii="Times New Roman" w:eastAsia="Times New Roman" w:hAnsi="Times New Roman"/>
      <w:b/>
      <w:bCs/>
      <w:lang w:eastAsia="zh-CN"/>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semiHidden/>
    <w:locked/>
    <w:pPr>
      <w:spacing w:line="240" w:lineRule="exact"/>
    </w:pPr>
    <w:rPr>
      <w:rFonts w:ascii="Times New Roman" w:eastAsia="Times New Roman" w:hAnsi="Times New Roman"/>
      <w:lang w:eastAsia="zh-C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TableColumns51">
    <w:name w:val="Table Columns 51"/>
    <w:basedOn w:val="TableNormal"/>
    <w:next w:val="TableColumns5"/>
    <w:semiHidden/>
    <w:locked/>
    <w:pPr>
      <w:spacing w:line="240" w:lineRule="exact"/>
    </w:pPr>
    <w:rPr>
      <w:rFonts w:ascii="Times New Roman" w:eastAsia="Times New Roman" w:hAnsi="Times New Roman"/>
      <w:lang w:eastAsia="zh-C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TableContemporary1">
    <w:name w:val="Table Contemporary1"/>
    <w:basedOn w:val="TableNormal"/>
    <w:next w:val="TableContemporary"/>
    <w:semiHidden/>
    <w:locked/>
    <w:pPr>
      <w:spacing w:line="240" w:lineRule="exact"/>
    </w:pPr>
    <w:rPr>
      <w:rFonts w:ascii="Times New Roman" w:eastAsia="Times New Roman" w:hAnsi="Times New Roman"/>
      <w:lang w:eastAsia="zh-C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semiHidden/>
    <w:locked/>
    <w:pPr>
      <w:spacing w:line="240" w:lineRule="exact"/>
    </w:pPr>
    <w:rPr>
      <w:rFonts w:ascii="Times New Roman" w:eastAsia="Times New Roman" w:hAnsi="Times New Roman"/>
      <w:lang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TableGrid11">
    <w:name w:val="Table Grid 11"/>
    <w:basedOn w:val="TableNormal"/>
    <w:next w:val="TableGrid1"/>
    <w:semiHidden/>
    <w:locked/>
    <w:pPr>
      <w:spacing w:line="240" w:lineRule="exact"/>
    </w:pPr>
    <w:rPr>
      <w:rFonts w:ascii="Times New Roman" w:eastAsia="Times New Roman" w:hAnsi="Times New Roman"/>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TableGrid21">
    <w:name w:val="Table Grid 21"/>
    <w:basedOn w:val="TableNormal"/>
    <w:next w:val="TableGrid2"/>
    <w:semiHidden/>
    <w:locked/>
    <w:pPr>
      <w:spacing w:line="240" w:lineRule="exact"/>
    </w:pPr>
    <w:rPr>
      <w:rFonts w:ascii="Times New Roman" w:eastAsia="Times New Roman" w:hAnsi="Times New Roman"/>
      <w:lang w:eastAsia="zh-C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eGrid31">
    <w:name w:val="Table Grid 31"/>
    <w:basedOn w:val="TableNormal"/>
    <w:next w:val="TableGrid3"/>
    <w:semiHidden/>
    <w:locked/>
    <w:pPr>
      <w:spacing w:line="240" w:lineRule="exact"/>
    </w:pPr>
    <w:rPr>
      <w:rFonts w:ascii="Times New Roman" w:eastAsia="Times New Roman" w:hAnsi="Times New Roman"/>
      <w:lang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eGrid41">
    <w:name w:val="Table Grid 41"/>
    <w:basedOn w:val="TableNormal"/>
    <w:next w:val="TableGrid4"/>
    <w:semiHidden/>
    <w:locked/>
    <w:pPr>
      <w:spacing w:line="240" w:lineRule="exact"/>
    </w:pPr>
    <w:rPr>
      <w:rFonts w:ascii="Times New Roman" w:eastAsia="Times New Roman" w:hAnsi="Times New Roman"/>
      <w:lang w:eastAsia="zh-C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semiHidden/>
    <w:locked/>
    <w:pPr>
      <w:spacing w:line="240" w:lineRule="exact"/>
    </w:pPr>
    <w:rPr>
      <w:rFonts w:ascii="Times New Roman" w:eastAsia="Times New Roman" w:hAnsi="Times New Roman"/>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61">
    <w:name w:val="Table Grid 61"/>
    <w:basedOn w:val="TableNormal"/>
    <w:next w:val="TableGrid6"/>
    <w:semiHidden/>
    <w:locked/>
    <w:pPr>
      <w:spacing w:line="240" w:lineRule="exact"/>
    </w:pPr>
    <w:rPr>
      <w:rFonts w:ascii="Times New Roman" w:eastAsia="Times New Roman" w:hAnsi="Times New Roman"/>
      <w:lang w:eastAsia="zh-C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71">
    <w:name w:val="Table Grid 71"/>
    <w:basedOn w:val="TableNormal"/>
    <w:next w:val="TableGrid7"/>
    <w:semiHidden/>
    <w:locked/>
    <w:pPr>
      <w:spacing w:line="240" w:lineRule="exact"/>
    </w:pPr>
    <w:rPr>
      <w:rFonts w:ascii="Times New Roman" w:eastAsia="Times New Roman" w:hAnsi="Times New Roman"/>
      <w:b/>
      <w:bCs/>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81">
    <w:name w:val="Table Grid 81"/>
    <w:basedOn w:val="TableNormal"/>
    <w:next w:val="TableGrid8"/>
    <w:semiHidden/>
    <w:locked/>
    <w:pPr>
      <w:spacing w:line="240" w:lineRule="exact"/>
    </w:pPr>
    <w:rPr>
      <w:rFonts w:ascii="Times New Roman" w:eastAsia="Times New Roman" w:hAnsi="Times New Roman"/>
      <w:lang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semiHidden/>
    <w:locked/>
    <w:pPr>
      <w:spacing w:line="240" w:lineRule="exact"/>
    </w:pPr>
    <w:rPr>
      <w:rFonts w:ascii="Times New Roman" w:eastAsia="Times New Roman" w:hAnsi="Times New Roman"/>
      <w:lang w:eastAsia="zh-C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List21">
    <w:name w:val="Table List 21"/>
    <w:basedOn w:val="TableNormal"/>
    <w:next w:val="TableList2"/>
    <w:semiHidden/>
    <w:locked/>
    <w:pPr>
      <w:spacing w:line="240" w:lineRule="exact"/>
    </w:pPr>
    <w:rPr>
      <w:rFonts w:ascii="Times New Roman" w:eastAsia="Times New Roman" w:hAnsi="Times New Roman"/>
      <w:lang w:eastAsia="zh-C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List31">
    <w:name w:val="Table List 31"/>
    <w:basedOn w:val="TableNormal"/>
    <w:next w:val="TableList3"/>
    <w:semiHidden/>
    <w:locked/>
    <w:pPr>
      <w:spacing w:line="240" w:lineRule="exact"/>
    </w:pPr>
    <w:rPr>
      <w:rFonts w:ascii="Times New Roman" w:eastAsia="Times New Roman" w:hAnsi="Times New Roman"/>
      <w:lang w:eastAsia="zh-C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semiHidden/>
    <w:locked/>
    <w:pPr>
      <w:spacing w:line="240" w:lineRule="exact"/>
    </w:pPr>
    <w:rPr>
      <w:rFonts w:ascii="Times New Roman" w:eastAsia="Times New Roman" w:hAnsi="Times New Roman"/>
      <w:lang w:eastAsia="zh-C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semiHidden/>
    <w:locked/>
    <w:pPr>
      <w:spacing w:line="240" w:lineRule="exact"/>
    </w:pPr>
    <w:rPr>
      <w:rFonts w:ascii="Times New Roman" w:eastAsia="Times New Roman" w:hAnsi="Times New Roman"/>
      <w:lang w:eastAsia="zh-C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TableList61">
    <w:name w:val="Table List 61"/>
    <w:basedOn w:val="TableNormal"/>
    <w:next w:val="TableList6"/>
    <w:semiHidden/>
    <w:locked/>
    <w:pPr>
      <w:spacing w:line="240" w:lineRule="exact"/>
    </w:pPr>
    <w:rPr>
      <w:rFonts w:ascii="Times New Roman" w:eastAsia="Times New Roman" w:hAnsi="Times New Roman"/>
      <w:lang w:eastAsia="zh-C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semiHidden/>
    <w:locked/>
    <w:pPr>
      <w:spacing w:line="240" w:lineRule="exact"/>
    </w:pPr>
    <w:rPr>
      <w:rFonts w:ascii="Times New Roman" w:eastAsia="Times New Roman" w:hAnsi="Times New Roman"/>
      <w:lang w:eastAsia="zh-C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semiHidden/>
    <w:locked/>
    <w:pPr>
      <w:spacing w:line="240" w:lineRule="exact"/>
    </w:pPr>
    <w:rPr>
      <w:rFonts w:ascii="Times New Roman" w:eastAsia="Times New Roman" w:hAnsi="Times New Roman"/>
      <w:lang w:eastAsia="zh-C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semiHidden/>
    <w:locked/>
    <w:pPr>
      <w:spacing w:line="240" w:lineRule="exact"/>
    </w:pPr>
    <w:rPr>
      <w:rFonts w:ascii="Times New Roman" w:eastAsia="Times New Roman" w:hAnsi="Times New Roman"/>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semiHidden/>
    <w:locked/>
    <w:pPr>
      <w:spacing w:line="240" w:lineRule="exact"/>
    </w:pPr>
    <w:rPr>
      <w:rFonts w:ascii="Times New Roman" w:eastAsia="Times New Roman" w:hAnsi="Times New Roman"/>
      <w:lang w:eastAsia="zh-C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semiHidden/>
    <w:locked/>
    <w:pPr>
      <w:spacing w:line="240" w:lineRule="exact"/>
    </w:pPr>
    <w:rPr>
      <w:rFonts w:ascii="Times New Roman" w:eastAsia="Times New Roman" w:hAnsi="Times New Roman"/>
      <w:lang w:eastAsia="zh-C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semiHidden/>
    <w:locked/>
    <w:pPr>
      <w:spacing w:line="240" w:lineRule="exact"/>
    </w:pPr>
    <w:rPr>
      <w:rFonts w:ascii="Times New Roman" w:eastAsia="Times New Roman" w:hAnsi="Times New Roman"/>
      <w:lang w:eastAsia="zh-C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semiHidden/>
    <w:locked/>
    <w:pPr>
      <w:spacing w:line="240" w:lineRule="exact"/>
    </w:pPr>
    <w:rPr>
      <w:rFonts w:ascii="Times New Roman" w:eastAsia="Times New Roman" w:hAnsi="Times New Roman"/>
      <w:lang w:eastAsia="zh-C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semiHidden/>
    <w:locked/>
    <w:pPr>
      <w:spacing w:line="240" w:lineRule="exact"/>
    </w:pPr>
    <w:rPr>
      <w:rFonts w:ascii="Times New Roman" w:eastAsia="Times New Roman" w:hAnsi="Times New Roman"/>
      <w:lang w:eastAsia="zh-C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Theme1">
    <w:name w:val="Table Theme1"/>
    <w:basedOn w:val="TableNormal"/>
    <w:next w:val="TableTheme"/>
    <w:semiHidden/>
    <w:locked/>
    <w:pPr>
      <w:spacing w:line="240" w:lineRule="exact"/>
    </w:pPr>
    <w:rPr>
      <w:rFonts w:ascii="Times New Roman" w:eastAsia="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
    <w:name w:val="Table Web 11"/>
    <w:basedOn w:val="TableNormal"/>
    <w:next w:val="TableWeb1"/>
    <w:semiHidden/>
    <w:locked/>
    <w:pPr>
      <w:spacing w:line="240" w:lineRule="exact"/>
    </w:pPr>
    <w:rPr>
      <w:rFonts w:ascii="Times New Roman" w:eastAsia="Times New Roman" w:hAnsi="Times New Roman"/>
      <w:lang w:eastAsia="zh-C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semiHidden/>
    <w:locked/>
    <w:pPr>
      <w:spacing w:line="240" w:lineRule="exact"/>
    </w:pPr>
    <w:rPr>
      <w:rFonts w:ascii="Times New Roman" w:eastAsia="Times New Roman" w:hAnsi="Times New Roman"/>
      <w:lang w:eastAsia="zh-C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semiHidden/>
    <w:locked/>
    <w:pPr>
      <w:spacing w:line="240" w:lineRule="exact"/>
    </w:pPr>
    <w:rPr>
      <w:rFonts w:ascii="Times New Roman" w:eastAsia="Times New Roman" w:hAnsi="Times New Roman"/>
      <w:lang w:eastAsia="zh-C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LightList11">
    <w:name w:val="Light List11"/>
    <w:basedOn w:val="TableNormal"/>
    <w:uiPriority w:val="61"/>
    <w:rPr>
      <w:rFonts w:ascii="Times New Roman" w:eastAsia="Times New Roman" w:hAnsi="Times New Roman"/>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51">
    <w:name w:val="Light List - Accent 51"/>
    <w:basedOn w:val="TableNormal"/>
    <w:next w:val="LightList-Accent5"/>
    <w:uiPriority w:val="61"/>
    <w:rPr>
      <w:rFonts w:ascii="Times New Roman" w:eastAsia="Times New Roman" w:hAnsi="Times New Roman"/>
      <w:lang w:eastAsia="zh-CN"/>
    </w:rPr>
    <w:tblPr>
      <w:tblStyleRowBandSize w:val="1"/>
      <w:tblStyleColBandSize w:val="1"/>
      <w:tblBorders>
        <w:top w:val="single" w:sz="8" w:space="0" w:color="EFC594"/>
        <w:left w:val="single" w:sz="8" w:space="0" w:color="EFC594"/>
        <w:bottom w:val="single" w:sz="8" w:space="0" w:color="EFC594"/>
        <w:right w:val="single" w:sz="8" w:space="0" w:color="EFC594"/>
      </w:tblBorders>
    </w:tblPr>
    <w:tblStylePr w:type="firstRow">
      <w:pPr>
        <w:spacing w:before="0" w:after="0" w:line="240" w:lineRule="auto"/>
      </w:pPr>
      <w:rPr>
        <w:b/>
        <w:bCs/>
        <w:color w:val="FFFFFF"/>
      </w:rPr>
      <w:tblPr/>
      <w:tcPr>
        <w:shd w:val="clear" w:color="auto" w:fill="EFC594"/>
      </w:tcPr>
    </w:tblStylePr>
    <w:tblStylePr w:type="lastRow">
      <w:pPr>
        <w:spacing w:before="0" w:after="0" w:line="240" w:lineRule="auto"/>
      </w:pPr>
      <w:rPr>
        <w:b/>
        <w:bCs/>
      </w:rPr>
      <w:tblPr/>
      <w:tcPr>
        <w:tcBorders>
          <w:top w:val="double" w:sz="6" w:space="0" w:color="EFC594"/>
          <w:left w:val="single" w:sz="8" w:space="0" w:color="EFC594"/>
          <w:bottom w:val="single" w:sz="8" w:space="0" w:color="EFC594"/>
          <w:right w:val="single" w:sz="8" w:space="0" w:color="EFC594"/>
        </w:tcBorders>
      </w:tcPr>
    </w:tblStylePr>
    <w:tblStylePr w:type="firstCol">
      <w:rPr>
        <w:b/>
        <w:bCs/>
      </w:rPr>
    </w:tblStylePr>
    <w:tblStylePr w:type="lastCol">
      <w:rPr>
        <w:b/>
        <w:bCs/>
      </w:rPr>
    </w:tblStylePr>
    <w:tblStylePr w:type="band1Vert">
      <w:tblPr/>
      <w:tcPr>
        <w:tcBorders>
          <w:top w:val="single" w:sz="8" w:space="0" w:color="EFC594"/>
          <w:left w:val="single" w:sz="8" w:space="0" w:color="EFC594"/>
          <w:bottom w:val="single" w:sz="8" w:space="0" w:color="EFC594"/>
          <w:right w:val="single" w:sz="8" w:space="0" w:color="EFC594"/>
        </w:tcBorders>
      </w:tcPr>
    </w:tblStylePr>
    <w:tblStylePr w:type="band1Horz">
      <w:tblPr/>
      <w:tcPr>
        <w:tcBorders>
          <w:top w:val="single" w:sz="8" w:space="0" w:color="EFC594"/>
          <w:left w:val="single" w:sz="8" w:space="0" w:color="EFC594"/>
          <w:bottom w:val="single" w:sz="8" w:space="0" w:color="EFC594"/>
          <w:right w:val="single" w:sz="8" w:space="0" w:color="EFC594"/>
        </w:tcBorders>
      </w:tcPr>
    </w:tblStylePr>
  </w:style>
  <w:style w:type="table" w:customStyle="1" w:styleId="LightShading-Accent51">
    <w:name w:val="Light Shading - Accent 51"/>
    <w:basedOn w:val="TableNormal"/>
    <w:next w:val="LightShading-Accent5"/>
    <w:uiPriority w:val="60"/>
    <w:rPr>
      <w:color w:val="E2963F"/>
    </w:rPr>
    <w:tblPr>
      <w:tblStyleRowBandSize w:val="1"/>
      <w:tblStyleColBandSize w:val="1"/>
      <w:tblBorders>
        <w:top w:val="single" w:sz="8" w:space="0" w:color="EFC594"/>
        <w:bottom w:val="single" w:sz="8" w:space="0" w:color="EFC594"/>
      </w:tblBorders>
    </w:tblPr>
    <w:tblStylePr w:type="firstRow">
      <w:pPr>
        <w:spacing w:before="0" w:after="0" w:line="240" w:lineRule="auto"/>
      </w:pPr>
      <w:rPr>
        <w:b/>
        <w:bCs/>
      </w:rPr>
      <w:tblPr/>
      <w:tcPr>
        <w:tcBorders>
          <w:top w:val="single" w:sz="8" w:space="0" w:color="EFC594"/>
          <w:left w:val="nil"/>
          <w:bottom w:val="single" w:sz="8" w:space="0" w:color="EFC594"/>
          <w:right w:val="nil"/>
          <w:insideH w:val="nil"/>
          <w:insideV w:val="nil"/>
        </w:tcBorders>
      </w:tcPr>
    </w:tblStylePr>
    <w:tblStylePr w:type="lastRow">
      <w:pPr>
        <w:spacing w:before="0" w:after="0" w:line="240" w:lineRule="auto"/>
      </w:pPr>
      <w:rPr>
        <w:b/>
        <w:bCs/>
      </w:rPr>
      <w:tblPr/>
      <w:tcPr>
        <w:tcBorders>
          <w:top w:val="single" w:sz="8" w:space="0" w:color="EFC594"/>
          <w:left w:val="nil"/>
          <w:bottom w:val="single" w:sz="8" w:space="0" w:color="EFC59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F0E4"/>
      </w:tcPr>
    </w:tblStylePr>
    <w:tblStylePr w:type="band1Horz">
      <w:tblPr/>
      <w:tcPr>
        <w:tcBorders>
          <w:left w:val="nil"/>
          <w:right w:val="nil"/>
          <w:insideH w:val="nil"/>
          <w:insideV w:val="nil"/>
        </w:tcBorders>
        <w:shd w:val="clear" w:color="auto" w:fill="FBF0E4"/>
      </w:tcPr>
    </w:tblStylePr>
  </w:style>
  <w:style w:type="table" w:customStyle="1" w:styleId="MediumShading2-Accent111">
    <w:name w:val="Medium Shading 2 - Accent 111"/>
    <w:basedOn w:val="TableNormal"/>
    <w:uiPriority w:val="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8981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8981D"/>
      </w:tcPr>
    </w:tblStylePr>
    <w:tblStylePr w:type="lastCol">
      <w:rPr>
        <w:b/>
        <w:bCs/>
        <w:color w:val="FFFFFF"/>
      </w:rPr>
      <w:tblPr/>
      <w:tcPr>
        <w:tcBorders>
          <w:left w:val="nil"/>
          <w:right w:val="nil"/>
          <w:insideH w:val="nil"/>
          <w:insideV w:val="nil"/>
        </w:tcBorders>
        <w:shd w:val="clear" w:color="auto" w:fill="F8981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121">
    <w:name w:val="Medium Shading 1 - Accent 121"/>
    <w:basedOn w:val="TableNormal"/>
    <w:uiPriority w:val="63"/>
    <w:tblPr>
      <w:tblStyleRowBandSize w:val="1"/>
      <w:tblStyleColBandSize w:val="1"/>
      <w:tblBorders>
        <w:top w:val="single" w:sz="8" w:space="0" w:color="F9B155"/>
        <w:left w:val="single" w:sz="8" w:space="0" w:color="F9B155"/>
        <w:bottom w:val="single" w:sz="8" w:space="0" w:color="F9B155"/>
        <w:right w:val="single" w:sz="8" w:space="0" w:color="F9B155"/>
        <w:insideH w:val="single" w:sz="8" w:space="0" w:color="F9B155"/>
      </w:tblBorders>
    </w:tblPr>
    <w:tblStylePr w:type="firstRow">
      <w:pPr>
        <w:spacing w:before="0" w:after="0" w:line="240" w:lineRule="auto"/>
      </w:pPr>
      <w:rPr>
        <w:b/>
        <w:bCs/>
        <w:color w:val="FFFFFF"/>
      </w:rPr>
      <w:tblPr/>
      <w:tcPr>
        <w:tcBorders>
          <w:top w:val="single" w:sz="8" w:space="0" w:color="F9B155"/>
          <w:left w:val="single" w:sz="8" w:space="0" w:color="F9B155"/>
          <w:bottom w:val="single" w:sz="8" w:space="0" w:color="F9B155"/>
          <w:right w:val="single" w:sz="8" w:space="0" w:color="F9B155"/>
          <w:insideH w:val="nil"/>
          <w:insideV w:val="nil"/>
        </w:tcBorders>
        <w:shd w:val="clear" w:color="auto" w:fill="F8981D"/>
      </w:tcPr>
    </w:tblStylePr>
    <w:tblStylePr w:type="lastRow">
      <w:pPr>
        <w:spacing w:before="0" w:after="0" w:line="240" w:lineRule="auto"/>
      </w:pPr>
      <w:rPr>
        <w:b/>
        <w:bCs/>
      </w:rPr>
      <w:tblPr/>
      <w:tcPr>
        <w:tcBorders>
          <w:top w:val="double" w:sz="6" w:space="0" w:color="F9B155"/>
          <w:left w:val="single" w:sz="8" w:space="0" w:color="F9B155"/>
          <w:bottom w:val="single" w:sz="8" w:space="0" w:color="F9B155"/>
          <w:right w:val="single" w:sz="8" w:space="0" w:color="F9B155"/>
          <w:insideH w:val="nil"/>
          <w:insideV w:val="nil"/>
        </w:tcBorders>
      </w:tcPr>
    </w:tblStylePr>
    <w:tblStylePr w:type="firstCol">
      <w:rPr>
        <w:b/>
        <w:bCs/>
      </w:rPr>
    </w:tblStylePr>
    <w:tblStylePr w:type="lastCol">
      <w:rPr>
        <w:b/>
        <w:bCs/>
      </w:rPr>
    </w:tblStylePr>
    <w:tblStylePr w:type="band1Vert">
      <w:tblPr/>
      <w:tcPr>
        <w:shd w:val="clear" w:color="auto" w:fill="FDE5C7"/>
      </w:tcPr>
    </w:tblStylePr>
    <w:tblStylePr w:type="band1Horz">
      <w:tblPr/>
      <w:tcPr>
        <w:tcBorders>
          <w:insideH w:val="nil"/>
          <w:insideV w:val="nil"/>
        </w:tcBorders>
        <w:shd w:val="clear" w:color="auto" w:fill="FDE5C7"/>
      </w:tcPr>
    </w:tblStylePr>
    <w:tblStylePr w:type="band2Horz">
      <w:tblPr/>
      <w:tcPr>
        <w:tcBorders>
          <w:insideH w:val="nil"/>
          <w:insideV w:val="nil"/>
        </w:tcBorders>
      </w:tcPr>
    </w:tblStylePr>
  </w:style>
  <w:style w:type="table" w:customStyle="1" w:styleId="MediumShading1-Accent31">
    <w:name w:val="Medium Shading 1 - Accent 31"/>
    <w:basedOn w:val="TableNormal"/>
    <w:next w:val="MediumShading1-Accent3"/>
    <w:uiPriority w:val="63"/>
    <w:tblPr>
      <w:tblStyleRowBandSize w:val="1"/>
      <w:tblStyleColBandSize w:val="1"/>
      <w:tblBorders>
        <w:top w:val="single" w:sz="8" w:space="0" w:color="F8B172"/>
        <w:left w:val="single" w:sz="8" w:space="0" w:color="F8B172"/>
        <w:bottom w:val="single" w:sz="8" w:space="0" w:color="F8B172"/>
        <w:right w:val="single" w:sz="8" w:space="0" w:color="F8B172"/>
        <w:insideH w:val="single" w:sz="8" w:space="0" w:color="F8B172"/>
      </w:tblBorders>
    </w:tblPr>
    <w:tblStylePr w:type="firstRow">
      <w:pPr>
        <w:spacing w:before="0" w:after="0" w:line="240" w:lineRule="auto"/>
      </w:pPr>
      <w:rPr>
        <w:b/>
        <w:bCs/>
        <w:color w:val="FFFFFF"/>
      </w:rPr>
      <w:tblPr/>
      <w:tcPr>
        <w:tcBorders>
          <w:top w:val="single" w:sz="8" w:space="0" w:color="F8B172"/>
          <w:left w:val="single" w:sz="8" w:space="0" w:color="F8B172"/>
          <w:bottom w:val="single" w:sz="8" w:space="0" w:color="F8B172"/>
          <w:right w:val="single" w:sz="8" w:space="0" w:color="F8B172"/>
          <w:insideH w:val="nil"/>
          <w:insideV w:val="nil"/>
        </w:tcBorders>
        <w:shd w:val="clear" w:color="auto" w:fill="F69843"/>
      </w:tcPr>
    </w:tblStylePr>
    <w:tblStylePr w:type="lastRow">
      <w:pPr>
        <w:spacing w:before="0" w:after="0" w:line="240" w:lineRule="auto"/>
      </w:pPr>
      <w:rPr>
        <w:b/>
        <w:bCs/>
      </w:rPr>
      <w:tblPr/>
      <w:tcPr>
        <w:tcBorders>
          <w:top w:val="double" w:sz="6" w:space="0" w:color="F8B172"/>
          <w:left w:val="single" w:sz="8" w:space="0" w:color="F8B172"/>
          <w:bottom w:val="single" w:sz="8" w:space="0" w:color="F8B172"/>
          <w:right w:val="single" w:sz="8" w:space="0" w:color="F8B172"/>
          <w:insideH w:val="nil"/>
          <w:insideV w:val="nil"/>
        </w:tcBorders>
      </w:tcPr>
    </w:tblStylePr>
    <w:tblStylePr w:type="firstCol">
      <w:rPr>
        <w:b/>
        <w:bCs/>
      </w:rPr>
    </w:tblStylePr>
    <w:tblStylePr w:type="lastCol">
      <w:rPr>
        <w:b/>
        <w:bCs/>
      </w:rPr>
    </w:tblStylePr>
    <w:tblStylePr w:type="band1Vert">
      <w:tblPr/>
      <w:tcPr>
        <w:shd w:val="clear" w:color="auto" w:fill="FCE5D0"/>
      </w:tcPr>
    </w:tblStylePr>
    <w:tblStylePr w:type="band1Horz">
      <w:tblPr/>
      <w:tcPr>
        <w:tcBorders>
          <w:insideH w:val="nil"/>
          <w:insideV w:val="nil"/>
        </w:tcBorders>
        <w:shd w:val="clear" w:color="auto" w:fill="FCE5D0"/>
      </w:tcPr>
    </w:tblStylePr>
    <w:tblStylePr w:type="band2Horz">
      <w:tblPr/>
      <w:tcPr>
        <w:tcBorders>
          <w:insideH w:val="nil"/>
          <w:insideV w:val="nil"/>
        </w:tcBorders>
      </w:tcPr>
    </w:tblStylePr>
  </w:style>
  <w:style w:type="table" w:customStyle="1" w:styleId="LightList-Accent121">
    <w:name w:val="Light List - Accent 121"/>
    <w:basedOn w:val="TableNormal"/>
    <w:uiPriority w:val="61"/>
    <w:pPr>
      <w:spacing w:after="120"/>
    </w:pPr>
    <w:rPr>
      <w:rFonts w:eastAsia="Times New Roman"/>
      <w:color w:val="000000"/>
      <w:sz w:val="18"/>
      <w:szCs w:val="21"/>
      <w:lang w:val="en-GB" w:eastAsia="en-US"/>
    </w:rPr>
    <w:tblPr>
      <w:tblStyleRowBandSize w:val="1"/>
      <w:tblStyleColBandSize w:val="1"/>
      <w:tblBorders>
        <w:top w:val="single" w:sz="8" w:space="0" w:color="F8981D"/>
        <w:left w:val="single" w:sz="8" w:space="0" w:color="F8981D"/>
        <w:bottom w:val="single" w:sz="8" w:space="0" w:color="F8981D"/>
        <w:right w:val="single" w:sz="8" w:space="0" w:color="F8981D"/>
      </w:tblBorders>
    </w:tblPr>
    <w:tblStylePr w:type="firstRow">
      <w:pPr>
        <w:spacing w:before="0" w:after="0"/>
      </w:pPr>
      <w:rPr>
        <w:rFonts w:cs="Times New Roman"/>
        <w:b/>
        <w:bCs/>
        <w:color w:val="FFFFFF"/>
      </w:rPr>
      <w:tblPr/>
      <w:tcPr>
        <w:shd w:val="clear" w:color="auto" w:fill="F8981D"/>
      </w:tcPr>
    </w:tblStylePr>
    <w:tblStylePr w:type="lastRow">
      <w:pPr>
        <w:spacing w:before="0" w:after="0"/>
      </w:pPr>
      <w:rPr>
        <w:rFonts w:cs="Times New Roman"/>
        <w:b/>
        <w:bCs/>
      </w:rPr>
      <w:tblPr/>
      <w:tcPr>
        <w:tcBorders>
          <w:top w:val="double" w:sz="6" w:space="0" w:color="F8981D"/>
          <w:left w:val="single" w:sz="8" w:space="0" w:color="F8981D"/>
          <w:bottom w:val="single" w:sz="8" w:space="0" w:color="F8981D"/>
          <w:right w:val="single" w:sz="8" w:space="0" w:color="F8981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8981D"/>
          <w:left w:val="single" w:sz="8" w:space="0" w:color="F8981D"/>
          <w:bottom w:val="single" w:sz="8" w:space="0" w:color="F8981D"/>
          <w:right w:val="single" w:sz="8" w:space="0" w:color="F8981D"/>
        </w:tcBorders>
      </w:tcPr>
    </w:tblStylePr>
    <w:tblStylePr w:type="band1Horz">
      <w:rPr>
        <w:rFonts w:cs="Times New Roman"/>
      </w:rPr>
      <w:tblPr/>
      <w:tcPr>
        <w:tcBorders>
          <w:top w:val="single" w:sz="8" w:space="0" w:color="F8981D"/>
          <w:left w:val="single" w:sz="8" w:space="0" w:color="F8981D"/>
          <w:bottom w:val="single" w:sz="8" w:space="0" w:color="F8981D"/>
          <w:right w:val="single" w:sz="8" w:space="0" w:color="F8981D"/>
        </w:tcBorders>
      </w:tcPr>
    </w:tblStylePr>
  </w:style>
  <w:style w:type="table" w:customStyle="1" w:styleId="LightShading-Accent21">
    <w:name w:val="Light Shading - Accent 21"/>
    <w:basedOn w:val="TableNormal"/>
    <w:next w:val="LightShading-Accent2"/>
    <w:uiPriority w:val="60"/>
    <w:rPr>
      <w:rFonts w:ascii="Calibri" w:eastAsia="Calibri" w:hAnsi="Calibri"/>
      <w:color w:val="B05500"/>
      <w:sz w:val="21"/>
      <w:szCs w:val="21"/>
      <w:lang w:val="en-GB" w:eastAsia="en-US"/>
    </w:rPr>
    <w:tblPr>
      <w:tblStyleRowBandSize w:val="1"/>
      <w:tblStyleColBandSize w:val="1"/>
      <w:tblBorders>
        <w:top w:val="single" w:sz="8" w:space="0" w:color="EC7200"/>
        <w:bottom w:val="single" w:sz="8" w:space="0" w:color="EC7200"/>
      </w:tblBorders>
    </w:tblPr>
    <w:tblStylePr w:type="firstRow">
      <w:pPr>
        <w:spacing w:before="0" w:after="0" w:line="240" w:lineRule="auto"/>
      </w:pPr>
      <w:rPr>
        <w:b/>
        <w:bCs/>
      </w:rPr>
      <w:tblPr/>
      <w:tcPr>
        <w:tcBorders>
          <w:top w:val="single" w:sz="8" w:space="0" w:color="EC7200"/>
          <w:left w:val="nil"/>
          <w:bottom w:val="single" w:sz="8" w:space="0" w:color="EC7200"/>
          <w:right w:val="nil"/>
          <w:insideH w:val="nil"/>
          <w:insideV w:val="nil"/>
        </w:tcBorders>
      </w:tcPr>
    </w:tblStylePr>
    <w:tblStylePr w:type="lastRow">
      <w:pPr>
        <w:spacing w:before="0" w:after="0" w:line="240" w:lineRule="auto"/>
      </w:pPr>
      <w:rPr>
        <w:b/>
        <w:bCs/>
      </w:rPr>
      <w:tblPr/>
      <w:tcPr>
        <w:tcBorders>
          <w:top w:val="single" w:sz="8" w:space="0" w:color="EC7200"/>
          <w:left w:val="nil"/>
          <w:bottom w:val="single" w:sz="8" w:space="0" w:color="EC72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BBB"/>
      </w:tcPr>
    </w:tblStylePr>
    <w:tblStylePr w:type="band1Horz">
      <w:tblPr/>
      <w:tcPr>
        <w:tcBorders>
          <w:left w:val="nil"/>
          <w:right w:val="nil"/>
          <w:insideH w:val="nil"/>
          <w:insideV w:val="nil"/>
        </w:tcBorders>
        <w:shd w:val="clear" w:color="auto" w:fill="FFDBBB"/>
      </w:tcPr>
    </w:tblStylePr>
  </w:style>
  <w:style w:type="table" w:customStyle="1" w:styleId="MediumShading1-Accent41">
    <w:name w:val="Medium Shading 1 - Accent 41"/>
    <w:basedOn w:val="TableNormal"/>
    <w:next w:val="MediumShading1-Accent4"/>
    <w:uiPriority w:val="63"/>
    <w:rPr>
      <w:rFonts w:ascii="Calibri" w:eastAsia="Calibri" w:hAnsi="Calibri"/>
      <w:color w:val="000000"/>
      <w:sz w:val="21"/>
      <w:szCs w:val="21"/>
      <w:lang w:val="en-GB" w:eastAsia="en-US"/>
    </w:rPr>
    <w:tblPr>
      <w:tblStyleRowBandSize w:val="1"/>
      <w:tblStyleColBandSize w:val="1"/>
      <w:tblBorders>
        <w:top w:val="single" w:sz="8" w:space="0" w:color="F3C18E"/>
        <w:left w:val="single" w:sz="8" w:space="0" w:color="F3C18E"/>
        <w:bottom w:val="single" w:sz="8" w:space="0" w:color="F3C18E"/>
        <w:right w:val="single" w:sz="8" w:space="0" w:color="F3C18E"/>
        <w:insideH w:val="single" w:sz="8" w:space="0" w:color="F3C18E"/>
      </w:tblBorders>
    </w:tblPr>
    <w:tblStylePr w:type="firstRow">
      <w:pPr>
        <w:spacing w:before="0" w:after="0" w:line="240" w:lineRule="auto"/>
      </w:pPr>
      <w:rPr>
        <w:b/>
        <w:bCs/>
        <w:color w:val="FFFFFF"/>
      </w:rPr>
      <w:tblPr/>
      <w:tcPr>
        <w:tcBorders>
          <w:top w:val="single" w:sz="8" w:space="0" w:color="F3C18E"/>
          <w:left w:val="single" w:sz="8" w:space="0" w:color="F3C18E"/>
          <w:bottom w:val="single" w:sz="8" w:space="0" w:color="F3C18E"/>
          <w:right w:val="single" w:sz="8" w:space="0" w:color="F3C18E"/>
          <w:insideH w:val="nil"/>
          <w:insideV w:val="nil"/>
        </w:tcBorders>
        <w:shd w:val="clear" w:color="auto" w:fill="EFAD69"/>
      </w:tcPr>
    </w:tblStylePr>
    <w:tblStylePr w:type="lastRow">
      <w:pPr>
        <w:spacing w:before="0" w:after="0" w:line="240" w:lineRule="auto"/>
      </w:pPr>
      <w:rPr>
        <w:b/>
        <w:bCs/>
      </w:rPr>
      <w:tblPr/>
      <w:tcPr>
        <w:tcBorders>
          <w:top w:val="double" w:sz="6" w:space="0" w:color="F3C18E"/>
          <w:left w:val="single" w:sz="8" w:space="0" w:color="F3C18E"/>
          <w:bottom w:val="single" w:sz="8" w:space="0" w:color="F3C18E"/>
          <w:right w:val="single" w:sz="8" w:space="0" w:color="F3C18E"/>
          <w:insideH w:val="nil"/>
          <w:insideV w:val="nil"/>
        </w:tcBorders>
      </w:tcPr>
    </w:tblStylePr>
    <w:tblStylePr w:type="firstCol">
      <w:rPr>
        <w:b/>
        <w:bCs/>
      </w:rPr>
    </w:tblStylePr>
    <w:tblStylePr w:type="lastCol">
      <w:rPr>
        <w:b/>
        <w:bCs/>
      </w:rPr>
    </w:tblStylePr>
    <w:tblStylePr w:type="band1Vert">
      <w:tblPr/>
      <w:tcPr>
        <w:shd w:val="clear" w:color="auto" w:fill="FBEAD9"/>
      </w:tcPr>
    </w:tblStylePr>
    <w:tblStylePr w:type="band1Horz">
      <w:tblPr/>
      <w:tcPr>
        <w:tcBorders>
          <w:insideH w:val="nil"/>
          <w:insideV w:val="nil"/>
        </w:tcBorders>
        <w:shd w:val="clear" w:color="auto" w:fill="FBEAD9"/>
      </w:tcPr>
    </w:tblStylePr>
    <w:tblStylePr w:type="band2Horz">
      <w:tblPr/>
      <w:tcPr>
        <w:tcBorders>
          <w:insideH w:val="nil"/>
          <w:insideV w:val="nil"/>
        </w:tcBorders>
      </w:tcPr>
    </w:tblStylePr>
  </w:style>
  <w:style w:type="table" w:customStyle="1" w:styleId="MarginTable1">
    <w:name w:val="MarginTable1"/>
    <w:basedOn w:val="TableNormal"/>
    <w:uiPriority w:val="99"/>
    <w:qFormat/>
    <w:rPr>
      <w:rFonts w:ascii="Calibri" w:eastAsia="Calibri" w:hAnsi="Calibri"/>
      <w:color w:val="000000"/>
      <w:sz w:val="16"/>
      <w:szCs w:val="21"/>
      <w:lang w:val="en-GB" w:eastAsia="en-US"/>
    </w:rPr>
    <w:tblPr>
      <w:tblBorders>
        <w:top w:val="single" w:sz="4" w:space="0" w:color="auto"/>
        <w:bottom w:val="dotted" w:sz="4" w:space="0" w:color="auto"/>
        <w:insideH w:val="dotted" w:sz="4" w:space="0" w:color="auto"/>
      </w:tblBorders>
      <w:tblCellMar>
        <w:top w:w="57" w:type="dxa"/>
        <w:left w:w="0" w:type="dxa"/>
        <w:right w:w="0" w:type="dxa"/>
      </w:tblCellMar>
    </w:tblPr>
    <w:tblStylePr w:type="firstRow">
      <w:rPr>
        <w:b/>
      </w:rPr>
    </w:tblStylePr>
  </w:style>
  <w:style w:type="table" w:customStyle="1" w:styleId="PwCTable12">
    <w:name w:val="PwC Table 12"/>
    <w:basedOn w:val="TableNormal"/>
    <w:uiPriority w:val="99"/>
    <w:qFormat/>
    <w:rPr>
      <w:rFonts w:ascii="Calibri" w:eastAsia="Calibri" w:hAnsi="Calibri"/>
      <w:color w:val="000000"/>
      <w:sz w:val="18"/>
      <w:szCs w:val="22"/>
      <w:lang w:val="en-GB" w:eastAsia="en-US"/>
    </w:rPr>
    <w:tblPr>
      <w:tblStyleRowBandSize w:val="1"/>
      <w:tblBorders>
        <w:bottom w:val="dotted" w:sz="6" w:space="0" w:color="D06F1A"/>
      </w:tblBorders>
      <w:tblCellMar>
        <w:top w:w="57" w:type="dxa"/>
        <w:left w:w="0" w:type="dxa"/>
        <w:right w:w="0" w:type="dxa"/>
      </w:tblCellMar>
    </w:tblPr>
    <w:tblStylePr w:type="firstRow">
      <w:pPr>
        <w:wordWrap/>
        <w:spacing w:beforeLines="0" w:beforeAutospacing="0" w:afterLines="0" w:afterAutospacing="0" w:line="210" w:lineRule="atLeast"/>
        <w:contextualSpacing w:val="0"/>
      </w:pPr>
      <w:rPr>
        <w:rFonts w:ascii="Cambria" w:hAnsi="Cambria"/>
        <w:b/>
        <w:color w:val="D06F1A"/>
        <w:sz w:val="18"/>
      </w:rPr>
      <w:tblPr/>
      <w:tcPr>
        <w:tcBorders>
          <w:top w:val="single" w:sz="6" w:space="0" w:color="D06F1A"/>
          <w:left w:val="nil"/>
          <w:bottom w:val="dotted" w:sz="6" w:space="0" w:color="D06F1A"/>
          <w:right w:val="nil"/>
          <w:insideH w:val="nil"/>
          <w:insideV w:val="nil"/>
          <w:tl2br w:val="nil"/>
          <w:tr2bl w:val="nil"/>
        </w:tcBorders>
      </w:tcPr>
    </w:tblStylePr>
    <w:tblStylePr w:type="lastRow">
      <w:tblPr/>
      <w:tcPr>
        <w:shd w:val="clear" w:color="auto" w:fill="F9E1CD"/>
      </w:tcPr>
    </w:tblStylePr>
    <w:tblStylePr w:type="band1Horz">
      <w:pPr>
        <w:wordWrap/>
        <w:spacing w:beforeLines="0" w:beforeAutospacing="0" w:afterLines="0" w:afterAutospacing="0" w:line="210" w:lineRule="atLeast"/>
      </w:pPr>
    </w:tblStylePr>
    <w:tblStylePr w:type="band2Horz">
      <w:pPr>
        <w:wordWrap/>
        <w:spacing w:beforeLines="0" w:beforeAutospacing="0" w:afterLines="0" w:afterAutospacing="0" w:line="210" w:lineRule="atLeast"/>
      </w:pPr>
    </w:tblStylePr>
  </w:style>
  <w:style w:type="table" w:customStyle="1" w:styleId="PwCMarginTable1">
    <w:name w:val="PwC Margin Table1"/>
    <w:basedOn w:val="TableNormal"/>
    <w:uiPriority w:val="99"/>
    <w:qFormat/>
    <w:rPr>
      <w:rFonts w:ascii="Calibri" w:eastAsia="Calibri" w:hAnsi="Calibri"/>
      <w:color w:val="000000"/>
      <w:sz w:val="21"/>
      <w:szCs w:val="21"/>
      <w:lang w:val="en-GB" w:eastAsia="en-US"/>
    </w:rPr>
    <w:tblPr/>
    <w:tblStylePr w:type="firstRow">
      <w:tblPr/>
      <w:tcPr>
        <w:tcBorders>
          <w:top w:val="nil"/>
        </w:tcBorders>
      </w:tcPr>
    </w:tblStylePr>
  </w:style>
  <w:style w:type="table" w:customStyle="1" w:styleId="DP-Plain1">
    <w:name w:val="DP-Plain1"/>
    <w:basedOn w:val="TableNormal"/>
    <w:uiPriority w:val="99"/>
    <w:qFormat/>
    <w:rPr>
      <w:rFonts w:ascii="Arial" w:eastAsia="Calibri" w:hAnsi="Arial"/>
      <w:lang w:val="en-GB" w:eastAsia="en-US"/>
    </w:rPr>
    <w:tblPr>
      <w:tblBorders>
        <w:bottom w:val="dotted" w:sz="6" w:space="0" w:color="auto"/>
      </w:tblBorders>
      <w:tblCellMar>
        <w:top w:w="57" w:type="dxa"/>
        <w:left w:w="0" w:type="dxa"/>
        <w:right w:w="0" w:type="dxa"/>
      </w:tblCellMar>
    </w:tblPr>
    <w:tblStylePr w:type="firstRow">
      <w:rPr>
        <w:b/>
      </w:rPr>
      <w:tblPr/>
      <w:tcPr>
        <w:tcBorders>
          <w:top w:val="single" w:sz="6" w:space="0" w:color="auto"/>
          <w:bottom w:val="dotted" w:sz="6" w:space="0" w:color="auto"/>
        </w:tcBorders>
      </w:tcPr>
    </w:tblStylePr>
  </w:style>
  <w:style w:type="table" w:customStyle="1" w:styleId="DP-PlainColoured1">
    <w:name w:val="DP-PlainColoured1"/>
    <w:basedOn w:val="TableNormal"/>
    <w:uiPriority w:val="99"/>
    <w:qFormat/>
    <w:rPr>
      <w:rFonts w:ascii="Calibri" w:eastAsia="Calibri" w:hAnsi="Calibri"/>
      <w:color w:val="000000"/>
      <w:sz w:val="21"/>
      <w:szCs w:val="21"/>
      <w:lang w:val="en-GB" w:eastAsia="en-US"/>
    </w:rPr>
    <w:tblPr>
      <w:tblBorders>
        <w:top w:val="single" w:sz="4" w:space="0" w:color="D06F1A"/>
        <w:insideH w:val="dotted" w:sz="6" w:space="0" w:color="D06F1A"/>
      </w:tblBorders>
      <w:tblCellMar>
        <w:top w:w="57" w:type="dxa"/>
        <w:left w:w="0" w:type="dxa"/>
        <w:right w:w="0" w:type="dxa"/>
      </w:tblCellMar>
    </w:tblPr>
    <w:tblStylePr w:type="firstRow">
      <w:rPr>
        <w:b/>
      </w:rPr>
    </w:tblStylePr>
  </w:style>
  <w:style w:type="table" w:customStyle="1" w:styleId="TableGrid110">
    <w:name w:val="Table Grid11"/>
    <w:basedOn w:val="TableNormal"/>
    <w:next w:val="TableGrid"/>
    <w:rPr>
      <w:rFonts w:eastAsia="Calibri"/>
      <w:lang w:val="en-GB"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FrameLineColoured1">
    <w:name w:val="Frame Line Coloured1"/>
    <w:basedOn w:val="TableNormal"/>
    <w:uiPriority w:val="99"/>
    <w:qFormat/>
    <w:rPr>
      <w:rFonts w:eastAsia="Calibri"/>
      <w:lang w:val="en-GB" w:eastAsia="en-US"/>
    </w:rPr>
    <w:tblPr>
      <w:tblBorders>
        <w:top w:val="single" w:sz="8" w:space="0" w:color="D06F1A"/>
        <w:left w:val="single" w:sz="8" w:space="0" w:color="D06F1A"/>
      </w:tblBorders>
      <w:tblCellMar>
        <w:left w:w="227" w:type="dxa"/>
        <w:right w:w="0" w:type="dxa"/>
      </w:tblCellMar>
    </w:tblPr>
  </w:style>
  <w:style w:type="table" w:customStyle="1" w:styleId="PwCTable111">
    <w:name w:val="PwC Table 111"/>
    <w:basedOn w:val="TableNormal"/>
    <w:uiPriority w:val="99"/>
    <w:qFormat/>
    <w:rPr>
      <w:rFonts w:ascii="Arial" w:hAnsi="Arial"/>
      <w:color w:val="000000"/>
      <w:sz w:val="18"/>
      <w:lang w:val="en-GB" w:eastAsia="en-US"/>
    </w:rPr>
    <w:tblPr>
      <w:tblStyleRowBandSize w:val="1"/>
      <w:tblBorders>
        <w:bottom w:val="dotted" w:sz="6" w:space="0" w:color="DC6900"/>
      </w:tblBorders>
      <w:tblCellMar>
        <w:top w:w="57" w:type="dxa"/>
        <w:left w:w="0" w:type="dxa"/>
        <w:right w:w="0" w:type="dxa"/>
      </w:tblCellMar>
    </w:tblPr>
    <w:tblStylePr w:type="firstRow">
      <w:pPr>
        <w:wordWrap/>
        <w:spacing w:beforeLines="0" w:beforeAutospacing="0" w:afterLines="0" w:afterAutospacing="0" w:line="210" w:lineRule="atLeast"/>
        <w:contextualSpacing w:val="0"/>
      </w:pPr>
      <w:rPr>
        <w:rFonts w:ascii="Arial Bold" w:hAnsi="Arial Bold"/>
        <w:b/>
        <w:color w:val="DC6900"/>
        <w:sz w:val="18"/>
      </w:rPr>
      <w:tblPr/>
      <w:tcPr>
        <w:tcBorders>
          <w:top w:val="single" w:sz="6" w:space="0" w:color="DC6900"/>
          <w:left w:val="nil"/>
          <w:bottom w:val="dotted" w:sz="6" w:space="0" w:color="DC6900"/>
          <w:right w:val="nil"/>
          <w:insideH w:val="nil"/>
          <w:insideV w:val="nil"/>
          <w:tl2br w:val="nil"/>
          <w:tr2bl w:val="nil"/>
        </w:tcBorders>
      </w:tcPr>
    </w:tblStylePr>
    <w:tblStylePr w:type="lastRow">
      <w:tblPr/>
      <w:tcPr>
        <w:shd w:val="clear" w:color="auto" w:fill="FFE0C5"/>
      </w:tcPr>
    </w:tblStylePr>
    <w:tblStylePr w:type="band1Horz">
      <w:pPr>
        <w:wordWrap/>
        <w:spacing w:beforeLines="0" w:beforeAutospacing="0" w:afterLines="0" w:afterAutospacing="0" w:line="210" w:lineRule="atLeast"/>
      </w:pPr>
    </w:tblStylePr>
    <w:tblStylePr w:type="band2Horz">
      <w:pPr>
        <w:wordWrap/>
        <w:spacing w:beforeLines="0" w:beforeAutospacing="0" w:afterLines="0" w:afterAutospacing="0" w:line="210" w:lineRule="atLeast"/>
      </w:pPr>
    </w:tblStylePr>
  </w:style>
  <w:style w:type="table" w:customStyle="1" w:styleId="MediumList1-Accent31">
    <w:name w:val="Medium List 1 - Accent 31"/>
    <w:basedOn w:val="TableNormal"/>
    <w:next w:val="MediumList1-Accent3"/>
    <w:uiPriority w:val="65"/>
    <w:rPr>
      <w:color w:val="000000"/>
    </w:rPr>
    <w:tblPr>
      <w:tblStyleRowBandSize w:val="1"/>
      <w:tblStyleColBandSize w:val="1"/>
      <w:tblBorders>
        <w:top w:val="single" w:sz="8" w:space="0" w:color="F69843"/>
        <w:bottom w:val="single" w:sz="8" w:space="0" w:color="F69843"/>
      </w:tblBorders>
    </w:tblPr>
    <w:tblStylePr w:type="firstRow">
      <w:rPr>
        <w:rFonts w:ascii="Cambria" w:eastAsia="Times New Roman" w:hAnsi="Cambria" w:cs="Times New Roman"/>
      </w:rPr>
      <w:tblPr/>
      <w:tcPr>
        <w:tcBorders>
          <w:top w:val="nil"/>
          <w:bottom w:val="single" w:sz="8" w:space="0" w:color="F69843"/>
        </w:tcBorders>
      </w:tcPr>
    </w:tblStylePr>
    <w:tblStylePr w:type="lastRow">
      <w:rPr>
        <w:b/>
        <w:bCs/>
        <w:color w:val="D06F1A"/>
      </w:rPr>
      <w:tblPr/>
      <w:tcPr>
        <w:tcBorders>
          <w:top w:val="single" w:sz="8" w:space="0" w:color="F69843"/>
          <w:bottom w:val="single" w:sz="8" w:space="0" w:color="F69843"/>
        </w:tcBorders>
      </w:tcPr>
    </w:tblStylePr>
    <w:tblStylePr w:type="firstCol">
      <w:rPr>
        <w:b/>
        <w:bCs/>
      </w:rPr>
    </w:tblStylePr>
    <w:tblStylePr w:type="lastCol">
      <w:rPr>
        <w:b/>
        <w:bCs/>
      </w:rPr>
      <w:tblPr/>
      <w:tcPr>
        <w:tcBorders>
          <w:top w:val="single" w:sz="8" w:space="0" w:color="F69843"/>
          <w:bottom w:val="single" w:sz="8" w:space="0" w:color="F69843"/>
        </w:tcBorders>
      </w:tcPr>
    </w:tblStylePr>
    <w:tblStylePr w:type="band1Vert">
      <w:tblPr/>
      <w:tcPr>
        <w:shd w:val="clear" w:color="auto" w:fill="FCE5D0"/>
      </w:tcPr>
    </w:tblStylePr>
    <w:tblStylePr w:type="band1Horz">
      <w:tblPr/>
      <w:tcPr>
        <w:shd w:val="clear" w:color="auto" w:fill="FCE5D0"/>
      </w:tcPr>
    </w:tblStylePr>
  </w:style>
  <w:style w:type="table" w:customStyle="1" w:styleId="LightList-Accent131">
    <w:name w:val="Light List - Accent 131"/>
    <w:basedOn w:val="TableNormal"/>
    <w:uiPriority w:val="61"/>
    <w:tblPr>
      <w:tblStyleRowBandSize w:val="1"/>
      <w:tblStyleColBandSize w:val="1"/>
      <w:tblBorders>
        <w:top w:val="single" w:sz="8" w:space="0" w:color="F8981D"/>
        <w:left w:val="single" w:sz="8" w:space="0" w:color="F8981D"/>
        <w:bottom w:val="single" w:sz="8" w:space="0" w:color="F8981D"/>
        <w:right w:val="single" w:sz="8" w:space="0" w:color="F8981D"/>
      </w:tblBorders>
    </w:tblPr>
    <w:tblStylePr w:type="firstRow">
      <w:pPr>
        <w:spacing w:before="0" w:after="0" w:line="240" w:lineRule="auto"/>
      </w:pPr>
      <w:rPr>
        <w:b/>
        <w:bCs/>
        <w:color w:val="FFFFFF"/>
      </w:rPr>
      <w:tblPr/>
      <w:tcPr>
        <w:shd w:val="clear" w:color="auto" w:fill="F8981D"/>
      </w:tcPr>
    </w:tblStylePr>
    <w:tblStylePr w:type="lastRow">
      <w:pPr>
        <w:spacing w:before="0" w:after="0" w:line="240" w:lineRule="auto"/>
      </w:pPr>
      <w:rPr>
        <w:b/>
        <w:bCs/>
      </w:rPr>
      <w:tblPr/>
      <w:tcPr>
        <w:tcBorders>
          <w:top w:val="double" w:sz="6" w:space="0" w:color="F8981D"/>
          <w:left w:val="single" w:sz="8" w:space="0" w:color="F8981D"/>
          <w:bottom w:val="single" w:sz="8" w:space="0" w:color="F8981D"/>
          <w:right w:val="single" w:sz="8" w:space="0" w:color="F8981D"/>
        </w:tcBorders>
      </w:tcPr>
    </w:tblStylePr>
    <w:tblStylePr w:type="firstCol">
      <w:rPr>
        <w:b/>
        <w:bCs/>
      </w:rPr>
    </w:tblStylePr>
    <w:tblStylePr w:type="lastCol">
      <w:rPr>
        <w:b/>
        <w:bCs/>
      </w:rPr>
    </w:tblStylePr>
    <w:tblStylePr w:type="band1Vert">
      <w:tblPr/>
      <w:tcPr>
        <w:tcBorders>
          <w:top w:val="single" w:sz="8" w:space="0" w:color="F8981D"/>
          <w:left w:val="single" w:sz="8" w:space="0" w:color="F8981D"/>
          <w:bottom w:val="single" w:sz="8" w:space="0" w:color="F8981D"/>
          <w:right w:val="single" w:sz="8" w:space="0" w:color="F8981D"/>
        </w:tcBorders>
      </w:tcPr>
    </w:tblStylePr>
    <w:tblStylePr w:type="band1Horz">
      <w:tblPr/>
      <w:tcPr>
        <w:tcBorders>
          <w:top w:val="single" w:sz="8" w:space="0" w:color="F8981D"/>
          <w:left w:val="single" w:sz="8" w:space="0" w:color="F8981D"/>
          <w:bottom w:val="single" w:sz="8" w:space="0" w:color="F8981D"/>
          <w:right w:val="single" w:sz="8" w:space="0" w:color="F8981D"/>
        </w:tcBorders>
      </w:tcPr>
    </w:tblStylePr>
  </w:style>
  <w:style w:type="table" w:customStyle="1" w:styleId="LightList-Accent141">
    <w:name w:val="Light List - Accent 141"/>
    <w:basedOn w:val="TableNormal"/>
    <w:uiPriority w:val="61"/>
    <w:tblPr>
      <w:tblStyleRowBandSize w:val="1"/>
      <w:tblStyleColBandSize w:val="1"/>
      <w:tblBorders>
        <w:top w:val="single" w:sz="8" w:space="0" w:color="DC6900" w:themeColor="accent1"/>
        <w:left w:val="single" w:sz="8" w:space="0" w:color="DC6900" w:themeColor="accent1"/>
        <w:bottom w:val="single" w:sz="8" w:space="0" w:color="DC6900" w:themeColor="accent1"/>
        <w:right w:val="single" w:sz="8" w:space="0" w:color="DC6900" w:themeColor="accent1"/>
      </w:tblBorders>
    </w:tblPr>
    <w:tblStylePr w:type="firstRow">
      <w:pPr>
        <w:spacing w:before="0" w:after="0" w:line="240" w:lineRule="auto"/>
      </w:pPr>
      <w:rPr>
        <w:b/>
        <w:bCs/>
        <w:color w:val="FFFFFF" w:themeColor="background1"/>
      </w:rPr>
      <w:tblPr/>
      <w:tcPr>
        <w:shd w:val="clear" w:color="auto" w:fill="DC6900" w:themeFill="accent1"/>
      </w:tcPr>
    </w:tblStylePr>
    <w:tblStylePr w:type="lastRow">
      <w:pPr>
        <w:spacing w:before="0" w:after="0" w:line="240" w:lineRule="auto"/>
      </w:pPr>
      <w:rPr>
        <w:b/>
        <w:bCs/>
      </w:rPr>
      <w:tblPr/>
      <w:tcPr>
        <w:tcBorders>
          <w:top w:val="double" w:sz="6" w:space="0" w:color="DC6900" w:themeColor="accent1"/>
          <w:left w:val="single" w:sz="8" w:space="0" w:color="DC6900" w:themeColor="accent1"/>
          <w:bottom w:val="single" w:sz="8" w:space="0" w:color="DC6900" w:themeColor="accent1"/>
          <w:right w:val="single" w:sz="8" w:space="0" w:color="DC6900" w:themeColor="accent1"/>
        </w:tcBorders>
      </w:tcPr>
    </w:tblStylePr>
    <w:tblStylePr w:type="firstCol">
      <w:rPr>
        <w:b/>
        <w:bCs/>
      </w:rPr>
    </w:tblStylePr>
    <w:tblStylePr w:type="lastCol">
      <w:rPr>
        <w:b/>
        <w:bCs/>
      </w:rPr>
    </w:tblStylePr>
    <w:tblStylePr w:type="band1Vert">
      <w:tblPr/>
      <w:tcPr>
        <w:tcBorders>
          <w:top w:val="single" w:sz="8" w:space="0" w:color="DC6900" w:themeColor="accent1"/>
          <w:left w:val="single" w:sz="8" w:space="0" w:color="DC6900" w:themeColor="accent1"/>
          <w:bottom w:val="single" w:sz="8" w:space="0" w:color="DC6900" w:themeColor="accent1"/>
          <w:right w:val="single" w:sz="8" w:space="0" w:color="DC6900" w:themeColor="accent1"/>
        </w:tcBorders>
      </w:tcPr>
    </w:tblStylePr>
    <w:tblStylePr w:type="band1Horz">
      <w:tblPr/>
      <w:tcPr>
        <w:tcBorders>
          <w:top w:val="single" w:sz="8" w:space="0" w:color="DC6900" w:themeColor="accent1"/>
          <w:left w:val="single" w:sz="8" w:space="0" w:color="DC6900" w:themeColor="accent1"/>
          <w:bottom w:val="single" w:sz="8" w:space="0" w:color="DC6900" w:themeColor="accent1"/>
          <w:right w:val="single" w:sz="8" w:space="0" w:color="DC6900" w:themeColor="accent1"/>
        </w:tcBorders>
      </w:tcPr>
    </w:tblStylePr>
  </w:style>
  <w:style w:type="table" w:customStyle="1" w:styleId="LightGrid11">
    <w:name w:val="Light Grid11"/>
    <w:basedOn w:val="TableNormal"/>
    <w:uiPriority w:val="62"/>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List-Accent41">
    <w:name w:val="Light List - Accent 41"/>
    <w:basedOn w:val="TableNormal"/>
    <w:next w:val="LightList-Accent4"/>
    <w:uiPriority w:val="61"/>
    <w:tblPr>
      <w:tblStyleRowBandSize w:val="1"/>
      <w:tblStyleColBandSize w:val="1"/>
      <w:tblBorders>
        <w:top w:val="single" w:sz="8" w:space="0" w:color="DB536A" w:themeColor="accent4"/>
        <w:left w:val="single" w:sz="8" w:space="0" w:color="DB536A" w:themeColor="accent4"/>
        <w:bottom w:val="single" w:sz="8" w:space="0" w:color="DB536A" w:themeColor="accent4"/>
        <w:right w:val="single" w:sz="8" w:space="0" w:color="DB536A" w:themeColor="accent4"/>
      </w:tblBorders>
    </w:tblPr>
    <w:tblStylePr w:type="firstRow">
      <w:pPr>
        <w:spacing w:before="0" w:after="0" w:line="240" w:lineRule="auto"/>
      </w:pPr>
      <w:rPr>
        <w:b/>
        <w:bCs/>
        <w:color w:val="FFFFFF" w:themeColor="background1"/>
      </w:rPr>
      <w:tblPr/>
      <w:tcPr>
        <w:shd w:val="clear" w:color="auto" w:fill="DB536A" w:themeFill="accent4"/>
      </w:tcPr>
    </w:tblStylePr>
    <w:tblStylePr w:type="lastRow">
      <w:pPr>
        <w:spacing w:before="0" w:after="0" w:line="240" w:lineRule="auto"/>
      </w:pPr>
      <w:rPr>
        <w:b/>
        <w:bCs/>
      </w:rPr>
      <w:tblPr/>
      <w:tcPr>
        <w:tcBorders>
          <w:top w:val="double" w:sz="6" w:space="0" w:color="DB536A" w:themeColor="accent4"/>
          <w:left w:val="single" w:sz="8" w:space="0" w:color="DB536A" w:themeColor="accent4"/>
          <w:bottom w:val="single" w:sz="8" w:space="0" w:color="DB536A" w:themeColor="accent4"/>
          <w:right w:val="single" w:sz="8" w:space="0" w:color="DB536A" w:themeColor="accent4"/>
        </w:tcBorders>
      </w:tcPr>
    </w:tblStylePr>
    <w:tblStylePr w:type="firstCol">
      <w:rPr>
        <w:b/>
        <w:bCs/>
      </w:rPr>
    </w:tblStylePr>
    <w:tblStylePr w:type="lastCol">
      <w:rPr>
        <w:b/>
        <w:bCs/>
      </w:rPr>
    </w:tblStylePr>
    <w:tblStylePr w:type="band1Vert">
      <w:tblPr/>
      <w:tcPr>
        <w:tcBorders>
          <w:top w:val="single" w:sz="8" w:space="0" w:color="DB536A" w:themeColor="accent4"/>
          <w:left w:val="single" w:sz="8" w:space="0" w:color="DB536A" w:themeColor="accent4"/>
          <w:bottom w:val="single" w:sz="8" w:space="0" w:color="DB536A" w:themeColor="accent4"/>
          <w:right w:val="single" w:sz="8" w:space="0" w:color="DB536A" w:themeColor="accent4"/>
        </w:tcBorders>
      </w:tcPr>
    </w:tblStylePr>
    <w:tblStylePr w:type="band1Horz">
      <w:tblPr/>
      <w:tcPr>
        <w:tcBorders>
          <w:top w:val="single" w:sz="8" w:space="0" w:color="DB536A" w:themeColor="accent4"/>
          <w:left w:val="single" w:sz="8" w:space="0" w:color="DB536A" w:themeColor="accent4"/>
          <w:bottom w:val="single" w:sz="8" w:space="0" w:color="DB536A" w:themeColor="accent4"/>
          <w:right w:val="single" w:sz="8" w:space="0" w:color="DB536A" w:themeColor="accent4"/>
        </w:tcBorders>
      </w:tcPr>
    </w:tblStylePr>
  </w:style>
  <w:style w:type="table" w:customStyle="1" w:styleId="LightGrid-Accent21">
    <w:name w:val="Light Grid - Accent 21"/>
    <w:basedOn w:val="TableNormal"/>
    <w:next w:val="LightGrid-Accent2"/>
    <w:uiPriority w:val="62"/>
    <w:tblPr>
      <w:tblStyleRowBandSize w:val="1"/>
      <w:tblStyleColBandSize w:val="1"/>
      <w:tblBorders>
        <w:top w:val="single" w:sz="8" w:space="0" w:color="FFB600" w:themeColor="accent2"/>
        <w:left w:val="single" w:sz="8" w:space="0" w:color="FFB600" w:themeColor="accent2"/>
        <w:bottom w:val="single" w:sz="8" w:space="0" w:color="FFB600" w:themeColor="accent2"/>
        <w:right w:val="single" w:sz="8" w:space="0" w:color="FFB600" w:themeColor="accent2"/>
        <w:insideH w:val="single" w:sz="8" w:space="0" w:color="FFB600" w:themeColor="accent2"/>
        <w:insideV w:val="single" w:sz="8" w:space="0" w:color="FFB6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B600" w:themeColor="accent2"/>
          <w:left w:val="single" w:sz="8" w:space="0" w:color="FFB600" w:themeColor="accent2"/>
          <w:bottom w:val="single" w:sz="18" w:space="0" w:color="FFB600" w:themeColor="accent2"/>
          <w:right w:val="single" w:sz="8" w:space="0" w:color="FFB600" w:themeColor="accent2"/>
          <w:insideH w:val="nil"/>
          <w:insideV w:val="single" w:sz="8" w:space="0" w:color="FFB6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B600" w:themeColor="accent2"/>
          <w:left w:val="single" w:sz="8" w:space="0" w:color="FFB600" w:themeColor="accent2"/>
          <w:bottom w:val="single" w:sz="8" w:space="0" w:color="FFB600" w:themeColor="accent2"/>
          <w:right w:val="single" w:sz="8" w:space="0" w:color="FFB600" w:themeColor="accent2"/>
          <w:insideH w:val="nil"/>
          <w:insideV w:val="single" w:sz="8" w:space="0" w:color="FFB6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B600" w:themeColor="accent2"/>
          <w:left w:val="single" w:sz="8" w:space="0" w:color="FFB600" w:themeColor="accent2"/>
          <w:bottom w:val="single" w:sz="8" w:space="0" w:color="FFB600" w:themeColor="accent2"/>
          <w:right w:val="single" w:sz="8" w:space="0" w:color="FFB600" w:themeColor="accent2"/>
        </w:tcBorders>
      </w:tcPr>
    </w:tblStylePr>
    <w:tblStylePr w:type="band1Vert">
      <w:tblPr/>
      <w:tcPr>
        <w:tcBorders>
          <w:top w:val="single" w:sz="8" w:space="0" w:color="FFB600" w:themeColor="accent2"/>
          <w:left w:val="single" w:sz="8" w:space="0" w:color="FFB600" w:themeColor="accent2"/>
          <w:bottom w:val="single" w:sz="8" w:space="0" w:color="FFB600" w:themeColor="accent2"/>
          <w:right w:val="single" w:sz="8" w:space="0" w:color="FFB600" w:themeColor="accent2"/>
        </w:tcBorders>
        <w:shd w:val="clear" w:color="auto" w:fill="FFECC0" w:themeFill="accent2" w:themeFillTint="3F"/>
      </w:tcPr>
    </w:tblStylePr>
    <w:tblStylePr w:type="band1Horz">
      <w:tblPr/>
      <w:tcPr>
        <w:tcBorders>
          <w:top w:val="single" w:sz="8" w:space="0" w:color="FFB600" w:themeColor="accent2"/>
          <w:left w:val="single" w:sz="8" w:space="0" w:color="FFB600" w:themeColor="accent2"/>
          <w:bottom w:val="single" w:sz="8" w:space="0" w:color="FFB600" w:themeColor="accent2"/>
          <w:right w:val="single" w:sz="8" w:space="0" w:color="FFB600" w:themeColor="accent2"/>
          <w:insideV w:val="single" w:sz="8" w:space="0" w:color="FFB600" w:themeColor="accent2"/>
        </w:tcBorders>
        <w:shd w:val="clear" w:color="auto" w:fill="FFECC0" w:themeFill="accent2" w:themeFillTint="3F"/>
      </w:tcPr>
    </w:tblStylePr>
    <w:tblStylePr w:type="band2Horz">
      <w:tblPr/>
      <w:tcPr>
        <w:tcBorders>
          <w:top w:val="single" w:sz="8" w:space="0" w:color="FFB600" w:themeColor="accent2"/>
          <w:left w:val="single" w:sz="8" w:space="0" w:color="FFB600" w:themeColor="accent2"/>
          <w:bottom w:val="single" w:sz="8" w:space="0" w:color="FFB600" w:themeColor="accent2"/>
          <w:right w:val="single" w:sz="8" w:space="0" w:color="FFB600" w:themeColor="accent2"/>
          <w:insideV w:val="single" w:sz="8" w:space="0" w:color="FFB600" w:themeColor="accent2"/>
        </w:tcBorders>
      </w:tcPr>
    </w:tblStylePr>
  </w:style>
  <w:style w:type="character" w:customStyle="1" w:styleId="Text1Char">
    <w:name w:val="Text 1 Char"/>
    <w:link w:val="Text1"/>
    <w:rPr>
      <w:rFonts w:ascii="Times New Roman" w:eastAsia="Times New Roman" w:hAnsi="Times New Roman"/>
      <w:sz w:val="24"/>
      <w:szCs w:val="24"/>
      <w:lang w:val="en-GB" w:eastAsia="en-GB"/>
    </w:rPr>
  </w:style>
  <w:style w:type="character" w:customStyle="1" w:styleId="CommentTextChar1">
    <w:name w:val="Comment Text Char1"/>
    <w:basedOn w:val="DefaultParagraphFont"/>
    <w:uiPriority w:val="9"/>
    <w:rPr>
      <w:lang w:eastAsia="en-US"/>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qFormat/>
    <w:pPr>
      <w:spacing w:after="0" w:line="240" w:lineRule="auto"/>
      <w:ind w:left="284" w:hanging="284"/>
      <w:jc w:val="both"/>
    </w:pPr>
    <w:rPr>
      <w:rFonts w:ascii="Times New Roman" w:eastAsia="Times New Roman" w:hAnsi="Times New Roman"/>
      <w:vertAlign w:val="superscript"/>
      <w:lang w:eastAsia="en-GB"/>
    </w:rPr>
  </w:style>
  <w:style w:type="table" w:customStyle="1" w:styleId="LightList-Accent1211">
    <w:name w:val="Light List - Accent 1211"/>
    <w:basedOn w:val="TableNormal"/>
    <w:uiPriority w:val="61"/>
    <w:pPr>
      <w:spacing w:after="120"/>
    </w:pPr>
    <w:rPr>
      <w:rFonts w:eastAsia="Times New Roman"/>
      <w:color w:val="000000"/>
      <w:sz w:val="18"/>
      <w:szCs w:val="21"/>
      <w:lang w:val="en-GB" w:eastAsia="en-US"/>
    </w:rPr>
    <w:tblPr>
      <w:tblStyleRowBandSize w:val="1"/>
      <w:tblStyleColBandSize w:val="1"/>
      <w:tblBorders>
        <w:top w:val="single" w:sz="8" w:space="0" w:color="F8981D"/>
        <w:left w:val="single" w:sz="8" w:space="0" w:color="F8981D"/>
        <w:bottom w:val="single" w:sz="8" w:space="0" w:color="F8981D"/>
        <w:right w:val="single" w:sz="8" w:space="0" w:color="F8981D"/>
      </w:tblBorders>
    </w:tblPr>
    <w:tblStylePr w:type="firstRow">
      <w:pPr>
        <w:spacing w:before="0" w:after="0"/>
      </w:pPr>
      <w:rPr>
        <w:rFonts w:cs="Times New Roman"/>
        <w:b/>
        <w:bCs/>
        <w:color w:val="FFFFFF"/>
      </w:rPr>
      <w:tblPr/>
      <w:tcPr>
        <w:shd w:val="clear" w:color="auto" w:fill="F8981D"/>
      </w:tcPr>
    </w:tblStylePr>
    <w:tblStylePr w:type="lastRow">
      <w:pPr>
        <w:spacing w:before="0" w:after="0"/>
      </w:pPr>
      <w:rPr>
        <w:rFonts w:cs="Times New Roman"/>
        <w:b/>
        <w:bCs/>
      </w:rPr>
      <w:tblPr/>
      <w:tcPr>
        <w:tcBorders>
          <w:top w:val="double" w:sz="6" w:space="0" w:color="F8981D"/>
          <w:left w:val="single" w:sz="8" w:space="0" w:color="F8981D"/>
          <w:bottom w:val="single" w:sz="8" w:space="0" w:color="F8981D"/>
          <w:right w:val="single" w:sz="8" w:space="0" w:color="F8981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8981D"/>
          <w:left w:val="single" w:sz="8" w:space="0" w:color="F8981D"/>
          <w:bottom w:val="single" w:sz="8" w:space="0" w:color="F8981D"/>
          <w:right w:val="single" w:sz="8" w:space="0" w:color="F8981D"/>
        </w:tcBorders>
      </w:tcPr>
    </w:tblStylePr>
    <w:tblStylePr w:type="band1Horz">
      <w:rPr>
        <w:rFonts w:cs="Times New Roman"/>
      </w:rPr>
      <w:tblPr/>
      <w:tcPr>
        <w:tcBorders>
          <w:top w:val="single" w:sz="8" w:space="0" w:color="F8981D"/>
          <w:left w:val="single" w:sz="8" w:space="0" w:color="F8981D"/>
          <w:bottom w:val="single" w:sz="8" w:space="0" w:color="F8981D"/>
          <w:right w:val="single" w:sz="8" w:space="0" w:color="F8981D"/>
        </w:tcBorders>
      </w:tcPr>
    </w:tblStylePr>
  </w:style>
  <w:style w:type="paragraph" w:customStyle="1" w:styleId="xl93">
    <w:name w:val="xl93"/>
    <w:basedOn w:val="Normal"/>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textAlignment w:val="center"/>
    </w:pPr>
    <w:rPr>
      <w:rFonts w:ascii="Times New Roman" w:eastAsia="Times New Roman" w:hAnsi="Times New Roman"/>
      <w:sz w:val="24"/>
      <w:szCs w:val="24"/>
      <w:lang w:val="it-IT" w:eastAsia="it-IT"/>
    </w:rPr>
  </w:style>
  <w:style w:type="paragraph" w:customStyle="1" w:styleId="xl94">
    <w:name w:val="xl94"/>
    <w:basedOn w:val="Normal"/>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textAlignment w:val="center"/>
    </w:pPr>
    <w:rPr>
      <w:rFonts w:ascii="Times New Roman" w:eastAsia="Times New Roman" w:hAnsi="Times New Roman"/>
      <w:color w:val="0563C1"/>
      <w:sz w:val="24"/>
      <w:szCs w:val="24"/>
      <w:u w:val="single"/>
      <w:lang w:val="it-IT" w:eastAsia="it-IT"/>
    </w:rPr>
  </w:style>
  <w:style w:type="table" w:customStyle="1" w:styleId="MediumList2-Accent62">
    <w:name w:val="Medium List 2 - Accent 62"/>
    <w:basedOn w:val="TableNormal"/>
    <w:next w:val="MediumList2-Accent6"/>
    <w:uiPriority w:val="66"/>
    <w:rPr>
      <w:rFonts w:eastAsia="Times New Roman"/>
      <w:color w:val="000000"/>
      <w:szCs w:val="22"/>
      <w:lang w:val="en-US" w:eastAsia="en-US"/>
    </w:rPr>
    <w:tblPr>
      <w:tblStyleRowBandSize w:val="1"/>
      <w:tblStyleColBandSize w:val="1"/>
      <w:tblBorders>
        <w:top w:val="single" w:sz="4" w:space="0" w:color="D9D9D9"/>
        <w:left w:val="single" w:sz="4" w:space="0" w:color="D9D9D9"/>
        <w:bottom w:val="single" w:sz="4" w:space="0" w:color="D9D9D9"/>
        <w:right w:val="single" w:sz="4" w:space="0" w:color="D9D9D9"/>
      </w:tblBorders>
    </w:tblPr>
    <w:tblStylePr w:type="firstRow">
      <w:rPr>
        <w:sz w:val="24"/>
        <w:szCs w:val="24"/>
      </w:rPr>
      <w:tblPr/>
      <w:tcPr>
        <w:tcBorders>
          <w:top w:val="nil"/>
          <w:left w:val="nil"/>
          <w:bottom w:val="single" w:sz="24" w:space="0" w:color="E0301E"/>
          <w:right w:val="nil"/>
          <w:insideH w:val="nil"/>
          <w:insideV w:val="nil"/>
        </w:tcBorders>
        <w:shd w:val="clear" w:color="auto" w:fill="FFFFFF"/>
      </w:tcPr>
    </w:tblStylePr>
    <w:tblStylePr w:type="lastRow">
      <w:tblPr/>
      <w:tcPr>
        <w:tcBorders>
          <w:top w:val="single" w:sz="8" w:space="0" w:color="E0301E"/>
          <w:left w:val="nil"/>
          <w:bottom w:val="nil"/>
          <w:right w:val="nil"/>
          <w:insideH w:val="nil"/>
          <w:insideV w:val="nil"/>
        </w:tcBorders>
        <w:shd w:val="clear" w:color="auto" w:fill="FFFFFF"/>
      </w:tcPr>
    </w:tblStylePr>
    <w:tblStylePr w:type="firstCol">
      <w:tblPr/>
      <w:tcPr>
        <w:tcBorders>
          <w:top w:val="nil"/>
          <w:left w:val="nil"/>
          <w:bottom w:val="nil"/>
          <w:right w:val="single" w:sz="8" w:space="0" w:color="E0301E"/>
          <w:insideH w:val="nil"/>
          <w:insideV w:val="nil"/>
        </w:tcBorders>
        <w:shd w:val="clear" w:color="auto" w:fill="FFFFFF"/>
      </w:tcPr>
    </w:tblStylePr>
    <w:tblStylePr w:type="lastCol">
      <w:tblPr/>
      <w:tcPr>
        <w:tcBorders>
          <w:top w:val="nil"/>
          <w:left w:val="single" w:sz="8" w:space="0" w:color="E0301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7CBC7"/>
      </w:tcPr>
    </w:tblStylePr>
    <w:tblStylePr w:type="band1Horz">
      <w:tblPr/>
      <w:tcPr>
        <w:tcBorders>
          <w:top w:val="nil"/>
          <w:bottom w:val="nil"/>
          <w:insideH w:val="nil"/>
          <w:insideV w:val="nil"/>
        </w:tcBorders>
        <w:shd w:val="clear" w:color="auto" w:fill="F7CBC7"/>
      </w:tcPr>
    </w:tblStylePr>
    <w:tblStylePr w:type="nwCell">
      <w:tblPr/>
      <w:tcPr>
        <w:shd w:val="clear" w:color="auto" w:fill="FFFFFF"/>
      </w:tcPr>
    </w:tblStylePr>
    <w:tblStylePr w:type="swCell">
      <w:tblPr/>
      <w:tcPr>
        <w:tcBorders>
          <w:top w:val="nil"/>
        </w:tcBorders>
      </w:tcPr>
    </w:tblStylePr>
  </w:style>
  <w:style w:type="table" w:customStyle="1" w:styleId="MediumList2-Accent63">
    <w:name w:val="Medium List 2 - Accent 63"/>
    <w:basedOn w:val="TableNormal"/>
    <w:next w:val="MediumList2-Accent6"/>
    <w:uiPriority w:val="66"/>
    <w:rPr>
      <w:rFonts w:eastAsia="SimHei"/>
      <w:color w:val="000000"/>
      <w:szCs w:val="22"/>
      <w:lang w:val="en-US" w:eastAsia="en-US"/>
    </w:rPr>
    <w:tblPr>
      <w:tblStyleRowBandSize w:val="1"/>
      <w:tblStyleColBandSize w:val="1"/>
      <w:tblBorders>
        <w:top w:val="single" w:sz="4" w:space="0" w:color="D9D9D9"/>
        <w:left w:val="single" w:sz="4" w:space="0" w:color="D9D9D9"/>
        <w:bottom w:val="single" w:sz="4" w:space="0" w:color="D9D9D9"/>
        <w:right w:val="single" w:sz="4" w:space="0" w:color="D9D9D9"/>
      </w:tblBorders>
    </w:tblPr>
    <w:tblStylePr w:type="firstRow">
      <w:rPr>
        <w:sz w:val="24"/>
        <w:szCs w:val="24"/>
      </w:rPr>
      <w:tblPr/>
      <w:tcPr>
        <w:tcBorders>
          <w:top w:val="nil"/>
          <w:left w:val="nil"/>
          <w:bottom w:val="single" w:sz="24" w:space="0" w:color="E0301E"/>
          <w:right w:val="nil"/>
          <w:insideH w:val="nil"/>
          <w:insideV w:val="nil"/>
        </w:tcBorders>
        <w:shd w:val="clear" w:color="auto" w:fill="FFFFFF"/>
      </w:tcPr>
    </w:tblStylePr>
    <w:tblStylePr w:type="lastRow">
      <w:tblPr/>
      <w:tcPr>
        <w:tcBorders>
          <w:top w:val="single" w:sz="8" w:space="0" w:color="E0301E"/>
          <w:left w:val="nil"/>
          <w:bottom w:val="nil"/>
          <w:right w:val="nil"/>
          <w:insideH w:val="nil"/>
          <w:insideV w:val="nil"/>
        </w:tcBorders>
        <w:shd w:val="clear" w:color="auto" w:fill="FFFFFF"/>
      </w:tcPr>
    </w:tblStylePr>
    <w:tblStylePr w:type="firstCol">
      <w:tblPr/>
      <w:tcPr>
        <w:tcBorders>
          <w:top w:val="nil"/>
          <w:left w:val="nil"/>
          <w:bottom w:val="nil"/>
          <w:right w:val="single" w:sz="8" w:space="0" w:color="E0301E"/>
          <w:insideH w:val="nil"/>
          <w:insideV w:val="nil"/>
        </w:tcBorders>
        <w:shd w:val="clear" w:color="auto" w:fill="FFFFFF"/>
      </w:tcPr>
    </w:tblStylePr>
    <w:tblStylePr w:type="lastCol">
      <w:tblPr/>
      <w:tcPr>
        <w:tcBorders>
          <w:top w:val="nil"/>
          <w:left w:val="single" w:sz="8" w:space="0" w:color="E0301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7CBC7"/>
      </w:tcPr>
    </w:tblStylePr>
    <w:tblStylePr w:type="band1Horz">
      <w:tblPr/>
      <w:tcPr>
        <w:tcBorders>
          <w:top w:val="nil"/>
          <w:bottom w:val="nil"/>
          <w:insideH w:val="nil"/>
          <w:insideV w:val="nil"/>
        </w:tcBorders>
        <w:shd w:val="clear" w:color="auto" w:fill="F7CBC7"/>
      </w:tcPr>
    </w:tblStylePr>
    <w:tblStylePr w:type="nwCell">
      <w:tblPr/>
      <w:tcPr>
        <w:shd w:val="clear" w:color="auto" w:fill="FFFFFF"/>
      </w:tcPr>
    </w:tblStylePr>
    <w:tblStylePr w:type="swCell">
      <w:tblPr/>
      <w:tcPr>
        <w:tcBorders>
          <w:top w:val="nil"/>
        </w:tcBorders>
      </w:tcPr>
    </w:tblStyle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eastAsiaTheme="minorHAnsi" w:hAnsi="Times New Roman"/>
      <w:sz w:val="24"/>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iCs/>
      <w:sz w:val="24"/>
      <w:szCs w:val="32"/>
    </w:rPr>
  </w:style>
  <w:style w:type="character" w:customStyle="1" w:styleId="FooterCoverPageChar">
    <w:name w:val="Footer Cover Page Char"/>
    <w:basedOn w:val="DefaultParagraphFont"/>
    <w:link w:val="FooterCoverPage"/>
    <w:rPr>
      <w:rFonts w:ascii="Times New Roman" w:hAnsi="Times New Roman"/>
      <w:iCs/>
      <w:sz w:val="24"/>
      <w:szCs w:val="32"/>
      <w:lang w:val="en-GB" w:eastAsia="en-US"/>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iCs/>
      <w:sz w:val="24"/>
      <w:szCs w:val="32"/>
    </w:rPr>
  </w:style>
  <w:style w:type="character" w:customStyle="1" w:styleId="HeaderCoverPageChar">
    <w:name w:val="Header Cover Page Char"/>
    <w:basedOn w:val="DefaultParagraphFont"/>
    <w:link w:val="HeaderCoverPage"/>
    <w:rPr>
      <w:rFonts w:ascii="Times New Roman" w:hAnsi="Times New Roman"/>
      <w:iCs/>
      <w:sz w:val="24"/>
      <w:szCs w:val="3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44842">
      <w:bodyDiv w:val="1"/>
      <w:marLeft w:val="0"/>
      <w:marRight w:val="0"/>
      <w:marTop w:val="0"/>
      <w:marBottom w:val="0"/>
      <w:divBdr>
        <w:top w:val="none" w:sz="0" w:space="0" w:color="auto"/>
        <w:left w:val="none" w:sz="0" w:space="0" w:color="auto"/>
        <w:bottom w:val="none" w:sz="0" w:space="0" w:color="auto"/>
        <w:right w:val="none" w:sz="0" w:space="0" w:color="auto"/>
      </w:divBdr>
    </w:div>
    <w:div w:id="9068962">
      <w:bodyDiv w:val="1"/>
      <w:marLeft w:val="0"/>
      <w:marRight w:val="0"/>
      <w:marTop w:val="0"/>
      <w:marBottom w:val="0"/>
      <w:divBdr>
        <w:top w:val="none" w:sz="0" w:space="0" w:color="auto"/>
        <w:left w:val="none" w:sz="0" w:space="0" w:color="auto"/>
        <w:bottom w:val="none" w:sz="0" w:space="0" w:color="auto"/>
        <w:right w:val="none" w:sz="0" w:space="0" w:color="auto"/>
      </w:divBdr>
    </w:div>
    <w:div w:id="22488716">
      <w:bodyDiv w:val="1"/>
      <w:marLeft w:val="0"/>
      <w:marRight w:val="0"/>
      <w:marTop w:val="0"/>
      <w:marBottom w:val="0"/>
      <w:divBdr>
        <w:top w:val="none" w:sz="0" w:space="0" w:color="auto"/>
        <w:left w:val="none" w:sz="0" w:space="0" w:color="auto"/>
        <w:bottom w:val="none" w:sz="0" w:space="0" w:color="auto"/>
        <w:right w:val="none" w:sz="0" w:space="0" w:color="auto"/>
      </w:divBdr>
    </w:div>
    <w:div w:id="30154705">
      <w:bodyDiv w:val="1"/>
      <w:marLeft w:val="0"/>
      <w:marRight w:val="0"/>
      <w:marTop w:val="0"/>
      <w:marBottom w:val="0"/>
      <w:divBdr>
        <w:top w:val="none" w:sz="0" w:space="0" w:color="auto"/>
        <w:left w:val="none" w:sz="0" w:space="0" w:color="auto"/>
        <w:bottom w:val="none" w:sz="0" w:space="0" w:color="auto"/>
        <w:right w:val="none" w:sz="0" w:space="0" w:color="auto"/>
      </w:divBdr>
    </w:div>
    <w:div w:id="47726222">
      <w:bodyDiv w:val="1"/>
      <w:marLeft w:val="0"/>
      <w:marRight w:val="0"/>
      <w:marTop w:val="0"/>
      <w:marBottom w:val="0"/>
      <w:divBdr>
        <w:top w:val="none" w:sz="0" w:space="0" w:color="auto"/>
        <w:left w:val="none" w:sz="0" w:space="0" w:color="auto"/>
        <w:bottom w:val="none" w:sz="0" w:space="0" w:color="auto"/>
        <w:right w:val="none" w:sz="0" w:space="0" w:color="auto"/>
      </w:divBdr>
    </w:div>
    <w:div w:id="51468756">
      <w:bodyDiv w:val="1"/>
      <w:marLeft w:val="0"/>
      <w:marRight w:val="0"/>
      <w:marTop w:val="0"/>
      <w:marBottom w:val="0"/>
      <w:divBdr>
        <w:top w:val="none" w:sz="0" w:space="0" w:color="auto"/>
        <w:left w:val="none" w:sz="0" w:space="0" w:color="auto"/>
        <w:bottom w:val="none" w:sz="0" w:space="0" w:color="auto"/>
        <w:right w:val="none" w:sz="0" w:space="0" w:color="auto"/>
      </w:divBdr>
      <w:divsChild>
        <w:div w:id="1970553400">
          <w:marLeft w:val="3"/>
          <w:marRight w:val="3"/>
          <w:marTop w:val="0"/>
          <w:marBottom w:val="0"/>
          <w:divBdr>
            <w:top w:val="single" w:sz="4" w:space="0" w:color="112449"/>
            <w:left w:val="single" w:sz="4" w:space="0" w:color="112449"/>
            <w:bottom w:val="single" w:sz="4" w:space="0" w:color="112449"/>
            <w:right w:val="single" w:sz="4" w:space="0" w:color="112449"/>
          </w:divBdr>
          <w:divsChild>
            <w:div w:id="111944870">
              <w:marLeft w:val="3"/>
              <w:marRight w:val="3"/>
              <w:marTop w:val="0"/>
              <w:marBottom w:val="0"/>
              <w:divBdr>
                <w:top w:val="single" w:sz="4" w:space="0" w:color="112449"/>
                <w:left w:val="single" w:sz="4" w:space="0" w:color="112449"/>
                <w:bottom w:val="single" w:sz="4" w:space="0" w:color="112449"/>
                <w:right w:val="single" w:sz="4" w:space="0" w:color="112449"/>
              </w:divBdr>
              <w:divsChild>
                <w:div w:id="209770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92075">
      <w:bodyDiv w:val="1"/>
      <w:marLeft w:val="0"/>
      <w:marRight w:val="0"/>
      <w:marTop w:val="0"/>
      <w:marBottom w:val="0"/>
      <w:divBdr>
        <w:top w:val="none" w:sz="0" w:space="0" w:color="auto"/>
        <w:left w:val="none" w:sz="0" w:space="0" w:color="auto"/>
        <w:bottom w:val="none" w:sz="0" w:space="0" w:color="auto"/>
        <w:right w:val="none" w:sz="0" w:space="0" w:color="auto"/>
      </w:divBdr>
    </w:div>
    <w:div w:id="60907330">
      <w:bodyDiv w:val="1"/>
      <w:marLeft w:val="0"/>
      <w:marRight w:val="0"/>
      <w:marTop w:val="0"/>
      <w:marBottom w:val="0"/>
      <w:divBdr>
        <w:top w:val="none" w:sz="0" w:space="0" w:color="auto"/>
        <w:left w:val="none" w:sz="0" w:space="0" w:color="auto"/>
        <w:bottom w:val="none" w:sz="0" w:space="0" w:color="auto"/>
        <w:right w:val="none" w:sz="0" w:space="0" w:color="auto"/>
      </w:divBdr>
    </w:div>
    <w:div w:id="69668267">
      <w:bodyDiv w:val="1"/>
      <w:marLeft w:val="0"/>
      <w:marRight w:val="0"/>
      <w:marTop w:val="0"/>
      <w:marBottom w:val="0"/>
      <w:divBdr>
        <w:top w:val="none" w:sz="0" w:space="0" w:color="auto"/>
        <w:left w:val="none" w:sz="0" w:space="0" w:color="auto"/>
        <w:bottom w:val="none" w:sz="0" w:space="0" w:color="auto"/>
        <w:right w:val="none" w:sz="0" w:space="0" w:color="auto"/>
      </w:divBdr>
    </w:div>
    <w:div w:id="70198875">
      <w:bodyDiv w:val="1"/>
      <w:marLeft w:val="0"/>
      <w:marRight w:val="0"/>
      <w:marTop w:val="0"/>
      <w:marBottom w:val="0"/>
      <w:divBdr>
        <w:top w:val="none" w:sz="0" w:space="0" w:color="auto"/>
        <w:left w:val="none" w:sz="0" w:space="0" w:color="auto"/>
        <w:bottom w:val="none" w:sz="0" w:space="0" w:color="auto"/>
        <w:right w:val="none" w:sz="0" w:space="0" w:color="auto"/>
      </w:divBdr>
    </w:div>
    <w:div w:id="81269544">
      <w:bodyDiv w:val="1"/>
      <w:marLeft w:val="0"/>
      <w:marRight w:val="0"/>
      <w:marTop w:val="0"/>
      <w:marBottom w:val="0"/>
      <w:divBdr>
        <w:top w:val="none" w:sz="0" w:space="0" w:color="auto"/>
        <w:left w:val="none" w:sz="0" w:space="0" w:color="auto"/>
        <w:bottom w:val="none" w:sz="0" w:space="0" w:color="auto"/>
        <w:right w:val="none" w:sz="0" w:space="0" w:color="auto"/>
      </w:divBdr>
    </w:div>
    <w:div w:id="82072964">
      <w:bodyDiv w:val="1"/>
      <w:marLeft w:val="0"/>
      <w:marRight w:val="0"/>
      <w:marTop w:val="0"/>
      <w:marBottom w:val="0"/>
      <w:divBdr>
        <w:top w:val="none" w:sz="0" w:space="0" w:color="auto"/>
        <w:left w:val="none" w:sz="0" w:space="0" w:color="auto"/>
        <w:bottom w:val="none" w:sz="0" w:space="0" w:color="auto"/>
        <w:right w:val="none" w:sz="0" w:space="0" w:color="auto"/>
      </w:divBdr>
      <w:divsChild>
        <w:div w:id="855652389">
          <w:marLeft w:val="0"/>
          <w:marRight w:val="0"/>
          <w:marTop w:val="0"/>
          <w:marBottom w:val="0"/>
          <w:divBdr>
            <w:top w:val="none" w:sz="0" w:space="0" w:color="auto"/>
            <w:left w:val="none" w:sz="0" w:space="0" w:color="auto"/>
            <w:bottom w:val="none" w:sz="0" w:space="0" w:color="auto"/>
            <w:right w:val="none" w:sz="0" w:space="0" w:color="auto"/>
          </w:divBdr>
          <w:divsChild>
            <w:div w:id="856121442">
              <w:marLeft w:val="0"/>
              <w:marRight w:val="0"/>
              <w:marTop w:val="0"/>
              <w:marBottom w:val="0"/>
              <w:divBdr>
                <w:top w:val="none" w:sz="0" w:space="0" w:color="auto"/>
                <w:left w:val="none" w:sz="0" w:space="0" w:color="auto"/>
                <w:bottom w:val="none" w:sz="0" w:space="0" w:color="auto"/>
                <w:right w:val="none" w:sz="0" w:space="0" w:color="auto"/>
              </w:divBdr>
              <w:divsChild>
                <w:div w:id="1261256646">
                  <w:marLeft w:val="0"/>
                  <w:marRight w:val="0"/>
                  <w:marTop w:val="0"/>
                  <w:marBottom w:val="0"/>
                  <w:divBdr>
                    <w:top w:val="none" w:sz="0" w:space="0" w:color="auto"/>
                    <w:left w:val="none" w:sz="0" w:space="0" w:color="auto"/>
                    <w:bottom w:val="none" w:sz="0" w:space="0" w:color="auto"/>
                    <w:right w:val="none" w:sz="0" w:space="0" w:color="auto"/>
                  </w:divBdr>
                  <w:divsChild>
                    <w:div w:id="533813112">
                      <w:marLeft w:val="0"/>
                      <w:marRight w:val="0"/>
                      <w:marTop w:val="0"/>
                      <w:marBottom w:val="0"/>
                      <w:divBdr>
                        <w:top w:val="none" w:sz="0" w:space="0" w:color="auto"/>
                        <w:left w:val="none" w:sz="0" w:space="0" w:color="auto"/>
                        <w:bottom w:val="none" w:sz="0" w:space="0" w:color="auto"/>
                        <w:right w:val="none" w:sz="0" w:space="0" w:color="auto"/>
                      </w:divBdr>
                      <w:divsChild>
                        <w:div w:id="1815023474">
                          <w:marLeft w:val="0"/>
                          <w:marRight w:val="0"/>
                          <w:marTop w:val="0"/>
                          <w:marBottom w:val="0"/>
                          <w:divBdr>
                            <w:top w:val="none" w:sz="0" w:space="0" w:color="auto"/>
                            <w:left w:val="none" w:sz="0" w:space="0" w:color="auto"/>
                            <w:bottom w:val="none" w:sz="0" w:space="0" w:color="auto"/>
                            <w:right w:val="none" w:sz="0" w:space="0" w:color="auto"/>
                          </w:divBdr>
                          <w:divsChild>
                            <w:div w:id="763377777">
                              <w:marLeft w:val="0"/>
                              <w:marRight w:val="0"/>
                              <w:marTop w:val="0"/>
                              <w:marBottom w:val="0"/>
                              <w:divBdr>
                                <w:top w:val="none" w:sz="0" w:space="0" w:color="auto"/>
                                <w:left w:val="none" w:sz="0" w:space="0" w:color="auto"/>
                                <w:bottom w:val="none" w:sz="0" w:space="0" w:color="auto"/>
                                <w:right w:val="none" w:sz="0" w:space="0" w:color="auto"/>
                              </w:divBdr>
                              <w:divsChild>
                                <w:div w:id="268049057">
                                  <w:marLeft w:val="0"/>
                                  <w:marRight w:val="0"/>
                                  <w:marTop w:val="0"/>
                                  <w:marBottom w:val="0"/>
                                  <w:divBdr>
                                    <w:top w:val="none" w:sz="0" w:space="0" w:color="auto"/>
                                    <w:left w:val="none" w:sz="0" w:space="0" w:color="auto"/>
                                    <w:bottom w:val="none" w:sz="0" w:space="0" w:color="auto"/>
                                    <w:right w:val="none" w:sz="0" w:space="0" w:color="auto"/>
                                  </w:divBdr>
                                  <w:divsChild>
                                    <w:div w:id="921796350">
                                      <w:marLeft w:val="60"/>
                                      <w:marRight w:val="0"/>
                                      <w:marTop w:val="0"/>
                                      <w:marBottom w:val="0"/>
                                      <w:divBdr>
                                        <w:top w:val="none" w:sz="0" w:space="0" w:color="auto"/>
                                        <w:left w:val="none" w:sz="0" w:space="0" w:color="auto"/>
                                        <w:bottom w:val="none" w:sz="0" w:space="0" w:color="auto"/>
                                        <w:right w:val="none" w:sz="0" w:space="0" w:color="auto"/>
                                      </w:divBdr>
                                      <w:divsChild>
                                        <w:div w:id="294873187">
                                          <w:marLeft w:val="0"/>
                                          <w:marRight w:val="0"/>
                                          <w:marTop w:val="0"/>
                                          <w:marBottom w:val="0"/>
                                          <w:divBdr>
                                            <w:top w:val="none" w:sz="0" w:space="0" w:color="auto"/>
                                            <w:left w:val="none" w:sz="0" w:space="0" w:color="auto"/>
                                            <w:bottom w:val="none" w:sz="0" w:space="0" w:color="auto"/>
                                            <w:right w:val="none" w:sz="0" w:space="0" w:color="auto"/>
                                          </w:divBdr>
                                          <w:divsChild>
                                            <w:div w:id="1428498202">
                                              <w:marLeft w:val="0"/>
                                              <w:marRight w:val="0"/>
                                              <w:marTop w:val="0"/>
                                              <w:marBottom w:val="120"/>
                                              <w:divBdr>
                                                <w:top w:val="single" w:sz="6" w:space="0" w:color="F5F5F5"/>
                                                <w:left w:val="single" w:sz="6" w:space="0" w:color="F5F5F5"/>
                                                <w:bottom w:val="single" w:sz="6" w:space="0" w:color="F5F5F5"/>
                                                <w:right w:val="single" w:sz="6" w:space="0" w:color="F5F5F5"/>
                                              </w:divBdr>
                                              <w:divsChild>
                                                <w:div w:id="637341569">
                                                  <w:marLeft w:val="0"/>
                                                  <w:marRight w:val="0"/>
                                                  <w:marTop w:val="0"/>
                                                  <w:marBottom w:val="0"/>
                                                  <w:divBdr>
                                                    <w:top w:val="none" w:sz="0" w:space="0" w:color="auto"/>
                                                    <w:left w:val="none" w:sz="0" w:space="0" w:color="auto"/>
                                                    <w:bottom w:val="none" w:sz="0" w:space="0" w:color="auto"/>
                                                    <w:right w:val="none" w:sz="0" w:space="0" w:color="auto"/>
                                                  </w:divBdr>
                                                  <w:divsChild>
                                                    <w:div w:id="163980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564419">
      <w:bodyDiv w:val="1"/>
      <w:marLeft w:val="0"/>
      <w:marRight w:val="0"/>
      <w:marTop w:val="0"/>
      <w:marBottom w:val="0"/>
      <w:divBdr>
        <w:top w:val="none" w:sz="0" w:space="0" w:color="auto"/>
        <w:left w:val="none" w:sz="0" w:space="0" w:color="auto"/>
        <w:bottom w:val="none" w:sz="0" w:space="0" w:color="auto"/>
        <w:right w:val="none" w:sz="0" w:space="0" w:color="auto"/>
      </w:divBdr>
    </w:div>
    <w:div w:id="108747997">
      <w:bodyDiv w:val="1"/>
      <w:marLeft w:val="0"/>
      <w:marRight w:val="0"/>
      <w:marTop w:val="0"/>
      <w:marBottom w:val="0"/>
      <w:divBdr>
        <w:top w:val="none" w:sz="0" w:space="0" w:color="auto"/>
        <w:left w:val="none" w:sz="0" w:space="0" w:color="auto"/>
        <w:bottom w:val="none" w:sz="0" w:space="0" w:color="auto"/>
        <w:right w:val="none" w:sz="0" w:space="0" w:color="auto"/>
      </w:divBdr>
    </w:div>
    <w:div w:id="126171303">
      <w:bodyDiv w:val="1"/>
      <w:marLeft w:val="0"/>
      <w:marRight w:val="0"/>
      <w:marTop w:val="0"/>
      <w:marBottom w:val="0"/>
      <w:divBdr>
        <w:top w:val="none" w:sz="0" w:space="0" w:color="auto"/>
        <w:left w:val="none" w:sz="0" w:space="0" w:color="auto"/>
        <w:bottom w:val="none" w:sz="0" w:space="0" w:color="auto"/>
        <w:right w:val="none" w:sz="0" w:space="0" w:color="auto"/>
      </w:divBdr>
    </w:div>
    <w:div w:id="138545016">
      <w:bodyDiv w:val="1"/>
      <w:marLeft w:val="0"/>
      <w:marRight w:val="0"/>
      <w:marTop w:val="0"/>
      <w:marBottom w:val="0"/>
      <w:divBdr>
        <w:top w:val="none" w:sz="0" w:space="0" w:color="auto"/>
        <w:left w:val="none" w:sz="0" w:space="0" w:color="auto"/>
        <w:bottom w:val="none" w:sz="0" w:space="0" w:color="auto"/>
        <w:right w:val="none" w:sz="0" w:space="0" w:color="auto"/>
      </w:divBdr>
    </w:div>
    <w:div w:id="165481836">
      <w:bodyDiv w:val="1"/>
      <w:marLeft w:val="0"/>
      <w:marRight w:val="0"/>
      <w:marTop w:val="0"/>
      <w:marBottom w:val="0"/>
      <w:divBdr>
        <w:top w:val="none" w:sz="0" w:space="0" w:color="auto"/>
        <w:left w:val="none" w:sz="0" w:space="0" w:color="auto"/>
        <w:bottom w:val="none" w:sz="0" w:space="0" w:color="auto"/>
        <w:right w:val="none" w:sz="0" w:space="0" w:color="auto"/>
      </w:divBdr>
    </w:div>
    <w:div w:id="173961988">
      <w:bodyDiv w:val="1"/>
      <w:marLeft w:val="0"/>
      <w:marRight w:val="0"/>
      <w:marTop w:val="0"/>
      <w:marBottom w:val="0"/>
      <w:divBdr>
        <w:top w:val="none" w:sz="0" w:space="0" w:color="auto"/>
        <w:left w:val="none" w:sz="0" w:space="0" w:color="auto"/>
        <w:bottom w:val="none" w:sz="0" w:space="0" w:color="auto"/>
        <w:right w:val="none" w:sz="0" w:space="0" w:color="auto"/>
      </w:divBdr>
    </w:div>
    <w:div w:id="210269937">
      <w:bodyDiv w:val="1"/>
      <w:marLeft w:val="0"/>
      <w:marRight w:val="0"/>
      <w:marTop w:val="0"/>
      <w:marBottom w:val="0"/>
      <w:divBdr>
        <w:top w:val="none" w:sz="0" w:space="0" w:color="auto"/>
        <w:left w:val="none" w:sz="0" w:space="0" w:color="auto"/>
        <w:bottom w:val="none" w:sz="0" w:space="0" w:color="auto"/>
        <w:right w:val="none" w:sz="0" w:space="0" w:color="auto"/>
      </w:divBdr>
    </w:div>
    <w:div w:id="216935343">
      <w:bodyDiv w:val="1"/>
      <w:marLeft w:val="0"/>
      <w:marRight w:val="0"/>
      <w:marTop w:val="0"/>
      <w:marBottom w:val="0"/>
      <w:divBdr>
        <w:top w:val="none" w:sz="0" w:space="0" w:color="auto"/>
        <w:left w:val="none" w:sz="0" w:space="0" w:color="auto"/>
        <w:bottom w:val="none" w:sz="0" w:space="0" w:color="auto"/>
        <w:right w:val="none" w:sz="0" w:space="0" w:color="auto"/>
      </w:divBdr>
      <w:divsChild>
        <w:div w:id="609166959">
          <w:marLeft w:val="0"/>
          <w:marRight w:val="0"/>
          <w:marTop w:val="0"/>
          <w:marBottom w:val="0"/>
          <w:divBdr>
            <w:top w:val="none" w:sz="0" w:space="0" w:color="auto"/>
            <w:left w:val="none" w:sz="0" w:space="0" w:color="auto"/>
            <w:bottom w:val="none" w:sz="0" w:space="0" w:color="auto"/>
            <w:right w:val="none" w:sz="0" w:space="0" w:color="auto"/>
          </w:divBdr>
        </w:div>
      </w:divsChild>
    </w:div>
    <w:div w:id="218367251">
      <w:bodyDiv w:val="1"/>
      <w:marLeft w:val="0"/>
      <w:marRight w:val="0"/>
      <w:marTop w:val="0"/>
      <w:marBottom w:val="0"/>
      <w:divBdr>
        <w:top w:val="none" w:sz="0" w:space="0" w:color="auto"/>
        <w:left w:val="none" w:sz="0" w:space="0" w:color="auto"/>
        <w:bottom w:val="none" w:sz="0" w:space="0" w:color="auto"/>
        <w:right w:val="none" w:sz="0" w:space="0" w:color="auto"/>
      </w:divBdr>
      <w:divsChild>
        <w:div w:id="1730692521">
          <w:marLeft w:val="0"/>
          <w:marRight w:val="0"/>
          <w:marTop w:val="0"/>
          <w:marBottom w:val="0"/>
          <w:divBdr>
            <w:top w:val="none" w:sz="0" w:space="0" w:color="auto"/>
            <w:left w:val="none" w:sz="0" w:space="0" w:color="auto"/>
            <w:bottom w:val="none" w:sz="0" w:space="0" w:color="auto"/>
            <w:right w:val="none" w:sz="0" w:space="0" w:color="auto"/>
          </w:divBdr>
        </w:div>
        <w:div w:id="2123185802">
          <w:marLeft w:val="0"/>
          <w:marRight w:val="0"/>
          <w:marTop w:val="0"/>
          <w:marBottom w:val="0"/>
          <w:divBdr>
            <w:top w:val="none" w:sz="0" w:space="0" w:color="auto"/>
            <w:left w:val="none" w:sz="0" w:space="0" w:color="auto"/>
            <w:bottom w:val="none" w:sz="0" w:space="0" w:color="auto"/>
            <w:right w:val="none" w:sz="0" w:space="0" w:color="auto"/>
          </w:divBdr>
        </w:div>
        <w:div w:id="1186481571">
          <w:marLeft w:val="0"/>
          <w:marRight w:val="0"/>
          <w:marTop w:val="0"/>
          <w:marBottom w:val="0"/>
          <w:divBdr>
            <w:top w:val="none" w:sz="0" w:space="0" w:color="auto"/>
            <w:left w:val="none" w:sz="0" w:space="0" w:color="auto"/>
            <w:bottom w:val="none" w:sz="0" w:space="0" w:color="auto"/>
            <w:right w:val="none" w:sz="0" w:space="0" w:color="auto"/>
          </w:divBdr>
        </w:div>
        <w:div w:id="563301049">
          <w:marLeft w:val="0"/>
          <w:marRight w:val="0"/>
          <w:marTop w:val="0"/>
          <w:marBottom w:val="0"/>
          <w:divBdr>
            <w:top w:val="none" w:sz="0" w:space="0" w:color="auto"/>
            <w:left w:val="none" w:sz="0" w:space="0" w:color="auto"/>
            <w:bottom w:val="none" w:sz="0" w:space="0" w:color="auto"/>
            <w:right w:val="none" w:sz="0" w:space="0" w:color="auto"/>
          </w:divBdr>
        </w:div>
        <w:div w:id="1215383540">
          <w:marLeft w:val="0"/>
          <w:marRight w:val="0"/>
          <w:marTop w:val="0"/>
          <w:marBottom w:val="0"/>
          <w:divBdr>
            <w:top w:val="none" w:sz="0" w:space="0" w:color="auto"/>
            <w:left w:val="none" w:sz="0" w:space="0" w:color="auto"/>
            <w:bottom w:val="none" w:sz="0" w:space="0" w:color="auto"/>
            <w:right w:val="none" w:sz="0" w:space="0" w:color="auto"/>
          </w:divBdr>
        </w:div>
        <w:div w:id="1908606704">
          <w:marLeft w:val="0"/>
          <w:marRight w:val="0"/>
          <w:marTop w:val="0"/>
          <w:marBottom w:val="0"/>
          <w:divBdr>
            <w:top w:val="none" w:sz="0" w:space="0" w:color="auto"/>
            <w:left w:val="none" w:sz="0" w:space="0" w:color="auto"/>
            <w:bottom w:val="none" w:sz="0" w:space="0" w:color="auto"/>
            <w:right w:val="none" w:sz="0" w:space="0" w:color="auto"/>
          </w:divBdr>
        </w:div>
        <w:div w:id="824903821">
          <w:marLeft w:val="0"/>
          <w:marRight w:val="0"/>
          <w:marTop w:val="0"/>
          <w:marBottom w:val="0"/>
          <w:divBdr>
            <w:top w:val="none" w:sz="0" w:space="0" w:color="auto"/>
            <w:left w:val="none" w:sz="0" w:space="0" w:color="auto"/>
            <w:bottom w:val="none" w:sz="0" w:space="0" w:color="auto"/>
            <w:right w:val="none" w:sz="0" w:space="0" w:color="auto"/>
          </w:divBdr>
        </w:div>
      </w:divsChild>
    </w:div>
    <w:div w:id="230507888">
      <w:bodyDiv w:val="1"/>
      <w:marLeft w:val="0"/>
      <w:marRight w:val="0"/>
      <w:marTop w:val="0"/>
      <w:marBottom w:val="0"/>
      <w:divBdr>
        <w:top w:val="none" w:sz="0" w:space="0" w:color="auto"/>
        <w:left w:val="none" w:sz="0" w:space="0" w:color="auto"/>
        <w:bottom w:val="none" w:sz="0" w:space="0" w:color="auto"/>
        <w:right w:val="none" w:sz="0" w:space="0" w:color="auto"/>
      </w:divBdr>
    </w:div>
    <w:div w:id="231696841">
      <w:bodyDiv w:val="1"/>
      <w:marLeft w:val="0"/>
      <w:marRight w:val="0"/>
      <w:marTop w:val="0"/>
      <w:marBottom w:val="0"/>
      <w:divBdr>
        <w:top w:val="none" w:sz="0" w:space="0" w:color="auto"/>
        <w:left w:val="none" w:sz="0" w:space="0" w:color="auto"/>
        <w:bottom w:val="none" w:sz="0" w:space="0" w:color="auto"/>
        <w:right w:val="none" w:sz="0" w:space="0" w:color="auto"/>
      </w:divBdr>
    </w:div>
    <w:div w:id="255987221">
      <w:bodyDiv w:val="1"/>
      <w:marLeft w:val="0"/>
      <w:marRight w:val="0"/>
      <w:marTop w:val="0"/>
      <w:marBottom w:val="0"/>
      <w:divBdr>
        <w:top w:val="none" w:sz="0" w:space="0" w:color="auto"/>
        <w:left w:val="none" w:sz="0" w:space="0" w:color="auto"/>
        <w:bottom w:val="none" w:sz="0" w:space="0" w:color="auto"/>
        <w:right w:val="none" w:sz="0" w:space="0" w:color="auto"/>
      </w:divBdr>
    </w:div>
    <w:div w:id="257447438">
      <w:bodyDiv w:val="1"/>
      <w:marLeft w:val="0"/>
      <w:marRight w:val="0"/>
      <w:marTop w:val="0"/>
      <w:marBottom w:val="0"/>
      <w:divBdr>
        <w:top w:val="none" w:sz="0" w:space="0" w:color="auto"/>
        <w:left w:val="none" w:sz="0" w:space="0" w:color="auto"/>
        <w:bottom w:val="none" w:sz="0" w:space="0" w:color="auto"/>
        <w:right w:val="none" w:sz="0" w:space="0" w:color="auto"/>
      </w:divBdr>
    </w:div>
    <w:div w:id="272709006">
      <w:bodyDiv w:val="1"/>
      <w:marLeft w:val="0"/>
      <w:marRight w:val="0"/>
      <w:marTop w:val="0"/>
      <w:marBottom w:val="0"/>
      <w:divBdr>
        <w:top w:val="none" w:sz="0" w:space="0" w:color="auto"/>
        <w:left w:val="none" w:sz="0" w:space="0" w:color="auto"/>
        <w:bottom w:val="none" w:sz="0" w:space="0" w:color="auto"/>
        <w:right w:val="none" w:sz="0" w:space="0" w:color="auto"/>
      </w:divBdr>
    </w:div>
    <w:div w:id="278493324">
      <w:bodyDiv w:val="1"/>
      <w:marLeft w:val="0"/>
      <w:marRight w:val="0"/>
      <w:marTop w:val="0"/>
      <w:marBottom w:val="0"/>
      <w:divBdr>
        <w:top w:val="none" w:sz="0" w:space="0" w:color="auto"/>
        <w:left w:val="none" w:sz="0" w:space="0" w:color="auto"/>
        <w:bottom w:val="none" w:sz="0" w:space="0" w:color="auto"/>
        <w:right w:val="none" w:sz="0" w:space="0" w:color="auto"/>
      </w:divBdr>
    </w:div>
    <w:div w:id="287469575">
      <w:bodyDiv w:val="1"/>
      <w:marLeft w:val="0"/>
      <w:marRight w:val="0"/>
      <w:marTop w:val="0"/>
      <w:marBottom w:val="0"/>
      <w:divBdr>
        <w:top w:val="none" w:sz="0" w:space="0" w:color="auto"/>
        <w:left w:val="none" w:sz="0" w:space="0" w:color="auto"/>
        <w:bottom w:val="none" w:sz="0" w:space="0" w:color="auto"/>
        <w:right w:val="none" w:sz="0" w:space="0" w:color="auto"/>
      </w:divBdr>
    </w:div>
    <w:div w:id="298919062">
      <w:bodyDiv w:val="1"/>
      <w:marLeft w:val="0"/>
      <w:marRight w:val="0"/>
      <w:marTop w:val="0"/>
      <w:marBottom w:val="0"/>
      <w:divBdr>
        <w:top w:val="none" w:sz="0" w:space="0" w:color="auto"/>
        <w:left w:val="none" w:sz="0" w:space="0" w:color="auto"/>
        <w:bottom w:val="none" w:sz="0" w:space="0" w:color="auto"/>
        <w:right w:val="none" w:sz="0" w:space="0" w:color="auto"/>
      </w:divBdr>
    </w:div>
    <w:div w:id="312493139">
      <w:bodyDiv w:val="1"/>
      <w:marLeft w:val="0"/>
      <w:marRight w:val="0"/>
      <w:marTop w:val="0"/>
      <w:marBottom w:val="0"/>
      <w:divBdr>
        <w:top w:val="none" w:sz="0" w:space="0" w:color="auto"/>
        <w:left w:val="none" w:sz="0" w:space="0" w:color="auto"/>
        <w:bottom w:val="none" w:sz="0" w:space="0" w:color="auto"/>
        <w:right w:val="none" w:sz="0" w:space="0" w:color="auto"/>
      </w:divBdr>
    </w:div>
    <w:div w:id="329873716">
      <w:bodyDiv w:val="1"/>
      <w:marLeft w:val="0"/>
      <w:marRight w:val="0"/>
      <w:marTop w:val="0"/>
      <w:marBottom w:val="0"/>
      <w:divBdr>
        <w:top w:val="none" w:sz="0" w:space="0" w:color="auto"/>
        <w:left w:val="none" w:sz="0" w:space="0" w:color="auto"/>
        <w:bottom w:val="none" w:sz="0" w:space="0" w:color="auto"/>
        <w:right w:val="none" w:sz="0" w:space="0" w:color="auto"/>
      </w:divBdr>
    </w:div>
    <w:div w:id="366639922">
      <w:bodyDiv w:val="1"/>
      <w:marLeft w:val="0"/>
      <w:marRight w:val="0"/>
      <w:marTop w:val="0"/>
      <w:marBottom w:val="0"/>
      <w:divBdr>
        <w:top w:val="none" w:sz="0" w:space="0" w:color="auto"/>
        <w:left w:val="none" w:sz="0" w:space="0" w:color="auto"/>
        <w:bottom w:val="none" w:sz="0" w:space="0" w:color="auto"/>
        <w:right w:val="none" w:sz="0" w:space="0" w:color="auto"/>
      </w:divBdr>
    </w:div>
    <w:div w:id="375937382">
      <w:bodyDiv w:val="1"/>
      <w:marLeft w:val="0"/>
      <w:marRight w:val="0"/>
      <w:marTop w:val="0"/>
      <w:marBottom w:val="0"/>
      <w:divBdr>
        <w:top w:val="none" w:sz="0" w:space="0" w:color="auto"/>
        <w:left w:val="none" w:sz="0" w:space="0" w:color="auto"/>
        <w:bottom w:val="none" w:sz="0" w:space="0" w:color="auto"/>
        <w:right w:val="none" w:sz="0" w:space="0" w:color="auto"/>
      </w:divBdr>
    </w:div>
    <w:div w:id="394669897">
      <w:bodyDiv w:val="1"/>
      <w:marLeft w:val="0"/>
      <w:marRight w:val="0"/>
      <w:marTop w:val="0"/>
      <w:marBottom w:val="0"/>
      <w:divBdr>
        <w:top w:val="none" w:sz="0" w:space="0" w:color="auto"/>
        <w:left w:val="none" w:sz="0" w:space="0" w:color="auto"/>
        <w:bottom w:val="none" w:sz="0" w:space="0" w:color="auto"/>
        <w:right w:val="none" w:sz="0" w:space="0" w:color="auto"/>
      </w:divBdr>
    </w:div>
    <w:div w:id="399409004">
      <w:bodyDiv w:val="1"/>
      <w:marLeft w:val="0"/>
      <w:marRight w:val="0"/>
      <w:marTop w:val="0"/>
      <w:marBottom w:val="0"/>
      <w:divBdr>
        <w:top w:val="none" w:sz="0" w:space="0" w:color="auto"/>
        <w:left w:val="none" w:sz="0" w:space="0" w:color="auto"/>
        <w:bottom w:val="none" w:sz="0" w:space="0" w:color="auto"/>
        <w:right w:val="none" w:sz="0" w:space="0" w:color="auto"/>
      </w:divBdr>
    </w:div>
    <w:div w:id="403183587">
      <w:bodyDiv w:val="1"/>
      <w:marLeft w:val="0"/>
      <w:marRight w:val="0"/>
      <w:marTop w:val="0"/>
      <w:marBottom w:val="0"/>
      <w:divBdr>
        <w:top w:val="none" w:sz="0" w:space="0" w:color="auto"/>
        <w:left w:val="none" w:sz="0" w:space="0" w:color="auto"/>
        <w:bottom w:val="none" w:sz="0" w:space="0" w:color="auto"/>
        <w:right w:val="none" w:sz="0" w:space="0" w:color="auto"/>
      </w:divBdr>
    </w:div>
    <w:div w:id="404567327">
      <w:bodyDiv w:val="1"/>
      <w:marLeft w:val="0"/>
      <w:marRight w:val="0"/>
      <w:marTop w:val="0"/>
      <w:marBottom w:val="0"/>
      <w:divBdr>
        <w:top w:val="none" w:sz="0" w:space="0" w:color="auto"/>
        <w:left w:val="none" w:sz="0" w:space="0" w:color="auto"/>
        <w:bottom w:val="none" w:sz="0" w:space="0" w:color="auto"/>
        <w:right w:val="none" w:sz="0" w:space="0" w:color="auto"/>
      </w:divBdr>
      <w:divsChild>
        <w:div w:id="939989651">
          <w:marLeft w:val="3"/>
          <w:marRight w:val="3"/>
          <w:marTop w:val="0"/>
          <w:marBottom w:val="0"/>
          <w:divBdr>
            <w:top w:val="single" w:sz="4" w:space="0" w:color="112449"/>
            <w:left w:val="single" w:sz="4" w:space="0" w:color="112449"/>
            <w:bottom w:val="single" w:sz="4" w:space="0" w:color="112449"/>
            <w:right w:val="single" w:sz="4" w:space="0" w:color="112449"/>
          </w:divBdr>
          <w:divsChild>
            <w:div w:id="518738948">
              <w:marLeft w:val="3"/>
              <w:marRight w:val="3"/>
              <w:marTop w:val="0"/>
              <w:marBottom w:val="0"/>
              <w:divBdr>
                <w:top w:val="single" w:sz="4" w:space="0" w:color="112449"/>
                <w:left w:val="single" w:sz="4" w:space="0" w:color="112449"/>
                <w:bottom w:val="single" w:sz="4" w:space="0" w:color="112449"/>
                <w:right w:val="single" w:sz="4" w:space="0" w:color="112449"/>
              </w:divBdr>
              <w:divsChild>
                <w:div w:id="116910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158657">
      <w:bodyDiv w:val="1"/>
      <w:marLeft w:val="0"/>
      <w:marRight w:val="0"/>
      <w:marTop w:val="0"/>
      <w:marBottom w:val="0"/>
      <w:divBdr>
        <w:top w:val="none" w:sz="0" w:space="0" w:color="auto"/>
        <w:left w:val="none" w:sz="0" w:space="0" w:color="auto"/>
        <w:bottom w:val="none" w:sz="0" w:space="0" w:color="auto"/>
        <w:right w:val="none" w:sz="0" w:space="0" w:color="auto"/>
      </w:divBdr>
    </w:div>
    <w:div w:id="414088395">
      <w:bodyDiv w:val="1"/>
      <w:marLeft w:val="0"/>
      <w:marRight w:val="0"/>
      <w:marTop w:val="0"/>
      <w:marBottom w:val="0"/>
      <w:divBdr>
        <w:top w:val="none" w:sz="0" w:space="0" w:color="auto"/>
        <w:left w:val="none" w:sz="0" w:space="0" w:color="auto"/>
        <w:bottom w:val="none" w:sz="0" w:space="0" w:color="auto"/>
        <w:right w:val="none" w:sz="0" w:space="0" w:color="auto"/>
      </w:divBdr>
    </w:div>
    <w:div w:id="424349589">
      <w:bodyDiv w:val="1"/>
      <w:marLeft w:val="0"/>
      <w:marRight w:val="0"/>
      <w:marTop w:val="0"/>
      <w:marBottom w:val="0"/>
      <w:divBdr>
        <w:top w:val="none" w:sz="0" w:space="0" w:color="auto"/>
        <w:left w:val="none" w:sz="0" w:space="0" w:color="auto"/>
        <w:bottom w:val="none" w:sz="0" w:space="0" w:color="auto"/>
        <w:right w:val="none" w:sz="0" w:space="0" w:color="auto"/>
      </w:divBdr>
    </w:div>
    <w:div w:id="427700194">
      <w:bodyDiv w:val="1"/>
      <w:marLeft w:val="0"/>
      <w:marRight w:val="0"/>
      <w:marTop w:val="0"/>
      <w:marBottom w:val="0"/>
      <w:divBdr>
        <w:top w:val="none" w:sz="0" w:space="0" w:color="auto"/>
        <w:left w:val="none" w:sz="0" w:space="0" w:color="auto"/>
        <w:bottom w:val="none" w:sz="0" w:space="0" w:color="auto"/>
        <w:right w:val="none" w:sz="0" w:space="0" w:color="auto"/>
      </w:divBdr>
    </w:div>
    <w:div w:id="444229326">
      <w:bodyDiv w:val="1"/>
      <w:marLeft w:val="0"/>
      <w:marRight w:val="0"/>
      <w:marTop w:val="0"/>
      <w:marBottom w:val="0"/>
      <w:divBdr>
        <w:top w:val="none" w:sz="0" w:space="0" w:color="auto"/>
        <w:left w:val="none" w:sz="0" w:space="0" w:color="auto"/>
        <w:bottom w:val="none" w:sz="0" w:space="0" w:color="auto"/>
        <w:right w:val="none" w:sz="0" w:space="0" w:color="auto"/>
      </w:divBdr>
    </w:div>
    <w:div w:id="449201798">
      <w:bodyDiv w:val="1"/>
      <w:marLeft w:val="0"/>
      <w:marRight w:val="0"/>
      <w:marTop w:val="0"/>
      <w:marBottom w:val="0"/>
      <w:divBdr>
        <w:top w:val="none" w:sz="0" w:space="0" w:color="auto"/>
        <w:left w:val="none" w:sz="0" w:space="0" w:color="auto"/>
        <w:bottom w:val="none" w:sz="0" w:space="0" w:color="auto"/>
        <w:right w:val="none" w:sz="0" w:space="0" w:color="auto"/>
      </w:divBdr>
      <w:divsChild>
        <w:div w:id="144274888">
          <w:marLeft w:val="0"/>
          <w:marRight w:val="0"/>
          <w:marTop w:val="0"/>
          <w:marBottom w:val="0"/>
          <w:divBdr>
            <w:top w:val="none" w:sz="0" w:space="0" w:color="auto"/>
            <w:left w:val="none" w:sz="0" w:space="0" w:color="auto"/>
            <w:bottom w:val="none" w:sz="0" w:space="0" w:color="auto"/>
            <w:right w:val="none" w:sz="0" w:space="0" w:color="auto"/>
          </w:divBdr>
          <w:divsChild>
            <w:div w:id="133761061">
              <w:marLeft w:val="0"/>
              <w:marRight w:val="0"/>
              <w:marTop w:val="0"/>
              <w:marBottom w:val="0"/>
              <w:divBdr>
                <w:top w:val="none" w:sz="0" w:space="0" w:color="auto"/>
                <w:left w:val="none" w:sz="0" w:space="0" w:color="auto"/>
                <w:bottom w:val="none" w:sz="0" w:space="0" w:color="auto"/>
                <w:right w:val="none" w:sz="0" w:space="0" w:color="auto"/>
              </w:divBdr>
              <w:divsChild>
                <w:div w:id="1453399279">
                  <w:marLeft w:val="0"/>
                  <w:marRight w:val="0"/>
                  <w:marTop w:val="0"/>
                  <w:marBottom w:val="0"/>
                  <w:divBdr>
                    <w:top w:val="none" w:sz="0" w:space="0" w:color="auto"/>
                    <w:left w:val="none" w:sz="0" w:space="0" w:color="auto"/>
                    <w:bottom w:val="none" w:sz="0" w:space="0" w:color="auto"/>
                    <w:right w:val="none" w:sz="0" w:space="0" w:color="auto"/>
                  </w:divBdr>
                  <w:divsChild>
                    <w:div w:id="1810245023">
                      <w:marLeft w:val="0"/>
                      <w:marRight w:val="0"/>
                      <w:marTop w:val="0"/>
                      <w:marBottom w:val="0"/>
                      <w:divBdr>
                        <w:top w:val="none" w:sz="0" w:space="0" w:color="auto"/>
                        <w:left w:val="none" w:sz="0" w:space="0" w:color="auto"/>
                        <w:bottom w:val="none" w:sz="0" w:space="0" w:color="auto"/>
                        <w:right w:val="none" w:sz="0" w:space="0" w:color="auto"/>
                      </w:divBdr>
                      <w:divsChild>
                        <w:div w:id="1699162424">
                          <w:marLeft w:val="0"/>
                          <w:marRight w:val="0"/>
                          <w:marTop w:val="0"/>
                          <w:marBottom w:val="0"/>
                          <w:divBdr>
                            <w:top w:val="none" w:sz="0" w:space="0" w:color="auto"/>
                            <w:left w:val="none" w:sz="0" w:space="0" w:color="auto"/>
                            <w:bottom w:val="none" w:sz="0" w:space="0" w:color="auto"/>
                            <w:right w:val="none" w:sz="0" w:space="0" w:color="auto"/>
                          </w:divBdr>
                          <w:divsChild>
                            <w:div w:id="769007434">
                              <w:marLeft w:val="0"/>
                              <w:marRight w:val="0"/>
                              <w:marTop w:val="0"/>
                              <w:marBottom w:val="0"/>
                              <w:divBdr>
                                <w:top w:val="none" w:sz="0" w:space="0" w:color="auto"/>
                                <w:left w:val="none" w:sz="0" w:space="0" w:color="auto"/>
                                <w:bottom w:val="none" w:sz="0" w:space="0" w:color="auto"/>
                                <w:right w:val="none" w:sz="0" w:space="0" w:color="auto"/>
                              </w:divBdr>
                              <w:divsChild>
                                <w:div w:id="845485862">
                                  <w:marLeft w:val="0"/>
                                  <w:marRight w:val="0"/>
                                  <w:marTop w:val="0"/>
                                  <w:marBottom w:val="0"/>
                                  <w:divBdr>
                                    <w:top w:val="none" w:sz="0" w:space="0" w:color="auto"/>
                                    <w:left w:val="none" w:sz="0" w:space="0" w:color="auto"/>
                                    <w:bottom w:val="none" w:sz="0" w:space="0" w:color="auto"/>
                                    <w:right w:val="none" w:sz="0" w:space="0" w:color="auto"/>
                                  </w:divBdr>
                                  <w:divsChild>
                                    <w:div w:id="1464495456">
                                      <w:marLeft w:val="60"/>
                                      <w:marRight w:val="0"/>
                                      <w:marTop w:val="0"/>
                                      <w:marBottom w:val="0"/>
                                      <w:divBdr>
                                        <w:top w:val="none" w:sz="0" w:space="0" w:color="auto"/>
                                        <w:left w:val="none" w:sz="0" w:space="0" w:color="auto"/>
                                        <w:bottom w:val="none" w:sz="0" w:space="0" w:color="auto"/>
                                        <w:right w:val="none" w:sz="0" w:space="0" w:color="auto"/>
                                      </w:divBdr>
                                      <w:divsChild>
                                        <w:div w:id="1714647464">
                                          <w:marLeft w:val="0"/>
                                          <w:marRight w:val="0"/>
                                          <w:marTop w:val="0"/>
                                          <w:marBottom w:val="0"/>
                                          <w:divBdr>
                                            <w:top w:val="none" w:sz="0" w:space="0" w:color="auto"/>
                                            <w:left w:val="none" w:sz="0" w:space="0" w:color="auto"/>
                                            <w:bottom w:val="none" w:sz="0" w:space="0" w:color="auto"/>
                                            <w:right w:val="none" w:sz="0" w:space="0" w:color="auto"/>
                                          </w:divBdr>
                                          <w:divsChild>
                                            <w:div w:id="100801777">
                                              <w:marLeft w:val="0"/>
                                              <w:marRight w:val="0"/>
                                              <w:marTop w:val="0"/>
                                              <w:marBottom w:val="120"/>
                                              <w:divBdr>
                                                <w:top w:val="single" w:sz="6" w:space="0" w:color="F5F5F5"/>
                                                <w:left w:val="single" w:sz="6" w:space="0" w:color="F5F5F5"/>
                                                <w:bottom w:val="single" w:sz="6" w:space="0" w:color="F5F5F5"/>
                                                <w:right w:val="single" w:sz="6" w:space="0" w:color="F5F5F5"/>
                                              </w:divBdr>
                                              <w:divsChild>
                                                <w:div w:id="1229146301">
                                                  <w:marLeft w:val="0"/>
                                                  <w:marRight w:val="0"/>
                                                  <w:marTop w:val="0"/>
                                                  <w:marBottom w:val="0"/>
                                                  <w:divBdr>
                                                    <w:top w:val="none" w:sz="0" w:space="0" w:color="auto"/>
                                                    <w:left w:val="none" w:sz="0" w:space="0" w:color="auto"/>
                                                    <w:bottom w:val="none" w:sz="0" w:space="0" w:color="auto"/>
                                                    <w:right w:val="none" w:sz="0" w:space="0" w:color="auto"/>
                                                  </w:divBdr>
                                                  <w:divsChild>
                                                    <w:div w:id="189053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54982594">
      <w:bodyDiv w:val="1"/>
      <w:marLeft w:val="0"/>
      <w:marRight w:val="0"/>
      <w:marTop w:val="0"/>
      <w:marBottom w:val="0"/>
      <w:divBdr>
        <w:top w:val="none" w:sz="0" w:space="0" w:color="auto"/>
        <w:left w:val="none" w:sz="0" w:space="0" w:color="auto"/>
        <w:bottom w:val="none" w:sz="0" w:space="0" w:color="auto"/>
        <w:right w:val="none" w:sz="0" w:space="0" w:color="auto"/>
      </w:divBdr>
    </w:div>
    <w:div w:id="455684571">
      <w:bodyDiv w:val="1"/>
      <w:marLeft w:val="0"/>
      <w:marRight w:val="0"/>
      <w:marTop w:val="0"/>
      <w:marBottom w:val="0"/>
      <w:divBdr>
        <w:top w:val="none" w:sz="0" w:space="0" w:color="auto"/>
        <w:left w:val="none" w:sz="0" w:space="0" w:color="auto"/>
        <w:bottom w:val="none" w:sz="0" w:space="0" w:color="auto"/>
        <w:right w:val="none" w:sz="0" w:space="0" w:color="auto"/>
      </w:divBdr>
    </w:div>
    <w:div w:id="473983958">
      <w:bodyDiv w:val="1"/>
      <w:marLeft w:val="0"/>
      <w:marRight w:val="0"/>
      <w:marTop w:val="0"/>
      <w:marBottom w:val="0"/>
      <w:divBdr>
        <w:top w:val="none" w:sz="0" w:space="0" w:color="auto"/>
        <w:left w:val="none" w:sz="0" w:space="0" w:color="auto"/>
        <w:bottom w:val="none" w:sz="0" w:space="0" w:color="auto"/>
        <w:right w:val="none" w:sz="0" w:space="0" w:color="auto"/>
      </w:divBdr>
    </w:div>
    <w:div w:id="480006276">
      <w:bodyDiv w:val="1"/>
      <w:marLeft w:val="0"/>
      <w:marRight w:val="0"/>
      <w:marTop w:val="0"/>
      <w:marBottom w:val="0"/>
      <w:divBdr>
        <w:top w:val="none" w:sz="0" w:space="0" w:color="auto"/>
        <w:left w:val="none" w:sz="0" w:space="0" w:color="auto"/>
        <w:bottom w:val="none" w:sz="0" w:space="0" w:color="auto"/>
        <w:right w:val="none" w:sz="0" w:space="0" w:color="auto"/>
      </w:divBdr>
    </w:div>
    <w:div w:id="486168520">
      <w:bodyDiv w:val="1"/>
      <w:marLeft w:val="0"/>
      <w:marRight w:val="0"/>
      <w:marTop w:val="0"/>
      <w:marBottom w:val="0"/>
      <w:divBdr>
        <w:top w:val="none" w:sz="0" w:space="0" w:color="auto"/>
        <w:left w:val="none" w:sz="0" w:space="0" w:color="auto"/>
        <w:bottom w:val="none" w:sz="0" w:space="0" w:color="auto"/>
        <w:right w:val="none" w:sz="0" w:space="0" w:color="auto"/>
      </w:divBdr>
    </w:div>
    <w:div w:id="516697968">
      <w:bodyDiv w:val="1"/>
      <w:marLeft w:val="0"/>
      <w:marRight w:val="0"/>
      <w:marTop w:val="0"/>
      <w:marBottom w:val="0"/>
      <w:divBdr>
        <w:top w:val="none" w:sz="0" w:space="0" w:color="auto"/>
        <w:left w:val="none" w:sz="0" w:space="0" w:color="auto"/>
        <w:bottom w:val="none" w:sz="0" w:space="0" w:color="auto"/>
        <w:right w:val="none" w:sz="0" w:space="0" w:color="auto"/>
      </w:divBdr>
    </w:div>
    <w:div w:id="519393776">
      <w:bodyDiv w:val="1"/>
      <w:marLeft w:val="0"/>
      <w:marRight w:val="0"/>
      <w:marTop w:val="0"/>
      <w:marBottom w:val="0"/>
      <w:divBdr>
        <w:top w:val="none" w:sz="0" w:space="0" w:color="auto"/>
        <w:left w:val="none" w:sz="0" w:space="0" w:color="auto"/>
        <w:bottom w:val="none" w:sz="0" w:space="0" w:color="auto"/>
        <w:right w:val="none" w:sz="0" w:space="0" w:color="auto"/>
      </w:divBdr>
    </w:div>
    <w:div w:id="529075613">
      <w:bodyDiv w:val="1"/>
      <w:marLeft w:val="0"/>
      <w:marRight w:val="0"/>
      <w:marTop w:val="0"/>
      <w:marBottom w:val="0"/>
      <w:divBdr>
        <w:top w:val="none" w:sz="0" w:space="0" w:color="auto"/>
        <w:left w:val="none" w:sz="0" w:space="0" w:color="auto"/>
        <w:bottom w:val="none" w:sz="0" w:space="0" w:color="auto"/>
        <w:right w:val="none" w:sz="0" w:space="0" w:color="auto"/>
      </w:divBdr>
    </w:div>
    <w:div w:id="539363923">
      <w:bodyDiv w:val="1"/>
      <w:marLeft w:val="0"/>
      <w:marRight w:val="0"/>
      <w:marTop w:val="0"/>
      <w:marBottom w:val="0"/>
      <w:divBdr>
        <w:top w:val="none" w:sz="0" w:space="0" w:color="auto"/>
        <w:left w:val="none" w:sz="0" w:space="0" w:color="auto"/>
        <w:bottom w:val="none" w:sz="0" w:space="0" w:color="auto"/>
        <w:right w:val="none" w:sz="0" w:space="0" w:color="auto"/>
      </w:divBdr>
    </w:div>
    <w:div w:id="541140650">
      <w:bodyDiv w:val="1"/>
      <w:marLeft w:val="0"/>
      <w:marRight w:val="0"/>
      <w:marTop w:val="0"/>
      <w:marBottom w:val="0"/>
      <w:divBdr>
        <w:top w:val="none" w:sz="0" w:space="0" w:color="auto"/>
        <w:left w:val="none" w:sz="0" w:space="0" w:color="auto"/>
        <w:bottom w:val="none" w:sz="0" w:space="0" w:color="auto"/>
        <w:right w:val="none" w:sz="0" w:space="0" w:color="auto"/>
      </w:divBdr>
    </w:div>
    <w:div w:id="578488509">
      <w:bodyDiv w:val="1"/>
      <w:marLeft w:val="0"/>
      <w:marRight w:val="0"/>
      <w:marTop w:val="0"/>
      <w:marBottom w:val="0"/>
      <w:divBdr>
        <w:top w:val="none" w:sz="0" w:space="0" w:color="auto"/>
        <w:left w:val="none" w:sz="0" w:space="0" w:color="auto"/>
        <w:bottom w:val="none" w:sz="0" w:space="0" w:color="auto"/>
        <w:right w:val="none" w:sz="0" w:space="0" w:color="auto"/>
      </w:divBdr>
    </w:div>
    <w:div w:id="594170031">
      <w:bodyDiv w:val="1"/>
      <w:marLeft w:val="0"/>
      <w:marRight w:val="0"/>
      <w:marTop w:val="0"/>
      <w:marBottom w:val="0"/>
      <w:divBdr>
        <w:top w:val="none" w:sz="0" w:space="0" w:color="auto"/>
        <w:left w:val="none" w:sz="0" w:space="0" w:color="auto"/>
        <w:bottom w:val="none" w:sz="0" w:space="0" w:color="auto"/>
        <w:right w:val="none" w:sz="0" w:space="0" w:color="auto"/>
      </w:divBdr>
    </w:div>
    <w:div w:id="599459294">
      <w:bodyDiv w:val="1"/>
      <w:marLeft w:val="0"/>
      <w:marRight w:val="0"/>
      <w:marTop w:val="0"/>
      <w:marBottom w:val="0"/>
      <w:divBdr>
        <w:top w:val="none" w:sz="0" w:space="0" w:color="auto"/>
        <w:left w:val="none" w:sz="0" w:space="0" w:color="auto"/>
        <w:bottom w:val="none" w:sz="0" w:space="0" w:color="auto"/>
        <w:right w:val="none" w:sz="0" w:space="0" w:color="auto"/>
      </w:divBdr>
    </w:div>
    <w:div w:id="622149554">
      <w:bodyDiv w:val="1"/>
      <w:marLeft w:val="0"/>
      <w:marRight w:val="0"/>
      <w:marTop w:val="0"/>
      <w:marBottom w:val="0"/>
      <w:divBdr>
        <w:top w:val="none" w:sz="0" w:space="0" w:color="auto"/>
        <w:left w:val="none" w:sz="0" w:space="0" w:color="auto"/>
        <w:bottom w:val="none" w:sz="0" w:space="0" w:color="auto"/>
        <w:right w:val="none" w:sz="0" w:space="0" w:color="auto"/>
      </w:divBdr>
    </w:div>
    <w:div w:id="634330901">
      <w:bodyDiv w:val="1"/>
      <w:marLeft w:val="0"/>
      <w:marRight w:val="0"/>
      <w:marTop w:val="0"/>
      <w:marBottom w:val="0"/>
      <w:divBdr>
        <w:top w:val="none" w:sz="0" w:space="0" w:color="auto"/>
        <w:left w:val="none" w:sz="0" w:space="0" w:color="auto"/>
        <w:bottom w:val="none" w:sz="0" w:space="0" w:color="auto"/>
        <w:right w:val="none" w:sz="0" w:space="0" w:color="auto"/>
      </w:divBdr>
    </w:div>
    <w:div w:id="643462707">
      <w:bodyDiv w:val="1"/>
      <w:marLeft w:val="0"/>
      <w:marRight w:val="0"/>
      <w:marTop w:val="0"/>
      <w:marBottom w:val="0"/>
      <w:divBdr>
        <w:top w:val="none" w:sz="0" w:space="0" w:color="auto"/>
        <w:left w:val="none" w:sz="0" w:space="0" w:color="auto"/>
        <w:bottom w:val="none" w:sz="0" w:space="0" w:color="auto"/>
        <w:right w:val="none" w:sz="0" w:space="0" w:color="auto"/>
      </w:divBdr>
    </w:div>
    <w:div w:id="646016616">
      <w:bodyDiv w:val="1"/>
      <w:marLeft w:val="0"/>
      <w:marRight w:val="0"/>
      <w:marTop w:val="0"/>
      <w:marBottom w:val="0"/>
      <w:divBdr>
        <w:top w:val="none" w:sz="0" w:space="0" w:color="auto"/>
        <w:left w:val="none" w:sz="0" w:space="0" w:color="auto"/>
        <w:bottom w:val="none" w:sz="0" w:space="0" w:color="auto"/>
        <w:right w:val="none" w:sz="0" w:space="0" w:color="auto"/>
      </w:divBdr>
    </w:div>
    <w:div w:id="654727849">
      <w:bodyDiv w:val="1"/>
      <w:marLeft w:val="0"/>
      <w:marRight w:val="0"/>
      <w:marTop w:val="0"/>
      <w:marBottom w:val="0"/>
      <w:divBdr>
        <w:top w:val="none" w:sz="0" w:space="0" w:color="auto"/>
        <w:left w:val="none" w:sz="0" w:space="0" w:color="auto"/>
        <w:bottom w:val="none" w:sz="0" w:space="0" w:color="auto"/>
        <w:right w:val="none" w:sz="0" w:space="0" w:color="auto"/>
      </w:divBdr>
    </w:div>
    <w:div w:id="666984174">
      <w:bodyDiv w:val="1"/>
      <w:marLeft w:val="0"/>
      <w:marRight w:val="0"/>
      <w:marTop w:val="0"/>
      <w:marBottom w:val="0"/>
      <w:divBdr>
        <w:top w:val="none" w:sz="0" w:space="0" w:color="auto"/>
        <w:left w:val="none" w:sz="0" w:space="0" w:color="auto"/>
        <w:bottom w:val="none" w:sz="0" w:space="0" w:color="auto"/>
        <w:right w:val="none" w:sz="0" w:space="0" w:color="auto"/>
      </w:divBdr>
    </w:div>
    <w:div w:id="678657447">
      <w:bodyDiv w:val="1"/>
      <w:marLeft w:val="0"/>
      <w:marRight w:val="0"/>
      <w:marTop w:val="0"/>
      <w:marBottom w:val="0"/>
      <w:divBdr>
        <w:top w:val="none" w:sz="0" w:space="0" w:color="auto"/>
        <w:left w:val="none" w:sz="0" w:space="0" w:color="auto"/>
        <w:bottom w:val="none" w:sz="0" w:space="0" w:color="auto"/>
        <w:right w:val="none" w:sz="0" w:space="0" w:color="auto"/>
      </w:divBdr>
    </w:div>
    <w:div w:id="699863776">
      <w:bodyDiv w:val="1"/>
      <w:marLeft w:val="0"/>
      <w:marRight w:val="0"/>
      <w:marTop w:val="0"/>
      <w:marBottom w:val="0"/>
      <w:divBdr>
        <w:top w:val="none" w:sz="0" w:space="0" w:color="auto"/>
        <w:left w:val="none" w:sz="0" w:space="0" w:color="auto"/>
        <w:bottom w:val="none" w:sz="0" w:space="0" w:color="auto"/>
        <w:right w:val="none" w:sz="0" w:space="0" w:color="auto"/>
      </w:divBdr>
    </w:div>
    <w:div w:id="727072130">
      <w:bodyDiv w:val="1"/>
      <w:marLeft w:val="0"/>
      <w:marRight w:val="0"/>
      <w:marTop w:val="0"/>
      <w:marBottom w:val="0"/>
      <w:divBdr>
        <w:top w:val="none" w:sz="0" w:space="0" w:color="auto"/>
        <w:left w:val="none" w:sz="0" w:space="0" w:color="auto"/>
        <w:bottom w:val="none" w:sz="0" w:space="0" w:color="auto"/>
        <w:right w:val="none" w:sz="0" w:space="0" w:color="auto"/>
      </w:divBdr>
      <w:divsChild>
        <w:div w:id="1925601314">
          <w:marLeft w:val="0"/>
          <w:marRight w:val="0"/>
          <w:marTop w:val="0"/>
          <w:marBottom w:val="0"/>
          <w:divBdr>
            <w:top w:val="none" w:sz="0" w:space="0" w:color="auto"/>
            <w:left w:val="none" w:sz="0" w:space="0" w:color="auto"/>
            <w:bottom w:val="none" w:sz="0" w:space="0" w:color="auto"/>
            <w:right w:val="none" w:sz="0" w:space="0" w:color="auto"/>
          </w:divBdr>
          <w:divsChild>
            <w:div w:id="112526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776149">
      <w:bodyDiv w:val="1"/>
      <w:marLeft w:val="0"/>
      <w:marRight w:val="0"/>
      <w:marTop w:val="0"/>
      <w:marBottom w:val="0"/>
      <w:divBdr>
        <w:top w:val="none" w:sz="0" w:space="0" w:color="auto"/>
        <w:left w:val="none" w:sz="0" w:space="0" w:color="auto"/>
        <w:bottom w:val="none" w:sz="0" w:space="0" w:color="auto"/>
        <w:right w:val="none" w:sz="0" w:space="0" w:color="auto"/>
      </w:divBdr>
    </w:div>
    <w:div w:id="736822703">
      <w:bodyDiv w:val="1"/>
      <w:marLeft w:val="0"/>
      <w:marRight w:val="0"/>
      <w:marTop w:val="0"/>
      <w:marBottom w:val="0"/>
      <w:divBdr>
        <w:top w:val="none" w:sz="0" w:space="0" w:color="auto"/>
        <w:left w:val="none" w:sz="0" w:space="0" w:color="auto"/>
        <w:bottom w:val="none" w:sz="0" w:space="0" w:color="auto"/>
        <w:right w:val="none" w:sz="0" w:space="0" w:color="auto"/>
      </w:divBdr>
    </w:div>
    <w:div w:id="747462240">
      <w:bodyDiv w:val="1"/>
      <w:marLeft w:val="0"/>
      <w:marRight w:val="0"/>
      <w:marTop w:val="0"/>
      <w:marBottom w:val="0"/>
      <w:divBdr>
        <w:top w:val="none" w:sz="0" w:space="0" w:color="auto"/>
        <w:left w:val="none" w:sz="0" w:space="0" w:color="auto"/>
        <w:bottom w:val="none" w:sz="0" w:space="0" w:color="auto"/>
        <w:right w:val="none" w:sz="0" w:space="0" w:color="auto"/>
      </w:divBdr>
    </w:div>
    <w:div w:id="761730756">
      <w:bodyDiv w:val="1"/>
      <w:marLeft w:val="0"/>
      <w:marRight w:val="0"/>
      <w:marTop w:val="0"/>
      <w:marBottom w:val="0"/>
      <w:divBdr>
        <w:top w:val="none" w:sz="0" w:space="0" w:color="auto"/>
        <w:left w:val="none" w:sz="0" w:space="0" w:color="auto"/>
        <w:bottom w:val="none" w:sz="0" w:space="0" w:color="auto"/>
        <w:right w:val="none" w:sz="0" w:space="0" w:color="auto"/>
      </w:divBdr>
    </w:div>
    <w:div w:id="764112240">
      <w:bodyDiv w:val="1"/>
      <w:marLeft w:val="0"/>
      <w:marRight w:val="0"/>
      <w:marTop w:val="0"/>
      <w:marBottom w:val="0"/>
      <w:divBdr>
        <w:top w:val="none" w:sz="0" w:space="0" w:color="auto"/>
        <w:left w:val="none" w:sz="0" w:space="0" w:color="auto"/>
        <w:bottom w:val="none" w:sz="0" w:space="0" w:color="auto"/>
        <w:right w:val="none" w:sz="0" w:space="0" w:color="auto"/>
      </w:divBdr>
    </w:div>
    <w:div w:id="778448921">
      <w:bodyDiv w:val="1"/>
      <w:marLeft w:val="0"/>
      <w:marRight w:val="0"/>
      <w:marTop w:val="0"/>
      <w:marBottom w:val="0"/>
      <w:divBdr>
        <w:top w:val="none" w:sz="0" w:space="0" w:color="auto"/>
        <w:left w:val="none" w:sz="0" w:space="0" w:color="auto"/>
        <w:bottom w:val="none" w:sz="0" w:space="0" w:color="auto"/>
        <w:right w:val="none" w:sz="0" w:space="0" w:color="auto"/>
      </w:divBdr>
    </w:div>
    <w:div w:id="782381375">
      <w:bodyDiv w:val="1"/>
      <w:marLeft w:val="0"/>
      <w:marRight w:val="0"/>
      <w:marTop w:val="0"/>
      <w:marBottom w:val="0"/>
      <w:divBdr>
        <w:top w:val="none" w:sz="0" w:space="0" w:color="auto"/>
        <w:left w:val="none" w:sz="0" w:space="0" w:color="auto"/>
        <w:bottom w:val="none" w:sz="0" w:space="0" w:color="auto"/>
        <w:right w:val="none" w:sz="0" w:space="0" w:color="auto"/>
      </w:divBdr>
    </w:div>
    <w:div w:id="790128453">
      <w:bodyDiv w:val="1"/>
      <w:marLeft w:val="0"/>
      <w:marRight w:val="0"/>
      <w:marTop w:val="0"/>
      <w:marBottom w:val="0"/>
      <w:divBdr>
        <w:top w:val="none" w:sz="0" w:space="0" w:color="auto"/>
        <w:left w:val="none" w:sz="0" w:space="0" w:color="auto"/>
        <w:bottom w:val="none" w:sz="0" w:space="0" w:color="auto"/>
        <w:right w:val="none" w:sz="0" w:space="0" w:color="auto"/>
      </w:divBdr>
    </w:div>
    <w:div w:id="790900426">
      <w:bodyDiv w:val="1"/>
      <w:marLeft w:val="0"/>
      <w:marRight w:val="0"/>
      <w:marTop w:val="0"/>
      <w:marBottom w:val="0"/>
      <w:divBdr>
        <w:top w:val="none" w:sz="0" w:space="0" w:color="auto"/>
        <w:left w:val="none" w:sz="0" w:space="0" w:color="auto"/>
        <w:bottom w:val="none" w:sz="0" w:space="0" w:color="auto"/>
        <w:right w:val="none" w:sz="0" w:space="0" w:color="auto"/>
      </w:divBdr>
    </w:div>
    <w:div w:id="794713700">
      <w:bodyDiv w:val="1"/>
      <w:marLeft w:val="0"/>
      <w:marRight w:val="0"/>
      <w:marTop w:val="0"/>
      <w:marBottom w:val="0"/>
      <w:divBdr>
        <w:top w:val="none" w:sz="0" w:space="0" w:color="auto"/>
        <w:left w:val="none" w:sz="0" w:space="0" w:color="auto"/>
        <w:bottom w:val="none" w:sz="0" w:space="0" w:color="auto"/>
        <w:right w:val="none" w:sz="0" w:space="0" w:color="auto"/>
      </w:divBdr>
    </w:div>
    <w:div w:id="798186867">
      <w:bodyDiv w:val="1"/>
      <w:marLeft w:val="0"/>
      <w:marRight w:val="0"/>
      <w:marTop w:val="0"/>
      <w:marBottom w:val="0"/>
      <w:divBdr>
        <w:top w:val="none" w:sz="0" w:space="0" w:color="auto"/>
        <w:left w:val="none" w:sz="0" w:space="0" w:color="auto"/>
        <w:bottom w:val="none" w:sz="0" w:space="0" w:color="auto"/>
        <w:right w:val="none" w:sz="0" w:space="0" w:color="auto"/>
      </w:divBdr>
    </w:div>
    <w:div w:id="818768878">
      <w:bodyDiv w:val="1"/>
      <w:marLeft w:val="0"/>
      <w:marRight w:val="0"/>
      <w:marTop w:val="0"/>
      <w:marBottom w:val="0"/>
      <w:divBdr>
        <w:top w:val="none" w:sz="0" w:space="0" w:color="auto"/>
        <w:left w:val="none" w:sz="0" w:space="0" w:color="auto"/>
        <w:bottom w:val="none" w:sz="0" w:space="0" w:color="auto"/>
        <w:right w:val="none" w:sz="0" w:space="0" w:color="auto"/>
      </w:divBdr>
    </w:div>
    <w:div w:id="829910396">
      <w:bodyDiv w:val="1"/>
      <w:marLeft w:val="0"/>
      <w:marRight w:val="0"/>
      <w:marTop w:val="0"/>
      <w:marBottom w:val="0"/>
      <w:divBdr>
        <w:top w:val="none" w:sz="0" w:space="0" w:color="auto"/>
        <w:left w:val="none" w:sz="0" w:space="0" w:color="auto"/>
        <w:bottom w:val="none" w:sz="0" w:space="0" w:color="auto"/>
        <w:right w:val="none" w:sz="0" w:space="0" w:color="auto"/>
      </w:divBdr>
    </w:div>
    <w:div w:id="847410615">
      <w:bodyDiv w:val="1"/>
      <w:marLeft w:val="0"/>
      <w:marRight w:val="0"/>
      <w:marTop w:val="0"/>
      <w:marBottom w:val="0"/>
      <w:divBdr>
        <w:top w:val="none" w:sz="0" w:space="0" w:color="auto"/>
        <w:left w:val="none" w:sz="0" w:space="0" w:color="auto"/>
        <w:bottom w:val="none" w:sz="0" w:space="0" w:color="auto"/>
        <w:right w:val="none" w:sz="0" w:space="0" w:color="auto"/>
      </w:divBdr>
    </w:div>
    <w:div w:id="867255838">
      <w:bodyDiv w:val="1"/>
      <w:marLeft w:val="0"/>
      <w:marRight w:val="0"/>
      <w:marTop w:val="0"/>
      <w:marBottom w:val="0"/>
      <w:divBdr>
        <w:top w:val="none" w:sz="0" w:space="0" w:color="auto"/>
        <w:left w:val="none" w:sz="0" w:space="0" w:color="auto"/>
        <w:bottom w:val="none" w:sz="0" w:space="0" w:color="auto"/>
        <w:right w:val="none" w:sz="0" w:space="0" w:color="auto"/>
      </w:divBdr>
    </w:div>
    <w:div w:id="884605137">
      <w:bodyDiv w:val="1"/>
      <w:marLeft w:val="0"/>
      <w:marRight w:val="0"/>
      <w:marTop w:val="0"/>
      <w:marBottom w:val="0"/>
      <w:divBdr>
        <w:top w:val="none" w:sz="0" w:space="0" w:color="auto"/>
        <w:left w:val="none" w:sz="0" w:space="0" w:color="auto"/>
        <w:bottom w:val="none" w:sz="0" w:space="0" w:color="auto"/>
        <w:right w:val="none" w:sz="0" w:space="0" w:color="auto"/>
      </w:divBdr>
      <w:divsChild>
        <w:div w:id="923413562">
          <w:marLeft w:val="3"/>
          <w:marRight w:val="3"/>
          <w:marTop w:val="0"/>
          <w:marBottom w:val="0"/>
          <w:divBdr>
            <w:top w:val="single" w:sz="4" w:space="0" w:color="112449"/>
            <w:left w:val="single" w:sz="4" w:space="0" w:color="112449"/>
            <w:bottom w:val="single" w:sz="4" w:space="0" w:color="112449"/>
            <w:right w:val="single" w:sz="4" w:space="0" w:color="112449"/>
          </w:divBdr>
        </w:div>
      </w:divsChild>
    </w:div>
    <w:div w:id="892273790">
      <w:bodyDiv w:val="1"/>
      <w:marLeft w:val="0"/>
      <w:marRight w:val="0"/>
      <w:marTop w:val="0"/>
      <w:marBottom w:val="0"/>
      <w:divBdr>
        <w:top w:val="none" w:sz="0" w:space="0" w:color="auto"/>
        <w:left w:val="none" w:sz="0" w:space="0" w:color="auto"/>
        <w:bottom w:val="none" w:sz="0" w:space="0" w:color="auto"/>
        <w:right w:val="none" w:sz="0" w:space="0" w:color="auto"/>
      </w:divBdr>
    </w:div>
    <w:div w:id="898326991">
      <w:bodyDiv w:val="1"/>
      <w:marLeft w:val="0"/>
      <w:marRight w:val="0"/>
      <w:marTop w:val="0"/>
      <w:marBottom w:val="0"/>
      <w:divBdr>
        <w:top w:val="none" w:sz="0" w:space="0" w:color="auto"/>
        <w:left w:val="none" w:sz="0" w:space="0" w:color="auto"/>
        <w:bottom w:val="none" w:sz="0" w:space="0" w:color="auto"/>
        <w:right w:val="none" w:sz="0" w:space="0" w:color="auto"/>
      </w:divBdr>
      <w:divsChild>
        <w:div w:id="551035742">
          <w:marLeft w:val="0"/>
          <w:marRight w:val="0"/>
          <w:marTop w:val="0"/>
          <w:marBottom w:val="0"/>
          <w:divBdr>
            <w:top w:val="none" w:sz="0" w:space="0" w:color="auto"/>
            <w:left w:val="none" w:sz="0" w:space="0" w:color="auto"/>
            <w:bottom w:val="none" w:sz="0" w:space="0" w:color="auto"/>
            <w:right w:val="none" w:sz="0" w:space="0" w:color="auto"/>
          </w:divBdr>
        </w:div>
        <w:div w:id="1450124228">
          <w:marLeft w:val="0"/>
          <w:marRight w:val="0"/>
          <w:marTop w:val="0"/>
          <w:marBottom w:val="0"/>
          <w:divBdr>
            <w:top w:val="none" w:sz="0" w:space="0" w:color="auto"/>
            <w:left w:val="none" w:sz="0" w:space="0" w:color="auto"/>
            <w:bottom w:val="none" w:sz="0" w:space="0" w:color="auto"/>
            <w:right w:val="none" w:sz="0" w:space="0" w:color="auto"/>
          </w:divBdr>
        </w:div>
        <w:div w:id="583302752">
          <w:marLeft w:val="0"/>
          <w:marRight w:val="0"/>
          <w:marTop w:val="0"/>
          <w:marBottom w:val="0"/>
          <w:divBdr>
            <w:top w:val="none" w:sz="0" w:space="0" w:color="auto"/>
            <w:left w:val="none" w:sz="0" w:space="0" w:color="auto"/>
            <w:bottom w:val="none" w:sz="0" w:space="0" w:color="auto"/>
            <w:right w:val="none" w:sz="0" w:space="0" w:color="auto"/>
          </w:divBdr>
        </w:div>
        <w:div w:id="1258251291">
          <w:marLeft w:val="0"/>
          <w:marRight w:val="0"/>
          <w:marTop w:val="0"/>
          <w:marBottom w:val="0"/>
          <w:divBdr>
            <w:top w:val="none" w:sz="0" w:space="0" w:color="auto"/>
            <w:left w:val="none" w:sz="0" w:space="0" w:color="auto"/>
            <w:bottom w:val="none" w:sz="0" w:space="0" w:color="auto"/>
            <w:right w:val="none" w:sz="0" w:space="0" w:color="auto"/>
          </w:divBdr>
        </w:div>
        <w:div w:id="1986079892">
          <w:marLeft w:val="0"/>
          <w:marRight w:val="0"/>
          <w:marTop w:val="0"/>
          <w:marBottom w:val="0"/>
          <w:divBdr>
            <w:top w:val="none" w:sz="0" w:space="0" w:color="auto"/>
            <w:left w:val="none" w:sz="0" w:space="0" w:color="auto"/>
            <w:bottom w:val="none" w:sz="0" w:space="0" w:color="auto"/>
            <w:right w:val="none" w:sz="0" w:space="0" w:color="auto"/>
          </w:divBdr>
        </w:div>
        <w:div w:id="1187905731">
          <w:marLeft w:val="0"/>
          <w:marRight w:val="0"/>
          <w:marTop w:val="0"/>
          <w:marBottom w:val="0"/>
          <w:divBdr>
            <w:top w:val="none" w:sz="0" w:space="0" w:color="auto"/>
            <w:left w:val="none" w:sz="0" w:space="0" w:color="auto"/>
            <w:bottom w:val="none" w:sz="0" w:space="0" w:color="auto"/>
            <w:right w:val="none" w:sz="0" w:space="0" w:color="auto"/>
          </w:divBdr>
        </w:div>
        <w:div w:id="900405091">
          <w:marLeft w:val="0"/>
          <w:marRight w:val="0"/>
          <w:marTop w:val="0"/>
          <w:marBottom w:val="0"/>
          <w:divBdr>
            <w:top w:val="none" w:sz="0" w:space="0" w:color="auto"/>
            <w:left w:val="none" w:sz="0" w:space="0" w:color="auto"/>
            <w:bottom w:val="none" w:sz="0" w:space="0" w:color="auto"/>
            <w:right w:val="none" w:sz="0" w:space="0" w:color="auto"/>
          </w:divBdr>
        </w:div>
      </w:divsChild>
    </w:div>
    <w:div w:id="1004820120">
      <w:bodyDiv w:val="1"/>
      <w:marLeft w:val="0"/>
      <w:marRight w:val="0"/>
      <w:marTop w:val="0"/>
      <w:marBottom w:val="0"/>
      <w:divBdr>
        <w:top w:val="none" w:sz="0" w:space="0" w:color="auto"/>
        <w:left w:val="none" w:sz="0" w:space="0" w:color="auto"/>
        <w:bottom w:val="none" w:sz="0" w:space="0" w:color="auto"/>
        <w:right w:val="none" w:sz="0" w:space="0" w:color="auto"/>
      </w:divBdr>
    </w:div>
    <w:div w:id="1012684670">
      <w:bodyDiv w:val="1"/>
      <w:marLeft w:val="0"/>
      <w:marRight w:val="0"/>
      <w:marTop w:val="0"/>
      <w:marBottom w:val="0"/>
      <w:divBdr>
        <w:top w:val="none" w:sz="0" w:space="0" w:color="auto"/>
        <w:left w:val="none" w:sz="0" w:space="0" w:color="auto"/>
        <w:bottom w:val="none" w:sz="0" w:space="0" w:color="auto"/>
        <w:right w:val="none" w:sz="0" w:space="0" w:color="auto"/>
      </w:divBdr>
    </w:div>
    <w:div w:id="1033114941">
      <w:bodyDiv w:val="1"/>
      <w:marLeft w:val="0"/>
      <w:marRight w:val="0"/>
      <w:marTop w:val="0"/>
      <w:marBottom w:val="0"/>
      <w:divBdr>
        <w:top w:val="none" w:sz="0" w:space="0" w:color="auto"/>
        <w:left w:val="none" w:sz="0" w:space="0" w:color="auto"/>
        <w:bottom w:val="none" w:sz="0" w:space="0" w:color="auto"/>
        <w:right w:val="none" w:sz="0" w:space="0" w:color="auto"/>
      </w:divBdr>
      <w:divsChild>
        <w:div w:id="342247541">
          <w:marLeft w:val="0"/>
          <w:marRight w:val="0"/>
          <w:marTop w:val="0"/>
          <w:marBottom w:val="0"/>
          <w:divBdr>
            <w:top w:val="none" w:sz="0" w:space="0" w:color="auto"/>
            <w:left w:val="none" w:sz="0" w:space="0" w:color="auto"/>
            <w:bottom w:val="none" w:sz="0" w:space="0" w:color="auto"/>
            <w:right w:val="none" w:sz="0" w:space="0" w:color="auto"/>
          </w:divBdr>
          <w:divsChild>
            <w:div w:id="2072924830">
              <w:marLeft w:val="0"/>
              <w:marRight w:val="0"/>
              <w:marTop w:val="0"/>
              <w:marBottom w:val="0"/>
              <w:divBdr>
                <w:top w:val="none" w:sz="0" w:space="0" w:color="auto"/>
                <w:left w:val="none" w:sz="0" w:space="0" w:color="auto"/>
                <w:bottom w:val="none" w:sz="0" w:space="0" w:color="auto"/>
                <w:right w:val="none" w:sz="0" w:space="0" w:color="auto"/>
              </w:divBdr>
              <w:divsChild>
                <w:div w:id="1135219570">
                  <w:marLeft w:val="0"/>
                  <w:marRight w:val="0"/>
                  <w:marTop w:val="0"/>
                  <w:marBottom w:val="0"/>
                  <w:divBdr>
                    <w:top w:val="none" w:sz="0" w:space="0" w:color="auto"/>
                    <w:left w:val="none" w:sz="0" w:space="0" w:color="auto"/>
                    <w:bottom w:val="none" w:sz="0" w:space="0" w:color="auto"/>
                    <w:right w:val="none" w:sz="0" w:space="0" w:color="auto"/>
                  </w:divBdr>
                  <w:divsChild>
                    <w:div w:id="1768189955">
                      <w:marLeft w:val="0"/>
                      <w:marRight w:val="0"/>
                      <w:marTop w:val="0"/>
                      <w:marBottom w:val="0"/>
                      <w:divBdr>
                        <w:top w:val="none" w:sz="0" w:space="0" w:color="auto"/>
                        <w:left w:val="none" w:sz="0" w:space="0" w:color="auto"/>
                        <w:bottom w:val="none" w:sz="0" w:space="0" w:color="auto"/>
                        <w:right w:val="none" w:sz="0" w:space="0" w:color="auto"/>
                      </w:divBdr>
                      <w:divsChild>
                        <w:div w:id="77992153">
                          <w:marLeft w:val="0"/>
                          <w:marRight w:val="0"/>
                          <w:marTop w:val="0"/>
                          <w:marBottom w:val="0"/>
                          <w:divBdr>
                            <w:top w:val="none" w:sz="0" w:space="0" w:color="auto"/>
                            <w:left w:val="none" w:sz="0" w:space="0" w:color="auto"/>
                            <w:bottom w:val="none" w:sz="0" w:space="0" w:color="auto"/>
                            <w:right w:val="none" w:sz="0" w:space="0" w:color="auto"/>
                          </w:divBdr>
                          <w:divsChild>
                            <w:div w:id="2003968576">
                              <w:marLeft w:val="0"/>
                              <w:marRight w:val="0"/>
                              <w:marTop w:val="0"/>
                              <w:marBottom w:val="0"/>
                              <w:divBdr>
                                <w:top w:val="none" w:sz="0" w:space="0" w:color="auto"/>
                                <w:left w:val="none" w:sz="0" w:space="0" w:color="auto"/>
                                <w:bottom w:val="none" w:sz="0" w:space="0" w:color="auto"/>
                                <w:right w:val="none" w:sz="0" w:space="0" w:color="auto"/>
                              </w:divBdr>
                              <w:divsChild>
                                <w:div w:id="1141073323">
                                  <w:marLeft w:val="0"/>
                                  <w:marRight w:val="0"/>
                                  <w:marTop w:val="0"/>
                                  <w:marBottom w:val="0"/>
                                  <w:divBdr>
                                    <w:top w:val="none" w:sz="0" w:space="0" w:color="auto"/>
                                    <w:left w:val="none" w:sz="0" w:space="0" w:color="auto"/>
                                    <w:bottom w:val="none" w:sz="0" w:space="0" w:color="auto"/>
                                    <w:right w:val="none" w:sz="0" w:space="0" w:color="auto"/>
                                  </w:divBdr>
                                  <w:divsChild>
                                    <w:div w:id="359013760">
                                      <w:marLeft w:val="60"/>
                                      <w:marRight w:val="0"/>
                                      <w:marTop w:val="0"/>
                                      <w:marBottom w:val="0"/>
                                      <w:divBdr>
                                        <w:top w:val="none" w:sz="0" w:space="0" w:color="auto"/>
                                        <w:left w:val="none" w:sz="0" w:space="0" w:color="auto"/>
                                        <w:bottom w:val="none" w:sz="0" w:space="0" w:color="auto"/>
                                        <w:right w:val="none" w:sz="0" w:space="0" w:color="auto"/>
                                      </w:divBdr>
                                      <w:divsChild>
                                        <w:div w:id="1746147477">
                                          <w:marLeft w:val="0"/>
                                          <w:marRight w:val="0"/>
                                          <w:marTop w:val="0"/>
                                          <w:marBottom w:val="0"/>
                                          <w:divBdr>
                                            <w:top w:val="none" w:sz="0" w:space="0" w:color="auto"/>
                                            <w:left w:val="none" w:sz="0" w:space="0" w:color="auto"/>
                                            <w:bottom w:val="none" w:sz="0" w:space="0" w:color="auto"/>
                                            <w:right w:val="none" w:sz="0" w:space="0" w:color="auto"/>
                                          </w:divBdr>
                                          <w:divsChild>
                                            <w:div w:id="1692220950">
                                              <w:marLeft w:val="0"/>
                                              <w:marRight w:val="0"/>
                                              <w:marTop w:val="0"/>
                                              <w:marBottom w:val="120"/>
                                              <w:divBdr>
                                                <w:top w:val="single" w:sz="6" w:space="0" w:color="F5F5F5"/>
                                                <w:left w:val="single" w:sz="6" w:space="0" w:color="F5F5F5"/>
                                                <w:bottom w:val="single" w:sz="6" w:space="0" w:color="F5F5F5"/>
                                                <w:right w:val="single" w:sz="6" w:space="0" w:color="F5F5F5"/>
                                              </w:divBdr>
                                              <w:divsChild>
                                                <w:div w:id="849026239">
                                                  <w:marLeft w:val="0"/>
                                                  <w:marRight w:val="0"/>
                                                  <w:marTop w:val="0"/>
                                                  <w:marBottom w:val="0"/>
                                                  <w:divBdr>
                                                    <w:top w:val="none" w:sz="0" w:space="0" w:color="auto"/>
                                                    <w:left w:val="none" w:sz="0" w:space="0" w:color="auto"/>
                                                    <w:bottom w:val="none" w:sz="0" w:space="0" w:color="auto"/>
                                                    <w:right w:val="none" w:sz="0" w:space="0" w:color="auto"/>
                                                  </w:divBdr>
                                                  <w:divsChild>
                                                    <w:div w:id="98169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8623328">
      <w:bodyDiv w:val="1"/>
      <w:marLeft w:val="0"/>
      <w:marRight w:val="0"/>
      <w:marTop w:val="0"/>
      <w:marBottom w:val="0"/>
      <w:divBdr>
        <w:top w:val="none" w:sz="0" w:space="0" w:color="auto"/>
        <w:left w:val="none" w:sz="0" w:space="0" w:color="auto"/>
        <w:bottom w:val="none" w:sz="0" w:space="0" w:color="auto"/>
        <w:right w:val="none" w:sz="0" w:space="0" w:color="auto"/>
      </w:divBdr>
    </w:div>
    <w:div w:id="1044982366">
      <w:bodyDiv w:val="1"/>
      <w:marLeft w:val="0"/>
      <w:marRight w:val="0"/>
      <w:marTop w:val="0"/>
      <w:marBottom w:val="0"/>
      <w:divBdr>
        <w:top w:val="none" w:sz="0" w:space="0" w:color="auto"/>
        <w:left w:val="none" w:sz="0" w:space="0" w:color="auto"/>
        <w:bottom w:val="none" w:sz="0" w:space="0" w:color="auto"/>
        <w:right w:val="none" w:sz="0" w:space="0" w:color="auto"/>
      </w:divBdr>
      <w:divsChild>
        <w:div w:id="178856610">
          <w:marLeft w:val="0"/>
          <w:marRight w:val="0"/>
          <w:marTop w:val="0"/>
          <w:marBottom w:val="0"/>
          <w:divBdr>
            <w:top w:val="none" w:sz="0" w:space="0" w:color="auto"/>
            <w:left w:val="none" w:sz="0" w:space="0" w:color="auto"/>
            <w:bottom w:val="none" w:sz="0" w:space="0" w:color="auto"/>
            <w:right w:val="none" w:sz="0" w:space="0" w:color="auto"/>
          </w:divBdr>
          <w:divsChild>
            <w:div w:id="1902325503">
              <w:marLeft w:val="0"/>
              <w:marRight w:val="0"/>
              <w:marTop w:val="0"/>
              <w:marBottom w:val="0"/>
              <w:divBdr>
                <w:top w:val="none" w:sz="0" w:space="0" w:color="auto"/>
                <w:left w:val="none" w:sz="0" w:space="0" w:color="auto"/>
                <w:bottom w:val="none" w:sz="0" w:space="0" w:color="auto"/>
                <w:right w:val="none" w:sz="0" w:space="0" w:color="auto"/>
              </w:divBdr>
              <w:divsChild>
                <w:div w:id="1046414856">
                  <w:marLeft w:val="0"/>
                  <w:marRight w:val="0"/>
                  <w:marTop w:val="0"/>
                  <w:marBottom w:val="0"/>
                  <w:divBdr>
                    <w:top w:val="none" w:sz="0" w:space="0" w:color="auto"/>
                    <w:left w:val="none" w:sz="0" w:space="0" w:color="auto"/>
                    <w:bottom w:val="none" w:sz="0" w:space="0" w:color="auto"/>
                    <w:right w:val="none" w:sz="0" w:space="0" w:color="auto"/>
                  </w:divBdr>
                  <w:divsChild>
                    <w:div w:id="767769405">
                      <w:marLeft w:val="0"/>
                      <w:marRight w:val="0"/>
                      <w:marTop w:val="0"/>
                      <w:marBottom w:val="0"/>
                      <w:divBdr>
                        <w:top w:val="none" w:sz="0" w:space="0" w:color="auto"/>
                        <w:left w:val="none" w:sz="0" w:space="0" w:color="auto"/>
                        <w:bottom w:val="none" w:sz="0" w:space="0" w:color="auto"/>
                        <w:right w:val="none" w:sz="0" w:space="0" w:color="auto"/>
                      </w:divBdr>
                      <w:divsChild>
                        <w:div w:id="899679784">
                          <w:marLeft w:val="0"/>
                          <w:marRight w:val="0"/>
                          <w:marTop w:val="0"/>
                          <w:marBottom w:val="0"/>
                          <w:divBdr>
                            <w:top w:val="none" w:sz="0" w:space="0" w:color="auto"/>
                            <w:left w:val="none" w:sz="0" w:space="0" w:color="auto"/>
                            <w:bottom w:val="none" w:sz="0" w:space="0" w:color="auto"/>
                            <w:right w:val="none" w:sz="0" w:space="0" w:color="auto"/>
                          </w:divBdr>
                          <w:divsChild>
                            <w:div w:id="1654292263">
                              <w:marLeft w:val="0"/>
                              <w:marRight w:val="0"/>
                              <w:marTop w:val="0"/>
                              <w:marBottom w:val="0"/>
                              <w:divBdr>
                                <w:top w:val="none" w:sz="0" w:space="0" w:color="auto"/>
                                <w:left w:val="none" w:sz="0" w:space="0" w:color="auto"/>
                                <w:bottom w:val="none" w:sz="0" w:space="0" w:color="auto"/>
                                <w:right w:val="none" w:sz="0" w:space="0" w:color="auto"/>
                              </w:divBdr>
                              <w:divsChild>
                                <w:div w:id="1273825033">
                                  <w:marLeft w:val="0"/>
                                  <w:marRight w:val="0"/>
                                  <w:marTop w:val="0"/>
                                  <w:marBottom w:val="0"/>
                                  <w:divBdr>
                                    <w:top w:val="none" w:sz="0" w:space="0" w:color="auto"/>
                                    <w:left w:val="none" w:sz="0" w:space="0" w:color="auto"/>
                                    <w:bottom w:val="none" w:sz="0" w:space="0" w:color="auto"/>
                                    <w:right w:val="none" w:sz="0" w:space="0" w:color="auto"/>
                                  </w:divBdr>
                                  <w:divsChild>
                                    <w:div w:id="497573543">
                                      <w:marLeft w:val="60"/>
                                      <w:marRight w:val="0"/>
                                      <w:marTop w:val="0"/>
                                      <w:marBottom w:val="0"/>
                                      <w:divBdr>
                                        <w:top w:val="none" w:sz="0" w:space="0" w:color="auto"/>
                                        <w:left w:val="none" w:sz="0" w:space="0" w:color="auto"/>
                                        <w:bottom w:val="none" w:sz="0" w:space="0" w:color="auto"/>
                                        <w:right w:val="none" w:sz="0" w:space="0" w:color="auto"/>
                                      </w:divBdr>
                                      <w:divsChild>
                                        <w:div w:id="132212877">
                                          <w:marLeft w:val="0"/>
                                          <w:marRight w:val="0"/>
                                          <w:marTop w:val="0"/>
                                          <w:marBottom w:val="0"/>
                                          <w:divBdr>
                                            <w:top w:val="none" w:sz="0" w:space="0" w:color="auto"/>
                                            <w:left w:val="none" w:sz="0" w:space="0" w:color="auto"/>
                                            <w:bottom w:val="none" w:sz="0" w:space="0" w:color="auto"/>
                                            <w:right w:val="none" w:sz="0" w:space="0" w:color="auto"/>
                                          </w:divBdr>
                                          <w:divsChild>
                                            <w:div w:id="456142951">
                                              <w:marLeft w:val="0"/>
                                              <w:marRight w:val="0"/>
                                              <w:marTop w:val="0"/>
                                              <w:marBottom w:val="120"/>
                                              <w:divBdr>
                                                <w:top w:val="single" w:sz="6" w:space="0" w:color="F5F5F5"/>
                                                <w:left w:val="single" w:sz="6" w:space="0" w:color="F5F5F5"/>
                                                <w:bottom w:val="single" w:sz="6" w:space="0" w:color="F5F5F5"/>
                                                <w:right w:val="single" w:sz="6" w:space="0" w:color="F5F5F5"/>
                                              </w:divBdr>
                                              <w:divsChild>
                                                <w:div w:id="1270626545">
                                                  <w:marLeft w:val="0"/>
                                                  <w:marRight w:val="0"/>
                                                  <w:marTop w:val="0"/>
                                                  <w:marBottom w:val="0"/>
                                                  <w:divBdr>
                                                    <w:top w:val="none" w:sz="0" w:space="0" w:color="auto"/>
                                                    <w:left w:val="none" w:sz="0" w:space="0" w:color="auto"/>
                                                    <w:bottom w:val="none" w:sz="0" w:space="0" w:color="auto"/>
                                                    <w:right w:val="none" w:sz="0" w:space="0" w:color="auto"/>
                                                  </w:divBdr>
                                                  <w:divsChild>
                                                    <w:div w:id="23031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72510803">
      <w:bodyDiv w:val="1"/>
      <w:marLeft w:val="0"/>
      <w:marRight w:val="0"/>
      <w:marTop w:val="0"/>
      <w:marBottom w:val="0"/>
      <w:divBdr>
        <w:top w:val="none" w:sz="0" w:space="0" w:color="auto"/>
        <w:left w:val="none" w:sz="0" w:space="0" w:color="auto"/>
        <w:bottom w:val="none" w:sz="0" w:space="0" w:color="auto"/>
        <w:right w:val="none" w:sz="0" w:space="0" w:color="auto"/>
      </w:divBdr>
    </w:div>
    <w:div w:id="1084303598">
      <w:bodyDiv w:val="1"/>
      <w:marLeft w:val="0"/>
      <w:marRight w:val="0"/>
      <w:marTop w:val="0"/>
      <w:marBottom w:val="0"/>
      <w:divBdr>
        <w:top w:val="none" w:sz="0" w:space="0" w:color="auto"/>
        <w:left w:val="none" w:sz="0" w:space="0" w:color="auto"/>
        <w:bottom w:val="none" w:sz="0" w:space="0" w:color="auto"/>
        <w:right w:val="none" w:sz="0" w:space="0" w:color="auto"/>
      </w:divBdr>
    </w:div>
    <w:div w:id="1084565805">
      <w:bodyDiv w:val="1"/>
      <w:marLeft w:val="0"/>
      <w:marRight w:val="0"/>
      <w:marTop w:val="0"/>
      <w:marBottom w:val="0"/>
      <w:divBdr>
        <w:top w:val="none" w:sz="0" w:space="0" w:color="auto"/>
        <w:left w:val="none" w:sz="0" w:space="0" w:color="auto"/>
        <w:bottom w:val="none" w:sz="0" w:space="0" w:color="auto"/>
        <w:right w:val="none" w:sz="0" w:space="0" w:color="auto"/>
      </w:divBdr>
    </w:div>
    <w:div w:id="1085221795">
      <w:bodyDiv w:val="1"/>
      <w:marLeft w:val="0"/>
      <w:marRight w:val="0"/>
      <w:marTop w:val="0"/>
      <w:marBottom w:val="0"/>
      <w:divBdr>
        <w:top w:val="none" w:sz="0" w:space="0" w:color="auto"/>
        <w:left w:val="none" w:sz="0" w:space="0" w:color="auto"/>
        <w:bottom w:val="none" w:sz="0" w:space="0" w:color="auto"/>
        <w:right w:val="none" w:sz="0" w:space="0" w:color="auto"/>
      </w:divBdr>
    </w:div>
    <w:div w:id="1093089047">
      <w:bodyDiv w:val="1"/>
      <w:marLeft w:val="0"/>
      <w:marRight w:val="0"/>
      <w:marTop w:val="0"/>
      <w:marBottom w:val="0"/>
      <w:divBdr>
        <w:top w:val="none" w:sz="0" w:space="0" w:color="auto"/>
        <w:left w:val="none" w:sz="0" w:space="0" w:color="auto"/>
        <w:bottom w:val="none" w:sz="0" w:space="0" w:color="auto"/>
        <w:right w:val="none" w:sz="0" w:space="0" w:color="auto"/>
      </w:divBdr>
    </w:div>
    <w:div w:id="1098713691">
      <w:bodyDiv w:val="1"/>
      <w:marLeft w:val="0"/>
      <w:marRight w:val="0"/>
      <w:marTop w:val="0"/>
      <w:marBottom w:val="0"/>
      <w:divBdr>
        <w:top w:val="none" w:sz="0" w:space="0" w:color="auto"/>
        <w:left w:val="none" w:sz="0" w:space="0" w:color="auto"/>
        <w:bottom w:val="none" w:sz="0" w:space="0" w:color="auto"/>
        <w:right w:val="none" w:sz="0" w:space="0" w:color="auto"/>
      </w:divBdr>
    </w:div>
    <w:div w:id="1100954005">
      <w:bodyDiv w:val="1"/>
      <w:marLeft w:val="0"/>
      <w:marRight w:val="0"/>
      <w:marTop w:val="0"/>
      <w:marBottom w:val="0"/>
      <w:divBdr>
        <w:top w:val="none" w:sz="0" w:space="0" w:color="auto"/>
        <w:left w:val="none" w:sz="0" w:space="0" w:color="auto"/>
        <w:bottom w:val="none" w:sz="0" w:space="0" w:color="auto"/>
        <w:right w:val="none" w:sz="0" w:space="0" w:color="auto"/>
      </w:divBdr>
    </w:div>
    <w:div w:id="1110860930">
      <w:bodyDiv w:val="1"/>
      <w:marLeft w:val="0"/>
      <w:marRight w:val="0"/>
      <w:marTop w:val="0"/>
      <w:marBottom w:val="0"/>
      <w:divBdr>
        <w:top w:val="none" w:sz="0" w:space="0" w:color="auto"/>
        <w:left w:val="none" w:sz="0" w:space="0" w:color="auto"/>
        <w:bottom w:val="none" w:sz="0" w:space="0" w:color="auto"/>
        <w:right w:val="none" w:sz="0" w:space="0" w:color="auto"/>
      </w:divBdr>
    </w:div>
    <w:div w:id="1126657231">
      <w:bodyDiv w:val="1"/>
      <w:marLeft w:val="0"/>
      <w:marRight w:val="0"/>
      <w:marTop w:val="0"/>
      <w:marBottom w:val="0"/>
      <w:divBdr>
        <w:top w:val="none" w:sz="0" w:space="0" w:color="auto"/>
        <w:left w:val="none" w:sz="0" w:space="0" w:color="auto"/>
        <w:bottom w:val="none" w:sz="0" w:space="0" w:color="auto"/>
        <w:right w:val="none" w:sz="0" w:space="0" w:color="auto"/>
      </w:divBdr>
      <w:divsChild>
        <w:div w:id="2111730307">
          <w:marLeft w:val="0"/>
          <w:marRight w:val="0"/>
          <w:marTop w:val="0"/>
          <w:marBottom w:val="0"/>
          <w:divBdr>
            <w:top w:val="none" w:sz="0" w:space="0" w:color="auto"/>
            <w:left w:val="none" w:sz="0" w:space="0" w:color="auto"/>
            <w:bottom w:val="none" w:sz="0" w:space="0" w:color="auto"/>
            <w:right w:val="none" w:sz="0" w:space="0" w:color="auto"/>
          </w:divBdr>
          <w:divsChild>
            <w:div w:id="1856724014">
              <w:marLeft w:val="0"/>
              <w:marRight w:val="0"/>
              <w:marTop w:val="0"/>
              <w:marBottom w:val="0"/>
              <w:divBdr>
                <w:top w:val="none" w:sz="0" w:space="0" w:color="auto"/>
                <w:left w:val="none" w:sz="0" w:space="0" w:color="auto"/>
                <w:bottom w:val="none" w:sz="0" w:space="0" w:color="auto"/>
                <w:right w:val="none" w:sz="0" w:space="0" w:color="auto"/>
              </w:divBdr>
              <w:divsChild>
                <w:div w:id="1088649698">
                  <w:marLeft w:val="0"/>
                  <w:marRight w:val="0"/>
                  <w:marTop w:val="0"/>
                  <w:marBottom w:val="0"/>
                  <w:divBdr>
                    <w:top w:val="none" w:sz="0" w:space="0" w:color="auto"/>
                    <w:left w:val="none" w:sz="0" w:space="0" w:color="auto"/>
                    <w:bottom w:val="none" w:sz="0" w:space="0" w:color="auto"/>
                    <w:right w:val="none" w:sz="0" w:space="0" w:color="auto"/>
                  </w:divBdr>
                  <w:divsChild>
                    <w:div w:id="233322982">
                      <w:marLeft w:val="0"/>
                      <w:marRight w:val="0"/>
                      <w:marTop w:val="0"/>
                      <w:marBottom w:val="0"/>
                      <w:divBdr>
                        <w:top w:val="none" w:sz="0" w:space="0" w:color="auto"/>
                        <w:left w:val="none" w:sz="0" w:space="0" w:color="auto"/>
                        <w:bottom w:val="none" w:sz="0" w:space="0" w:color="auto"/>
                        <w:right w:val="none" w:sz="0" w:space="0" w:color="auto"/>
                      </w:divBdr>
                      <w:divsChild>
                        <w:div w:id="1325358420">
                          <w:marLeft w:val="0"/>
                          <w:marRight w:val="0"/>
                          <w:marTop w:val="0"/>
                          <w:marBottom w:val="0"/>
                          <w:divBdr>
                            <w:top w:val="none" w:sz="0" w:space="0" w:color="auto"/>
                            <w:left w:val="none" w:sz="0" w:space="0" w:color="auto"/>
                            <w:bottom w:val="none" w:sz="0" w:space="0" w:color="auto"/>
                            <w:right w:val="none" w:sz="0" w:space="0" w:color="auto"/>
                          </w:divBdr>
                          <w:divsChild>
                            <w:div w:id="1031225227">
                              <w:marLeft w:val="0"/>
                              <w:marRight w:val="0"/>
                              <w:marTop w:val="0"/>
                              <w:marBottom w:val="0"/>
                              <w:divBdr>
                                <w:top w:val="none" w:sz="0" w:space="0" w:color="auto"/>
                                <w:left w:val="none" w:sz="0" w:space="0" w:color="auto"/>
                                <w:bottom w:val="none" w:sz="0" w:space="0" w:color="auto"/>
                                <w:right w:val="none" w:sz="0" w:space="0" w:color="auto"/>
                              </w:divBdr>
                              <w:divsChild>
                                <w:div w:id="177932951">
                                  <w:marLeft w:val="0"/>
                                  <w:marRight w:val="0"/>
                                  <w:marTop w:val="0"/>
                                  <w:marBottom w:val="0"/>
                                  <w:divBdr>
                                    <w:top w:val="none" w:sz="0" w:space="0" w:color="auto"/>
                                    <w:left w:val="none" w:sz="0" w:space="0" w:color="auto"/>
                                    <w:bottom w:val="none" w:sz="0" w:space="0" w:color="auto"/>
                                    <w:right w:val="none" w:sz="0" w:space="0" w:color="auto"/>
                                  </w:divBdr>
                                  <w:divsChild>
                                    <w:div w:id="1992784571">
                                      <w:marLeft w:val="54"/>
                                      <w:marRight w:val="0"/>
                                      <w:marTop w:val="0"/>
                                      <w:marBottom w:val="0"/>
                                      <w:divBdr>
                                        <w:top w:val="none" w:sz="0" w:space="0" w:color="auto"/>
                                        <w:left w:val="none" w:sz="0" w:space="0" w:color="auto"/>
                                        <w:bottom w:val="none" w:sz="0" w:space="0" w:color="auto"/>
                                        <w:right w:val="none" w:sz="0" w:space="0" w:color="auto"/>
                                      </w:divBdr>
                                      <w:divsChild>
                                        <w:div w:id="827868108">
                                          <w:marLeft w:val="0"/>
                                          <w:marRight w:val="0"/>
                                          <w:marTop w:val="0"/>
                                          <w:marBottom w:val="0"/>
                                          <w:divBdr>
                                            <w:top w:val="none" w:sz="0" w:space="0" w:color="auto"/>
                                            <w:left w:val="none" w:sz="0" w:space="0" w:color="auto"/>
                                            <w:bottom w:val="none" w:sz="0" w:space="0" w:color="auto"/>
                                            <w:right w:val="none" w:sz="0" w:space="0" w:color="auto"/>
                                          </w:divBdr>
                                          <w:divsChild>
                                            <w:div w:id="212355635">
                                              <w:marLeft w:val="0"/>
                                              <w:marRight w:val="0"/>
                                              <w:marTop w:val="0"/>
                                              <w:marBottom w:val="109"/>
                                              <w:divBdr>
                                                <w:top w:val="single" w:sz="6" w:space="0" w:color="F5F5F5"/>
                                                <w:left w:val="single" w:sz="6" w:space="0" w:color="F5F5F5"/>
                                                <w:bottom w:val="single" w:sz="6" w:space="0" w:color="F5F5F5"/>
                                                <w:right w:val="single" w:sz="6" w:space="0" w:color="F5F5F5"/>
                                              </w:divBdr>
                                              <w:divsChild>
                                                <w:div w:id="706368138">
                                                  <w:marLeft w:val="0"/>
                                                  <w:marRight w:val="0"/>
                                                  <w:marTop w:val="0"/>
                                                  <w:marBottom w:val="0"/>
                                                  <w:divBdr>
                                                    <w:top w:val="none" w:sz="0" w:space="0" w:color="auto"/>
                                                    <w:left w:val="none" w:sz="0" w:space="0" w:color="auto"/>
                                                    <w:bottom w:val="none" w:sz="0" w:space="0" w:color="auto"/>
                                                    <w:right w:val="none" w:sz="0" w:space="0" w:color="auto"/>
                                                  </w:divBdr>
                                                  <w:divsChild>
                                                    <w:div w:id="30220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5414848">
      <w:bodyDiv w:val="1"/>
      <w:marLeft w:val="0"/>
      <w:marRight w:val="0"/>
      <w:marTop w:val="0"/>
      <w:marBottom w:val="0"/>
      <w:divBdr>
        <w:top w:val="none" w:sz="0" w:space="0" w:color="auto"/>
        <w:left w:val="none" w:sz="0" w:space="0" w:color="auto"/>
        <w:bottom w:val="none" w:sz="0" w:space="0" w:color="auto"/>
        <w:right w:val="none" w:sz="0" w:space="0" w:color="auto"/>
      </w:divBdr>
    </w:div>
    <w:div w:id="1182015589">
      <w:bodyDiv w:val="1"/>
      <w:marLeft w:val="0"/>
      <w:marRight w:val="0"/>
      <w:marTop w:val="0"/>
      <w:marBottom w:val="0"/>
      <w:divBdr>
        <w:top w:val="none" w:sz="0" w:space="0" w:color="auto"/>
        <w:left w:val="none" w:sz="0" w:space="0" w:color="auto"/>
        <w:bottom w:val="none" w:sz="0" w:space="0" w:color="auto"/>
        <w:right w:val="none" w:sz="0" w:space="0" w:color="auto"/>
      </w:divBdr>
    </w:div>
    <w:div w:id="1185903571">
      <w:bodyDiv w:val="1"/>
      <w:marLeft w:val="0"/>
      <w:marRight w:val="0"/>
      <w:marTop w:val="0"/>
      <w:marBottom w:val="0"/>
      <w:divBdr>
        <w:top w:val="none" w:sz="0" w:space="0" w:color="auto"/>
        <w:left w:val="none" w:sz="0" w:space="0" w:color="auto"/>
        <w:bottom w:val="none" w:sz="0" w:space="0" w:color="auto"/>
        <w:right w:val="none" w:sz="0" w:space="0" w:color="auto"/>
      </w:divBdr>
    </w:div>
    <w:div w:id="1190219372">
      <w:bodyDiv w:val="1"/>
      <w:marLeft w:val="0"/>
      <w:marRight w:val="0"/>
      <w:marTop w:val="0"/>
      <w:marBottom w:val="0"/>
      <w:divBdr>
        <w:top w:val="none" w:sz="0" w:space="0" w:color="auto"/>
        <w:left w:val="none" w:sz="0" w:space="0" w:color="auto"/>
        <w:bottom w:val="none" w:sz="0" w:space="0" w:color="auto"/>
        <w:right w:val="none" w:sz="0" w:space="0" w:color="auto"/>
      </w:divBdr>
    </w:div>
    <w:div w:id="1205095156">
      <w:bodyDiv w:val="1"/>
      <w:marLeft w:val="0"/>
      <w:marRight w:val="0"/>
      <w:marTop w:val="0"/>
      <w:marBottom w:val="0"/>
      <w:divBdr>
        <w:top w:val="none" w:sz="0" w:space="0" w:color="auto"/>
        <w:left w:val="none" w:sz="0" w:space="0" w:color="auto"/>
        <w:bottom w:val="none" w:sz="0" w:space="0" w:color="auto"/>
        <w:right w:val="none" w:sz="0" w:space="0" w:color="auto"/>
      </w:divBdr>
    </w:div>
    <w:div w:id="1210259856">
      <w:bodyDiv w:val="1"/>
      <w:marLeft w:val="0"/>
      <w:marRight w:val="0"/>
      <w:marTop w:val="0"/>
      <w:marBottom w:val="0"/>
      <w:divBdr>
        <w:top w:val="none" w:sz="0" w:space="0" w:color="auto"/>
        <w:left w:val="none" w:sz="0" w:space="0" w:color="auto"/>
        <w:bottom w:val="none" w:sz="0" w:space="0" w:color="auto"/>
        <w:right w:val="none" w:sz="0" w:space="0" w:color="auto"/>
      </w:divBdr>
    </w:div>
    <w:div w:id="1229153717">
      <w:bodyDiv w:val="1"/>
      <w:marLeft w:val="0"/>
      <w:marRight w:val="0"/>
      <w:marTop w:val="0"/>
      <w:marBottom w:val="0"/>
      <w:divBdr>
        <w:top w:val="none" w:sz="0" w:space="0" w:color="auto"/>
        <w:left w:val="none" w:sz="0" w:space="0" w:color="auto"/>
        <w:bottom w:val="none" w:sz="0" w:space="0" w:color="auto"/>
        <w:right w:val="none" w:sz="0" w:space="0" w:color="auto"/>
      </w:divBdr>
    </w:div>
    <w:div w:id="1232932678">
      <w:bodyDiv w:val="1"/>
      <w:marLeft w:val="0"/>
      <w:marRight w:val="0"/>
      <w:marTop w:val="0"/>
      <w:marBottom w:val="0"/>
      <w:divBdr>
        <w:top w:val="none" w:sz="0" w:space="0" w:color="auto"/>
        <w:left w:val="none" w:sz="0" w:space="0" w:color="auto"/>
        <w:bottom w:val="none" w:sz="0" w:space="0" w:color="auto"/>
        <w:right w:val="none" w:sz="0" w:space="0" w:color="auto"/>
      </w:divBdr>
    </w:div>
    <w:div w:id="1238171931">
      <w:bodyDiv w:val="1"/>
      <w:marLeft w:val="0"/>
      <w:marRight w:val="0"/>
      <w:marTop w:val="0"/>
      <w:marBottom w:val="0"/>
      <w:divBdr>
        <w:top w:val="none" w:sz="0" w:space="0" w:color="auto"/>
        <w:left w:val="none" w:sz="0" w:space="0" w:color="auto"/>
        <w:bottom w:val="none" w:sz="0" w:space="0" w:color="auto"/>
        <w:right w:val="none" w:sz="0" w:space="0" w:color="auto"/>
      </w:divBdr>
    </w:div>
    <w:div w:id="1242135268">
      <w:bodyDiv w:val="1"/>
      <w:marLeft w:val="0"/>
      <w:marRight w:val="0"/>
      <w:marTop w:val="0"/>
      <w:marBottom w:val="0"/>
      <w:divBdr>
        <w:top w:val="none" w:sz="0" w:space="0" w:color="auto"/>
        <w:left w:val="none" w:sz="0" w:space="0" w:color="auto"/>
        <w:bottom w:val="none" w:sz="0" w:space="0" w:color="auto"/>
        <w:right w:val="none" w:sz="0" w:space="0" w:color="auto"/>
      </w:divBdr>
    </w:div>
    <w:div w:id="1253245652">
      <w:bodyDiv w:val="1"/>
      <w:marLeft w:val="0"/>
      <w:marRight w:val="0"/>
      <w:marTop w:val="0"/>
      <w:marBottom w:val="0"/>
      <w:divBdr>
        <w:top w:val="none" w:sz="0" w:space="0" w:color="auto"/>
        <w:left w:val="none" w:sz="0" w:space="0" w:color="auto"/>
        <w:bottom w:val="none" w:sz="0" w:space="0" w:color="auto"/>
        <w:right w:val="none" w:sz="0" w:space="0" w:color="auto"/>
      </w:divBdr>
    </w:div>
    <w:div w:id="1260676249">
      <w:bodyDiv w:val="1"/>
      <w:marLeft w:val="0"/>
      <w:marRight w:val="0"/>
      <w:marTop w:val="0"/>
      <w:marBottom w:val="0"/>
      <w:divBdr>
        <w:top w:val="none" w:sz="0" w:space="0" w:color="auto"/>
        <w:left w:val="none" w:sz="0" w:space="0" w:color="auto"/>
        <w:bottom w:val="none" w:sz="0" w:space="0" w:color="auto"/>
        <w:right w:val="none" w:sz="0" w:space="0" w:color="auto"/>
      </w:divBdr>
    </w:div>
    <w:div w:id="1262183088">
      <w:bodyDiv w:val="1"/>
      <w:marLeft w:val="0"/>
      <w:marRight w:val="0"/>
      <w:marTop w:val="0"/>
      <w:marBottom w:val="0"/>
      <w:divBdr>
        <w:top w:val="none" w:sz="0" w:space="0" w:color="auto"/>
        <w:left w:val="none" w:sz="0" w:space="0" w:color="auto"/>
        <w:bottom w:val="none" w:sz="0" w:space="0" w:color="auto"/>
        <w:right w:val="none" w:sz="0" w:space="0" w:color="auto"/>
      </w:divBdr>
    </w:div>
    <w:div w:id="1266310344">
      <w:bodyDiv w:val="1"/>
      <w:marLeft w:val="0"/>
      <w:marRight w:val="0"/>
      <w:marTop w:val="0"/>
      <w:marBottom w:val="0"/>
      <w:divBdr>
        <w:top w:val="none" w:sz="0" w:space="0" w:color="auto"/>
        <w:left w:val="none" w:sz="0" w:space="0" w:color="auto"/>
        <w:bottom w:val="none" w:sz="0" w:space="0" w:color="auto"/>
        <w:right w:val="none" w:sz="0" w:space="0" w:color="auto"/>
      </w:divBdr>
    </w:div>
    <w:div w:id="1266886239">
      <w:bodyDiv w:val="1"/>
      <w:marLeft w:val="0"/>
      <w:marRight w:val="0"/>
      <w:marTop w:val="0"/>
      <w:marBottom w:val="0"/>
      <w:divBdr>
        <w:top w:val="none" w:sz="0" w:space="0" w:color="auto"/>
        <w:left w:val="none" w:sz="0" w:space="0" w:color="auto"/>
        <w:bottom w:val="none" w:sz="0" w:space="0" w:color="auto"/>
        <w:right w:val="none" w:sz="0" w:space="0" w:color="auto"/>
      </w:divBdr>
    </w:div>
    <w:div w:id="1276983748">
      <w:bodyDiv w:val="1"/>
      <w:marLeft w:val="0"/>
      <w:marRight w:val="0"/>
      <w:marTop w:val="0"/>
      <w:marBottom w:val="0"/>
      <w:divBdr>
        <w:top w:val="none" w:sz="0" w:space="0" w:color="auto"/>
        <w:left w:val="none" w:sz="0" w:space="0" w:color="auto"/>
        <w:bottom w:val="none" w:sz="0" w:space="0" w:color="auto"/>
        <w:right w:val="none" w:sz="0" w:space="0" w:color="auto"/>
      </w:divBdr>
    </w:div>
    <w:div w:id="1278682826">
      <w:bodyDiv w:val="1"/>
      <w:marLeft w:val="0"/>
      <w:marRight w:val="0"/>
      <w:marTop w:val="0"/>
      <w:marBottom w:val="0"/>
      <w:divBdr>
        <w:top w:val="none" w:sz="0" w:space="0" w:color="auto"/>
        <w:left w:val="none" w:sz="0" w:space="0" w:color="auto"/>
        <w:bottom w:val="none" w:sz="0" w:space="0" w:color="auto"/>
        <w:right w:val="none" w:sz="0" w:space="0" w:color="auto"/>
      </w:divBdr>
      <w:divsChild>
        <w:div w:id="297955653">
          <w:marLeft w:val="0"/>
          <w:marRight w:val="0"/>
          <w:marTop w:val="0"/>
          <w:marBottom w:val="0"/>
          <w:divBdr>
            <w:top w:val="none" w:sz="0" w:space="0" w:color="auto"/>
            <w:left w:val="none" w:sz="0" w:space="0" w:color="auto"/>
            <w:bottom w:val="none" w:sz="0" w:space="0" w:color="auto"/>
            <w:right w:val="none" w:sz="0" w:space="0" w:color="auto"/>
          </w:divBdr>
        </w:div>
        <w:div w:id="210382674">
          <w:marLeft w:val="0"/>
          <w:marRight w:val="0"/>
          <w:marTop w:val="0"/>
          <w:marBottom w:val="0"/>
          <w:divBdr>
            <w:top w:val="none" w:sz="0" w:space="0" w:color="auto"/>
            <w:left w:val="none" w:sz="0" w:space="0" w:color="auto"/>
            <w:bottom w:val="none" w:sz="0" w:space="0" w:color="auto"/>
            <w:right w:val="none" w:sz="0" w:space="0" w:color="auto"/>
          </w:divBdr>
        </w:div>
        <w:div w:id="32003907">
          <w:marLeft w:val="0"/>
          <w:marRight w:val="0"/>
          <w:marTop w:val="0"/>
          <w:marBottom w:val="0"/>
          <w:divBdr>
            <w:top w:val="none" w:sz="0" w:space="0" w:color="auto"/>
            <w:left w:val="none" w:sz="0" w:space="0" w:color="auto"/>
            <w:bottom w:val="none" w:sz="0" w:space="0" w:color="auto"/>
            <w:right w:val="none" w:sz="0" w:space="0" w:color="auto"/>
          </w:divBdr>
        </w:div>
        <w:div w:id="1489781260">
          <w:marLeft w:val="0"/>
          <w:marRight w:val="0"/>
          <w:marTop w:val="0"/>
          <w:marBottom w:val="0"/>
          <w:divBdr>
            <w:top w:val="none" w:sz="0" w:space="0" w:color="auto"/>
            <w:left w:val="none" w:sz="0" w:space="0" w:color="auto"/>
            <w:bottom w:val="none" w:sz="0" w:space="0" w:color="auto"/>
            <w:right w:val="none" w:sz="0" w:space="0" w:color="auto"/>
          </w:divBdr>
        </w:div>
        <w:div w:id="1801143700">
          <w:marLeft w:val="0"/>
          <w:marRight w:val="0"/>
          <w:marTop w:val="0"/>
          <w:marBottom w:val="0"/>
          <w:divBdr>
            <w:top w:val="none" w:sz="0" w:space="0" w:color="auto"/>
            <w:left w:val="none" w:sz="0" w:space="0" w:color="auto"/>
            <w:bottom w:val="none" w:sz="0" w:space="0" w:color="auto"/>
            <w:right w:val="none" w:sz="0" w:space="0" w:color="auto"/>
          </w:divBdr>
        </w:div>
        <w:div w:id="1608541509">
          <w:marLeft w:val="0"/>
          <w:marRight w:val="0"/>
          <w:marTop w:val="0"/>
          <w:marBottom w:val="0"/>
          <w:divBdr>
            <w:top w:val="none" w:sz="0" w:space="0" w:color="auto"/>
            <w:left w:val="none" w:sz="0" w:space="0" w:color="auto"/>
            <w:bottom w:val="none" w:sz="0" w:space="0" w:color="auto"/>
            <w:right w:val="none" w:sz="0" w:space="0" w:color="auto"/>
          </w:divBdr>
        </w:div>
        <w:div w:id="1021325417">
          <w:marLeft w:val="0"/>
          <w:marRight w:val="0"/>
          <w:marTop w:val="0"/>
          <w:marBottom w:val="0"/>
          <w:divBdr>
            <w:top w:val="none" w:sz="0" w:space="0" w:color="auto"/>
            <w:left w:val="none" w:sz="0" w:space="0" w:color="auto"/>
            <w:bottom w:val="none" w:sz="0" w:space="0" w:color="auto"/>
            <w:right w:val="none" w:sz="0" w:space="0" w:color="auto"/>
          </w:divBdr>
        </w:div>
      </w:divsChild>
    </w:div>
    <w:div w:id="1281649708">
      <w:bodyDiv w:val="1"/>
      <w:marLeft w:val="0"/>
      <w:marRight w:val="0"/>
      <w:marTop w:val="0"/>
      <w:marBottom w:val="0"/>
      <w:divBdr>
        <w:top w:val="none" w:sz="0" w:space="0" w:color="auto"/>
        <w:left w:val="none" w:sz="0" w:space="0" w:color="auto"/>
        <w:bottom w:val="none" w:sz="0" w:space="0" w:color="auto"/>
        <w:right w:val="none" w:sz="0" w:space="0" w:color="auto"/>
      </w:divBdr>
    </w:div>
    <w:div w:id="1288197153">
      <w:bodyDiv w:val="1"/>
      <w:marLeft w:val="0"/>
      <w:marRight w:val="0"/>
      <w:marTop w:val="0"/>
      <w:marBottom w:val="0"/>
      <w:divBdr>
        <w:top w:val="none" w:sz="0" w:space="0" w:color="auto"/>
        <w:left w:val="none" w:sz="0" w:space="0" w:color="auto"/>
        <w:bottom w:val="none" w:sz="0" w:space="0" w:color="auto"/>
        <w:right w:val="none" w:sz="0" w:space="0" w:color="auto"/>
      </w:divBdr>
      <w:divsChild>
        <w:div w:id="1805154688">
          <w:marLeft w:val="0"/>
          <w:marRight w:val="0"/>
          <w:marTop w:val="0"/>
          <w:marBottom w:val="0"/>
          <w:divBdr>
            <w:top w:val="none" w:sz="0" w:space="0" w:color="auto"/>
            <w:left w:val="none" w:sz="0" w:space="0" w:color="auto"/>
            <w:bottom w:val="none" w:sz="0" w:space="0" w:color="auto"/>
            <w:right w:val="none" w:sz="0" w:space="0" w:color="auto"/>
          </w:divBdr>
          <w:divsChild>
            <w:div w:id="2080440326">
              <w:marLeft w:val="0"/>
              <w:marRight w:val="0"/>
              <w:marTop w:val="0"/>
              <w:marBottom w:val="0"/>
              <w:divBdr>
                <w:top w:val="none" w:sz="0" w:space="0" w:color="auto"/>
                <w:left w:val="none" w:sz="0" w:space="0" w:color="auto"/>
                <w:bottom w:val="none" w:sz="0" w:space="0" w:color="auto"/>
                <w:right w:val="none" w:sz="0" w:space="0" w:color="auto"/>
              </w:divBdr>
              <w:divsChild>
                <w:div w:id="1977753395">
                  <w:marLeft w:val="0"/>
                  <w:marRight w:val="0"/>
                  <w:marTop w:val="0"/>
                  <w:marBottom w:val="0"/>
                  <w:divBdr>
                    <w:top w:val="none" w:sz="0" w:space="0" w:color="auto"/>
                    <w:left w:val="none" w:sz="0" w:space="0" w:color="auto"/>
                    <w:bottom w:val="none" w:sz="0" w:space="0" w:color="auto"/>
                    <w:right w:val="none" w:sz="0" w:space="0" w:color="auto"/>
                  </w:divBdr>
                  <w:divsChild>
                    <w:div w:id="1509173621">
                      <w:marLeft w:val="0"/>
                      <w:marRight w:val="0"/>
                      <w:marTop w:val="0"/>
                      <w:marBottom w:val="0"/>
                      <w:divBdr>
                        <w:top w:val="none" w:sz="0" w:space="0" w:color="auto"/>
                        <w:left w:val="none" w:sz="0" w:space="0" w:color="auto"/>
                        <w:bottom w:val="none" w:sz="0" w:space="0" w:color="auto"/>
                        <w:right w:val="none" w:sz="0" w:space="0" w:color="auto"/>
                      </w:divBdr>
                      <w:divsChild>
                        <w:div w:id="1858764353">
                          <w:marLeft w:val="0"/>
                          <w:marRight w:val="0"/>
                          <w:marTop w:val="0"/>
                          <w:marBottom w:val="0"/>
                          <w:divBdr>
                            <w:top w:val="none" w:sz="0" w:space="0" w:color="auto"/>
                            <w:left w:val="none" w:sz="0" w:space="0" w:color="auto"/>
                            <w:bottom w:val="none" w:sz="0" w:space="0" w:color="auto"/>
                            <w:right w:val="none" w:sz="0" w:space="0" w:color="auto"/>
                          </w:divBdr>
                        </w:div>
                        <w:div w:id="803734089">
                          <w:marLeft w:val="0"/>
                          <w:marRight w:val="0"/>
                          <w:marTop w:val="0"/>
                          <w:marBottom w:val="0"/>
                          <w:divBdr>
                            <w:top w:val="none" w:sz="0" w:space="0" w:color="auto"/>
                            <w:left w:val="none" w:sz="0" w:space="0" w:color="auto"/>
                            <w:bottom w:val="none" w:sz="0" w:space="0" w:color="auto"/>
                            <w:right w:val="none" w:sz="0" w:space="0" w:color="auto"/>
                          </w:divBdr>
                        </w:div>
                        <w:div w:id="1072001508">
                          <w:marLeft w:val="0"/>
                          <w:marRight w:val="0"/>
                          <w:marTop w:val="0"/>
                          <w:marBottom w:val="0"/>
                          <w:divBdr>
                            <w:top w:val="none" w:sz="0" w:space="0" w:color="auto"/>
                            <w:left w:val="none" w:sz="0" w:space="0" w:color="auto"/>
                            <w:bottom w:val="none" w:sz="0" w:space="0" w:color="auto"/>
                            <w:right w:val="none" w:sz="0" w:space="0" w:color="auto"/>
                          </w:divBdr>
                        </w:div>
                        <w:div w:id="1744520886">
                          <w:marLeft w:val="0"/>
                          <w:marRight w:val="0"/>
                          <w:marTop w:val="0"/>
                          <w:marBottom w:val="0"/>
                          <w:divBdr>
                            <w:top w:val="none" w:sz="0" w:space="0" w:color="auto"/>
                            <w:left w:val="none" w:sz="0" w:space="0" w:color="auto"/>
                            <w:bottom w:val="none" w:sz="0" w:space="0" w:color="auto"/>
                            <w:right w:val="none" w:sz="0" w:space="0" w:color="auto"/>
                          </w:divBdr>
                        </w:div>
                        <w:div w:id="1450663925">
                          <w:marLeft w:val="0"/>
                          <w:marRight w:val="0"/>
                          <w:marTop w:val="0"/>
                          <w:marBottom w:val="0"/>
                          <w:divBdr>
                            <w:top w:val="none" w:sz="0" w:space="0" w:color="auto"/>
                            <w:left w:val="none" w:sz="0" w:space="0" w:color="auto"/>
                            <w:bottom w:val="none" w:sz="0" w:space="0" w:color="auto"/>
                            <w:right w:val="none" w:sz="0" w:space="0" w:color="auto"/>
                          </w:divBdr>
                        </w:div>
                        <w:div w:id="1648120077">
                          <w:marLeft w:val="0"/>
                          <w:marRight w:val="0"/>
                          <w:marTop w:val="0"/>
                          <w:marBottom w:val="0"/>
                          <w:divBdr>
                            <w:top w:val="none" w:sz="0" w:space="0" w:color="auto"/>
                            <w:left w:val="none" w:sz="0" w:space="0" w:color="auto"/>
                            <w:bottom w:val="none" w:sz="0" w:space="0" w:color="auto"/>
                            <w:right w:val="none" w:sz="0" w:space="0" w:color="auto"/>
                          </w:divBdr>
                        </w:div>
                        <w:div w:id="311829795">
                          <w:marLeft w:val="0"/>
                          <w:marRight w:val="0"/>
                          <w:marTop w:val="0"/>
                          <w:marBottom w:val="0"/>
                          <w:divBdr>
                            <w:top w:val="none" w:sz="0" w:space="0" w:color="auto"/>
                            <w:left w:val="none" w:sz="0" w:space="0" w:color="auto"/>
                            <w:bottom w:val="none" w:sz="0" w:space="0" w:color="auto"/>
                            <w:right w:val="none" w:sz="0" w:space="0" w:color="auto"/>
                          </w:divBdr>
                        </w:div>
                        <w:div w:id="815953135">
                          <w:marLeft w:val="0"/>
                          <w:marRight w:val="0"/>
                          <w:marTop w:val="0"/>
                          <w:marBottom w:val="0"/>
                          <w:divBdr>
                            <w:top w:val="none" w:sz="0" w:space="0" w:color="auto"/>
                            <w:left w:val="none" w:sz="0" w:space="0" w:color="auto"/>
                            <w:bottom w:val="none" w:sz="0" w:space="0" w:color="auto"/>
                            <w:right w:val="none" w:sz="0" w:space="0" w:color="auto"/>
                          </w:divBdr>
                        </w:div>
                        <w:div w:id="472527436">
                          <w:marLeft w:val="0"/>
                          <w:marRight w:val="0"/>
                          <w:marTop w:val="0"/>
                          <w:marBottom w:val="0"/>
                          <w:divBdr>
                            <w:top w:val="none" w:sz="0" w:space="0" w:color="auto"/>
                            <w:left w:val="none" w:sz="0" w:space="0" w:color="auto"/>
                            <w:bottom w:val="none" w:sz="0" w:space="0" w:color="auto"/>
                            <w:right w:val="none" w:sz="0" w:space="0" w:color="auto"/>
                          </w:divBdr>
                        </w:div>
                        <w:div w:id="886796977">
                          <w:marLeft w:val="0"/>
                          <w:marRight w:val="0"/>
                          <w:marTop w:val="0"/>
                          <w:marBottom w:val="0"/>
                          <w:divBdr>
                            <w:top w:val="none" w:sz="0" w:space="0" w:color="auto"/>
                            <w:left w:val="none" w:sz="0" w:space="0" w:color="auto"/>
                            <w:bottom w:val="none" w:sz="0" w:space="0" w:color="auto"/>
                            <w:right w:val="none" w:sz="0" w:space="0" w:color="auto"/>
                          </w:divBdr>
                        </w:div>
                        <w:div w:id="285088259">
                          <w:marLeft w:val="0"/>
                          <w:marRight w:val="0"/>
                          <w:marTop w:val="0"/>
                          <w:marBottom w:val="0"/>
                          <w:divBdr>
                            <w:top w:val="none" w:sz="0" w:space="0" w:color="auto"/>
                            <w:left w:val="none" w:sz="0" w:space="0" w:color="auto"/>
                            <w:bottom w:val="none" w:sz="0" w:space="0" w:color="auto"/>
                            <w:right w:val="none" w:sz="0" w:space="0" w:color="auto"/>
                          </w:divBdr>
                        </w:div>
                        <w:div w:id="1680036440">
                          <w:marLeft w:val="0"/>
                          <w:marRight w:val="0"/>
                          <w:marTop w:val="0"/>
                          <w:marBottom w:val="0"/>
                          <w:divBdr>
                            <w:top w:val="none" w:sz="0" w:space="0" w:color="auto"/>
                            <w:left w:val="none" w:sz="0" w:space="0" w:color="auto"/>
                            <w:bottom w:val="none" w:sz="0" w:space="0" w:color="auto"/>
                            <w:right w:val="none" w:sz="0" w:space="0" w:color="auto"/>
                          </w:divBdr>
                        </w:div>
                        <w:div w:id="193429024">
                          <w:marLeft w:val="0"/>
                          <w:marRight w:val="0"/>
                          <w:marTop w:val="0"/>
                          <w:marBottom w:val="0"/>
                          <w:divBdr>
                            <w:top w:val="none" w:sz="0" w:space="0" w:color="auto"/>
                            <w:left w:val="none" w:sz="0" w:space="0" w:color="auto"/>
                            <w:bottom w:val="none" w:sz="0" w:space="0" w:color="auto"/>
                            <w:right w:val="none" w:sz="0" w:space="0" w:color="auto"/>
                          </w:divBdr>
                        </w:div>
                        <w:div w:id="1271013550">
                          <w:marLeft w:val="0"/>
                          <w:marRight w:val="0"/>
                          <w:marTop w:val="0"/>
                          <w:marBottom w:val="0"/>
                          <w:divBdr>
                            <w:top w:val="none" w:sz="0" w:space="0" w:color="auto"/>
                            <w:left w:val="none" w:sz="0" w:space="0" w:color="auto"/>
                            <w:bottom w:val="none" w:sz="0" w:space="0" w:color="auto"/>
                            <w:right w:val="none" w:sz="0" w:space="0" w:color="auto"/>
                          </w:divBdr>
                        </w:div>
                        <w:div w:id="1407801013">
                          <w:marLeft w:val="0"/>
                          <w:marRight w:val="0"/>
                          <w:marTop w:val="0"/>
                          <w:marBottom w:val="0"/>
                          <w:divBdr>
                            <w:top w:val="none" w:sz="0" w:space="0" w:color="auto"/>
                            <w:left w:val="none" w:sz="0" w:space="0" w:color="auto"/>
                            <w:bottom w:val="none" w:sz="0" w:space="0" w:color="auto"/>
                            <w:right w:val="none" w:sz="0" w:space="0" w:color="auto"/>
                          </w:divBdr>
                        </w:div>
                        <w:div w:id="2064330902">
                          <w:marLeft w:val="0"/>
                          <w:marRight w:val="0"/>
                          <w:marTop w:val="0"/>
                          <w:marBottom w:val="0"/>
                          <w:divBdr>
                            <w:top w:val="none" w:sz="0" w:space="0" w:color="auto"/>
                            <w:left w:val="none" w:sz="0" w:space="0" w:color="auto"/>
                            <w:bottom w:val="none" w:sz="0" w:space="0" w:color="auto"/>
                            <w:right w:val="none" w:sz="0" w:space="0" w:color="auto"/>
                          </w:divBdr>
                        </w:div>
                        <w:div w:id="1975867494">
                          <w:marLeft w:val="0"/>
                          <w:marRight w:val="0"/>
                          <w:marTop w:val="0"/>
                          <w:marBottom w:val="0"/>
                          <w:divBdr>
                            <w:top w:val="none" w:sz="0" w:space="0" w:color="auto"/>
                            <w:left w:val="none" w:sz="0" w:space="0" w:color="auto"/>
                            <w:bottom w:val="none" w:sz="0" w:space="0" w:color="auto"/>
                            <w:right w:val="none" w:sz="0" w:space="0" w:color="auto"/>
                          </w:divBdr>
                        </w:div>
                        <w:div w:id="1685085772">
                          <w:marLeft w:val="0"/>
                          <w:marRight w:val="0"/>
                          <w:marTop w:val="0"/>
                          <w:marBottom w:val="0"/>
                          <w:divBdr>
                            <w:top w:val="none" w:sz="0" w:space="0" w:color="auto"/>
                            <w:left w:val="none" w:sz="0" w:space="0" w:color="auto"/>
                            <w:bottom w:val="none" w:sz="0" w:space="0" w:color="auto"/>
                            <w:right w:val="none" w:sz="0" w:space="0" w:color="auto"/>
                          </w:divBdr>
                        </w:div>
                        <w:div w:id="827408378">
                          <w:marLeft w:val="0"/>
                          <w:marRight w:val="0"/>
                          <w:marTop w:val="0"/>
                          <w:marBottom w:val="0"/>
                          <w:divBdr>
                            <w:top w:val="none" w:sz="0" w:space="0" w:color="auto"/>
                            <w:left w:val="none" w:sz="0" w:space="0" w:color="auto"/>
                            <w:bottom w:val="none" w:sz="0" w:space="0" w:color="auto"/>
                            <w:right w:val="none" w:sz="0" w:space="0" w:color="auto"/>
                          </w:divBdr>
                        </w:div>
                        <w:div w:id="1816600859">
                          <w:marLeft w:val="0"/>
                          <w:marRight w:val="0"/>
                          <w:marTop w:val="0"/>
                          <w:marBottom w:val="0"/>
                          <w:divBdr>
                            <w:top w:val="none" w:sz="0" w:space="0" w:color="auto"/>
                            <w:left w:val="none" w:sz="0" w:space="0" w:color="auto"/>
                            <w:bottom w:val="none" w:sz="0" w:space="0" w:color="auto"/>
                            <w:right w:val="none" w:sz="0" w:space="0" w:color="auto"/>
                          </w:divBdr>
                        </w:div>
                        <w:div w:id="332102331">
                          <w:marLeft w:val="0"/>
                          <w:marRight w:val="0"/>
                          <w:marTop w:val="0"/>
                          <w:marBottom w:val="0"/>
                          <w:divBdr>
                            <w:top w:val="none" w:sz="0" w:space="0" w:color="auto"/>
                            <w:left w:val="none" w:sz="0" w:space="0" w:color="auto"/>
                            <w:bottom w:val="none" w:sz="0" w:space="0" w:color="auto"/>
                            <w:right w:val="none" w:sz="0" w:space="0" w:color="auto"/>
                          </w:divBdr>
                        </w:div>
                        <w:div w:id="1961064580">
                          <w:marLeft w:val="0"/>
                          <w:marRight w:val="0"/>
                          <w:marTop w:val="0"/>
                          <w:marBottom w:val="0"/>
                          <w:divBdr>
                            <w:top w:val="none" w:sz="0" w:space="0" w:color="auto"/>
                            <w:left w:val="none" w:sz="0" w:space="0" w:color="auto"/>
                            <w:bottom w:val="none" w:sz="0" w:space="0" w:color="auto"/>
                            <w:right w:val="none" w:sz="0" w:space="0" w:color="auto"/>
                          </w:divBdr>
                        </w:div>
                        <w:div w:id="18575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308263">
      <w:bodyDiv w:val="1"/>
      <w:marLeft w:val="0"/>
      <w:marRight w:val="0"/>
      <w:marTop w:val="0"/>
      <w:marBottom w:val="0"/>
      <w:divBdr>
        <w:top w:val="none" w:sz="0" w:space="0" w:color="auto"/>
        <w:left w:val="none" w:sz="0" w:space="0" w:color="auto"/>
        <w:bottom w:val="none" w:sz="0" w:space="0" w:color="auto"/>
        <w:right w:val="none" w:sz="0" w:space="0" w:color="auto"/>
      </w:divBdr>
    </w:div>
    <w:div w:id="1316912043">
      <w:bodyDiv w:val="1"/>
      <w:marLeft w:val="0"/>
      <w:marRight w:val="0"/>
      <w:marTop w:val="0"/>
      <w:marBottom w:val="0"/>
      <w:divBdr>
        <w:top w:val="none" w:sz="0" w:space="0" w:color="auto"/>
        <w:left w:val="none" w:sz="0" w:space="0" w:color="auto"/>
        <w:bottom w:val="none" w:sz="0" w:space="0" w:color="auto"/>
        <w:right w:val="none" w:sz="0" w:space="0" w:color="auto"/>
      </w:divBdr>
    </w:div>
    <w:div w:id="1326325651">
      <w:bodyDiv w:val="1"/>
      <w:marLeft w:val="0"/>
      <w:marRight w:val="0"/>
      <w:marTop w:val="0"/>
      <w:marBottom w:val="0"/>
      <w:divBdr>
        <w:top w:val="none" w:sz="0" w:space="0" w:color="auto"/>
        <w:left w:val="none" w:sz="0" w:space="0" w:color="auto"/>
        <w:bottom w:val="none" w:sz="0" w:space="0" w:color="auto"/>
        <w:right w:val="none" w:sz="0" w:space="0" w:color="auto"/>
      </w:divBdr>
      <w:divsChild>
        <w:div w:id="1177111018">
          <w:marLeft w:val="0"/>
          <w:marRight w:val="0"/>
          <w:marTop w:val="0"/>
          <w:marBottom w:val="0"/>
          <w:divBdr>
            <w:top w:val="none" w:sz="0" w:space="0" w:color="auto"/>
            <w:left w:val="none" w:sz="0" w:space="0" w:color="auto"/>
            <w:bottom w:val="none" w:sz="0" w:space="0" w:color="auto"/>
            <w:right w:val="none" w:sz="0" w:space="0" w:color="auto"/>
          </w:divBdr>
        </w:div>
        <w:div w:id="978075271">
          <w:marLeft w:val="0"/>
          <w:marRight w:val="0"/>
          <w:marTop w:val="0"/>
          <w:marBottom w:val="0"/>
          <w:divBdr>
            <w:top w:val="none" w:sz="0" w:space="0" w:color="auto"/>
            <w:left w:val="none" w:sz="0" w:space="0" w:color="auto"/>
            <w:bottom w:val="none" w:sz="0" w:space="0" w:color="auto"/>
            <w:right w:val="none" w:sz="0" w:space="0" w:color="auto"/>
          </w:divBdr>
        </w:div>
        <w:div w:id="1429425437">
          <w:marLeft w:val="0"/>
          <w:marRight w:val="0"/>
          <w:marTop w:val="0"/>
          <w:marBottom w:val="0"/>
          <w:divBdr>
            <w:top w:val="none" w:sz="0" w:space="0" w:color="auto"/>
            <w:left w:val="none" w:sz="0" w:space="0" w:color="auto"/>
            <w:bottom w:val="none" w:sz="0" w:space="0" w:color="auto"/>
            <w:right w:val="none" w:sz="0" w:space="0" w:color="auto"/>
          </w:divBdr>
        </w:div>
        <w:div w:id="1815872039">
          <w:marLeft w:val="0"/>
          <w:marRight w:val="0"/>
          <w:marTop w:val="0"/>
          <w:marBottom w:val="0"/>
          <w:divBdr>
            <w:top w:val="none" w:sz="0" w:space="0" w:color="auto"/>
            <w:left w:val="none" w:sz="0" w:space="0" w:color="auto"/>
            <w:bottom w:val="none" w:sz="0" w:space="0" w:color="auto"/>
            <w:right w:val="none" w:sz="0" w:space="0" w:color="auto"/>
          </w:divBdr>
        </w:div>
        <w:div w:id="542519416">
          <w:marLeft w:val="0"/>
          <w:marRight w:val="0"/>
          <w:marTop w:val="0"/>
          <w:marBottom w:val="0"/>
          <w:divBdr>
            <w:top w:val="none" w:sz="0" w:space="0" w:color="auto"/>
            <w:left w:val="none" w:sz="0" w:space="0" w:color="auto"/>
            <w:bottom w:val="none" w:sz="0" w:space="0" w:color="auto"/>
            <w:right w:val="none" w:sz="0" w:space="0" w:color="auto"/>
          </w:divBdr>
        </w:div>
        <w:div w:id="2019308216">
          <w:marLeft w:val="0"/>
          <w:marRight w:val="0"/>
          <w:marTop w:val="0"/>
          <w:marBottom w:val="0"/>
          <w:divBdr>
            <w:top w:val="none" w:sz="0" w:space="0" w:color="auto"/>
            <w:left w:val="none" w:sz="0" w:space="0" w:color="auto"/>
            <w:bottom w:val="none" w:sz="0" w:space="0" w:color="auto"/>
            <w:right w:val="none" w:sz="0" w:space="0" w:color="auto"/>
          </w:divBdr>
        </w:div>
        <w:div w:id="1482454820">
          <w:marLeft w:val="0"/>
          <w:marRight w:val="0"/>
          <w:marTop w:val="0"/>
          <w:marBottom w:val="0"/>
          <w:divBdr>
            <w:top w:val="none" w:sz="0" w:space="0" w:color="auto"/>
            <w:left w:val="none" w:sz="0" w:space="0" w:color="auto"/>
            <w:bottom w:val="none" w:sz="0" w:space="0" w:color="auto"/>
            <w:right w:val="none" w:sz="0" w:space="0" w:color="auto"/>
          </w:divBdr>
        </w:div>
      </w:divsChild>
    </w:div>
    <w:div w:id="1351419418">
      <w:bodyDiv w:val="1"/>
      <w:marLeft w:val="0"/>
      <w:marRight w:val="0"/>
      <w:marTop w:val="0"/>
      <w:marBottom w:val="0"/>
      <w:divBdr>
        <w:top w:val="none" w:sz="0" w:space="0" w:color="auto"/>
        <w:left w:val="none" w:sz="0" w:space="0" w:color="auto"/>
        <w:bottom w:val="none" w:sz="0" w:space="0" w:color="auto"/>
        <w:right w:val="none" w:sz="0" w:space="0" w:color="auto"/>
      </w:divBdr>
      <w:divsChild>
        <w:div w:id="277415521">
          <w:marLeft w:val="3"/>
          <w:marRight w:val="3"/>
          <w:marTop w:val="0"/>
          <w:marBottom w:val="0"/>
          <w:divBdr>
            <w:top w:val="single" w:sz="4" w:space="0" w:color="112449"/>
            <w:left w:val="single" w:sz="4" w:space="0" w:color="112449"/>
            <w:bottom w:val="single" w:sz="4" w:space="0" w:color="112449"/>
            <w:right w:val="single" w:sz="4" w:space="0" w:color="112449"/>
          </w:divBdr>
        </w:div>
      </w:divsChild>
    </w:div>
    <w:div w:id="1355224504">
      <w:bodyDiv w:val="1"/>
      <w:marLeft w:val="0"/>
      <w:marRight w:val="0"/>
      <w:marTop w:val="0"/>
      <w:marBottom w:val="0"/>
      <w:divBdr>
        <w:top w:val="none" w:sz="0" w:space="0" w:color="auto"/>
        <w:left w:val="none" w:sz="0" w:space="0" w:color="auto"/>
        <w:bottom w:val="none" w:sz="0" w:space="0" w:color="auto"/>
        <w:right w:val="none" w:sz="0" w:space="0" w:color="auto"/>
      </w:divBdr>
    </w:div>
    <w:div w:id="1369377240">
      <w:bodyDiv w:val="1"/>
      <w:marLeft w:val="0"/>
      <w:marRight w:val="0"/>
      <w:marTop w:val="0"/>
      <w:marBottom w:val="0"/>
      <w:divBdr>
        <w:top w:val="none" w:sz="0" w:space="0" w:color="auto"/>
        <w:left w:val="none" w:sz="0" w:space="0" w:color="auto"/>
        <w:bottom w:val="none" w:sz="0" w:space="0" w:color="auto"/>
        <w:right w:val="none" w:sz="0" w:space="0" w:color="auto"/>
      </w:divBdr>
    </w:div>
    <w:div w:id="1380206442">
      <w:bodyDiv w:val="1"/>
      <w:marLeft w:val="0"/>
      <w:marRight w:val="0"/>
      <w:marTop w:val="0"/>
      <w:marBottom w:val="0"/>
      <w:divBdr>
        <w:top w:val="none" w:sz="0" w:space="0" w:color="auto"/>
        <w:left w:val="none" w:sz="0" w:space="0" w:color="auto"/>
        <w:bottom w:val="none" w:sz="0" w:space="0" w:color="auto"/>
        <w:right w:val="none" w:sz="0" w:space="0" w:color="auto"/>
      </w:divBdr>
    </w:div>
    <w:div w:id="1380208283">
      <w:bodyDiv w:val="1"/>
      <w:marLeft w:val="0"/>
      <w:marRight w:val="0"/>
      <w:marTop w:val="0"/>
      <w:marBottom w:val="0"/>
      <w:divBdr>
        <w:top w:val="none" w:sz="0" w:space="0" w:color="auto"/>
        <w:left w:val="none" w:sz="0" w:space="0" w:color="auto"/>
        <w:bottom w:val="none" w:sz="0" w:space="0" w:color="auto"/>
        <w:right w:val="none" w:sz="0" w:space="0" w:color="auto"/>
      </w:divBdr>
    </w:div>
    <w:div w:id="1389568877">
      <w:bodyDiv w:val="1"/>
      <w:marLeft w:val="0"/>
      <w:marRight w:val="0"/>
      <w:marTop w:val="0"/>
      <w:marBottom w:val="0"/>
      <w:divBdr>
        <w:top w:val="none" w:sz="0" w:space="0" w:color="auto"/>
        <w:left w:val="none" w:sz="0" w:space="0" w:color="auto"/>
        <w:bottom w:val="none" w:sz="0" w:space="0" w:color="auto"/>
        <w:right w:val="none" w:sz="0" w:space="0" w:color="auto"/>
      </w:divBdr>
    </w:div>
    <w:div w:id="1390301040">
      <w:bodyDiv w:val="1"/>
      <w:marLeft w:val="0"/>
      <w:marRight w:val="0"/>
      <w:marTop w:val="0"/>
      <w:marBottom w:val="0"/>
      <w:divBdr>
        <w:top w:val="none" w:sz="0" w:space="0" w:color="auto"/>
        <w:left w:val="none" w:sz="0" w:space="0" w:color="auto"/>
        <w:bottom w:val="none" w:sz="0" w:space="0" w:color="auto"/>
        <w:right w:val="none" w:sz="0" w:space="0" w:color="auto"/>
      </w:divBdr>
    </w:div>
    <w:div w:id="1391423974">
      <w:bodyDiv w:val="1"/>
      <w:marLeft w:val="0"/>
      <w:marRight w:val="0"/>
      <w:marTop w:val="0"/>
      <w:marBottom w:val="0"/>
      <w:divBdr>
        <w:top w:val="none" w:sz="0" w:space="0" w:color="auto"/>
        <w:left w:val="none" w:sz="0" w:space="0" w:color="auto"/>
        <w:bottom w:val="none" w:sz="0" w:space="0" w:color="auto"/>
        <w:right w:val="none" w:sz="0" w:space="0" w:color="auto"/>
      </w:divBdr>
    </w:div>
    <w:div w:id="1393505357">
      <w:bodyDiv w:val="1"/>
      <w:marLeft w:val="0"/>
      <w:marRight w:val="0"/>
      <w:marTop w:val="0"/>
      <w:marBottom w:val="0"/>
      <w:divBdr>
        <w:top w:val="none" w:sz="0" w:space="0" w:color="auto"/>
        <w:left w:val="none" w:sz="0" w:space="0" w:color="auto"/>
        <w:bottom w:val="none" w:sz="0" w:space="0" w:color="auto"/>
        <w:right w:val="none" w:sz="0" w:space="0" w:color="auto"/>
      </w:divBdr>
    </w:div>
    <w:div w:id="1396052075">
      <w:bodyDiv w:val="1"/>
      <w:marLeft w:val="0"/>
      <w:marRight w:val="0"/>
      <w:marTop w:val="0"/>
      <w:marBottom w:val="0"/>
      <w:divBdr>
        <w:top w:val="none" w:sz="0" w:space="0" w:color="auto"/>
        <w:left w:val="none" w:sz="0" w:space="0" w:color="auto"/>
        <w:bottom w:val="none" w:sz="0" w:space="0" w:color="auto"/>
        <w:right w:val="none" w:sz="0" w:space="0" w:color="auto"/>
      </w:divBdr>
    </w:div>
    <w:div w:id="1397900763">
      <w:bodyDiv w:val="1"/>
      <w:marLeft w:val="0"/>
      <w:marRight w:val="0"/>
      <w:marTop w:val="0"/>
      <w:marBottom w:val="0"/>
      <w:divBdr>
        <w:top w:val="none" w:sz="0" w:space="0" w:color="auto"/>
        <w:left w:val="none" w:sz="0" w:space="0" w:color="auto"/>
        <w:bottom w:val="none" w:sz="0" w:space="0" w:color="auto"/>
        <w:right w:val="none" w:sz="0" w:space="0" w:color="auto"/>
      </w:divBdr>
    </w:div>
    <w:div w:id="1405956239">
      <w:bodyDiv w:val="1"/>
      <w:marLeft w:val="0"/>
      <w:marRight w:val="0"/>
      <w:marTop w:val="0"/>
      <w:marBottom w:val="0"/>
      <w:divBdr>
        <w:top w:val="none" w:sz="0" w:space="0" w:color="auto"/>
        <w:left w:val="none" w:sz="0" w:space="0" w:color="auto"/>
        <w:bottom w:val="none" w:sz="0" w:space="0" w:color="auto"/>
        <w:right w:val="none" w:sz="0" w:space="0" w:color="auto"/>
      </w:divBdr>
    </w:div>
    <w:div w:id="1407680237">
      <w:bodyDiv w:val="1"/>
      <w:marLeft w:val="0"/>
      <w:marRight w:val="0"/>
      <w:marTop w:val="0"/>
      <w:marBottom w:val="0"/>
      <w:divBdr>
        <w:top w:val="none" w:sz="0" w:space="0" w:color="auto"/>
        <w:left w:val="none" w:sz="0" w:space="0" w:color="auto"/>
        <w:bottom w:val="none" w:sz="0" w:space="0" w:color="auto"/>
        <w:right w:val="none" w:sz="0" w:space="0" w:color="auto"/>
      </w:divBdr>
    </w:div>
    <w:div w:id="1412000967">
      <w:bodyDiv w:val="1"/>
      <w:marLeft w:val="0"/>
      <w:marRight w:val="0"/>
      <w:marTop w:val="0"/>
      <w:marBottom w:val="0"/>
      <w:divBdr>
        <w:top w:val="none" w:sz="0" w:space="0" w:color="auto"/>
        <w:left w:val="none" w:sz="0" w:space="0" w:color="auto"/>
        <w:bottom w:val="none" w:sz="0" w:space="0" w:color="auto"/>
        <w:right w:val="none" w:sz="0" w:space="0" w:color="auto"/>
      </w:divBdr>
      <w:divsChild>
        <w:div w:id="822358155">
          <w:marLeft w:val="0"/>
          <w:marRight w:val="0"/>
          <w:marTop w:val="0"/>
          <w:marBottom w:val="0"/>
          <w:divBdr>
            <w:top w:val="none" w:sz="0" w:space="0" w:color="auto"/>
            <w:left w:val="none" w:sz="0" w:space="0" w:color="auto"/>
            <w:bottom w:val="none" w:sz="0" w:space="0" w:color="auto"/>
            <w:right w:val="none" w:sz="0" w:space="0" w:color="auto"/>
          </w:divBdr>
          <w:divsChild>
            <w:div w:id="1191526302">
              <w:marLeft w:val="0"/>
              <w:marRight w:val="0"/>
              <w:marTop w:val="0"/>
              <w:marBottom w:val="0"/>
              <w:divBdr>
                <w:top w:val="none" w:sz="0" w:space="0" w:color="auto"/>
                <w:left w:val="none" w:sz="0" w:space="0" w:color="auto"/>
                <w:bottom w:val="none" w:sz="0" w:space="0" w:color="auto"/>
                <w:right w:val="none" w:sz="0" w:space="0" w:color="auto"/>
              </w:divBdr>
              <w:divsChild>
                <w:div w:id="2008898702">
                  <w:marLeft w:val="0"/>
                  <w:marRight w:val="0"/>
                  <w:marTop w:val="0"/>
                  <w:marBottom w:val="0"/>
                  <w:divBdr>
                    <w:top w:val="none" w:sz="0" w:space="0" w:color="auto"/>
                    <w:left w:val="none" w:sz="0" w:space="0" w:color="auto"/>
                    <w:bottom w:val="none" w:sz="0" w:space="0" w:color="auto"/>
                    <w:right w:val="none" w:sz="0" w:space="0" w:color="auto"/>
                  </w:divBdr>
                  <w:divsChild>
                    <w:div w:id="604507597">
                      <w:marLeft w:val="0"/>
                      <w:marRight w:val="0"/>
                      <w:marTop w:val="0"/>
                      <w:marBottom w:val="0"/>
                      <w:divBdr>
                        <w:top w:val="none" w:sz="0" w:space="0" w:color="auto"/>
                        <w:left w:val="none" w:sz="0" w:space="0" w:color="auto"/>
                        <w:bottom w:val="none" w:sz="0" w:space="0" w:color="auto"/>
                        <w:right w:val="none" w:sz="0" w:space="0" w:color="auto"/>
                      </w:divBdr>
                      <w:divsChild>
                        <w:div w:id="609749350">
                          <w:marLeft w:val="0"/>
                          <w:marRight w:val="0"/>
                          <w:marTop w:val="0"/>
                          <w:marBottom w:val="0"/>
                          <w:divBdr>
                            <w:top w:val="none" w:sz="0" w:space="0" w:color="auto"/>
                            <w:left w:val="none" w:sz="0" w:space="0" w:color="auto"/>
                            <w:bottom w:val="none" w:sz="0" w:space="0" w:color="auto"/>
                            <w:right w:val="none" w:sz="0" w:space="0" w:color="auto"/>
                          </w:divBdr>
                          <w:divsChild>
                            <w:div w:id="1955668668">
                              <w:marLeft w:val="0"/>
                              <w:marRight w:val="0"/>
                              <w:marTop w:val="0"/>
                              <w:marBottom w:val="0"/>
                              <w:divBdr>
                                <w:top w:val="none" w:sz="0" w:space="0" w:color="auto"/>
                                <w:left w:val="none" w:sz="0" w:space="0" w:color="auto"/>
                                <w:bottom w:val="none" w:sz="0" w:space="0" w:color="auto"/>
                                <w:right w:val="none" w:sz="0" w:space="0" w:color="auto"/>
                              </w:divBdr>
                              <w:divsChild>
                                <w:div w:id="2034964378">
                                  <w:marLeft w:val="0"/>
                                  <w:marRight w:val="0"/>
                                  <w:marTop w:val="0"/>
                                  <w:marBottom w:val="0"/>
                                  <w:divBdr>
                                    <w:top w:val="none" w:sz="0" w:space="0" w:color="auto"/>
                                    <w:left w:val="none" w:sz="0" w:space="0" w:color="auto"/>
                                    <w:bottom w:val="none" w:sz="0" w:space="0" w:color="auto"/>
                                    <w:right w:val="none" w:sz="0" w:space="0" w:color="auto"/>
                                  </w:divBdr>
                                  <w:divsChild>
                                    <w:div w:id="803624636">
                                      <w:marLeft w:val="40"/>
                                      <w:marRight w:val="0"/>
                                      <w:marTop w:val="0"/>
                                      <w:marBottom w:val="0"/>
                                      <w:divBdr>
                                        <w:top w:val="none" w:sz="0" w:space="0" w:color="auto"/>
                                        <w:left w:val="none" w:sz="0" w:space="0" w:color="auto"/>
                                        <w:bottom w:val="none" w:sz="0" w:space="0" w:color="auto"/>
                                        <w:right w:val="none" w:sz="0" w:space="0" w:color="auto"/>
                                      </w:divBdr>
                                      <w:divsChild>
                                        <w:div w:id="1984697023">
                                          <w:marLeft w:val="0"/>
                                          <w:marRight w:val="0"/>
                                          <w:marTop w:val="0"/>
                                          <w:marBottom w:val="0"/>
                                          <w:divBdr>
                                            <w:top w:val="none" w:sz="0" w:space="0" w:color="auto"/>
                                            <w:left w:val="none" w:sz="0" w:space="0" w:color="auto"/>
                                            <w:bottom w:val="none" w:sz="0" w:space="0" w:color="auto"/>
                                            <w:right w:val="none" w:sz="0" w:space="0" w:color="auto"/>
                                          </w:divBdr>
                                          <w:divsChild>
                                            <w:div w:id="143471092">
                                              <w:marLeft w:val="0"/>
                                              <w:marRight w:val="0"/>
                                              <w:marTop w:val="0"/>
                                              <w:marBottom w:val="80"/>
                                              <w:divBdr>
                                                <w:top w:val="single" w:sz="4" w:space="0" w:color="F5F5F5"/>
                                                <w:left w:val="single" w:sz="4" w:space="0" w:color="F5F5F5"/>
                                                <w:bottom w:val="single" w:sz="4" w:space="0" w:color="F5F5F5"/>
                                                <w:right w:val="single" w:sz="4" w:space="0" w:color="F5F5F5"/>
                                              </w:divBdr>
                                              <w:divsChild>
                                                <w:div w:id="258412141">
                                                  <w:marLeft w:val="0"/>
                                                  <w:marRight w:val="0"/>
                                                  <w:marTop w:val="0"/>
                                                  <w:marBottom w:val="0"/>
                                                  <w:divBdr>
                                                    <w:top w:val="none" w:sz="0" w:space="0" w:color="auto"/>
                                                    <w:left w:val="none" w:sz="0" w:space="0" w:color="auto"/>
                                                    <w:bottom w:val="none" w:sz="0" w:space="0" w:color="auto"/>
                                                    <w:right w:val="none" w:sz="0" w:space="0" w:color="auto"/>
                                                  </w:divBdr>
                                                  <w:divsChild>
                                                    <w:div w:id="2788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23379500">
      <w:bodyDiv w:val="1"/>
      <w:marLeft w:val="0"/>
      <w:marRight w:val="0"/>
      <w:marTop w:val="0"/>
      <w:marBottom w:val="0"/>
      <w:divBdr>
        <w:top w:val="none" w:sz="0" w:space="0" w:color="auto"/>
        <w:left w:val="none" w:sz="0" w:space="0" w:color="auto"/>
        <w:bottom w:val="none" w:sz="0" w:space="0" w:color="auto"/>
        <w:right w:val="none" w:sz="0" w:space="0" w:color="auto"/>
      </w:divBdr>
    </w:div>
    <w:div w:id="1432237260">
      <w:bodyDiv w:val="1"/>
      <w:marLeft w:val="0"/>
      <w:marRight w:val="0"/>
      <w:marTop w:val="0"/>
      <w:marBottom w:val="0"/>
      <w:divBdr>
        <w:top w:val="none" w:sz="0" w:space="0" w:color="auto"/>
        <w:left w:val="none" w:sz="0" w:space="0" w:color="auto"/>
        <w:bottom w:val="none" w:sz="0" w:space="0" w:color="auto"/>
        <w:right w:val="none" w:sz="0" w:space="0" w:color="auto"/>
      </w:divBdr>
    </w:div>
    <w:div w:id="1432433365">
      <w:bodyDiv w:val="1"/>
      <w:marLeft w:val="0"/>
      <w:marRight w:val="0"/>
      <w:marTop w:val="0"/>
      <w:marBottom w:val="0"/>
      <w:divBdr>
        <w:top w:val="none" w:sz="0" w:space="0" w:color="auto"/>
        <w:left w:val="none" w:sz="0" w:space="0" w:color="auto"/>
        <w:bottom w:val="none" w:sz="0" w:space="0" w:color="auto"/>
        <w:right w:val="none" w:sz="0" w:space="0" w:color="auto"/>
      </w:divBdr>
    </w:div>
    <w:div w:id="1433747195">
      <w:bodyDiv w:val="1"/>
      <w:marLeft w:val="0"/>
      <w:marRight w:val="0"/>
      <w:marTop w:val="0"/>
      <w:marBottom w:val="0"/>
      <w:divBdr>
        <w:top w:val="none" w:sz="0" w:space="0" w:color="auto"/>
        <w:left w:val="none" w:sz="0" w:space="0" w:color="auto"/>
        <w:bottom w:val="none" w:sz="0" w:space="0" w:color="auto"/>
        <w:right w:val="none" w:sz="0" w:space="0" w:color="auto"/>
      </w:divBdr>
    </w:div>
    <w:div w:id="1445493158">
      <w:bodyDiv w:val="1"/>
      <w:marLeft w:val="0"/>
      <w:marRight w:val="0"/>
      <w:marTop w:val="0"/>
      <w:marBottom w:val="0"/>
      <w:divBdr>
        <w:top w:val="none" w:sz="0" w:space="0" w:color="auto"/>
        <w:left w:val="none" w:sz="0" w:space="0" w:color="auto"/>
        <w:bottom w:val="none" w:sz="0" w:space="0" w:color="auto"/>
        <w:right w:val="none" w:sz="0" w:space="0" w:color="auto"/>
      </w:divBdr>
    </w:div>
    <w:div w:id="1460565738">
      <w:bodyDiv w:val="1"/>
      <w:marLeft w:val="0"/>
      <w:marRight w:val="0"/>
      <w:marTop w:val="0"/>
      <w:marBottom w:val="0"/>
      <w:divBdr>
        <w:top w:val="none" w:sz="0" w:space="0" w:color="auto"/>
        <w:left w:val="none" w:sz="0" w:space="0" w:color="auto"/>
        <w:bottom w:val="none" w:sz="0" w:space="0" w:color="auto"/>
        <w:right w:val="none" w:sz="0" w:space="0" w:color="auto"/>
      </w:divBdr>
    </w:div>
    <w:div w:id="1461655380">
      <w:bodyDiv w:val="1"/>
      <w:marLeft w:val="0"/>
      <w:marRight w:val="0"/>
      <w:marTop w:val="0"/>
      <w:marBottom w:val="0"/>
      <w:divBdr>
        <w:top w:val="none" w:sz="0" w:space="0" w:color="auto"/>
        <w:left w:val="none" w:sz="0" w:space="0" w:color="auto"/>
        <w:bottom w:val="none" w:sz="0" w:space="0" w:color="auto"/>
        <w:right w:val="none" w:sz="0" w:space="0" w:color="auto"/>
      </w:divBdr>
    </w:div>
    <w:div w:id="1472481232">
      <w:bodyDiv w:val="1"/>
      <w:marLeft w:val="0"/>
      <w:marRight w:val="0"/>
      <w:marTop w:val="0"/>
      <w:marBottom w:val="0"/>
      <w:divBdr>
        <w:top w:val="none" w:sz="0" w:space="0" w:color="auto"/>
        <w:left w:val="none" w:sz="0" w:space="0" w:color="auto"/>
        <w:bottom w:val="none" w:sz="0" w:space="0" w:color="auto"/>
        <w:right w:val="none" w:sz="0" w:space="0" w:color="auto"/>
      </w:divBdr>
    </w:div>
    <w:div w:id="1488283554">
      <w:bodyDiv w:val="1"/>
      <w:marLeft w:val="0"/>
      <w:marRight w:val="0"/>
      <w:marTop w:val="0"/>
      <w:marBottom w:val="0"/>
      <w:divBdr>
        <w:top w:val="none" w:sz="0" w:space="0" w:color="auto"/>
        <w:left w:val="none" w:sz="0" w:space="0" w:color="auto"/>
        <w:bottom w:val="none" w:sz="0" w:space="0" w:color="auto"/>
        <w:right w:val="none" w:sz="0" w:space="0" w:color="auto"/>
      </w:divBdr>
    </w:div>
    <w:div w:id="1496452277">
      <w:bodyDiv w:val="1"/>
      <w:marLeft w:val="0"/>
      <w:marRight w:val="0"/>
      <w:marTop w:val="0"/>
      <w:marBottom w:val="0"/>
      <w:divBdr>
        <w:top w:val="none" w:sz="0" w:space="0" w:color="auto"/>
        <w:left w:val="none" w:sz="0" w:space="0" w:color="auto"/>
        <w:bottom w:val="none" w:sz="0" w:space="0" w:color="auto"/>
        <w:right w:val="none" w:sz="0" w:space="0" w:color="auto"/>
      </w:divBdr>
    </w:div>
    <w:div w:id="1500004474">
      <w:bodyDiv w:val="1"/>
      <w:marLeft w:val="0"/>
      <w:marRight w:val="0"/>
      <w:marTop w:val="0"/>
      <w:marBottom w:val="0"/>
      <w:divBdr>
        <w:top w:val="none" w:sz="0" w:space="0" w:color="auto"/>
        <w:left w:val="none" w:sz="0" w:space="0" w:color="auto"/>
        <w:bottom w:val="none" w:sz="0" w:space="0" w:color="auto"/>
        <w:right w:val="none" w:sz="0" w:space="0" w:color="auto"/>
      </w:divBdr>
    </w:div>
    <w:div w:id="1555501671">
      <w:bodyDiv w:val="1"/>
      <w:marLeft w:val="0"/>
      <w:marRight w:val="0"/>
      <w:marTop w:val="0"/>
      <w:marBottom w:val="0"/>
      <w:divBdr>
        <w:top w:val="none" w:sz="0" w:space="0" w:color="auto"/>
        <w:left w:val="none" w:sz="0" w:space="0" w:color="auto"/>
        <w:bottom w:val="none" w:sz="0" w:space="0" w:color="auto"/>
        <w:right w:val="none" w:sz="0" w:space="0" w:color="auto"/>
      </w:divBdr>
    </w:div>
    <w:div w:id="1563371059">
      <w:bodyDiv w:val="1"/>
      <w:marLeft w:val="0"/>
      <w:marRight w:val="0"/>
      <w:marTop w:val="0"/>
      <w:marBottom w:val="0"/>
      <w:divBdr>
        <w:top w:val="none" w:sz="0" w:space="0" w:color="auto"/>
        <w:left w:val="none" w:sz="0" w:space="0" w:color="auto"/>
        <w:bottom w:val="none" w:sz="0" w:space="0" w:color="auto"/>
        <w:right w:val="none" w:sz="0" w:space="0" w:color="auto"/>
      </w:divBdr>
    </w:div>
    <w:div w:id="1569725388">
      <w:bodyDiv w:val="1"/>
      <w:marLeft w:val="0"/>
      <w:marRight w:val="0"/>
      <w:marTop w:val="0"/>
      <w:marBottom w:val="0"/>
      <w:divBdr>
        <w:top w:val="none" w:sz="0" w:space="0" w:color="auto"/>
        <w:left w:val="none" w:sz="0" w:space="0" w:color="auto"/>
        <w:bottom w:val="none" w:sz="0" w:space="0" w:color="auto"/>
        <w:right w:val="none" w:sz="0" w:space="0" w:color="auto"/>
      </w:divBdr>
    </w:div>
    <w:div w:id="1575162593">
      <w:bodyDiv w:val="1"/>
      <w:marLeft w:val="0"/>
      <w:marRight w:val="0"/>
      <w:marTop w:val="0"/>
      <w:marBottom w:val="0"/>
      <w:divBdr>
        <w:top w:val="none" w:sz="0" w:space="0" w:color="auto"/>
        <w:left w:val="none" w:sz="0" w:space="0" w:color="auto"/>
        <w:bottom w:val="none" w:sz="0" w:space="0" w:color="auto"/>
        <w:right w:val="none" w:sz="0" w:space="0" w:color="auto"/>
      </w:divBdr>
    </w:div>
    <w:div w:id="1577471146">
      <w:bodyDiv w:val="1"/>
      <w:marLeft w:val="0"/>
      <w:marRight w:val="0"/>
      <w:marTop w:val="0"/>
      <w:marBottom w:val="0"/>
      <w:divBdr>
        <w:top w:val="none" w:sz="0" w:space="0" w:color="auto"/>
        <w:left w:val="none" w:sz="0" w:space="0" w:color="auto"/>
        <w:bottom w:val="none" w:sz="0" w:space="0" w:color="auto"/>
        <w:right w:val="none" w:sz="0" w:space="0" w:color="auto"/>
      </w:divBdr>
      <w:divsChild>
        <w:div w:id="1518527">
          <w:marLeft w:val="0"/>
          <w:marRight w:val="0"/>
          <w:marTop w:val="0"/>
          <w:marBottom w:val="0"/>
          <w:divBdr>
            <w:top w:val="none" w:sz="0" w:space="0" w:color="auto"/>
            <w:left w:val="none" w:sz="0" w:space="0" w:color="auto"/>
            <w:bottom w:val="none" w:sz="0" w:space="0" w:color="auto"/>
            <w:right w:val="none" w:sz="0" w:space="0" w:color="auto"/>
          </w:divBdr>
          <w:divsChild>
            <w:div w:id="2019841877">
              <w:marLeft w:val="0"/>
              <w:marRight w:val="0"/>
              <w:marTop w:val="0"/>
              <w:marBottom w:val="0"/>
              <w:divBdr>
                <w:top w:val="none" w:sz="0" w:space="0" w:color="auto"/>
                <w:left w:val="none" w:sz="0" w:space="0" w:color="auto"/>
                <w:bottom w:val="none" w:sz="0" w:space="0" w:color="auto"/>
                <w:right w:val="none" w:sz="0" w:space="0" w:color="auto"/>
              </w:divBdr>
              <w:divsChild>
                <w:div w:id="128599084">
                  <w:marLeft w:val="0"/>
                  <w:marRight w:val="0"/>
                  <w:marTop w:val="0"/>
                  <w:marBottom w:val="0"/>
                  <w:divBdr>
                    <w:top w:val="none" w:sz="0" w:space="0" w:color="auto"/>
                    <w:left w:val="none" w:sz="0" w:space="0" w:color="auto"/>
                    <w:bottom w:val="none" w:sz="0" w:space="0" w:color="auto"/>
                    <w:right w:val="none" w:sz="0" w:space="0" w:color="auto"/>
                  </w:divBdr>
                  <w:divsChild>
                    <w:div w:id="1317147816">
                      <w:marLeft w:val="0"/>
                      <w:marRight w:val="0"/>
                      <w:marTop w:val="0"/>
                      <w:marBottom w:val="0"/>
                      <w:divBdr>
                        <w:top w:val="none" w:sz="0" w:space="0" w:color="auto"/>
                        <w:left w:val="none" w:sz="0" w:space="0" w:color="auto"/>
                        <w:bottom w:val="none" w:sz="0" w:space="0" w:color="auto"/>
                        <w:right w:val="none" w:sz="0" w:space="0" w:color="auto"/>
                      </w:divBdr>
                      <w:divsChild>
                        <w:div w:id="1487355193">
                          <w:marLeft w:val="0"/>
                          <w:marRight w:val="0"/>
                          <w:marTop w:val="0"/>
                          <w:marBottom w:val="0"/>
                          <w:divBdr>
                            <w:top w:val="none" w:sz="0" w:space="0" w:color="auto"/>
                            <w:left w:val="none" w:sz="0" w:space="0" w:color="auto"/>
                            <w:bottom w:val="none" w:sz="0" w:space="0" w:color="auto"/>
                            <w:right w:val="none" w:sz="0" w:space="0" w:color="auto"/>
                          </w:divBdr>
                          <w:divsChild>
                            <w:div w:id="1139878347">
                              <w:marLeft w:val="0"/>
                              <w:marRight w:val="0"/>
                              <w:marTop w:val="0"/>
                              <w:marBottom w:val="0"/>
                              <w:divBdr>
                                <w:top w:val="none" w:sz="0" w:space="0" w:color="auto"/>
                                <w:left w:val="none" w:sz="0" w:space="0" w:color="auto"/>
                                <w:bottom w:val="none" w:sz="0" w:space="0" w:color="auto"/>
                                <w:right w:val="none" w:sz="0" w:space="0" w:color="auto"/>
                              </w:divBdr>
                              <w:divsChild>
                                <w:div w:id="41946972">
                                  <w:marLeft w:val="0"/>
                                  <w:marRight w:val="0"/>
                                  <w:marTop w:val="0"/>
                                  <w:marBottom w:val="0"/>
                                  <w:divBdr>
                                    <w:top w:val="none" w:sz="0" w:space="0" w:color="auto"/>
                                    <w:left w:val="none" w:sz="0" w:space="0" w:color="auto"/>
                                    <w:bottom w:val="none" w:sz="0" w:space="0" w:color="auto"/>
                                    <w:right w:val="none" w:sz="0" w:space="0" w:color="auto"/>
                                  </w:divBdr>
                                  <w:divsChild>
                                    <w:div w:id="334380647">
                                      <w:marLeft w:val="40"/>
                                      <w:marRight w:val="0"/>
                                      <w:marTop w:val="0"/>
                                      <w:marBottom w:val="0"/>
                                      <w:divBdr>
                                        <w:top w:val="none" w:sz="0" w:space="0" w:color="auto"/>
                                        <w:left w:val="none" w:sz="0" w:space="0" w:color="auto"/>
                                        <w:bottom w:val="none" w:sz="0" w:space="0" w:color="auto"/>
                                        <w:right w:val="none" w:sz="0" w:space="0" w:color="auto"/>
                                      </w:divBdr>
                                      <w:divsChild>
                                        <w:div w:id="458180964">
                                          <w:marLeft w:val="0"/>
                                          <w:marRight w:val="0"/>
                                          <w:marTop w:val="0"/>
                                          <w:marBottom w:val="0"/>
                                          <w:divBdr>
                                            <w:top w:val="none" w:sz="0" w:space="0" w:color="auto"/>
                                            <w:left w:val="none" w:sz="0" w:space="0" w:color="auto"/>
                                            <w:bottom w:val="none" w:sz="0" w:space="0" w:color="auto"/>
                                            <w:right w:val="none" w:sz="0" w:space="0" w:color="auto"/>
                                          </w:divBdr>
                                          <w:divsChild>
                                            <w:div w:id="736628611">
                                              <w:marLeft w:val="0"/>
                                              <w:marRight w:val="0"/>
                                              <w:marTop w:val="0"/>
                                              <w:marBottom w:val="80"/>
                                              <w:divBdr>
                                                <w:top w:val="single" w:sz="4" w:space="0" w:color="F5F5F5"/>
                                                <w:left w:val="single" w:sz="4" w:space="0" w:color="F5F5F5"/>
                                                <w:bottom w:val="single" w:sz="4" w:space="0" w:color="F5F5F5"/>
                                                <w:right w:val="single" w:sz="4" w:space="0" w:color="F5F5F5"/>
                                              </w:divBdr>
                                              <w:divsChild>
                                                <w:div w:id="1958683188">
                                                  <w:marLeft w:val="0"/>
                                                  <w:marRight w:val="0"/>
                                                  <w:marTop w:val="0"/>
                                                  <w:marBottom w:val="0"/>
                                                  <w:divBdr>
                                                    <w:top w:val="none" w:sz="0" w:space="0" w:color="auto"/>
                                                    <w:left w:val="none" w:sz="0" w:space="0" w:color="auto"/>
                                                    <w:bottom w:val="none" w:sz="0" w:space="0" w:color="auto"/>
                                                    <w:right w:val="none" w:sz="0" w:space="0" w:color="auto"/>
                                                  </w:divBdr>
                                                  <w:divsChild>
                                                    <w:div w:id="142097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82568900">
      <w:bodyDiv w:val="1"/>
      <w:marLeft w:val="0"/>
      <w:marRight w:val="0"/>
      <w:marTop w:val="0"/>
      <w:marBottom w:val="0"/>
      <w:divBdr>
        <w:top w:val="none" w:sz="0" w:space="0" w:color="auto"/>
        <w:left w:val="none" w:sz="0" w:space="0" w:color="auto"/>
        <w:bottom w:val="none" w:sz="0" w:space="0" w:color="auto"/>
        <w:right w:val="none" w:sz="0" w:space="0" w:color="auto"/>
      </w:divBdr>
      <w:divsChild>
        <w:div w:id="1793742436">
          <w:marLeft w:val="0"/>
          <w:marRight w:val="0"/>
          <w:marTop w:val="0"/>
          <w:marBottom w:val="0"/>
          <w:divBdr>
            <w:top w:val="none" w:sz="0" w:space="0" w:color="auto"/>
            <w:left w:val="none" w:sz="0" w:space="0" w:color="auto"/>
            <w:bottom w:val="none" w:sz="0" w:space="0" w:color="auto"/>
            <w:right w:val="none" w:sz="0" w:space="0" w:color="auto"/>
          </w:divBdr>
          <w:divsChild>
            <w:div w:id="25105325">
              <w:marLeft w:val="0"/>
              <w:marRight w:val="0"/>
              <w:marTop w:val="0"/>
              <w:marBottom w:val="0"/>
              <w:divBdr>
                <w:top w:val="none" w:sz="0" w:space="0" w:color="auto"/>
                <w:left w:val="none" w:sz="0" w:space="0" w:color="auto"/>
                <w:bottom w:val="none" w:sz="0" w:space="0" w:color="auto"/>
                <w:right w:val="none" w:sz="0" w:space="0" w:color="auto"/>
              </w:divBdr>
              <w:divsChild>
                <w:div w:id="1204363993">
                  <w:marLeft w:val="0"/>
                  <w:marRight w:val="0"/>
                  <w:marTop w:val="0"/>
                  <w:marBottom w:val="0"/>
                  <w:divBdr>
                    <w:top w:val="none" w:sz="0" w:space="0" w:color="auto"/>
                    <w:left w:val="none" w:sz="0" w:space="0" w:color="auto"/>
                    <w:bottom w:val="none" w:sz="0" w:space="0" w:color="auto"/>
                    <w:right w:val="none" w:sz="0" w:space="0" w:color="auto"/>
                  </w:divBdr>
                  <w:divsChild>
                    <w:div w:id="1267692480">
                      <w:marLeft w:val="0"/>
                      <w:marRight w:val="0"/>
                      <w:marTop w:val="0"/>
                      <w:marBottom w:val="0"/>
                      <w:divBdr>
                        <w:top w:val="none" w:sz="0" w:space="0" w:color="auto"/>
                        <w:left w:val="none" w:sz="0" w:space="0" w:color="auto"/>
                        <w:bottom w:val="none" w:sz="0" w:space="0" w:color="auto"/>
                        <w:right w:val="none" w:sz="0" w:space="0" w:color="auto"/>
                      </w:divBdr>
                      <w:divsChild>
                        <w:div w:id="324286336">
                          <w:marLeft w:val="0"/>
                          <w:marRight w:val="0"/>
                          <w:marTop w:val="0"/>
                          <w:marBottom w:val="0"/>
                          <w:divBdr>
                            <w:top w:val="none" w:sz="0" w:space="0" w:color="auto"/>
                            <w:left w:val="none" w:sz="0" w:space="0" w:color="auto"/>
                            <w:bottom w:val="none" w:sz="0" w:space="0" w:color="auto"/>
                            <w:right w:val="none" w:sz="0" w:space="0" w:color="auto"/>
                          </w:divBdr>
                          <w:divsChild>
                            <w:div w:id="1407876345">
                              <w:marLeft w:val="0"/>
                              <w:marRight w:val="0"/>
                              <w:marTop w:val="0"/>
                              <w:marBottom w:val="0"/>
                              <w:divBdr>
                                <w:top w:val="none" w:sz="0" w:space="0" w:color="auto"/>
                                <w:left w:val="none" w:sz="0" w:space="0" w:color="auto"/>
                                <w:bottom w:val="none" w:sz="0" w:space="0" w:color="auto"/>
                                <w:right w:val="none" w:sz="0" w:space="0" w:color="auto"/>
                              </w:divBdr>
                              <w:divsChild>
                                <w:div w:id="1445226262">
                                  <w:marLeft w:val="0"/>
                                  <w:marRight w:val="0"/>
                                  <w:marTop w:val="0"/>
                                  <w:marBottom w:val="0"/>
                                  <w:divBdr>
                                    <w:top w:val="none" w:sz="0" w:space="0" w:color="auto"/>
                                    <w:left w:val="none" w:sz="0" w:space="0" w:color="auto"/>
                                    <w:bottom w:val="none" w:sz="0" w:space="0" w:color="auto"/>
                                    <w:right w:val="none" w:sz="0" w:space="0" w:color="auto"/>
                                  </w:divBdr>
                                  <w:divsChild>
                                    <w:div w:id="1159149340">
                                      <w:marLeft w:val="0"/>
                                      <w:marRight w:val="0"/>
                                      <w:marTop w:val="0"/>
                                      <w:marBottom w:val="0"/>
                                      <w:divBdr>
                                        <w:top w:val="none" w:sz="0" w:space="0" w:color="auto"/>
                                        <w:left w:val="none" w:sz="0" w:space="0" w:color="auto"/>
                                        <w:bottom w:val="none" w:sz="0" w:space="0" w:color="auto"/>
                                        <w:right w:val="none" w:sz="0" w:space="0" w:color="auto"/>
                                      </w:divBdr>
                                      <w:divsChild>
                                        <w:div w:id="2293775">
                                          <w:marLeft w:val="0"/>
                                          <w:marRight w:val="0"/>
                                          <w:marTop w:val="0"/>
                                          <w:marBottom w:val="0"/>
                                          <w:divBdr>
                                            <w:top w:val="none" w:sz="0" w:space="0" w:color="auto"/>
                                            <w:left w:val="none" w:sz="0" w:space="0" w:color="auto"/>
                                            <w:bottom w:val="none" w:sz="0" w:space="0" w:color="auto"/>
                                            <w:right w:val="none" w:sz="0" w:space="0" w:color="auto"/>
                                          </w:divBdr>
                                          <w:divsChild>
                                            <w:div w:id="1469739583">
                                              <w:marLeft w:val="0"/>
                                              <w:marRight w:val="0"/>
                                              <w:marTop w:val="0"/>
                                              <w:marBottom w:val="0"/>
                                              <w:divBdr>
                                                <w:top w:val="none" w:sz="0" w:space="0" w:color="auto"/>
                                                <w:left w:val="none" w:sz="0" w:space="0" w:color="auto"/>
                                                <w:bottom w:val="none" w:sz="0" w:space="0" w:color="auto"/>
                                                <w:right w:val="none" w:sz="0" w:space="0" w:color="auto"/>
                                              </w:divBdr>
                                              <w:divsChild>
                                                <w:div w:id="1372221834">
                                                  <w:marLeft w:val="0"/>
                                                  <w:marRight w:val="0"/>
                                                  <w:marTop w:val="0"/>
                                                  <w:marBottom w:val="0"/>
                                                  <w:divBdr>
                                                    <w:top w:val="none" w:sz="0" w:space="0" w:color="auto"/>
                                                    <w:left w:val="none" w:sz="0" w:space="0" w:color="auto"/>
                                                    <w:bottom w:val="none" w:sz="0" w:space="0" w:color="auto"/>
                                                    <w:right w:val="none" w:sz="0" w:space="0" w:color="auto"/>
                                                  </w:divBdr>
                                                  <w:divsChild>
                                                    <w:div w:id="1569416244">
                                                      <w:marLeft w:val="0"/>
                                                      <w:marRight w:val="0"/>
                                                      <w:marTop w:val="0"/>
                                                      <w:marBottom w:val="0"/>
                                                      <w:divBdr>
                                                        <w:top w:val="none" w:sz="0" w:space="0" w:color="auto"/>
                                                        <w:left w:val="none" w:sz="0" w:space="0" w:color="auto"/>
                                                        <w:bottom w:val="none" w:sz="0" w:space="0" w:color="auto"/>
                                                        <w:right w:val="none" w:sz="0" w:space="0" w:color="auto"/>
                                                      </w:divBdr>
                                                      <w:divsChild>
                                                        <w:div w:id="1918320627">
                                                          <w:marLeft w:val="0"/>
                                                          <w:marRight w:val="0"/>
                                                          <w:marTop w:val="0"/>
                                                          <w:marBottom w:val="0"/>
                                                          <w:divBdr>
                                                            <w:top w:val="none" w:sz="0" w:space="0" w:color="auto"/>
                                                            <w:left w:val="none" w:sz="0" w:space="0" w:color="auto"/>
                                                            <w:bottom w:val="none" w:sz="0" w:space="0" w:color="auto"/>
                                                            <w:right w:val="none" w:sz="0" w:space="0" w:color="auto"/>
                                                          </w:divBdr>
                                                          <w:divsChild>
                                                            <w:div w:id="543181795">
                                                              <w:marLeft w:val="0"/>
                                                              <w:marRight w:val="0"/>
                                                              <w:marTop w:val="0"/>
                                                              <w:marBottom w:val="0"/>
                                                              <w:divBdr>
                                                                <w:top w:val="none" w:sz="0" w:space="0" w:color="auto"/>
                                                                <w:left w:val="none" w:sz="0" w:space="0" w:color="auto"/>
                                                                <w:bottom w:val="none" w:sz="0" w:space="0" w:color="auto"/>
                                                                <w:right w:val="none" w:sz="0" w:space="0" w:color="auto"/>
                                                              </w:divBdr>
                                                              <w:divsChild>
                                                                <w:div w:id="1864518892">
                                                                  <w:marLeft w:val="0"/>
                                                                  <w:marRight w:val="0"/>
                                                                  <w:marTop w:val="58"/>
                                                                  <w:marBottom w:val="230"/>
                                                                  <w:divBdr>
                                                                    <w:top w:val="none" w:sz="0" w:space="0" w:color="auto"/>
                                                                    <w:left w:val="none" w:sz="0" w:space="0" w:color="auto"/>
                                                                    <w:bottom w:val="none" w:sz="0" w:space="0" w:color="auto"/>
                                                                    <w:right w:val="none" w:sz="0" w:space="0" w:color="auto"/>
                                                                  </w:divBdr>
                                                                  <w:divsChild>
                                                                    <w:div w:id="2095543771">
                                                                      <w:marLeft w:val="0"/>
                                                                      <w:marRight w:val="0"/>
                                                                      <w:marTop w:val="0"/>
                                                                      <w:marBottom w:val="0"/>
                                                                      <w:divBdr>
                                                                        <w:top w:val="none" w:sz="0" w:space="0" w:color="auto"/>
                                                                        <w:left w:val="none" w:sz="0" w:space="0" w:color="auto"/>
                                                                        <w:bottom w:val="none" w:sz="0" w:space="0" w:color="auto"/>
                                                                        <w:right w:val="none" w:sz="0" w:space="0" w:color="auto"/>
                                                                      </w:divBdr>
                                                                      <w:divsChild>
                                                                        <w:div w:id="913318727">
                                                                          <w:marLeft w:val="0"/>
                                                                          <w:marRight w:val="0"/>
                                                                          <w:marTop w:val="0"/>
                                                                          <w:marBottom w:val="0"/>
                                                                          <w:divBdr>
                                                                            <w:top w:val="none" w:sz="0" w:space="0" w:color="auto"/>
                                                                            <w:left w:val="none" w:sz="0" w:space="0" w:color="auto"/>
                                                                            <w:bottom w:val="none" w:sz="0" w:space="0" w:color="auto"/>
                                                                            <w:right w:val="none" w:sz="0" w:space="0" w:color="auto"/>
                                                                          </w:divBdr>
                                                                          <w:divsChild>
                                                                            <w:div w:id="120868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3123256">
      <w:bodyDiv w:val="1"/>
      <w:marLeft w:val="0"/>
      <w:marRight w:val="0"/>
      <w:marTop w:val="0"/>
      <w:marBottom w:val="0"/>
      <w:divBdr>
        <w:top w:val="none" w:sz="0" w:space="0" w:color="auto"/>
        <w:left w:val="none" w:sz="0" w:space="0" w:color="auto"/>
        <w:bottom w:val="none" w:sz="0" w:space="0" w:color="auto"/>
        <w:right w:val="none" w:sz="0" w:space="0" w:color="auto"/>
      </w:divBdr>
    </w:div>
    <w:div w:id="1616669060">
      <w:bodyDiv w:val="1"/>
      <w:marLeft w:val="0"/>
      <w:marRight w:val="0"/>
      <w:marTop w:val="0"/>
      <w:marBottom w:val="0"/>
      <w:divBdr>
        <w:top w:val="none" w:sz="0" w:space="0" w:color="auto"/>
        <w:left w:val="none" w:sz="0" w:space="0" w:color="auto"/>
        <w:bottom w:val="none" w:sz="0" w:space="0" w:color="auto"/>
        <w:right w:val="none" w:sz="0" w:space="0" w:color="auto"/>
      </w:divBdr>
      <w:divsChild>
        <w:div w:id="593131614">
          <w:marLeft w:val="3"/>
          <w:marRight w:val="3"/>
          <w:marTop w:val="0"/>
          <w:marBottom w:val="0"/>
          <w:divBdr>
            <w:top w:val="single" w:sz="4" w:space="0" w:color="112449"/>
            <w:left w:val="single" w:sz="4" w:space="0" w:color="112449"/>
            <w:bottom w:val="single" w:sz="4" w:space="0" w:color="112449"/>
            <w:right w:val="single" w:sz="4" w:space="0" w:color="112449"/>
          </w:divBdr>
        </w:div>
      </w:divsChild>
    </w:div>
    <w:div w:id="1628272948">
      <w:bodyDiv w:val="1"/>
      <w:marLeft w:val="0"/>
      <w:marRight w:val="0"/>
      <w:marTop w:val="0"/>
      <w:marBottom w:val="0"/>
      <w:divBdr>
        <w:top w:val="none" w:sz="0" w:space="0" w:color="auto"/>
        <w:left w:val="none" w:sz="0" w:space="0" w:color="auto"/>
        <w:bottom w:val="none" w:sz="0" w:space="0" w:color="auto"/>
        <w:right w:val="none" w:sz="0" w:space="0" w:color="auto"/>
      </w:divBdr>
      <w:divsChild>
        <w:div w:id="1158228150">
          <w:marLeft w:val="0"/>
          <w:marRight w:val="0"/>
          <w:marTop w:val="0"/>
          <w:marBottom w:val="0"/>
          <w:divBdr>
            <w:top w:val="none" w:sz="0" w:space="0" w:color="auto"/>
            <w:left w:val="none" w:sz="0" w:space="0" w:color="auto"/>
            <w:bottom w:val="none" w:sz="0" w:space="0" w:color="auto"/>
            <w:right w:val="none" w:sz="0" w:space="0" w:color="auto"/>
          </w:divBdr>
        </w:div>
      </w:divsChild>
    </w:div>
    <w:div w:id="1629310697">
      <w:bodyDiv w:val="1"/>
      <w:marLeft w:val="0"/>
      <w:marRight w:val="0"/>
      <w:marTop w:val="0"/>
      <w:marBottom w:val="0"/>
      <w:divBdr>
        <w:top w:val="none" w:sz="0" w:space="0" w:color="auto"/>
        <w:left w:val="none" w:sz="0" w:space="0" w:color="auto"/>
        <w:bottom w:val="none" w:sz="0" w:space="0" w:color="auto"/>
        <w:right w:val="none" w:sz="0" w:space="0" w:color="auto"/>
      </w:divBdr>
    </w:div>
    <w:div w:id="1637754858">
      <w:bodyDiv w:val="1"/>
      <w:marLeft w:val="0"/>
      <w:marRight w:val="0"/>
      <w:marTop w:val="0"/>
      <w:marBottom w:val="0"/>
      <w:divBdr>
        <w:top w:val="none" w:sz="0" w:space="0" w:color="auto"/>
        <w:left w:val="none" w:sz="0" w:space="0" w:color="auto"/>
        <w:bottom w:val="none" w:sz="0" w:space="0" w:color="auto"/>
        <w:right w:val="none" w:sz="0" w:space="0" w:color="auto"/>
      </w:divBdr>
    </w:div>
    <w:div w:id="1643660325">
      <w:bodyDiv w:val="1"/>
      <w:marLeft w:val="0"/>
      <w:marRight w:val="0"/>
      <w:marTop w:val="0"/>
      <w:marBottom w:val="0"/>
      <w:divBdr>
        <w:top w:val="none" w:sz="0" w:space="0" w:color="auto"/>
        <w:left w:val="none" w:sz="0" w:space="0" w:color="auto"/>
        <w:bottom w:val="none" w:sz="0" w:space="0" w:color="auto"/>
        <w:right w:val="none" w:sz="0" w:space="0" w:color="auto"/>
      </w:divBdr>
      <w:divsChild>
        <w:div w:id="1134642550">
          <w:marLeft w:val="0"/>
          <w:marRight w:val="0"/>
          <w:marTop w:val="0"/>
          <w:marBottom w:val="0"/>
          <w:divBdr>
            <w:top w:val="none" w:sz="0" w:space="0" w:color="auto"/>
            <w:left w:val="none" w:sz="0" w:space="0" w:color="auto"/>
            <w:bottom w:val="none" w:sz="0" w:space="0" w:color="auto"/>
            <w:right w:val="none" w:sz="0" w:space="0" w:color="auto"/>
          </w:divBdr>
        </w:div>
      </w:divsChild>
    </w:div>
    <w:div w:id="1647005723">
      <w:bodyDiv w:val="1"/>
      <w:marLeft w:val="0"/>
      <w:marRight w:val="0"/>
      <w:marTop w:val="0"/>
      <w:marBottom w:val="0"/>
      <w:divBdr>
        <w:top w:val="none" w:sz="0" w:space="0" w:color="auto"/>
        <w:left w:val="none" w:sz="0" w:space="0" w:color="auto"/>
        <w:bottom w:val="none" w:sz="0" w:space="0" w:color="auto"/>
        <w:right w:val="none" w:sz="0" w:space="0" w:color="auto"/>
      </w:divBdr>
    </w:div>
    <w:div w:id="1660695119">
      <w:bodyDiv w:val="1"/>
      <w:marLeft w:val="0"/>
      <w:marRight w:val="0"/>
      <w:marTop w:val="0"/>
      <w:marBottom w:val="0"/>
      <w:divBdr>
        <w:top w:val="none" w:sz="0" w:space="0" w:color="auto"/>
        <w:left w:val="none" w:sz="0" w:space="0" w:color="auto"/>
        <w:bottom w:val="none" w:sz="0" w:space="0" w:color="auto"/>
        <w:right w:val="none" w:sz="0" w:space="0" w:color="auto"/>
      </w:divBdr>
    </w:div>
    <w:div w:id="1668240815">
      <w:bodyDiv w:val="1"/>
      <w:marLeft w:val="0"/>
      <w:marRight w:val="0"/>
      <w:marTop w:val="0"/>
      <w:marBottom w:val="0"/>
      <w:divBdr>
        <w:top w:val="none" w:sz="0" w:space="0" w:color="auto"/>
        <w:left w:val="none" w:sz="0" w:space="0" w:color="auto"/>
        <w:bottom w:val="none" w:sz="0" w:space="0" w:color="auto"/>
        <w:right w:val="none" w:sz="0" w:space="0" w:color="auto"/>
      </w:divBdr>
    </w:div>
    <w:div w:id="1678190718">
      <w:bodyDiv w:val="1"/>
      <w:marLeft w:val="0"/>
      <w:marRight w:val="0"/>
      <w:marTop w:val="0"/>
      <w:marBottom w:val="0"/>
      <w:divBdr>
        <w:top w:val="none" w:sz="0" w:space="0" w:color="auto"/>
        <w:left w:val="none" w:sz="0" w:space="0" w:color="auto"/>
        <w:bottom w:val="none" w:sz="0" w:space="0" w:color="auto"/>
        <w:right w:val="none" w:sz="0" w:space="0" w:color="auto"/>
      </w:divBdr>
    </w:div>
    <w:div w:id="1678918165">
      <w:bodyDiv w:val="1"/>
      <w:marLeft w:val="0"/>
      <w:marRight w:val="0"/>
      <w:marTop w:val="0"/>
      <w:marBottom w:val="0"/>
      <w:divBdr>
        <w:top w:val="none" w:sz="0" w:space="0" w:color="auto"/>
        <w:left w:val="none" w:sz="0" w:space="0" w:color="auto"/>
        <w:bottom w:val="none" w:sz="0" w:space="0" w:color="auto"/>
        <w:right w:val="none" w:sz="0" w:space="0" w:color="auto"/>
      </w:divBdr>
    </w:div>
    <w:div w:id="1679387376">
      <w:bodyDiv w:val="1"/>
      <w:marLeft w:val="0"/>
      <w:marRight w:val="0"/>
      <w:marTop w:val="0"/>
      <w:marBottom w:val="0"/>
      <w:divBdr>
        <w:top w:val="none" w:sz="0" w:space="0" w:color="auto"/>
        <w:left w:val="none" w:sz="0" w:space="0" w:color="auto"/>
        <w:bottom w:val="none" w:sz="0" w:space="0" w:color="auto"/>
        <w:right w:val="none" w:sz="0" w:space="0" w:color="auto"/>
      </w:divBdr>
    </w:div>
    <w:div w:id="1691251259">
      <w:bodyDiv w:val="1"/>
      <w:marLeft w:val="0"/>
      <w:marRight w:val="0"/>
      <w:marTop w:val="0"/>
      <w:marBottom w:val="0"/>
      <w:divBdr>
        <w:top w:val="none" w:sz="0" w:space="0" w:color="auto"/>
        <w:left w:val="none" w:sz="0" w:space="0" w:color="auto"/>
        <w:bottom w:val="none" w:sz="0" w:space="0" w:color="auto"/>
        <w:right w:val="none" w:sz="0" w:space="0" w:color="auto"/>
      </w:divBdr>
    </w:div>
    <w:div w:id="1728215777">
      <w:bodyDiv w:val="1"/>
      <w:marLeft w:val="0"/>
      <w:marRight w:val="0"/>
      <w:marTop w:val="0"/>
      <w:marBottom w:val="0"/>
      <w:divBdr>
        <w:top w:val="none" w:sz="0" w:space="0" w:color="auto"/>
        <w:left w:val="none" w:sz="0" w:space="0" w:color="auto"/>
        <w:bottom w:val="none" w:sz="0" w:space="0" w:color="auto"/>
        <w:right w:val="none" w:sz="0" w:space="0" w:color="auto"/>
      </w:divBdr>
    </w:div>
    <w:div w:id="1743486684">
      <w:bodyDiv w:val="1"/>
      <w:marLeft w:val="0"/>
      <w:marRight w:val="0"/>
      <w:marTop w:val="0"/>
      <w:marBottom w:val="0"/>
      <w:divBdr>
        <w:top w:val="none" w:sz="0" w:space="0" w:color="auto"/>
        <w:left w:val="none" w:sz="0" w:space="0" w:color="auto"/>
        <w:bottom w:val="none" w:sz="0" w:space="0" w:color="auto"/>
        <w:right w:val="none" w:sz="0" w:space="0" w:color="auto"/>
      </w:divBdr>
    </w:div>
    <w:div w:id="1754230934">
      <w:bodyDiv w:val="1"/>
      <w:marLeft w:val="0"/>
      <w:marRight w:val="0"/>
      <w:marTop w:val="0"/>
      <w:marBottom w:val="0"/>
      <w:divBdr>
        <w:top w:val="none" w:sz="0" w:space="0" w:color="auto"/>
        <w:left w:val="none" w:sz="0" w:space="0" w:color="auto"/>
        <w:bottom w:val="none" w:sz="0" w:space="0" w:color="auto"/>
        <w:right w:val="none" w:sz="0" w:space="0" w:color="auto"/>
      </w:divBdr>
    </w:div>
    <w:div w:id="1766605700">
      <w:bodyDiv w:val="1"/>
      <w:marLeft w:val="0"/>
      <w:marRight w:val="0"/>
      <w:marTop w:val="0"/>
      <w:marBottom w:val="0"/>
      <w:divBdr>
        <w:top w:val="none" w:sz="0" w:space="0" w:color="auto"/>
        <w:left w:val="none" w:sz="0" w:space="0" w:color="auto"/>
        <w:bottom w:val="none" w:sz="0" w:space="0" w:color="auto"/>
        <w:right w:val="none" w:sz="0" w:space="0" w:color="auto"/>
      </w:divBdr>
    </w:div>
    <w:div w:id="1771926494">
      <w:bodyDiv w:val="1"/>
      <w:marLeft w:val="0"/>
      <w:marRight w:val="0"/>
      <w:marTop w:val="0"/>
      <w:marBottom w:val="0"/>
      <w:divBdr>
        <w:top w:val="none" w:sz="0" w:space="0" w:color="auto"/>
        <w:left w:val="none" w:sz="0" w:space="0" w:color="auto"/>
        <w:bottom w:val="none" w:sz="0" w:space="0" w:color="auto"/>
        <w:right w:val="none" w:sz="0" w:space="0" w:color="auto"/>
      </w:divBdr>
    </w:div>
    <w:div w:id="1788157723">
      <w:bodyDiv w:val="1"/>
      <w:marLeft w:val="0"/>
      <w:marRight w:val="0"/>
      <w:marTop w:val="0"/>
      <w:marBottom w:val="0"/>
      <w:divBdr>
        <w:top w:val="none" w:sz="0" w:space="0" w:color="auto"/>
        <w:left w:val="none" w:sz="0" w:space="0" w:color="auto"/>
        <w:bottom w:val="none" w:sz="0" w:space="0" w:color="auto"/>
        <w:right w:val="none" w:sz="0" w:space="0" w:color="auto"/>
      </w:divBdr>
    </w:div>
    <w:div w:id="1792935931">
      <w:bodyDiv w:val="1"/>
      <w:marLeft w:val="0"/>
      <w:marRight w:val="0"/>
      <w:marTop w:val="0"/>
      <w:marBottom w:val="0"/>
      <w:divBdr>
        <w:top w:val="none" w:sz="0" w:space="0" w:color="auto"/>
        <w:left w:val="none" w:sz="0" w:space="0" w:color="auto"/>
        <w:bottom w:val="none" w:sz="0" w:space="0" w:color="auto"/>
        <w:right w:val="none" w:sz="0" w:space="0" w:color="auto"/>
      </w:divBdr>
    </w:div>
    <w:div w:id="1805927280">
      <w:bodyDiv w:val="1"/>
      <w:marLeft w:val="0"/>
      <w:marRight w:val="0"/>
      <w:marTop w:val="0"/>
      <w:marBottom w:val="0"/>
      <w:divBdr>
        <w:top w:val="none" w:sz="0" w:space="0" w:color="auto"/>
        <w:left w:val="none" w:sz="0" w:space="0" w:color="auto"/>
        <w:bottom w:val="none" w:sz="0" w:space="0" w:color="auto"/>
        <w:right w:val="none" w:sz="0" w:space="0" w:color="auto"/>
      </w:divBdr>
    </w:div>
    <w:div w:id="1808935934">
      <w:bodyDiv w:val="1"/>
      <w:marLeft w:val="0"/>
      <w:marRight w:val="0"/>
      <w:marTop w:val="0"/>
      <w:marBottom w:val="0"/>
      <w:divBdr>
        <w:top w:val="none" w:sz="0" w:space="0" w:color="auto"/>
        <w:left w:val="none" w:sz="0" w:space="0" w:color="auto"/>
        <w:bottom w:val="none" w:sz="0" w:space="0" w:color="auto"/>
        <w:right w:val="none" w:sz="0" w:space="0" w:color="auto"/>
      </w:divBdr>
    </w:div>
    <w:div w:id="1811825807">
      <w:bodyDiv w:val="1"/>
      <w:marLeft w:val="0"/>
      <w:marRight w:val="0"/>
      <w:marTop w:val="0"/>
      <w:marBottom w:val="0"/>
      <w:divBdr>
        <w:top w:val="none" w:sz="0" w:space="0" w:color="auto"/>
        <w:left w:val="none" w:sz="0" w:space="0" w:color="auto"/>
        <w:bottom w:val="none" w:sz="0" w:space="0" w:color="auto"/>
        <w:right w:val="none" w:sz="0" w:space="0" w:color="auto"/>
      </w:divBdr>
    </w:div>
    <w:div w:id="1829204174">
      <w:bodyDiv w:val="1"/>
      <w:marLeft w:val="0"/>
      <w:marRight w:val="0"/>
      <w:marTop w:val="0"/>
      <w:marBottom w:val="0"/>
      <w:divBdr>
        <w:top w:val="none" w:sz="0" w:space="0" w:color="auto"/>
        <w:left w:val="none" w:sz="0" w:space="0" w:color="auto"/>
        <w:bottom w:val="none" w:sz="0" w:space="0" w:color="auto"/>
        <w:right w:val="none" w:sz="0" w:space="0" w:color="auto"/>
      </w:divBdr>
    </w:div>
    <w:div w:id="1832138710">
      <w:bodyDiv w:val="1"/>
      <w:marLeft w:val="0"/>
      <w:marRight w:val="0"/>
      <w:marTop w:val="0"/>
      <w:marBottom w:val="0"/>
      <w:divBdr>
        <w:top w:val="none" w:sz="0" w:space="0" w:color="auto"/>
        <w:left w:val="none" w:sz="0" w:space="0" w:color="auto"/>
        <w:bottom w:val="none" w:sz="0" w:space="0" w:color="auto"/>
        <w:right w:val="none" w:sz="0" w:space="0" w:color="auto"/>
      </w:divBdr>
    </w:div>
    <w:div w:id="1835218776">
      <w:bodyDiv w:val="1"/>
      <w:marLeft w:val="0"/>
      <w:marRight w:val="0"/>
      <w:marTop w:val="0"/>
      <w:marBottom w:val="0"/>
      <w:divBdr>
        <w:top w:val="none" w:sz="0" w:space="0" w:color="auto"/>
        <w:left w:val="none" w:sz="0" w:space="0" w:color="auto"/>
        <w:bottom w:val="none" w:sz="0" w:space="0" w:color="auto"/>
        <w:right w:val="none" w:sz="0" w:space="0" w:color="auto"/>
      </w:divBdr>
    </w:div>
    <w:div w:id="1858422984">
      <w:bodyDiv w:val="1"/>
      <w:marLeft w:val="0"/>
      <w:marRight w:val="0"/>
      <w:marTop w:val="0"/>
      <w:marBottom w:val="0"/>
      <w:divBdr>
        <w:top w:val="none" w:sz="0" w:space="0" w:color="auto"/>
        <w:left w:val="none" w:sz="0" w:space="0" w:color="auto"/>
        <w:bottom w:val="none" w:sz="0" w:space="0" w:color="auto"/>
        <w:right w:val="none" w:sz="0" w:space="0" w:color="auto"/>
      </w:divBdr>
    </w:div>
    <w:div w:id="1871381351">
      <w:bodyDiv w:val="1"/>
      <w:marLeft w:val="0"/>
      <w:marRight w:val="0"/>
      <w:marTop w:val="0"/>
      <w:marBottom w:val="0"/>
      <w:divBdr>
        <w:top w:val="none" w:sz="0" w:space="0" w:color="auto"/>
        <w:left w:val="none" w:sz="0" w:space="0" w:color="auto"/>
        <w:bottom w:val="none" w:sz="0" w:space="0" w:color="auto"/>
        <w:right w:val="none" w:sz="0" w:space="0" w:color="auto"/>
      </w:divBdr>
    </w:div>
    <w:div w:id="1904170725">
      <w:bodyDiv w:val="1"/>
      <w:marLeft w:val="0"/>
      <w:marRight w:val="0"/>
      <w:marTop w:val="0"/>
      <w:marBottom w:val="0"/>
      <w:divBdr>
        <w:top w:val="none" w:sz="0" w:space="0" w:color="auto"/>
        <w:left w:val="none" w:sz="0" w:space="0" w:color="auto"/>
        <w:bottom w:val="none" w:sz="0" w:space="0" w:color="auto"/>
        <w:right w:val="none" w:sz="0" w:space="0" w:color="auto"/>
      </w:divBdr>
    </w:div>
    <w:div w:id="1924023526">
      <w:bodyDiv w:val="1"/>
      <w:marLeft w:val="0"/>
      <w:marRight w:val="0"/>
      <w:marTop w:val="0"/>
      <w:marBottom w:val="0"/>
      <w:divBdr>
        <w:top w:val="none" w:sz="0" w:space="0" w:color="auto"/>
        <w:left w:val="none" w:sz="0" w:space="0" w:color="auto"/>
        <w:bottom w:val="none" w:sz="0" w:space="0" w:color="auto"/>
        <w:right w:val="none" w:sz="0" w:space="0" w:color="auto"/>
      </w:divBdr>
    </w:div>
    <w:div w:id="1934973349">
      <w:bodyDiv w:val="1"/>
      <w:marLeft w:val="0"/>
      <w:marRight w:val="0"/>
      <w:marTop w:val="0"/>
      <w:marBottom w:val="0"/>
      <w:divBdr>
        <w:top w:val="none" w:sz="0" w:space="0" w:color="auto"/>
        <w:left w:val="none" w:sz="0" w:space="0" w:color="auto"/>
        <w:bottom w:val="none" w:sz="0" w:space="0" w:color="auto"/>
        <w:right w:val="none" w:sz="0" w:space="0" w:color="auto"/>
      </w:divBdr>
    </w:div>
    <w:div w:id="1935891742">
      <w:bodyDiv w:val="1"/>
      <w:marLeft w:val="0"/>
      <w:marRight w:val="0"/>
      <w:marTop w:val="0"/>
      <w:marBottom w:val="0"/>
      <w:divBdr>
        <w:top w:val="none" w:sz="0" w:space="0" w:color="auto"/>
        <w:left w:val="none" w:sz="0" w:space="0" w:color="auto"/>
        <w:bottom w:val="none" w:sz="0" w:space="0" w:color="auto"/>
        <w:right w:val="none" w:sz="0" w:space="0" w:color="auto"/>
      </w:divBdr>
    </w:div>
    <w:div w:id="1946307687">
      <w:bodyDiv w:val="1"/>
      <w:marLeft w:val="0"/>
      <w:marRight w:val="0"/>
      <w:marTop w:val="0"/>
      <w:marBottom w:val="0"/>
      <w:divBdr>
        <w:top w:val="none" w:sz="0" w:space="0" w:color="auto"/>
        <w:left w:val="none" w:sz="0" w:space="0" w:color="auto"/>
        <w:bottom w:val="none" w:sz="0" w:space="0" w:color="auto"/>
        <w:right w:val="none" w:sz="0" w:space="0" w:color="auto"/>
      </w:divBdr>
    </w:div>
    <w:div w:id="1951432241">
      <w:bodyDiv w:val="1"/>
      <w:marLeft w:val="0"/>
      <w:marRight w:val="0"/>
      <w:marTop w:val="0"/>
      <w:marBottom w:val="0"/>
      <w:divBdr>
        <w:top w:val="none" w:sz="0" w:space="0" w:color="auto"/>
        <w:left w:val="none" w:sz="0" w:space="0" w:color="auto"/>
        <w:bottom w:val="none" w:sz="0" w:space="0" w:color="auto"/>
        <w:right w:val="none" w:sz="0" w:space="0" w:color="auto"/>
      </w:divBdr>
    </w:div>
    <w:div w:id="1953315742">
      <w:bodyDiv w:val="1"/>
      <w:marLeft w:val="0"/>
      <w:marRight w:val="0"/>
      <w:marTop w:val="0"/>
      <w:marBottom w:val="0"/>
      <w:divBdr>
        <w:top w:val="none" w:sz="0" w:space="0" w:color="auto"/>
        <w:left w:val="none" w:sz="0" w:space="0" w:color="auto"/>
        <w:bottom w:val="none" w:sz="0" w:space="0" w:color="auto"/>
        <w:right w:val="none" w:sz="0" w:space="0" w:color="auto"/>
      </w:divBdr>
    </w:div>
    <w:div w:id="1953433229">
      <w:bodyDiv w:val="1"/>
      <w:marLeft w:val="0"/>
      <w:marRight w:val="0"/>
      <w:marTop w:val="0"/>
      <w:marBottom w:val="0"/>
      <w:divBdr>
        <w:top w:val="none" w:sz="0" w:space="0" w:color="auto"/>
        <w:left w:val="none" w:sz="0" w:space="0" w:color="auto"/>
        <w:bottom w:val="none" w:sz="0" w:space="0" w:color="auto"/>
        <w:right w:val="none" w:sz="0" w:space="0" w:color="auto"/>
      </w:divBdr>
    </w:div>
    <w:div w:id="1959683185">
      <w:bodyDiv w:val="1"/>
      <w:marLeft w:val="0"/>
      <w:marRight w:val="0"/>
      <w:marTop w:val="0"/>
      <w:marBottom w:val="0"/>
      <w:divBdr>
        <w:top w:val="none" w:sz="0" w:space="0" w:color="auto"/>
        <w:left w:val="none" w:sz="0" w:space="0" w:color="auto"/>
        <w:bottom w:val="none" w:sz="0" w:space="0" w:color="auto"/>
        <w:right w:val="none" w:sz="0" w:space="0" w:color="auto"/>
      </w:divBdr>
    </w:div>
    <w:div w:id="1960182056">
      <w:bodyDiv w:val="1"/>
      <w:marLeft w:val="0"/>
      <w:marRight w:val="0"/>
      <w:marTop w:val="0"/>
      <w:marBottom w:val="0"/>
      <w:divBdr>
        <w:top w:val="none" w:sz="0" w:space="0" w:color="auto"/>
        <w:left w:val="none" w:sz="0" w:space="0" w:color="auto"/>
        <w:bottom w:val="none" w:sz="0" w:space="0" w:color="auto"/>
        <w:right w:val="none" w:sz="0" w:space="0" w:color="auto"/>
      </w:divBdr>
    </w:div>
    <w:div w:id="1974170291">
      <w:bodyDiv w:val="1"/>
      <w:marLeft w:val="0"/>
      <w:marRight w:val="0"/>
      <w:marTop w:val="0"/>
      <w:marBottom w:val="0"/>
      <w:divBdr>
        <w:top w:val="none" w:sz="0" w:space="0" w:color="auto"/>
        <w:left w:val="none" w:sz="0" w:space="0" w:color="auto"/>
        <w:bottom w:val="none" w:sz="0" w:space="0" w:color="auto"/>
        <w:right w:val="none" w:sz="0" w:space="0" w:color="auto"/>
      </w:divBdr>
    </w:div>
    <w:div w:id="1979726284">
      <w:bodyDiv w:val="1"/>
      <w:marLeft w:val="0"/>
      <w:marRight w:val="0"/>
      <w:marTop w:val="0"/>
      <w:marBottom w:val="0"/>
      <w:divBdr>
        <w:top w:val="none" w:sz="0" w:space="0" w:color="auto"/>
        <w:left w:val="none" w:sz="0" w:space="0" w:color="auto"/>
        <w:bottom w:val="none" w:sz="0" w:space="0" w:color="auto"/>
        <w:right w:val="none" w:sz="0" w:space="0" w:color="auto"/>
      </w:divBdr>
    </w:div>
    <w:div w:id="1980498165">
      <w:bodyDiv w:val="1"/>
      <w:marLeft w:val="0"/>
      <w:marRight w:val="0"/>
      <w:marTop w:val="0"/>
      <w:marBottom w:val="0"/>
      <w:divBdr>
        <w:top w:val="none" w:sz="0" w:space="0" w:color="auto"/>
        <w:left w:val="none" w:sz="0" w:space="0" w:color="auto"/>
        <w:bottom w:val="none" w:sz="0" w:space="0" w:color="auto"/>
        <w:right w:val="none" w:sz="0" w:space="0" w:color="auto"/>
      </w:divBdr>
    </w:div>
    <w:div w:id="1988625885">
      <w:bodyDiv w:val="1"/>
      <w:marLeft w:val="0"/>
      <w:marRight w:val="0"/>
      <w:marTop w:val="0"/>
      <w:marBottom w:val="0"/>
      <w:divBdr>
        <w:top w:val="none" w:sz="0" w:space="0" w:color="auto"/>
        <w:left w:val="none" w:sz="0" w:space="0" w:color="auto"/>
        <w:bottom w:val="none" w:sz="0" w:space="0" w:color="auto"/>
        <w:right w:val="none" w:sz="0" w:space="0" w:color="auto"/>
      </w:divBdr>
      <w:divsChild>
        <w:div w:id="1688360459">
          <w:marLeft w:val="0"/>
          <w:marRight w:val="0"/>
          <w:marTop w:val="0"/>
          <w:marBottom w:val="0"/>
          <w:divBdr>
            <w:top w:val="none" w:sz="0" w:space="0" w:color="auto"/>
            <w:left w:val="none" w:sz="0" w:space="0" w:color="auto"/>
            <w:bottom w:val="none" w:sz="0" w:space="0" w:color="auto"/>
            <w:right w:val="none" w:sz="0" w:space="0" w:color="auto"/>
          </w:divBdr>
          <w:divsChild>
            <w:div w:id="170741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866509">
      <w:bodyDiv w:val="1"/>
      <w:marLeft w:val="0"/>
      <w:marRight w:val="0"/>
      <w:marTop w:val="0"/>
      <w:marBottom w:val="0"/>
      <w:divBdr>
        <w:top w:val="none" w:sz="0" w:space="0" w:color="auto"/>
        <w:left w:val="none" w:sz="0" w:space="0" w:color="auto"/>
        <w:bottom w:val="none" w:sz="0" w:space="0" w:color="auto"/>
        <w:right w:val="none" w:sz="0" w:space="0" w:color="auto"/>
      </w:divBdr>
    </w:div>
    <w:div w:id="1993872985">
      <w:bodyDiv w:val="1"/>
      <w:marLeft w:val="0"/>
      <w:marRight w:val="0"/>
      <w:marTop w:val="0"/>
      <w:marBottom w:val="0"/>
      <w:divBdr>
        <w:top w:val="none" w:sz="0" w:space="0" w:color="auto"/>
        <w:left w:val="none" w:sz="0" w:space="0" w:color="auto"/>
        <w:bottom w:val="none" w:sz="0" w:space="0" w:color="auto"/>
        <w:right w:val="none" w:sz="0" w:space="0" w:color="auto"/>
      </w:divBdr>
      <w:divsChild>
        <w:div w:id="1017080005">
          <w:marLeft w:val="0"/>
          <w:marRight w:val="0"/>
          <w:marTop w:val="0"/>
          <w:marBottom w:val="0"/>
          <w:divBdr>
            <w:top w:val="none" w:sz="0" w:space="0" w:color="auto"/>
            <w:left w:val="none" w:sz="0" w:space="0" w:color="auto"/>
            <w:bottom w:val="none" w:sz="0" w:space="0" w:color="auto"/>
            <w:right w:val="none" w:sz="0" w:space="0" w:color="auto"/>
          </w:divBdr>
          <w:divsChild>
            <w:div w:id="94401999">
              <w:marLeft w:val="0"/>
              <w:marRight w:val="0"/>
              <w:marTop w:val="0"/>
              <w:marBottom w:val="0"/>
              <w:divBdr>
                <w:top w:val="none" w:sz="0" w:space="0" w:color="auto"/>
                <w:left w:val="none" w:sz="0" w:space="0" w:color="auto"/>
                <w:bottom w:val="none" w:sz="0" w:space="0" w:color="auto"/>
                <w:right w:val="none" w:sz="0" w:space="0" w:color="auto"/>
              </w:divBdr>
              <w:divsChild>
                <w:div w:id="1599943467">
                  <w:marLeft w:val="0"/>
                  <w:marRight w:val="0"/>
                  <w:marTop w:val="0"/>
                  <w:marBottom w:val="0"/>
                  <w:divBdr>
                    <w:top w:val="none" w:sz="0" w:space="0" w:color="auto"/>
                    <w:left w:val="none" w:sz="0" w:space="0" w:color="auto"/>
                    <w:bottom w:val="none" w:sz="0" w:space="0" w:color="auto"/>
                    <w:right w:val="none" w:sz="0" w:space="0" w:color="auto"/>
                  </w:divBdr>
                  <w:divsChild>
                    <w:div w:id="872117132">
                      <w:marLeft w:val="0"/>
                      <w:marRight w:val="0"/>
                      <w:marTop w:val="0"/>
                      <w:marBottom w:val="0"/>
                      <w:divBdr>
                        <w:top w:val="none" w:sz="0" w:space="0" w:color="auto"/>
                        <w:left w:val="none" w:sz="0" w:space="0" w:color="auto"/>
                        <w:bottom w:val="none" w:sz="0" w:space="0" w:color="auto"/>
                        <w:right w:val="none" w:sz="0" w:space="0" w:color="auto"/>
                      </w:divBdr>
                      <w:divsChild>
                        <w:div w:id="1186753318">
                          <w:marLeft w:val="0"/>
                          <w:marRight w:val="0"/>
                          <w:marTop w:val="0"/>
                          <w:marBottom w:val="0"/>
                          <w:divBdr>
                            <w:top w:val="none" w:sz="0" w:space="0" w:color="auto"/>
                            <w:left w:val="none" w:sz="0" w:space="0" w:color="auto"/>
                            <w:bottom w:val="none" w:sz="0" w:space="0" w:color="auto"/>
                            <w:right w:val="none" w:sz="0" w:space="0" w:color="auto"/>
                          </w:divBdr>
                          <w:divsChild>
                            <w:div w:id="1201741975">
                              <w:marLeft w:val="0"/>
                              <w:marRight w:val="0"/>
                              <w:marTop w:val="0"/>
                              <w:marBottom w:val="0"/>
                              <w:divBdr>
                                <w:top w:val="none" w:sz="0" w:space="0" w:color="auto"/>
                                <w:left w:val="none" w:sz="0" w:space="0" w:color="auto"/>
                                <w:bottom w:val="none" w:sz="0" w:space="0" w:color="auto"/>
                                <w:right w:val="none" w:sz="0" w:space="0" w:color="auto"/>
                              </w:divBdr>
                              <w:divsChild>
                                <w:div w:id="854728581">
                                  <w:marLeft w:val="0"/>
                                  <w:marRight w:val="0"/>
                                  <w:marTop w:val="0"/>
                                  <w:marBottom w:val="0"/>
                                  <w:divBdr>
                                    <w:top w:val="none" w:sz="0" w:space="0" w:color="auto"/>
                                    <w:left w:val="none" w:sz="0" w:space="0" w:color="auto"/>
                                    <w:bottom w:val="none" w:sz="0" w:space="0" w:color="auto"/>
                                    <w:right w:val="none" w:sz="0" w:space="0" w:color="auto"/>
                                  </w:divBdr>
                                  <w:divsChild>
                                    <w:div w:id="1443258893">
                                      <w:marLeft w:val="0"/>
                                      <w:marRight w:val="0"/>
                                      <w:marTop w:val="0"/>
                                      <w:marBottom w:val="0"/>
                                      <w:divBdr>
                                        <w:top w:val="none" w:sz="0" w:space="0" w:color="auto"/>
                                        <w:left w:val="none" w:sz="0" w:space="0" w:color="auto"/>
                                        <w:bottom w:val="none" w:sz="0" w:space="0" w:color="auto"/>
                                        <w:right w:val="none" w:sz="0" w:space="0" w:color="auto"/>
                                      </w:divBdr>
                                      <w:divsChild>
                                        <w:div w:id="631792382">
                                          <w:marLeft w:val="0"/>
                                          <w:marRight w:val="0"/>
                                          <w:marTop w:val="0"/>
                                          <w:marBottom w:val="0"/>
                                          <w:divBdr>
                                            <w:top w:val="none" w:sz="0" w:space="0" w:color="auto"/>
                                            <w:left w:val="none" w:sz="0" w:space="0" w:color="auto"/>
                                            <w:bottom w:val="none" w:sz="0" w:space="0" w:color="auto"/>
                                            <w:right w:val="none" w:sz="0" w:space="0" w:color="auto"/>
                                          </w:divBdr>
                                          <w:divsChild>
                                            <w:div w:id="1193955561">
                                              <w:marLeft w:val="0"/>
                                              <w:marRight w:val="0"/>
                                              <w:marTop w:val="0"/>
                                              <w:marBottom w:val="0"/>
                                              <w:divBdr>
                                                <w:top w:val="none" w:sz="0" w:space="0" w:color="auto"/>
                                                <w:left w:val="none" w:sz="0" w:space="0" w:color="auto"/>
                                                <w:bottom w:val="none" w:sz="0" w:space="0" w:color="auto"/>
                                                <w:right w:val="none" w:sz="0" w:space="0" w:color="auto"/>
                                              </w:divBdr>
                                              <w:divsChild>
                                                <w:div w:id="1457749910">
                                                  <w:marLeft w:val="0"/>
                                                  <w:marRight w:val="0"/>
                                                  <w:marTop w:val="0"/>
                                                  <w:marBottom w:val="0"/>
                                                  <w:divBdr>
                                                    <w:top w:val="none" w:sz="0" w:space="0" w:color="auto"/>
                                                    <w:left w:val="none" w:sz="0" w:space="0" w:color="auto"/>
                                                    <w:bottom w:val="none" w:sz="0" w:space="0" w:color="auto"/>
                                                    <w:right w:val="none" w:sz="0" w:space="0" w:color="auto"/>
                                                  </w:divBdr>
                                                  <w:divsChild>
                                                    <w:div w:id="1192108477">
                                                      <w:marLeft w:val="0"/>
                                                      <w:marRight w:val="0"/>
                                                      <w:marTop w:val="0"/>
                                                      <w:marBottom w:val="0"/>
                                                      <w:divBdr>
                                                        <w:top w:val="none" w:sz="0" w:space="0" w:color="auto"/>
                                                        <w:left w:val="none" w:sz="0" w:space="0" w:color="auto"/>
                                                        <w:bottom w:val="none" w:sz="0" w:space="0" w:color="auto"/>
                                                        <w:right w:val="none" w:sz="0" w:space="0" w:color="auto"/>
                                                      </w:divBdr>
                                                      <w:divsChild>
                                                        <w:div w:id="759104354">
                                                          <w:marLeft w:val="0"/>
                                                          <w:marRight w:val="0"/>
                                                          <w:marTop w:val="0"/>
                                                          <w:marBottom w:val="0"/>
                                                          <w:divBdr>
                                                            <w:top w:val="none" w:sz="0" w:space="0" w:color="auto"/>
                                                            <w:left w:val="none" w:sz="0" w:space="0" w:color="auto"/>
                                                            <w:bottom w:val="none" w:sz="0" w:space="0" w:color="auto"/>
                                                            <w:right w:val="none" w:sz="0" w:space="0" w:color="auto"/>
                                                          </w:divBdr>
                                                          <w:divsChild>
                                                            <w:div w:id="615790050">
                                                              <w:marLeft w:val="0"/>
                                                              <w:marRight w:val="0"/>
                                                              <w:marTop w:val="0"/>
                                                              <w:marBottom w:val="0"/>
                                                              <w:divBdr>
                                                                <w:top w:val="none" w:sz="0" w:space="0" w:color="auto"/>
                                                                <w:left w:val="none" w:sz="0" w:space="0" w:color="auto"/>
                                                                <w:bottom w:val="none" w:sz="0" w:space="0" w:color="auto"/>
                                                                <w:right w:val="none" w:sz="0" w:space="0" w:color="auto"/>
                                                              </w:divBdr>
                                                              <w:divsChild>
                                                                <w:div w:id="1455636879">
                                                                  <w:marLeft w:val="0"/>
                                                                  <w:marRight w:val="0"/>
                                                                  <w:marTop w:val="58"/>
                                                                  <w:marBottom w:val="230"/>
                                                                  <w:divBdr>
                                                                    <w:top w:val="none" w:sz="0" w:space="0" w:color="auto"/>
                                                                    <w:left w:val="none" w:sz="0" w:space="0" w:color="auto"/>
                                                                    <w:bottom w:val="none" w:sz="0" w:space="0" w:color="auto"/>
                                                                    <w:right w:val="none" w:sz="0" w:space="0" w:color="auto"/>
                                                                  </w:divBdr>
                                                                  <w:divsChild>
                                                                    <w:div w:id="778530412">
                                                                      <w:marLeft w:val="0"/>
                                                                      <w:marRight w:val="0"/>
                                                                      <w:marTop w:val="0"/>
                                                                      <w:marBottom w:val="0"/>
                                                                      <w:divBdr>
                                                                        <w:top w:val="none" w:sz="0" w:space="0" w:color="auto"/>
                                                                        <w:left w:val="none" w:sz="0" w:space="0" w:color="auto"/>
                                                                        <w:bottom w:val="none" w:sz="0" w:space="0" w:color="auto"/>
                                                                        <w:right w:val="none" w:sz="0" w:space="0" w:color="auto"/>
                                                                      </w:divBdr>
                                                                      <w:divsChild>
                                                                        <w:div w:id="1856141735">
                                                                          <w:marLeft w:val="0"/>
                                                                          <w:marRight w:val="0"/>
                                                                          <w:marTop w:val="0"/>
                                                                          <w:marBottom w:val="0"/>
                                                                          <w:divBdr>
                                                                            <w:top w:val="none" w:sz="0" w:space="0" w:color="auto"/>
                                                                            <w:left w:val="none" w:sz="0" w:space="0" w:color="auto"/>
                                                                            <w:bottom w:val="none" w:sz="0" w:space="0" w:color="auto"/>
                                                                            <w:right w:val="none" w:sz="0" w:space="0" w:color="auto"/>
                                                                          </w:divBdr>
                                                                          <w:divsChild>
                                                                            <w:div w:id="123994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0421419">
      <w:bodyDiv w:val="1"/>
      <w:marLeft w:val="0"/>
      <w:marRight w:val="0"/>
      <w:marTop w:val="0"/>
      <w:marBottom w:val="0"/>
      <w:divBdr>
        <w:top w:val="none" w:sz="0" w:space="0" w:color="auto"/>
        <w:left w:val="none" w:sz="0" w:space="0" w:color="auto"/>
        <w:bottom w:val="none" w:sz="0" w:space="0" w:color="auto"/>
        <w:right w:val="none" w:sz="0" w:space="0" w:color="auto"/>
      </w:divBdr>
    </w:div>
    <w:div w:id="2002347899">
      <w:bodyDiv w:val="1"/>
      <w:marLeft w:val="0"/>
      <w:marRight w:val="0"/>
      <w:marTop w:val="0"/>
      <w:marBottom w:val="0"/>
      <w:divBdr>
        <w:top w:val="none" w:sz="0" w:space="0" w:color="auto"/>
        <w:left w:val="none" w:sz="0" w:space="0" w:color="auto"/>
        <w:bottom w:val="none" w:sz="0" w:space="0" w:color="auto"/>
        <w:right w:val="none" w:sz="0" w:space="0" w:color="auto"/>
      </w:divBdr>
    </w:div>
    <w:div w:id="2023320316">
      <w:bodyDiv w:val="1"/>
      <w:marLeft w:val="0"/>
      <w:marRight w:val="0"/>
      <w:marTop w:val="0"/>
      <w:marBottom w:val="0"/>
      <w:divBdr>
        <w:top w:val="none" w:sz="0" w:space="0" w:color="auto"/>
        <w:left w:val="none" w:sz="0" w:space="0" w:color="auto"/>
        <w:bottom w:val="none" w:sz="0" w:space="0" w:color="auto"/>
        <w:right w:val="none" w:sz="0" w:space="0" w:color="auto"/>
      </w:divBdr>
    </w:div>
    <w:div w:id="2024084544">
      <w:bodyDiv w:val="1"/>
      <w:marLeft w:val="0"/>
      <w:marRight w:val="0"/>
      <w:marTop w:val="0"/>
      <w:marBottom w:val="0"/>
      <w:divBdr>
        <w:top w:val="none" w:sz="0" w:space="0" w:color="auto"/>
        <w:left w:val="none" w:sz="0" w:space="0" w:color="auto"/>
        <w:bottom w:val="none" w:sz="0" w:space="0" w:color="auto"/>
        <w:right w:val="none" w:sz="0" w:space="0" w:color="auto"/>
      </w:divBdr>
    </w:div>
    <w:div w:id="2024700251">
      <w:bodyDiv w:val="1"/>
      <w:marLeft w:val="0"/>
      <w:marRight w:val="0"/>
      <w:marTop w:val="0"/>
      <w:marBottom w:val="0"/>
      <w:divBdr>
        <w:top w:val="none" w:sz="0" w:space="0" w:color="auto"/>
        <w:left w:val="none" w:sz="0" w:space="0" w:color="auto"/>
        <w:bottom w:val="none" w:sz="0" w:space="0" w:color="auto"/>
        <w:right w:val="none" w:sz="0" w:space="0" w:color="auto"/>
      </w:divBdr>
      <w:divsChild>
        <w:div w:id="305398283">
          <w:marLeft w:val="0"/>
          <w:marRight w:val="0"/>
          <w:marTop w:val="0"/>
          <w:marBottom w:val="0"/>
          <w:divBdr>
            <w:top w:val="none" w:sz="0" w:space="0" w:color="auto"/>
            <w:left w:val="none" w:sz="0" w:space="0" w:color="auto"/>
            <w:bottom w:val="none" w:sz="0" w:space="0" w:color="auto"/>
            <w:right w:val="none" w:sz="0" w:space="0" w:color="auto"/>
          </w:divBdr>
          <w:divsChild>
            <w:div w:id="193994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265867">
      <w:bodyDiv w:val="1"/>
      <w:marLeft w:val="0"/>
      <w:marRight w:val="0"/>
      <w:marTop w:val="0"/>
      <w:marBottom w:val="0"/>
      <w:divBdr>
        <w:top w:val="none" w:sz="0" w:space="0" w:color="auto"/>
        <w:left w:val="none" w:sz="0" w:space="0" w:color="auto"/>
        <w:bottom w:val="none" w:sz="0" w:space="0" w:color="auto"/>
        <w:right w:val="none" w:sz="0" w:space="0" w:color="auto"/>
      </w:divBdr>
    </w:div>
    <w:div w:id="2063554216">
      <w:bodyDiv w:val="1"/>
      <w:marLeft w:val="0"/>
      <w:marRight w:val="0"/>
      <w:marTop w:val="0"/>
      <w:marBottom w:val="0"/>
      <w:divBdr>
        <w:top w:val="none" w:sz="0" w:space="0" w:color="auto"/>
        <w:left w:val="none" w:sz="0" w:space="0" w:color="auto"/>
        <w:bottom w:val="none" w:sz="0" w:space="0" w:color="auto"/>
        <w:right w:val="none" w:sz="0" w:space="0" w:color="auto"/>
      </w:divBdr>
    </w:div>
    <w:div w:id="2065134710">
      <w:bodyDiv w:val="1"/>
      <w:marLeft w:val="0"/>
      <w:marRight w:val="0"/>
      <w:marTop w:val="0"/>
      <w:marBottom w:val="0"/>
      <w:divBdr>
        <w:top w:val="none" w:sz="0" w:space="0" w:color="auto"/>
        <w:left w:val="none" w:sz="0" w:space="0" w:color="auto"/>
        <w:bottom w:val="none" w:sz="0" w:space="0" w:color="auto"/>
        <w:right w:val="none" w:sz="0" w:space="0" w:color="auto"/>
      </w:divBdr>
    </w:div>
    <w:div w:id="2079283924">
      <w:bodyDiv w:val="1"/>
      <w:marLeft w:val="0"/>
      <w:marRight w:val="0"/>
      <w:marTop w:val="0"/>
      <w:marBottom w:val="0"/>
      <w:divBdr>
        <w:top w:val="none" w:sz="0" w:space="0" w:color="auto"/>
        <w:left w:val="none" w:sz="0" w:space="0" w:color="auto"/>
        <w:bottom w:val="none" w:sz="0" w:space="0" w:color="auto"/>
        <w:right w:val="none" w:sz="0" w:space="0" w:color="auto"/>
      </w:divBdr>
    </w:div>
    <w:div w:id="2090694901">
      <w:bodyDiv w:val="1"/>
      <w:marLeft w:val="0"/>
      <w:marRight w:val="0"/>
      <w:marTop w:val="0"/>
      <w:marBottom w:val="0"/>
      <w:divBdr>
        <w:top w:val="none" w:sz="0" w:space="0" w:color="auto"/>
        <w:left w:val="none" w:sz="0" w:space="0" w:color="auto"/>
        <w:bottom w:val="none" w:sz="0" w:space="0" w:color="auto"/>
        <w:right w:val="none" w:sz="0" w:space="0" w:color="auto"/>
      </w:divBdr>
    </w:div>
    <w:div w:id="2107143871">
      <w:bodyDiv w:val="1"/>
      <w:marLeft w:val="0"/>
      <w:marRight w:val="0"/>
      <w:marTop w:val="0"/>
      <w:marBottom w:val="0"/>
      <w:divBdr>
        <w:top w:val="none" w:sz="0" w:space="0" w:color="auto"/>
        <w:left w:val="none" w:sz="0" w:space="0" w:color="auto"/>
        <w:bottom w:val="none" w:sz="0" w:space="0" w:color="auto"/>
        <w:right w:val="none" w:sz="0" w:space="0" w:color="auto"/>
      </w:divBdr>
    </w:div>
    <w:div w:id="2108386033">
      <w:marLeft w:val="0"/>
      <w:marRight w:val="0"/>
      <w:marTop w:val="0"/>
      <w:marBottom w:val="0"/>
      <w:divBdr>
        <w:top w:val="none" w:sz="0" w:space="0" w:color="auto"/>
        <w:left w:val="none" w:sz="0" w:space="0" w:color="auto"/>
        <w:bottom w:val="none" w:sz="0" w:space="0" w:color="auto"/>
        <w:right w:val="none" w:sz="0" w:space="0" w:color="auto"/>
      </w:divBdr>
    </w:div>
    <w:div w:id="2108386034">
      <w:marLeft w:val="0"/>
      <w:marRight w:val="0"/>
      <w:marTop w:val="0"/>
      <w:marBottom w:val="0"/>
      <w:divBdr>
        <w:top w:val="none" w:sz="0" w:space="0" w:color="auto"/>
        <w:left w:val="none" w:sz="0" w:space="0" w:color="auto"/>
        <w:bottom w:val="none" w:sz="0" w:space="0" w:color="auto"/>
        <w:right w:val="none" w:sz="0" w:space="0" w:color="auto"/>
      </w:divBdr>
    </w:div>
    <w:div w:id="2108386035">
      <w:marLeft w:val="0"/>
      <w:marRight w:val="0"/>
      <w:marTop w:val="0"/>
      <w:marBottom w:val="0"/>
      <w:divBdr>
        <w:top w:val="none" w:sz="0" w:space="0" w:color="auto"/>
        <w:left w:val="none" w:sz="0" w:space="0" w:color="auto"/>
        <w:bottom w:val="none" w:sz="0" w:space="0" w:color="auto"/>
        <w:right w:val="none" w:sz="0" w:space="0" w:color="auto"/>
      </w:divBdr>
    </w:div>
    <w:div w:id="2108386036">
      <w:marLeft w:val="0"/>
      <w:marRight w:val="0"/>
      <w:marTop w:val="0"/>
      <w:marBottom w:val="0"/>
      <w:divBdr>
        <w:top w:val="none" w:sz="0" w:space="0" w:color="auto"/>
        <w:left w:val="none" w:sz="0" w:space="0" w:color="auto"/>
        <w:bottom w:val="none" w:sz="0" w:space="0" w:color="auto"/>
        <w:right w:val="none" w:sz="0" w:space="0" w:color="auto"/>
      </w:divBdr>
    </w:div>
    <w:div w:id="2109890786">
      <w:bodyDiv w:val="1"/>
      <w:marLeft w:val="0"/>
      <w:marRight w:val="0"/>
      <w:marTop w:val="0"/>
      <w:marBottom w:val="0"/>
      <w:divBdr>
        <w:top w:val="none" w:sz="0" w:space="0" w:color="auto"/>
        <w:left w:val="none" w:sz="0" w:space="0" w:color="auto"/>
        <w:bottom w:val="none" w:sz="0" w:space="0" w:color="auto"/>
        <w:right w:val="none" w:sz="0" w:space="0" w:color="auto"/>
      </w:divBdr>
    </w:div>
    <w:div w:id="2119181765">
      <w:bodyDiv w:val="1"/>
      <w:marLeft w:val="0"/>
      <w:marRight w:val="0"/>
      <w:marTop w:val="0"/>
      <w:marBottom w:val="0"/>
      <w:divBdr>
        <w:top w:val="none" w:sz="0" w:space="0" w:color="auto"/>
        <w:left w:val="none" w:sz="0" w:space="0" w:color="auto"/>
        <w:bottom w:val="none" w:sz="0" w:space="0" w:color="auto"/>
        <w:right w:val="none" w:sz="0" w:space="0" w:color="auto"/>
      </w:divBdr>
    </w:div>
    <w:div w:id="2127119188">
      <w:bodyDiv w:val="1"/>
      <w:marLeft w:val="0"/>
      <w:marRight w:val="0"/>
      <w:marTop w:val="0"/>
      <w:marBottom w:val="0"/>
      <w:divBdr>
        <w:top w:val="none" w:sz="0" w:space="0" w:color="auto"/>
        <w:left w:val="none" w:sz="0" w:space="0" w:color="auto"/>
        <w:bottom w:val="none" w:sz="0" w:space="0" w:color="auto"/>
        <w:right w:val="none" w:sz="0" w:space="0" w:color="auto"/>
      </w:divBdr>
    </w:div>
    <w:div w:id="2139299602">
      <w:bodyDiv w:val="1"/>
      <w:marLeft w:val="0"/>
      <w:marRight w:val="0"/>
      <w:marTop w:val="0"/>
      <w:marBottom w:val="0"/>
      <w:divBdr>
        <w:top w:val="none" w:sz="0" w:space="0" w:color="auto"/>
        <w:left w:val="none" w:sz="0" w:space="0" w:color="auto"/>
        <w:bottom w:val="none" w:sz="0" w:space="0" w:color="auto"/>
        <w:right w:val="none" w:sz="0" w:space="0" w:color="auto"/>
      </w:divBdr>
    </w:div>
    <w:div w:id="2140174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8.xml"/><Relationship Id="rId39" Type="http://schemas.openxmlformats.org/officeDocument/2006/relationships/chart" Target="charts/chart2.xml"/><Relationship Id="rId21" Type="http://schemas.openxmlformats.org/officeDocument/2006/relationships/footer" Target="footer6.xml"/><Relationship Id="rId34" Type="http://schemas.openxmlformats.org/officeDocument/2006/relationships/footer" Target="footer11.xml"/><Relationship Id="rId42" Type="http://schemas.openxmlformats.org/officeDocument/2006/relationships/chart" Target="charts/chart5.xml"/><Relationship Id="rId47" Type="http://schemas.openxmlformats.org/officeDocument/2006/relationships/chart" Target="charts/chart10.xml"/><Relationship Id="rId50" Type="http://schemas.openxmlformats.org/officeDocument/2006/relationships/chart" Target="charts/chart13.xml"/><Relationship Id="rId55" Type="http://schemas.openxmlformats.org/officeDocument/2006/relationships/image" Target="media/image8.png"/><Relationship Id="rId63" Type="http://schemas.openxmlformats.org/officeDocument/2006/relationships/hyperlink" Target="https://www.isc.org/downloads/dhcp/" TargetMode="External"/><Relationship Id="rId68" Type="http://schemas.openxmlformats.org/officeDocument/2006/relationships/image" Target="media/image15.png"/><Relationship Id="rId76" Type="http://schemas.openxmlformats.org/officeDocument/2006/relationships/footer" Target="footer13.xml"/><Relationship Id="rId7" Type="http://schemas.openxmlformats.org/officeDocument/2006/relationships/footnotes" Target="footnotes.xml"/><Relationship Id="rId71" Type="http://schemas.openxmlformats.org/officeDocument/2006/relationships/hyperlink" Target="http://ec.europa.eu/governance/impact/commission_guidelines/docs/iag_2009_en.pdf" TargetMode="Externa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9.xml"/><Relationship Id="rId11" Type="http://schemas.openxmlformats.org/officeDocument/2006/relationships/header" Target="header2.xml"/><Relationship Id="rId24" Type="http://schemas.openxmlformats.org/officeDocument/2006/relationships/image" Target="media/image5.png"/><Relationship Id="rId32" Type="http://schemas.openxmlformats.org/officeDocument/2006/relationships/header" Target="header11.xml"/><Relationship Id="rId37" Type="http://schemas.openxmlformats.org/officeDocument/2006/relationships/image" Target="media/image6.png"/><Relationship Id="rId40" Type="http://schemas.openxmlformats.org/officeDocument/2006/relationships/chart" Target="charts/chart3.xml"/><Relationship Id="rId45" Type="http://schemas.openxmlformats.org/officeDocument/2006/relationships/chart" Target="charts/chart8.xml"/><Relationship Id="rId53" Type="http://schemas.openxmlformats.org/officeDocument/2006/relationships/hyperlink" Target="http://www.commoncriteriaportal.org/interpretations.html" TargetMode="External"/><Relationship Id="rId58" Type="http://schemas.openxmlformats.org/officeDocument/2006/relationships/image" Target="media/image11.png"/><Relationship Id="rId66" Type="http://schemas.openxmlformats.org/officeDocument/2006/relationships/hyperlink" Target="http://dx.doi.org/10.6028/NIST.SP.800-64r2" TargetMode="External"/><Relationship Id="rId74" Type="http://schemas.openxmlformats.org/officeDocument/2006/relationships/header" Target="header13.xml"/><Relationship Id="rId79" Type="http://schemas.openxmlformats.org/officeDocument/2006/relationships/footer" Target="footer15.xml"/><Relationship Id="rId5" Type="http://schemas.openxmlformats.org/officeDocument/2006/relationships/settings" Target="settings.xml"/><Relationship Id="rId61" Type="http://schemas.openxmlformats.org/officeDocument/2006/relationships/hyperlink" Target="https://w1.fi/" TargetMode="Externa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0.xml"/><Relationship Id="rId44" Type="http://schemas.openxmlformats.org/officeDocument/2006/relationships/chart" Target="charts/chart7.xml"/><Relationship Id="rId52" Type="http://schemas.openxmlformats.org/officeDocument/2006/relationships/chart" Target="charts/chart15.xml"/><Relationship Id="rId60" Type="http://schemas.openxmlformats.org/officeDocument/2006/relationships/image" Target="media/image13.png"/><Relationship Id="rId65" Type="http://schemas.openxmlformats.org/officeDocument/2006/relationships/hyperlink" Target="https://www.enisa.europa.eu/publications/vulnerability-disclosure" TargetMode="External"/><Relationship Id="rId73" Type="http://schemas.openxmlformats.org/officeDocument/2006/relationships/hyperlink" Target="https://www.pwc.com/gx/en/aerospace-defence/pdf/cyber-security-mergers-acquisitions.pdf" TargetMode="External"/><Relationship Id="rId78" Type="http://schemas.openxmlformats.org/officeDocument/2006/relationships/header" Target="header15.xml"/><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header" Target="header3.xml"/><Relationship Id="rId22" Type="http://schemas.openxmlformats.org/officeDocument/2006/relationships/image" Target="media/image3.png"/><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header" Target="header12.xml"/><Relationship Id="rId43" Type="http://schemas.openxmlformats.org/officeDocument/2006/relationships/chart" Target="charts/chart6.xml"/><Relationship Id="rId48" Type="http://schemas.openxmlformats.org/officeDocument/2006/relationships/chart" Target="charts/chart11.xml"/><Relationship Id="rId56" Type="http://schemas.openxmlformats.org/officeDocument/2006/relationships/image" Target="media/image9.png"/><Relationship Id="rId64" Type="http://schemas.openxmlformats.org/officeDocument/2006/relationships/hyperlink" Target="https://www.ofcourseimright.com/mudmaker/" TargetMode="External"/><Relationship Id="rId69" Type="http://schemas.openxmlformats.org/officeDocument/2006/relationships/image" Target="media/image16.png"/><Relationship Id="rId77" Type="http://schemas.openxmlformats.org/officeDocument/2006/relationships/footer" Target="footer14.xml"/><Relationship Id="rId8" Type="http://schemas.openxmlformats.org/officeDocument/2006/relationships/endnotes" Target="endnotes.xml"/><Relationship Id="rId51" Type="http://schemas.openxmlformats.org/officeDocument/2006/relationships/chart" Target="charts/chart14.xml"/><Relationship Id="rId72" Type="http://schemas.openxmlformats.org/officeDocument/2006/relationships/hyperlink" Target="http://www.ksat.com/news/cybersecurity-workforce-shortage-millions-of-experts-needed"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7.xml"/><Relationship Id="rId33" Type="http://schemas.openxmlformats.org/officeDocument/2006/relationships/footer" Target="footer10.xml"/><Relationship Id="rId38" Type="http://schemas.openxmlformats.org/officeDocument/2006/relationships/chart" Target="charts/chart1.xml"/><Relationship Id="rId46" Type="http://schemas.openxmlformats.org/officeDocument/2006/relationships/chart" Target="charts/chart9.xml"/><Relationship Id="rId59" Type="http://schemas.openxmlformats.org/officeDocument/2006/relationships/image" Target="media/image12.png"/><Relationship Id="rId67" Type="http://schemas.openxmlformats.org/officeDocument/2006/relationships/image" Target="media/image14.png"/><Relationship Id="rId20" Type="http://schemas.openxmlformats.org/officeDocument/2006/relationships/header" Target="header6.xml"/><Relationship Id="rId41" Type="http://schemas.openxmlformats.org/officeDocument/2006/relationships/chart" Target="charts/chart4.xml"/><Relationship Id="rId54" Type="http://schemas.openxmlformats.org/officeDocument/2006/relationships/image" Target="media/image7.png"/><Relationship Id="rId62" Type="http://schemas.openxmlformats.org/officeDocument/2006/relationships/hyperlink" Target="http://roy.marples.name/projects/dhcpcd/index" TargetMode="External"/><Relationship Id="rId70" Type="http://schemas.openxmlformats.org/officeDocument/2006/relationships/hyperlink" Target="http://ec.europa.eu/clima/policies/transport/vehicles/labelling/docs/report_car_labelling_en.pdf" TargetMode="External"/><Relationship Id="rId75"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4.png"/><Relationship Id="rId28" Type="http://schemas.openxmlformats.org/officeDocument/2006/relationships/footer" Target="footer8.xml"/><Relationship Id="rId36" Type="http://schemas.openxmlformats.org/officeDocument/2006/relationships/footer" Target="footer12.xml"/><Relationship Id="rId49" Type="http://schemas.openxmlformats.org/officeDocument/2006/relationships/chart" Target="charts/chart12.xml"/><Relationship Id="rId57"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dPt>
          <c:dPt>
            <c:idx val="6"/>
            <c:bubble3D val="0"/>
            <c:spPr>
              <a:solidFill>
                <a:srgbClr val="FA6E78"/>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dk1">
                        <a:lumMod val="75000"/>
                        <a:lumOff val="25000"/>
                      </a:schemeClr>
                    </a:solidFill>
                    <a:latin typeface="Georgia" panose="02040502050405020303" pitchFamily="18" charset="0"/>
                    <a:ea typeface="+mn-ea"/>
                    <a:cs typeface="Arial" panose="020B0604020202020204" pitchFamily="34" charset="0"/>
                  </a:defRPr>
                </a:pPr>
                <a:endParaRPr lang="en-US"/>
              </a:p>
            </c:txPr>
            <c:dLblPos val="outEnd"/>
            <c:showLegendKey val="1"/>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Sheet1!$A$2:$A$8</c:f>
              <c:strCache>
                <c:ptCount val="7"/>
                <c:pt idx="0">
                  <c:v>Evaluation lab</c:v>
                </c:pt>
                <c:pt idx="1">
                  <c:v>Certification Body</c:v>
                </c:pt>
                <c:pt idx="2">
                  <c:v>Public Administration</c:v>
                </c:pt>
                <c:pt idx="3">
                  <c:v>ICT Security expert</c:v>
                </c:pt>
                <c:pt idx="4">
                  <c:v>Vendor (service/product)</c:v>
                </c:pt>
                <c:pt idx="5">
                  <c:v>User (service product)</c:v>
                </c:pt>
                <c:pt idx="6">
                  <c:v>Other</c:v>
                </c:pt>
              </c:strCache>
            </c:strRef>
          </c:cat>
          <c:val>
            <c:numRef>
              <c:f>Sheet1!$B$2:$B$8</c:f>
              <c:numCache>
                <c:formatCode>0%</c:formatCode>
                <c:ptCount val="7"/>
                <c:pt idx="0">
                  <c:v>0.24</c:v>
                </c:pt>
                <c:pt idx="1">
                  <c:v>0.08</c:v>
                </c:pt>
                <c:pt idx="2">
                  <c:v>0.04</c:v>
                </c:pt>
                <c:pt idx="3">
                  <c:v>0.08</c:v>
                </c:pt>
                <c:pt idx="4">
                  <c:v>0.32</c:v>
                </c:pt>
                <c:pt idx="5">
                  <c:v>0.08</c:v>
                </c:pt>
                <c:pt idx="6">
                  <c:v>0.16</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Georgia" panose="02040502050405020303" pitchFamily="18"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Column1</c:v>
                </c:pt>
              </c:strCache>
            </c:strRef>
          </c:tx>
          <c:spPr>
            <a:solidFill>
              <a:schemeClr val="accent1"/>
            </a:solidFill>
            <a:ln>
              <a:noFill/>
            </a:ln>
            <a:effectLst/>
          </c:spPr>
          <c:invertIfNegative val="0"/>
          <c:dPt>
            <c:idx val="0"/>
            <c:invertIfNegative val="0"/>
            <c:bubble3D val="0"/>
            <c:spPr>
              <a:solidFill>
                <a:schemeClr val="bg2">
                  <a:lumMod val="65000"/>
                </a:schemeClr>
              </a:solidFill>
              <a:ln w="9525" cap="flat" cmpd="sng" algn="ctr">
                <a:solidFill>
                  <a:schemeClr val="bg2">
                    <a:lumMod val="65000"/>
                  </a:schemeClr>
                </a:solidFill>
                <a:prstDash val="solid"/>
              </a:ln>
              <a:effectLst>
                <a:outerShdw blurRad="40000" dist="23000" dir="5400000" rotWithShape="0">
                  <a:srgbClr val="000000">
                    <a:alpha val="35000"/>
                  </a:srgbClr>
                </a:outerShdw>
              </a:effectLst>
            </c:spPr>
          </c:dPt>
          <c:dPt>
            <c:idx val="1"/>
            <c:invertIfNegative val="0"/>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c:spPr>
          </c:dPt>
          <c:dPt>
            <c:idx val="2"/>
            <c:invertIfNegative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c:spPr>
          </c:dPt>
          <c:dPt>
            <c:idx val="3"/>
            <c:invertIfNegative val="0"/>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c:spPr>
          </c:dPt>
          <c:dPt>
            <c:idx val="4"/>
            <c:invertIfNegative val="0"/>
            <c:bubble3D val="0"/>
            <c:spPr>
              <a:solidFill>
                <a:srgbClr val="92D050"/>
              </a:solidFill>
              <a:ln w="9525" cap="flat" cmpd="sng" algn="ctr">
                <a:solidFill>
                  <a:srgbClr val="92D050"/>
                </a:solidFill>
                <a:prstDash val="solid"/>
              </a:ln>
              <a:effectLst>
                <a:outerShdw blurRad="40000" dist="23000" dir="5400000" rotWithShape="0">
                  <a:srgbClr val="000000">
                    <a:alpha val="35000"/>
                  </a:srgbClr>
                </a:outerShdw>
              </a:effectLst>
            </c:spPr>
          </c:dPt>
          <c:dPt>
            <c:idx val="5"/>
            <c:invertIfNegative val="0"/>
            <c:bubble3D val="0"/>
            <c:spPr>
              <a:solidFill>
                <a:srgbClr val="00B050"/>
              </a:solidFill>
              <a:ln>
                <a:solidFill>
                  <a:srgbClr val="00B050"/>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Don’t know</c:v>
                </c:pt>
                <c:pt idx="1">
                  <c:v>Not likely at all</c:v>
                </c:pt>
                <c:pt idx="2">
                  <c:v>Not likely</c:v>
                </c:pt>
                <c:pt idx="3">
                  <c:v>Indifferent</c:v>
                </c:pt>
                <c:pt idx="4">
                  <c:v>Likely</c:v>
                </c:pt>
                <c:pt idx="5">
                  <c:v>Very likely</c:v>
                </c:pt>
              </c:strCache>
            </c:strRef>
          </c:cat>
          <c:val>
            <c:numRef>
              <c:f>Sheet1!$B$2:$B$7</c:f>
              <c:numCache>
                <c:formatCode>0.00%</c:formatCode>
                <c:ptCount val="6"/>
                <c:pt idx="0">
                  <c:v>0.15</c:v>
                </c:pt>
                <c:pt idx="1">
                  <c:v>0.25</c:v>
                </c:pt>
                <c:pt idx="2">
                  <c:v>0.35</c:v>
                </c:pt>
                <c:pt idx="3">
                  <c:v>0.05</c:v>
                </c:pt>
                <c:pt idx="4">
                  <c:v>0.2</c:v>
                </c:pt>
                <c:pt idx="5">
                  <c:v>0</c:v>
                </c:pt>
              </c:numCache>
            </c:numRef>
          </c:val>
        </c:ser>
        <c:dLbls>
          <c:dLblPos val="outEnd"/>
          <c:showLegendKey val="0"/>
          <c:showVal val="1"/>
          <c:showCatName val="0"/>
          <c:showSerName val="0"/>
          <c:showPercent val="0"/>
          <c:showBubbleSize val="0"/>
        </c:dLbls>
        <c:gapWidth val="182"/>
        <c:axId val="163817728"/>
        <c:axId val="163831168"/>
      </c:barChart>
      <c:catAx>
        <c:axId val="1638177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831168"/>
        <c:crosses val="autoZero"/>
        <c:auto val="1"/>
        <c:lblAlgn val="ctr"/>
        <c:lblOffset val="100"/>
        <c:noMultiLvlLbl val="0"/>
      </c:catAx>
      <c:valAx>
        <c:axId val="163831168"/>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8177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Column1</c:v>
                </c:pt>
              </c:strCache>
            </c:strRef>
          </c:tx>
          <c:spPr>
            <a:solidFill>
              <a:schemeClr val="accent1"/>
            </a:solidFill>
            <a:ln>
              <a:noFill/>
            </a:ln>
            <a:effectLst/>
          </c:spPr>
          <c:invertIfNegative val="0"/>
          <c:dPt>
            <c:idx val="0"/>
            <c:invertIfNegative val="0"/>
            <c:bubble3D val="0"/>
            <c:spPr>
              <a:solidFill>
                <a:schemeClr val="bg2">
                  <a:lumMod val="65000"/>
                </a:schemeClr>
              </a:solidFill>
              <a:ln w="9525" cap="flat" cmpd="sng" algn="ctr">
                <a:solidFill>
                  <a:schemeClr val="bg2">
                    <a:lumMod val="65000"/>
                  </a:schemeClr>
                </a:solidFill>
                <a:prstDash val="solid"/>
              </a:ln>
              <a:effectLst>
                <a:outerShdw blurRad="40000" dist="23000" dir="5400000" rotWithShape="0">
                  <a:srgbClr val="000000">
                    <a:alpha val="35000"/>
                  </a:srgbClr>
                </a:outerShdw>
              </a:effectLst>
            </c:spPr>
          </c:dPt>
          <c:dPt>
            <c:idx val="1"/>
            <c:invertIfNegative val="0"/>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c:spPr>
          </c:dPt>
          <c:dPt>
            <c:idx val="2"/>
            <c:invertIfNegative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c:spPr>
          </c:dPt>
          <c:dPt>
            <c:idx val="3"/>
            <c:invertIfNegative val="0"/>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c:spPr>
          </c:dPt>
          <c:dPt>
            <c:idx val="4"/>
            <c:invertIfNegative val="0"/>
            <c:bubble3D val="0"/>
            <c:spPr>
              <a:solidFill>
                <a:srgbClr val="92D050"/>
              </a:solidFill>
              <a:ln w="9525" cap="flat" cmpd="sng" algn="ctr">
                <a:solidFill>
                  <a:srgbClr val="92D050"/>
                </a:solidFill>
                <a:prstDash val="solid"/>
              </a:ln>
              <a:effectLst>
                <a:outerShdw blurRad="40000" dist="23000" dir="5400000" rotWithShape="0">
                  <a:srgbClr val="000000">
                    <a:alpha val="35000"/>
                  </a:srgbClr>
                </a:outerShdw>
              </a:effectLst>
            </c:spPr>
          </c:dPt>
          <c:dPt>
            <c:idx val="5"/>
            <c:invertIfNegative val="0"/>
            <c:bubble3D val="0"/>
            <c:spPr>
              <a:solidFill>
                <a:srgbClr val="00B050"/>
              </a:solidFill>
              <a:ln>
                <a:solidFill>
                  <a:srgbClr val="00B050"/>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Don’t know</c:v>
                </c:pt>
                <c:pt idx="1">
                  <c:v>Not likely at all</c:v>
                </c:pt>
                <c:pt idx="2">
                  <c:v>Not likely</c:v>
                </c:pt>
                <c:pt idx="3">
                  <c:v>Indifferent</c:v>
                </c:pt>
                <c:pt idx="4">
                  <c:v>Likely</c:v>
                </c:pt>
                <c:pt idx="5">
                  <c:v>Very likely</c:v>
                </c:pt>
              </c:strCache>
            </c:strRef>
          </c:cat>
          <c:val>
            <c:numRef>
              <c:f>Sheet1!$B$2:$B$7</c:f>
              <c:numCache>
                <c:formatCode>0.00%</c:formatCode>
                <c:ptCount val="6"/>
                <c:pt idx="0">
                  <c:v>0.1905</c:v>
                </c:pt>
                <c:pt idx="1">
                  <c:v>4.7600000000000003E-2</c:v>
                </c:pt>
                <c:pt idx="2">
                  <c:v>0</c:v>
                </c:pt>
                <c:pt idx="3">
                  <c:v>0</c:v>
                </c:pt>
                <c:pt idx="4">
                  <c:v>0.42859999999999998</c:v>
                </c:pt>
                <c:pt idx="5">
                  <c:v>0.33329999999999999</c:v>
                </c:pt>
              </c:numCache>
            </c:numRef>
          </c:val>
        </c:ser>
        <c:dLbls>
          <c:dLblPos val="outEnd"/>
          <c:showLegendKey val="0"/>
          <c:showVal val="1"/>
          <c:showCatName val="0"/>
          <c:showSerName val="0"/>
          <c:showPercent val="0"/>
          <c:showBubbleSize val="0"/>
        </c:dLbls>
        <c:gapWidth val="182"/>
        <c:axId val="164267904"/>
        <c:axId val="164289536"/>
      </c:barChart>
      <c:catAx>
        <c:axId val="1642679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4289536"/>
        <c:crosses val="autoZero"/>
        <c:auto val="1"/>
        <c:lblAlgn val="ctr"/>
        <c:lblOffset val="100"/>
        <c:noMultiLvlLbl val="0"/>
      </c:catAx>
      <c:valAx>
        <c:axId val="16428953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42679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Column1</c:v>
                </c:pt>
              </c:strCache>
            </c:strRef>
          </c:tx>
          <c:spPr>
            <a:solidFill>
              <a:schemeClr val="accent1"/>
            </a:solidFill>
            <a:ln>
              <a:noFill/>
            </a:ln>
            <a:effectLst/>
          </c:spPr>
          <c:invertIfNegative val="0"/>
          <c:dPt>
            <c:idx val="0"/>
            <c:invertIfNegative val="0"/>
            <c:bubble3D val="0"/>
            <c:spPr>
              <a:solidFill>
                <a:schemeClr val="bg2">
                  <a:lumMod val="65000"/>
                </a:schemeClr>
              </a:solidFill>
              <a:ln w="9525" cap="flat" cmpd="sng" algn="ctr">
                <a:solidFill>
                  <a:schemeClr val="bg2">
                    <a:lumMod val="65000"/>
                  </a:schemeClr>
                </a:solidFill>
                <a:prstDash val="solid"/>
              </a:ln>
              <a:effectLst>
                <a:outerShdw blurRad="40000" dist="23000" dir="5400000" rotWithShape="0">
                  <a:srgbClr val="000000">
                    <a:alpha val="35000"/>
                  </a:srgbClr>
                </a:outerShdw>
              </a:effectLst>
            </c:spPr>
          </c:dPt>
          <c:dPt>
            <c:idx val="1"/>
            <c:invertIfNegative val="0"/>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c:spPr>
          </c:dPt>
          <c:dPt>
            <c:idx val="2"/>
            <c:invertIfNegative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c:spPr>
          </c:dPt>
          <c:dPt>
            <c:idx val="3"/>
            <c:invertIfNegative val="0"/>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c:spPr>
          </c:dPt>
          <c:dPt>
            <c:idx val="4"/>
            <c:invertIfNegative val="0"/>
            <c:bubble3D val="0"/>
            <c:spPr>
              <a:solidFill>
                <a:srgbClr val="92D050"/>
              </a:solidFill>
              <a:ln w="9525" cap="flat" cmpd="sng" algn="ctr">
                <a:solidFill>
                  <a:srgbClr val="92D050"/>
                </a:solidFill>
                <a:prstDash val="solid"/>
              </a:ln>
              <a:effectLst>
                <a:outerShdw blurRad="40000" dist="23000" dir="5400000" rotWithShape="0">
                  <a:srgbClr val="000000">
                    <a:alpha val="35000"/>
                  </a:srgbClr>
                </a:outerShdw>
              </a:effectLst>
            </c:spPr>
          </c:dPt>
          <c:dPt>
            <c:idx val="5"/>
            <c:invertIfNegative val="0"/>
            <c:bubble3D val="0"/>
            <c:spPr>
              <a:solidFill>
                <a:srgbClr val="00B050"/>
              </a:solidFill>
              <a:ln>
                <a:solidFill>
                  <a:srgbClr val="00B050"/>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Don’t know</c:v>
                </c:pt>
                <c:pt idx="1">
                  <c:v>Not likely at all</c:v>
                </c:pt>
                <c:pt idx="2">
                  <c:v>Not likely</c:v>
                </c:pt>
                <c:pt idx="3">
                  <c:v>Indifferent</c:v>
                </c:pt>
                <c:pt idx="4">
                  <c:v>Likely</c:v>
                </c:pt>
                <c:pt idx="5">
                  <c:v>Very likely</c:v>
                </c:pt>
              </c:strCache>
            </c:strRef>
          </c:cat>
          <c:val>
            <c:numRef>
              <c:f>Sheet1!$B$2:$B$7</c:f>
              <c:numCache>
                <c:formatCode>0.00%</c:formatCode>
                <c:ptCount val="6"/>
                <c:pt idx="0">
                  <c:v>0</c:v>
                </c:pt>
                <c:pt idx="1">
                  <c:v>4.5499999999999999E-2</c:v>
                </c:pt>
                <c:pt idx="2">
                  <c:v>0.13650000000000001</c:v>
                </c:pt>
                <c:pt idx="3">
                  <c:v>4.5499999999999999E-2</c:v>
                </c:pt>
                <c:pt idx="4">
                  <c:v>0.45450000000000002</c:v>
                </c:pt>
                <c:pt idx="5">
                  <c:v>0.318</c:v>
                </c:pt>
              </c:numCache>
            </c:numRef>
          </c:val>
        </c:ser>
        <c:dLbls>
          <c:dLblPos val="outEnd"/>
          <c:showLegendKey val="0"/>
          <c:showVal val="1"/>
          <c:showCatName val="0"/>
          <c:showSerName val="0"/>
          <c:showPercent val="0"/>
          <c:showBubbleSize val="0"/>
        </c:dLbls>
        <c:gapWidth val="182"/>
        <c:axId val="164312576"/>
        <c:axId val="164326016"/>
      </c:barChart>
      <c:catAx>
        <c:axId val="1643125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4326016"/>
        <c:crosses val="autoZero"/>
        <c:auto val="1"/>
        <c:lblAlgn val="ctr"/>
        <c:lblOffset val="100"/>
        <c:noMultiLvlLbl val="0"/>
      </c:catAx>
      <c:valAx>
        <c:axId val="16432601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43125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Column1</c:v>
                </c:pt>
              </c:strCache>
            </c:strRef>
          </c:tx>
          <c:spPr>
            <a:solidFill>
              <a:schemeClr val="accent1"/>
            </a:solidFill>
            <a:ln>
              <a:noFill/>
            </a:ln>
            <a:effectLst/>
          </c:spPr>
          <c:invertIfNegative val="0"/>
          <c:dPt>
            <c:idx val="0"/>
            <c:invertIfNegative val="0"/>
            <c:bubble3D val="0"/>
            <c:spPr>
              <a:solidFill>
                <a:schemeClr val="bg2">
                  <a:lumMod val="65000"/>
                </a:schemeClr>
              </a:solidFill>
              <a:ln w="9525" cap="flat" cmpd="sng" algn="ctr">
                <a:solidFill>
                  <a:schemeClr val="bg2">
                    <a:lumMod val="65000"/>
                  </a:schemeClr>
                </a:solidFill>
                <a:prstDash val="solid"/>
              </a:ln>
              <a:effectLst>
                <a:outerShdw blurRad="40000" dist="23000" dir="5400000" rotWithShape="0">
                  <a:srgbClr val="000000">
                    <a:alpha val="35000"/>
                  </a:srgbClr>
                </a:outerShdw>
              </a:effectLst>
            </c:spPr>
          </c:dPt>
          <c:dPt>
            <c:idx val="1"/>
            <c:invertIfNegative val="0"/>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c:spPr>
          </c:dPt>
          <c:dPt>
            <c:idx val="2"/>
            <c:invertIfNegative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c:spPr>
          </c:dPt>
          <c:dPt>
            <c:idx val="3"/>
            <c:invertIfNegative val="0"/>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c:spPr>
          </c:dPt>
          <c:dPt>
            <c:idx val="4"/>
            <c:invertIfNegative val="0"/>
            <c:bubble3D val="0"/>
            <c:spPr>
              <a:solidFill>
                <a:srgbClr val="92D050"/>
              </a:solidFill>
              <a:ln w="9525" cap="flat" cmpd="sng" algn="ctr">
                <a:solidFill>
                  <a:srgbClr val="92D050"/>
                </a:solidFill>
                <a:prstDash val="solid"/>
              </a:ln>
              <a:effectLst>
                <a:outerShdw blurRad="40000" dist="23000" dir="5400000" rotWithShape="0">
                  <a:srgbClr val="000000">
                    <a:alpha val="35000"/>
                  </a:srgbClr>
                </a:outerShdw>
              </a:effectLst>
            </c:spPr>
          </c:dPt>
          <c:dPt>
            <c:idx val="5"/>
            <c:invertIfNegative val="0"/>
            <c:bubble3D val="0"/>
            <c:spPr>
              <a:solidFill>
                <a:srgbClr val="00B050"/>
              </a:solidFill>
              <a:ln>
                <a:solidFill>
                  <a:srgbClr val="00B050"/>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Don’t know</c:v>
                </c:pt>
                <c:pt idx="1">
                  <c:v>Not likely at all</c:v>
                </c:pt>
                <c:pt idx="2">
                  <c:v>Not likely</c:v>
                </c:pt>
                <c:pt idx="3">
                  <c:v>Indifferent</c:v>
                </c:pt>
                <c:pt idx="4">
                  <c:v>Likely</c:v>
                </c:pt>
                <c:pt idx="5">
                  <c:v>Very likely</c:v>
                </c:pt>
              </c:strCache>
            </c:strRef>
          </c:cat>
          <c:val>
            <c:numRef>
              <c:f>Sheet1!$B$2:$B$7</c:f>
              <c:numCache>
                <c:formatCode>0.00%</c:formatCode>
                <c:ptCount val="6"/>
                <c:pt idx="0">
                  <c:v>0</c:v>
                </c:pt>
                <c:pt idx="1">
                  <c:v>4.7600000000000003E-2</c:v>
                </c:pt>
                <c:pt idx="2">
                  <c:v>4.7600000000000003E-2</c:v>
                </c:pt>
                <c:pt idx="3">
                  <c:v>0</c:v>
                </c:pt>
                <c:pt idx="4">
                  <c:v>0.47620000000000001</c:v>
                </c:pt>
                <c:pt idx="5">
                  <c:v>0.42859999999999998</c:v>
                </c:pt>
              </c:numCache>
            </c:numRef>
          </c:val>
        </c:ser>
        <c:dLbls>
          <c:dLblPos val="outEnd"/>
          <c:showLegendKey val="0"/>
          <c:showVal val="1"/>
          <c:showCatName val="0"/>
          <c:showSerName val="0"/>
          <c:showPercent val="0"/>
          <c:showBubbleSize val="0"/>
        </c:dLbls>
        <c:gapWidth val="182"/>
        <c:axId val="164463744"/>
        <c:axId val="164468992"/>
      </c:barChart>
      <c:catAx>
        <c:axId val="1644637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4468992"/>
        <c:crosses val="autoZero"/>
        <c:auto val="1"/>
        <c:lblAlgn val="ctr"/>
        <c:lblOffset val="100"/>
        <c:noMultiLvlLbl val="0"/>
      </c:catAx>
      <c:valAx>
        <c:axId val="16446899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44637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Column1</c:v>
                </c:pt>
              </c:strCache>
            </c:strRef>
          </c:tx>
          <c:spPr>
            <a:solidFill>
              <a:schemeClr val="accent1"/>
            </a:solidFill>
            <a:ln>
              <a:noFill/>
            </a:ln>
            <a:effectLst/>
          </c:spPr>
          <c:invertIfNegative val="0"/>
          <c:dPt>
            <c:idx val="0"/>
            <c:invertIfNegative val="0"/>
            <c:bubble3D val="0"/>
            <c:spPr>
              <a:solidFill>
                <a:schemeClr val="bg2">
                  <a:lumMod val="65000"/>
                </a:schemeClr>
              </a:solidFill>
              <a:ln w="9525" cap="flat" cmpd="sng" algn="ctr">
                <a:solidFill>
                  <a:schemeClr val="bg2">
                    <a:lumMod val="65000"/>
                  </a:schemeClr>
                </a:solidFill>
                <a:prstDash val="solid"/>
              </a:ln>
              <a:effectLst>
                <a:outerShdw blurRad="40000" dist="23000" dir="5400000" rotWithShape="0">
                  <a:srgbClr val="000000">
                    <a:alpha val="35000"/>
                  </a:srgbClr>
                </a:outerShdw>
              </a:effectLst>
            </c:spPr>
          </c:dPt>
          <c:dPt>
            <c:idx val="1"/>
            <c:invertIfNegative val="0"/>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c:spPr>
          </c:dPt>
          <c:dPt>
            <c:idx val="2"/>
            <c:invertIfNegative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c:spPr>
          </c:dPt>
          <c:dPt>
            <c:idx val="3"/>
            <c:invertIfNegative val="0"/>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c:spPr>
          </c:dPt>
          <c:dPt>
            <c:idx val="4"/>
            <c:invertIfNegative val="0"/>
            <c:bubble3D val="0"/>
            <c:spPr>
              <a:solidFill>
                <a:srgbClr val="92D050"/>
              </a:solidFill>
              <a:ln w="9525" cap="flat" cmpd="sng" algn="ctr">
                <a:solidFill>
                  <a:srgbClr val="92D050"/>
                </a:solidFill>
                <a:prstDash val="solid"/>
              </a:ln>
              <a:effectLst>
                <a:outerShdw blurRad="40000" dist="23000" dir="5400000" rotWithShape="0">
                  <a:srgbClr val="000000">
                    <a:alpha val="35000"/>
                  </a:srgbClr>
                </a:outerShdw>
              </a:effectLst>
            </c:spPr>
          </c:dPt>
          <c:dPt>
            <c:idx val="5"/>
            <c:invertIfNegative val="0"/>
            <c:bubble3D val="0"/>
            <c:spPr>
              <a:solidFill>
                <a:srgbClr val="00B050"/>
              </a:solidFill>
              <a:ln>
                <a:solidFill>
                  <a:srgbClr val="00B050"/>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Don’t know</c:v>
                </c:pt>
                <c:pt idx="1">
                  <c:v>Not likely at all</c:v>
                </c:pt>
                <c:pt idx="2">
                  <c:v>Not likely</c:v>
                </c:pt>
                <c:pt idx="3">
                  <c:v>Indifferent</c:v>
                </c:pt>
                <c:pt idx="4">
                  <c:v>Likely</c:v>
                </c:pt>
                <c:pt idx="5">
                  <c:v>Very likely</c:v>
                </c:pt>
              </c:strCache>
            </c:strRef>
          </c:cat>
          <c:val>
            <c:numRef>
              <c:f>Sheet1!$B$2:$B$7</c:f>
              <c:numCache>
                <c:formatCode>0.00%</c:formatCode>
                <c:ptCount val="6"/>
                <c:pt idx="0">
                  <c:v>9.5399999999999999E-2</c:v>
                </c:pt>
                <c:pt idx="1">
                  <c:v>4.7600000000000003E-2</c:v>
                </c:pt>
                <c:pt idx="2">
                  <c:v>0.23810000000000001</c:v>
                </c:pt>
                <c:pt idx="3">
                  <c:v>0.14280000000000001</c:v>
                </c:pt>
                <c:pt idx="4">
                  <c:v>0.19040000000000001</c:v>
                </c:pt>
                <c:pt idx="5">
                  <c:v>0.28570000000000001</c:v>
                </c:pt>
              </c:numCache>
            </c:numRef>
          </c:val>
        </c:ser>
        <c:dLbls>
          <c:dLblPos val="outEnd"/>
          <c:showLegendKey val="0"/>
          <c:showVal val="1"/>
          <c:showCatName val="0"/>
          <c:showSerName val="0"/>
          <c:showPercent val="0"/>
          <c:showBubbleSize val="0"/>
        </c:dLbls>
        <c:gapWidth val="182"/>
        <c:axId val="164508800"/>
        <c:axId val="164526336"/>
      </c:barChart>
      <c:catAx>
        <c:axId val="1645088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4526336"/>
        <c:crosses val="autoZero"/>
        <c:auto val="1"/>
        <c:lblAlgn val="ctr"/>
        <c:lblOffset val="100"/>
        <c:noMultiLvlLbl val="0"/>
      </c:catAx>
      <c:valAx>
        <c:axId val="16452633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45088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Column1</c:v>
                </c:pt>
              </c:strCache>
            </c:strRef>
          </c:tx>
          <c:spPr>
            <a:solidFill>
              <a:schemeClr val="accent1"/>
            </a:solidFill>
            <a:ln>
              <a:noFill/>
            </a:ln>
            <a:effectLst/>
          </c:spPr>
          <c:invertIfNegative val="0"/>
          <c:dPt>
            <c:idx val="0"/>
            <c:invertIfNegative val="0"/>
            <c:bubble3D val="0"/>
            <c:spPr>
              <a:solidFill>
                <a:schemeClr val="bg2">
                  <a:lumMod val="65000"/>
                </a:schemeClr>
              </a:solidFill>
              <a:ln w="9525" cap="flat" cmpd="sng" algn="ctr">
                <a:solidFill>
                  <a:schemeClr val="bg2">
                    <a:lumMod val="65000"/>
                  </a:schemeClr>
                </a:solidFill>
                <a:prstDash val="solid"/>
              </a:ln>
              <a:effectLst>
                <a:outerShdw blurRad="40000" dist="23000" dir="5400000" rotWithShape="0">
                  <a:srgbClr val="000000">
                    <a:alpha val="35000"/>
                  </a:srgbClr>
                </a:outerShdw>
              </a:effectLst>
            </c:spPr>
          </c:dPt>
          <c:dPt>
            <c:idx val="1"/>
            <c:invertIfNegative val="0"/>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c:spPr>
          </c:dPt>
          <c:dPt>
            <c:idx val="2"/>
            <c:invertIfNegative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c:spPr>
          </c:dPt>
          <c:dPt>
            <c:idx val="3"/>
            <c:invertIfNegative val="0"/>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c:spPr>
          </c:dPt>
          <c:dPt>
            <c:idx val="4"/>
            <c:invertIfNegative val="0"/>
            <c:bubble3D val="0"/>
            <c:spPr>
              <a:solidFill>
                <a:srgbClr val="92D050"/>
              </a:solidFill>
              <a:ln w="9525" cap="flat" cmpd="sng" algn="ctr">
                <a:solidFill>
                  <a:srgbClr val="92D050"/>
                </a:solidFill>
                <a:prstDash val="solid"/>
              </a:ln>
              <a:effectLst>
                <a:outerShdw blurRad="40000" dist="23000" dir="5400000" rotWithShape="0">
                  <a:srgbClr val="000000">
                    <a:alpha val="35000"/>
                  </a:srgbClr>
                </a:outerShdw>
              </a:effectLst>
            </c:spPr>
          </c:dPt>
          <c:dPt>
            <c:idx val="5"/>
            <c:invertIfNegative val="0"/>
            <c:bubble3D val="0"/>
            <c:spPr>
              <a:solidFill>
                <a:srgbClr val="00B050"/>
              </a:solidFill>
              <a:ln>
                <a:solidFill>
                  <a:srgbClr val="00B050"/>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Don’t know</c:v>
                </c:pt>
                <c:pt idx="1">
                  <c:v>Not likely at all</c:v>
                </c:pt>
                <c:pt idx="2">
                  <c:v>Not likely</c:v>
                </c:pt>
                <c:pt idx="3">
                  <c:v>Indifferent</c:v>
                </c:pt>
                <c:pt idx="4">
                  <c:v>Likely</c:v>
                </c:pt>
                <c:pt idx="5">
                  <c:v>Very likely</c:v>
                </c:pt>
              </c:strCache>
            </c:strRef>
          </c:cat>
          <c:val>
            <c:numRef>
              <c:f>Sheet1!$B$2:$B$7</c:f>
              <c:numCache>
                <c:formatCode>0.00%</c:formatCode>
                <c:ptCount val="6"/>
                <c:pt idx="0">
                  <c:v>4.7699999999999999E-2</c:v>
                </c:pt>
                <c:pt idx="1">
                  <c:v>4.7699999999999999E-2</c:v>
                </c:pt>
                <c:pt idx="2">
                  <c:v>0</c:v>
                </c:pt>
                <c:pt idx="3">
                  <c:v>9.5200000000000007E-2</c:v>
                </c:pt>
                <c:pt idx="4">
                  <c:v>0.42849999999999999</c:v>
                </c:pt>
                <c:pt idx="5">
                  <c:v>0.38090000000000002</c:v>
                </c:pt>
              </c:numCache>
            </c:numRef>
          </c:val>
        </c:ser>
        <c:dLbls>
          <c:dLblPos val="outEnd"/>
          <c:showLegendKey val="0"/>
          <c:showVal val="1"/>
          <c:showCatName val="0"/>
          <c:showSerName val="0"/>
          <c:showPercent val="0"/>
          <c:showBubbleSize val="0"/>
        </c:dLbls>
        <c:gapWidth val="182"/>
        <c:axId val="165761792"/>
        <c:axId val="165775232"/>
      </c:barChart>
      <c:catAx>
        <c:axId val="1657617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775232"/>
        <c:crosses val="autoZero"/>
        <c:auto val="1"/>
        <c:lblAlgn val="ctr"/>
        <c:lblOffset val="100"/>
        <c:noMultiLvlLbl val="0"/>
      </c:catAx>
      <c:valAx>
        <c:axId val="16577523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7617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Column1</c:v>
                </c:pt>
              </c:strCache>
            </c:strRef>
          </c:tx>
          <c:spPr>
            <a:solidFill>
              <a:schemeClr val="accent1"/>
            </a:solidFill>
            <a:ln>
              <a:noFill/>
            </a:ln>
            <a:effectLst/>
          </c:spPr>
          <c:invertIfNegative val="0"/>
          <c:dPt>
            <c:idx val="0"/>
            <c:invertIfNegative val="0"/>
            <c:bubble3D val="0"/>
            <c:spPr>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lin ang="16200000" scaled="1"/>
                <a:tileRect/>
              </a:gradFill>
              <a:ln>
                <a:noFill/>
              </a:ln>
              <a:effectLst/>
            </c:spPr>
          </c:dPt>
          <c:dPt>
            <c:idx val="1"/>
            <c:invertIfNegative val="0"/>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c:spPr>
          </c:dPt>
          <c:dPt>
            <c:idx val="2"/>
            <c:invertIfNegative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c:spPr>
          </c:dPt>
          <c:dPt>
            <c:idx val="3"/>
            <c:invertIfNegative val="0"/>
            <c:bubble3D val="0"/>
            <c:spPr>
              <a:gradFill flip="none" rotWithShape="1">
                <a:gsLst>
                  <a:gs pos="0">
                    <a:srgbClr val="00B050">
                      <a:shade val="30000"/>
                      <a:satMod val="115000"/>
                    </a:srgbClr>
                  </a:gs>
                  <a:gs pos="50000">
                    <a:srgbClr val="00B050">
                      <a:shade val="67500"/>
                      <a:satMod val="115000"/>
                    </a:srgbClr>
                  </a:gs>
                  <a:gs pos="100000">
                    <a:srgbClr val="00B050">
                      <a:shade val="100000"/>
                      <a:satMod val="115000"/>
                    </a:srgbClr>
                  </a:gs>
                </a:gsLst>
                <a:lin ang="16200000" scaled="1"/>
                <a:tileRect/>
              </a:gradFill>
              <a:ln w="9525" cap="flat" cmpd="sng" algn="ctr">
                <a:solidFill>
                  <a:srgbClr val="00B050"/>
                </a:solidFill>
                <a:prstDash val="solid"/>
              </a:ln>
              <a:effectLst>
                <a:outerShdw blurRad="40000" dist="23000" dir="5400000" rotWithShape="0">
                  <a:srgbClr val="000000">
                    <a:alpha val="35000"/>
                  </a:srgbClr>
                </a:outerShdw>
              </a:effectLst>
            </c:spPr>
          </c:dPt>
          <c:dPt>
            <c:idx val="4"/>
            <c:invertIfNegative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Other</c:v>
                </c:pt>
                <c:pt idx="1">
                  <c:v>Financial incentives to vendors encouraging them to regularly replace and/or update old products</c:v>
                </c:pt>
                <c:pt idx="2">
                  <c:v>Hard-law approach, increasing trust through the introduction of disciplinary sanctions</c:v>
                </c:pt>
                <c:pt idx="3">
                  <c:v>Adopt a certification and labelling scheme allowing customers to compare in an informed way which products offer the highest level of security</c:v>
                </c:pt>
                <c:pt idx="4">
                  <c:v>Implement a bill of rights giving to customers a chance to make claims after having purchased ICT devices</c:v>
                </c:pt>
              </c:strCache>
            </c:strRef>
          </c:cat>
          <c:val>
            <c:numRef>
              <c:f>Sheet1!$B$2:$B$6</c:f>
              <c:numCache>
                <c:formatCode>0.00%</c:formatCode>
                <c:ptCount val="5"/>
                <c:pt idx="0">
                  <c:v>0.23080000000000001</c:v>
                </c:pt>
                <c:pt idx="1">
                  <c:v>0.1154</c:v>
                </c:pt>
                <c:pt idx="2">
                  <c:v>7.6899999999999996E-2</c:v>
                </c:pt>
                <c:pt idx="3">
                  <c:v>0.5</c:v>
                </c:pt>
                <c:pt idx="4">
                  <c:v>7.6899999999999996E-2</c:v>
                </c:pt>
              </c:numCache>
            </c:numRef>
          </c:val>
        </c:ser>
        <c:dLbls>
          <c:dLblPos val="outEnd"/>
          <c:showLegendKey val="0"/>
          <c:showVal val="1"/>
          <c:showCatName val="0"/>
          <c:showSerName val="0"/>
          <c:showPercent val="0"/>
          <c:showBubbleSize val="0"/>
        </c:dLbls>
        <c:gapWidth val="182"/>
        <c:axId val="44521728"/>
        <c:axId val="44555264"/>
      </c:barChart>
      <c:catAx>
        <c:axId val="445217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555264"/>
        <c:crosses val="autoZero"/>
        <c:auto val="1"/>
        <c:lblAlgn val="ctr"/>
        <c:lblOffset val="100"/>
        <c:noMultiLvlLbl val="0"/>
      </c:catAx>
      <c:valAx>
        <c:axId val="4455526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5217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Column1</c:v>
                </c:pt>
              </c:strCache>
            </c:strRef>
          </c:tx>
          <c:spPr>
            <a:solidFill>
              <a:schemeClr val="accent1"/>
            </a:solidFill>
            <a:ln>
              <a:noFill/>
            </a:ln>
            <a:effectLst/>
          </c:spPr>
          <c:invertIfNegative val="0"/>
          <c:dPt>
            <c:idx val="0"/>
            <c:invertIfNegative val="0"/>
            <c:bubble3D val="0"/>
            <c:spPr>
              <a:solidFill>
                <a:schemeClr val="bg2">
                  <a:lumMod val="65000"/>
                </a:schemeClr>
              </a:solidFill>
              <a:ln w="9525" cap="flat" cmpd="sng" algn="ctr">
                <a:solidFill>
                  <a:schemeClr val="bg2">
                    <a:lumMod val="65000"/>
                  </a:schemeClr>
                </a:solidFill>
                <a:prstDash val="solid"/>
              </a:ln>
              <a:effectLst>
                <a:outerShdw blurRad="40000" dist="23000" dir="5400000" rotWithShape="0">
                  <a:srgbClr val="000000">
                    <a:alpha val="35000"/>
                  </a:srgbClr>
                </a:outerShdw>
              </a:effectLst>
            </c:spPr>
          </c:dPt>
          <c:dPt>
            <c:idx val="1"/>
            <c:invertIfNegative val="0"/>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c:spPr>
          </c:dPt>
          <c:dPt>
            <c:idx val="2"/>
            <c:invertIfNegative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c:spPr>
          </c:dPt>
          <c:dPt>
            <c:idx val="3"/>
            <c:invertIfNegative val="0"/>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c:spPr>
          </c:dPt>
          <c:dPt>
            <c:idx val="4"/>
            <c:invertIfNegative val="0"/>
            <c:bubble3D val="0"/>
            <c:spPr>
              <a:solidFill>
                <a:srgbClr val="92D050"/>
              </a:solidFill>
              <a:ln w="9525" cap="flat" cmpd="sng" algn="ctr">
                <a:solidFill>
                  <a:srgbClr val="92D050"/>
                </a:solidFill>
                <a:prstDash val="solid"/>
              </a:ln>
              <a:effectLst>
                <a:outerShdw blurRad="40000" dist="23000" dir="5400000" rotWithShape="0">
                  <a:srgbClr val="000000">
                    <a:alpha val="35000"/>
                  </a:srgbClr>
                </a:outerShdw>
              </a:effectLst>
            </c:spPr>
          </c:dPt>
          <c:dPt>
            <c:idx val="5"/>
            <c:invertIfNegative val="0"/>
            <c:bubble3D val="0"/>
            <c:spPr>
              <a:solidFill>
                <a:srgbClr val="00B050"/>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Don’t know</c:v>
                </c:pt>
                <c:pt idx="1">
                  <c:v>Not likely at all</c:v>
                </c:pt>
                <c:pt idx="2">
                  <c:v>Not likely</c:v>
                </c:pt>
                <c:pt idx="3">
                  <c:v>Indifferent</c:v>
                </c:pt>
                <c:pt idx="4">
                  <c:v>Likely</c:v>
                </c:pt>
                <c:pt idx="5">
                  <c:v>Very likely</c:v>
                </c:pt>
              </c:strCache>
            </c:strRef>
          </c:cat>
          <c:val>
            <c:numRef>
              <c:f>Sheet1!$B$2:$B$7</c:f>
              <c:numCache>
                <c:formatCode>0.00%</c:formatCode>
                <c:ptCount val="6"/>
                <c:pt idx="0">
                  <c:v>0.1739</c:v>
                </c:pt>
                <c:pt idx="1">
                  <c:v>8.6999999999999994E-2</c:v>
                </c:pt>
                <c:pt idx="2">
                  <c:v>8.6999999999999994E-2</c:v>
                </c:pt>
                <c:pt idx="3">
                  <c:v>4.3400000000000001E-2</c:v>
                </c:pt>
                <c:pt idx="4">
                  <c:v>0.43480000000000002</c:v>
                </c:pt>
                <c:pt idx="5">
                  <c:v>0.1739</c:v>
                </c:pt>
              </c:numCache>
            </c:numRef>
          </c:val>
        </c:ser>
        <c:dLbls>
          <c:dLblPos val="outEnd"/>
          <c:showLegendKey val="0"/>
          <c:showVal val="1"/>
          <c:showCatName val="0"/>
          <c:showSerName val="0"/>
          <c:showPercent val="0"/>
          <c:showBubbleSize val="0"/>
        </c:dLbls>
        <c:gapWidth val="182"/>
        <c:axId val="44856832"/>
        <c:axId val="44870272"/>
      </c:barChart>
      <c:catAx>
        <c:axId val="448568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870272"/>
        <c:crosses val="autoZero"/>
        <c:auto val="1"/>
        <c:lblAlgn val="ctr"/>
        <c:lblOffset val="100"/>
        <c:noMultiLvlLbl val="0"/>
      </c:catAx>
      <c:valAx>
        <c:axId val="4487027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8568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Column1</c:v>
                </c:pt>
              </c:strCache>
            </c:strRef>
          </c:tx>
          <c:spPr>
            <a:solidFill>
              <a:schemeClr val="accent1"/>
            </a:solidFill>
            <a:ln>
              <a:noFill/>
            </a:ln>
            <a:effectLst/>
          </c:spPr>
          <c:invertIfNegative val="0"/>
          <c:dPt>
            <c:idx val="0"/>
            <c:invertIfNegative val="0"/>
            <c:bubble3D val="0"/>
            <c:spPr>
              <a:solidFill>
                <a:schemeClr val="bg2">
                  <a:lumMod val="65000"/>
                </a:schemeClr>
              </a:solidFill>
              <a:ln w="9525" cap="flat" cmpd="sng" algn="ctr">
                <a:solidFill>
                  <a:schemeClr val="bg2">
                    <a:lumMod val="65000"/>
                  </a:schemeClr>
                </a:solidFill>
                <a:prstDash val="solid"/>
              </a:ln>
              <a:effectLst>
                <a:outerShdw blurRad="40000" dist="23000" dir="5400000" rotWithShape="0">
                  <a:srgbClr val="000000">
                    <a:alpha val="35000"/>
                  </a:srgbClr>
                </a:outerShdw>
              </a:effectLst>
            </c:spPr>
          </c:dPt>
          <c:dPt>
            <c:idx val="1"/>
            <c:invertIfNegative val="0"/>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c:spPr>
          </c:dPt>
          <c:dPt>
            <c:idx val="2"/>
            <c:invertIfNegative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c:spPr>
          </c:dPt>
          <c:dPt>
            <c:idx val="3"/>
            <c:invertIfNegative val="0"/>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c:spPr>
          </c:dPt>
          <c:dPt>
            <c:idx val="4"/>
            <c:invertIfNegative val="0"/>
            <c:bubble3D val="0"/>
            <c:spPr>
              <a:solidFill>
                <a:srgbClr val="92D050"/>
              </a:solidFill>
              <a:ln w="9525" cap="flat" cmpd="sng" algn="ctr">
                <a:solidFill>
                  <a:srgbClr val="92D050"/>
                </a:solidFill>
                <a:prstDash val="solid"/>
              </a:ln>
              <a:effectLst>
                <a:outerShdw blurRad="40000" dist="23000" dir="5400000" rotWithShape="0">
                  <a:srgbClr val="000000">
                    <a:alpha val="35000"/>
                  </a:srgbClr>
                </a:outerShdw>
              </a:effectLst>
            </c:spPr>
          </c:dPt>
          <c:dPt>
            <c:idx val="5"/>
            <c:invertIfNegative val="0"/>
            <c:bubble3D val="0"/>
            <c:spPr>
              <a:solidFill>
                <a:srgbClr val="00B050"/>
              </a:solidFill>
              <a:ln>
                <a:solidFill>
                  <a:srgbClr val="00B050"/>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Don’t know</c:v>
                </c:pt>
                <c:pt idx="1">
                  <c:v>Not likely at all</c:v>
                </c:pt>
                <c:pt idx="2">
                  <c:v>Not likely</c:v>
                </c:pt>
                <c:pt idx="3">
                  <c:v>Indifferent</c:v>
                </c:pt>
                <c:pt idx="4">
                  <c:v>Likely</c:v>
                </c:pt>
                <c:pt idx="5">
                  <c:v>Very likely</c:v>
                </c:pt>
              </c:strCache>
            </c:strRef>
          </c:cat>
          <c:val>
            <c:numRef>
              <c:f>Sheet1!$B$2:$B$7</c:f>
              <c:numCache>
                <c:formatCode>0.00%</c:formatCode>
                <c:ptCount val="6"/>
                <c:pt idx="0">
                  <c:v>8.6999999999999994E-2</c:v>
                </c:pt>
                <c:pt idx="1">
                  <c:v>4.3499999999999997E-2</c:v>
                </c:pt>
                <c:pt idx="2">
                  <c:v>8.6999999999999994E-2</c:v>
                </c:pt>
                <c:pt idx="3">
                  <c:v>0</c:v>
                </c:pt>
                <c:pt idx="4">
                  <c:v>0.43480000000000002</c:v>
                </c:pt>
                <c:pt idx="5">
                  <c:v>0.3478</c:v>
                </c:pt>
              </c:numCache>
            </c:numRef>
          </c:val>
        </c:ser>
        <c:dLbls>
          <c:dLblPos val="outEnd"/>
          <c:showLegendKey val="0"/>
          <c:showVal val="1"/>
          <c:showCatName val="0"/>
          <c:showSerName val="0"/>
          <c:showPercent val="0"/>
          <c:showBubbleSize val="0"/>
        </c:dLbls>
        <c:gapWidth val="182"/>
        <c:axId val="45274624"/>
        <c:axId val="164379264"/>
      </c:barChart>
      <c:catAx>
        <c:axId val="452746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4379264"/>
        <c:crosses val="autoZero"/>
        <c:auto val="1"/>
        <c:lblAlgn val="ctr"/>
        <c:lblOffset val="100"/>
        <c:noMultiLvlLbl val="0"/>
      </c:catAx>
      <c:valAx>
        <c:axId val="16437926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2746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Column1</c:v>
                </c:pt>
              </c:strCache>
            </c:strRef>
          </c:tx>
          <c:spPr>
            <a:solidFill>
              <a:schemeClr val="accent1"/>
            </a:solidFill>
            <a:ln>
              <a:noFill/>
            </a:ln>
            <a:effectLst/>
          </c:spPr>
          <c:invertIfNegative val="0"/>
          <c:dPt>
            <c:idx val="0"/>
            <c:invertIfNegative val="0"/>
            <c:bubble3D val="0"/>
            <c:spPr>
              <a:solidFill>
                <a:schemeClr val="bg2">
                  <a:lumMod val="65000"/>
                </a:schemeClr>
              </a:solidFill>
              <a:ln w="9525" cap="flat" cmpd="sng" algn="ctr">
                <a:solidFill>
                  <a:schemeClr val="bg2">
                    <a:lumMod val="65000"/>
                  </a:schemeClr>
                </a:solidFill>
                <a:prstDash val="solid"/>
              </a:ln>
              <a:effectLst>
                <a:outerShdw blurRad="40000" dist="23000" dir="5400000" rotWithShape="0">
                  <a:srgbClr val="000000">
                    <a:alpha val="35000"/>
                  </a:srgbClr>
                </a:outerShdw>
              </a:effectLst>
            </c:spPr>
          </c:dPt>
          <c:dPt>
            <c:idx val="1"/>
            <c:invertIfNegative val="0"/>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c:spPr>
          </c:dPt>
          <c:dPt>
            <c:idx val="2"/>
            <c:invertIfNegative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c:spPr>
          </c:dPt>
          <c:dPt>
            <c:idx val="3"/>
            <c:invertIfNegative val="0"/>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c:spPr>
          </c:dPt>
          <c:dPt>
            <c:idx val="4"/>
            <c:invertIfNegative val="0"/>
            <c:bubble3D val="0"/>
            <c:spPr>
              <a:solidFill>
                <a:srgbClr val="92D050"/>
              </a:solidFill>
              <a:ln w="9525" cap="flat" cmpd="sng" algn="ctr">
                <a:solidFill>
                  <a:srgbClr val="92D050"/>
                </a:solidFill>
                <a:prstDash val="solid"/>
              </a:ln>
              <a:effectLst>
                <a:outerShdw blurRad="40000" dist="23000" dir="5400000" rotWithShape="0">
                  <a:srgbClr val="000000">
                    <a:alpha val="35000"/>
                  </a:srgbClr>
                </a:outerShdw>
              </a:effectLst>
            </c:spPr>
          </c:dPt>
          <c:dPt>
            <c:idx val="5"/>
            <c:invertIfNegative val="0"/>
            <c:bubble3D val="0"/>
            <c:spPr>
              <a:solidFill>
                <a:srgbClr val="00B050"/>
              </a:solidFill>
              <a:ln w="9525" cap="flat" cmpd="sng" algn="ctr">
                <a:solidFill>
                  <a:srgbClr val="00B050"/>
                </a:solidFill>
                <a:prstDash val="solid"/>
              </a:ln>
              <a:effectLst>
                <a:outerShdw blurRad="40000" dist="23000" dir="5400000" rotWithShape="0">
                  <a:srgbClr val="000000">
                    <a:alpha val="35000"/>
                  </a:srgbClr>
                </a:outerShdw>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Don’t know</c:v>
                </c:pt>
                <c:pt idx="1">
                  <c:v>Not likely at all</c:v>
                </c:pt>
                <c:pt idx="2">
                  <c:v>Not likely</c:v>
                </c:pt>
                <c:pt idx="3">
                  <c:v>Indifferent</c:v>
                </c:pt>
                <c:pt idx="4">
                  <c:v>Likely</c:v>
                </c:pt>
                <c:pt idx="5">
                  <c:v>Very likely</c:v>
                </c:pt>
              </c:strCache>
            </c:strRef>
          </c:cat>
          <c:val>
            <c:numRef>
              <c:f>Sheet1!$B$2:$B$7</c:f>
              <c:numCache>
                <c:formatCode>0.00%</c:formatCode>
                <c:ptCount val="6"/>
                <c:pt idx="0">
                  <c:v>8.6999999999999994E-2</c:v>
                </c:pt>
                <c:pt idx="1">
                  <c:v>4.3499999999999997E-2</c:v>
                </c:pt>
                <c:pt idx="2">
                  <c:v>0.1739</c:v>
                </c:pt>
                <c:pt idx="3">
                  <c:v>0.1739</c:v>
                </c:pt>
                <c:pt idx="4">
                  <c:v>0.43480000000000002</c:v>
                </c:pt>
                <c:pt idx="5">
                  <c:v>8.6999999999999994E-2</c:v>
                </c:pt>
              </c:numCache>
            </c:numRef>
          </c:val>
        </c:ser>
        <c:dLbls>
          <c:dLblPos val="outEnd"/>
          <c:showLegendKey val="0"/>
          <c:showVal val="1"/>
          <c:showCatName val="0"/>
          <c:showSerName val="0"/>
          <c:showPercent val="0"/>
          <c:showBubbleSize val="0"/>
        </c:dLbls>
        <c:gapWidth val="182"/>
        <c:axId val="45446656"/>
        <c:axId val="45460096"/>
      </c:barChart>
      <c:catAx>
        <c:axId val="454466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460096"/>
        <c:crosses val="autoZero"/>
        <c:auto val="1"/>
        <c:lblAlgn val="ctr"/>
        <c:lblOffset val="100"/>
        <c:noMultiLvlLbl val="0"/>
      </c:catAx>
      <c:valAx>
        <c:axId val="4546009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4466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Column1</c:v>
                </c:pt>
              </c:strCache>
            </c:strRef>
          </c:tx>
          <c:spPr>
            <a:solidFill>
              <a:srgbClr val="00B050"/>
            </a:solidFill>
            <a:ln>
              <a:noFill/>
            </a:ln>
            <a:effectLst/>
          </c:spPr>
          <c:invertIfNegative val="0"/>
          <c:dPt>
            <c:idx val="0"/>
            <c:invertIfNegative val="0"/>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c:spPr>
          </c:dPt>
          <c:dPt>
            <c:idx val="1"/>
            <c:invertIfNegative val="0"/>
            <c:bubble3D val="0"/>
            <c:spPr>
              <a:solidFill>
                <a:srgbClr val="92D050"/>
              </a:solidFill>
              <a:ln>
                <a:solidFill>
                  <a:srgbClr val="92D050"/>
                </a:solidFill>
              </a:ln>
              <a:effectLst>
                <a:outerShdw blurRad="40000" dist="23000" dir="5400000" rotWithShape="0">
                  <a:srgbClr val="000000">
                    <a:alpha val="35000"/>
                  </a:srgbClr>
                </a:outerShdw>
              </a:effectLst>
              <a:scene3d>
                <a:camera prst="orthographicFront"/>
                <a:lightRig rig="threePt" dir="t"/>
              </a:scene3d>
            </c:spPr>
          </c:dPt>
          <c:dPt>
            <c:idx val="2"/>
            <c:invertIfNegative val="0"/>
            <c:bubble3D val="0"/>
            <c:spPr>
              <a:solidFill>
                <a:srgbClr val="00B050"/>
              </a:solidFill>
              <a:ln w="9525" cap="flat" cmpd="sng" algn="ctr">
                <a:solidFill>
                  <a:srgbClr val="00B050"/>
                </a:solidFill>
                <a:prstDash val="solid"/>
              </a:ln>
              <a:effectLst>
                <a:outerShdw blurRad="40000" dist="23000" dir="5400000" rotWithShape="0">
                  <a:srgbClr val="000000">
                    <a:alpha val="35000"/>
                  </a:srgbClr>
                </a:outerShdw>
              </a:effectLst>
            </c:spPr>
          </c:dPt>
          <c:dPt>
            <c:idx val="3"/>
            <c:invertIfNegative val="0"/>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c:spPr>
          </c:dPt>
          <c:dPt>
            <c:idx val="4"/>
            <c:invertIfNegative val="0"/>
            <c:bubble3D val="0"/>
            <c:spPr>
              <a:solidFill>
                <a:srgbClr val="00B050"/>
              </a:solidFill>
              <a:ln w="9525" cap="flat" cmpd="sng" algn="ctr">
                <a:solidFill>
                  <a:srgbClr val="00B050"/>
                </a:solidFill>
                <a:prstDash val="solid"/>
              </a:ln>
              <a:effectLst>
                <a:outerShdw blurRad="40000" dist="23000" dir="5400000" rotWithShape="0">
                  <a:srgbClr val="000000">
                    <a:alpha val="35000"/>
                  </a:srgbClr>
                </a:outerShdw>
              </a:effectLst>
            </c:spPr>
          </c:dPt>
          <c:dPt>
            <c:idx val="5"/>
            <c:invertIfNegative val="0"/>
            <c:bubble3D val="0"/>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&gt; 1.000.000 €</c:v>
                </c:pt>
                <c:pt idx="1">
                  <c:v>100.000 € – 1.000.000 €</c:v>
                </c:pt>
                <c:pt idx="2">
                  <c:v>10.000 € – 100.000 €</c:v>
                </c:pt>
                <c:pt idx="3">
                  <c:v>&lt; 10.000 € </c:v>
                </c:pt>
              </c:strCache>
            </c:strRef>
          </c:cat>
          <c:val>
            <c:numRef>
              <c:f>Sheet1!$B$2:$B$5</c:f>
              <c:numCache>
                <c:formatCode>0.00%</c:formatCode>
                <c:ptCount val="4"/>
                <c:pt idx="0">
                  <c:v>9.5200000000000007E-2</c:v>
                </c:pt>
                <c:pt idx="1">
                  <c:v>0.1905</c:v>
                </c:pt>
                <c:pt idx="2">
                  <c:v>0.61899999999999999</c:v>
                </c:pt>
                <c:pt idx="3">
                  <c:v>9.5200000000000007E-2</c:v>
                </c:pt>
              </c:numCache>
            </c:numRef>
          </c:val>
        </c:ser>
        <c:dLbls>
          <c:dLblPos val="outEnd"/>
          <c:showLegendKey val="0"/>
          <c:showVal val="1"/>
          <c:showCatName val="0"/>
          <c:showSerName val="0"/>
          <c:showPercent val="0"/>
          <c:showBubbleSize val="0"/>
        </c:dLbls>
        <c:gapWidth val="182"/>
        <c:axId val="45495040"/>
        <c:axId val="45512192"/>
      </c:barChart>
      <c:catAx>
        <c:axId val="454950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512192"/>
        <c:crosses val="autoZero"/>
        <c:auto val="1"/>
        <c:lblAlgn val="ctr"/>
        <c:lblOffset val="100"/>
        <c:noMultiLvlLbl val="0"/>
      </c:catAx>
      <c:valAx>
        <c:axId val="4551219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4950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Column1</c:v>
                </c:pt>
              </c:strCache>
            </c:strRef>
          </c:tx>
          <c:spPr>
            <a:solidFill>
              <a:srgbClr val="00B050"/>
            </a:solidFill>
            <a:ln>
              <a:noFill/>
            </a:ln>
            <a:effectLst/>
          </c:spPr>
          <c:invertIfNegative val="0"/>
          <c:dPt>
            <c:idx val="0"/>
            <c:invertIfNegative val="0"/>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c:spPr>
          </c:dPt>
          <c:dPt>
            <c:idx val="1"/>
            <c:invertIfNegative val="0"/>
            <c:bubble3D val="0"/>
            <c:spPr>
              <a:solidFill>
                <a:srgbClr val="92D050"/>
              </a:solidFill>
              <a:ln>
                <a:solidFill>
                  <a:srgbClr val="92D050"/>
                </a:solidFill>
              </a:ln>
              <a:effectLst>
                <a:outerShdw blurRad="40000" dist="23000" dir="5400000" rotWithShape="0">
                  <a:srgbClr val="000000">
                    <a:alpha val="35000"/>
                  </a:srgbClr>
                </a:outerShdw>
              </a:effectLst>
              <a:scene3d>
                <a:camera prst="orthographicFront"/>
                <a:lightRig rig="threePt" dir="t"/>
              </a:scene3d>
            </c:spPr>
          </c:dPt>
          <c:dPt>
            <c:idx val="2"/>
            <c:invertIfNegative val="0"/>
            <c:bubble3D val="0"/>
            <c:spPr>
              <a:solidFill>
                <a:srgbClr val="00B050"/>
              </a:solidFill>
              <a:ln w="9525" cap="flat" cmpd="sng" algn="ctr">
                <a:solidFill>
                  <a:srgbClr val="00B050"/>
                </a:solidFill>
                <a:prstDash val="solid"/>
              </a:ln>
              <a:effectLst>
                <a:outerShdw blurRad="40000" dist="23000" dir="5400000" rotWithShape="0">
                  <a:srgbClr val="000000">
                    <a:alpha val="35000"/>
                  </a:srgbClr>
                </a:outerShdw>
              </a:effectLst>
            </c:spPr>
          </c:dPt>
          <c:dPt>
            <c:idx val="3"/>
            <c:invertIfNegative val="0"/>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c:spPr>
          </c:dPt>
          <c:dPt>
            <c:idx val="4"/>
            <c:invertIfNegative val="0"/>
            <c:bubble3D val="0"/>
            <c:spPr>
              <a:solidFill>
                <a:srgbClr val="00B050"/>
              </a:solidFill>
              <a:ln w="9525" cap="flat" cmpd="sng" algn="ctr">
                <a:solidFill>
                  <a:srgbClr val="00B050"/>
                </a:solidFill>
                <a:prstDash val="solid"/>
              </a:ln>
              <a:effectLst>
                <a:outerShdw blurRad="40000" dist="23000" dir="5400000" rotWithShape="0">
                  <a:srgbClr val="000000">
                    <a:alpha val="35000"/>
                  </a:srgbClr>
                </a:outerShdw>
              </a:effectLst>
            </c:spPr>
          </c:dPt>
          <c:dPt>
            <c:idx val="5"/>
            <c:invertIfNegative val="0"/>
            <c:bubble3D val="0"/>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&gt; 100.000 €</c:v>
                </c:pt>
                <c:pt idx="1">
                  <c:v>50.000 € – 100.000 €</c:v>
                </c:pt>
                <c:pt idx="2">
                  <c:v>1.000 € – 50.000 €</c:v>
                </c:pt>
                <c:pt idx="3">
                  <c:v>&lt; 1.000 € </c:v>
                </c:pt>
              </c:strCache>
            </c:strRef>
          </c:cat>
          <c:val>
            <c:numRef>
              <c:f>Sheet1!$B$2:$B$5</c:f>
              <c:numCache>
                <c:formatCode>0.00%</c:formatCode>
                <c:ptCount val="4"/>
                <c:pt idx="0">
                  <c:v>5.8799999999999998E-2</c:v>
                </c:pt>
                <c:pt idx="1">
                  <c:v>0.29409999999999997</c:v>
                </c:pt>
                <c:pt idx="2">
                  <c:v>0.58819999999999995</c:v>
                </c:pt>
                <c:pt idx="3">
                  <c:v>5.8799999999999998E-2</c:v>
                </c:pt>
              </c:numCache>
            </c:numRef>
          </c:val>
        </c:ser>
        <c:dLbls>
          <c:dLblPos val="outEnd"/>
          <c:showLegendKey val="0"/>
          <c:showVal val="1"/>
          <c:showCatName val="0"/>
          <c:showSerName val="0"/>
          <c:showPercent val="0"/>
          <c:showBubbleSize val="0"/>
        </c:dLbls>
        <c:gapWidth val="182"/>
        <c:axId val="58228736"/>
        <c:axId val="58233600"/>
      </c:barChart>
      <c:catAx>
        <c:axId val="582287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233600"/>
        <c:crosses val="autoZero"/>
        <c:auto val="1"/>
        <c:lblAlgn val="ctr"/>
        <c:lblOffset val="100"/>
        <c:noMultiLvlLbl val="0"/>
      </c:catAx>
      <c:valAx>
        <c:axId val="58233600"/>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2287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Column1</c:v>
                </c:pt>
              </c:strCache>
            </c:strRef>
          </c:tx>
          <c:spPr>
            <a:solidFill>
              <a:schemeClr val="accent1"/>
            </a:solidFill>
            <a:ln>
              <a:noFill/>
            </a:ln>
            <a:effectLst/>
          </c:spPr>
          <c:invertIfNegative val="0"/>
          <c:dPt>
            <c:idx val="0"/>
            <c:invertIfNegative val="0"/>
            <c:bubble3D val="0"/>
            <c:spPr>
              <a:solidFill>
                <a:schemeClr val="bg2">
                  <a:lumMod val="65000"/>
                </a:schemeClr>
              </a:solidFill>
              <a:ln w="9525" cap="flat" cmpd="sng" algn="ctr">
                <a:solidFill>
                  <a:schemeClr val="bg2">
                    <a:lumMod val="65000"/>
                  </a:schemeClr>
                </a:solidFill>
                <a:prstDash val="solid"/>
              </a:ln>
              <a:effectLst>
                <a:outerShdw blurRad="40000" dist="23000" dir="5400000" rotWithShape="0">
                  <a:srgbClr val="000000">
                    <a:alpha val="35000"/>
                  </a:srgbClr>
                </a:outerShdw>
              </a:effectLst>
            </c:spPr>
          </c:dPt>
          <c:dPt>
            <c:idx val="1"/>
            <c:invertIfNegative val="0"/>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c:spPr>
          </c:dPt>
          <c:dPt>
            <c:idx val="2"/>
            <c:invertIfNegative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c:spPr>
          </c:dPt>
          <c:dPt>
            <c:idx val="3"/>
            <c:invertIfNegative val="0"/>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c:spPr>
          </c:dPt>
          <c:dPt>
            <c:idx val="4"/>
            <c:invertIfNegative val="0"/>
            <c:bubble3D val="0"/>
            <c:spPr>
              <a:solidFill>
                <a:srgbClr val="92D050"/>
              </a:solidFill>
              <a:ln w="9525" cap="flat" cmpd="sng" algn="ctr">
                <a:solidFill>
                  <a:srgbClr val="92D050"/>
                </a:solidFill>
                <a:prstDash val="solid"/>
              </a:ln>
              <a:effectLst>
                <a:outerShdw blurRad="40000" dist="23000" dir="5400000" rotWithShape="0">
                  <a:srgbClr val="000000">
                    <a:alpha val="35000"/>
                  </a:srgbClr>
                </a:outerShdw>
              </a:effectLst>
            </c:spPr>
          </c:dPt>
          <c:dPt>
            <c:idx val="5"/>
            <c:invertIfNegative val="0"/>
            <c:bubble3D val="0"/>
            <c:spPr>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lin ang="16200000" scaled="1"/>
                <a:tileRect/>
              </a:gra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Don’t know</c:v>
                </c:pt>
                <c:pt idx="1">
                  <c:v>Not likely at all</c:v>
                </c:pt>
                <c:pt idx="2">
                  <c:v>Not likely</c:v>
                </c:pt>
                <c:pt idx="3">
                  <c:v>Indifferent</c:v>
                </c:pt>
                <c:pt idx="4">
                  <c:v>Likely</c:v>
                </c:pt>
                <c:pt idx="5">
                  <c:v>Very likely</c:v>
                </c:pt>
              </c:strCache>
            </c:strRef>
          </c:cat>
          <c:val>
            <c:numRef>
              <c:f>Sheet1!$B$2:$B$7</c:f>
              <c:numCache>
                <c:formatCode>0.00%</c:formatCode>
                <c:ptCount val="6"/>
                <c:pt idx="0">
                  <c:v>0.1</c:v>
                </c:pt>
                <c:pt idx="1">
                  <c:v>0.15</c:v>
                </c:pt>
                <c:pt idx="2">
                  <c:v>0.25</c:v>
                </c:pt>
                <c:pt idx="3">
                  <c:v>0.1</c:v>
                </c:pt>
                <c:pt idx="4">
                  <c:v>0.4</c:v>
                </c:pt>
                <c:pt idx="5">
                  <c:v>0</c:v>
                </c:pt>
              </c:numCache>
            </c:numRef>
          </c:val>
        </c:ser>
        <c:dLbls>
          <c:dLblPos val="outEnd"/>
          <c:showLegendKey val="0"/>
          <c:showVal val="1"/>
          <c:showCatName val="0"/>
          <c:showSerName val="0"/>
          <c:showPercent val="0"/>
          <c:showBubbleSize val="0"/>
        </c:dLbls>
        <c:gapWidth val="182"/>
        <c:axId val="58240000"/>
        <c:axId val="109785472"/>
      </c:barChart>
      <c:catAx>
        <c:axId val="582400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785472"/>
        <c:crosses val="autoZero"/>
        <c:auto val="1"/>
        <c:lblAlgn val="ctr"/>
        <c:lblOffset val="100"/>
        <c:noMultiLvlLbl val="0"/>
      </c:catAx>
      <c:valAx>
        <c:axId val="10978547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2400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Column1</c:v>
                </c:pt>
              </c:strCache>
            </c:strRef>
          </c:tx>
          <c:spPr>
            <a:solidFill>
              <a:schemeClr val="accent1"/>
            </a:solidFill>
            <a:ln>
              <a:noFill/>
            </a:ln>
            <a:effectLst/>
          </c:spPr>
          <c:invertIfNegative val="0"/>
          <c:dPt>
            <c:idx val="0"/>
            <c:invertIfNegative val="0"/>
            <c:bubble3D val="0"/>
            <c:spPr>
              <a:solidFill>
                <a:schemeClr val="bg2">
                  <a:lumMod val="65000"/>
                </a:schemeClr>
              </a:solidFill>
              <a:ln w="9525" cap="flat" cmpd="sng" algn="ctr">
                <a:solidFill>
                  <a:schemeClr val="bg2">
                    <a:lumMod val="65000"/>
                  </a:schemeClr>
                </a:solidFill>
                <a:prstDash val="solid"/>
              </a:ln>
              <a:effectLst>
                <a:outerShdw blurRad="40000" dist="23000" dir="5400000" rotWithShape="0">
                  <a:srgbClr val="000000">
                    <a:alpha val="35000"/>
                  </a:srgbClr>
                </a:outerShdw>
              </a:effectLst>
            </c:spPr>
          </c:dPt>
          <c:dPt>
            <c:idx val="1"/>
            <c:invertIfNegative val="0"/>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c:spPr>
          </c:dPt>
          <c:dPt>
            <c:idx val="2"/>
            <c:invertIfNegative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c:spPr>
          </c:dPt>
          <c:dPt>
            <c:idx val="3"/>
            <c:invertIfNegative val="0"/>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c:spPr>
          </c:dPt>
          <c:dPt>
            <c:idx val="4"/>
            <c:invertIfNegative val="0"/>
            <c:bubble3D val="0"/>
            <c:spPr>
              <a:solidFill>
                <a:srgbClr val="92D050"/>
              </a:solidFill>
              <a:ln w="9525" cap="flat" cmpd="sng" algn="ctr">
                <a:solidFill>
                  <a:srgbClr val="92D050"/>
                </a:solidFill>
                <a:prstDash val="solid"/>
              </a:ln>
              <a:effectLst>
                <a:outerShdw blurRad="40000" dist="23000" dir="5400000" rotWithShape="0">
                  <a:srgbClr val="000000">
                    <a:alpha val="35000"/>
                  </a:srgbClr>
                </a:outerShdw>
              </a:effectLst>
            </c:spPr>
          </c:dPt>
          <c:dPt>
            <c:idx val="5"/>
            <c:invertIfNegative val="0"/>
            <c:bubble3D val="0"/>
            <c:spPr>
              <a:solidFill>
                <a:srgbClr val="00B050"/>
              </a:solidFill>
              <a:ln>
                <a:solidFill>
                  <a:srgbClr val="00B050"/>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Don’t know</c:v>
                </c:pt>
                <c:pt idx="1">
                  <c:v>Not likely at all</c:v>
                </c:pt>
                <c:pt idx="2">
                  <c:v>Not likely</c:v>
                </c:pt>
                <c:pt idx="3">
                  <c:v>Indifferent</c:v>
                </c:pt>
                <c:pt idx="4">
                  <c:v>Likely</c:v>
                </c:pt>
                <c:pt idx="5">
                  <c:v>Very likely</c:v>
                </c:pt>
              </c:strCache>
            </c:strRef>
          </c:cat>
          <c:val>
            <c:numRef>
              <c:f>Sheet1!$B$2:$B$7</c:f>
              <c:numCache>
                <c:formatCode>0.00%</c:formatCode>
                <c:ptCount val="6"/>
                <c:pt idx="0">
                  <c:v>0.15</c:v>
                </c:pt>
                <c:pt idx="1">
                  <c:v>0</c:v>
                </c:pt>
                <c:pt idx="2">
                  <c:v>0.2</c:v>
                </c:pt>
                <c:pt idx="3">
                  <c:v>0.05</c:v>
                </c:pt>
                <c:pt idx="4">
                  <c:v>0.2</c:v>
                </c:pt>
                <c:pt idx="5">
                  <c:v>0.4</c:v>
                </c:pt>
              </c:numCache>
            </c:numRef>
          </c:val>
        </c:ser>
        <c:dLbls>
          <c:dLblPos val="outEnd"/>
          <c:showLegendKey val="0"/>
          <c:showVal val="1"/>
          <c:showCatName val="0"/>
          <c:showSerName val="0"/>
          <c:showPercent val="0"/>
          <c:showBubbleSize val="0"/>
        </c:dLbls>
        <c:gapWidth val="182"/>
        <c:axId val="109836928"/>
        <c:axId val="163794944"/>
      </c:barChart>
      <c:catAx>
        <c:axId val="1098369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794944"/>
        <c:crosses val="autoZero"/>
        <c:auto val="1"/>
        <c:lblAlgn val="ctr"/>
        <c:lblOffset val="100"/>
        <c:noMultiLvlLbl val="0"/>
      </c:catAx>
      <c:valAx>
        <c:axId val="16379494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8369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PwC Orange">
      <a:dk1>
        <a:srgbClr val="000000"/>
      </a:dk1>
      <a:lt1>
        <a:srgbClr val="FFFFFF"/>
      </a:lt1>
      <a:dk2>
        <a:srgbClr val="DC6900"/>
      </a:dk2>
      <a:lt2>
        <a:srgbClr val="FFFFFF"/>
      </a:lt2>
      <a:accent1>
        <a:srgbClr val="DC6900"/>
      </a:accent1>
      <a:accent2>
        <a:srgbClr val="FFB600"/>
      </a:accent2>
      <a:accent3>
        <a:srgbClr val="602320"/>
      </a:accent3>
      <a:accent4>
        <a:srgbClr val="DB536A"/>
      </a:accent4>
      <a:accent5>
        <a:srgbClr val="A32020"/>
      </a:accent5>
      <a:accent6>
        <a:srgbClr val="E0301E"/>
      </a:accent6>
      <a:hlink>
        <a:srgbClr val="DC6900"/>
      </a:hlink>
      <a:folHlink>
        <a:srgbClr val="DC69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8D6C0B-E5A0-4742-B3EA-0D082C4D7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132</Pages>
  <Words>52935</Words>
  <Characters>298766</Characters>
  <Application>Microsoft Office Word</Application>
  <DocSecurity>0</DocSecurity>
  <Lines>6948</Lines>
  <Paragraphs>3256</Paragraphs>
  <ScaleCrop>false</ScaleCrop>
  <HeadingPairs>
    <vt:vector size="2" baseType="variant">
      <vt:variant>
        <vt:lpstr>Title</vt:lpstr>
      </vt:variant>
      <vt:variant>
        <vt:i4>1</vt:i4>
      </vt:variant>
    </vt:vector>
  </HeadingPairs>
  <TitlesOfParts>
    <vt:vector size="1" baseType="lpstr">
      <vt:lpstr>Proposal</vt:lpstr>
    </vt:vector>
  </TitlesOfParts>
  <Manager/>
  <Company/>
  <LinksUpToDate>false</LinksUpToDate>
  <CharactersWithSpaces>348445</CharactersWithSpaces>
  <SharedDoc>false</SharedDoc>
  <HLinks>
    <vt:vector size="228" baseType="variant">
      <vt:variant>
        <vt:i4>1900596</vt:i4>
      </vt:variant>
      <vt:variant>
        <vt:i4>230</vt:i4>
      </vt:variant>
      <vt:variant>
        <vt:i4>0</vt:i4>
      </vt:variant>
      <vt:variant>
        <vt:i4>5</vt:i4>
      </vt:variant>
      <vt:variant>
        <vt:lpwstr/>
      </vt:variant>
      <vt:variant>
        <vt:lpwstr>_Toc336272699</vt:lpwstr>
      </vt:variant>
      <vt:variant>
        <vt:i4>1900596</vt:i4>
      </vt:variant>
      <vt:variant>
        <vt:i4>224</vt:i4>
      </vt:variant>
      <vt:variant>
        <vt:i4>0</vt:i4>
      </vt:variant>
      <vt:variant>
        <vt:i4>5</vt:i4>
      </vt:variant>
      <vt:variant>
        <vt:lpwstr/>
      </vt:variant>
      <vt:variant>
        <vt:lpwstr>_Toc336272698</vt:lpwstr>
      </vt:variant>
      <vt:variant>
        <vt:i4>1900596</vt:i4>
      </vt:variant>
      <vt:variant>
        <vt:i4>218</vt:i4>
      </vt:variant>
      <vt:variant>
        <vt:i4>0</vt:i4>
      </vt:variant>
      <vt:variant>
        <vt:i4>5</vt:i4>
      </vt:variant>
      <vt:variant>
        <vt:lpwstr/>
      </vt:variant>
      <vt:variant>
        <vt:lpwstr>_Toc336272697</vt:lpwstr>
      </vt:variant>
      <vt:variant>
        <vt:i4>1900596</vt:i4>
      </vt:variant>
      <vt:variant>
        <vt:i4>212</vt:i4>
      </vt:variant>
      <vt:variant>
        <vt:i4>0</vt:i4>
      </vt:variant>
      <vt:variant>
        <vt:i4>5</vt:i4>
      </vt:variant>
      <vt:variant>
        <vt:lpwstr/>
      </vt:variant>
      <vt:variant>
        <vt:lpwstr>_Toc336272696</vt:lpwstr>
      </vt:variant>
      <vt:variant>
        <vt:i4>1900596</vt:i4>
      </vt:variant>
      <vt:variant>
        <vt:i4>206</vt:i4>
      </vt:variant>
      <vt:variant>
        <vt:i4>0</vt:i4>
      </vt:variant>
      <vt:variant>
        <vt:i4>5</vt:i4>
      </vt:variant>
      <vt:variant>
        <vt:lpwstr/>
      </vt:variant>
      <vt:variant>
        <vt:lpwstr>_Toc336272695</vt:lpwstr>
      </vt:variant>
      <vt:variant>
        <vt:i4>1900596</vt:i4>
      </vt:variant>
      <vt:variant>
        <vt:i4>200</vt:i4>
      </vt:variant>
      <vt:variant>
        <vt:i4>0</vt:i4>
      </vt:variant>
      <vt:variant>
        <vt:i4>5</vt:i4>
      </vt:variant>
      <vt:variant>
        <vt:lpwstr/>
      </vt:variant>
      <vt:variant>
        <vt:lpwstr>_Toc336272694</vt:lpwstr>
      </vt:variant>
      <vt:variant>
        <vt:i4>1900596</vt:i4>
      </vt:variant>
      <vt:variant>
        <vt:i4>194</vt:i4>
      </vt:variant>
      <vt:variant>
        <vt:i4>0</vt:i4>
      </vt:variant>
      <vt:variant>
        <vt:i4>5</vt:i4>
      </vt:variant>
      <vt:variant>
        <vt:lpwstr/>
      </vt:variant>
      <vt:variant>
        <vt:lpwstr>_Toc336272693</vt:lpwstr>
      </vt:variant>
      <vt:variant>
        <vt:i4>1900596</vt:i4>
      </vt:variant>
      <vt:variant>
        <vt:i4>188</vt:i4>
      </vt:variant>
      <vt:variant>
        <vt:i4>0</vt:i4>
      </vt:variant>
      <vt:variant>
        <vt:i4>5</vt:i4>
      </vt:variant>
      <vt:variant>
        <vt:lpwstr/>
      </vt:variant>
      <vt:variant>
        <vt:lpwstr>_Toc336272692</vt:lpwstr>
      </vt:variant>
      <vt:variant>
        <vt:i4>1900596</vt:i4>
      </vt:variant>
      <vt:variant>
        <vt:i4>182</vt:i4>
      </vt:variant>
      <vt:variant>
        <vt:i4>0</vt:i4>
      </vt:variant>
      <vt:variant>
        <vt:i4>5</vt:i4>
      </vt:variant>
      <vt:variant>
        <vt:lpwstr/>
      </vt:variant>
      <vt:variant>
        <vt:lpwstr>_Toc336272691</vt:lpwstr>
      </vt:variant>
      <vt:variant>
        <vt:i4>1900596</vt:i4>
      </vt:variant>
      <vt:variant>
        <vt:i4>176</vt:i4>
      </vt:variant>
      <vt:variant>
        <vt:i4>0</vt:i4>
      </vt:variant>
      <vt:variant>
        <vt:i4>5</vt:i4>
      </vt:variant>
      <vt:variant>
        <vt:lpwstr/>
      </vt:variant>
      <vt:variant>
        <vt:lpwstr>_Toc336272690</vt:lpwstr>
      </vt:variant>
      <vt:variant>
        <vt:i4>1835060</vt:i4>
      </vt:variant>
      <vt:variant>
        <vt:i4>170</vt:i4>
      </vt:variant>
      <vt:variant>
        <vt:i4>0</vt:i4>
      </vt:variant>
      <vt:variant>
        <vt:i4>5</vt:i4>
      </vt:variant>
      <vt:variant>
        <vt:lpwstr/>
      </vt:variant>
      <vt:variant>
        <vt:lpwstr>_Toc336272689</vt:lpwstr>
      </vt:variant>
      <vt:variant>
        <vt:i4>1835060</vt:i4>
      </vt:variant>
      <vt:variant>
        <vt:i4>164</vt:i4>
      </vt:variant>
      <vt:variant>
        <vt:i4>0</vt:i4>
      </vt:variant>
      <vt:variant>
        <vt:i4>5</vt:i4>
      </vt:variant>
      <vt:variant>
        <vt:lpwstr/>
      </vt:variant>
      <vt:variant>
        <vt:lpwstr>_Toc336272688</vt:lpwstr>
      </vt:variant>
      <vt:variant>
        <vt:i4>1835060</vt:i4>
      </vt:variant>
      <vt:variant>
        <vt:i4>158</vt:i4>
      </vt:variant>
      <vt:variant>
        <vt:i4>0</vt:i4>
      </vt:variant>
      <vt:variant>
        <vt:i4>5</vt:i4>
      </vt:variant>
      <vt:variant>
        <vt:lpwstr/>
      </vt:variant>
      <vt:variant>
        <vt:lpwstr>_Toc336272687</vt:lpwstr>
      </vt:variant>
      <vt:variant>
        <vt:i4>1835060</vt:i4>
      </vt:variant>
      <vt:variant>
        <vt:i4>152</vt:i4>
      </vt:variant>
      <vt:variant>
        <vt:i4>0</vt:i4>
      </vt:variant>
      <vt:variant>
        <vt:i4>5</vt:i4>
      </vt:variant>
      <vt:variant>
        <vt:lpwstr/>
      </vt:variant>
      <vt:variant>
        <vt:lpwstr>_Toc336272686</vt:lpwstr>
      </vt:variant>
      <vt:variant>
        <vt:i4>1835060</vt:i4>
      </vt:variant>
      <vt:variant>
        <vt:i4>146</vt:i4>
      </vt:variant>
      <vt:variant>
        <vt:i4>0</vt:i4>
      </vt:variant>
      <vt:variant>
        <vt:i4>5</vt:i4>
      </vt:variant>
      <vt:variant>
        <vt:lpwstr/>
      </vt:variant>
      <vt:variant>
        <vt:lpwstr>_Toc336272685</vt:lpwstr>
      </vt:variant>
      <vt:variant>
        <vt:i4>1835060</vt:i4>
      </vt:variant>
      <vt:variant>
        <vt:i4>140</vt:i4>
      </vt:variant>
      <vt:variant>
        <vt:i4>0</vt:i4>
      </vt:variant>
      <vt:variant>
        <vt:i4>5</vt:i4>
      </vt:variant>
      <vt:variant>
        <vt:lpwstr/>
      </vt:variant>
      <vt:variant>
        <vt:lpwstr>_Toc336272684</vt:lpwstr>
      </vt:variant>
      <vt:variant>
        <vt:i4>1835060</vt:i4>
      </vt:variant>
      <vt:variant>
        <vt:i4>134</vt:i4>
      </vt:variant>
      <vt:variant>
        <vt:i4>0</vt:i4>
      </vt:variant>
      <vt:variant>
        <vt:i4>5</vt:i4>
      </vt:variant>
      <vt:variant>
        <vt:lpwstr/>
      </vt:variant>
      <vt:variant>
        <vt:lpwstr>_Toc336272683</vt:lpwstr>
      </vt:variant>
      <vt:variant>
        <vt:i4>1835060</vt:i4>
      </vt:variant>
      <vt:variant>
        <vt:i4>128</vt:i4>
      </vt:variant>
      <vt:variant>
        <vt:i4>0</vt:i4>
      </vt:variant>
      <vt:variant>
        <vt:i4>5</vt:i4>
      </vt:variant>
      <vt:variant>
        <vt:lpwstr/>
      </vt:variant>
      <vt:variant>
        <vt:lpwstr>_Toc336272682</vt:lpwstr>
      </vt:variant>
      <vt:variant>
        <vt:i4>1835060</vt:i4>
      </vt:variant>
      <vt:variant>
        <vt:i4>122</vt:i4>
      </vt:variant>
      <vt:variant>
        <vt:i4>0</vt:i4>
      </vt:variant>
      <vt:variant>
        <vt:i4>5</vt:i4>
      </vt:variant>
      <vt:variant>
        <vt:lpwstr/>
      </vt:variant>
      <vt:variant>
        <vt:lpwstr>_Toc336272681</vt:lpwstr>
      </vt:variant>
      <vt:variant>
        <vt:i4>1835060</vt:i4>
      </vt:variant>
      <vt:variant>
        <vt:i4>116</vt:i4>
      </vt:variant>
      <vt:variant>
        <vt:i4>0</vt:i4>
      </vt:variant>
      <vt:variant>
        <vt:i4>5</vt:i4>
      </vt:variant>
      <vt:variant>
        <vt:lpwstr/>
      </vt:variant>
      <vt:variant>
        <vt:lpwstr>_Toc336272680</vt:lpwstr>
      </vt:variant>
      <vt:variant>
        <vt:i4>1245236</vt:i4>
      </vt:variant>
      <vt:variant>
        <vt:i4>110</vt:i4>
      </vt:variant>
      <vt:variant>
        <vt:i4>0</vt:i4>
      </vt:variant>
      <vt:variant>
        <vt:i4>5</vt:i4>
      </vt:variant>
      <vt:variant>
        <vt:lpwstr/>
      </vt:variant>
      <vt:variant>
        <vt:lpwstr>_Toc336272679</vt:lpwstr>
      </vt:variant>
      <vt:variant>
        <vt:i4>1245236</vt:i4>
      </vt:variant>
      <vt:variant>
        <vt:i4>104</vt:i4>
      </vt:variant>
      <vt:variant>
        <vt:i4>0</vt:i4>
      </vt:variant>
      <vt:variant>
        <vt:i4>5</vt:i4>
      </vt:variant>
      <vt:variant>
        <vt:lpwstr/>
      </vt:variant>
      <vt:variant>
        <vt:lpwstr>_Toc336272678</vt:lpwstr>
      </vt:variant>
      <vt:variant>
        <vt:i4>1245236</vt:i4>
      </vt:variant>
      <vt:variant>
        <vt:i4>98</vt:i4>
      </vt:variant>
      <vt:variant>
        <vt:i4>0</vt:i4>
      </vt:variant>
      <vt:variant>
        <vt:i4>5</vt:i4>
      </vt:variant>
      <vt:variant>
        <vt:lpwstr/>
      </vt:variant>
      <vt:variant>
        <vt:lpwstr>_Toc336272677</vt:lpwstr>
      </vt:variant>
      <vt:variant>
        <vt:i4>1245236</vt:i4>
      </vt:variant>
      <vt:variant>
        <vt:i4>92</vt:i4>
      </vt:variant>
      <vt:variant>
        <vt:i4>0</vt:i4>
      </vt:variant>
      <vt:variant>
        <vt:i4>5</vt:i4>
      </vt:variant>
      <vt:variant>
        <vt:lpwstr/>
      </vt:variant>
      <vt:variant>
        <vt:lpwstr>_Toc336272676</vt:lpwstr>
      </vt:variant>
      <vt:variant>
        <vt:i4>1245236</vt:i4>
      </vt:variant>
      <vt:variant>
        <vt:i4>86</vt:i4>
      </vt:variant>
      <vt:variant>
        <vt:i4>0</vt:i4>
      </vt:variant>
      <vt:variant>
        <vt:i4>5</vt:i4>
      </vt:variant>
      <vt:variant>
        <vt:lpwstr/>
      </vt:variant>
      <vt:variant>
        <vt:lpwstr>_Toc336272675</vt:lpwstr>
      </vt:variant>
      <vt:variant>
        <vt:i4>1245236</vt:i4>
      </vt:variant>
      <vt:variant>
        <vt:i4>80</vt:i4>
      </vt:variant>
      <vt:variant>
        <vt:i4>0</vt:i4>
      </vt:variant>
      <vt:variant>
        <vt:i4>5</vt:i4>
      </vt:variant>
      <vt:variant>
        <vt:lpwstr/>
      </vt:variant>
      <vt:variant>
        <vt:lpwstr>_Toc336272674</vt:lpwstr>
      </vt:variant>
      <vt:variant>
        <vt:i4>1245236</vt:i4>
      </vt:variant>
      <vt:variant>
        <vt:i4>74</vt:i4>
      </vt:variant>
      <vt:variant>
        <vt:i4>0</vt:i4>
      </vt:variant>
      <vt:variant>
        <vt:i4>5</vt:i4>
      </vt:variant>
      <vt:variant>
        <vt:lpwstr/>
      </vt:variant>
      <vt:variant>
        <vt:lpwstr>_Toc336272673</vt:lpwstr>
      </vt:variant>
      <vt:variant>
        <vt:i4>1245236</vt:i4>
      </vt:variant>
      <vt:variant>
        <vt:i4>68</vt:i4>
      </vt:variant>
      <vt:variant>
        <vt:i4>0</vt:i4>
      </vt:variant>
      <vt:variant>
        <vt:i4>5</vt:i4>
      </vt:variant>
      <vt:variant>
        <vt:lpwstr/>
      </vt:variant>
      <vt:variant>
        <vt:lpwstr>_Toc336272672</vt:lpwstr>
      </vt:variant>
      <vt:variant>
        <vt:i4>1245236</vt:i4>
      </vt:variant>
      <vt:variant>
        <vt:i4>62</vt:i4>
      </vt:variant>
      <vt:variant>
        <vt:i4>0</vt:i4>
      </vt:variant>
      <vt:variant>
        <vt:i4>5</vt:i4>
      </vt:variant>
      <vt:variant>
        <vt:lpwstr/>
      </vt:variant>
      <vt:variant>
        <vt:lpwstr>_Toc336272671</vt:lpwstr>
      </vt:variant>
      <vt:variant>
        <vt:i4>1245236</vt:i4>
      </vt:variant>
      <vt:variant>
        <vt:i4>56</vt:i4>
      </vt:variant>
      <vt:variant>
        <vt:i4>0</vt:i4>
      </vt:variant>
      <vt:variant>
        <vt:i4>5</vt:i4>
      </vt:variant>
      <vt:variant>
        <vt:lpwstr/>
      </vt:variant>
      <vt:variant>
        <vt:lpwstr>_Toc336272670</vt:lpwstr>
      </vt:variant>
      <vt:variant>
        <vt:i4>1179700</vt:i4>
      </vt:variant>
      <vt:variant>
        <vt:i4>50</vt:i4>
      </vt:variant>
      <vt:variant>
        <vt:i4>0</vt:i4>
      </vt:variant>
      <vt:variant>
        <vt:i4>5</vt:i4>
      </vt:variant>
      <vt:variant>
        <vt:lpwstr/>
      </vt:variant>
      <vt:variant>
        <vt:lpwstr>_Toc336272669</vt:lpwstr>
      </vt:variant>
      <vt:variant>
        <vt:i4>1179700</vt:i4>
      </vt:variant>
      <vt:variant>
        <vt:i4>44</vt:i4>
      </vt:variant>
      <vt:variant>
        <vt:i4>0</vt:i4>
      </vt:variant>
      <vt:variant>
        <vt:i4>5</vt:i4>
      </vt:variant>
      <vt:variant>
        <vt:lpwstr/>
      </vt:variant>
      <vt:variant>
        <vt:lpwstr>_Toc336272668</vt:lpwstr>
      </vt:variant>
      <vt:variant>
        <vt:i4>1179700</vt:i4>
      </vt:variant>
      <vt:variant>
        <vt:i4>38</vt:i4>
      </vt:variant>
      <vt:variant>
        <vt:i4>0</vt:i4>
      </vt:variant>
      <vt:variant>
        <vt:i4>5</vt:i4>
      </vt:variant>
      <vt:variant>
        <vt:lpwstr/>
      </vt:variant>
      <vt:variant>
        <vt:lpwstr>_Toc336272667</vt:lpwstr>
      </vt:variant>
      <vt:variant>
        <vt:i4>1179700</vt:i4>
      </vt:variant>
      <vt:variant>
        <vt:i4>32</vt:i4>
      </vt:variant>
      <vt:variant>
        <vt:i4>0</vt:i4>
      </vt:variant>
      <vt:variant>
        <vt:i4>5</vt:i4>
      </vt:variant>
      <vt:variant>
        <vt:lpwstr/>
      </vt:variant>
      <vt:variant>
        <vt:lpwstr>_Toc336272666</vt:lpwstr>
      </vt:variant>
      <vt:variant>
        <vt:i4>1179700</vt:i4>
      </vt:variant>
      <vt:variant>
        <vt:i4>26</vt:i4>
      </vt:variant>
      <vt:variant>
        <vt:i4>0</vt:i4>
      </vt:variant>
      <vt:variant>
        <vt:i4>5</vt:i4>
      </vt:variant>
      <vt:variant>
        <vt:lpwstr/>
      </vt:variant>
      <vt:variant>
        <vt:lpwstr>_Toc336272665</vt:lpwstr>
      </vt:variant>
      <vt:variant>
        <vt:i4>1179700</vt:i4>
      </vt:variant>
      <vt:variant>
        <vt:i4>20</vt:i4>
      </vt:variant>
      <vt:variant>
        <vt:i4>0</vt:i4>
      </vt:variant>
      <vt:variant>
        <vt:i4>5</vt:i4>
      </vt:variant>
      <vt:variant>
        <vt:lpwstr/>
      </vt:variant>
      <vt:variant>
        <vt:lpwstr>_Toc336272664</vt:lpwstr>
      </vt:variant>
      <vt:variant>
        <vt:i4>1179700</vt:i4>
      </vt:variant>
      <vt:variant>
        <vt:i4>14</vt:i4>
      </vt:variant>
      <vt:variant>
        <vt:i4>0</vt:i4>
      </vt:variant>
      <vt:variant>
        <vt:i4>5</vt:i4>
      </vt:variant>
      <vt:variant>
        <vt:lpwstr/>
      </vt:variant>
      <vt:variant>
        <vt:lpwstr>_Toc336272663</vt:lpwstr>
      </vt:variant>
      <vt:variant>
        <vt:i4>1179700</vt:i4>
      </vt:variant>
      <vt:variant>
        <vt:i4>8</vt:i4>
      </vt:variant>
      <vt:variant>
        <vt:i4>0</vt:i4>
      </vt:variant>
      <vt:variant>
        <vt:i4>5</vt:i4>
      </vt:variant>
      <vt:variant>
        <vt:lpwstr/>
      </vt:variant>
      <vt:variant>
        <vt:lpwstr>_Toc336272662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dc:title>
  <dc:creator/>
  <cp:lastModifiedBy>WADHWANIA Nadia (MARE-EXT)</cp:lastModifiedBy>
  <cp:revision>18</cp:revision>
  <cp:lastPrinted>2017-09-05T16:53:00Z</cp:lastPrinted>
  <dcterms:created xsi:type="dcterms:W3CDTF">2017-09-05T16:52:00Z</dcterms:created>
  <dcterms:modified xsi:type="dcterms:W3CDTF">2017-09-12T08:53:00Z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668552830</vt:i4>
  </property>
  <property fmtid="{D5CDD505-2E9C-101B-9397-08002B2CF9AE}" pid="3" name="Part">
    <vt:lpwstr>5</vt:lpwstr>
  </property>
  <property fmtid="{D5CDD505-2E9C-101B-9397-08002B2CF9AE}" pid="4" name="Total parts">
    <vt:lpwstr>6</vt:lpwstr>
  </property>
  <property fmtid="{D5CDD505-2E9C-101B-9397-08002B2CF9AE}" pid="5" name="Classification">
    <vt:lpwstr> </vt:lpwstr>
  </property>
  <property fmtid="{D5CDD505-2E9C-101B-9397-08002B2CF9AE}" pid="6" name="DocStatus">
    <vt:lpwstr>Red</vt:lpwstr>
  </property>
</Properties>
</file>