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9C8FAE1E0342438E12B38B1BCCCD9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jc w:val="both"/>
        <w:rPr>
          <w:rFonts w:ascii="Times New Roman" w:hAnsi="Times New Roman"/>
          <w:noProof/>
          <w:sz w:val="24"/>
          <w:szCs w:val="24"/>
        </w:rPr>
      </w:pPr>
      <w:bookmarkStart w:id="1" w:name="_GoBack"/>
      <w:bookmarkEnd w:id="1"/>
      <w:r>
        <w:rPr>
          <w:rFonts w:ascii="Times New Roman" w:hAnsi="Times New Roman"/>
          <w:noProof/>
          <w:sz w:val="24"/>
          <w:szCs w:val="24"/>
        </w:rPr>
        <w:lastRenderedPageBreak/>
        <w:t>Given the continued strategic importance of raw materials for the EU manufacturing industry</w:t>
      </w:r>
      <w:r>
        <w:rPr>
          <w:rStyle w:val="FootnoteReference"/>
          <w:noProof/>
          <w:lang w:eastAsia="en-GB"/>
        </w:rPr>
        <w:footnoteReference w:id="1"/>
      </w:r>
      <w:r>
        <w:rPr>
          <w:rFonts w:ascii="Times New Roman" w:hAnsi="Times New Roman"/>
          <w:noProof/>
          <w:sz w:val="24"/>
          <w:szCs w:val="24"/>
        </w:rPr>
        <w:t xml:space="preserve">, the Commission is implementing a wide range of actions under the EU Raw Materials Initiative to help ensure their secure, sustainable and affordable supply. The list of critical raw materials for the EU is a central element of this Initiative. </w:t>
      </w:r>
    </w:p>
    <w:p>
      <w:pPr>
        <w:spacing w:after="120"/>
        <w:jc w:val="both"/>
        <w:rPr>
          <w:rFonts w:ascii="Times New Roman" w:hAnsi="Times New Roman"/>
          <w:noProof/>
          <w:sz w:val="24"/>
          <w:szCs w:val="24"/>
        </w:rPr>
      </w:pPr>
      <w:r>
        <w:rPr>
          <w:rFonts w:ascii="Times New Roman" w:hAnsi="Times New Roman"/>
          <w:noProof/>
          <w:sz w:val="24"/>
          <w:szCs w:val="24"/>
        </w:rPr>
        <w:t>The Raw Materials Initiative was put forward in 2008 to tackle the challenges related to the access to raw materials. This Communication updates the 2014 list of critical raw materials. The primary purpose of the list is to identify the raw materials with a high supply-risk and a high economic importance to which reliable and unhindered access is a concern for European industry and value chains. Following an objective methodology the list provides a factual tool for trade, innovation and industrial policy measures to strengthen the competitiveness of European industry in line with the renewed industrial strategy for Europe</w:t>
      </w:r>
      <w:r>
        <w:rPr>
          <w:rStyle w:val="FootnoteReference"/>
          <w:rFonts w:ascii="Times New Roman" w:hAnsi="Times New Roman"/>
          <w:noProof/>
          <w:sz w:val="24"/>
          <w:szCs w:val="24"/>
        </w:rPr>
        <w:footnoteReference w:id="2"/>
      </w:r>
      <w:r>
        <w:rPr>
          <w:rFonts w:ascii="Times New Roman" w:hAnsi="Times New Roman"/>
          <w:noProof/>
          <w:sz w:val="24"/>
          <w:szCs w:val="24"/>
        </w:rPr>
        <w:t xml:space="preserve">, for instance by: </w:t>
      </w:r>
    </w:p>
    <w:p>
      <w:pPr>
        <w:pStyle w:val="ListParagraph"/>
        <w:numPr>
          <w:ilvl w:val="0"/>
          <w:numId w:val="3"/>
        </w:numPr>
        <w:spacing w:after="120"/>
        <w:jc w:val="both"/>
        <w:rPr>
          <w:rFonts w:ascii="Times New Roman" w:hAnsi="Times New Roman"/>
          <w:noProof/>
          <w:sz w:val="24"/>
          <w:szCs w:val="24"/>
        </w:rPr>
      </w:pPr>
      <w:r>
        <w:rPr>
          <w:rFonts w:ascii="Times New Roman" w:hAnsi="Times New Roman"/>
          <w:noProof/>
          <w:sz w:val="24"/>
          <w:szCs w:val="24"/>
        </w:rPr>
        <w:t>identifying investment needs which can help alleviate Europe's reliance on imports of raw materials;</w:t>
      </w:r>
    </w:p>
    <w:p>
      <w:pPr>
        <w:pStyle w:val="ListParagraph"/>
        <w:numPr>
          <w:ilvl w:val="0"/>
          <w:numId w:val="3"/>
        </w:numPr>
        <w:spacing w:after="120"/>
        <w:jc w:val="both"/>
        <w:rPr>
          <w:rFonts w:ascii="Times New Roman" w:hAnsi="Times New Roman"/>
          <w:noProof/>
          <w:sz w:val="24"/>
          <w:szCs w:val="24"/>
        </w:rPr>
      </w:pPr>
      <w:r>
        <w:rPr>
          <w:rFonts w:ascii="Times New Roman" w:hAnsi="Times New Roman"/>
          <w:noProof/>
          <w:sz w:val="24"/>
          <w:szCs w:val="24"/>
        </w:rPr>
        <w:t>guiding support to innovation on raw materials supply under the EU's Horizon 2020 research and innovation programme;</w:t>
      </w:r>
    </w:p>
    <w:p>
      <w:pPr>
        <w:pStyle w:val="ListParagraph"/>
        <w:numPr>
          <w:ilvl w:val="0"/>
          <w:numId w:val="3"/>
        </w:numPr>
        <w:spacing w:after="120"/>
        <w:jc w:val="both"/>
        <w:rPr>
          <w:rFonts w:ascii="Times New Roman" w:hAnsi="Times New Roman"/>
          <w:noProof/>
          <w:sz w:val="24"/>
          <w:szCs w:val="24"/>
        </w:rPr>
      </w:pPr>
      <w:r>
        <w:rPr>
          <w:rFonts w:ascii="Times New Roman" w:hAnsi="Times New Roman"/>
          <w:noProof/>
          <w:sz w:val="24"/>
          <w:szCs w:val="24"/>
        </w:rPr>
        <w:t xml:space="preserve">drawing attention to the importance of critical raw materials for the transition to a low-carbon, resource-efficient and more circular economy. </w:t>
      </w:r>
    </w:p>
    <w:p>
      <w:pPr>
        <w:spacing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list should help incentivise the European production of critical raw materials through enhancing recycling activities and when necessary to facilitate the launching of new mining activities. It also allows to better understand how the security of supply of raw materials can be achieved through supply diversification, from different geographical sources via extraction, recycling or substitution. </w:t>
      </w:r>
    </w:p>
    <w:p>
      <w:pPr>
        <w:spacing w:after="120"/>
        <w:jc w:val="both"/>
        <w:rPr>
          <w:rFonts w:ascii="Times New Roman" w:hAnsi="Times New Roman"/>
          <w:noProof/>
          <w:sz w:val="24"/>
          <w:szCs w:val="24"/>
        </w:rPr>
      </w:pPr>
      <w:r>
        <w:rPr>
          <w:rFonts w:ascii="Times New Roman" w:hAnsi="Times New Roman"/>
          <w:noProof/>
          <w:sz w:val="24"/>
          <w:szCs w:val="24"/>
          <w:lang w:eastAsia="en-GB"/>
        </w:rPr>
        <w:t>The list is used by the Commission as a supporting element when negotiating trade agreements, challenging trade-distortive measures, developing research and innovation actions and implementing the 2030 Agenda on Sustainable Development and its Sustainable Development Goals. Critical raw materials are a priority area in the EU Circular Economy Action Plan</w:t>
      </w:r>
      <w:r>
        <w:rPr>
          <w:rStyle w:val="FootnoteReference"/>
          <w:rFonts w:ascii="Times New Roman" w:hAnsi="Times New Roman"/>
          <w:noProof/>
          <w:sz w:val="24"/>
          <w:szCs w:val="24"/>
          <w:lang w:eastAsia="en-GB"/>
        </w:rPr>
        <w:footnoteReference w:id="3"/>
      </w:r>
      <w:r>
        <w:rPr>
          <w:rFonts w:ascii="Times New Roman" w:hAnsi="Times New Roman"/>
          <w:noProof/>
          <w:sz w:val="24"/>
          <w:szCs w:val="24"/>
          <w:lang w:eastAsia="en-GB"/>
        </w:rPr>
        <w:t xml:space="preserve"> in order to foster their efficient use and recycling. The list may also be relevant for the purpose of the review of foreign direct investments in the EU</w:t>
      </w:r>
      <w:r>
        <w:rPr>
          <w:rStyle w:val="FootnoteReference"/>
          <w:rFonts w:ascii="Times New Roman" w:hAnsi="Times New Roman"/>
          <w:noProof/>
          <w:sz w:val="24"/>
          <w:szCs w:val="24"/>
          <w:lang w:eastAsia="en-GB"/>
        </w:rPr>
        <w:footnoteReference w:id="4"/>
      </w:r>
      <w:r>
        <w:rPr>
          <w:rFonts w:ascii="Times New Roman" w:hAnsi="Times New Roman"/>
          <w:noProof/>
          <w:sz w:val="24"/>
          <w:szCs w:val="24"/>
          <w:lang w:eastAsia="en-GB"/>
        </w:rPr>
        <w:t xml:space="preserve">, put forward in parallel with this Communication. </w:t>
      </w:r>
      <w:r>
        <w:rPr>
          <w:rFonts w:ascii="Times New Roman" w:hAnsi="Times New Roman"/>
          <w:noProof/>
          <w:sz w:val="24"/>
          <w:szCs w:val="24"/>
        </w:rPr>
        <w:t>It can also be used by Member States, companies and investors on a voluntary basis to inform them about potential raw material supply risks and related opportunities.</w:t>
      </w:r>
    </w:p>
    <w:p>
      <w:pPr>
        <w:spacing w:after="120"/>
        <w:jc w:val="both"/>
        <w:rPr>
          <w:rFonts w:ascii="Times New Roman" w:hAnsi="Times New Roman"/>
          <w:noProof/>
          <w:sz w:val="24"/>
          <w:szCs w:val="24"/>
          <w:lang w:eastAsia="en-GB"/>
        </w:rPr>
      </w:pPr>
      <w:r>
        <w:rPr>
          <w:rFonts w:ascii="Times New Roman" w:hAnsi="Times New Roman"/>
          <w:noProof/>
          <w:sz w:val="24"/>
          <w:szCs w:val="24"/>
        </w:rPr>
        <w:t>This Communication presents an updated list of 27 critical raw materials for the EU as a result of a third assessment. It follows the two subsequent Communications on raw materials, which established a list of 14 critical raw materials in 2011</w:t>
      </w:r>
      <w:r>
        <w:rPr>
          <w:rStyle w:val="FootnoteReference"/>
          <w:rFonts w:ascii="Times New Roman" w:hAnsi="Times New Roman"/>
          <w:noProof/>
          <w:sz w:val="24"/>
          <w:szCs w:val="24"/>
        </w:rPr>
        <w:footnoteReference w:id="5"/>
      </w:r>
      <w:r>
        <w:rPr>
          <w:rFonts w:ascii="Times New Roman" w:hAnsi="Times New Roman"/>
          <w:noProof/>
          <w:sz w:val="24"/>
          <w:szCs w:val="24"/>
        </w:rPr>
        <w:t xml:space="preserve"> and a revised list of 20 critical raw materials in 2014</w:t>
      </w:r>
      <w:r>
        <w:rPr>
          <w:rStyle w:val="FootnoteReference"/>
          <w:rFonts w:ascii="Times New Roman" w:hAnsi="Times New Roman"/>
          <w:noProof/>
          <w:sz w:val="24"/>
          <w:szCs w:val="24"/>
        </w:rPr>
        <w:footnoteReference w:id="6"/>
      </w:r>
      <w:r>
        <w:rPr>
          <w:rFonts w:ascii="Times New Roman" w:hAnsi="Times New Roman"/>
          <w:noProof/>
          <w:sz w:val="24"/>
          <w:szCs w:val="24"/>
        </w:rPr>
        <w:t>. The list of critical raw materials for the EU is subject to regular update at least every three years, in order to reflect production, market and technology developments, and the number of raw materials assessed has increased with each update.</w:t>
      </w:r>
    </w:p>
    <w:p>
      <w:pPr>
        <w:spacing w:after="120"/>
        <w:jc w:val="both"/>
        <w:rPr>
          <w:rFonts w:ascii="Times New Roman" w:hAnsi="Times New Roman"/>
          <w:noProof/>
          <w:sz w:val="24"/>
          <w:szCs w:val="24"/>
        </w:rPr>
      </w:pPr>
      <w:r>
        <w:rPr>
          <w:rFonts w:ascii="Times New Roman" w:hAnsi="Times New Roman"/>
          <w:noProof/>
          <w:sz w:val="24"/>
          <w:szCs w:val="24"/>
        </w:rPr>
        <w:t>Following the recommendations of the 2014 Report of the Ad hoc Working Group on defining critical raw materials</w:t>
      </w:r>
      <w:r>
        <w:rPr>
          <w:rStyle w:val="FootnoteReference"/>
          <w:rFonts w:ascii="Times New Roman" w:hAnsi="Times New Roman"/>
          <w:noProof/>
          <w:sz w:val="24"/>
          <w:szCs w:val="24"/>
        </w:rPr>
        <w:footnoteReference w:id="7"/>
      </w:r>
      <w:r>
        <w:rPr>
          <w:rFonts w:ascii="Times New Roman" w:hAnsi="Times New Roman"/>
          <w:noProof/>
          <w:sz w:val="24"/>
          <w:szCs w:val="24"/>
        </w:rPr>
        <w:t>, this third assessment of critical raw materials was conducted based on a refined methodology developed by the Commission</w:t>
      </w:r>
      <w:r>
        <w:rPr>
          <w:rStyle w:val="FootnoteReference"/>
          <w:rFonts w:ascii="Times New Roman" w:hAnsi="Times New Roman"/>
          <w:noProof/>
          <w:sz w:val="24"/>
          <w:szCs w:val="24"/>
        </w:rPr>
        <w:footnoteReference w:id="8"/>
      </w:r>
      <w:r>
        <w:rPr>
          <w:rFonts w:ascii="Times New Roman" w:hAnsi="Times New Roman"/>
          <w:noProof/>
          <w:sz w:val="24"/>
          <w:szCs w:val="24"/>
        </w:rPr>
        <w:t xml:space="preserve">, while ensuring comparability with the previous methodological approaches (2011 and 2014). Economic importance and supply risk remain the two main parameters used to determine the criticality of a raw material. Main improvements in the revised methodology relate to trade (import reliance and export restrictions in calculating supply risk), substitution as a factor correcting both economic importance and supply risk, and detailed allocation of raw materials end-uses based on industrial applications to define economic importance. </w:t>
      </w:r>
    </w:p>
    <w:p>
      <w:pPr>
        <w:spacing w:after="120"/>
        <w:jc w:val="both"/>
        <w:rPr>
          <w:rFonts w:ascii="Times New Roman" w:hAnsi="Times New Roman"/>
          <w:noProof/>
          <w:sz w:val="24"/>
          <w:szCs w:val="24"/>
        </w:rPr>
      </w:pPr>
      <w:r>
        <w:rPr>
          <w:rFonts w:ascii="Times New Roman" w:hAnsi="Times New Roman"/>
          <w:noProof/>
          <w:sz w:val="24"/>
          <w:szCs w:val="24"/>
          <w:lang w:eastAsia="en-GB"/>
        </w:rPr>
        <w:t>Raw materials, even if not classed as critical, are important for the European economy as they are at the beginning of manufacturing value chains. Their availability may quickly change in line with trade flows or trade policy developments underlining the general need of diversification of supply and the increase of recycling rates of all raw materials.</w:t>
      </w:r>
    </w:p>
    <w:p>
      <w:pPr>
        <w:rPr>
          <w:rFonts w:ascii="Times New Roman" w:hAnsi="Times New Roman"/>
          <w:b/>
          <w:noProof/>
          <w:sz w:val="24"/>
          <w:lang w:eastAsia="en-GB"/>
        </w:rPr>
      </w:pPr>
      <w:r>
        <w:rPr>
          <w:rFonts w:ascii="Times New Roman" w:hAnsi="Times New Roman"/>
          <w:b/>
          <w:noProof/>
          <w:sz w:val="24"/>
          <w:lang w:eastAsia="en-GB"/>
        </w:rPr>
        <w:br w:type="page"/>
      </w:r>
    </w:p>
    <w:p>
      <w:pPr>
        <w:spacing w:before="120" w:after="120" w:line="240" w:lineRule="auto"/>
        <w:jc w:val="center"/>
        <w:rPr>
          <w:rFonts w:ascii="Times New Roman" w:hAnsi="Times New Roman"/>
          <w:b/>
          <w:noProof/>
          <w:sz w:val="24"/>
          <w:lang w:eastAsia="en-GB"/>
        </w:rPr>
      </w:pPr>
      <w:r>
        <w:rPr>
          <w:rFonts w:ascii="Times New Roman" w:hAnsi="Times New Roman"/>
          <w:b/>
          <w:noProof/>
          <w:sz w:val="24"/>
          <w:lang w:eastAsia="en-GB"/>
        </w:rPr>
        <w:t>Annex 1</w:t>
      </w:r>
    </w:p>
    <w:p>
      <w:pPr>
        <w:spacing w:before="120" w:after="120" w:line="240" w:lineRule="auto"/>
        <w:jc w:val="both"/>
        <w:rPr>
          <w:rFonts w:ascii="Times New Roman" w:hAnsi="Times New Roman"/>
          <w:noProof/>
          <w:sz w:val="24"/>
          <w:lang w:eastAsia="en-GB"/>
        </w:rPr>
      </w:pPr>
    </w:p>
    <w:p>
      <w:pPr>
        <w:spacing w:before="120" w:after="120" w:line="240" w:lineRule="auto"/>
        <w:jc w:val="both"/>
        <w:rPr>
          <w:rFonts w:ascii="Times New Roman" w:hAnsi="Times New Roman"/>
          <w:b/>
          <w:noProof/>
          <w:sz w:val="24"/>
          <w:lang w:eastAsia="en-GB"/>
        </w:rPr>
      </w:pPr>
      <w:r>
        <w:rPr>
          <w:rFonts w:ascii="Times New Roman" w:hAnsi="Times New Roman"/>
          <w:b/>
          <w:noProof/>
          <w:sz w:val="24"/>
          <w:lang w:eastAsia="en-GB"/>
        </w:rPr>
        <w:t>List of critical raw materials for the EU</w:t>
      </w:r>
    </w:p>
    <w:p>
      <w:pPr>
        <w:spacing w:before="120" w:after="120" w:line="240" w:lineRule="auto"/>
        <w:jc w:val="both"/>
        <w:rPr>
          <w:rFonts w:ascii="Times New Roman" w:hAnsi="Times New Roman"/>
          <w:noProof/>
          <w:sz w:val="24"/>
          <w:lang w:eastAsia="en-GB"/>
        </w:rPr>
      </w:pPr>
      <w:r>
        <w:rPr>
          <w:rFonts w:ascii="Times New Roman" w:hAnsi="Times New Roman"/>
          <w:noProof/>
          <w:sz w:val="24"/>
          <w:szCs w:val="24"/>
          <w:lang w:eastAsia="en-GB"/>
        </w:rPr>
        <w:t>The 27 raw materials listed below are critical for the EU because risks of supply</w:t>
      </w:r>
      <w:r>
        <w:rPr>
          <w:rFonts w:ascii="Times New Roman" w:hAnsi="Times New Roman"/>
          <w:noProof/>
          <w:sz w:val="24"/>
          <w:lang w:eastAsia="en-GB"/>
        </w:rPr>
        <w:t xml:space="preserve"> shortage and their impacts on the economy are higher than those of most of the other raw materials. The table indicates the existence of domestic production of certain critical raw materials in the EU, notably hafnium. However, China is the most influential country in terms of global supply of majority of critical raw materials, such as rare earth elements, magnesium, tungsten, antimony, gallium and germanium among others. Several other countries have dominant supplies of specific raw materials, such as Brazil (niobium) or USA (beryllium and helium). Supply of platinum group metals is concentrated in Russia (palladium) and South Africa (iridium, platinum, rhodium and ruthenium). The risks associated with the concentration of production are in many cases compounded by low substitution and low recycling rates.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2017 criticality assessment was carried out for 78 raw materials. The extended scope includes nine new materials as compared to 2014 assessment</w:t>
      </w:r>
      <w:r>
        <w:rPr>
          <w:rStyle w:val="FootnoteReference"/>
          <w:rFonts w:ascii="Times New Roman" w:hAnsi="Times New Roman"/>
          <w:noProof/>
          <w:sz w:val="24"/>
          <w:szCs w:val="24"/>
        </w:rPr>
        <w:footnoteReference w:id="9"/>
      </w:r>
      <w:r>
        <w:rPr>
          <w:rFonts w:ascii="Times New Roman" w:hAnsi="Times New Roman"/>
          <w:noProof/>
          <w:sz w:val="24"/>
          <w:szCs w:val="24"/>
          <w:lang w:eastAsia="en-GB"/>
        </w:rPr>
        <w:t xml:space="preserve">.  </w:t>
      </w:r>
    </w:p>
    <w:p>
      <w:pPr>
        <w:spacing w:before="120" w:after="0" w:line="240" w:lineRule="auto"/>
        <w:jc w:val="both"/>
        <w:rPr>
          <w:rFonts w:ascii="Times New Roman" w:hAnsi="Times New Roman"/>
          <w:noProof/>
          <w:sz w:val="24"/>
          <w:lang w:eastAsia="en-GB"/>
        </w:rPr>
      </w:pPr>
      <w:r>
        <w:rPr>
          <w:rFonts w:ascii="Times New Roman" w:hAnsi="Times New Roman"/>
          <w:noProof/>
          <w:sz w:val="24"/>
          <w:szCs w:val="24"/>
          <w:lang w:eastAsia="en-GB"/>
        </w:rPr>
        <w:t>The nine new critical raw materials for the EU, as compared to 2014 list, are highlighted in dark grey in the table below. The three raw materials (chromium, coking coal and magnesite)</w:t>
      </w:r>
      <w:r>
        <w:rPr>
          <w:rStyle w:val="FootnoteReference"/>
          <w:rFonts w:ascii="Times New Roman" w:hAnsi="Times New Roman"/>
          <w:noProof/>
          <w:sz w:val="24"/>
          <w:szCs w:val="24"/>
          <w:lang w:eastAsia="en-GB"/>
        </w:rPr>
        <w:footnoteReference w:id="10"/>
      </w:r>
      <w:r>
        <w:rPr>
          <w:rFonts w:ascii="Times New Roman" w:hAnsi="Times New Roman"/>
          <w:noProof/>
          <w:sz w:val="24"/>
          <w:szCs w:val="24"/>
          <w:lang w:eastAsia="en-GB"/>
        </w:rPr>
        <w:t xml:space="preserve"> are not deemed critical based on the 2017 assessment. While heavy rare earths</w:t>
      </w:r>
      <w:r>
        <w:rPr>
          <w:rStyle w:val="FootnoteReference"/>
          <w:rFonts w:ascii="Times New Roman" w:hAnsi="Times New Roman"/>
          <w:noProof/>
          <w:sz w:val="24"/>
          <w:szCs w:val="24"/>
          <w:lang w:eastAsia="en-GB"/>
        </w:rPr>
        <w:footnoteReference w:id="11"/>
      </w:r>
      <w:r>
        <w:rPr>
          <w:rFonts w:ascii="Times New Roman" w:hAnsi="Times New Roman"/>
          <w:noProof/>
          <w:sz w:val="24"/>
          <w:szCs w:val="24"/>
          <w:lang w:eastAsia="en-GB"/>
        </w:rPr>
        <w:t>, light rare earths</w:t>
      </w:r>
      <w:r>
        <w:rPr>
          <w:rStyle w:val="FootnoteReference"/>
          <w:rFonts w:ascii="Times New Roman" w:hAnsi="Times New Roman"/>
          <w:noProof/>
          <w:sz w:val="24"/>
          <w:szCs w:val="24"/>
          <w:lang w:eastAsia="en-GB"/>
        </w:rPr>
        <w:footnoteReference w:id="12"/>
      </w:r>
      <w:r>
        <w:rPr>
          <w:rFonts w:ascii="Times New Roman" w:hAnsi="Times New Roman"/>
          <w:noProof/>
          <w:sz w:val="24"/>
          <w:szCs w:val="24"/>
          <w:lang w:eastAsia="en-GB"/>
        </w:rPr>
        <w:t xml:space="preserve"> and platinum group metals</w:t>
      </w:r>
      <w:r>
        <w:rPr>
          <w:rStyle w:val="FootnoteReference"/>
          <w:rFonts w:ascii="Times New Roman" w:hAnsi="Times New Roman"/>
          <w:noProof/>
          <w:sz w:val="24"/>
          <w:szCs w:val="24"/>
          <w:lang w:eastAsia="en-GB"/>
        </w:rPr>
        <w:footnoteReference w:id="13"/>
      </w:r>
      <w:r>
        <w:rPr>
          <w:rFonts w:ascii="Times New Roman" w:hAnsi="Times New Roman"/>
          <w:noProof/>
          <w:sz w:val="24"/>
          <w:szCs w:val="24"/>
          <w:lang w:eastAsia="en-GB"/>
        </w:rPr>
        <w:t xml:space="preserve"> were assessed individually, they remain as groups in the criticality list (arithmetic average shown in the table) in order to ensure comparability with the previous assessment.</w:t>
      </w:r>
    </w:p>
    <w:p>
      <w:pPr>
        <w:spacing w:before="120" w:after="120" w:line="240" w:lineRule="auto"/>
        <w:jc w:val="both"/>
        <w:rPr>
          <w:rFonts w:ascii="Times New Roman" w:hAnsi="Times New Roman"/>
          <w:noProof/>
          <w:sz w:val="24"/>
          <w:lang w:eastAsia="en-GB"/>
        </w:rPr>
      </w:pPr>
    </w:p>
    <w:tbl>
      <w:tblPr>
        <w:tblW w:w="5944" w:type="pct"/>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98"/>
        <w:gridCol w:w="2043"/>
        <w:gridCol w:w="2041"/>
        <w:gridCol w:w="2043"/>
        <w:gridCol w:w="961"/>
        <w:gridCol w:w="1318"/>
        <w:gridCol w:w="1438"/>
      </w:tblGrid>
      <w:tr>
        <w:trPr>
          <w:cantSplit/>
          <w:trHeight w:val="765"/>
          <w:tblHeader/>
        </w:trPr>
        <w:tc>
          <w:tcPr>
            <w:tcW w:w="542" w:type="pct"/>
            <w:shd w:val="clear" w:color="auto" w:fill="auto"/>
            <w:vAlign w:val="center"/>
            <w:hideMark/>
          </w:tcPr>
          <w:p>
            <w:pPr>
              <w:spacing w:after="0" w:line="240" w:lineRule="auto"/>
              <w:ind w:left="34"/>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Raw materials</w:t>
            </w:r>
          </w:p>
        </w:tc>
        <w:tc>
          <w:tcPr>
            <w:tcW w:w="925" w:type="pct"/>
            <w:shd w:val="clear" w:color="auto" w:fill="auto"/>
            <w:vAlign w:val="center"/>
            <w:hideMark/>
          </w:tcPr>
          <w:p>
            <w:pPr>
              <w:spacing w:after="0" w:line="240" w:lineRule="auto"/>
              <w:ind w:left="32"/>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 xml:space="preserve">Main global producers </w:t>
            </w:r>
          </w:p>
          <w:p>
            <w:pPr>
              <w:spacing w:after="0" w:line="240" w:lineRule="auto"/>
              <w:ind w:left="32"/>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(average 2010-2014)</w:t>
            </w:r>
          </w:p>
        </w:tc>
        <w:tc>
          <w:tcPr>
            <w:tcW w:w="924" w:type="pct"/>
            <w:shd w:val="clear" w:color="auto" w:fill="auto"/>
            <w:vAlign w:val="center"/>
            <w:hideMark/>
          </w:tcPr>
          <w:p>
            <w:pPr>
              <w:spacing w:after="0" w:line="240" w:lineRule="auto"/>
              <w:ind w:left="34"/>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 xml:space="preserve">Main importers </w:t>
            </w:r>
            <w:r>
              <w:rPr>
                <w:rFonts w:ascii="Times New Roman" w:eastAsia="Times New Roman" w:hAnsi="Times New Roman"/>
                <w:b/>
                <w:bCs/>
                <w:noProof/>
                <w:color w:val="000000"/>
                <w:sz w:val="20"/>
                <w:szCs w:val="20"/>
                <w:lang w:eastAsia="en-GB"/>
              </w:rPr>
              <w:br/>
              <w:t xml:space="preserve">to the EU </w:t>
            </w:r>
          </w:p>
          <w:p>
            <w:pPr>
              <w:spacing w:after="0" w:line="240" w:lineRule="auto"/>
              <w:ind w:left="34"/>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(average 2010-2014)</w:t>
            </w:r>
          </w:p>
        </w:tc>
        <w:tc>
          <w:tcPr>
            <w:tcW w:w="925" w:type="pct"/>
            <w:vAlign w:val="center"/>
          </w:tcPr>
          <w:p>
            <w:pPr>
              <w:spacing w:after="0" w:line="240" w:lineRule="auto"/>
              <w:ind w:left="34"/>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 xml:space="preserve">Sources </w:t>
            </w:r>
          </w:p>
          <w:p>
            <w:pPr>
              <w:spacing w:after="0" w:line="240" w:lineRule="auto"/>
              <w:ind w:left="34"/>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of EU supply</w:t>
            </w:r>
          </w:p>
          <w:p>
            <w:pPr>
              <w:spacing w:after="0" w:line="240" w:lineRule="auto"/>
              <w:ind w:left="34"/>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(average 2010-2014)</w:t>
            </w:r>
          </w:p>
        </w:tc>
        <w:tc>
          <w:tcPr>
            <w:tcW w:w="435" w:type="pct"/>
            <w:vAlign w:val="center"/>
          </w:tcPr>
          <w:p>
            <w:pPr>
              <w:spacing w:after="0" w:line="240" w:lineRule="auto"/>
              <w:ind w:left="34"/>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Import reliance rate*</w:t>
            </w:r>
          </w:p>
        </w:tc>
        <w:tc>
          <w:tcPr>
            <w:tcW w:w="597" w:type="pct"/>
            <w:shd w:val="clear" w:color="auto" w:fill="auto"/>
            <w:vAlign w:val="center"/>
            <w:hideMark/>
          </w:tcPr>
          <w:p>
            <w:pPr>
              <w:spacing w:after="0" w:line="240" w:lineRule="auto"/>
              <w:ind w:left="34"/>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Substitution indexes EI/SR**</w:t>
            </w:r>
          </w:p>
        </w:tc>
        <w:tc>
          <w:tcPr>
            <w:tcW w:w="651" w:type="pct"/>
            <w:shd w:val="clear" w:color="auto" w:fill="auto"/>
            <w:vAlign w:val="center"/>
            <w:hideMark/>
          </w:tcPr>
          <w:p>
            <w:pPr>
              <w:spacing w:after="0" w:line="240" w:lineRule="auto"/>
              <w:ind w:left="34"/>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End-of-life recycling input rate***</w:t>
            </w:r>
          </w:p>
        </w:tc>
      </w:tr>
      <w:tr>
        <w:trPr>
          <w:cantSplit/>
          <w:trHeight w:val="62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Antimony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(87%)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Vietnam (11%)</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(90%)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Vietnam (4%)</w:t>
            </w:r>
          </w:p>
        </w:tc>
        <w:tc>
          <w:tcPr>
            <w:tcW w:w="925"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(90%)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Vietnam (4%)</w:t>
            </w:r>
          </w:p>
        </w:tc>
        <w:tc>
          <w:tcPr>
            <w:tcW w:w="435"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0.91 / 0.93</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28%</w:t>
            </w:r>
          </w:p>
        </w:tc>
      </w:tr>
      <w:tr>
        <w:trPr>
          <w:cantSplit/>
          <w:trHeight w:val="163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Baryte</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(44%)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India (18%)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Morocco (10%)</w:t>
            </w:r>
          </w:p>
        </w:tc>
        <w:tc>
          <w:tcPr>
            <w:tcW w:w="924" w:type="pct"/>
            <w:shd w:val="clear" w:color="auto" w:fill="D9D9D9" w:themeFill="background1" w:themeFillShade="D9"/>
            <w:noWrap/>
            <w:vAlign w:val="center"/>
          </w:tcPr>
          <w:p>
            <w:pPr>
              <w:spacing w:before="60" w:after="60" w:line="240" w:lineRule="auto"/>
              <w:ind w:left="32"/>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China (53%)</w:t>
            </w:r>
          </w:p>
          <w:p>
            <w:pPr>
              <w:spacing w:before="60" w:after="60" w:line="240" w:lineRule="auto"/>
              <w:ind w:left="32"/>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Morocco (37%)</w:t>
            </w:r>
          </w:p>
          <w:p>
            <w:pPr>
              <w:spacing w:before="60" w:after="60" w:line="240" w:lineRule="auto"/>
              <w:ind w:left="32"/>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Turkey (7%)</w:t>
            </w:r>
          </w:p>
        </w:tc>
        <w:tc>
          <w:tcPr>
            <w:tcW w:w="925" w:type="pct"/>
            <w:shd w:val="clear" w:color="auto" w:fill="D9D9D9" w:themeFill="background1" w:themeFillShade="D9"/>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(34%)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Morocco (30%)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Germany (8%)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Turkey (6%) </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Kingdom (5%)</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Other EU (4%)</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80%</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0.93 / 0.94</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cantSplit/>
          <w:trHeight w:val="56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Beryllium</w:t>
            </w:r>
          </w:p>
        </w:tc>
        <w:tc>
          <w:tcPr>
            <w:tcW w:w="925"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(90%)</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(8%)</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n/a</w:t>
            </w:r>
          </w:p>
        </w:tc>
        <w:tc>
          <w:tcPr>
            <w:tcW w:w="925"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n/a</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n/a</w:t>
            </w:r>
            <w:r>
              <w:rPr>
                <w:rStyle w:val="FootnoteReference"/>
                <w:rFonts w:ascii="Times New Roman" w:eastAsia="Times New Roman" w:hAnsi="Times New Roman"/>
                <w:noProof/>
                <w:color w:val="000000"/>
                <w:sz w:val="20"/>
                <w:szCs w:val="20"/>
                <w:lang w:eastAsia="en-GB"/>
              </w:rPr>
              <w:footnoteReference w:id="14"/>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0.99 / 0.99</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Bismuth</w:t>
            </w:r>
          </w:p>
        </w:tc>
        <w:tc>
          <w:tcPr>
            <w:tcW w:w="925" w:type="pct"/>
            <w:shd w:val="clear" w:color="auto" w:fill="D9D9D9" w:themeFill="background1" w:themeFillShade="D9"/>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(82%),</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Mexico (11%)</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Japan (7%)</w:t>
            </w:r>
          </w:p>
        </w:tc>
        <w:tc>
          <w:tcPr>
            <w:tcW w:w="924" w:type="pct"/>
            <w:shd w:val="clear" w:color="auto" w:fill="D9D9D9" w:themeFill="background1" w:themeFillShade="D9"/>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(84%)</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(84%)</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0.96 / 0.94</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cantSplit/>
          <w:trHeight w:val="66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Borate</w:t>
            </w:r>
          </w:p>
        </w:tc>
        <w:tc>
          <w:tcPr>
            <w:tcW w:w="925"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Turkey (38%)</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Unites States (23%)</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Argentina (12%)</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Turkey (98%)</w:t>
            </w:r>
          </w:p>
        </w:tc>
        <w:tc>
          <w:tcPr>
            <w:tcW w:w="925"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Turkey (98%)</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 / 1.0</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cantSplit/>
          <w:trHeight w:val="104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Cobalt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Democratic Republic of Congo (64%)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(5%)</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Canada (5%)</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(91%)</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Democratic Republic of Congo (7%)</w:t>
            </w:r>
          </w:p>
        </w:tc>
        <w:tc>
          <w:tcPr>
            <w:tcW w:w="925"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Finland (66%)</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(31%)</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32%</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 / 1.0</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cantSplit/>
          <w:trHeight w:val="1045"/>
          <w:tblHeader/>
        </w:trPr>
        <w:tc>
          <w:tcPr>
            <w:tcW w:w="542"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Coking coal</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(54%)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Australia (15%)</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(7%)</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(39%)</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Australia (36%)</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(9%)</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Canada (8%)</w:t>
            </w:r>
          </w:p>
        </w:tc>
        <w:tc>
          <w:tcPr>
            <w:tcW w:w="925"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(38%)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Australia (34%)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Canada (7%)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Poland (1%)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Germany (1%)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Czech Republic (1%)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Kingdom (1%)</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63%</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0.92 / 0.92</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cantSplit/>
          <w:trHeight w:val="70"/>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Fluorspar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(64%)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Mexico (16%)</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Mongolia (5%)</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Mexico (38%)</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(17%)</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Africa (15%)</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Namibia (12%)</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Kenya (9%)</w:t>
            </w:r>
          </w:p>
        </w:tc>
        <w:tc>
          <w:tcPr>
            <w:tcW w:w="925" w:type="pct"/>
          </w:tcPr>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Mexico (27%)</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Spain (13%)</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China (12%)</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South Africa (11%)</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Namibia (9%)</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Kenya (7%)</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Germany (5%)</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Bulgaria (4%)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Kingdom (4%)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Other EU (1%)</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70%</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0.98 / 0.97</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cantSplit/>
          <w:trHeight w:val="66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Gallium</w:t>
            </w:r>
            <w:r>
              <w:rPr>
                <w:rFonts w:ascii="Times New Roman" w:eastAsia="Times New Roman" w:hAnsi="Times New Roman"/>
                <w:noProof/>
                <w:color w:val="000000"/>
                <w:sz w:val="20"/>
                <w:szCs w:val="20"/>
                <w:vertAlign w:val="superscript"/>
                <w:lang w:eastAsia="en-GB"/>
              </w:rPr>
              <w:footnoteReference w:id="15"/>
            </w:r>
          </w:p>
        </w:tc>
        <w:tc>
          <w:tcPr>
            <w:tcW w:w="925"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(85%)</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Germany (7%)</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Kazakhstan (5%)</w:t>
            </w:r>
          </w:p>
        </w:tc>
        <w:tc>
          <w:tcPr>
            <w:tcW w:w="924" w:type="pct"/>
            <w:shd w:val="clear" w:color="auto" w:fill="auto"/>
            <w:noWrap/>
            <w:vAlign w:val="center"/>
          </w:tcPr>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(53%)</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(11%)</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Ukraine (9%)</w:t>
            </w:r>
          </w:p>
          <w:p>
            <w:pPr>
              <w:spacing w:before="60" w:after="60" w:line="240" w:lineRule="auto"/>
              <w:ind w:left="32"/>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Korea (8%)</w:t>
            </w:r>
          </w:p>
        </w:tc>
        <w:tc>
          <w:tcPr>
            <w:tcW w:w="925"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(36%)</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Germany (27%)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Ukraine (6%)</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Korea (5%)</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Hungary (5%)</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34%</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0/95 / 0.96</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cantSplit/>
          <w:trHeight w:val="110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Germanium</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China (67%) </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Finland (11%)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Canada (9%) </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(9%)</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(60%)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(17%)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(16%)</w:t>
            </w:r>
          </w:p>
        </w:tc>
        <w:tc>
          <w:tcPr>
            <w:tcW w:w="925" w:type="pct"/>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(43%)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Finland (28%)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(12%)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(12%)</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64%</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 / 1.0</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Hafnium</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France (43%)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(41%)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Ukraine (8%)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(8%)</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Canada (67%)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(33%)</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France (71%)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Canada (19%)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(10%)</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0.93 / 0.97</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Helium</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(73%)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Qatar (12%)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Algeria (10%)</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(53%)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Algeria (29%)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Qatar (8%)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(8%)</w:t>
            </w:r>
          </w:p>
        </w:tc>
        <w:tc>
          <w:tcPr>
            <w:tcW w:w="925" w:type="pct"/>
            <w:shd w:val="clear" w:color="auto" w:fill="D9D9D9" w:themeFill="background1" w:themeFillShade="D9"/>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(51%)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Algeria (29%)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Qatar (8%)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Poland (3%)</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96%</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0/94 / 0.96</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cantSplit/>
          <w:trHeight w:val="128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Indium</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(57%)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Korea (15%)</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Japan (10%)</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(41%)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Kazakhstan (19%)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Korea (11%)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Hong Kong (8%)</w:t>
            </w:r>
          </w:p>
        </w:tc>
        <w:tc>
          <w:tcPr>
            <w:tcW w:w="925" w:type="pct"/>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(28%)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Belgium (19%)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Kazakhstan (13%)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France (11%)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Korea (8%)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Hong Kong (6%)</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0.94 / 0.97</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cantSplit/>
          <w:trHeight w:val="625"/>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Magnesium</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(87%)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(5%)</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(94%)</w:t>
            </w:r>
          </w:p>
        </w:tc>
        <w:tc>
          <w:tcPr>
            <w:tcW w:w="925"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(94%)</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0/91 / 0.91</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w:t>
            </w:r>
          </w:p>
        </w:tc>
      </w:tr>
      <w:tr>
        <w:trPr>
          <w:cantSplit/>
          <w:trHeight w:val="1280"/>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Natural graphite</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(69%)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India (12%)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Brazil (8%)</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(63%)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Brazil (13%)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Norway (7%)</w:t>
            </w:r>
          </w:p>
        </w:tc>
        <w:tc>
          <w:tcPr>
            <w:tcW w:w="925"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(63%)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Brazil (13%)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Norway (7%)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EU (&lt; 1%)</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99%</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0.95 / 0.97</w:t>
            </w:r>
          </w:p>
        </w:tc>
        <w:tc>
          <w:tcPr>
            <w:tcW w:w="651"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Natural rubber</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Thailand (32%)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Indonesia (26%)</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Vietnam (8%)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India (8%)</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Indonesia (32%)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Malaysia (20%)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Thailand (17%)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Ivory Coast (12%)</w:t>
            </w:r>
          </w:p>
        </w:tc>
        <w:tc>
          <w:tcPr>
            <w:tcW w:w="925" w:type="pct"/>
            <w:shd w:val="clear" w:color="auto" w:fill="D9D9D9" w:themeFill="background1" w:themeFillShade="D9"/>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Indonesia (32%)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Malaysia (20%)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Thailand (17%)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Ivory Coast (12%)</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0.92 / 0.92</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cantSplit/>
          <w:trHeight w:val="60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Niobium</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Brazil (90%) </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Canada (10%)</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Brazil (71%)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Canada (13%)</w:t>
            </w:r>
          </w:p>
        </w:tc>
        <w:tc>
          <w:tcPr>
            <w:tcW w:w="925" w:type="pct"/>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Brazil (71%)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Canada (13%)</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0.91 / 0.94</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0.3%</w:t>
            </w:r>
          </w:p>
        </w:tc>
      </w:tr>
      <w:tr>
        <w:trPr>
          <w:cantSplit/>
          <w:trHeight w:val="84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Phosphate rock</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(44%)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Morocco (13%)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(13%)</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Morocco (31%)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(18%)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Syria (12%)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Algeria (12%)</w:t>
            </w:r>
          </w:p>
        </w:tc>
        <w:tc>
          <w:tcPr>
            <w:tcW w:w="925" w:type="pct"/>
          </w:tcPr>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Morocco (28%)</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Russia (16%)</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Syria (11%)</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Algeria (10%)</w:t>
            </w:r>
          </w:p>
          <w:p>
            <w:pPr>
              <w:spacing w:before="60" w:after="60" w:line="240" w:lineRule="auto"/>
              <w:rPr>
                <w:rFonts w:ascii="Times New Roman" w:eastAsia="Times New Roman" w:hAnsi="Times New Roman"/>
                <w:noProof/>
                <w:color w:val="000000"/>
                <w:sz w:val="20"/>
                <w:szCs w:val="20"/>
                <w:lang w:val="it-IT" w:eastAsia="en-GB"/>
              </w:rPr>
            </w:pPr>
            <w:r>
              <w:rPr>
                <w:rFonts w:ascii="Times New Roman" w:eastAsia="Times New Roman" w:hAnsi="Times New Roman"/>
                <w:noProof/>
                <w:color w:val="000000"/>
                <w:sz w:val="20"/>
                <w:szCs w:val="20"/>
                <w:lang w:val="it-IT" w:eastAsia="en-GB"/>
              </w:rPr>
              <w:t>EU – Finland (12%)</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88%</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 / 1.0</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17%</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Phosphorus</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(58%)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Vietnam (19%)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Kazakhstan (13%)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(11%)</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Kazakhstan (77%)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(14%)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Vietnam (8%)</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Kazakhstan (77%)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(14%)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Vietnam (8%)</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0.91 / 0.91</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cantSplit/>
          <w:trHeight w:val="721"/>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Scandium</w:t>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(66%)</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(26%)</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Ukraine (7%)</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(67%)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Kazakhstan (33%)</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(67%)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Kazakhstan (33%)</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0.91 / 0.95</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cantSplit/>
          <w:trHeight w:val="1141"/>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Silicon metal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(61%)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Brazil (9%)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Norway (7%)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(6%)</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France (5%)</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Norway (35%)</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Brazil (18%)</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(18%)</w:t>
            </w:r>
          </w:p>
        </w:tc>
        <w:tc>
          <w:tcPr>
            <w:tcW w:w="925" w:type="pct"/>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Norway (23%)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France (19%)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Brazil (12%)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(12%)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Spain (9%)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Germany (5%)</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64%</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0.99 / 0.99</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w:t>
            </w:r>
          </w:p>
        </w:tc>
      </w:tr>
      <w:tr>
        <w:trPr>
          <w:cantSplit/>
          <w:trHeight w:val="420"/>
          <w:tblHeader/>
        </w:trPr>
        <w:tc>
          <w:tcPr>
            <w:tcW w:w="542"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Tantalum</w:t>
            </w:r>
            <w:r>
              <w:rPr>
                <w:rStyle w:val="FootnoteReference"/>
                <w:rFonts w:ascii="Times New Roman" w:eastAsia="Times New Roman" w:hAnsi="Times New Roman"/>
                <w:noProof/>
                <w:color w:val="000000"/>
                <w:sz w:val="20"/>
                <w:szCs w:val="20"/>
                <w:lang w:eastAsia="en-GB"/>
              </w:rPr>
              <w:footnoteReference w:id="16"/>
            </w:r>
          </w:p>
        </w:tc>
        <w:tc>
          <w:tcPr>
            <w:tcW w:w="925"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Rwanda (31%) </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Democratic Republic of Congo (19%)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Brazil (14%)</w:t>
            </w:r>
          </w:p>
        </w:tc>
        <w:tc>
          <w:tcPr>
            <w:tcW w:w="924" w:type="pct"/>
            <w:shd w:val="clear" w:color="auto" w:fill="D9D9D9" w:themeFill="background1" w:themeFillShade="D9"/>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Nigeria (81%)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Rwanda (14%)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(5%)</w:t>
            </w:r>
          </w:p>
        </w:tc>
        <w:tc>
          <w:tcPr>
            <w:tcW w:w="925"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Nigeria (81%)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Rwanda (14%)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(5%)</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0.94 / 0.95</w:t>
            </w:r>
          </w:p>
        </w:tc>
        <w:tc>
          <w:tcPr>
            <w:tcW w:w="651" w:type="pct"/>
            <w:shd w:val="clear" w:color="auto" w:fill="D9D9D9" w:themeFill="background1" w:themeFillShade="D9"/>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r>
      <w:tr>
        <w:trPr>
          <w:cantSplit/>
          <w:trHeight w:val="1280"/>
          <w:tblHeader/>
        </w:trPr>
        <w:tc>
          <w:tcPr>
            <w:tcW w:w="542" w:type="pct"/>
            <w:shd w:val="clear" w:color="auto" w:fill="auto"/>
            <w:noWrap/>
            <w:vAlign w:val="center"/>
            <w:hideMark/>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Tungsten</w:t>
            </w:r>
            <w:r>
              <w:rPr>
                <w:rStyle w:val="FootnoteReference"/>
                <w:rFonts w:ascii="Times New Roman" w:eastAsia="Times New Roman" w:hAnsi="Times New Roman"/>
                <w:noProof/>
                <w:color w:val="000000"/>
                <w:sz w:val="20"/>
                <w:szCs w:val="20"/>
                <w:lang w:eastAsia="en-GB"/>
              </w:rPr>
              <w:footnoteReference w:id="17"/>
            </w:r>
            <w:r>
              <w:rPr>
                <w:rFonts w:ascii="Times New Roman" w:eastAsia="Times New Roman" w:hAnsi="Times New Roman"/>
                <w:noProof/>
                <w:color w:val="000000"/>
                <w:sz w:val="20"/>
                <w:szCs w:val="20"/>
                <w:lang w:eastAsia="en-GB"/>
              </w:rPr>
              <w:t xml:space="preserve"> </w:t>
            </w:r>
          </w:p>
        </w:tc>
        <w:tc>
          <w:tcPr>
            <w:tcW w:w="925"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(84%)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(4%)</w:t>
            </w:r>
          </w:p>
        </w:tc>
        <w:tc>
          <w:tcPr>
            <w:tcW w:w="924" w:type="pct"/>
            <w:shd w:val="clear" w:color="auto" w:fill="auto"/>
            <w:noWrap/>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(84%)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Bolivia (5%)</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Vietnam (5%)</w:t>
            </w:r>
          </w:p>
        </w:tc>
        <w:tc>
          <w:tcPr>
            <w:tcW w:w="925"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(50%)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Portugal (17%)</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Spain (15%)</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Austria (8%)</w:t>
            </w:r>
          </w:p>
        </w:tc>
        <w:tc>
          <w:tcPr>
            <w:tcW w:w="435" w:type="pct"/>
            <w:shd w:val="clear" w:color="auto" w:fill="auto"/>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44%</w:t>
            </w:r>
          </w:p>
        </w:tc>
        <w:tc>
          <w:tcPr>
            <w:tcW w:w="597"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0.94 / 0.97</w:t>
            </w:r>
          </w:p>
        </w:tc>
        <w:tc>
          <w:tcPr>
            <w:tcW w:w="651" w:type="pct"/>
            <w:shd w:val="clear" w:color="auto" w:fill="auto"/>
            <w:noWrap/>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42%</w:t>
            </w:r>
          </w:p>
        </w:tc>
      </w:tr>
      <w:tr>
        <w:trPr>
          <w:cantSplit/>
          <w:trHeight w:val="420"/>
          <w:tblHeader/>
        </w:trPr>
        <w:tc>
          <w:tcPr>
            <w:tcW w:w="542"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Vanadium</w:t>
            </w:r>
          </w:p>
        </w:tc>
        <w:tc>
          <w:tcPr>
            <w:tcW w:w="925" w:type="pct"/>
            <w:shd w:val="clear" w:color="auto" w:fill="D9D9D9" w:themeFill="background1" w:themeFillShade="D9"/>
            <w:noWrap/>
            <w:vAlign w:val="center"/>
          </w:tcPr>
          <w:p>
            <w:pPr>
              <w:spacing w:before="60" w:after="60" w:line="240" w:lineRule="auto"/>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China (53%)</w:t>
            </w:r>
          </w:p>
          <w:p>
            <w:pPr>
              <w:spacing w:before="60" w:after="60" w:line="240" w:lineRule="auto"/>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South Africa (25%)</w:t>
            </w:r>
          </w:p>
          <w:p>
            <w:pPr>
              <w:spacing w:before="60" w:after="60" w:line="240" w:lineRule="auto"/>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Russia (20%)</w:t>
            </w:r>
          </w:p>
        </w:tc>
        <w:tc>
          <w:tcPr>
            <w:tcW w:w="924" w:type="pct"/>
            <w:shd w:val="clear" w:color="auto" w:fill="D9D9D9" w:themeFill="background1" w:themeFillShade="D9"/>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(71%)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(13%)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Africa (13%)</w:t>
            </w:r>
          </w:p>
        </w:tc>
        <w:tc>
          <w:tcPr>
            <w:tcW w:w="925" w:type="pct"/>
            <w:shd w:val="clear" w:color="auto" w:fill="D9D9D9" w:themeFill="background1" w:themeFillShade="D9"/>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(60%)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(11%)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Africa (10%)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Belgium (9%)</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Kingdom (3%)</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Netherlands (2%)</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Germany (2%) </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Other EU (0.5%)</w:t>
            </w:r>
          </w:p>
        </w:tc>
        <w:tc>
          <w:tcPr>
            <w:tcW w:w="435"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84%</w:t>
            </w:r>
          </w:p>
        </w:tc>
        <w:tc>
          <w:tcPr>
            <w:tcW w:w="597"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0.91 / 0.94</w:t>
            </w:r>
          </w:p>
        </w:tc>
        <w:tc>
          <w:tcPr>
            <w:tcW w:w="651" w:type="pct"/>
            <w:shd w:val="clear" w:color="auto" w:fill="D9D9D9" w:themeFill="background1" w:themeFillShade="D9"/>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44%</w:t>
            </w:r>
          </w:p>
        </w:tc>
      </w:tr>
      <w:tr>
        <w:trPr>
          <w:cantSplit/>
          <w:trHeight w:val="1165"/>
          <w:tblHeader/>
        </w:trPr>
        <w:tc>
          <w:tcPr>
            <w:tcW w:w="542"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Platinum Group  Metals</w:t>
            </w:r>
          </w:p>
        </w:tc>
        <w:tc>
          <w:tcPr>
            <w:tcW w:w="925" w:type="pct"/>
            <w:shd w:val="clear" w:color="auto" w:fill="auto"/>
            <w:noWrap/>
            <w:vAlign w:val="center"/>
          </w:tcPr>
          <w:p>
            <w:pPr>
              <w:spacing w:before="60" w:after="0" w:line="240" w:lineRule="auto"/>
              <w:rPr>
                <w:rFonts w:ascii="Times New Roman" w:hAnsi="Times New Roman"/>
                <w:noProof/>
                <w:color w:val="000000"/>
                <w:sz w:val="20"/>
                <w:szCs w:val="20"/>
                <w:lang w:eastAsia="en-GB"/>
              </w:rPr>
            </w:pPr>
            <w:r>
              <w:rPr>
                <w:rFonts w:ascii="Times New Roman" w:hAnsi="Times New Roman"/>
                <w:noProof/>
                <w:color w:val="000000"/>
                <w:sz w:val="20"/>
                <w:szCs w:val="20"/>
                <w:lang w:eastAsia="en-GB"/>
              </w:rPr>
              <w:t>South Africa (83%)</w:t>
            </w:r>
          </w:p>
          <w:p>
            <w:pPr>
              <w:spacing w:after="60" w:line="240" w:lineRule="auto"/>
              <w:rPr>
                <w:rFonts w:ascii="Times New Roman" w:hAnsi="Times New Roman"/>
                <w:noProof/>
                <w:color w:val="000000"/>
                <w:sz w:val="20"/>
                <w:szCs w:val="20"/>
                <w:lang w:eastAsia="en-GB"/>
              </w:rPr>
            </w:pPr>
            <w:r>
              <w:rPr>
                <w:rFonts w:ascii="Times New Roman" w:hAnsi="Times New Roman"/>
                <w:noProof/>
                <w:color w:val="000000"/>
                <w:sz w:val="20"/>
                <w:szCs w:val="20"/>
                <w:lang w:eastAsia="en-GB"/>
              </w:rPr>
              <w:t xml:space="preserve">- </w:t>
            </w:r>
            <w:r>
              <w:rPr>
                <w:rFonts w:ascii="Times New Roman" w:hAnsi="Times New Roman"/>
                <w:noProof/>
                <w:color w:val="000000"/>
                <w:sz w:val="16"/>
                <w:szCs w:val="16"/>
                <w:lang w:eastAsia="en-GB"/>
              </w:rPr>
              <w:t>iridium, platinum, rhodium, ruthenium</w:t>
            </w:r>
          </w:p>
          <w:p>
            <w:pPr>
              <w:spacing w:before="60" w:after="0" w:line="240" w:lineRule="auto"/>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Russia (46%)</w:t>
            </w:r>
          </w:p>
          <w:p>
            <w:pPr>
              <w:spacing w:after="60" w:line="240" w:lineRule="auto"/>
              <w:rPr>
                <w:rFonts w:ascii="Times New Roman" w:hAnsi="Times New Roman"/>
                <w:noProof/>
                <w:color w:val="000000"/>
                <w:sz w:val="20"/>
                <w:szCs w:val="20"/>
                <w:lang w:eastAsia="en-GB"/>
              </w:rPr>
            </w:pPr>
            <w:r>
              <w:rPr>
                <w:rFonts w:ascii="Times New Roman" w:hAnsi="Times New Roman"/>
                <w:noProof/>
                <w:color w:val="000000"/>
                <w:sz w:val="20"/>
                <w:szCs w:val="20"/>
                <w:lang w:eastAsia="en-GB"/>
              </w:rPr>
              <w:t xml:space="preserve">- </w:t>
            </w:r>
            <w:r>
              <w:rPr>
                <w:rFonts w:ascii="Times New Roman" w:hAnsi="Times New Roman"/>
                <w:noProof/>
                <w:color w:val="000000"/>
                <w:sz w:val="16"/>
                <w:szCs w:val="16"/>
                <w:lang w:eastAsia="en-GB"/>
              </w:rPr>
              <w:t>palladium</w:t>
            </w:r>
          </w:p>
        </w:tc>
        <w:tc>
          <w:tcPr>
            <w:tcW w:w="924"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Switzerland (34%)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Africa (31%)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(21%)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(8%)</w:t>
            </w:r>
          </w:p>
        </w:tc>
        <w:tc>
          <w:tcPr>
            <w:tcW w:w="925" w:type="pct"/>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Switzerland (34%)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South Africa (31%)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United States (21%)</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(8%)</w:t>
            </w:r>
          </w:p>
        </w:tc>
        <w:tc>
          <w:tcPr>
            <w:tcW w:w="435"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99.6%</w:t>
            </w:r>
          </w:p>
        </w:tc>
        <w:tc>
          <w:tcPr>
            <w:tcW w:w="597"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0.93 / 0.98</w:t>
            </w:r>
          </w:p>
        </w:tc>
        <w:tc>
          <w:tcPr>
            <w:tcW w:w="651"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14%</w:t>
            </w:r>
          </w:p>
        </w:tc>
      </w:tr>
      <w:tr>
        <w:trPr>
          <w:cantSplit/>
          <w:trHeight w:val="850"/>
          <w:tblHeader/>
        </w:trPr>
        <w:tc>
          <w:tcPr>
            <w:tcW w:w="542"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Heavy Rare Earth Elements </w:t>
            </w:r>
          </w:p>
        </w:tc>
        <w:tc>
          <w:tcPr>
            <w:tcW w:w="925" w:type="pct"/>
            <w:shd w:val="clear" w:color="auto" w:fill="auto"/>
            <w:noWrap/>
            <w:vAlign w:val="center"/>
          </w:tcPr>
          <w:p>
            <w:pPr>
              <w:spacing w:before="60" w:after="60" w:line="240" w:lineRule="auto"/>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China (95%)</w:t>
            </w:r>
          </w:p>
        </w:tc>
        <w:tc>
          <w:tcPr>
            <w:tcW w:w="924"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(40%)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USA (34%)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(25%)</w:t>
            </w:r>
          </w:p>
        </w:tc>
        <w:tc>
          <w:tcPr>
            <w:tcW w:w="925" w:type="pct"/>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(40%)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USA (34%)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(25%)</w:t>
            </w:r>
          </w:p>
        </w:tc>
        <w:tc>
          <w:tcPr>
            <w:tcW w:w="435"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0.96 / 0.89</w:t>
            </w:r>
          </w:p>
        </w:tc>
        <w:tc>
          <w:tcPr>
            <w:tcW w:w="651"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w:t>
            </w:r>
          </w:p>
        </w:tc>
      </w:tr>
      <w:tr>
        <w:trPr>
          <w:cantSplit/>
          <w:trHeight w:val="493"/>
          <w:tblHeader/>
        </w:trPr>
        <w:tc>
          <w:tcPr>
            <w:tcW w:w="542"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Light Rare Earth Elements</w:t>
            </w:r>
          </w:p>
        </w:tc>
        <w:tc>
          <w:tcPr>
            <w:tcW w:w="925" w:type="pct"/>
            <w:shd w:val="clear" w:color="auto" w:fill="auto"/>
            <w:noWrap/>
            <w:vAlign w:val="center"/>
          </w:tcPr>
          <w:p>
            <w:pPr>
              <w:spacing w:before="60" w:after="60" w:line="240" w:lineRule="auto"/>
              <w:jc w:val="both"/>
              <w:rPr>
                <w:rFonts w:ascii="Times New Roman" w:hAnsi="Times New Roman"/>
                <w:noProof/>
                <w:color w:val="000000"/>
                <w:sz w:val="20"/>
                <w:szCs w:val="20"/>
                <w:lang w:eastAsia="en-GB"/>
              </w:rPr>
            </w:pPr>
            <w:r>
              <w:rPr>
                <w:rFonts w:ascii="Times New Roman" w:hAnsi="Times New Roman"/>
                <w:noProof/>
                <w:color w:val="000000"/>
                <w:sz w:val="20"/>
                <w:szCs w:val="20"/>
                <w:lang w:eastAsia="en-GB"/>
              </w:rPr>
              <w:t>China (95%)</w:t>
            </w:r>
          </w:p>
        </w:tc>
        <w:tc>
          <w:tcPr>
            <w:tcW w:w="924" w:type="pct"/>
            <w:vAlign w:val="center"/>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(40%)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USA (34%)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(25%)</w:t>
            </w:r>
          </w:p>
        </w:tc>
        <w:tc>
          <w:tcPr>
            <w:tcW w:w="925" w:type="pct"/>
          </w:tcPr>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China (40%)</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USA (34%)</w:t>
            </w:r>
          </w:p>
          <w:p>
            <w:pPr>
              <w:spacing w:before="60" w:after="6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Russia (25%)</w:t>
            </w:r>
          </w:p>
        </w:tc>
        <w:tc>
          <w:tcPr>
            <w:tcW w:w="435"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100%</w:t>
            </w:r>
          </w:p>
        </w:tc>
        <w:tc>
          <w:tcPr>
            <w:tcW w:w="597"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0.90 / 0.93</w:t>
            </w:r>
          </w:p>
        </w:tc>
        <w:tc>
          <w:tcPr>
            <w:tcW w:w="651" w:type="pct"/>
            <w:vAlign w:val="center"/>
          </w:tcPr>
          <w:p>
            <w:pPr>
              <w:spacing w:before="60" w:after="6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w:t>
            </w:r>
          </w:p>
        </w:tc>
      </w:tr>
    </w:tbl>
    <w:p>
      <w:pPr>
        <w:spacing w:before="120" w:after="120" w:line="240" w:lineRule="auto"/>
        <w:jc w:val="both"/>
        <w:rPr>
          <w:rFonts w:ascii="Times New Roman" w:hAnsi="Times New Roman"/>
          <w:noProof/>
          <w:sz w:val="24"/>
          <w:lang w:eastAsia="en-GB"/>
        </w:rPr>
      </w:pPr>
      <w:r>
        <w:rPr>
          <w:rFonts w:ascii="Times New Roman" w:hAnsi="Times New Roman"/>
          <w:noProof/>
          <w:sz w:val="24"/>
          <w:lang w:eastAsia="en-GB"/>
        </w:rPr>
        <w:t xml:space="preserve"> </w:t>
      </w:r>
    </w:p>
    <w:p>
      <w:pPr>
        <w:spacing w:before="120" w:after="120" w:line="240" w:lineRule="auto"/>
        <w:jc w:val="both"/>
        <w:rPr>
          <w:rFonts w:ascii="Times New Roman" w:hAnsi="Times New Roman"/>
          <w:noProof/>
          <w:color w:val="000000"/>
          <w:sz w:val="24"/>
          <w:lang w:eastAsia="en-GB"/>
        </w:rPr>
      </w:pPr>
      <w:r>
        <w:rPr>
          <w:rFonts w:ascii="Times New Roman" w:hAnsi="Times New Roman"/>
          <w:noProof/>
          <w:color w:val="000000"/>
          <w:sz w:val="24"/>
          <w:lang w:eastAsia="en-GB"/>
        </w:rPr>
        <w:t>Notes:</w:t>
      </w:r>
    </w:p>
    <w:p>
      <w:pPr>
        <w:spacing w:before="120" w:after="120" w:line="240" w:lineRule="auto"/>
        <w:jc w:val="both"/>
        <w:rPr>
          <w:rFonts w:ascii="Times New Roman" w:hAnsi="Times New Roman"/>
          <w:noProof/>
          <w:color w:val="000000"/>
          <w:sz w:val="24"/>
          <w:szCs w:val="24"/>
          <w:lang w:eastAsia="en-GB"/>
        </w:rPr>
      </w:pPr>
      <w:r>
        <w:rPr>
          <w:rFonts w:ascii="Times New Roman" w:hAnsi="Times New Roman"/>
          <w:noProof/>
          <w:color w:val="000000"/>
          <w:sz w:val="24"/>
          <w:lang w:eastAsia="en-GB"/>
        </w:rPr>
        <w:t xml:space="preserve">(*) The 'Import reliance rate' takes into account global supply and actual EU sourcing in the calculation of Supply Risk, and it </w:t>
      </w:r>
      <w:r>
        <w:rPr>
          <w:rFonts w:ascii="Times New Roman" w:hAnsi="Times New Roman"/>
          <w:noProof/>
          <w:color w:val="000000"/>
          <w:sz w:val="24"/>
          <w:szCs w:val="24"/>
          <w:lang w:eastAsia="en-GB"/>
        </w:rPr>
        <w:t>is calculated</w:t>
      </w:r>
      <w:r>
        <w:rPr>
          <w:rFonts w:ascii="Times New Roman" w:hAnsi="Times New Roman"/>
          <w:noProof/>
          <w:color w:val="000000"/>
          <w:sz w:val="24"/>
          <w:lang w:eastAsia="en-GB"/>
        </w:rPr>
        <w:t xml:space="preserve"> as follows: EU net imports / (EU net imports + EU domestic production).</w:t>
      </w:r>
    </w:p>
    <w:p>
      <w:pPr>
        <w:spacing w:before="120" w:after="12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 The ‘Substitution index’ is a measure of the difficulty in substituting the material, scored and weighted across all applications, calculated separately for both Economic Importance and Supply Risk parameters. Values are between 0 and 1, with 1 being the least substitutable. </w:t>
      </w:r>
    </w:p>
    <w:p>
      <w:pPr>
        <w:spacing w:before="120" w:after="120" w:line="240" w:lineRule="auto"/>
        <w:jc w:val="both"/>
        <w:rPr>
          <w:rFonts w:ascii="Times New Roman" w:hAnsi="Times New Roman"/>
          <w:noProof/>
          <w:color w:val="000000"/>
          <w:sz w:val="24"/>
          <w:szCs w:val="24"/>
          <w:lang w:eastAsia="en-GB"/>
        </w:rPr>
      </w:pPr>
      <w:r>
        <w:rPr>
          <w:rFonts w:ascii="Times New Roman" w:hAnsi="Times New Roman"/>
          <w:noProof/>
          <w:sz w:val="24"/>
          <w:szCs w:val="24"/>
        </w:rPr>
        <w:t>The economic importance is corrected by the Substitution Index (SI</w:t>
      </w:r>
      <w:r>
        <w:rPr>
          <w:rFonts w:ascii="Times New Roman" w:hAnsi="Times New Roman"/>
          <w:noProof/>
          <w:sz w:val="24"/>
          <w:szCs w:val="24"/>
          <w:vertAlign w:val="subscript"/>
        </w:rPr>
        <w:t>EI</w:t>
      </w:r>
      <w:r>
        <w:rPr>
          <w:rFonts w:ascii="Times New Roman" w:hAnsi="Times New Roman"/>
          <w:noProof/>
          <w:sz w:val="24"/>
          <w:szCs w:val="24"/>
        </w:rPr>
        <w:t>) related to technical and cost performance of the substitutes for individual applications of each material. The supply risk is corrected by the Substitution Index (SI</w:t>
      </w:r>
      <w:r>
        <w:rPr>
          <w:rFonts w:ascii="Times New Roman" w:hAnsi="Times New Roman"/>
          <w:noProof/>
          <w:sz w:val="24"/>
          <w:szCs w:val="24"/>
          <w:vertAlign w:val="subscript"/>
        </w:rPr>
        <w:t>SR</w:t>
      </w:r>
      <w:r>
        <w:rPr>
          <w:rFonts w:ascii="Times New Roman" w:hAnsi="Times New Roman"/>
          <w:noProof/>
          <w:sz w:val="24"/>
          <w:szCs w:val="24"/>
        </w:rPr>
        <w:t xml:space="preserve">) related to global production, criticality and co-/by-production of the substitutes for individual applications of each material. </w:t>
      </w:r>
    </w:p>
    <w:p>
      <w:pPr>
        <w:spacing w:before="120" w:after="120" w:line="240" w:lineRule="auto"/>
        <w:jc w:val="both"/>
        <w:rPr>
          <w:rFonts w:ascii="Times New Roman" w:hAnsi="Times New Roman"/>
          <w:noProof/>
          <w:sz w:val="24"/>
          <w:szCs w:val="24"/>
        </w:rPr>
      </w:pPr>
      <w:r>
        <w:rPr>
          <w:rFonts w:ascii="Times New Roman" w:hAnsi="Times New Roman"/>
          <w:noProof/>
          <w:color w:val="000000"/>
          <w:sz w:val="24"/>
          <w:lang w:eastAsia="en-GB"/>
        </w:rPr>
        <w:t xml:space="preserve">(***) The ‘End-of-life recycling input rate’ measures </w:t>
      </w:r>
      <w:r>
        <w:rPr>
          <w:rFonts w:ascii="Times New Roman" w:hAnsi="Times New Roman"/>
          <w:noProof/>
          <w:sz w:val="24"/>
          <w:szCs w:val="24"/>
        </w:rPr>
        <w:t>the ratio of recycling from old scrap to EU demand of a given raw material, the latter equal to primary and secondary material supply inputs to the EU.</w:t>
      </w:r>
    </w:p>
    <w:p>
      <w:pPr>
        <w:spacing w:before="120" w:after="120" w:line="240" w:lineRule="auto"/>
        <w:jc w:val="both"/>
        <w:rPr>
          <w:rFonts w:ascii="Times New Roman" w:hAnsi="Times New Roman"/>
          <w:noProof/>
          <w:color w:val="000000"/>
          <w:sz w:val="24"/>
          <w:lang w:eastAsia="en-GB"/>
        </w:rPr>
      </w:pPr>
      <w:r>
        <w:rPr>
          <w:rFonts w:ascii="Times New Roman" w:hAnsi="Times New Roman"/>
          <w:noProof/>
          <w:color w:val="000000"/>
          <w:sz w:val="24"/>
          <w:lang w:eastAsia="en-GB"/>
        </w:rPr>
        <w:t xml:space="preserve">Source: compiled on the basis of the Final Report of the 'Study on the review of the list of Critical Raw Materials' 2017.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705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According to the VDI Centre for Resource Efficiency (VDI ZRE), materials are the main cost factor in the manufacturing sector (44%, compared to 18% for labour, 3% for taxes and 2% for energy). </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Commission's Communication '</w:t>
      </w:r>
      <w:r>
        <w:rPr>
          <w:rFonts w:ascii="Times New Roman" w:hAnsi="Times New Roman"/>
          <w:i/>
        </w:rPr>
        <w:t>Investing in a smart, innovative and sustainable industry: A renewed EU Industrial Policy Strategy</w:t>
      </w:r>
      <w:r>
        <w:rPr>
          <w:rFonts w:ascii="Times New Roman" w:hAnsi="Times New Roman"/>
        </w:rPr>
        <w:t>' (COM(2017) 479)</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Commission's Communication '</w:t>
      </w:r>
      <w:r>
        <w:rPr>
          <w:rFonts w:ascii="Times New Roman" w:hAnsi="Times New Roman"/>
          <w:i/>
        </w:rPr>
        <w:t>Closing the loop – An EU action action plan for the Circular Economy</w:t>
      </w:r>
      <w:r>
        <w:rPr>
          <w:rFonts w:ascii="Times New Roman" w:hAnsi="Times New Roman"/>
        </w:rPr>
        <w:t>' (COM(2015) 614)</w:t>
      </w:r>
    </w:p>
  </w:footnote>
  <w:footnote w:id="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Commission's Proposal for a Regulation of the Parliament and of the Council establishing a framework for screening of foreign direct investments in the European Union (COM(2017) 487)</w:t>
      </w:r>
    </w:p>
  </w:footnote>
  <w:footnote w:id="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Commission's Communication</w:t>
      </w:r>
      <w:r>
        <w:rPr>
          <w:rFonts w:ascii="Times New Roman" w:hAnsi="Times New Roman"/>
          <w:i/>
        </w:rPr>
        <w:t xml:space="preserve"> </w:t>
      </w:r>
      <w:hyperlink r:id="rId1" w:history="1">
        <w:r>
          <w:rPr>
            <w:rFonts w:ascii="Times New Roman" w:hAnsi="Times New Roman"/>
            <w:i/>
          </w:rPr>
          <w:t>'Tackling the challenges in commodity markets and on raw materials</w:t>
        </w:r>
      </w:hyperlink>
      <w:r>
        <w:rPr>
          <w:rFonts w:ascii="Times New Roman" w:hAnsi="Times New Roman"/>
          <w:i/>
        </w:rPr>
        <w:t>'</w:t>
      </w:r>
      <w:r>
        <w:rPr>
          <w:rFonts w:ascii="Times New Roman" w:hAnsi="Times New Roman"/>
        </w:rPr>
        <w:t xml:space="preserve"> (COM(2011)25)</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Commission's Communication</w:t>
      </w:r>
      <w:r>
        <w:rPr>
          <w:rFonts w:ascii="Times New Roman" w:hAnsi="Times New Roman"/>
          <w:i/>
        </w:rPr>
        <w:t xml:space="preserve"> 'On the review of the list of CRM for the EU and the implementation of the Raw Materials Initiative' </w:t>
      </w:r>
      <w:r>
        <w:rPr>
          <w:rFonts w:ascii="Times New Roman" w:hAnsi="Times New Roman"/>
        </w:rPr>
        <w:t>(COM(2014)297)</w:t>
      </w:r>
    </w:p>
  </w:footnote>
  <w:footnote w:id="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heme="minorHAnsi" w:hAnsi="Times New Roman"/>
          <w:bCs/>
          <w:i/>
        </w:rPr>
        <w:t>Report on Critical Raw Materials for the EU</w:t>
      </w:r>
      <w:r>
        <w:rPr>
          <w:rFonts w:ascii="Times New Roman" w:eastAsiaTheme="minorHAnsi" w:hAnsi="Times New Roman"/>
          <w:bCs/>
        </w:rPr>
        <w:t>, Report of the Ad hoc Working Group on defining critical raw materials, May 2014</w:t>
      </w:r>
    </w:p>
  </w:footnote>
  <w:footnote w:id="8">
    <w:p>
      <w:pPr>
        <w:pStyle w:val="DocumentTitle"/>
        <w:spacing w:after="120"/>
        <w:jc w:val="both"/>
        <w:rPr>
          <w:rFonts w:ascii="Times New Roman" w:hAnsi="Times New Roman"/>
          <w:b w:val="0"/>
          <w:sz w:val="20"/>
          <w:lang w:val="en-GB"/>
        </w:rPr>
      </w:pPr>
      <w:r>
        <w:rPr>
          <w:rStyle w:val="FootnoteReference"/>
          <w:rFonts w:ascii="Times New Roman" w:hAnsi="Times New Roman"/>
          <w:b w:val="0"/>
          <w:sz w:val="20"/>
        </w:rPr>
        <w:footnoteRef/>
      </w:r>
      <w:r>
        <w:rPr>
          <w:rFonts w:ascii="Times New Roman" w:hAnsi="Times New Roman"/>
          <w:b w:val="0"/>
          <w:sz w:val="20"/>
          <w:lang w:val="en-GB"/>
        </w:rPr>
        <w:t xml:space="preserve"> See: </w:t>
      </w:r>
      <w:r>
        <w:rPr>
          <w:rFonts w:ascii="Times New Roman" w:hAnsi="Times New Roman"/>
          <w:b w:val="0"/>
          <w:i/>
          <w:sz w:val="20"/>
          <w:lang w:val="en-GB"/>
        </w:rPr>
        <w:t>Methodology for establishing the EU List of Critical Raw Materials</w:t>
      </w:r>
      <w:r>
        <w:rPr>
          <w:rFonts w:ascii="Times New Roman" w:hAnsi="Times New Roman"/>
          <w:b w:val="0"/>
          <w:sz w:val="20"/>
          <w:lang w:val="en-GB"/>
        </w:rPr>
        <w:t>, 2017, ISBN 978-92-79-68051-9</w:t>
      </w:r>
    </w:p>
  </w:footnote>
  <w:footnote w:id="9">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Abiotic: Aggregates, Bismuth, Helium, Lead, Phosphorus, Sulphur; Biotic: Natural cork, Natural teak wood, Sapele wood.</w:t>
      </w:r>
    </w:p>
  </w:footnote>
  <w:footnote w:id="10">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However, coking coal, which was on the 2014 list of critical raw materials for the EU, is considered a borderline case. Although it narrowly misses the economic importance threshold, for the sake of caution, coking coal is kept on the list of critical raw materials for the EU and thus included in the table. However, it will be phased out from the next list should it fail to meet the criteria in full.</w:t>
      </w:r>
    </w:p>
  </w:footnote>
  <w:footnote w:id="11">
    <w:p>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rPr>
        <w:t xml:space="preserve"> Dysprosium, Erbium, Europium, Gadolinium, Holmium, Lutetium, Terbium, Thulium, Ytterbium, Yttrium</w:t>
      </w:r>
    </w:p>
  </w:footnote>
  <w:footnote w:id="1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Lanthanum, Cerium, Praseodymium, Neodymium, Samarium</w:t>
      </w:r>
    </w:p>
  </w:footnote>
  <w:footnote w:id="13">
    <w:p>
      <w:pPr>
        <w:pStyle w:val="FootnoteText"/>
        <w:spacing w:after="0"/>
        <w:rPr>
          <w:lang w:val="en-US"/>
        </w:rPr>
      </w:pPr>
      <w:r>
        <w:rPr>
          <w:rStyle w:val="FootnoteReference"/>
          <w:rFonts w:ascii="Times New Roman" w:hAnsi="Times New Roman"/>
        </w:rPr>
        <w:footnoteRef/>
      </w:r>
      <w:r>
        <w:rPr>
          <w:rFonts w:ascii="Times New Roman" w:hAnsi="Times New Roman"/>
        </w:rPr>
        <w:t xml:space="preserve"> Palladium, Platinum, Rhodium, Ruthenium, Iridium</w:t>
      </w:r>
    </w:p>
  </w:footnote>
  <w:footnote w:id="14">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EU import reliance cannot be calculated for the beryllium, as there is no production and trade for beryllium ores and concentrates in the EU.</w:t>
      </w:r>
    </w:p>
  </w:footnote>
  <w:footnote w:id="1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Gallium is a by-product; the best available data refer to production capacity, not to production as such.</w:t>
      </w:r>
    </w:p>
  </w:footnote>
  <w:footnote w:id="16">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Tantalum is covered by the Conflict Minerals Regulation (Regulation (EU) 2017/821) establishing a Union system for supply chain due diligence to curtail opportunities for armed groups and security forces to trade in tin, tantalum and tungsten, and their ores, and gold.</w:t>
      </w:r>
    </w:p>
  </w:footnote>
  <w:footnote w:id="17">
    <w:p>
      <w:pPr>
        <w:pStyle w:val="FootnoteText"/>
        <w:jc w:val="both"/>
      </w:pPr>
      <w:r>
        <w:rPr>
          <w:rStyle w:val="FootnoteReference"/>
        </w:rPr>
        <w:footnoteRef/>
      </w:r>
      <w:r>
        <w:t xml:space="preserve"> </w:t>
      </w:r>
      <w:r>
        <w:rPr>
          <w:rFonts w:ascii="Times New Roman" w:hAnsi="Times New Roman"/>
        </w:rPr>
        <w:t>Tungsten is covered by the Conflict Minerals Regulation (Regulation (EU) 2017/821) establishing a Union system for supply chain due diligence to curtail opportunities for armed groups and security forces to trade in tin, tantalum and tungsten, and their ores, and gold.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2BAF"/>
    <w:multiLevelType w:val="hybridMultilevel"/>
    <w:tmpl w:val="244AAC4C"/>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5D3E5E06"/>
    <w:multiLevelType w:val="hybridMultilevel"/>
    <w:tmpl w:val="FE56B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E244B34"/>
    <w:multiLevelType w:val="hybridMultilevel"/>
    <w:tmpl w:val="A6A4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99C8FAE1E0342438E12B38B1BCCCD95"/>
    <w:docVar w:name="LW_CROSSREFERENCE" w:val="&lt;UNUSED&gt;"/>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90"/>
    <w:docVar w:name="LW_REF.INTERNE" w:val="&lt;UNUSED&gt;"/>
    <w:docVar w:name="LW_SOUS.TITRE.OBJ.CP" w:val="&lt;UNUSED&gt;"/>
    <w:docVar w:name="LW_SUPERTITRE" w:val="&lt;UNUSED&gt;"/>
    <w:docVar w:name="LW_TITRE.OBJ.CP" w:val="on the 2017 list of Critical Raw Materials for the EU"/>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rFonts w:ascii="Calibri" w:eastAsia="Calibri" w:hAnsi="Calibri" w:cs="Times New Roman"/>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link w:val="FootnotesymbolCarZchn"/>
    <w:uiPriority w:val="99"/>
    <w:unhideWhenUsed/>
    <w:qFormat/>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es,Resume Title,Citation List,Ha,Body"/>
    <w:basedOn w:val="Normal"/>
    <w:link w:val="ListParagraphChar"/>
    <w:uiPriority w:val="34"/>
    <w:qFormat/>
    <w:pPr>
      <w:spacing w:after="160" w:line="252" w:lineRule="auto"/>
      <w:ind w:left="720"/>
      <w:contextualSpacing/>
    </w:pPr>
    <w:rPr>
      <w:rFonts w:ascii="Verdana" w:eastAsiaTheme="minorHAnsi" w:hAnsi="Verdana"/>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locked/>
    <w:rPr>
      <w:rFonts w:ascii="Verdana" w:hAnsi="Verdana" w:cs="Times New Roman"/>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b/>
      <w:sz w:val="52"/>
      <w:szCs w:val="20"/>
      <w:lang w:val="fr-FR"/>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rFonts w:ascii="Calibri" w:eastAsia="Calibri" w:hAnsi="Calibri" w:cs="Times New Roman"/>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link w:val="FootnotesymbolCarZchn"/>
    <w:uiPriority w:val="99"/>
    <w:unhideWhenUsed/>
    <w:qFormat/>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aliases w:val="Normal bullet 2,Bullet list,List Paragraph1,Numbered List,1st level - Bullet List Paragraph,Lettre d'introduction,Paragrafo elenco,List Paragraph11,Normal bullet 21,List Paragraph111,Bullet list1,Listes,Resume Title,Citation List,Ha,Body"/>
    <w:basedOn w:val="Normal"/>
    <w:link w:val="ListParagraphChar"/>
    <w:uiPriority w:val="34"/>
    <w:qFormat/>
    <w:pPr>
      <w:spacing w:after="160" w:line="252" w:lineRule="auto"/>
      <w:ind w:left="720"/>
      <w:contextualSpacing/>
    </w:pPr>
    <w:rPr>
      <w:rFonts w:ascii="Verdana" w:eastAsiaTheme="minorHAnsi" w:hAnsi="Verdana"/>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locked/>
    <w:rPr>
      <w:rFonts w:ascii="Verdana" w:hAnsi="Verdana" w:cs="Times New Roman"/>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b/>
      <w:sz w:val="52"/>
      <w:szCs w:val="20"/>
      <w:lang w:val="fr-FR"/>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52011DC0025&amp;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C028-4953-4A0C-8439-106A69DF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1878</Words>
  <Characters>9954</Characters>
  <Application>Microsoft Office Word</Application>
  <DocSecurity>0</DocSecurity>
  <Lines>523</Lines>
  <Paragraphs>473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2017-09-07T11:51:00Z</cp:lastPrinted>
  <dcterms:created xsi:type="dcterms:W3CDTF">2017-09-11T13:02:00Z</dcterms:created>
  <dcterms:modified xsi:type="dcterms:W3CDTF">2017-09-13T08:02:00Z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