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1C7" w:rsidRDefault="002B7F23" w:rsidP="002B7F23">
      <w:pPr>
        <w:pStyle w:val="Pagedecouverture"/>
        <w:rPr>
          <w:lang w:val="fr-BE"/>
        </w:rPr>
      </w:pPr>
      <w:bookmarkStart w:id="0" w:name="LW_BM_COVERPAGE"/>
      <w:r>
        <w:rPr>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9CE9E20580BE4EB492D2798C09144679" style="width:450.6pt;height:422.4pt">
            <v:imagedata r:id="rId7" o:title=""/>
          </v:shape>
        </w:pict>
      </w:r>
    </w:p>
    <w:bookmarkEnd w:id="0"/>
    <w:p w:rsidR="003C720B" w:rsidRDefault="003C720B" w:rsidP="003C720B">
      <w:pPr>
        <w:rPr>
          <w:lang w:val="fr-BE"/>
        </w:rPr>
        <w:sectPr w:rsidR="003C720B" w:rsidSect="002B7F23">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rsidR="00077428" w:rsidRDefault="00077428" w:rsidP="001921C7">
      <w:pPr>
        <w:pStyle w:val="Pagedecouverture"/>
        <w:rPr>
          <w:lang w:val="fr-BE"/>
        </w:rPr>
      </w:pPr>
    </w:p>
    <w:p w:rsidR="00077428" w:rsidRDefault="00077428" w:rsidP="00077428">
      <w:pPr>
        <w:tabs>
          <w:tab w:val="left" w:pos="6360"/>
        </w:tabs>
        <w:rPr>
          <w:lang w:val="fr-BE" w:eastAsia="en-US"/>
        </w:rPr>
      </w:pPr>
      <w:r>
        <w:rPr>
          <w:lang w:val="fr-BE" w:eastAsia="en-US"/>
        </w:rPr>
        <w:tab/>
      </w:r>
    </w:p>
    <w:tbl>
      <w:tblPr>
        <w:tblStyle w:val="TableGrid"/>
        <w:tblW w:w="10188" w:type="dxa"/>
        <w:tblLook w:val="01E0" w:firstRow="1" w:lastRow="1" w:firstColumn="1" w:lastColumn="1" w:noHBand="0" w:noVBand="0"/>
      </w:tblPr>
      <w:tblGrid>
        <w:gridCol w:w="10188"/>
      </w:tblGrid>
      <w:tr w:rsidR="001921C7" w:rsidTr="00CD60E3">
        <w:tc>
          <w:tcPr>
            <w:tcW w:w="10188" w:type="dxa"/>
            <w:tcBorders>
              <w:bottom w:val="single" w:sz="4" w:space="0" w:color="auto"/>
            </w:tcBorders>
            <w:shd w:val="clear" w:color="auto" w:fill="CCCCCC"/>
          </w:tcPr>
          <w:p w:rsidR="001921C7" w:rsidRPr="00C22EC4" w:rsidRDefault="001921C7" w:rsidP="00CD60E3">
            <w:pPr>
              <w:spacing w:before="60" w:after="60"/>
              <w:jc w:val="center"/>
              <w:rPr>
                <w:rFonts w:ascii="Tahoma" w:hAnsi="Tahoma" w:cs="Tahoma"/>
                <w:b/>
                <w:sz w:val="22"/>
                <w:szCs w:val="22"/>
              </w:rPr>
            </w:pPr>
            <w:bookmarkStart w:id="1" w:name="_GoBack"/>
            <w:bookmarkEnd w:id="1"/>
            <w:r w:rsidRPr="00C22EC4">
              <w:rPr>
                <w:rFonts w:ascii="Tahoma" w:hAnsi="Tahoma" w:cs="Tahoma"/>
                <w:b/>
                <w:sz w:val="22"/>
                <w:szCs w:val="22"/>
              </w:rPr>
              <w:t>Executive Summary Sheet</w:t>
            </w:r>
          </w:p>
        </w:tc>
      </w:tr>
      <w:tr w:rsidR="001921C7" w:rsidRPr="001B2DAE" w:rsidTr="00CD60E3">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rsidR="001921C7" w:rsidRPr="00A23349" w:rsidRDefault="001921C7" w:rsidP="00CD60E3">
            <w:pPr>
              <w:spacing w:before="120" w:after="120"/>
              <w:jc w:val="both"/>
              <w:rPr>
                <w:rFonts w:ascii="Tahoma" w:hAnsi="Tahoma" w:cs="Tahoma"/>
                <w:b/>
                <w:color w:val="FFFFFF" w:themeColor="background1"/>
                <w:sz w:val="20"/>
                <w:szCs w:val="20"/>
              </w:rPr>
            </w:pPr>
            <w:r w:rsidRPr="00C51D6A">
              <w:rPr>
                <w:rFonts w:ascii="Tahoma" w:hAnsi="Tahoma" w:cs="Tahoma"/>
                <w:b/>
                <w:color w:val="FFFFFF" w:themeColor="background1"/>
                <w:sz w:val="20"/>
                <w:szCs w:val="20"/>
              </w:rPr>
              <w:t xml:space="preserve">Impact assessment on </w:t>
            </w:r>
            <w:r>
              <w:rPr>
                <w:rFonts w:ascii="Tahoma" w:hAnsi="Tahoma" w:cs="Tahoma"/>
                <w:b/>
                <w:color w:val="FFFFFF" w:themeColor="background1"/>
                <w:sz w:val="20"/>
                <w:szCs w:val="20"/>
              </w:rPr>
              <w:t xml:space="preserve">the </w:t>
            </w:r>
            <w:r w:rsidRPr="00C51D6A">
              <w:rPr>
                <w:rFonts w:ascii="Tahoma" w:hAnsi="Tahoma" w:cs="Tahoma"/>
                <w:b/>
                <w:color w:val="FFFFFF" w:themeColor="background1"/>
                <w:sz w:val="20"/>
                <w:szCs w:val="20"/>
              </w:rPr>
              <w:t xml:space="preserve">Recommendation for an authorisation to open negotiations </w:t>
            </w:r>
            <w:r>
              <w:rPr>
                <w:rFonts w:ascii="Tahoma" w:hAnsi="Tahoma" w:cs="Tahoma"/>
                <w:b/>
                <w:color w:val="FFFFFF" w:themeColor="background1"/>
                <w:sz w:val="20"/>
                <w:szCs w:val="20"/>
              </w:rPr>
              <w:t xml:space="preserve">for a Convention </w:t>
            </w:r>
            <w:r w:rsidRPr="00C51D6A">
              <w:rPr>
                <w:rFonts w:ascii="Tahoma" w:hAnsi="Tahoma" w:cs="Tahoma"/>
                <w:b/>
                <w:color w:val="FFFFFF" w:themeColor="background1"/>
                <w:sz w:val="20"/>
                <w:szCs w:val="20"/>
              </w:rPr>
              <w:t>establish</w:t>
            </w:r>
            <w:r>
              <w:rPr>
                <w:rFonts w:ascii="Tahoma" w:hAnsi="Tahoma" w:cs="Tahoma"/>
                <w:b/>
                <w:color w:val="FFFFFF" w:themeColor="background1"/>
                <w:sz w:val="20"/>
                <w:szCs w:val="20"/>
              </w:rPr>
              <w:t xml:space="preserve">ing </w:t>
            </w:r>
            <w:r w:rsidRPr="00C51D6A">
              <w:rPr>
                <w:rFonts w:ascii="Tahoma" w:hAnsi="Tahoma" w:cs="Tahoma"/>
                <w:b/>
                <w:color w:val="FFFFFF" w:themeColor="background1"/>
                <w:sz w:val="20"/>
                <w:szCs w:val="20"/>
              </w:rPr>
              <w:t xml:space="preserve">a multilateral </w:t>
            </w:r>
            <w:r>
              <w:rPr>
                <w:rFonts w:ascii="Tahoma" w:hAnsi="Tahoma" w:cs="Tahoma"/>
                <w:b/>
                <w:color w:val="FFFFFF" w:themeColor="background1"/>
                <w:sz w:val="20"/>
                <w:szCs w:val="20"/>
              </w:rPr>
              <w:t xml:space="preserve">court for the settlement of </w:t>
            </w:r>
            <w:r w:rsidRPr="00C51D6A">
              <w:rPr>
                <w:rFonts w:ascii="Tahoma" w:hAnsi="Tahoma" w:cs="Tahoma"/>
                <w:b/>
                <w:color w:val="FFFFFF" w:themeColor="background1"/>
                <w:sz w:val="20"/>
                <w:szCs w:val="20"/>
              </w:rPr>
              <w:t>investment dispute</w:t>
            </w:r>
            <w:r>
              <w:rPr>
                <w:rFonts w:ascii="Tahoma" w:hAnsi="Tahoma" w:cs="Tahoma"/>
                <w:b/>
                <w:color w:val="FFFFFF" w:themeColor="background1"/>
                <w:sz w:val="20"/>
                <w:szCs w:val="20"/>
              </w:rPr>
              <w:t>s</w:t>
            </w:r>
          </w:p>
        </w:tc>
      </w:tr>
      <w:tr w:rsidR="001921C7" w:rsidRPr="001239CB" w:rsidTr="00CD60E3">
        <w:tc>
          <w:tcPr>
            <w:tcW w:w="10188" w:type="dxa"/>
            <w:tcBorders>
              <w:bottom w:val="single" w:sz="4" w:space="0" w:color="auto"/>
            </w:tcBorders>
            <w:shd w:val="clear" w:color="auto" w:fill="CCCCCC"/>
          </w:tcPr>
          <w:p w:rsidR="001921C7" w:rsidRPr="00B72557" w:rsidRDefault="001921C7" w:rsidP="00CD60E3">
            <w:pPr>
              <w:spacing w:before="60" w:after="60"/>
              <w:jc w:val="center"/>
              <w:rPr>
                <w:rFonts w:ascii="Tahoma" w:hAnsi="Tahoma" w:cs="Tahoma"/>
                <w:b/>
                <w:sz w:val="22"/>
                <w:szCs w:val="22"/>
              </w:rPr>
            </w:pPr>
            <w:r w:rsidRPr="0040097D">
              <w:rPr>
                <w:rFonts w:ascii="Tahoma" w:hAnsi="Tahoma" w:cs="Tahoma"/>
                <w:b/>
                <w:sz w:val="22"/>
                <w:szCs w:val="22"/>
              </w:rPr>
              <w:t xml:space="preserve">A. </w:t>
            </w:r>
            <w:r>
              <w:rPr>
                <w:rFonts w:ascii="Tahoma" w:hAnsi="Tahoma" w:cs="Tahoma"/>
                <w:b/>
                <w:sz w:val="22"/>
                <w:szCs w:val="22"/>
              </w:rPr>
              <w:t>Need for action</w:t>
            </w:r>
          </w:p>
        </w:tc>
      </w:tr>
      <w:tr w:rsidR="001921C7" w:rsidRPr="00501394" w:rsidTr="00CD60E3">
        <w:tc>
          <w:tcPr>
            <w:tcW w:w="10188" w:type="dxa"/>
            <w:tcBorders>
              <w:bottom w:val="single" w:sz="4" w:space="0" w:color="auto"/>
            </w:tcBorders>
            <w:shd w:val="clear" w:color="auto" w:fill="E0E0E0"/>
          </w:tcPr>
          <w:p w:rsidR="001921C7" w:rsidRPr="00CD4871" w:rsidRDefault="001921C7" w:rsidP="00CD60E3">
            <w:pPr>
              <w:spacing w:before="60" w:after="60"/>
              <w:jc w:val="both"/>
              <w:rPr>
                <w:rFonts w:ascii="Tahoma" w:hAnsi="Tahoma" w:cs="Tahoma"/>
                <w:sz w:val="20"/>
                <w:szCs w:val="20"/>
              </w:rPr>
            </w:pPr>
            <w:r w:rsidRPr="00A3516B">
              <w:rPr>
                <w:rFonts w:ascii="Tahoma" w:hAnsi="Tahoma" w:cs="Tahoma"/>
                <w:b/>
                <w:sz w:val="20"/>
                <w:szCs w:val="20"/>
              </w:rPr>
              <w:t>Why</w:t>
            </w:r>
            <w:r>
              <w:rPr>
                <w:rFonts w:ascii="Tahoma" w:hAnsi="Tahoma" w:cs="Tahoma"/>
                <w:b/>
                <w:sz w:val="20"/>
                <w:szCs w:val="20"/>
              </w:rPr>
              <w:t xml:space="preserve">? What is the problem being addressed? </w:t>
            </w:r>
          </w:p>
        </w:tc>
      </w:tr>
      <w:tr w:rsidR="001921C7" w:rsidRPr="00555298" w:rsidTr="00CD60E3">
        <w:tc>
          <w:tcPr>
            <w:tcW w:w="10188" w:type="dxa"/>
            <w:tcBorders>
              <w:bottom w:val="single" w:sz="4" w:space="0" w:color="auto"/>
            </w:tcBorders>
            <w:shd w:val="clear" w:color="auto" w:fill="auto"/>
          </w:tcPr>
          <w:p w:rsidR="001921C7" w:rsidRDefault="001921C7" w:rsidP="00CD60E3">
            <w:pPr>
              <w:jc w:val="both"/>
              <w:rPr>
                <w:rFonts w:ascii="Arial" w:hAnsi="Arial" w:cs="Arial"/>
                <w:sz w:val="20"/>
                <w:szCs w:val="20"/>
              </w:rPr>
            </w:pPr>
            <w:r w:rsidRPr="00E0264B">
              <w:rPr>
                <w:rFonts w:ascii="Arial" w:hAnsi="Arial" w:cs="Arial"/>
                <w:sz w:val="20"/>
                <w:szCs w:val="20"/>
              </w:rPr>
              <w:t xml:space="preserve">In recent years, the inclusion of investor-state dispute settlement (ISDS) in trade and investment agreements has become subject to increased public scrutiny and questioning. </w:t>
            </w:r>
            <w:r>
              <w:rPr>
                <w:rFonts w:ascii="Arial" w:hAnsi="Arial" w:cs="Arial"/>
                <w:sz w:val="20"/>
                <w:szCs w:val="20"/>
              </w:rPr>
              <w:t xml:space="preserve">Lack of or limited </w:t>
            </w:r>
            <w:r w:rsidRPr="00EC1D0A">
              <w:rPr>
                <w:rFonts w:ascii="Arial" w:hAnsi="Arial" w:cs="Arial"/>
                <w:sz w:val="20"/>
                <w:szCs w:val="20"/>
              </w:rPr>
              <w:t>legitimacy, consistency</w:t>
            </w:r>
            <w:r>
              <w:rPr>
                <w:rFonts w:ascii="Arial" w:hAnsi="Arial" w:cs="Arial"/>
                <w:sz w:val="20"/>
                <w:szCs w:val="20"/>
              </w:rPr>
              <w:t xml:space="preserve"> and transparency as well as the absence of a </w:t>
            </w:r>
            <w:r w:rsidRPr="00EC1D0A">
              <w:rPr>
                <w:rFonts w:ascii="Arial" w:hAnsi="Arial" w:cs="Arial"/>
                <w:sz w:val="20"/>
                <w:szCs w:val="20"/>
              </w:rPr>
              <w:t xml:space="preserve">possibility of review </w:t>
            </w:r>
            <w:r>
              <w:rPr>
                <w:rFonts w:ascii="Arial" w:hAnsi="Arial" w:cs="Arial"/>
                <w:sz w:val="20"/>
                <w:szCs w:val="20"/>
              </w:rPr>
              <w:t xml:space="preserve">have been identified as problems stemming from ad hoc ISDS which is based on the principles of arbitration. </w:t>
            </w:r>
            <w:r w:rsidRPr="00E10275">
              <w:rPr>
                <w:rFonts w:ascii="Arial" w:hAnsi="Arial" w:cs="Arial"/>
                <w:sz w:val="20"/>
                <w:szCs w:val="20"/>
              </w:rPr>
              <w:t xml:space="preserve">To address </w:t>
            </w:r>
            <w:r>
              <w:rPr>
                <w:rFonts w:ascii="Arial" w:hAnsi="Arial" w:cs="Arial"/>
                <w:sz w:val="20"/>
                <w:szCs w:val="20"/>
              </w:rPr>
              <w:t xml:space="preserve">these </w:t>
            </w:r>
            <w:r w:rsidRPr="00E10275">
              <w:rPr>
                <w:rFonts w:ascii="Arial" w:hAnsi="Arial" w:cs="Arial"/>
                <w:sz w:val="20"/>
                <w:szCs w:val="20"/>
              </w:rPr>
              <w:t>limitations, the EU's approach since 2015 has been to institutionalise the system for the resolution of investment disputes in EU trade and investment agreements through the inclusion of the Investment Court System (ICS).</w:t>
            </w:r>
            <w:r>
              <w:rPr>
                <w:rFonts w:ascii="Arial" w:hAnsi="Arial" w:cs="Arial"/>
                <w:sz w:val="20"/>
                <w:szCs w:val="20"/>
              </w:rPr>
              <w:t xml:space="preserve"> However, due to its bilateral nature, the ICS cannot fully address all the aforementioned problems. Moreover, t</w:t>
            </w:r>
            <w:r w:rsidRPr="00E10275">
              <w:rPr>
                <w:rFonts w:ascii="Arial" w:hAnsi="Arial" w:cs="Arial"/>
                <w:sz w:val="20"/>
                <w:szCs w:val="20"/>
              </w:rPr>
              <w:t xml:space="preserve">he more ICSs are included in EU agreements, the more complex the management will be for the Commission </w:t>
            </w:r>
            <w:r>
              <w:rPr>
                <w:rFonts w:ascii="Arial" w:hAnsi="Arial" w:cs="Arial"/>
                <w:sz w:val="20"/>
                <w:szCs w:val="20"/>
              </w:rPr>
              <w:t>and more costly it will be for the EU budget, which will bear part of the operating costs of the ICS.</w:t>
            </w:r>
          </w:p>
        </w:tc>
      </w:tr>
      <w:tr w:rsidR="001921C7" w:rsidRPr="00501394" w:rsidTr="00CD60E3">
        <w:tc>
          <w:tcPr>
            <w:tcW w:w="10188" w:type="dxa"/>
            <w:tcBorders>
              <w:bottom w:val="single" w:sz="4" w:space="0" w:color="auto"/>
            </w:tcBorders>
            <w:shd w:val="clear" w:color="auto" w:fill="E6E6E6"/>
          </w:tcPr>
          <w:p w:rsidR="001921C7" w:rsidRPr="00CD4871" w:rsidRDefault="001921C7" w:rsidP="00CD60E3">
            <w:pPr>
              <w:spacing w:before="60" w:after="60"/>
              <w:jc w:val="both"/>
              <w:rPr>
                <w:rFonts w:ascii="Tahoma" w:hAnsi="Tahoma" w:cs="Tahoma"/>
                <w:sz w:val="20"/>
                <w:szCs w:val="20"/>
              </w:rPr>
            </w:pPr>
            <w:r>
              <w:rPr>
                <w:rFonts w:ascii="Tahoma" w:hAnsi="Tahoma" w:cs="Tahoma"/>
                <w:b/>
                <w:sz w:val="20"/>
                <w:szCs w:val="20"/>
              </w:rPr>
              <w:t xml:space="preserve">What is this initiative expected to achieve? </w:t>
            </w:r>
          </w:p>
        </w:tc>
      </w:tr>
      <w:tr w:rsidR="001921C7" w:rsidRPr="00555298" w:rsidTr="00CD60E3">
        <w:tc>
          <w:tcPr>
            <w:tcW w:w="10188" w:type="dxa"/>
            <w:tcBorders>
              <w:bottom w:val="single" w:sz="4" w:space="0" w:color="auto"/>
            </w:tcBorders>
            <w:shd w:val="clear" w:color="auto" w:fill="auto"/>
          </w:tcPr>
          <w:p w:rsidR="001921C7" w:rsidRDefault="001921C7" w:rsidP="00CD60E3">
            <w:pPr>
              <w:jc w:val="both"/>
              <w:rPr>
                <w:rFonts w:ascii="Arial" w:hAnsi="Arial" w:cs="Arial"/>
                <w:sz w:val="20"/>
                <w:szCs w:val="20"/>
              </w:rPr>
            </w:pPr>
            <w:r>
              <w:rPr>
                <w:rFonts w:ascii="Arial" w:hAnsi="Arial" w:cs="Arial"/>
                <w:sz w:val="20"/>
                <w:szCs w:val="20"/>
              </w:rPr>
              <w:t>The initiative aims at setting</w:t>
            </w:r>
            <w:r w:rsidRPr="00F02CFC">
              <w:rPr>
                <w:rFonts w:ascii="Arial" w:hAnsi="Arial" w:cs="Arial"/>
                <w:sz w:val="20"/>
                <w:szCs w:val="20"/>
              </w:rPr>
              <w:t xml:space="preserve"> up a framework for investment dispute resolution that is permanent, independent and legitimate; predictable in delivering consistent case-law; allowing for an appeal of decisions; cost</w:t>
            </w:r>
            <w:r>
              <w:rPr>
                <w:rFonts w:ascii="Arial" w:hAnsi="Arial" w:cs="Arial"/>
                <w:sz w:val="20"/>
                <w:szCs w:val="20"/>
              </w:rPr>
              <w:t>-</w:t>
            </w:r>
            <w:r w:rsidRPr="00F02CFC">
              <w:rPr>
                <w:rFonts w:ascii="Arial" w:hAnsi="Arial" w:cs="Arial"/>
                <w:sz w:val="20"/>
                <w:szCs w:val="20"/>
              </w:rPr>
              <w:t>effective; transparent and efficient.</w:t>
            </w:r>
            <w:r>
              <w:rPr>
                <w:rFonts w:ascii="Arial" w:hAnsi="Arial" w:cs="Arial"/>
                <w:sz w:val="20"/>
                <w:szCs w:val="20"/>
              </w:rPr>
              <w:t xml:space="preserve"> It seeks to </w:t>
            </w:r>
            <w:r w:rsidRPr="001C3ECC">
              <w:rPr>
                <w:rFonts w:ascii="Arial" w:hAnsi="Arial" w:cs="Arial"/>
                <w:sz w:val="20"/>
                <w:szCs w:val="20"/>
              </w:rPr>
              <w:t xml:space="preserve">align the EU's policy in investment dispute resolution with the EU's global approach in other areas of international </w:t>
            </w:r>
            <w:r>
              <w:rPr>
                <w:rFonts w:ascii="Arial" w:hAnsi="Arial" w:cs="Arial"/>
                <w:sz w:val="20"/>
                <w:szCs w:val="20"/>
              </w:rPr>
              <w:t xml:space="preserve">governance and international </w:t>
            </w:r>
            <w:r w:rsidRPr="001C3ECC">
              <w:rPr>
                <w:rFonts w:ascii="Arial" w:hAnsi="Arial" w:cs="Arial"/>
                <w:sz w:val="20"/>
                <w:szCs w:val="20"/>
              </w:rPr>
              <w:t>dispute settlement favouring multilateral solutions</w:t>
            </w:r>
            <w:r>
              <w:rPr>
                <w:rFonts w:ascii="Arial" w:hAnsi="Arial" w:cs="Arial"/>
                <w:sz w:val="20"/>
                <w:szCs w:val="20"/>
              </w:rPr>
              <w:t xml:space="preserve">. </w:t>
            </w:r>
          </w:p>
        </w:tc>
      </w:tr>
      <w:tr w:rsidR="001921C7" w:rsidRPr="00501394" w:rsidTr="00CD60E3">
        <w:tc>
          <w:tcPr>
            <w:tcW w:w="10188" w:type="dxa"/>
            <w:tcBorders>
              <w:bottom w:val="single" w:sz="4" w:space="0" w:color="auto"/>
            </w:tcBorders>
            <w:shd w:val="clear" w:color="auto" w:fill="E6E6E6"/>
          </w:tcPr>
          <w:p w:rsidR="001921C7" w:rsidRPr="00501394" w:rsidRDefault="001921C7" w:rsidP="00CD60E3">
            <w:pPr>
              <w:spacing w:before="60" w:after="60"/>
              <w:jc w:val="both"/>
              <w:rPr>
                <w:rFonts w:ascii="Tahoma" w:hAnsi="Tahoma" w:cs="Tahoma"/>
                <w:sz w:val="20"/>
                <w:szCs w:val="20"/>
              </w:rPr>
            </w:pPr>
            <w:r>
              <w:rPr>
                <w:rFonts w:ascii="Tahoma" w:hAnsi="Tahoma" w:cs="Tahoma"/>
                <w:b/>
                <w:sz w:val="20"/>
                <w:szCs w:val="20"/>
              </w:rPr>
              <w:t xml:space="preserve">What is the value added of action at the </w:t>
            </w:r>
            <w:r w:rsidRPr="00A3516B">
              <w:rPr>
                <w:rFonts w:ascii="Tahoma" w:hAnsi="Tahoma" w:cs="Tahoma"/>
                <w:b/>
                <w:sz w:val="20"/>
                <w:szCs w:val="20"/>
              </w:rPr>
              <w:t>EU level?</w:t>
            </w:r>
            <w:r>
              <w:rPr>
                <w:rFonts w:ascii="Tahoma" w:hAnsi="Tahoma" w:cs="Tahoma"/>
                <w:sz w:val="20"/>
                <w:szCs w:val="20"/>
              </w:rPr>
              <w:t xml:space="preserve"> </w:t>
            </w:r>
          </w:p>
        </w:tc>
      </w:tr>
      <w:tr w:rsidR="001921C7" w:rsidRPr="00555298" w:rsidTr="00CD60E3">
        <w:tc>
          <w:tcPr>
            <w:tcW w:w="10188" w:type="dxa"/>
            <w:tcBorders>
              <w:bottom w:val="single" w:sz="4" w:space="0" w:color="auto"/>
            </w:tcBorders>
            <w:shd w:val="clear" w:color="auto" w:fill="auto"/>
          </w:tcPr>
          <w:p w:rsidR="001921C7" w:rsidRDefault="001921C7" w:rsidP="00CD60E3">
            <w:pPr>
              <w:jc w:val="both"/>
              <w:rPr>
                <w:rFonts w:ascii="Arial" w:hAnsi="Arial" w:cs="Arial"/>
                <w:sz w:val="20"/>
                <w:szCs w:val="20"/>
              </w:rPr>
            </w:pPr>
            <w:r w:rsidRPr="00CF2A8F">
              <w:rPr>
                <w:rFonts w:ascii="Arial" w:hAnsi="Arial" w:cs="Arial"/>
                <w:sz w:val="20"/>
                <w:szCs w:val="20"/>
              </w:rPr>
              <w:t xml:space="preserve">A multilateral reform of investment dispute settlement could not be carried out at the Member State level </w:t>
            </w:r>
            <w:r>
              <w:rPr>
                <w:rFonts w:ascii="Arial" w:hAnsi="Arial" w:cs="Arial"/>
                <w:sz w:val="20"/>
                <w:szCs w:val="20"/>
              </w:rPr>
              <w:t xml:space="preserve">inasmuch as it would fail to cover </w:t>
            </w:r>
            <w:r w:rsidRPr="00CF2A8F">
              <w:rPr>
                <w:rFonts w:ascii="Arial" w:hAnsi="Arial" w:cs="Arial"/>
                <w:sz w:val="20"/>
                <w:szCs w:val="20"/>
              </w:rPr>
              <w:t xml:space="preserve">all existing investment treaties, leaving out </w:t>
            </w:r>
            <w:r>
              <w:rPr>
                <w:rFonts w:ascii="Arial" w:hAnsi="Arial" w:cs="Arial"/>
                <w:sz w:val="20"/>
                <w:szCs w:val="20"/>
              </w:rPr>
              <w:t>those</w:t>
            </w:r>
            <w:r w:rsidRPr="00CF2A8F">
              <w:rPr>
                <w:rFonts w:ascii="Arial" w:hAnsi="Arial" w:cs="Arial"/>
                <w:sz w:val="20"/>
                <w:szCs w:val="20"/>
              </w:rPr>
              <w:t xml:space="preserve"> concluded by the EU. Member States do not have competence for all the matters that would be dealt with in this initiative</w:t>
            </w:r>
            <w:r>
              <w:rPr>
                <w:rFonts w:ascii="Arial" w:hAnsi="Arial" w:cs="Arial"/>
                <w:sz w:val="20"/>
                <w:szCs w:val="20"/>
              </w:rPr>
              <w:t xml:space="preserve">, which </w:t>
            </w:r>
            <w:r w:rsidRPr="00CF2A8F">
              <w:rPr>
                <w:rFonts w:ascii="Arial" w:hAnsi="Arial" w:cs="Arial"/>
                <w:sz w:val="20"/>
                <w:szCs w:val="20"/>
              </w:rPr>
              <w:t xml:space="preserve">are either of the exclusive or shared competence of the </w:t>
            </w:r>
            <w:r>
              <w:rPr>
                <w:rFonts w:ascii="Arial" w:hAnsi="Arial" w:cs="Arial"/>
                <w:sz w:val="20"/>
                <w:szCs w:val="20"/>
              </w:rPr>
              <w:t>EU</w:t>
            </w:r>
            <w:r w:rsidRPr="00CF2A8F">
              <w:rPr>
                <w:rFonts w:ascii="Arial" w:hAnsi="Arial" w:cs="Arial"/>
                <w:sz w:val="20"/>
                <w:szCs w:val="20"/>
              </w:rPr>
              <w:t>.</w:t>
            </w:r>
          </w:p>
        </w:tc>
      </w:tr>
      <w:tr w:rsidR="001921C7" w:rsidRPr="00486AF3" w:rsidTr="00CD60E3">
        <w:tc>
          <w:tcPr>
            <w:tcW w:w="10188" w:type="dxa"/>
            <w:tcBorders>
              <w:bottom w:val="single" w:sz="4" w:space="0" w:color="auto"/>
            </w:tcBorders>
            <w:shd w:val="clear" w:color="auto" w:fill="CCCCCC"/>
          </w:tcPr>
          <w:p w:rsidR="001921C7" w:rsidRPr="00FB0BF9" w:rsidRDefault="001921C7" w:rsidP="00CD60E3">
            <w:pPr>
              <w:spacing w:before="60" w:after="60"/>
              <w:jc w:val="center"/>
              <w:rPr>
                <w:rFonts w:ascii="Tahoma" w:hAnsi="Tahoma" w:cs="Tahoma"/>
                <w:b/>
                <w:sz w:val="22"/>
                <w:szCs w:val="22"/>
              </w:rPr>
            </w:pPr>
            <w:r w:rsidRPr="00FB0BF9">
              <w:rPr>
                <w:rFonts w:ascii="Tahoma" w:hAnsi="Tahoma" w:cs="Tahoma"/>
                <w:b/>
                <w:sz w:val="22"/>
                <w:szCs w:val="22"/>
              </w:rPr>
              <w:t>B. Solutions</w:t>
            </w:r>
          </w:p>
        </w:tc>
      </w:tr>
      <w:tr w:rsidR="001921C7" w:rsidRPr="00501394" w:rsidTr="00CD60E3">
        <w:tc>
          <w:tcPr>
            <w:tcW w:w="10188" w:type="dxa"/>
            <w:tcBorders>
              <w:bottom w:val="single" w:sz="4" w:space="0" w:color="auto"/>
            </w:tcBorders>
            <w:shd w:val="clear" w:color="auto" w:fill="E6E6E6"/>
          </w:tcPr>
          <w:p w:rsidR="001921C7" w:rsidRPr="00FB0BF9" w:rsidRDefault="001921C7" w:rsidP="00CD60E3">
            <w:pPr>
              <w:spacing w:before="60"/>
              <w:jc w:val="both"/>
              <w:rPr>
                <w:rFonts w:ascii="Tahoma" w:hAnsi="Tahoma" w:cs="Tahoma"/>
                <w:sz w:val="20"/>
                <w:szCs w:val="20"/>
              </w:rPr>
            </w:pPr>
            <w:r w:rsidRPr="00FB0BF9">
              <w:rPr>
                <w:rFonts w:ascii="Tahoma" w:hAnsi="Tahoma" w:cs="Tahoma"/>
                <w:b/>
                <w:sz w:val="20"/>
                <w:szCs w:val="20"/>
              </w:rPr>
              <w:t>What legislative and non-legislative policy options have been considered? Is there a preferred choice or not? Why?</w:t>
            </w:r>
            <w:r w:rsidRPr="00FB0BF9">
              <w:rPr>
                <w:rFonts w:ascii="Tahoma" w:hAnsi="Tahoma" w:cs="Tahoma"/>
                <w:sz w:val="20"/>
                <w:szCs w:val="20"/>
              </w:rPr>
              <w:t xml:space="preserve"> </w:t>
            </w:r>
          </w:p>
        </w:tc>
      </w:tr>
      <w:tr w:rsidR="001921C7" w:rsidRPr="00B230F2" w:rsidTr="00CD60E3">
        <w:tc>
          <w:tcPr>
            <w:tcW w:w="10188" w:type="dxa"/>
            <w:tcBorders>
              <w:bottom w:val="single" w:sz="4" w:space="0" w:color="auto"/>
            </w:tcBorders>
            <w:shd w:val="clear" w:color="auto" w:fill="auto"/>
          </w:tcPr>
          <w:p w:rsidR="001921C7" w:rsidRDefault="001921C7" w:rsidP="00CD60E3">
            <w:pPr>
              <w:jc w:val="both"/>
              <w:rPr>
                <w:rFonts w:ascii="Arial" w:hAnsi="Arial" w:cs="Arial"/>
                <w:sz w:val="20"/>
                <w:szCs w:val="20"/>
              </w:rPr>
            </w:pPr>
            <w:r>
              <w:rPr>
                <w:rFonts w:ascii="Arial" w:hAnsi="Arial" w:cs="Arial"/>
                <w:sz w:val="20"/>
                <w:szCs w:val="20"/>
              </w:rPr>
              <w:t xml:space="preserve">Option 1 (baseline scenario) means that </w:t>
            </w:r>
            <w:r w:rsidRPr="007E33F2">
              <w:rPr>
                <w:rFonts w:ascii="Arial" w:hAnsi="Arial" w:cs="Arial"/>
                <w:sz w:val="20"/>
                <w:szCs w:val="20"/>
              </w:rPr>
              <w:t>the EU would continue to negotiat</w:t>
            </w:r>
            <w:r>
              <w:rPr>
                <w:rFonts w:ascii="Arial" w:hAnsi="Arial" w:cs="Arial"/>
                <w:sz w:val="20"/>
                <w:szCs w:val="20"/>
              </w:rPr>
              <w:t>e</w:t>
            </w:r>
            <w:r w:rsidRPr="007E33F2">
              <w:rPr>
                <w:rFonts w:ascii="Arial" w:hAnsi="Arial" w:cs="Arial"/>
                <w:sz w:val="20"/>
                <w:szCs w:val="20"/>
              </w:rPr>
              <w:t xml:space="preserve"> </w:t>
            </w:r>
            <w:r w:rsidRPr="008B41A7">
              <w:rPr>
                <w:rFonts w:ascii="Arial" w:hAnsi="Arial" w:cs="Arial"/>
                <w:sz w:val="20"/>
                <w:szCs w:val="20"/>
              </w:rPr>
              <w:t>ICS</w:t>
            </w:r>
            <w:r>
              <w:rPr>
                <w:rFonts w:ascii="Arial" w:hAnsi="Arial" w:cs="Arial"/>
                <w:sz w:val="20"/>
                <w:szCs w:val="20"/>
              </w:rPr>
              <w:t>s</w:t>
            </w:r>
            <w:r w:rsidRPr="007E33F2">
              <w:rPr>
                <w:rFonts w:ascii="Arial" w:hAnsi="Arial" w:cs="Arial"/>
                <w:sz w:val="20"/>
                <w:szCs w:val="20"/>
              </w:rPr>
              <w:t xml:space="preserve"> in its </w:t>
            </w:r>
            <w:r>
              <w:rPr>
                <w:rFonts w:ascii="Arial" w:hAnsi="Arial" w:cs="Arial"/>
                <w:sz w:val="20"/>
                <w:szCs w:val="20"/>
              </w:rPr>
              <w:t>bilateral investment agreements</w:t>
            </w:r>
            <w:r w:rsidRPr="007E33F2">
              <w:rPr>
                <w:rFonts w:ascii="Arial" w:hAnsi="Arial" w:cs="Arial"/>
                <w:sz w:val="20"/>
                <w:szCs w:val="20"/>
              </w:rPr>
              <w:t xml:space="preserve"> while ISDS would continue to exist insofar as the treaties that utilise it have not been phased out.</w:t>
            </w:r>
          </w:p>
          <w:p w:rsidR="001921C7" w:rsidRDefault="001921C7" w:rsidP="00CD60E3">
            <w:pPr>
              <w:jc w:val="both"/>
              <w:rPr>
                <w:rFonts w:ascii="Arial" w:hAnsi="Arial" w:cs="Arial"/>
                <w:sz w:val="20"/>
                <w:szCs w:val="20"/>
              </w:rPr>
            </w:pPr>
            <w:r>
              <w:rPr>
                <w:rFonts w:ascii="Arial" w:hAnsi="Arial" w:cs="Arial"/>
                <w:sz w:val="20"/>
                <w:szCs w:val="20"/>
              </w:rPr>
              <w:t xml:space="preserve">Option 2 envisages that </w:t>
            </w:r>
            <w:r w:rsidRPr="000F244F">
              <w:rPr>
                <w:rFonts w:ascii="Arial" w:hAnsi="Arial" w:cs="Arial"/>
                <w:sz w:val="20"/>
                <w:szCs w:val="20"/>
              </w:rPr>
              <w:t xml:space="preserve">the EU and </w:t>
            </w:r>
            <w:r>
              <w:rPr>
                <w:rFonts w:ascii="Arial" w:hAnsi="Arial" w:cs="Arial"/>
                <w:sz w:val="20"/>
                <w:szCs w:val="20"/>
              </w:rPr>
              <w:t>the</w:t>
            </w:r>
            <w:r w:rsidRPr="000F244F">
              <w:rPr>
                <w:rFonts w:ascii="Arial" w:hAnsi="Arial" w:cs="Arial"/>
                <w:sz w:val="20"/>
                <w:szCs w:val="20"/>
              </w:rPr>
              <w:t xml:space="preserve"> Member States renegotiate Member States' </w:t>
            </w:r>
            <w:r>
              <w:rPr>
                <w:rFonts w:ascii="Arial" w:hAnsi="Arial" w:cs="Arial"/>
                <w:sz w:val="20"/>
                <w:szCs w:val="20"/>
              </w:rPr>
              <w:t>bilateral investment treaties</w:t>
            </w:r>
            <w:r w:rsidRPr="000F244F">
              <w:rPr>
                <w:rFonts w:ascii="Arial" w:hAnsi="Arial" w:cs="Arial"/>
                <w:sz w:val="20"/>
                <w:szCs w:val="20"/>
              </w:rPr>
              <w:t xml:space="preserve"> and the </w:t>
            </w:r>
            <w:r>
              <w:rPr>
                <w:rFonts w:ascii="Arial" w:hAnsi="Arial" w:cs="Arial"/>
                <w:sz w:val="20"/>
                <w:szCs w:val="20"/>
              </w:rPr>
              <w:t>Energy Charter Treaty (</w:t>
            </w:r>
            <w:r w:rsidRPr="000F244F">
              <w:rPr>
                <w:rFonts w:ascii="Arial" w:hAnsi="Arial" w:cs="Arial"/>
                <w:sz w:val="20"/>
                <w:szCs w:val="20"/>
              </w:rPr>
              <w:t>ECT</w:t>
            </w:r>
            <w:r>
              <w:rPr>
                <w:rFonts w:ascii="Arial" w:hAnsi="Arial" w:cs="Arial"/>
                <w:sz w:val="20"/>
                <w:szCs w:val="20"/>
              </w:rPr>
              <w:t>)</w:t>
            </w:r>
            <w:r w:rsidRPr="000F244F">
              <w:rPr>
                <w:rFonts w:ascii="Arial" w:hAnsi="Arial" w:cs="Arial"/>
                <w:sz w:val="20"/>
                <w:szCs w:val="20"/>
              </w:rPr>
              <w:t xml:space="preserve"> to align the dispute settlement provisions </w:t>
            </w:r>
            <w:r>
              <w:rPr>
                <w:rFonts w:ascii="Arial" w:hAnsi="Arial" w:cs="Arial"/>
                <w:sz w:val="20"/>
                <w:szCs w:val="20"/>
              </w:rPr>
              <w:t xml:space="preserve">therein </w:t>
            </w:r>
            <w:r w:rsidRPr="000F244F">
              <w:rPr>
                <w:rFonts w:ascii="Arial" w:hAnsi="Arial" w:cs="Arial"/>
                <w:sz w:val="20"/>
                <w:szCs w:val="20"/>
              </w:rPr>
              <w:t xml:space="preserve">with the </w:t>
            </w:r>
            <w:r>
              <w:rPr>
                <w:rFonts w:ascii="Arial" w:hAnsi="Arial" w:cs="Arial"/>
                <w:sz w:val="20"/>
                <w:szCs w:val="20"/>
              </w:rPr>
              <w:t>ICS.</w:t>
            </w:r>
          </w:p>
          <w:p w:rsidR="001921C7" w:rsidRDefault="001921C7" w:rsidP="00CD60E3">
            <w:pPr>
              <w:jc w:val="both"/>
              <w:rPr>
                <w:rFonts w:ascii="Arial" w:hAnsi="Arial" w:cs="Arial"/>
                <w:sz w:val="20"/>
                <w:szCs w:val="20"/>
              </w:rPr>
            </w:pPr>
            <w:r>
              <w:rPr>
                <w:rFonts w:ascii="Arial" w:hAnsi="Arial" w:cs="Arial"/>
                <w:sz w:val="20"/>
                <w:szCs w:val="20"/>
              </w:rPr>
              <w:t>Under Option 3, the</w:t>
            </w:r>
            <w:r w:rsidRPr="000F244F">
              <w:rPr>
                <w:rFonts w:ascii="Arial" w:hAnsi="Arial" w:cs="Arial"/>
                <w:sz w:val="20"/>
                <w:szCs w:val="20"/>
              </w:rPr>
              <w:t xml:space="preserve"> arbitration rules </w:t>
            </w:r>
            <w:r>
              <w:rPr>
                <w:rFonts w:ascii="Arial" w:hAnsi="Arial" w:cs="Arial"/>
                <w:sz w:val="20"/>
                <w:szCs w:val="20"/>
              </w:rPr>
              <w:t>governing</w:t>
            </w:r>
            <w:r w:rsidRPr="000F244F">
              <w:rPr>
                <w:rFonts w:ascii="Arial" w:hAnsi="Arial" w:cs="Arial"/>
                <w:sz w:val="20"/>
                <w:szCs w:val="20"/>
              </w:rPr>
              <w:t xml:space="preserve"> ISDS </w:t>
            </w:r>
            <w:r>
              <w:rPr>
                <w:rFonts w:ascii="Arial" w:hAnsi="Arial" w:cs="Arial"/>
                <w:sz w:val="20"/>
                <w:szCs w:val="20"/>
              </w:rPr>
              <w:t xml:space="preserve">would be reformed </w:t>
            </w:r>
            <w:r w:rsidRPr="000F244F">
              <w:rPr>
                <w:rFonts w:ascii="Arial" w:hAnsi="Arial" w:cs="Arial"/>
                <w:sz w:val="20"/>
                <w:szCs w:val="20"/>
              </w:rPr>
              <w:t xml:space="preserve">to </w:t>
            </w:r>
            <w:r>
              <w:rPr>
                <w:rFonts w:ascii="Arial" w:hAnsi="Arial" w:cs="Arial"/>
                <w:sz w:val="20"/>
                <w:szCs w:val="20"/>
              </w:rPr>
              <w:t>be in line</w:t>
            </w:r>
            <w:r w:rsidRPr="000F244F">
              <w:rPr>
                <w:rFonts w:ascii="Arial" w:hAnsi="Arial" w:cs="Arial"/>
                <w:sz w:val="20"/>
                <w:szCs w:val="20"/>
              </w:rPr>
              <w:t xml:space="preserve"> with the principles of ICS</w:t>
            </w:r>
            <w:r>
              <w:rPr>
                <w:rFonts w:ascii="Arial" w:hAnsi="Arial" w:cs="Arial"/>
                <w:sz w:val="20"/>
                <w:szCs w:val="20"/>
              </w:rPr>
              <w:t>.</w:t>
            </w:r>
          </w:p>
          <w:p w:rsidR="001921C7" w:rsidRDefault="001921C7" w:rsidP="00CD60E3">
            <w:pPr>
              <w:jc w:val="both"/>
              <w:rPr>
                <w:rFonts w:ascii="Arial" w:hAnsi="Arial" w:cs="Arial"/>
                <w:sz w:val="20"/>
                <w:szCs w:val="20"/>
              </w:rPr>
            </w:pPr>
            <w:r>
              <w:rPr>
                <w:rFonts w:ascii="Arial" w:hAnsi="Arial" w:cs="Arial"/>
                <w:sz w:val="20"/>
                <w:szCs w:val="20"/>
              </w:rPr>
              <w:t xml:space="preserve">Option 4 </w:t>
            </w:r>
            <w:r w:rsidRPr="00E73F4D">
              <w:rPr>
                <w:rFonts w:ascii="Arial" w:hAnsi="Arial" w:cs="Arial"/>
                <w:sz w:val="20"/>
                <w:szCs w:val="20"/>
              </w:rPr>
              <w:t>envisages the creation of a permanent multilateral appeal instance</w:t>
            </w:r>
            <w:r>
              <w:rPr>
                <w:rFonts w:ascii="Arial" w:hAnsi="Arial" w:cs="Arial"/>
                <w:sz w:val="20"/>
                <w:szCs w:val="20"/>
              </w:rPr>
              <w:t>.</w:t>
            </w:r>
          </w:p>
          <w:p w:rsidR="001921C7" w:rsidRDefault="001921C7" w:rsidP="00CD60E3">
            <w:pPr>
              <w:jc w:val="both"/>
              <w:rPr>
                <w:rFonts w:ascii="Arial" w:hAnsi="Arial" w:cs="Arial"/>
                <w:sz w:val="20"/>
                <w:szCs w:val="20"/>
              </w:rPr>
            </w:pPr>
            <w:r>
              <w:rPr>
                <w:rFonts w:ascii="Arial" w:hAnsi="Arial" w:cs="Arial"/>
                <w:sz w:val="20"/>
                <w:szCs w:val="20"/>
              </w:rPr>
              <w:t xml:space="preserve">Option 5 </w:t>
            </w:r>
            <w:r w:rsidRPr="00C730A3">
              <w:rPr>
                <w:rFonts w:ascii="Arial" w:hAnsi="Arial" w:cs="Arial"/>
                <w:sz w:val="20"/>
                <w:szCs w:val="20"/>
              </w:rPr>
              <w:t>foresees the creation of a permanent multilateral investment court.</w:t>
            </w:r>
            <w:r>
              <w:rPr>
                <w:rFonts w:ascii="Arial" w:hAnsi="Arial" w:cs="Arial"/>
                <w:sz w:val="20"/>
                <w:szCs w:val="20"/>
              </w:rPr>
              <w:t xml:space="preserve"> According to its preferred features, the court would include</w:t>
            </w:r>
            <w:r w:rsidRPr="0011322C">
              <w:rPr>
                <w:rFonts w:ascii="Arial" w:hAnsi="Arial" w:cs="Arial"/>
                <w:sz w:val="20"/>
                <w:szCs w:val="20"/>
              </w:rPr>
              <w:t xml:space="preserve"> a First Instance and an Appeal composed by </w:t>
            </w:r>
            <w:r>
              <w:rPr>
                <w:rFonts w:ascii="Arial" w:hAnsi="Arial" w:cs="Arial"/>
                <w:sz w:val="20"/>
                <w:szCs w:val="20"/>
              </w:rPr>
              <w:t>a number of adjudicators</w:t>
            </w:r>
            <w:r w:rsidRPr="0011322C">
              <w:rPr>
                <w:rFonts w:ascii="Arial" w:hAnsi="Arial" w:cs="Arial"/>
                <w:sz w:val="20"/>
                <w:szCs w:val="20"/>
              </w:rPr>
              <w:t xml:space="preserve"> to be determined by the workload. </w:t>
            </w:r>
            <w:r>
              <w:rPr>
                <w:rFonts w:ascii="Arial" w:hAnsi="Arial" w:cs="Arial"/>
                <w:sz w:val="20"/>
                <w:szCs w:val="20"/>
              </w:rPr>
              <w:t xml:space="preserve">They </w:t>
            </w:r>
            <w:r w:rsidRPr="0011322C">
              <w:rPr>
                <w:rFonts w:ascii="Arial" w:hAnsi="Arial" w:cs="Arial"/>
                <w:sz w:val="20"/>
                <w:szCs w:val="20"/>
              </w:rPr>
              <w:t xml:space="preserve">would be appointed for a fixed period of time </w:t>
            </w:r>
            <w:r>
              <w:rPr>
                <w:rFonts w:ascii="Arial" w:hAnsi="Arial" w:cs="Arial"/>
                <w:sz w:val="20"/>
                <w:szCs w:val="20"/>
              </w:rPr>
              <w:t>and</w:t>
            </w:r>
            <w:r w:rsidRPr="0011322C">
              <w:rPr>
                <w:rFonts w:ascii="Arial" w:hAnsi="Arial" w:cs="Arial"/>
                <w:sz w:val="20"/>
                <w:szCs w:val="20"/>
              </w:rPr>
              <w:t xml:space="preserve"> would </w:t>
            </w:r>
            <w:r>
              <w:rPr>
                <w:rFonts w:ascii="Arial" w:hAnsi="Arial" w:cs="Arial"/>
                <w:sz w:val="20"/>
                <w:szCs w:val="20"/>
              </w:rPr>
              <w:t>meet high qualification and ethical requirements. They would be</w:t>
            </w:r>
            <w:r w:rsidRPr="0011322C">
              <w:rPr>
                <w:rFonts w:ascii="Arial" w:hAnsi="Arial" w:cs="Arial"/>
                <w:sz w:val="20"/>
                <w:szCs w:val="20"/>
              </w:rPr>
              <w:t xml:space="preserve"> appointed by an independent body</w:t>
            </w:r>
            <w:r>
              <w:rPr>
                <w:rFonts w:ascii="Arial" w:hAnsi="Arial" w:cs="Arial"/>
                <w:sz w:val="20"/>
                <w:szCs w:val="20"/>
              </w:rPr>
              <w:t xml:space="preserve"> and hear cases allocated on a random basis. Resort to the Appeal Tribunal w</w:t>
            </w:r>
            <w:r w:rsidRPr="0011322C">
              <w:rPr>
                <w:rFonts w:ascii="Arial" w:hAnsi="Arial" w:cs="Arial"/>
                <w:sz w:val="20"/>
                <w:szCs w:val="20"/>
              </w:rPr>
              <w:t>ould be possible in cases of manifest errors in the appreciation of facts</w:t>
            </w:r>
            <w:r>
              <w:rPr>
                <w:rFonts w:ascii="Arial" w:hAnsi="Arial" w:cs="Arial"/>
                <w:sz w:val="20"/>
                <w:szCs w:val="20"/>
              </w:rPr>
              <w:t>, in addition to</w:t>
            </w:r>
            <w:r w:rsidRPr="0011322C">
              <w:rPr>
                <w:rFonts w:ascii="Arial" w:hAnsi="Arial" w:cs="Arial"/>
                <w:sz w:val="20"/>
                <w:szCs w:val="20"/>
              </w:rPr>
              <w:t xml:space="preserve"> procedural errors and substantial errors of law. </w:t>
            </w:r>
            <w:r>
              <w:rPr>
                <w:rFonts w:ascii="Arial" w:hAnsi="Arial" w:cs="Arial"/>
                <w:sz w:val="20"/>
                <w:szCs w:val="20"/>
              </w:rPr>
              <w:t>The court would rely on a secretariat and states would be able to become Contracting Parties as per an opt-in system.</w:t>
            </w:r>
            <w:r w:rsidRPr="0011322C">
              <w:rPr>
                <w:rFonts w:ascii="Arial" w:hAnsi="Arial" w:cs="Arial"/>
                <w:sz w:val="20"/>
                <w:szCs w:val="20"/>
              </w:rPr>
              <w:t xml:space="preserve"> </w:t>
            </w:r>
            <w:r>
              <w:rPr>
                <w:rFonts w:ascii="Arial" w:hAnsi="Arial" w:cs="Arial"/>
                <w:sz w:val="20"/>
                <w:szCs w:val="20"/>
              </w:rPr>
              <w:t>Possible assistance to</w:t>
            </w:r>
            <w:r w:rsidRPr="0011322C">
              <w:rPr>
                <w:rFonts w:ascii="Arial" w:hAnsi="Arial" w:cs="Arial"/>
                <w:sz w:val="20"/>
                <w:szCs w:val="20"/>
              </w:rPr>
              <w:t xml:space="preserve"> SMEs and developing countries</w:t>
            </w:r>
            <w:r>
              <w:rPr>
                <w:rFonts w:ascii="Arial" w:hAnsi="Arial" w:cs="Arial"/>
                <w:sz w:val="20"/>
                <w:szCs w:val="20"/>
              </w:rPr>
              <w:t xml:space="preserve"> should be considered</w:t>
            </w:r>
            <w:r w:rsidRPr="0011322C">
              <w:rPr>
                <w:rFonts w:ascii="Arial" w:hAnsi="Arial" w:cs="Arial"/>
                <w:sz w:val="20"/>
                <w:szCs w:val="20"/>
              </w:rPr>
              <w:t>.</w:t>
            </w:r>
            <w:r>
              <w:rPr>
                <w:rFonts w:ascii="Arial" w:hAnsi="Arial" w:cs="Arial"/>
                <w:sz w:val="20"/>
                <w:szCs w:val="20"/>
              </w:rPr>
              <w:t xml:space="preserve"> Costs should be allocated according to Contracting Parties' level of development and the possibility to charge user fees should not be excluded. </w:t>
            </w:r>
          </w:p>
          <w:p w:rsidR="001921C7" w:rsidRDefault="001921C7" w:rsidP="00CD60E3">
            <w:pPr>
              <w:jc w:val="both"/>
              <w:rPr>
                <w:rFonts w:ascii="Arial" w:hAnsi="Arial" w:cs="Arial"/>
                <w:sz w:val="20"/>
                <w:szCs w:val="20"/>
              </w:rPr>
            </w:pPr>
            <w:r>
              <w:rPr>
                <w:rFonts w:ascii="Arial" w:hAnsi="Arial" w:cs="Arial"/>
                <w:sz w:val="20"/>
                <w:szCs w:val="20"/>
              </w:rPr>
              <w:t>Option 6 implies the</w:t>
            </w:r>
            <w:r w:rsidRPr="00C730A3">
              <w:rPr>
                <w:rFonts w:ascii="Arial" w:hAnsi="Arial" w:cs="Arial"/>
                <w:sz w:val="20"/>
                <w:szCs w:val="20"/>
              </w:rPr>
              <w:t xml:space="preserve"> negotiat</w:t>
            </w:r>
            <w:r>
              <w:rPr>
                <w:rFonts w:ascii="Arial" w:hAnsi="Arial" w:cs="Arial"/>
                <w:sz w:val="20"/>
                <w:szCs w:val="20"/>
              </w:rPr>
              <w:t>ion of</w:t>
            </w:r>
            <w:r w:rsidRPr="00C730A3">
              <w:rPr>
                <w:rFonts w:ascii="Arial" w:hAnsi="Arial" w:cs="Arial"/>
                <w:sz w:val="20"/>
                <w:szCs w:val="20"/>
              </w:rPr>
              <w:t xml:space="preserve"> multilateral substantive rules on investment protection as a wider framework for the negotiation of multilateral dispute settlement provisions.</w:t>
            </w:r>
          </w:p>
          <w:p w:rsidR="001921C7" w:rsidRDefault="001921C7" w:rsidP="00CD60E3">
            <w:pPr>
              <w:jc w:val="both"/>
              <w:rPr>
                <w:rFonts w:ascii="Arial" w:hAnsi="Arial" w:cs="Arial"/>
                <w:sz w:val="20"/>
                <w:szCs w:val="20"/>
              </w:rPr>
            </w:pPr>
            <w:r>
              <w:rPr>
                <w:rFonts w:ascii="Arial" w:hAnsi="Arial" w:cs="Arial"/>
                <w:sz w:val="20"/>
                <w:szCs w:val="20"/>
              </w:rPr>
              <w:t xml:space="preserve">Option 7 foresees </w:t>
            </w:r>
            <w:r w:rsidRPr="001F224D">
              <w:rPr>
                <w:rFonts w:ascii="Arial" w:hAnsi="Arial" w:cs="Arial"/>
                <w:sz w:val="20"/>
                <w:szCs w:val="20"/>
              </w:rPr>
              <w:t xml:space="preserve">improving ISDS in bilateral EU investment agreements and in </w:t>
            </w:r>
            <w:r>
              <w:rPr>
                <w:rFonts w:ascii="Arial" w:hAnsi="Arial" w:cs="Arial"/>
                <w:sz w:val="20"/>
                <w:szCs w:val="20"/>
              </w:rPr>
              <w:t xml:space="preserve">the </w:t>
            </w:r>
            <w:r w:rsidRPr="001F224D">
              <w:rPr>
                <w:rFonts w:ascii="Arial" w:hAnsi="Arial" w:cs="Arial"/>
                <w:sz w:val="20"/>
                <w:szCs w:val="20"/>
              </w:rPr>
              <w:t>ECT</w:t>
            </w:r>
            <w:r w:rsidRPr="00E9670E">
              <w:rPr>
                <w:rFonts w:ascii="Arial" w:hAnsi="Arial" w:cs="Arial"/>
                <w:sz w:val="20"/>
                <w:szCs w:val="20"/>
              </w:rPr>
              <w:t>.</w:t>
            </w:r>
          </w:p>
          <w:p w:rsidR="001921C7" w:rsidRPr="00FB0BF9" w:rsidRDefault="001921C7" w:rsidP="00CD60E3">
            <w:pPr>
              <w:jc w:val="both"/>
              <w:rPr>
                <w:rFonts w:ascii="Arial" w:hAnsi="Arial" w:cs="Arial"/>
                <w:sz w:val="20"/>
                <w:szCs w:val="20"/>
              </w:rPr>
            </w:pPr>
            <w:r>
              <w:rPr>
                <w:rFonts w:ascii="Arial" w:hAnsi="Arial" w:cs="Arial"/>
                <w:sz w:val="20"/>
                <w:szCs w:val="20"/>
              </w:rPr>
              <w:t xml:space="preserve">Under Option 8, </w:t>
            </w:r>
            <w:r w:rsidRPr="008B41A7">
              <w:rPr>
                <w:rFonts w:ascii="Arial" w:hAnsi="Arial" w:cs="Arial"/>
                <w:sz w:val="20"/>
                <w:szCs w:val="20"/>
              </w:rPr>
              <w:t xml:space="preserve">ISDS </w:t>
            </w:r>
            <w:r>
              <w:rPr>
                <w:rFonts w:ascii="Arial" w:hAnsi="Arial" w:cs="Arial"/>
                <w:sz w:val="20"/>
                <w:szCs w:val="20"/>
              </w:rPr>
              <w:t xml:space="preserve">would be phased </w:t>
            </w:r>
            <w:r w:rsidRPr="008B41A7">
              <w:rPr>
                <w:rFonts w:ascii="Arial" w:hAnsi="Arial" w:cs="Arial"/>
                <w:sz w:val="20"/>
                <w:szCs w:val="20"/>
              </w:rPr>
              <w:t xml:space="preserve">out and disputes between foreign investors and host states </w:t>
            </w:r>
            <w:r>
              <w:rPr>
                <w:rFonts w:ascii="Arial" w:hAnsi="Arial" w:cs="Arial"/>
                <w:sz w:val="20"/>
                <w:szCs w:val="20"/>
              </w:rPr>
              <w:t xml:space="preserve">would </w:t>
            </w:r>
            <w:r w:rsidRPr="008B41A7">
              <w:rPr>
                <w:rFonts w:ascii="Arial" w:hAnsi="Arial" w:cs="Arial"/>
                <w:sz w:val="20"/>
                <w:szCs w:val="20"/>
              </w:rPr>
              <w:t>be decided by the domestic courts of the host state.</w:t>
            </w:r>
            <w:r>
              <w:rPr>
                <w:rFonts w:ascii="Arial" w:hAnsi="Arial" w:cs="Arial"/>
                <w:sz w:val="20"/>
                <w:szCs w:val="20"/>
              </w:rPr>
              <w:t xml:space="preserve"> </w:t>
            </w:r>
          </w:p>
        </w:tc>
      </w:tr>
      <w:tr w:rsidR="001921C7" w:rsidRPr="00B230F2" w:rsidTr="00CD60E3">
        <w:tc>
          <w:tcPr>
            <w:tcW w:w="10188" w:type="dxa"/>
            <w:shd w:val="clear" w:color="auto" w:fill="CCCCCC"/>
          </w:tcPr>
          <w:p w:rsidR="001921C7" w:rsidRPr="00FB0BF9" w:rsidRDefault="001921C7" w:rsidP="00CD60E3">
            <w:pPr>
              <w:spacing w:before="60"/>
              <w:jc w:val="both"/>
              <w:rPr>
                <w:rFonts w:ascii="Tahoma" w:hAnsi="Tahoma" w:cs="Tahoma"/>
                <w:sz w:val="20"/>
                <w:szCs w:val="20"/>
              </w:rPr>
            </w:pPr>
            <w:r w:rsidRPr="00FB0BF9">
              <w:rPr>
                <w:rFonts w:ascii="Tahoma" w:hAnsi="Tahoma" w:cs="Tahoma"/>
                <w:b/>
                <w:sz w:val="20"/>
                <w:szCs w:val="20"/>
              </w:rPr>
              <w:t>Who supports which option?</w:t>
            </w:r>
            <w:r w:rsidRPr="00FB0BF9">
              <w:rPr>
                <w:rFonts w:ascii="Tahoma" w:hAnsi="Tahoma" w:cs="Tahoma"/>
                <w:sz w:val="20"/>
                <w:szCs w:val="20"/>
              </w:rPr>
              <w:t xml:space="preserve"> </w:t>
            </w:r>
          </w:p>
        </w:tc>
      </w:tr>
      <w:tr w:rsidR="001921C7" w:rsidRPr="00B230F2" w:rsidTr="00CD60E3">
        <w:tc>
          <w:tcPr>
            <w:tcW w:w="10188" w:type="dxa"/>
            <w:shd w:val="clear" w:color="auto" w:fill="auto"/>
          </w:tcPr>
          <w:p w:rsidR="001921C7" w:rsidRPr="00CC4844" w:rsidRDefault="001921C7" w:rsidP="00CD60E3">
            <w:pPr>
              <w:jc w:val="both"/>
            </w:pPr>
            <w:r>
              <w:rPr>
                <w:rFonts w:ascii="Arial" w:hAnsi="Arial" w:cs="Arial"/>
                <w:sz w:val="20"/>
                <w:szCs w:val="20"/>
              </w:rPr>
              <w:t xml:space="preserve">The non-profit sector broadly supports the principles that underpin the option to establish a permanent multilateral investment court, notably permanency, independence and detachment of adjudicators from the disputing parties. Business groups see the potential of this option but are concerned that the new regime for the appointment of adjudicators may lead to a loss of valuable expertise and that the possibility to appeal may prolong proceedings. Academia and legal practitioners are generally in favour of reforming the current system so that it is in line with the principles of domestic and international judicial systems. </w:t>
            </w:r>
          </w:p>
        </w:tc>
      </w:tr>
      <w:tr w:rsidR="001921C7" w:rsidRPr="00486AF3" w:rsidTr="00CD60E3">
        <w:tc>
          <w:tcPr>
            <w:tcW w:w="10188" w:type="dxa"/>
            <w:tcBorders>
              <w:bottom w:val="single" w:sz="4" w:space="0" w:color="auto"/>
            </w:tcBorders>
            <w:shd w:val="clear" w:color="auto" w:fill="CCCCCC"/>
          </w:tcPr>
          <w:p w:rsidR="001921C7" w:rsidRPr="00FB0BF9" w:rsidRDefault="001921C7" w:rsidP="00CD60E3">
            <w:pPr>
              <w:spacing w:before="60" w:after="60"/>
              <w:jc w:val="center"/>
              <w:rPr>
                <w:rFonts w:ascii="Tahoma" w:hAnsi="Tahoma" w:cs="Tahoma"/>
                <w:b/>
                <w:sz w:val="22"/>
                <w:szCs w:val="22"/>
              </w:rPr>
            </w:pPr>
            <w:r w:rsidRPr="00FB0BF9">
              <w:rPr>
                <w:rFonts w:ascii="Tahoma" w:hAnsi="Tahoma" w:cs="Tahoma"/>
                <w:b/>
                <w:sz w:val="22"/>
                <w:szCs w:val="22"/>
              </w:rPr>
              <w:t>C. Impacts of the preferred option</w:t>
            </w:r>
          </w:p>
        </w:tc>
      </w:tr>
      <w:tr w:rsidR="001921C7" w:rsidRPr="00501394" w:rsidTr="00CD60E3">
        <w:tc>
          <w:tcPr>
            <w:tcW w:w="10188" w:type="dxa"/>
            <w:tcBorders>
              <w:bottom w:val="single" w:sz="4" w:space="0" w:color="auto"/>
            </w:tcBorders>
            <w:shd w:val="clear" w:color="auto" w:fill="E6E6E6"/>
          </w:tcPr>
          <w:p w:rsidR="001921C7" w:rsidRPr="00FB0BF9" w:rsidRDefault="001921C7" w:rsidP="00CD60E3">
            <w:pPr>
              <w:spacing w:before="60" w:after="60"/>
              <w:jc w:val="both"/>
              <w:rPr>
                <w:rFonts w:ascii="Tahoma" w:hAnsi="Tahoma" w:cs="Tahoma"/>
                <w:sz w:val="20"/>
                <w:szCs w:val="20"/>
              </w:rPr>
            </w:pPr>
            <w:r w:rsidRPr="00FB0BF9">
              <w:rPr>
                <w:rFonts w:ascii="Tahoma" w:hAnsi="Tahoma" w:cs="Tahoma"/>
                <w:b/>
                <w:sz w:val="20"/>
                <w:szCs w:val="20"/>
              </w:rPr>
              <w:t>What are the benefits of the preferred option (if any, otherwise main ones)?</w:t>
            </w:r>
            <w:r w:rsidRPr="00FB0BF9">
              <w:rPr>
                <w:rFonts w:ascii="Tahoma" w:hAnsi="Tahoma" w:cs="Tahoma"/>
                <w:sz w:val="20"/>
                <w:szCs w:val="20"/>
              </w:rPr>
              <w:t xml:space="preserve"> </w:t>
            </w:r>
          </w:p>
        </w:tc>
      </w:tr>
      <w:tr w:rsidR="001921C7" w:rsidRPr="00B230F2" w:rsidTr="00CD60E3">
        <w:tc>
          <w:tcPr>
            <w:tcW w:w="10188" w:type="dxa"/>
            <w:tcBorders>
              <w:bottom w:val="single" w:sz="4" w:space="0" w:color="auto"/>
            </w:tcBorders>
            <w:shd w:val="clear" w:color="auto" w:fill="auto"/>
          </w:tcPr>
          <w:p w:rsidR="001921C7" w:rsidRDefault="001921C7" w:rsidP="00CD60E3">
            <w:pPr>
              <w:jc w:val="both"/>
              <w:rPr>
                <w:rFonts w:ascii="Arial" w:hAnsi="Arial" w:cs="Arial"/>
                <w:sz w:val="20"/>
                <w:szCs w:val="20"/>
              </w:rPr>
            </w:pPr>
            <w:r>
              <w:rPr>
                <w:rFonts w:ascii="Arial" w:hAnsi="Arial" w:cs="Arial"/>
                <w:sz w:val="20"/>
                <w:szCs w:val="20"/>
              </w:rPr>
              <w:t xml:space="preserve">The </w:t>
            </w:r>
            <w:r w:rsidRPr="00292FF9">
              <w:rPr>
                <w:rFonts w:ascii="Arial" w:hAnsi="Arial" w:cs="Arial"/>
                <w:sz w:val="20"/>
                <w:szCs w:val="20"/>
              </w:rPr>
              <w:t xml:space="preserve">establishment of a multilateral investment dispute settlement </w:t>
            </w:r>
            <w:r w:rsidRPr="00D655C3">
              <w:rPr>
                <w:rFonts w:ascii="Arial" w:hAnsi="Arial" w:cs="Arial"/>
                <w:sz w:val="20"/>
                <w:szCs w:val="20"/>
              </w:rPr>
              <w:t>mechanism</w:t>
            </w:r>
            <w:r w:rsidRPr="00292FF9">
              <w:rPr>
                <w:rFonts w:ascii="Arial" w:hAnsi="Arial" w:cs="Arial"/>
                <w:sz w:val="20"/>
                <w:szCs w:val="20"/>
              </w:rPr>
              <w:t xml:space="preserve"> featuring the preferred sub-options</w:t>
            </w:r>
            <w:r>
              <w:rPr>
                <w:rFonts w:ascii="Arial" w:hAnsi="Arial" w:cs="Arial"/>
                <w:sz w:val="20"/>
                <w:szCs w:val="20"/>
              </w:rPr>
              <w:t xml:space="preserve"> would bring added legitimacy to investment dispute resolution by detaching adjudicators from the disputing parties and safeguarding their independence. Proceedings would be streamlined thereby saving costs to investors and states. The permanency of the </w:t>
            </w:r>
            <w:r w:rsidRPr="00D655C3">
              <w:rPr>
                <w:rFonts w:ascii="Arial" w:hAnsi="Arial" w:cs="Arial"/>
                <w:sz w:val="20"/>
                <w:szCs w:val="20"/>
              </w:rPr>
              <w:t>court</w:t>
            </w:r>
            <w:r>
              <w:rPr>
                <w:rFonts w:ascii="Arial" w:hAnsi="Arial" w:cs="Arial"/>
                <w:sz w:val="20"/>
                <w:szCs w:val="20"/>
              </w:rPr>
              <w:t xml:space="preserve"> would contribute to</w:t>
            </w:r>
            <w:r w:rsidRPr="004D241F">
              <w:rPr>
                <w:rFonts w:ascii="Arial" w:hAnsi="Arial" w:cs="Arial"/>
                <w:sz w:val="20"/>
                <w:szCs w:val="20"/>
              </w:rPr>
              <w:t xml:space="preserve"> </w:t>
            </w:r>
            <w:r>
              <w:rPr>
                <w:rFonts w:ascii="Arial" w:hAnsi="Arial" w:cs="Arial"/>
                <w:sz w:val="20"/>
                <w:szCs w:val="20"/>
              </w:rPr>
              <w:t>greater</w:t>
            </w:r>
            <w:r w:rsidRPr="004D241F">
              <w:rPr>
                <w:rFonts w:ascii="Arial" w:hAnsi="Arial" w:cs="Arial"/>
                <w:sz w:val="20"/>
                <w:szCs w:val="20"/>
              </w:rPr>
              <w:t xml:space="preserve"> predictability of case-law</w:t>
            </w:r>
            <w:r>
              <w:rPr>
                <w:rFonts w:ascii="Arial" w:hAnsi="Arial" w:cs="Arial"/>
                <w:sz w:val="20"/>
                <w:szCs w:val="20"/>
              </w:rPr>
              <w:t xml:space="preserve"> which would also</w:t>
            </w:r>
            <w:r w:rsidRPr="004D241F">
              <w:rPr>
                <w:rFonts w:ascii="Arial" w:hAnsi="Arial" w:cs="Arial"/>
                <w:sz w:val="20"/>
                <w:szCs w:val="20"/>
              </w:rPr>
              <w:t xml:space="preserve"> contribute to faster decisions</w:t>
            </w:r>
            <w:r>
              <w:rPr>
                <w:rFonts w:ascii="Arial" w:hAnsi="Arial" w:cs="Arial"/>
                <w:sz w:val="20"/>
                <w:szCs w:val="20"/>
              </w:rPr>
              <w:t xml:space="preserve"> and may indeed avoid disputes in the first place. The appeal instance would contribute to legal correctness and promote consistency. </w:t>
            </w:r>
          </w:p>
          <w:p w:rsidR="001921C7" w:rsidRPr="001613E7" w:rsidRDefault="001921C7" w:rsidP="00CD60E3">
            <w:pPr>
              <w:jc w:val="both"/>
              <w:rPr>
                <w:rFonts w:ascii="Arial" w:hAnsi="Arial" w:cs="Arial"/>
                <w:sz w:val="20"/>
                <w:szCs w:val="20"/>
              </w:rPr>
            </w:pPr>
            <w:r w:rsidRPr="00363D29">
              <w:rPr>
                <w:rFonts w:ascii="Arial" w:hAnsi="Arial" w:cs="Arial"/>
                <w:sz w:val="20"/>
                <w:szCs w:val="20"/>
              </w:rPr>
              <w:t xml:space="preserve">The multilateral investment </w:t>
            </w:r>
            <w:r w:rsidRPr="00D655C3">
              <w:rPr>
                <w:rFonts w:ascii="Arial" w:hAnsi="Arial" w:cs="Arial"/>
                <w:sz w:val="20"/>
                <w:szCs w:val="20"/>
              </w:rPr>
              <w:t>court</w:t>
            </w:r>
            <w:r w:rsidRPr="00363D29">
              <w:rPr>
                <w:rFonts w:ascii="Arial" w:hAnsi="Arial" w:cs="Arial"/>
                <w:sz w:val="20"/>
                <w:szCs w:val="20"/>
              </w:rPr>
              <w:t xml:space="preserve"> would address at </w:t>
            </w:r>
            <w:r>
              <w:rPr>
                <w:rFonts w:ascii="Arial" w:hAnsi="Arial" w:cs="Arial"/>
                <w:sz w:val="20"/>
                <w:szCs w:val="20"/>
              </w:rPr>
              <w:t xml:space="preserve">the </w:t>
            </w:r>
            <w:r w:rsidRPr="00363D29">
              <w:rPr>
                <w:rFonts w:ascii="Arial" w:hAnsi="Arial" w:cs="Arial"/>
                <w:sz w:val="20"/>
                <w:szCs w:val="20"/>
              </w:rPr>
              <w:t xml:space="preserve">global level issues raised by ISDS </w:t>
            </w:r>
            <w:r>
              <w:rPr>
                <w:rFonts w:ascii="Arial" w:hAnsi="Arial" w:cs="Arial"/>
                <w:sz w:val="20"/>
                <w:szCs w:val="20"/>
              </w:rPr>
              <w:t>that</w:t>
            </w:r>
            <w:r w:rsidRPr="00363D29">
              <w:rPr>
                <w:rFonts w:ascii="Arial" w:hAnsi="Arial" w:cs="Arial"/>
                <w:sz w:val="20"/>
                <w:szCs w:val="20"/>
              </w:rPr>
              <w:t xml:space="preserve"> are</w:t>
            </w:r>
            <w:r>
              <w:rPr>
                <w:rFonts w:ascii="Arial" w:hAnsi="Arial" w:cs="Arial"/>
                <w:sz w:val="20"/>
                <w:szCs w:val="20"/>
              </w:rPr>
              <w:t xml:space="preserve"> only</w:t>
            </w:r>
            <w:r w:rsidRPr="00363D29">
              <w:rPr>
                <w:rFonts w:ascii="Arial" w:hAnsi="Arial" w:cs="Arial"/>
                <w:sz w:val="20"/>
                <w:szCs w:val="20"/>
              </w:rPr>
              <w:t xml:space="preserve"> addressed by the ICS at</w:t>
            </w:r>
            <w:r>
              <w:rPr>
                <w:rFonts w:ascii="Arial" w:hAnsi="Arial" w:cs="Arial"/>
                <w:sz w:val="20"/>
                <w:szCs w:val="20"/>
              </w:rPr>
              <w:t xml:space="preserve"> the</w:t>
            </w:r>
            <w:r w:rsidRPr="00363D29">
              <w:rPr>
                <w:rFonts w:ascii="Arial" w:hAnsi="Arial" w:cs="Arial"/>
                <w:sz w:val="20"/>
                <w:szCs w:val="20"/>
              </w:rPr>
              <w:t xml:space="preserve"> bilateral level.</w:t>
            </w:r>
            <w:r>
              <w:rPr>
                <w:rFonts w:ascii="Arial" w:hAnsi="Arial" w:cs="Arial"/>
                <w:sz w:val="20"/>
                <w:szCs w:val="20"/>
              </w:rPr>
              <w:t xml:space="preserve"> It </w:t>
            </w:r>
            <w:r w:rsidRPr="00363D29">
              <w:rPr>
                <w:rFonts w:ascii="Arial" w:hAnsi="Arial" w:cs="Arial"/>
                <w:sz w:val="20"/>
                <w:szCs w:val="20"/>
              </w:rPr>
              <w:t>would promot</w:t>
            </w:r>
            <w:r>
              <w:rPr>
                <w:rFonts w:ascii="Arial" w:hAnsi="Arial" w:cs="Arial"/>
                <w:sz w:val="20"/>
                <w:szCs w:val="20"/>
              </w:rPr>
              <w:t>e</w:t>
            </w:r>
            <w:r w:rsidRPr="00363D29">
              <w:rPr>
                <w:rFonts w:ascii="Arial" w:hAnsi="Arial" w:cs="Arial"/>
                <w:sz w:val="20"/>
                <w:szCs w:val="20"/>
              </w:rPr>
              <w:t xml:space="preserve"> strong multilateral cooperation and good g</w:t>
            </w:r>
            <w:r>
              <w:rPr>
                <w:rFonts w:ascii="Arial" w:hAnsi="Arial" w:cs="Arial"/>
                <w:sz w:val="20"/>
                <w:szCs w:val="20"/>
              </w:rPr>
              <w:t>lobal governance, inasmuch as the court</w:t>
            </w:r>
            <w:r w:rsidRPr="00363D29">
              <w:rPr>
                <w:rFonts w:ascii="Arial" w:hAnsi="Arial" w:cs="Arial"/>
                <w:sz w:val="20"/>
                <w:szCs w:val="20"/>
              </w:rPr>
              <w:t xml:space="preserve"> would </w:t>
            </w:r>
            <w:r>
              <w:rPr>
                <w:rFonts w:ascii="Arial" w:hAnsi="Arial" w:cs="Arial"/>
                <w:sz w:val="20"/>
                <w:szCs w:val="20"/>
              </w:rPr>
              <w:t>aim to</w:t>
            </w:r>
            <w:r w:rsidRPr="00363D29">
              <w:rPr>
                <w:rFonts w:ascii="Arial" w:hAnsi="Arial" w:cs="Arial"/>
                <w:sz w:val="20"/>
                <w:szCs w:val="20"/>
              </w:rPr>
              <w:t xml:space="preserve"> </w:t>
            </w:r>
            <w:r>
              <w:rPr>
                <w:rFonts w:ascii="Arial" w:hAnsi="Arial" w:cs="Arial"/>
                <w:sz w:val="20"/>
                <w:szCs w:val="20"/>
              </w:rPr>
              <w:t>secure</w:t>
            </w:r>
            <w:r w:rsidRPr="00363D29">
              <w:rPr>
                <w:rFonts w:ascii="Arial" w:hAnsi="Arial" w:cs="Arial"/>
                <w:sz w:val="20"/>
                <w:szCs w:val="20"/>
              </w:rPr>
              <w:t xml:space="preserve"> inclusiveness of all i</w:t>
            </w:r>
            <w:r>
              <w:rPr>
                <w:rFonts w:ascii="Arial" w:hAnsi="Arial" w:cs="Arial"/>
                <w:sz w:val="20"/>
                <w:szCs w:val="20"/>
              </w:rPr>
              <w:t>nterested countries and ensure</w:t>
            </w:r>
            <w:r w:rsidRPr="00363D29">
              <w:rPr>
                <w:rFonts w:ascii="Arial" w:hAnsi="Arial" w:cs="Arial"/>
                <w:sz w:val="20"/>
                <w:szCs w:val="20"/>
              </w:rPr>
              <w:t xml:space="preserve"> that countries' level of development not be an obsta</w:t>
            </w:r>
            <w:r>
              <w:rPr>
                <w:rFonts w:ascii="Arial" w:hAnsi="Arial" w:cs="Arial"/>
                <w:sz w:val="20"/>
                <w:szCs w:val="20"/>
              </w:rPr>
              <w:t>cle to an effective use of the c</w:t>
            </w:r>
            <w:r w:rsidRPr="00363D29">
              <w:rPr>
                <w:rFonts w:ascii="Arial" w:hAnsi="Arial" w:cs="Arial"/>
                <w:sz w:val="20"/>
                <w:szCs w:val="20"/>
              </w:rPr>
              <w:t>ourt</w:t>
            </w:r>
            <w:r>
              <w:rPr>
                <w:rFonts w:ascii="Arial" w:hAnsi="Arial" w:cs="Arial"/>
                <w:sz w:val="20"/>
                <w:szCs w:val="20"/>
              </w:rPr>
              <w:t xml:space="preserve">. It would </w:t>
            </w:r>
            <w:r w:rsidRPr="00363D29">
              <w:rPr>
                <w:rFonts w:ascii="Arial" w:hAnsi="Arial" w:cs="Arial"/>
                <w:sz w:val="20"/>
                <w:szCs w:val="20"/>
              </w:rPr>
              <w:t>simplif</w:t>
            </w:r>
            <w:r>
              <w:rPr>
                <w:rFonts w:ascii="Arial" w:hAnsi="Arial" w:cs="Arial"/>
                <w:sz w:val="20"/>
                <w:szCs w:val="20"/>
              </w:rPr>
              <w:t>y</w:t>
            </w:r>
            <w:r w:rsidRPr="00363D29">
              <w:rPr>
                <w:rFonts w:ascii="Arial" w:hAnsi="Arial" w:cs="Arial"/>
                <w:sz w:val="20"/>
                <w:szCs w:val="20"/>
              </w:rPr>
              <w:t xml:space="preserve"> EU policy-making</w:t>
            </w:r>
            <w:r>
              <w:rPr>
                <w:rFonts w:ascii="Arial" w:hAnsi="Arial" w:cs="Arial"/>
                <w:sz w:val="20"/>
                <w:szCs w:val="20"/>
              </w:rPr>
              <w:t xml:space="preserve"> since it would progressively replace </w:t>
            </w:r>
            <w:r w:rsidRPr="00363D29">
              <w:rPr>
                <w:rFonts w:ascii="Arial" w:hAnsi="Arial" w:cs="Arial"/>
                <w:sz w:val="20"/>
                <w:szCs w:val="20"/>
              </w:rPr>
              <w:t>bilateral ICSs that will have been included in EU agreements and ISDS mechanisms included in investment treaties of Member States</w:t>
            </w:r>
            <w:r>
              <w:rPr>
                <w:rFonts w:ascii="Arial" w:hAnsi="Arial" w:cs="Arial"/>
                <w:sz w:val="20"/>
                <w:szCs w:val="20"/>
              </w:rPr>
              <w:t>.</w:t>
            </w:r>
          </w:p>
        </w:tc>
      </w:tr>
      <w:tr w:rsidR="001921C7" w:rsidRPr="00501394" w:rsidTr="00CD60E3">
        <w:tc>
          <w:tcPr>
            <w:tcW w:w="10188" w:type="dxa"/>
            <w:tcBorders>
              <w:bottom w:val="single" w:sz="4" w:space="0" w:color="auto"/>
            </w:tcBorders>
            <w:shd w:val="clear" w:color="auto" w:fill="E6E6E6"/>
          </w:tcPr>
          <w:p w:rsidR="001921C7" w:rsidRPr="005A1A34" w:rsidRDefault="001921C7" w:rsidP="00CD60E3">
            <w:pPr>
              <w:spacing w:before="60" w:after="60"/>
              <w:jc w:val="both"/>
              <w:rPr>
                <w:rFonts w:ascii="Tahoma" w:hAnsi="Tahoma" w:cs="Tahoma"/>
                <w:sz w:val="20"/>
                <w:szCs w:val="20"/>
              </w:rPr>
            </w:pPr>
            <w:r>
              <w:rPr>
                <w:rFonts w:ascii="Tahoma" w:hAnsi="Tahoma" w:cs="Tahoma"/>
                <w:b/>
                <w:sz w:val="20"/>
                <w:szCs w:val="20"/>
              </w:rPr>
              <w:t xml:space="preserve">What are the costs </w:t>
            </w:r>
            <w:r w:rsidRPr="00A744F1">
              <w:rPr>
                <w:rFonts w:ascii="Tahoma" w:hAnsi="Tahoma" w:cs="Tahoma"/>
                <w:b/>
                <w:sz w:val="20"/>
                <w:szCs w:val="20"/>
              </w:rPr>
              <w:t xml:space="preserve">of the </w:t>
            </w:r>
            <w:r>
              <w:rPr>
                <w:rFonts w:ascii="Tahoma" w:hAnsi="Tahoma" w:cs="Tahoma"/>
                <w:b/>
                <w:sz w:val="20"/>
                <w:szCs w:val="20"/>
              </w:rPr>
              <w:t>preferred option (if any, otherwise main ones)</w:t>
            </w:r>
            <w:r w:rsidRPr="00A744F1">
              <w:rPr>
                <w:rFonts w:ascii="Tahoma" w:hAnsi="Tahoma" w:cs="Tahoma"/>
                <w:b/>
                <w:sz w:val="20"/>
                <w:szCs w:val="20"/>
              </w:rPr>
              <w:t>?</w:t>
            </w:r>
            <w:r>
              <w:rPr>
                <w:rFonts w:ascii="Tahoma" w:hAnsi="Tahoma" w:cs="Tahoma"/>
                <w:sz w:val="20"/>
                <w:szCs w:val="20"/>
              </w:rPr>
              <w:t xml:space="preserve"> </w:t>
            </w:r>
          </w:p>
        </w:tc>
      </w:tr>
      <w:tr w:rsidR="001921C7" w:rsidRPr="00B230F2" w:rsidTr="00CD60E3">
        <w:tc>
          <w:tcPr>
            <w:tcW w:w="10188" w:type="dxa"/>
            <w:tcBorders>
              <w:bottom w:val="single" w:sz="4" w:space="0" w:color="auto"/>
            </w:tcBorders>
            <w:shd w:val="clear" w:color="auto" w:fill="auto"/>
          </w:tcPr>
          <w:p w:rsidR="001921C7" w:rsidRDefault="001921C7" w:rsidP="00CD60E3">
            <w:pPr>
              <w:jc w:val="both"/>
              <w:rPr>
                <w:rFonts w:ascii="Arial" w:hAnsi="Arial" w:cs="Arial"/>
                <w:sz w:val="20"/>
                <w:szCs w:val="20"/>
              </w:rPr>
            </w:pPr>
            <w:r>
              <w:rPr>
                <w:rFonts w:ascii="Arial" w:hAnsi="Arial" w:cs="Arial"/>
                <w:sz w:val="20"/>
                <w:szCs w:val="20"/>
              </w:rPr>
              <w:t xml:space="preserve">The annual budgetary impacts of the multilateral investment court with its preferred features are estimated to be around </w:t>
            </w:r>
            <w:r w:rsidRPr="008D4093">
              <w:rPr>
                <w:rFonts w:ascii="Arial" w:hAnsi="Arial" w:cs="Arial"/>
                <w:sz w:val="20"/>
                <w:szCs w:val="20"/>
              </w:rPr>
              <w:t>EUR 5.</w:t>
            </w:r>
            <w:r>
              <w:rPr>
                <w:rFonts w:ascii="Arial" w:hAnsi="Arial" w:cs="Arial"/>
                <w:sz w:val="20"/>
                <w:szCs w:val="20"/>
              </w:rPr>
              <w:t>4</w:t>
            </w:r>
            <w:r w:rsidRPr="008D4093">
              <w:rPr>
                <w:rFonts w:ascii="Arial" w:hAnsi="Arial" w:cs="Arial"/>
                <w:sz w:val="20"/>
                <w:szCs w:val="20"/>
              </w:rPr>
              <w:t xml:space="preserve"> million</w:t>
            </w:r>
            <w:r>
              <w:rPr>
                <w:rFonts w:ascii="Arial" w:hAnsi="Arial" w:cs="Arial"/>
                <w:sz w:val="20"/>
                <w:szCs w:val="20"/>
              </w:rPr>
              <w:t xml:space="preserve"> for the EU and Member States. This estimate would cover the remuneration of 14 permanent adjudicators (9 at First I</w:t>
            </w:r>
            <w:r w:rsidRPr="00C73541">
              <w:rPr>
                <w:rFonts w:ascii="Arial" w:hAnsi="Arial" w:cs="Arial"/>
                <w:sz w:val="20"/>
                <w:szCs w:val="20"/>
              </w:rPr>
              <w:t xml:space="preserve">nstance and 5 at Appeal) and 42 members of staff (3 members of staff per </w:t>
            </w:r>
            <w:r>
              <w:rPr>
                <w:rFonts w:ascii="Arial" w:hAnsi="Arial" w:cs="Arial"/>
                <w:sz w:val="20"/>
                <w:szCs w:val="20"/>
              </w:rPr>
              <w:t>adjudicator</w:t>
            </w:r>
            <w:r w:rsidRPr="00C73541">
              <w:rPr>
                <w:rFonts w:ascii="Arial" w:hAnsi="Arial" w:cs="Arial"/>
                <w:sz w:val="20"/>
                <w:szCs w:val="20"/>
              </w:rPr>
              <w:t>)</w:t>
            </w:r>
            <w:r>
              <w:rPr>
                <w:rFonts w:ascii="Arial" w:hAnsi="Arial" w:cs="Arial"/>
                <w:sz w:val="20"/>
                <w:szCs w:val="20"/>
              </w:rPr>
              <w:t xml:space="preserve"> which is assumed to be a reasonable number from which to start. These assumptions are based on </w:t>
            </w:r>
            <w:r w:rsidRPr="00C73541">
              <w:rPr>
                <w:rFonts w:ascii="Arial" w:hAnsi="Arial" w:cs="Arial"/>
                <w:sz w:val="20"/>
                <w:szCs w:val="20"/>
              </w:rPr>
              <w:t>other int</w:t>
            </w:r>
            <w:r>
              <w:rPr>
                <w:rFonts w:ascii="Arial" w:hAnsi="Arial" w:cs="Arial"/>
                <w:sz w:val="20"/>
                <w:szCs w:val="20"/>
              </w:rPr>
              <w:t>ernational courts and tribunals</w:t>
            </w:r>
            <w:r w:rsidRPr="00C73541">
              <w:rPr>
                <w:rFonts w:ascii="Arial" w:hAnsi="Arial" w:cs="Arial"/>
                <w:sz w:val="20"/>
                <w:szCs w:val="20"/>
              </w:rPr>
              <w:t xml:space="preserve"> and a repartition key </w:t>
            </w:r>
            <w:r>
              <w:rPr>
                <w:rFonts w:ascii="Arial" w:hAnsi="Arial" w:cs="Arial"/>
                <w:sz w:val="20"/>
                <w:szCs w:val="20"/>
              </w:rPr>
              <w:t>of</w:t>
            </w:r>
            <w:r w:rsidRPr="00C73541">
              <w:rPr>
                <w:rFonts w:ascii="Arial" w:hAnsi="Arial" w:cs="Arial"/>
                <w:sz w:val="20"/>
                <w:szCs w:val="20"/>
              </w:rPr>
              <w:t xml:space="preserve"> the total costs among</w:t>
            </w:r>
            <w:r>
              <w:rPr>
                <w:rFonts w:ascii="Arial" w:hAnsi="Arial" w:cs="Arial"/>
                <w:sz w:val="20"/>
                <w:szCs w:val="20"/>
              </w:rPr>
              <w:t xml:space="preserve"> 4</w:t>
            </w:r>
            <w:r w:rsidRPr="00E873D4">
              <w:rPr>
                <w:rFonts w:ascii="Arial" w:hAnsi="Arial" w:cs="Arial"/>
                <w:sz w:val="20"/>
                <w:szCs w:val="20"/>
              </w:rPr>
              <w:t>5 Contracting Parties</w:t>
            </w:r>
            <w:r w:rsidRPr="00C73541">
              <w:rPr>
                <w:rFonts w:ascii="Arial" w:hAnsi="Arial" w:cs="Arial"/>
                <w:sz w:val="20"/>
                <w:szCs w:val="20"/>
              </w:rPr>
              <w:t xml:space="preserve"> </w:t>
            </w:r>
            <w:r>
              <w:rPr>
                <w:rFonts w:ascii="Arial" w:hAnsi="Arial" w:cs="Arial"/>
                <w:sz w:val="20"/>
                <w:szCs w:val="20"/>
              </w:rPr>
              <w:t>(including the EU, its 28 Member States and 16 third countries) taking</w:t>
            </w:r>
            <w:r w:rsidRPr="00C73541">
              <w:rPr>
                <w:rFonts w:ascii="Arial" w:hAnsi="Arial" w:cs="Arial"/>
                <w:sz w:val="20"/>
                <w:szCs w:val="20"/>
              </w:rPr>
              <w:t xml:space="preserve"> into account the</w:t>
            </w:r>
            <w:r>
              <w:rPr>
                <w:rFonts w:ascii="Arial" w:hAnsi="Arial" w:cs="Arial"/>
                <w:sz w:val="20"/>
                <w:szCs w:val="20"/>
              </w:rPr>
              <w:t>ir</w:t>
            </w:r>
            <w:r w:rsidRPr="00C73541">
              <w:rPr>
                <w:rFonts w:ascii="Arial" w:hAnsi="Arial" w:cs="Arial"/>
                <w:sz w:val="20"/>
                <w:szCs w:val="20"/>
              </w:rPr>
              <w:t xml:space="preserve"> level of development</w:t>
            </w:r>
            <w:r>
              <w:rPr>
                <w:rFonts w:ascii="Arial" w:hAnsi="Arial" w:cs="Arial"/>
                <w:sz w:val="20"/>
                <w:szCs w:val="20"/>
              </w:rPr>
              <w:t xml:space="preserve"> (f</w:t>
            </w:r>
            <w:r w:rsidRPr="00C73541">
              <w:rPr>
                <w:rFonts w:ascii="Arial" w:hAnsi="Arial" w:cs="Arial"/>
                <w:sz w:val="20"/>
                <w:szCs w:val="20"/>
              </w:rPr>
              <w:t>ollowing the IMF quota system</w:t>
            </w:r>
            <w:r>
              <w:rPr>
                <w:rFonts w:ascii="Arial" w:hAnsi="Arial" w:cs="Arial"/>
                <w:sz w:val="20"/>
                <w:szCs w:val="20"/>
              </w:rPr>
              <w:t>)</w:t>
            </w:r>
            <w:r w:rsidRPr="00C73541">
              <w:rPr>
                <w:rFonts w:ascii="Arial" w:hAnsi="Arial" w:cs="Arial"/>
                <w:sz w:val="20"/>
                <w:szCs w:val="20"/>
              </w:rPr>
              <w:t>.</w:t>
            </w:r>
            <w:r>
              <w:rPr>
                <w:rFonts w:ascii="Arial" w:hAnsi="Arial" w:cs="Arial"/>
                <w:sz w:val="20"/>
                <w:szCs w:val="20"/>
              </w:rPr>
              <w:t xml:space="preserve"> The actual costs will depend on the number of adjudicators, size of the secretariat and number of Contracting Parties (inter alia) which cannot be precisely established at this stage. Moreover, these parameters are likely to evolve over time, leading to variations in the costs. </w:t>
            </w:r>
          </w:p>
          <w:p w:rsidR="001921C7" w:rsidRPr="00A805D4" w:rsidRDefault="001921C7" w:rsidP="00CD60E3">
            <w:pPr>
              <w:jc w:val="both"/>
              <w:rPr>
                <w:rFonts w:ascii="Arial" w:hAnsi="Arial" w:cs="Arial"/>
                <w:sz w:val="20"/>
                <w:szCs w:val="20"/>
              </w:rPr>
            </w:pPr>
            <w:r w:rsidRPr="007E6D1E">
              <w:rPr>
                <w:rFonts w:ascii="Arial" w:hAnsi="Arial" w:cs="Arial"/>
                <w:sz w:val="20"/>
                <w:szCs w:val="20"/>
              </w:rPr>
              <w:t>Since the multilateral court initiative only addresses procedural (i.e. dispute settlement) rules and not substantive rules</w:t>
            </w:r>
            <w:r>
              <w:rPr>
                <w:rFonts w:ascii="Arial" w:hAnsi="Arial" w:cs="Arial"/>
                <w:sz w:val="20"/>
                <w:szCs w:val="20"/>
              </w:rPr>
              <w:t xml:space="preserve"> (included in underlying investment agreements), and therefore it will not grant</w:t>
            </w:r>
            <w:r w:rsidRPr="007E6D1E">
              <w:rPr>
                <w:rFonts w:ascii="Arial" w:hAnsi="Arial" w:cs="Arial"/>
                <w:sz w:val="20"/>
                <w:szCs w:val="20"/>
              </w:rPr>
              <w:t xml:space="preserve"> additional ground</w:t>
            </w:r>
            <w:r>
              <w:rPr>
                <w:rFonts w:ascii="Arial" w:hAnsi="Arial" w:cs="Arial"/>
                <w:sz w:val="20"/>
                <w:szCs w:val="20"/>
              </w:rPr>
              <w:t>s</w:t>
            </w:r>
            <w:r w:rsidRPr="007E6D1E">
              <w:rPr>
                <w:rFonts w:ascii="Arial" w:hAnsi="Arial" w:cs="Arial"/>
                <w:sz w:val="20"/>
                <w:szCs w:val="20"/>
              </w:rPr>
              <w:t xml:space="preserve"> to bring cases</w:t>
            </w:r>
            <w:r>
              <w:rPr>
                <w:rFonts w:ascii="Arial" w:hAnsi="Arial" w:cs="Arial"/>
                <w:sz w:val="20"/>
                <w:szCs w:val="20"/>
              </w:rPr>
              <w:t>, f</w:t>
            </w:r>
            <w:r w:rsidRPr="007E6D1E">
              <w:rPr>
                <w:rFonts w:ascii="Arial" w:hAnsi="Arial" w:cs="Arial"/>
                <w:sz w:val="20"/>
                <w:szCs w:val="20"/>
              </w:rPr>
              <w:t>inancial implications related to the payment of damages are considered irrelevant.</w:t>
            </w:r>
          </w:p>
        </w:tc>
      </w:tr>
      <w:tr w:rsidR="001921C7" w:rsidRPr="00501394" w:rsidTr="00CD60E3">
        <w:tc>
          <w:tcPr>
            <w:tcW w:w="10188" w:type="dxa"/>
            <w:tcBorders>
              <w:bottom w:val="single" w:sz="4" w:space="0" w:color="auto"/>
            </w:tcBorders>
            <w:shd w:val="clear" w:color="auto" w:fill="E6E6E6"/>
          </w:tcPr>
          <w:p w:rsidR="001921C7" w:rsidRPr="005A1A34" w:rsidRDefault="001921C7" w:rsidP="00CD60E3">
            <w:pPr>
              <w:spacing w:before="60" w:after="60"/>
              <w:jc w:val="both"/>
              <w:rPr>
                <w:rFonts w:ascii="Tahoma" w:hAnsi="Tahoma" w:cs="Tahoma"/>
                <w:sz w:val="20"/>
                <w:szCs w:val="20"/>
              </w:rPr>
            </w:pPr>
            <w:r>
              <w:rPr>
                <w:rFonts w:ascii="Tahoma" w:hAnsi="Tahoma" w:cs="Tahoma"/>
                <w:b/>
                <w:sz w:val="20"/>
                <w:szCs w:val="20"/>
              </w:rPr>
              <w:t xml:space="preserve">How will businesses, </w:t>
            </w:r>
            <w:r w:rsidRPr="00A3516B">
              <w:rPr>
                <w:rFonts w:ascii="Tahoma" w:hAnsi="Tahoma" w:cs="Tahoma"/>
                <w:b/>
                <w:sz w:val="20"/>
                <w:szCs w:val="20"/>
              </w:rPr>
              <w:t>SMEs and micro-enterprise</w:t>
            </w:r>
            <w:r>
              <w:rPr>
                <w:rFonts w:ascii="Tahoma" w:hAnsi="Tahoma" w:cs="Tahoma"/>
                <w:b/>
                <w:sz w:val="20"/>
                <w:szCs w:val="20"/>
              </w:rPr>
              <w:t xml:space="preserve">s be affected? </w:t>
            </w:r>
          </w:p>
        </w:tc>
      </w:tr>
      <w:tr w:rsidR="001921C7" w:rsidRPr="00B230F2" w:rsidTr="00CD60E3">
        <w:tc>
          <w:tcPr>
            <w:tcW w:w="10188" w:type="dxa"/>
            <w:tcBorders>
              <w:bottom w:val="single" w:sz="4" w:space="0" w:color="auto"/>
            </w:tcBorders>
            <w:shd w:val="clear" w:color="auto" w:fill="auto"/>
          </w:tcPr>
          <w:p w:rsidR="001921C7" w:rsidRPr="00DD17F9" w:rsidRDefault="001921C7" w:rsidP="00CD60E3">
            <w:pPr>
              <w:spacing w:before="60" w:after="60"/>
              <w:jc w:val="both"/>
              <w:rPr>
                <w:rFonts w:ascii="Arial" w:hAnsi="Arial" w:cs="Arial"/>
                <w:sz w:val="20"/>
                <w:szCs w:val="20"/>
              </w:rPr>
            </w:pPr>
            <w:r>
              <w:rPr>
                <w:rFonts w:ascii="Arial" w:hAnsi="Arial" w:cs="Arial"/>
                <w:sz w:val="20"/>
                <w:szCs w:val="20"/>
              </w:rPr>
              <w:t xml:space="preserve">The preferred option will ensure investors' access to a legitimate, independent and effective dispute settlement system regardless of their size and/or turnover. Proceedings under the court are expected to be shorter and therefore less costly for investors, considering that no time will have to be spent on appointing adjudicators and that arguments will be more focused thanks to the enhanced predictability and consistency of interpretation of substantive investment provisions. SMEs may benefit from additional assistance to take account of their lower turnover. </w:t>
            </w:r>
          </w:p>
        </w:tc>
      </w:tr>
      <w:tr w:rsidR="001921C7" w:rsidRPr="00501394" w:rsidTr="00CD60E3">
        <w:tc>
          <w:tcPr>
            <w:tcW w:w="10188" w:type="dxa"/>
            <w:tcBorders>
              <w:bottom w:val="single" w:sz="4" w:space="0" w:color="auto"/>
            </w:tcBorders>
            <w:shd w:val="clear" w:color="auto" w:fill="E6E6E6"/>
          </w:tcPr>
          <w:p w:rsidR="001921C7" w:rsidRPr="003D39F6" w:rsidRDefault="001921C7" w:rsidP="00CD60E3">
            <w:pPr>
              <w:spacing w:before="60"/>
              <w:jc w:val="both"/>
              <w:rPr>
                <w:rFonts w:ascii="Tahoma" w:hAnsi="Tahoma" w:cs="Tahoma"/>
                <w:b/>
                <w:i/>
                <w:sz w:val="20"/>
                <w:szCs w:val="20"/>
              </w:rPr>
            </w:pPr>
            <w:r>
              <w:rPr>
                <w:rFonts w:ascii="Tahoma" w:hAnsi="Tahoma" w:cs="Tahoma"/>
                <w:b/>
                <w:sz w:val="20"/>
                <w:szCs w:val="20"/>
              </w:rPr>
              <w:t>Will there be significant impacts</w:t>
            </w:r>
            <w:r>
              <w:rPr>
                <w:rFonts w:ascii="Tahoma" w:hAnsi="Tahoma" w:cs="Tahoma"/>
                <w:sz w:val="20"/>
                <w:szCs w:val="20"/>
              </w:rPr>
              <w:t xml:space="preserve"> </w:t>
            </w:r>
            <w:r w:rsidRPr="003D39F6">
              <w:rPr>
                <w:rFonts w:ascii="Tahoma" w:hAnsi="Tahoma" w:cs="Tahoma"/>
                <w:b/>
                <w:sz w:val="20"/>
                <w:szCs w:val="20"/>
              </w:rPr>
              <w:t xml:space="preserve">on </w:t>
            </w:r>
            <w:r>
              <w:rPr>
                <w:rFonts w:ascii="Tahoma" w:hAnsi="Tahoma" w:cs="Tahoma"/>
                <w:b/>
                <w:sz w:val="20"/>
                <w:szCs w:val="20"/>
              </w:rPr>
              <w:t xml:space="preserve">national </w:t>
            </w:r>
            <w:r w:rsidRPr="003D39F6">
              <w:rPr>
                <w:rFonts w:ascii="Tahoma" w:hAnsi="Tahoma" w:cs="Tahoma"/>
                <w:b/>
                <w:sz w:val="20"/>
                <w:szCs w:val="20"/>
              </w:rPr>
              <w:t>budget</w:t>
            </w:r>
            <w:r>
              <w:rPr>
                <w:rFonts w:ascii="Tahoma" w:hAnsi="Tahoma" w:cs="Tahoma"/>
                <w:b/>
                <w:sz w:val="20"/>
                <w:szCs w:val="20"/>
              </w:rPr>
              <w:t>s</w:t>
            </w:r>
            <w:r w:rsidRPr="003D39F6">
              <w:rPr>
                <w:rFonts w:ascii="Tahoma" w:hAnsi="Tahoma" w:cs="Tahoma"/>
                <w:b/>
                <w:sz w:val="20"/>
                <w:szCs w:val="20"/>
              </w:rPr>
              <w:t xml:space="preserve"> and administrations</w:t>
            </w:r>
            <w:r>
              <w:rPr>
                <w:rFonts w:ascii="Tahoma" w:hAnsi="Tahoma" w:cs="Tahoma"/>
                <w:b/>
                <w:sz w:val="20"/>
                <w:szCs w:val="20"/>
              </w:rPr>
              <w:t>?</w:t>
            </w:r>
            <w:r w:rsidRPr="003D39F6">
              <w:rPr>
                <w:rFonts w:ascii="Tahoma" w:hAnsi="Tahoma" w:cs="Tahoma"/>
                <w:sz w:val="20"/>
                <w:szCs w:val="20"/>
              </w:rPr>
              <w:t xml:space="preserve"> </w:t>
            </w:r>
          </w:p>
        </w:tc>
      </w:tr>
      <w:tr w:rsidR="001921C7" w:rsidRPr="00B230F2" w:rsidTr="00CD60E3">
        <w:tc>
          <w:tcPr>
            <w:tcW w:w="10188" w:type="dxa"/>
            <w:shd w:val="clear" w:color="auto" w:fill="auto"/>
          </w:tcPr>
          <w:p w:rsidR="001921C7" w:rsidRDefault="001921C7" w:rsidP="00CD60E3">
            <w:pPr>
              <w:jc w:val="both"/>
              <w:rPr>
                <w:rFonts w:ascii="Arial" w:hAnsi="Arial" w:cs="Arial"/>
                <w:sz w:val="20"/>
                <w:szCs w:val="20"/>
              </w:rPr>
            </w:pPr>
            <w:r>
              <w:rPr>
                <w:rFonts w:ascii="Arial" w:hAnsi="Arial" w:cs="Arial"/>
                <w:sz w:val="20"/>
                <w:szCs w:val="20"/>
              </w:rPr>
              <w:t>Based on the assumptions explained above, it is estimated that the court would cost</w:t>
            </w:r>
            <w:r w:rsidRPr="0073521A">
              <w:rPr>
                <w:rFonts w:ascii="Arial" w:hAnsi="Arial" w:cs="Arial"/>
                <w:sz w:val="20"/>
                <w:szCs w:val="20"/>
              </w:rPr>
              <w:t xml:space="preserve"> </w:t>
            </w:r>
            <w:r>
              <w:rPr>
                <w:rFonts w:ascii="Arial" w:hAnsi="Arial" w:cs="Arial"/>
                <w:sz w:val="20"/>
                <w:szCs w:val="20"/>
              </w:rPr>
              <w:t xml:space="preserve">around </w:t>
            </w:r>
            <w:r w:rsidRPr="00962AB5">
              <w:rPr>
                <w:rFonts w:ascii="Arial" w:hAnsi="Arial" w:cs="Arial"/>
                <w:sz w:val="20"/>
                <w:szCs w:val="20"/>
              </w:rPr>
              <w:t xml:space="preserve">EUR </w:t>
            </w:r>
            <w:r>
              <w:rPr>
                <w:rFonts w:ascii="Arial" w:hAnsi="Arial" w:cs="Arial"/>
                <w:sz w:val="20"/>
                <w:szCs w:val="20"/>
              </w:rPr>
              <w:t>2.7</w:t>
            </w:r>
            <w:r w:rsidRPr="00962AB5">
              <w:rPr>
                <w:rFonts w:ascii="Arial" w:hAnsi="Arial" w:cs="Arial"/>
                <w:sz w:val="20"/>
                <w:szCs w:val="20"/>
              </w:rPr>
              <w:t xml:space="preserve"> million to EU Member States' budgets</w:t>
            </w:r>
            <w:r>
              <w:rPr>
                <w:rFonts w:ascii="Arial" w:hAnsi="Arial" w:cs="Arial"/>
                <w:sz w:val="20"/>
                <w:szCs w:val="20"/>
              </w:rPr>
              <w:t xml:space="preserve"> annually. This will be less than what the baseline scenario costs to EU and Member State budgets (estimated at around EUR 9 million).</w:t>
            </w:r>
          </w:p>
        </w:tc>
      </w:tr>
      <w:tr w:rsidR="001921C7" w:rsidRPr="00501394" w:rsidTr="00CD60E3">
        <w:tc>
          <w:tcPr>
            <w:tcW w:w="10188" w:type="dxa"/>
            <w:tcBorders>
              <w:bottom w:val="single" w:sz="4" w:space="0" w:color="auto"/>
            </w:tcBorders>
            <w:shd w:val="clear" w:color="auto" w:fill="E6E6E6"/>
          </w:tcPr>
          <w:p w:rsidR="001921C7" w:rsidRPr="00501394" w:rsidRDefault="001921C7" w:rsidP="00CD60E3">
            <w:pPr>
              <w:spacing w:before="60"/>
              <w:jc w:val="both"/>
              <w:rPr>
                <w:rFonts w:ascii="Tahoma" w:hAnsi="Tahoma" w:cs="Tahoma"/>
                <w:sz w:val="20"/>
                <w:szCs w:val="20"/>
              </w:rPr>
            </w:pPr>
            <w:r w:rsidRPr="00677657">
              <w:rPr>
                <w:rFonts w:ascii="Tahoma" w:hAnsi="Tahoma" w:cs="Tahoma"/>
                <w:b/>
                <w:sz w:val="20"/>
                <w:szCs w:val="20"/>
              </w:rPr>
              <w:t>W</w:t>
            </w:r>
            <w:r>
              <w:rPr>
                <w:rFonts w:ascii="Tahoma" w:hAnsi="Tahoma" w:cs="Tahoma"/>
                <w:b/>
                <w:sz w:val="20"/>
                <w:szCs w:val="20"/>
              </w:rPr>
              <w:t xml:space="preserve">ill there be other </w:t>
            </w:r>
            <w:r w:rsidRPr="00677657">
              <w:rPr>
                <w:rFonts w:ascii="Tahoma" w:hAnsi="Tahoma" w:cs="Tahoma"/>
                <w:b/>
                <w:sz w:val="20"/>
                <w:szCs w:val="20"/>
              </w:rPr>
              <w:t>significant impacts</w:t>
            </w:r>
            <w:r w:rsidRPr="00A139BB">
              <w:rPr>
                <w:rFonts w:ascii="Tahoma" w:hAnsi="Tahoma" w:cs="Tahoma"/>
                <w:b/>
                <w:sz w:val="20"/>
                <w:szCs w:val="20"/>
              </w:rPr>
              <w:t>?</w:t>
            </w:r>
            <w:r>
              <w:rPr>
                <w:rFonts w:ascii="Tahoma" w:hAnsi="Tahoma" w:cs="Tahoma"/>
                <w:sz w:val="20"/>
                <w:szCs w:val="20"/>
              </w:rPr>
              <w:t xml:space="preserve"> </w:t>
            </w:r>
          </w:p>
        </w:tc>
      </w:tr>
      <w:tr w:rsidR="001921C7" w:rsidRPr="00B230F2" w:rsidTr="00CD60E3">
        <w:tc>
          <w:tcPr>
            <w:tcW w:w="10188" w:type="dxa"/>
            <w:tcBorders>
              <w:bottom w:val="single" w:sz="4" w:space="0" w:color="auto"/>
            </w:tcBorders>
            <w:shd w:val="clear" w:color="auto" w:fill="auto"/>
          </w:tcPr>
          <w:p w:rsidR="001921C7" w:rsidRDefault="001921C7" w:rsidP="00CD60E3">
            <w:pPr>
              <w:jc w:val="both"/>
              <w:rPr>
                <w:rFonts w:ascii="Arial" w:hAnsi="Arial" w:cs="Arial"/>
                <w:sz w:val="20"/>
                <w:szCs w:val="20"/>
              </w:rPr>
            </w:pPr>
            <w:r>
              <w:rPr>
                <w:rFonts w:ascii="Arial" w:hAnsi="Arial" w:cs="Arial"/>
                <w:sz w:val="20"/>
                <w:szCs w:val="20"/>
              </w:rPr>
              <w:t>The multilateral investment court</w:t>
            </w:r>
            <w:r w:rsidRPr="0073521A">
              <w:rPr>
                <w:rFonts w:ascii="Arial" w:hAnsi="Arial" w:cs="Arial"/>
                <w:sz w:val="20"/>
                <w:szCs w:val="20"/>
              </w:rPr>
              <w:t xml:space="preserve"> would alleviate the administrative burden by centralising all disputes under a single set of procedural rules. </w:t>
            </w:r>
            <w:r>
              <w:rPr>
                <w:rFonts w:ascii="Arial" w:hAnsi="Arial" w:cs="Arial"/>
                <w:sz w:val="20"/>
                <w:szCs w:val="20"/>
              </w:rPr>
              <w:t>As t</w:t>
            </w:r>
            <w:r w:rsidRPr="00AC7251">
              <w:rPr>
                <w:rFonts w:ascii="Arial" w:hAnsi="Arial" w:cs="Arial"/>
                <w:sz w:val="20"/>
                <w:szCs w:val="20"/>
              </w:rPr>
              <w:t xml:space="preserve">he </w:t>
            </w:r>
            <w:r>
              <w:rPr>
                <w:rFonts w:ascii="Arial" w:hAnsi="Arial" w:cs="Arial"/>
                <w:sz w:val="20"/>
                <w:szCs w:val="20"/>
              </w:rPr>
              <w:t xml:space="preserve">multilateral investment court initiative </w:t>
            </w:r>
            <w:r w:rsidRPr="00AC7251">
              <w:rPr>
                <w:rFonts w:ascii="Arial" w:hAnsi="Arial" w:cs="Arial"/>
                <w:sz w:val="20"/>
                <w:szCs w:val="20"/>
              </w:rPr>
              <w:t>only addresses procedural rules and not substantive</w:t>
            </w:r>
            <w:r>
              <w:rPr>
                <w:rFonts w:ascii="Arial" w:hAnsi="Arial" w:cs="Arial"/>
                <w:sz w:val="20"/>
                <w:szCs w:val="20"/>
              </w:rPr>
              <w:t xml:space="preserve"> rules</w:t>
            </w:r>
            <w:r w:rsidRPr="00AC7251">
              <w:rPr>
                <w:rFonts w:ascii="Arial" w:hAnsi="Arial" w:cs="Arial"/>
                <w:sz w:val="20"/>
                <w:szCs w:val="20"/>
              </w:rPr>
              <w:t xml:space="preserve">, no relevant environmental or social impacts are expected to result from </w:t>
            </w:r>
            <w:r>
              <w:rPr>
                <w:rFonts w:ascii="Arial" w:hAnsi="Arial" w:cs="Arial"/>
                <w:sz w:val="20"/>
                <w:szCs w:val="20"/>
              </w:rPr>
              <w:t xml:space="preserve">it. </w:t>
            </w:r>
            <w:r w:rsidRPr="00AC7251">
              <w:rPr>
                <w:rFonts w:ascii="Arial" w:hAnsi="Arial" w:cs="Arial"/>
                <w:sz w:val="20"/>
                <w:szCs w:val="20"/>
              </w:rPr>
              <w:t xml:space="preserve">Minor social impacts </w:t>
            </w:r>
            <w:r>
              <w:rPr>
                <w:rFonts w:ascii="Arial" w:hAnsi="Arial" w:cs="Arial"/>
                <w:sz w:val="20"/>
                <w:szCs w:val="20"/>
              </w:rPr>
              <w:t>are</w:t>
            </w:r>
            <w:r w:rsidRPr="00AC7251">
              <w:rPr>
                <w:rFonts w:ascii="Arial" w:hAnsi="Arial" w:cs="Arial"/>
                <w:sz w:val="20"/>
                <w:szCs w:val="20"/>
              </w:rPr>
              <w:t xml:space="preserve"> anticipated regarding the professional opportunities of the arbitrator/judge community in becoming </w:t>
            </w:r>
            <w:r>
              <w:rPr>
                <w:rFonts w:ascii="Arial" w:hAnsi="Arial" w:cs="Arial"/>
                <w:sz w:val="20"/>
                <w:szCs w:val="20"/>
              </w:rPr>
              <w:t>adjudicators</w:t>
            </w:r>
            <w:r w:rsidRPr="00AC7251">
              <w:rPr>
                <w:rFonts w:ascii="Arial" w:hAnsi="Arial" w:cs="Arial"/>
                <w:sz w:val="20"/>
                <w:szCs w:val="20"/>
              </w:rPr>
              <w:t xml:space="preserve"> under the court. The same applies to the professional opportunities of potential staff of the court's secretariat.</w:t>
            </w:r>
          </w:p>
        </w:tc>
      </w:tr>
      <w:tr w:rsidR="001921C7" w:rsidRPr="00501394" w:rsidTr="00CD60E3">
        <w:tc>
          <w:tcPr>
            <w:tcW w:w="10188" w:type="dxa"/>
            <w:tcBorders>
              <w:bottom w:val="single" w:sz="4" w:space="0" w:color="auto"/>
            </w:tcBorders>
            <w:shd w:val="clear" w:color="auto" w:fill="C0C0C0"/>
          </w:tcPr>
          <w:p w:rsidR="001921C7" w:rsidRPr="0040097D" w:rsidRDefault="001921C7" w:rsidP="00CD60E3">
            <w:pPr>
              <w:spacing w:before="60" w:after="60"/>
              <w:jc w:val="center"/>
              <w:rPr>
                <w:rFonts w:ascii="Tahoma" w:hAnsi="Tahoma" w:cs="Tahoma"/>
                <w:b/>
                <w:sz w:val="22"/>
                <w:szCs w:val="22"/>
              </w:rPr>
            </w:pPr>
            <w:r>
              <w:rPr>
                <w:rFonts w:ascii="Tahoma" w:hAnsi="Tahoma" w:cs="Tahoma"/>
                <w:b/>
                <w:sz w:val="22"/>
                <w:szCs w:val="22"/>
              </w:rPr>
              <w:t>D</w:t>
            </w:r>
            <w:r w:rsidRPr="0040097D">
              <w:rPr>
                <w:rFonts w:ascii="Tahoma" w:hAnsi="Tahoma" w:cs="Tahoma"/>
                <w:b/>
                <w:sz w:val="22"/>
                <w:szCs w:val="22"/>
              </w:rPr>
              <w:t xml:space="preserve">. </w:t>
            </w:r>
            <w:r>
              <w:rPr>
                <w:rFonts w:ascii="Tahoma" w:hAnsi="Tahoma" w:cs="Tahoma"/>
                <w:b/>
                <w:sz w:val="22"/>
                <w:szCs w:val="22"/>
              </w:rPr>
              <w:t>Follow up</w:t>
            </w:r>
          </w:p>
        </w:tc>
      </w:tr>
      <w:tr w:rsidR="001921C7" w:rsidRPr="00501394" w:rsidTr="00CD60E3">
        <w:tc>
          <w:tcPr>
            <w:tcW w:w="10188" w:type="dxa"/>
            <w:tcBorders>
              <w:bottom w:val="single" w:sz="4" w:space="0" w:color="auto"/>
            </w:tcBorders>
            <w:shd w:val="clear" w:color="auto" w:fill="E6E6E6"/>
          </w:tcPr>
          <w:p w:rsidR="001921C7" w:rsidRPr="00501394" w:rsidRDefault="001921C7" w:rsidP="00CD60E3">
            <w:pPr>
              <w:spacing w:before="60"/>
              <w:jc w:val="both"/>
              <w:rPr>
                <w:rFonts w:ascii="Tahoma" w:hAnsi="Tahoma" w:cs="Tahoma"/>
                <w:sz w:val="20"/>
                <w:szCs w:val="20"/>
              </w:rPr>
            </w:pPr>
            <w:r w:rsidRPr="00A3516B">
              <w:rPr>
                <w:rFonts w:ascii="Tahoma" w:hAnsi="Tahoma" w:cs="Tahoma"/>
                <w:b/>
                <w:sz w:val="20"/>
                <w:szCs w:val="20"/>
              </w:rPr>
              <w:t>Wh</w:t>
            </w:r>
            <w:r>
              <w:rPr>
                <w:rFonts w:ascii="Tahoma" w:hAnsi="Tahoma" w:cs="Tahoma"/>
                <w:b/>
                <w:sz w:val="20"/>
                <w:szCs w:val="20"/>
              </w:rPr>
              <w:t xml:space="preserve">en will the policy be reviewed? </w:t>
            </w:r>
          </w:p>
        </w:tc>
      </w:tr>
      <w:tr w:rsidR="001921C7" w:rsidRPr="00501394" w:rsidTr="00CD60E3">
        <w:tc>
          <w:tcPr>
            <w:tcW w:w="10188" w:type="dxa"/>
            <w:tcBorders>
              <w:bottom w:val="single" w:sz="4" w:space="0" w:color="auto"/>
            </w:tcBorders>
            <w:shd w:val="clear" w:color="auto" w:fill="auto"/>
          </w:tcPr>
          <w:p w:rsidR="001921C7" w:rsidRPr="0018785B" w:rsidRDefault="001921C7" w:rsidP="00CD60E3">
            <w:pPr>
              <w:jc w:val="both"/>
              <w:rPr>
                <w:rFonts w:ascii="Tahoma" w:hAnsi="Tahoma" w:cs="Tahoma"/>
                <w:sz w:val="20"/>
                <w:szCs w:val="20"/>
              </w:rPr>
            </w:pPr>
            <w:r>
              <w:rPr>
                <w:rFonts w:ascii="Tahoma" w:hAnsi="Tahoma" w:cs="Tahoma"/>
                <w:sz w:val="20"/>
                <w:szCs w:val="20"/>
              </w:rPr>
              <w:t>The Commission will carry out regular annual monitoring o</w:t>
            </w:r>
            <w:r w:rsidRPr="00F90AC7">
              <w:rPr>
                <w:rFonts w:ascii="Tahoma" w:hAnsi="Tahoma" w:cs="Tahoma"/>
                <w:sz w:val="20"/>
                <w:szCs w:val="20"/>
              </w:rPr>
              <w:t xml:space="preserve">nce the </w:t>
            </w:r>
            <w:r>
              <w:rPr>
                <w:rFonts w:ascii="Tahoma" w:hAnsi="Tahoma" w:cs="Tahoma"/>
                <w:sz w:val="20"/>
                <w:szCs w:val="20"/>
              </w:rPr>
              <w:t>multilateral c</w:t>
            </w:r>
            <w:r w:rsidRPr="00F90AC7">
              <w:rPr>
                <w:rFonts w:ascii="Tahoma" w:hAnsi="Tahoma" w:cs="Tahoma"/>
                <w:sz w:val="20"/>
                <w:szCs w:val="20"/>
              </w:rPr>
              <w:t>ourt is operational</w:t>
            </w:r>
            <w:r>
              <w:rPr>
                <w:rFonts w:ascii="Tahoma" w:hAnsi="Tahoma" w:cs="Tahoma"/>
                <w:sz w:val="20"/>
                <w:szCs w:val="20"/>
              </w:rPr>
              <w:t>. It</w:t>
            </w:r>
            <w:r w:rsidRPr="00F90AC7">
              <w:rPr>
                <w:rFonts w:ascii="Tahoma" w:hAnsi="Tahoma" w:cs="Tahoma"/>
                <w:sz w:val="20"/>
                <w:szCs w:val="20"/>
              </w:rPr>
              <w:t xml:space="preserve"> w</w:t>
            </w:r>
            <w:r>
              <w:rPr>
                <w:rFonts w:ascii="Tahoma" w:hAnsi="Tahoma" w:cs="Tahoma"/>
                <w:sz w:val="20"/>
                <w:szCs w:val="20"/>
              </w:rPr>
              <w:t>ill</w:t>
            </w:r>
            <w:r w:rsidRPr="00F90AC7">
              <w:rPr>
                <w:rFonts w:ascii="Tahoma" w:hAnsi="Tahoma" w:cs="Tahoma"/>
                <w:sz w:val="20"/>
                <w:szCs w:val="20"/>
              </w:rPr>
              <w:t xml:space="preserve"> </w:t>
            </w:r>
            <w:r>
              <w:rPr>
                <w:rFonts w:ascii="Tahoma" w:hAnsi="Tahoma" w:cs="Tahoma"/>
                <w:sz w:val="20"/>
                <w:szCs w:val="20"/>
              </w:rPr>
              <w:t xml:space="preserve">also </w:t>
            </w:r>
            <w:r w:rsidRPr="00F90AC7">
              <w:rPr>
                <w:rFonts w:ascii="Tahoma" w:hAnsi="Tahoma" w:cs="Tahoma"/>
                <w:sz w:val="20"/>
                <w:szCs w:val="20"/>
              </w:rPr>
              <w:t>regularly audit the use of the EU's financial con</w:t>
            </w:r>
            <w:r>
              <w:rPr>
                <w:rFonts w:ascii="Tahoma" w:hAnsi="Tahoma" w:cs="Tahoma"/>
                <w:sz w:val="20"/>
                <w:szCs w:val="20"/>
              </w:rPr>
              <w:t>tributions to the costs of the c</w:t>
            </w:r>
            <w:r w:rsidRPr="00F90AC7">
              <w:rPr>
                <w:rFonts w:ascii="Tahoma" w:hAnsi="Tahoma" w:cs="Tahoma"/>
                <w:sz w:val="20"/>
                <w:szCs w:val="20"/>
              </w:rPr>
              <w:t>ourt.</w:t>
            </w:r>
            <w:r>
              <w:rPr>
                <w:rFonts w:ascii="Tahoma" w:hAnsi="Tahoma" w:cs="Tahoma"/>
                <w:sz w:val="20"/>
                <w:szCs w:val="20"/>
              </w:rPr>
              <w:t xml:space="preserve"> A</w:t>
            </w:r>
            <w:r w:rsidRPr="00292FF9">
              <w:rPr>
                <w:rFonts w:ascii="Tahoma" w:hAnsi="Tahoma" w:cs="Tahoma"/>
                <w:sz w:val="20"/>
                <w:szCs w:val="20"/>
              </w:rPr>
              <w:t xml:space="preserve">n evaluation of the functioning of the multilateral investment </w:t>
            </w:r>
            <w:r>
              <w:rPr>
                <w:rFonts w:ascii="Tahoma" w:hAnsi="Tahoma" w:cs="Tahoma"/>
                <w:sz w:val="20"/>
                <w:szCs w:val="20"/>
              </w:rPr>
              <w:t>c</w:t>
            </w:r>
            <w:r w:rsidRPr="00292FF9">
              <w:rPr>
                <w:rFonts w:ascii="Tahoma" w:hAnsi="Tahoma" w:cs="Tahoma"/>
                <w:sz w:val="20"/>
                <w:szCs w:val="20"/>
              </w:rPr>
              <w:t xml:space="preserve">ourt </w:t>
            </w:r>
            <w:r>
              <w:rPr>
                <w:rFonts w:ascii="Tahoma" w:hAnsi="Tahoma" w:cs="Tahoma"/>
                <w:sz w:val="20"/>
                <w:szCs w:val="20"/>
              </w:rPr>
              <w:t xml:space="preserve">will be undertaken </w:t>
            </w:r>
            <w:r w:rsidRPr="00292FF9">
              <w:rPr>
                <w:rFonts w:ascii="Tahoma" w:hAnsi="Tahoma" w:cs="Tahoma"/>
                <w:sz w:val="20"/>
                <w:szCs w:val="20"/>
              </w:rPr>
              <w:t>when it has been in force for a sufficient period of time</w:t>
            </w:r>
            <w:r>
              <w:rPr>
                <w:rFonts w:ascii="Tahoma" w:hAnsi="Tahoma" w:cs="Tahoma"/>
                <w:sz w:val="20"/>
                <w:szCs w:val="20"/>
              </w:rPr>
              <w:t xml:space="preserve"> allowing availability of meaningful data</w:t>
            </w:r>
            <w:r w:rsidRPr="00292FF9">
              <w:rPr>
                <w:rFonts w:ascii="Tahoma" w:hAnsi="Tahoma" w:cs="Tahoma"/>
                <w:sz w:val="20"/>
                <w:szCs w:val="20"/>
              </w:rPr>
              <w:t xml:space="preserve">. </w:t>
            </w:r>
          </w:p>
        </w:tc>
      </w:tr>
    </w:tbl>
    <w:p w:rsidR="001921C7" w:rsidRDefault="001921C7" w:rsidP="001921C7">
      <w:pPr>
        <w:spacing w:after="120" w:line="276" w:lineRule="auto"/>
      </w:pPr>
    </w:p>
    <w:sectPr w:rsidR="001921C7" w:rsidSect="00C03F89">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D29" w:rsidRDefault="00A10BF1">
      <w:r>
        <w:separator/>
      </w:r>
    </w:p>
  </w:endnote>
  <w:endnote w:type="continuationSeparator" w:id="0">
    <w:p w:rsidR="006E2D29" w:rsidRDefault="00A10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F23" w:rsidRPr="002B7F23" w:rsidRDefault="002B7F23" w:rsidP="002B7F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F23" w:rsidRPr="002B7F23" w:rsidRDefault="002B7F23" w:rsidP="002B7F23">
    <w:pPr>
      <w:pStyle w:val="FooterCoverPage"/>
      <w:rPr>
        <w:rFonts w:ascii="Arial" w:hAnsi="Arial" w:cs="Arial"/>
        <w:b/>
        <w:sz w:val="48"/>
      </w:rPr>
    </w:pPr>
    <w:r w:rsidRPr="002B7F23">
      <w:rPr>
        <w:rFonts w:ascii="Arial" w:hAnsi="Arial" w:cs="Arial"/>
        <w:b/>
        <w:sz w:val="48"/>
      </w:rPr>
      <w:t>EN</w:t>
    </w:r>
    <w:r w:rsidRPr="002B7F23">
      <w:rPr>
        <w:rFonts w:ascii="Arial" w:hAnsi="Arial" w:cs="Arial"/>
        <w:b/>
        <w:sz w:val="48"/>
      </w:rPr>
      <w:tab/>
    </w:r>
    <w:r w:rsidRPr="002B7F23">
      <w:rPr>
        <w:rFonts w:ascii="Arial" w:hAnsi="Arial" w:cs="Arial"/>
        <w:b/>
        <w:sz w:val="48"/>
      </w:rPr>
      <w:tab/>
    </w:r>
    <w:fldSimple w:instr=" DOCVARIABLE &quot;LW_Confidence&quot; \* MERGEFORMAT ">
      <w:r>
        <w:t xml:space="preserve"> </w:t>
      </w:r>
    </w:fldSimple>
    <w:r w:rsidRPr="002B7F23">
      <w:tab/>
    </w:r>
    <w:r w:rsidRPr="002B7F23">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F23" w:rsidRPr="002B7F23" w:rsidRDefault="002B7F23" w:rsidP="002B7F23">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85B" w:rsidRDefault="002B7F2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rsidR="0018785B" w:rsidRDefault="001921C7" w:rsidP="00C03F89">
        <w:pPr>
          <w:pStyle w:val="Footer"/>
          <w:jc w:val="center"/>
        </w:pPr>
        <w:r>
          <w:fldChar w:fldCharType="begin"/>
        </w:r>
        <w:r>
          <w:instrText xml:space="preserve"> PAGE   \* MERGEFORMAT </w:instrText>
        </w:r>
        <w:r>
          <w:fldChar w:fldCharType="separate"/>
        </w:r>
        <w:r w:rsidR="002B7F23">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85B" w:rsidRDefault="002B7F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D29" w:rsidRDefault="00A10BF1">
      <w:r>
        <w:separator/>
      </w:r>
    </w:p>
  </w:footnote>
  <w:footnote w:type="continuationSeparator" w:id="0">
    <w:p w:rsidR="006E2D29" w:rsidRDefault="00A10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F23" w:rsidRPr="002B7F23" w:rsidRDefault="002B7F23" w:rsidP="002B7F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F23" w:rsidRPr="002B7F23" w:rsidRDefault="002B7F23" w:rsidP="002B7F23">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F23" w:rsidRPr="002B7F23" w:rsidRDefault="002B7F23" w:rsidP="002B7F23">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85B" w:rsidRDefault="002B7F2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85B" w:rsidRDefault="002B7F2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85B" w:rsidRDefault="002B7F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9CE9E20580BE4EB492D2798C09144679"/>
    <w:docVar w:name="LW_CROSSREFERENCE" w:val="{COM(2017) 493 final}_x000a_{SWD(2017) 302 final}"/>
    <w:docVar w:name="LW_DocType" w:val="NORMAL"/>
    <w:docVar w:name="LW_EMISSION" w:val="13.9.2017"/>
    <w:docVar w:name="LW_EMISSION_ISODATE" w:val="2017-09-13"/>
    <w:docVar w:name="LW_EMISSION_LOCATION" w:val="BRX"/>
    <w:docVar w:name="LW_EMISSION_PREFIX" w:val="Brussels, "/>
    <w:docVar w:name="LW_EMISSION_SUFFIX" w:val=" "/>
    <w:docVar w:name="LW_ID_DOCTYPE_NONLW" w:val="CP-027"/>
    <w:docVar w:name="LW_LANGUE" w:val="EN"/>
    <w:docVar w:name="LW_MARKING" w:val="&lt;UNUSED&gt;"/>
    <w:docVar w:name="LW_NOM.INST" w:val="EUROPEAN COMMISSION"/>
    <w:docVar w:name="LW_NOM.INST_JOINTDOC" w:val="&lt;EMPTY&gt;"/>
    <w:docVar w:name="LW_OBJETACTEPRINCIPAL.CP" w:val="authorising the opening of negotiations for a Convention establishing a multilateral court for the settlement of investment disputes_x000b_"/>
    <w:docVar w:name="LW_PART_NBR" w:val="1"/>
    <w:docVar w:name="LW_PART_NBR_TOTAL" w:val="1"/>
    <w:docVar w:name="LW_REF.INST.NEW" w:val="SWD"/>
    <w:docVar w:name="LW_REF.INST.NEW_ADOPTED" w:val="&lt;EMPTY&gt;"/>
    <w:docVar w:name="LW_REF.INST.NEW_TEXT" w:val="(2017) 303 final"/>
    <w:docVar w:name="LW_REF.INTERNE" w:val="&lt;UNUSED&gt;"/>
    <w:docVar w:name="LW_SUPERTITRE" w:val="&lt;UNUSED&gt;"/>
    <w:docVar w:name="LW_TITRE.OBJ.CP" w:val="&lt;UNUSED&gt;"/>
    <w:docVar w:name="LW_TYPE.DOC.CP" w:val="COMMISSION STAFF WORKING DOCUMENT_x000b__x000b_EXECUTIVE SUMMARY OF THE IMPACT ASSESSMENT_x000b_"/>
    <w:docVar w:name="LW_TYPEACTEPRINCIPAL.CP" w:val="Recommendation for a Council Decision"/>
  </w:docVars>
  <w:rsids>
    <w:rsidRoot w:val="001921C7"/>
    <w:rsid w:val="00077428"/>
    <w:rsid w:val="00170F97"/>
    <w:rsid w:val="001921C7"/>
    <w:rsid w:val="002B7F23"/>
    <w:rsid w:val="003C720B"/>
    <w:rsid w:val="006E2D29"/>
    <w:rsid w:val="00917A16"/>
    <w:rsid w:val="00A10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1C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21C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decouverture">
    <w:name w:val="Page de couverture"/>
    <w:basedOn w:val="Normal"/>
    <w:next w:val="Normal"/>
    <w:rsid w:val="001921C7"/>
    <w:pPr>
      <w:jc w:val="both"/>
    </w:pPr>
    <w:rPr>
      <w:rFonts w:eastAsiaTheme="minorHAnsi"/>
      <w:szCs w:val="22"/>
      <w:lang w:eastAsia="en-US"/>
    </w:rPr>
  </w:style>
  <w:style w:type="paragraph" w:styleId="Header">
    <w:name w:val="header"/>
    <w:basedOn w:val="Normal"/>
    <w:link w:val="HeaderChar"/>
    <w:uiPriority w:val="99"/>
    <w:unhideWhenUsed/>
    <w:rsid w:val="001921C7"/>
    <w:pPr>
      <w:tabs>
        <w:tab w:val="center" w:pos="4536"/>
        <w:tab w:val="right" w:pos="9072"/>
      </w:tabs>
    </w:pPr>
  </w:style>
  <w:style w:type="character" w:customStyle="1" w:styleId="HeaderChar">
    <w:name w:val="Header Char"/>
    <w:basedOn w:val="DefaultParagraphFont"/>
    <w:link w:val="Header"/>
    <w:uiPriority w:val="99"/>
    <w:rsid w:val="001921C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921C7"/>
    <w:pPr>
      <w:tabs>
        <w:tab w:val="center" w:pos="4536"/>
        <w:tab w:val="right" w:pos="9072"/>
      </w:tabs>
    </w:pPr>
  </w:style>
  <w:style w:type="character" w:customStyle="1" w:styleId="FooterChar">
    <w:name w:val="Footer Char"/>
    <w:basedOn w:val="DefaultParagraphFont"/>
    <w:link w:val="Footer"/>
    <w:uiPriority w:val="99"/>
    <w:rsid w:val="001921C7"/>
    <w:rPr>
      <w:rFonts w:ascii="Times New Roman" w:eastAsia="Times New Roman" w:hAnsi="Times New Roman" w:cs="Times New Roman"/>
      <w:sz w:val="24"/>
      <w:szCs w:val="24"/>
      <w:lang w:eastAsia="en-GB"/>
    </w:rPr>
  </w:style>
  <w:style w:type="paragraph" w:customStyle="1" w:styleId="FooterCoverPage">
    <w:name w:val="Footer Cover Page"/>
    <w:basedOn w:val="Normal"/>
    <w:link w:val="FooterCoverPageChar"/>
    <w:rsid w:val="001921C7"/>
    <w:pPr>
      <w:tabs>
        <w:tab w:val="center" w:pos="4535"/>
        <w:tab w:val="right" w:pos="9071"/>
        <w:tab w:val="right" w:pos="9921"/>
      </w:tabs>
      <w:spacing w:before="360"/>
      <w:ind w:left="-850" w:right="-850"/>
    </w:pPr>
    <w:rPr>
      <w:lang w:val="fr-BE"/>
    </w:rPr>
  </w:style>
  <w:style w:type="character" w:customStyle="1" w:styleId="FooterCoverPageChar">
    <w:name w:val="Footer Cover Page Char"/>
    <w:basedOn w:val="DefaultParagraphFont"/>
    <w:link w:val="FooterCoverPage"/>
    <w:rsid w:val="001921C7"/>
    <w:rPr>
      <w:rFonts w:ascii="Times New Roman" w:eastAsia="Times New Roman" w:hAnsi="Times New Roman" w:cs="Times New Roman"/>
      <w:sz w:val="24"/>
      <w:szCs w:val="24"/>
      <w:lang w:val="fr-BE" w:eastAsia="en-GB"/>
    </w:rPr>
  </w:style>
  <w:style w:type="paragraph" w:customStyle="1" w:styleId="HeaderCoverPage">
    <w:name w:val="Header Cover Page"/>
    <w:basedOn w:val="Normal"/>
    <w:link w:val="HeaderCoverPageChar"/>
    <w:rsid w:val="001921C7"/>
    <w:pPr>
      <w:tabs>
        <w:tab w:val="center" w:pos="4535"/>
        <w:tab w:val="right" w:pos="9071"/>
      </w:tabs>
      <w:spacing w:after="120"/>
      <w:jc w:val="both"/>
    </w:pPr>
    <w:rPr>
      <w:lang w:val="fr-BE"/>
    </w:rPr>
  </w:style>
  <w:style w:type="character" w:customStyle="1" w:styleId="HeaderCoverPageChar">
    <w:name w:val="Header Cover Page Char"/>
    <w:basedOn w:val="DefaultParagraphFont"/>
    <w:link w:val="HeaderCoverPage"/>
    <w:rsid w:val="001921C7"/>
    <w:rPr>
      <w:rFonts w:ascii="Times New Roman" w:eastAsia="Times New Roman" w:hAnsi="Times New Roman" w:cs="Times New Roman"/>
      <w:sz w:val="24"/>
      <w:szCs w:val="24"/>
      <w:lang w:val="fr-BE" w:eastAsia="en-GB"/>
    </w:rPr>
  </w:style>
  <w:style w:type="paragraph" w:styleId="BalloonText">
    <w:name w:val="Balloon Text"/>
    <w:basedOn w:val="Normal"/>
    <w:link w:val="BalloonTextChar"/>
    <w:uiPriority w:val="99"/>
    <w:semiHidden/>
    <w:unhideWhenUsed/>
    <w:rsid w:val="001921C7"/>
    <w:rPr>
      <w:rFonts w:ascii="Tahoma" w:hAnsi="Tahoma" w:cs="Tahoma"/>
      <w:sz w:val="16"/>
      <w:szCs w:val="16"/>
    </w:rPr>
  </w:style>
  <w:style w:type="character" w:customStyle="1" w:styleId="BalloonTextChar">
    <w:name w:val="Balloon Text Char"/>
    <w:basedOn w:val="DefaultParagraphFont"/>
    <w:link w:val="BalloonText"/>
    <w:uiPriority w:val="99"/>
    <w:semiHidden/>
    <w:rsid w:val="001921C7"/>
    <w:rPr>
      <w:rFonts w:ascii="Tahoma" w:eastAsia="Times New Roman" w:hAnsi="Tahoma" w:cs="Tahoma"/>
      <w:sz w:val="16"/>
      <w:szCs w:val="16"/>
      <w:lang w:eastAsia="en-GB"/>
    </w:rPr>
  </w:style>
  <w:style w:type="character" w:customStyle="1" w:styleId="Marker">
    <w:name w:val="Marker"/>
    <w:basedOn w:val="DefaultParagraphFont"/>
    <w:rsid w:val="00A10BF1"/>
    <w:rPr>
      <w:color w:val="0000FF"/>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1C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21C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decouverture">
    <w:name w:val="Page de couverture"/>
    <w:basedOn w:val="Normal"/>
    <w:next w:val="Normal"/>
    <w:rsid w:val="001921C7"/>
    <w:pPr>
      <w:jc w:val="both"/>
    </w:pPr>
    <w:rPr>
      <w:rFonts w:eastAsiaTheme="minorHAnsi"/>
      <w:szCs w:val="22"/>
      <w:lang w:eastAsia="en-US"/>
    </w:rPr>
  </w:style>
  <w:style w:type="paragraph" w:styleId="Header">
    <w:name w:val="header"/>
    <w:basedOn w:val="Normal"/>
    <w:link w:val="HeaderChar"/>
    <w:uiPriority w:val="99"/>
    <w:unhideWhenUsed/>
    <w:rsid w:val="001921C7"/>
    <w:pPr>
      <w:tabs>
        <w:tab w:val="center" w:pos="4536"/>
        <w:tab w:val="right" w:pos="9072"/>
      </w:tabs>
    </w:pPr>
  </w:style>
  <w:style w:type="character" w:customStyle="1" w:styleId="HeaderChar">
    <w:name w:val="Header Char"/>
    <w:basedOn w:val="DefaultParagraphFont"/>
    <w:link w:val="Header"/>
    <w:uiPriority w:val="99"/>
    <w:rsid w:val="001921C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921C7"/>
    <w:pPr>
      <w:tabs>
        <w:tab w:val="center" w:pos="4536"/>
        <w:tab w:val="right" w:pos="9072"/>
      </w:tabs>
    </w:pPr>
  </w:style>
  <w:style w:type="character" w:customStyle="1" w:styleId="FooterChar">
    <w:name w:val="Footer Char"/>
    <w:basedOn w:val="DefaultParagraphFont"/>
    <w:link w:val="Footer"/>
    <w:uiPriority w:val="99"/>
    <w:rsid w:val="001921C7"/>
    <w:rPr>
      <w:rFonts w:ascii="Times New Roman" w:eastAsia="Times New Roman" w:hAnsi="Times New Roman" w:cs="Times New Roman"/>
      <w:sz w:val="24"/>
      <w:szCs w:val="24"/>
      <w:lang w:eastAsia="en-GB"/>
    </w:rPr>
  </w:style>
  <w:style w:type="paragraph" w:customStyle="1" w:styleId="FooterCoverPage">
    <w:name w:val="Footer Cover Page"/>
    <w:basedOn w:val="Normal"/>
    <w:link w:val="FooterCoverPageChar"/>
    <w:rsid w:val="001921C7"/>
    <w:pPr>
      <w:tabs>
        <w:tab w:val="center" w:pos="4535"/>
        <w:tab w:val="right" w:pos="9071"/>
        <w:tab w:val="right" w:pos="9921"/>
      </w:tabs>
      <w:spacing w:before="360"/>
      <w:ind w:left="-850" w:right="-850"/>
    </w:pPr>
    <w:rPr>
      <w:lang w:val="fr-BE"/>
    </w:rPr>
  </w:style>
  <w:style w:type="character" w:customStyle="1" w:styleId="FooterCoverPageChar">
    <w:name w:val="Footer Cover Page Char"/>
    <w:basedOn w:val="DefaultParagraphFont"/>
    <w:link w:val="FooterCoverPage"/>
    <w:rsid w:val="001921C7"/>
    <w:rPr>
      <w:rFonts w:ascii="Times New Roman" w:eastAsia="Times New Roman" w:hAnsi="Times New Roman" w:cs="Times New Roman"/>
      <w:sz w:val="24"/>
      <w:szCs w:val="24"/>
      <w:lang w:val="fr-BE" w:eastAsia="en-GB"/>
    </w:rPr>
  </w:style>
  <w:style w:type="paragraph" w:customStyle="1" w:styleId="HeaderCoverPage">
    <w:name w:val="Header Cover Page"/>
    <w:basedOn w:val="Normal"/>
    <w:link w:val="HeaderCoverPageChar"/>
    <w:rsid w:val="001921C7"/>
    <w:pPr>
      <w:tabs>
        <w:tab w:val="center" w:pos="4535"/>
        <w:tab w:val="right" w:pos="9071"/>
      </w:tabs>
      <w:spacing w:after="120"/>
      <w:jc w:val="both"/>
    </w:pPr>
    <w:rPr>
      <w:lang w:val="fr-BE"/>
    </w:rPr>
  </w:style>
  <w:style w:type="character" w:customStyle="1" w:styleId="HeaderCoverPageChar">
    <w:name w:val="Header Cover Page Char"/>
    <w:basedOn w:val="DefaultParagraphFont"/>
    <w:link w:val="HeaderCoverPage"/>
    <w:rsid w:val="001921C7"/>
    <w:rPr>
      <w:rFonts w:ascii="Times New Roman" w:eastAsia="Times New Roman" w:hAnsi="Times New Roman" w:cs="Times New Roman"/>
      <w:sz w:val="24"/>
      <w:szCs w:val="24"/>
      <w:lang w:val="fr-BE" w:eastAsia="en-GB"/>
    </w:rPr>
  </w:style>
  <w:style w:type="paragraph" w:styleId="BalloonText">
    <w:name w:val="Balloon Text"/>
    <w:basedOn w:val="Normal"/>
    <w:link w:val="BalloonTextChar"/>
    <w:uiPriority w:val="99"/>
    <w:semiHidden/>
    <w:unhideWhenUsed/>
    <w:rsid w:val="001921C7"/>
    <w:rPr>
      <w:rFonts w:ascii="Tahoma" w:hAnsi="Tahoma" w:cs="Tahoma"/>
      <w:sz w:val="16"/>
      <w:szCs w:val="16"/>
    </w:rPr>
  </w:style>
  <w:style w:type="character" w:customStyle="1" w:styleId="BalloonTextChar">
    <w:name w:val="Balloon Text Char"/>
    <w:basedOn w:val="DefaultParagraphFont"/>
    <w:link w:val="BalloonText"/>
    <w:uiPriority w:val="99"/>
    <w:semiHidden/>
    <w:rsid w:val="001921C7"/>
    <w:rPr>
      <w:rFonts w:ascii="Tahoma" w:eastAsia="Times New Roman" w:hAnsi="Tahoma" w:cs="Tahoma"/>
      <w:sz w:val="16"/>
      <w:szCs w:val="16"/>
      <w:lang w:eastAsia="en-GB"/>
    </w:rPr>
  </w:style>
  <w:style w:type="character" w:customStyle="1" w:styleId="Marker">
    <w:name w:val="Marker"/>
    <w:basedOn w:val="DefaultParagraphFont"/>
    <w:rsid w:val="00A10BF1"/>
    <w:rPr>
      <w:color w:val="0000FF"/>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1489</Words>
  <Characters>8222</Characters>
  <Application>Microsoft Office Word</Application>
  <DocSecurity>0</DocSecurity>
  <Lines>112</Lines>
  <Paragraphs>43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SALAS FERRER Blanca (TRADE)</dc:creator>
  <cp:lastModifiedBy>KITRIMI Efstathia (SG)</cp:lastModifiedBy>
  <cp:revision>4</cp:revision>
  <dcterms:created xsi:type="dcterms:W3CDTF">2017-09-06T11:41:00Z</dcterms:created>
  <dcterms:modified xsi:type="dcterms:W3CDTF">2017-09-12T11:02:00Z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