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89" w:rsidRDefault="00D660BC" w:rsidP="00D660BC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CE818A39F49450EB12BD481F77CEE9C" style="width:450.25pt;height:420.2pt">
            <v:imagedata r:id="rId9" o:title=""/>
          </v:shape>
        </w:pict>
      </w:r>
    </w:p>
    <w:bookmarkEnd w:id="0"/>
    <w:p w:rsidR="00D33F89" w:rsidRDefault="00D33F89">
      <w:pPr>
        <w:rPr>
          <w:noProof/>
        </w:rPr>
        <w:sectPr w:rsidR="00D33F89" w:rsidSect="00D660B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33F89" w:rsidRDefault="007F1240">
      <w:pPr>
        <w:pStyle w:val="Annexetitre"/>
        <w:rPr>
          <w:noProof/>
        </w:rPr>
      </w:pPr>
      <w:bookmarkStart w:id="1" w:name="_GoBack"/>
      <w:bookmarkEnd w:id="1"/>
      <w:r>
        <w:rPr>
          <w:noProof/>
        </w:rPr>
        <w:lastRenderedPageBreak/>
        <w:t>Annex</w:t>
      </w:r>
      <w:r>
        <w:rPr>
          <w:noProof/>
        </w:rPr>
        <w:br/>
        <w:t>Next steps on key actions for a smart, innovative and sustainable industry</w:t>
      </w:r>
    </w:p>
    <w:p w:rsidR="00D33F89" w:rsidRDefault="007F1240">
      <w:pPr>
        <w:pStyle w:val="Default"/>
        <w:spacing w:after="240"/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This Annex provides a </w:t>
      </w:r>
      <w:r>
        <w:rPr>
          <w:noProof/>
          <w:lang w:eastAsia="en-GB"/>
        </w:rPr>
        <w:t>non-exhaustive overview of key actions for a smart, innovative and sustainable industry and sets out the next steps towards their implementation, the timeline for the next steps as well as the main players concerned.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3711"/>
        <w:gridCol w:w="1501"/>
      </w:tblGrid>
      <w:tr w:rsidR="00D33F89">
        <w:tc>
          <w:tcPr>
            <w:tcW w:w="9289" w:type="dxa"/>
            <w:gridSpan w:val="3"/>
            <w:shd w:val="clear" w:color="auto" w:fill="D9D9D9" w:themeFill="background1" w:themeFillShade="D9"/>
          </w:tcPr>
          <w:p w:rsidR="00D33F89" w:rsidRDefault="007F1240">
            <w:pPr>
              <w:pStyle w:val="Sous-titreobjetPagedecouverture"/>
              <w:spacing w:before="120" w:after="120"/>
              <w:jc w:val="both"/>
              <w:rPr>
                <w:rFonts w:ascii="Times New Roman Bold" w:hAnsi="Times New Roman Bold"/>
                <w:smallCaps/>
                <w:noProof/>
              </w:rPr>
            </w:pPr>
            <w:r>
              <w:rPr>
                <w:rFonts w:ascii="Times New Roman Bold" w:hAnsi="Times New Roman Bold"/>
                <w:smallCaps/>
                <w:noProof/>
              </w:rPr>
              <w:t>A deeper and fairer Single Market: empo</w:t>
            </w:r>
            <w:r>
              <w:rPr>
                <w:rFonts w:ascii="Times New Roman Bold" w:hAnsi="Times New Roman Bold"/>
                <w:smallCaps/>
                <w:noProof/>
              </w:rPr>
              <w:t>wering people and businesses</w:t>
            </w:r>
          </w:p>
        </w:tc>
      </w:tr>
      <w:tr w:rsidR="00D33F89">
        <w:tc>
          <w:tcPr>
            <w:tcW w:w="4077" w:type="dxa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Modernisation of standardisation system and European agenda for the collaborative economy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Service package and compliance package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Goods package, procurement package, intellectual property rights package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 xml:space="preserve">A New Skills Agenda </w:t>
            </w:r>
            <w:r>
              <w:rPr>
                <w:b w:val="0"/>
                <w:i/>
                <w:noProof/>
                <w:sz w:val="20"/>
                <w:szCs w:val="20"/>
              </w:rPr>
              <w:t>for Europe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European Social Fund and European Globalisation Adjustment Fund for better anticipation and management and of change</w:t>
            </w:r>
          </w:p>
          <w:p w:rsidR="00D33F89" w:rsidRDefault="007F1240">
            <w:pPr>
              <w:pStyle w:val="Default"/>
              <w:spacing w:after="240"/>
              <w:jc w:val="both"/>
              <w:rPr>
                <w:noProof/>
                <w:sz w:val="20"/>
                <w:szCs w:val="20"/>
                <w:lang w:eastAsia="en-GB"/>
              </w:rPr>
            </w:pPr>
            <w:r>
              <w:rPr>
                <w:i/>
                <w:noProof/>
                <w:sz w:val="20"/>
                <w:szCs w:val="20"/>
              </w:rPr>
              <w:t>European Pillar of Social Rights</w:t>
            </w:r>
          </w:p>
        </w:tc>
        <w:tc>
          <w:tcPr>
            <w:tcW w:w="3711" w:type="dxa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Implementation by the Commission, Member States and standardisation organisations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adopte</w:t>
            </w:r>
            <w:r>
              <w:rPr>
                <w:b w:val="0"/>
                <w:i/>
                <w:noProof/>
                <w:sz w:val="20"/>
                <w:szCs w:val="20"/>
              </w:rPr>
              <w:t xml:space="preserve">d by the European Parliament and the Council / 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  <w:t>Implementation by Member States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proposed by the Commission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Implementation by the Commission and Member States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Implementation by the Commission and Member States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 xml:space="preserve">Proclamation to be agreed by the </w:t>
            </w:r>
            <w:r>
              <w:rPr>
                <w:b w:val="0"/>
                <w:i/>
                <w:noProof/>
                <w:sz w:val="20"/>
                <w:szCs w:val="20"/>
              </w:rPr>
              <w:t>European Parliament and the Council</w:t>
            </w:r>
          </w:p>
        </w:tc>
        <w:tc>
          <w:tcPr>
            <w:tcW w:w="1501" w:type="dxa"/>
          </w:tcPr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Ongoing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2017/2018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  <w:t>Ongoing</w:t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Ongoing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Ongoing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</w:p>
        </w:tc>
      </w:tr>
    </w:tbl>
    <w:p w:rsidR="00D33F89" w:rsidRDefault="00D33F89">
      <w:pPr>
        <w:pStyle w:val="Default"/>
        <w:spacing w:after="240"/>
        <w:jc w:val="both"/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3711"/>
        <w:gridCol w:w="1501"/>
      </w:tblGrid>
      <w:tr w:rsidR="00D33F89">
        <w:tc>
          <w:tcPr>
            <w:tcW w:w="9289" w:type="dxa"/>
            <w:gridSpan w:val="3"/>
            <w:shd w:val="clear" w:color="auto" w:fill="D9D9D9" w:themeFill="background1" w:themeFillShade="D9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rFonts w:ascii="Times New Roman Bold" w:hAnsi="Times New Roman Bold"/>
                <w:smallCaps/>
                <w:noProof/>
              </w:rPr>
            </w:pPr>
            <w:r>
              <w:rPr>
                <w:rFonts w:ascii="Times New Roman Bold" w:hAnsi="Times New Roman Bold"/>
                <w:smallCaps/>
                <w:noProof/>
              </w:rPr>
              <w:t>Upgrading industry for the digital age</w:t>
            </w:r>
          </w:p>
        </w:tc>
      </w:tr>
      <w:tr w:rsidR="00D33F89">
        <w:tc>
          <w:tcPr>
            <w:tcW w:w="4077" w:type="dxa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Strategy on Digitising European Industry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Connectivity for the Digital Single Market and 5G Action Plan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Cyber-security</w:t>
            </w:r>
            <w:r>
              <w:rPr>
                <w:b w:val="0"/>
                <w:i/>
                <w:noProof/>
                <w:sz w:val="20"/>
                <w:szCs w:val="20"/>
              </w:rPr>
              <w:t xml:space="preserve"> package including a certification framework for information and communication technologies and a European Cyber Security Research and Competence Centre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Free flow of data initiative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color w:val="000000"/>
                <w:sz w:val="20"/>
                <w:szCs w:val="20"/>
              </w:rPr>
              <w:t>Initiative on accessibility and re-use of public and publicly funded dat</w:t>
            </w:r>
            <w:r>
              <w:rPr>
                <w:b w:val="0"/>
                <w:i/>
                <w:noProof/>
                <w:color w:val="000000"/>
                <w:sz w:val="20"/>
                <w:szCs w:val="20"/>
              </w:rPr>
              <w:t>a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Cross-border corridors for connected and automated mobility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 xml:space="preserve">Initiative for a Digital Opportunity scheme 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 xml:space="preserve">Initiative to create a world-class European high-performance computing and big data ecosystem </w:t>
            </w:r>
          </w:p>
          <w:p w:rsidR="00D33F89" w:rsidRDefault="007F1240">
            <w:pPr>
              <w:pStyle w:val="Default"/>
              <w:spacing w:after="240"/>
              <w:jc w:val="both"/>
              <w:rPr>
                <w:noProof/>
                <w:sz w:val="20"/>
                <w:szCs w:val="20"/>
                <w:lang w:eastAsia="en-GB"/>
              </w:rPr>
            </w:pPr>
            <w:r>
              <w:rPr>
                <w:i/>
                <w:noProof/>
                <w:sz w:val="20"/>
                <w:szCs w:val="20"/>
              </w:rPr>
              <w:t xml:space="preserve">Initiative on online platforms-to-business </w:t>
            </w:r>
            <w:r>
              <w:rPr>
                <w:i/>
                <w:noProof/>
                <w:sz w:val="20"/>
                <w:szCs w:val="20"/>
              </w:rPr>
              <w:lastRenderedPageBreak/>
              <w:t>relations</w:t>
            </w:r>
          </w:p>
        </w:tc>
        <w:tc>
          <w:tcPr>
            <w:tcW w:w="3711" w:type="dxa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lastRenderedPageBreak/>
              <w:t>I</w:t>
            </w:r>
            <w:r>
              <w:rPr>
                <w:b w:val="0"/>
                <w:i/>
                <w:noProof/>
                <w:sz w:val="20"/>
                <w:szCs w:val="20"/>
              </w:rPr>
              <w:t xml:space="preserve">mplementation by the Commission and Member States 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 xml:space="preserve">To be adopted by the European Parliament and the Council / 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  <w:t>Implementation by the Commission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 xml:space="preserve">To be adopted by the European Parliament and the Council / 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  <w:t>Implementation by the Commission and Member States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adopted by the European Parliament and the Council /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  <w:t>Implementation by the Commission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proposed by the Commission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Implementation by the Commission and Member States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proposed by the Commission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proposed by the Commission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 xml:space="preserve">To be </w:t>
            </w:r>
            <w:r>
              <w:rPr>
                <w:b w:val="0"/>
                <w:i/>
                <w:noProof/>
                <w:sz w:val="20"/>
                <w:szCs w:val="20"/>
              </w:rPr>
              <w:t>proposed by the Commission</w:t>
            </w:r>
          </w:p>
        </w:tc>
        <w:tc>
          <w:tcPr>
            <w:tcW w:w="1501" w:type="dxa"/>
          </w:tcPr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Ongoing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  <w:t>Ongoing</w:t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  <w:t>Ongoing</w:t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</w:p>
        </w:tc>
      </w:tr>
    </w:tbl>
    <w:p w:rsidR="00D33F89" w:rsidRDefault="00D33F89">
      <w:pPr>
        <w:pStyle w:val="Sous-titreobjetPagedecouverture"/>
        <w:spacing w:before="120" w:after="120"/>
        <w:jc w:val="left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3711"/>
        <w:gridCol w:w="1501"/>
      </w:tblGrid>
      <w:tr w:rsidR="00D33F89">
        <w:tc>
          <w:tcPr>
            <w:tcW w:w="9289" w:type="dxa"/>
            <w:gridSpan w:val="3"/>
            <w:shd w:val="clear" w:color="auto" w:fill="D9D9D9" w:themeFill="background1" w:themeFillShade="D9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rFonts w:ascii="Times New Roman Bold" w:hAnsi="Times New Roman Bold"/>
                <w:smallCaps/>
                <w:noProof/>
              </w:rPr>
            </w:pPr>
            <w:r>
              <w:rPr>
                <w:rFonts w:ascii="Times New Roman Bold" w:hAnsi="Times New Roman Bold"/>
                <w:smallCaps/>
                <w:noProof/>
              </w:rPr>
              <w:t>Building on Europe’s leadership in a low-carbon and circular economy</w:t>
            </w:r>
          </w:p>
        </w:tc>
      </w:tr>
      <w:tr w:rsidR="00D33F89">
        <w:tc>
          <w:tcPr>
            <w:tcW w:w="4077" w:type="dxa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Revised Emission Trading System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Innovation Fund and Modernisation Fund proposals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Clean energy package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Second Mobility package, including CO2 standards for cars and vans, an initiative on batteries and an Action Plan on Alternative Fuels Infrastructure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CO2 standards for heavy-duty vehicles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Bioeconomy Strategy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New circular economy packa</w:t>
            </w:r>
            <w:r>
              <w:rPr>
                <w:b w:val="0"/>
                <w:i/>
                <w:noProof/>
                <w:sz w:val="20"/>
                <w:szCs w:val="20"/>
              </w:rPr>
              <w:t>ge, including a strategy on plastics</w:t>
            </w:r>
          </w:p>
          <w:p w:rsidR="00D33F89" w:rsidRDefault="007F1240">
            <w:pPr>
              <w:pStyle w:val="Default"/>
              <w:spacing w:after="240"/>
              <w:jc w:val="both"/>
              <w:rPr>
                <w:noProof/>
                <w:sz w:val="20"/>
                <w:szCs w:val="20"/>
                <w:lang w:eastAsia="en-GB"/>
              </w:rPr>
            </w:pPr>
            <w:r>
              <w:rPr>
                <w:i/>
                <w:noProof/>
                <w:sz w:val="20"/>
                <w:szCs w:val="20"/>
              </w:rPr>
              <w:t>Action Plan on sustainable finance</w:t>
            </w:r>
          </w:p>
        </w:tc>
        <w:tc>
          <w:tcPr>
            <w:tcW w:w="3711" w:type="dxa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adopted by the European Parliament and the Council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proposed by the Commission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adopted by the European Parliament and the Council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proposed by the Commission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proposed by the Commission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proposed by the Commission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proposed by the Commission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Defaul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To be proposed by the Commission</w:t>
            </w:r>
          </w:p>
        </w:tc>
        <w:tc>
          <w:tcPr>
            <w:tcW w:w="1501" w:type="dxa"/>
          </w:tcPr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</w:p>
        </w:tc>
      </w:tr>
    </w:tbl>
    <w:p w:rsidR="00D33F89" w:rsidRDefault="00D33F89">
      <w:pPr>
        <w:pStyle w:val="Sous-titreobjetPagedecouverture"/>
        <w:spacing w:before="120" w:after="120"/>
        <w:jc w:val="left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3711"/>
        <w:gridCol w:w="1501"/>
      </w:tblGrid>
      <w:tr w:rsidR="00D33F89">
        <w:tc>
          <w:tcPr>
            <w:tcW w:w="9289" w:type="dxa"/>
            <w:gridSpan w:val="3"/>
            <w:shd w:val="clear" w:color="auto" w:fill="D9D9D9" w:themeFill="background1" w:themeFillShade="D9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rFonts w:ascii="Times New Roman Bold" w:hAnsi="Times New Roman Bold"/>
                <w:smallCaps/>
                <w:noProof/>
              </w:rPr>
            </w:pPr>
            <w:r>
              <w:rPr>
                <w:rFonts w:ascii="Times New Roman Bold" w:hAnsi="Times New Roman Bold"/>
                <w:smallCaps/>
                <w:noProof/>
              </w:rPr>
              <w:t>Investing in the industry of the future</w:t>
            </w:r>
          </w:p>
        </w:tc>
      </w:tr>
      <w:tr w:rsidR="00D33F89">
        <w:tc>
          <w:tcPr>
            <w:tcW w:w="4077" w:type="dxa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 xml:space="preserve">Revision and extension of the </w:t>
            </w:r>
            <w:r>
              <w:rPr>
                <w:b w:val="0"/>
                <w:i/>
                <w:noProof/>
                <w:sz w:val="20"/>
                <w:szCs w:val="20"/>
              </w:rPr>
              <w:t>European Fund for Strategic Investment (EFSI 2.0)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Initiatives on securitisation, venture capital and social entrepreneurship funds, infrastructure investments or simplified prospectus rules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Pan-European Venture Capital Fund of Funds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Remaining Capital Marke</w:t>
            </w:r>
            <w:r>
              <w:rPr>
                <w:b w:val="0"/>
                <w:i/>
                <w:noProof/>
                <w:sz w:val="20"/>
                <w:szCs w:val="20"/>
              </w:rPr>
              <w:t>ts Union priority initiatives, including on SME listing on public markets or financial technology (FinTech), including crowdfunding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European Scale-Up Action for Risk Capital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 xml:space="preserve">Launch of the European Defence Fund, including a proposal for a European Defence </w:t>
            </w:r>
            <w:r>
              <w:rPr>
                <w:b w:val="0"/>
                <w:i/>
                <w:noProof/>
                <w:sz w:val="20"/>
                <w:szCs w:val="20"/>
              </w:rPr>
              <w:t>Industrial Development Programme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Default"/>
              <w:spacing w:after="240"/>
              <w:jc w:val="both"/>
              <w:rPr>
                <w:noProof/>
                <w:sz w:val="20"/>
                <w:szCs w:val="20"/>
                <w:lang w:eastAsia="en-GB"/>
              </w:rPr>
            </w:pPr>
            <w:r>
              <w:rPr>
                <w:i/>
                <w:noProof/>
                <w:sz w:val="20"/>
                <w:szCs w:val="20"/>
              </w:rPr>
              <w:t>Strategic forum for Important Projects of Common European Interest</w:t>
            </w:r>
          </w:p>
        </w:tc>
        <w:tc>
          <w:tcPr>
            <w:tcW w:w="3711" w:type="dxa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 xml:space="preserve">To be adopted by the European Parliament and the Council 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Implementation by the Member States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Implementation by the Commission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proposed by the Comm</w:t>
            </w:r>
            <w:r>
              <w:rPr>
                <w:b w:val="0"/>
                <w:i/>
                <w:noProof/>
                <w:sz w:val="20"/>
                <w:szCs w:val="20"/>
              </w:rPr>
              <w:t xml:space="preserve">ission 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launched by the Commission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 xml:space="preserve">To be adopted by the European Parliament and the Council / Development of financial toolbox by the Commission and Member States </w:t>
            </w:r>
          </w:p>
          <w:p w:rsidR="00D33F89" w:rsidRDefault="007F1240">
            <w:pPr>
              <w:pStyle w:val="Default"/>
              <w:spacing w:after="240"/>
              <w:jc w:val="both"/>
              <w:rPr>
                <w:noProof/>
                <w:sz w:val="20"/>
                <w:szCs w:val="20"/>
                <w:lang w:eastAsia="en-GB"/>
              </w:rPr>
            </w:pPr>
            <w:r>
              <w:rPr>
                <w:i/>
                <w:noProof/>
                <w:sz w:val="20"/>
                <w:szCs w:val="20"/>
              </w:rPr>
              <w:t>To be launched by the Commission</w:t>
            </w:r>
          </w:p>
        </w:tc>
        <w:tc>
          <w:tcPr>
            <w:tcW w:w="1501" w:type="dxa"/>
          </w:tcPr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Ongoing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Ongoing</w:t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</w:p>
        </w:tc>
      </w:tr>
    </w:tbl>
    <w:p w:rsidR="00D33F89" w:rsidRDefault="00D33F89">
      <w:pPr>
        <w:pStyle w:val="Sous-titreobjetPagedecouverture"/>
        <w:spacing w:before="120" w:after="120"/>
        <w:jc w:val="left"/>
        <w:rPr>
          <w:b w:val="0"/>
          <w:i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3711"/>
        <w:gridCol w:w="1501"/>
      </w:tblGrid>
      <w:tr w:rsidR="00D33F89">
        <w:tc>
          <w:tcPr>
            <w:tcW w:w="9289" w:type="dxa"/>
            <w:gridSpan w:val="3"/>
            <w:shd w:val="clear" w:color="auto" w:fill="D9D9D9" w:themeFill="background1" w:themeFillShade="D9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rFonts w:ascii="Times New Roman Bold" w:hAnsi="Times New Roman Bold"/>
                <w:smallCaps/>
                <w:noProof/>
              </w:rPr>
            </w:pPr>
            <w:r>
              <w:rPr>
                <w:rFonts w:ascii="Times New Roman Bold" w:hAnsi="Times New Roman Bold"/>
                <w:smallCaps/>
                <w:noProof/>
              </w:rPr>
              <w:t>Supporting industrial innovation on the ground</w:t>
            </w:r>
          </w:p>
        </w:tc>
      </w:tr>
      <w:tr w:rsidR="00D33F89">
        <w:tc>
          <w:tcPr>
            <w:tcW w:w="4077" w:type="dxa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Start-up and scale-up initiative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lastRenderedPageBreak/>
              <w:t>Innovation incentives in the context of the Common Consolidated Corporate Tax Base proposals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Three VAT packages for the creation of a single EU VAT area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Proposal to empower</w:t>
            </w:r>
            <w:r>
              <w:rPr>
                <w:b w:val="0"/>
                <w:i/>
                <w:noProof/>
                <w:sz w:val="20"/>
                <w:szCs w:val="20"/>
              </w:rPr>
              <w:t xml:space="preserve"> National Competition Authorities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European Innovation Council pilot project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High Level Group on Key Enabling Technologies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Introduction of the innovation principle in EU regulation</w:t>
            </w:r>
            <w:r>
              <w:rPr>
                <w:i/>
                <w:noProof/>
                <w:sz w:val="20"/>
                <w:szCs w:val="20"/>
              </w:rPr>
              <w:t xml:space="preserve"> </w:t>
            </w:r>
          </w:p>
          <w:p w:rsidR="00D33F89" w:rsidRDefault="007F1240">
            <w:pPr>
              <w:pStyle w:val="Default"/>
              <w:spacing w:after="240"/>
              <w:jc w:val="both"/>
              <w:rPr>
                <w:noProof/>
                <w:sz w:val="20"/>
                <w:szCs w:val="20"/>
                <w:lang w:eastAsia="en-GB"/>
              </w:rPr>
            </w:pPr>
            <w:r>
              <w:rPr>
                <w:i/>
                <w:noProof/>
                <w:sz w:val="20"/>
                <w:szCs w:val="20"/>
              </w:rPr>
              <w:t>European Cluster Policy Forum</w:t>
            </w:r>
          </w:p>
        </w:tc>
        <w:tc>
          <w:tcPr>
            <w:tcW w:w="3711" w:type="dxa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lastRenderedPageBreak/>
              <w:t xml:space="preserve">Implementation by the Commission and Member </w:t>
            </w:r>
            <w:r>
              <w:rPr>
                <w:b w:val="0"/>
                <w:i/>
                <w:noProof/>
                <w:sz w:val="20"/>
                <w:szCs w:val="20"/>
              </w:rPr>
              <w:t>States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lastRenderedPageBreak/>
              <w:t>To be adopted by the Council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proposed by the Commission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 xml:space="preserve">To be adopted by the European Parliament and the Council 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Implementation by the Commission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First meeting to be organised by the Commission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Implementation by the Commission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Default"/>
              <w:spacing w:after="240"/>
              <w:jc w:val="both"/>
              <w:rPr>
                <w:noProof/>
              </w:rPr>
            </w:pPr>
            <w:r>
              <w:rPr>
                <w:i/>
                <w:noProof/>
                <w:sz w:val="20"/>
                <w:szCs w:val="20"/>
              </w:rPr>
              <w:t>To be laun</w:t>
            </w:r>
            <w:r>
              <w:rPr>
                <w:i/>
                <w:noProof/>
                <w:sz w:val="20"/>
                <w:szCs w:val="20"/>
              </w:rPr>
              <w:t>ched by the Commission</w:t>
            </w:r>
          </w:p>
        </w:tc>
        <w:tc>
          <w:tcPr>
            <w:tcW w:w="1501" w:type="dxa"/>
          </w:tcPr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lastRenderedPageBreak/>
              <w:t>Ongoing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lastRenderedPageBreak/>
              <w:t>2018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2017/2018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Ongoing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</w:p>
        </w:tc>
      </w:tr>
    </w:tbl>
    <w:p w:rsidR="00D33F89" w:rsidRDefault="00D33F89">
      <w:pPr>
        <w:pStyle w:val="Sous-titreobjetPagedecouverture"/>
        <w:spacing w:before="120" w:after="120"/>
        <w:jc w:val="left"/>
        <w:rPr>
          <w:b w:val="0"/>
          <w:i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3711"/>
        <w:gridCol w:w="1501"/>
      </w:tblGrid>
      <w:tr w:rsidR="00D33F89">
        <w:tc>
          <w:tcPr>
            <w:tcW w:w="9289" w:type="dxa"/>
            <w:gridSpan w:val="3"/>
            <w:shd w:val="clear" w:color="auto" w:fill="D9D9D9" w:themeFill="background1" w:themeFillShade="D9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rFonts w:ascii="Times New Roman Bold" w:hAnsi="Times New Roman Bold"/>
                <w:smallCaps/>
                <w:noProof/>
              </w:rPr>
            </w:pPr>
            <w:r>
              <w:rPr>
                <w:rFonts w:ascii="Times New Roman Bold" w:hAnsi="Times New Roman Bold"/>
                <w:smallCaps/>
                <w:noProof/>
              </w:rPr>
              <w:t>The international dimension</w:t>
            </w:r>
          </w:p>
        </w:tc>
      </w:tr>
      <w:tr w:rsidR="00D33F89">
        <w:tc>
          <w:tcPr>
            <w:tcW w:w="4077" w:type="dxa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Trade agreement with Canada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Trade agreement with Japan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 xml:space="preserve">Trade agreements with Mercosur, Australia, New Zeland, Chile, Mexico, Vietnam and </w:t>
            </w:r>
            <w:r>
              <w:rPr>
                <w:b w:val="0"/>
                <w:i/>
                <w:noProof/>
                <w:sz w:val="20"/>
                <w:szCs w:val="20"/>
              </w:rPr>
              <w:t>Singapore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Modernisation of trade defence instruments and new anti-dumping calculation methodology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International Procurement Instrument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Default"/>
              <w:spacing w:after="240"/>
              <w:jc w:val="both"/>
              <w:rPr>
                <w:noProof/>
                <w:sz w:val="20"/>
                <w:szCs w:val="20"/>
                <w:lang w:eastAsia="en-GB"/>
              </w:rPr>
            </w:pPr>
            <w:r>
              <w:rPr>
                <w:i/>
                <w:noProof/>
                <w:sz w:val="20"/>
                <w:szCs w:val="20"/>
              </w:rPr>
              <w:t>EU framework to screen foreign direct investments</w:t>
            </w:r>
          </w:p>
        </w:tc>
        <w:tc>
          <w:tcPr>
            <w:tcW w:w="3711" w:type="dxa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Provisional application to take effect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 xml:space="preserve">To be finalised by the </w:t>
            </w:r>
            <w:r>
              <w:rPr>
                <w:b w:val="0"/>
                <w:i/>
                <w:noProof/>
                <w:sz w:val="20"/>
                <w:szCs w:val="20"/>
              </w:rPr>
              <w:t>Commission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Process ongoing</w:t>
            </w:r>
          </w:p>
          <w:p w:rsidR="00D33F89" w:rsidRDefault="00D33F89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</w:p>
          <w:p w:rsidR="00D33F89" w:rsidRDefault="00D33F89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adopted by the European Parliament and the Council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adopted by the European Parliament and the Council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To be adopted by the European Parliament and the Council</w:t>
            </w:r>
          </w:p>
        </w:tc>
        <w:tc>
          <w:tcPr>
            <w:tcW w:w="1501" w:type="dxa"/>
          </w:tcPr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D33F89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</w:p>
          <w:p w:rsidR="00D33F89" w:rsidRDefault="00D33F89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</w:p>
          <w:p w:rsidR="00D33F89" w:rsidRDefault="00D33F89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2017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</w:tc>
      </w:tr>
    </w:tbl>
    <w:p w:rsidR="00D33F89" w:rsidRDefault="00D33F89">
      <w:pPr>
        <w:pStyle w:val="Sous-titreobjetPagedecouverture"/>
        <w:spacing w:before="120" w:after="120"/>
        <w:jc w:val="left"/>
        <w:rPr>
          <w:b w:val="0"/>
          <w:i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3711"/>
        <w:gridCol w:w="1501"/>
      </w:tblGrid>
      <w:tr w:rsidR="00D33F89">
        <w:tc>
          <w:tcPr>
            <w:tcW w:w="9288" w:type="dxa"/>
            <w:gridSpan w:val="3"/>
            <w:shd w:val="clear" w:color="auto" w:fill="D9D9D9" w:themeFill="background1" w:themeFillShade="D9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rFonts w:ascii="Times New Roman Bold" w:hAnsi="Times New Roman Bold"/>
                <w:smallCaps/>
                <w:noProof/>
              </w:rPr>
            </w:pPr>
            <w:r>
              <w:rPr>
                <w:rFonts w:ascii="Times New Roman Bold" w:hAnsi="Times New Roman Bold"/>
                <w:smallCaps/>
                <w:noProof/>
              </w:rPr>
              <w:t xml:space="preserve">Partnership with </w:t>
            </w:r>
            <w:r>
              <w:rPr>
                <w:rFonts w:ascii="Times New Roman Bold" w:hAnsi="Times New Roman Bold"/>
                <w:smallCaps/>
                <w:noProof/>
              </w:rPr>
              <w:t>Member States, regions, cities and the private sector</w:t>
            </w:r>
          </w:p>
        </w:tc>
      </w:tr>
      <w:tr w:rsidR="00D33F89">
        <w:tc>
          <w:tcPr>
            <w:tcW w:w="4076" w:type="dxa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Smart specialisation strategies and Communication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  <w:lang w:val="en-GB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Structural Reform Support Programme</w:t>
            </w:r>
          </w:p>
          <w:p w:rsidR="00D33F89" w:rsidRDefault="007F1240">
            <w:pPr>
              <w:pStyle w:val="Default"/>
              <w:spacing w:after="240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Investment Envoys in Commission Representations</w:t>
            </w:r>
          </w:p>
          <w:p w:rsidR="00D33F89" w:rsidRDefault="007F1240">
            <w:pPr>
              <w:pStyle w:val="Default"/>
              <w:spacing w:after="240"/>
              <w:rPr>
                <w:noProof/>
                <w:sz w:val="20"/>
                <w:szCs w:val="20"/>
                <w:lang w:eastAsia="en-GB"/>
              </w:rPr>
            </w:pPr>
            <w:r>
              <w:rPr>
                <w:i/>
                <w:noProof/>
                <w:sz w:val="20"/>
                <w:szCs w:val="20"/>
              </w:rPr>
              <w:t>High Level Industrial Roundtable</w:t>
            </w:r>
          </w:p>
        </w:tc>
        <w:tc>
          <w:tcPr>
            <w:tcW w:w="3711" w:type="dxa"/>
          </w:tcPr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Implementation by the Commission a</w:t>
            </w:r>
            <w:r>
              <w:rPr>
                <w:b w:val="0"/>
                <w:i/>
                <w:noProof/>
                <w:sz w:val="20"/>
                <w:szCs w:val="20"/>
              </w:rPr>
              <w:t>nd Member States</w:t>
            </w:r>
          </w:p>
          <w:p w:rsidR="00D33F89" w:rsidRDefault="007F1240">
            <w:pPr>
              <w:pStyle w:val="Sous-titreobjetPagedecouverture"/>
              <w:spacing w:before="120" w:after="120"/>
              <w:jc w:val="left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Implementation by the Commission</w:t>
            </w:r>
          </w:p>
          <w:p w:rsidR="00D33F89" w:rsidRDefault="007F1240">
            <w:pPr>
              <w:pStyle w:val="Default"/>
              <w:spacing w:after="240"/>
              <w:jc w:val="both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To be appointed by the Commission</w:t>
            </w:r>
            <w:r>
              <w:rPr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Default"/>
              <w:spacing w:after="240"/>
              <w:jc w:val="both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To be set up by the Commission</w:t>
            </w:r>
          </w:p>
        </w:tc>
        <w:tc>
          <w:tcPr>
            <w:tcW w:w="1501" w:type="dxa"/>
          </w:tcPr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Ongoing</w:t>
            </w:r>
            <w:r>
              <w:rPr>
                <w:b w:val="0"/>
                <w:i/>
                <w:noProof/>
                <w:sz w:val="20"/>
                <w:szCs w:val="20"/>
              </w:rPr>
              <w:br/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Ongoing</w:t>
            </w: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</w:p>
          <w:p w:rsidR="00D33F89" w:rsidRDefault="00D33F89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</w:p>
          <w:p w:rsidR="00D33F89" w:rsidRDefault="007F1240">
            <w:pPr>
              <w:pStyle w:val="Sous-titreobjetPagedecouverture"/>
              <w:spacing w:before="120" w:after="120"/>
              <w:rPr>
                <w:b w:val="0"/>
                <w:i/>
                <w:noProof/>
                <w:sz w:val="20"/>
                <w:szCs w:val="20"/>
              </w:rPr>
            </w:pPr>
            <w:r>
              <w:rPr>
                <w:b w:val="0"/>
                <w:i/>
                <w:noProof/>
                <w:sz w:val="20"/>
                <w:szCs w:val="20"/>
              </w:rPr>
              <w:t>2018</w:t>
            </w:r>
          </w:p>
        </w:tc>
      </w:tr>
    </w:tbl>
    <w:p w:rsidR="00D33F89" w:rsidRDefault="00D33F89">
      <w:pPr>
        <w:pStyle w:val="Sous-titreobjetPagedecouverture"/>
        <w:spacing w:before="120" w:after="120"/>
        <w:jc w:val="left"/>
        <w:rPr>
          <w:b w:val="0"/>
          <w:i/>
          <w:noProof/>
          <w:color w:val="000000"/>
        </w:rPr>
      </w:pPr>
    </w:p>
    <w:sectPr w:rsidR="00D33F8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300" w:right="1417" w:bottom="1300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40" w:rsidRDefault="007F1240">
      <w:pPr>
        <w:spacing w:after="0" w:line="240" w:lineRule="auto"/>
      </w:pPr>
      <w:r>
        <w:separator/>
      </w:r>
    </w:p>
  </w:endnote>
  <w:endnote w:type="continuationSeparator" w:id="0">
    <w:p w:rsidR="007F1240" w:rsidRDefault="007F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BC" w:rsidRPr="00D660BC" w:rsidRDefault="00D660BC" w:rsidP="00D660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BC" w:rsidRPr="00D660BC" w:rsidRDefault="00D660BC" w:rsidP="00D660BC">
    <w:pPr>
      <w:pStyle w:val="FooterCoverPage"/>
      <w:rPr>
        <w:rFonts w:ascii="Arial" w:hAnsi="Arial" w:cs="Arial"/>
        <w:b/>
        <w:sz w:val="48"/>
      </w:rPr>
    </w:pPr>
    <w:r w:rsidRPr="00D660BC">
      <w:rPr>
        <w:rFonts w:ascii="Arial" w:hAnsi="Arial" w:cs="Arial"/>
        <w:b/>
        <w:sz w:val="48"/>
      </w:rPr>
      <w:t>EN</w:t>
    </w:r>
    <w:r w:rsidRPr="00D660BC">
      <w:rPr>
        <w:rFonts w:ascii="Arial" w:hAnsi="Arial" w:cs="Arial"/>
        <w:b/>
        <w:sz w:val="48"/>
      </w:rPr>
      <w:tab/>
    </w:r>
    <w:r w:rsidRPr="00D660BC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D660BC">
      <w:tab/>
    </w:r>
    <w:r w:rsidRPr="00D660BC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BC" w:rsidRPr="00D660BC" w:rsidRDefault="00D660BC" w:rsidP="00D660BC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89" w:rsidRDefault="00D33F8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759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3F89" w:rsidRDefault="007F12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0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3F89" w:rsidRDefault="00D33F89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89" w:rsidRDefault="00D33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40" w:rsidRDefault="007F1240">
      <w:pPr>
        <w:spacing w:after="0" w:line="240" w:lineRule="auto"/>
      </w:pPr>
      <w:r>
        <w:separator/>
      </w:r>
    </w:p>
  </w:footnote>
  <w:footnote w:type="continuationSeparator" w:id="0">
    <w:p w:rsidR="007F1240" w:rsidRDefault="007F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BC" w:rsidRPr="00D660BC" w:rsidRDefault="00D660BC" w:rsidP="00D660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BC" w:rsidRPr="00D660BC" w:rsidRDefault="00D660BC" w:rsidP="00D660BC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BC" w:rsidRPr="00D660BC" w:rsidRDefault="00D660BC" w:rsidP="00D660BC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89" w:rsidRDefault="00D33F8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89" w:rsidRDefault="00D33F8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89" w:rsidRDefault="00D33F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9D2"/>
    <w:multiLevelType w:val="hybridMultilevel"/>
    <w:tmpl w:val="08CC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04352"/>
    <w:multiLevelType w:val="hybridMultilevel"/>
    <w:tmpl w:val="2B1EA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DC320F"/>
    <w:multiLevelType w:val="hybridMultilevel"/>
    <w:tmpl w:val="8EA0F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77677F"/>
    <w:multiLevelType w:val="hybridMultilevel"/>
    <w:tmpl w:val="721E6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5C1208"/>
    <w:multiLevelType w:val="hybridMultilevel"/>
    <w:tmpl w:val="D194D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AA576E"/>
    <w:multiLevelType w:val="hybridMultilevel"/>
    <w:tmpl w:val="B0E60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DB6947"/>
    <w:multiLevelType w:val="hybridMultilevel"/>
    <w:tmpl w:val="21725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AE62BA"/>
    <w:multiLevelType w:val="hybridMultilevel"/>
    <w:tmpl w:val="50DED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82569B"/>
    <w:multiLevelType w:val="hybridMultilevel"/>
    <w:tmpl w:val="43A6B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EA3462"/>
    <w:multiLevelType w:val="hybridMultilevel"/>
    <w:tmpl w:val="7EB6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37A12"/>
    <w:multiLevelType w:val="hybridMultilevel"/>
    <w:tmpl w:val="5AB08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6029D7"/>
    <w:multiLevelType w:val="hybridMultilevel"/>
    <w:tmpl w:val="B6AE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D1AC9"/>
    <w:multiLevelType w:val="hybridMultilevel"/>
    <w:tmpl w:val="4ED24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CCE818A39F49450EB12BD481F77CEE9C"/>
    <w:docVar w:name="LW_CROSSREFERENCE" w:val="&lt;UNUSED&gt;"/>
    <w:docVar w:name="LW_DocType" w:val="NORMAL"/>
    <w:docVar w:name="LW_EMISSION" w:val="13.9.2017"/>
    <w:docVar w:name="LW_EMISSION_ISODATE" w:val="2017-09-13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Investing in a smart, innovative and sustainable Industry_x000b_A renewed EU Industrial Policy Strategy "/>
    <w:docVar w:name="LW_PART_NBR" w:val="1"/>
    <w:docVar w:name="LW_PART_NBR_TOTAL" w:val="1"/>
    <w:docVar w:name="LW_REF.INST.NEW" w:val="COM"/>
    <w:docVar w:name="LW_REF.INST.NEW_ADOPTED" w:val="final"/>
    <w:docVar w:name="LW_REF.INST.NEW_TEXT" w:val="(2017) 479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, THE COUNCIL, THE EUROPEAN ECONOMIC AND SOCIAL COMMITTEE, THE COMMITTEE OF THE REGIONS AND THE EUROPEAN INVESTMENT BANK"/>
  </w:docVars>
  <w:rsids>
    <w:rsidRoot w:val="00D33F89"/>
    <w:rsid w:val="007F1240"/>
    <w:rsid w:val="00D33F89"/>
    <w:rsid w:val="00D6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noProof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ous-titreobjetPagedecouverture">
    <w:name w:val="Sous-titre objet (Page de couverture)"/>
    <w:basedOn w:val="Normal"/>
    <w:pPr>
      <w:spacing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Pagedecouverture">
    <w:name w:val="Titre objet (Page de couverture)"/>
    <w:basedOn w:val="Normal"/>
    <w:next w:val="Sous-titreobjetPagedecouverture"/>
    <w:pPr>
      <w:spacing w:before="180" w:after="18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noProof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ous-titreobjetPagedecouverture">
    <w:name w:val="Sous-titre objet (Page de couverture)"/>
    <w:basedOn w:val="Normal"/>
    <w:pPr>
      <w:spacing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Pagedecouverture">
    <w:name w:val="Titre objet (Page de couverture)"/>
    <w:basedOn w:val="Normal"/>
    <w:next w:val="Sous-titreobjetPagedecouverture"/>
    <w:pPr>
      <w:spacing w:before="180" w:after="18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3AB4-A5C2-41D2-A197-25710F55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5323</Characters>
  <Application>Microsoft Office Word</Application>
  <DocSecurity>0</DocSecurity>
  <Lines>330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kaimenakis</dc:creator>
  <cp:lastModifiedBy>PAGANELI Erifili (SG)</cp:lastModifiedBy>
  <cp:revision>8</cp:revision>
  <cp:lastPrinted>2017-09-07T14:14:00Z</cp:lastPrinted>
  <dcterms:created xsi:type="dcterms:W3CDTF">2017-09-11T12:52:00Z</dcterms:created>
  <dcterms:modified xsi:type="dcterms:W3CDTF">2017-09-12T08:53:00Z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