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C8" w:rsidRDefault="00423814" w:rsidP="00423814">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F03F119AEE04EB1B8B16CFCE78474C5" style="width:450.75pt;height:397.5pt">
            <v:imagedata r:id="rId9" o:title=""/>
          </v:shape>
        </w:pict>
      </w:r>
    </w:p>
    <w:p w:rsidR="00D6622F" w:rsidRDefault="00D6622F" w:rsidP="00D6622F">
      <w:pPr>
        <w:sectPr w:rsidR="00D6622F" w:rsidSect="0042381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40E9E" w:rsidRDefault="00500F81" w:rsidP="00500F81">
      <w:pPr>
        <w:pStyle w:val="Annexetitre"/>
      </w:pPr>
      <w:bookmarkStart w:id="0" w:name="_GoBack"/>
      <w:bookmarkEnd w:id="0"/>
      <w:r>
        <w:lastRenderedPageBreak/>
        <w:t>ATTACHMENT</w:t>
      </w:r>
    </w:p>
    <w:p w:rsidR="00500F81" w:rsidRPr="00E11FA1" w:rsidRDefault="00500F81" w:rsidP="008B5A75">
      <w:pPr>
        <w:jc w:val="center"/>
        <w:rPr>
          <w:b/>
        </w:rPr>
      </w:pPr>
      <w:r w:rsidRPr="00E11FA1">
        <w:rPr>
          <w:b/>
        </w:rPr>
        <w:t>NEGOTIATING DIRECTIVES FOR A FREE TRADE AGREEMENT WITH NEW ZEALAND</w:t>
      </w:r>
    </w:p>
    <w:p w:rsidR="00500F81" w:rsidRPr="005A0212" w:rsidRDefault="00500F81" w:rsidP="00500F81">
      <w:pPr>
        <w:rPr>
          <w:b/>
        </w:rPr>
      </w:pPr>
      <w:r w:rsidRPr="005A0212">
        <w:rPr>
          <w:b/>
        </w:rPr>
        <w:t>A.</w:t>
      </w:r>
      <w:r w:rsidRPr="005A0212">
        <w:rPr>
          <w:b/>
        </w:rPr>
        <w:tab/>
        <w:t>NATURE AND SCOPE OF THE AGREEMENT</w:t>
      </w:r>
    </w:p>
    <w:p w:rsidR="00500F81" w:rsidRPr="005A0212" w:rsidRDefault="00500F81" w:rsidP="00500F81">
      <w:r w:rsidRPr="005A0212">
        <w:t xml:space="preserve">The Agreement should exclusively contain provisions on trade and </w:t>
      </w:r>
      <w:r w:rsidR="002C3092">
        <w:t>f</w:t>
      </w:r>
      <w:r w:rsidR="00371A88">
        <w:t xml:space="preserve">oreign </w:t>
      </w:r>
      <w:r w:rsidR="002C3092">
        <w:t>d</w:t>
      </w:r>
      <w:r w:rsidR="00371A88">
        <w:t xml:space="preserve">irect </w:t>
      </w:r>
      <w:r w:rsidR="002C3092">
        <w:t>i</w:t>
      </w:r>
      <w:r w:rsidRPr="005A0212">
        <w:t>nvestment related areas applicable between the parties.</w:t>
      </w:r>
    </w:p>
    <w:p w:rsidR="00500F81" w:rsidRPr="005A0212" w:rsidRDefault="00500F81" w:rsidP="00500F81">
      <w:r w:rsidRPr="005A0212">
        <w:t xml:space="preserve">The Agreement should be ambitious, comprehensive and fully consistent with World Trade Organisation (WTO) rules and obligations. The negotiations should be conducted and concluded </w:t>
      </w:r>
      <w:r w:rsidR="00F53412" w:rsidRPr="003744B0">
        <w:t>taking into account</w:t>
      </w:r>
      <w:r w:rsidRPr="005A0212">
        <w:t xml:space="preserve"> commitments under the WTO.</w:t>
      </w:r>
      <w:r w:rsidR="001E2D5B" w:rsidRPr="001E2D5B">
        <w:t xml:space="preserve"> </w:t>
      </w:r>
      <w:r w:rsidR="001E2D5B" w:rsidRPr="003744B0">
        <w:t>The Agreement should have</w:t>
      </w:r>
      <w:r w:rsidR="001E2D5B" w:rsidRPr="005A0212">
        <w:t xml:space="preserve"> a high level of ambition going beyond existing WTO commitments.</w:t>
      </w:r>
    </w:p>
    <w:p w:rsidR="00500F81" w:rsidRPr="005A0212" w:rsidRDefault="00500F81" w:rsidP="00500F81">
      <w:r w:rsidRPr="005A0212">
        <w:t>The Agreement should provide for the progressive and reciprocal liberalisation of trade in goods</w:t>
      </w:r>
      <w:r w:rsidR="006E4F23">
        <w:t>,</w:t>
      </w:r>
      <w:r w:rsidRPr="005A0212">
        <w:t xml:space="preserve"> services and </w:t>
      </w:r>
      <w:r w:rsidR="002C3092">
        <w:t>f</w:t>
      </w:r>
      <w:r w:rsidR="00371A88">
        <w:t xml:space="preserve">oreign </w:t>
      </w:r>
      <w:r w:rsidR="002C3092">
        <w:t>d</w:t>
      </w:r>
      <w:r w:rsidR="00371A88">
        <w:t xml:space="preserve">irect </w:t>
      </w:r>
      <w:r w:rsidR="006E4F23">
        <w:t>investment.</w:t>
      </w:r>
      <w:r w:rsidRPr="005A0212">
        <w:t xml:space="preserve"> </w:t>
      </w:r>
      <w:r w:rsidR="00705E9A">
        <w:t xml:space="preserve">It will include </w:t>
      </w:r>
      <w:r w:rsidRPr="005A0212">
        <w:t>rules on</w:t>
      </w:r>
      <w:r w:rsidR="00371A88">
        <w:t xml:space="preserve"> </w:t>
      </w:r>
      <w:r w:rsidR="001E2D5B">
        <w:t>other</w:t>
      </w:r>
      <w:r w:rsidRPr="005A0212">
        <w:t xml:space="preserve"> trade-related </w:t>
      </w:r>
      <w:r w:rsidR="001E2D5B">
        <w:t xml:space="preserve">areas </w:t>
      </w:r>
      <w:r w:rsidR="001E2D5B" w:rsidRPr="00F61FD2">
        <w:t>in order to promote, facilitate or govern such trade</w:t>
      </w:r>
      <w:r w:rsidR="00371A88">
        <w:t xml:space="preserve"> and </w:t>
      </w:r>
      <w:r w:rsidR="002C3092">
        <w:t>f</w:t>
      </w:r>
      <w:r w:rsidR="00371A88">
        <w:t xml:space="preserve">oreign </w:t>
      </w:r>
      <w:r w:rsidR="002C3092">
        <w:t>d</w:t>
      </w:r>
      <w:r w:rsidR="00371A88">
        <w:t xml:space="preserve">irect </w:t>
      </w:r>
      <w:r w:rsidR="002C3092">
        <w:t>i</w:t>
      </w:r>
      <w:r w:rsidR="00371A88">
        <w:t>nvestment</w:t>
      </w:r>
      <w:r w:rsidR="001E2D5B" w:rsidRPr="00F61FD2">
        <w:t>. All commitments under the Agreement are undertaken with a view to have a direct and immediate effect on trade and, where relevant, within the scope of common EU rules</w:t>
      </w:r>
      <w:r w:rsidR="00F53412" w:rsidRPr="003744B0">
        <w:t xml:space="preserve">. </w:t>
      </w:r>
    </w:p>
    <w:p w:rsidR="00500F81" w:rsidRPr="005A0212" w:rsidRDefault="00500F81" w:rsidP="00500F81">
      <w:r w:rsidRPr="005A0212">
        <w:t>The Agreement should include obligations in areas falling under the competence of all applicable authorities and entities of both parties to the Agreement.</w:t>
      </w:r>
    </w:p>
    <w:p w:rsidR="00500F81" w:rsidRPr="005A0212" w:rsidRDefault="00500F81" w:rsidP="00500F81">
      <w:r w:rsidRPr="005A0212">
        <w:rPr>
          <w:b/>
        </w:rPr>
        <w:t>B.</w:t>
      </w:r>
      <w:r w:rsidRPr="005A0212">
        <w:rPr>
          <w:b/>
        </w:rPr>
        <w:tab/>
        <w:t>PROPOSED CONTENT OF THE AGREEMENT</w:t>
      </w:r>
    </w:p>
    <w:p w:rsidR="00500F81" w:rsidRPr="005A0212" w:rsidRDefault="00500F81" w:rsidP="00500F81">
      <w:pPr>
        <w:rPr>
          <w:b/>
          <w:u w:val="single"/>
        </w:rPr>
      </w:pPr>
      <w:r w:rsidRPr="005A0212">
        <w:rPr>
          <w:b/>
          <w:u w:val="single"/>
        </w:rPr>
        <w:t xml:space="preserve">Preamble, General Principles </w:t>
      </w:r>
    </w:p>
    <w:p w:rsidR="00500F81" w:rsidRPr="005A0212" w:rsidRDefault="00500F81" w:rsidP="00500F81">
      <w:r w:rsidRPr="005A0212">
        <w:t xml:space="preserve">The preamble should recall that the partnership with </w:t>
      </w:r>
      <w:r w:rsidRPr="00AB7C8B">
        <w:t>New Zealand is based on common principles and values as reflected in the 2016 EU-New Zealand Partnership Agreement on Relations and Cooperation (PARC). The Agreement should form part of the overarching political relationship and institutional framework set out in the PARC.</w:t>
      </w:r>
    </w:p>
    <w:p w:rsidR="00500F81" w:rsidRPr="005A0212" w:rsidRDefault="001E2D5B" w:rsidP="00500F81">
      <w:r>
        <w:t>In view of liberalising bilateral trade</w:t>
      </w:r>
      <w:r w:rsidR="00371A88">
        <w:t xml:space="preserve"> and </w:t>
      </w:r>
      <w:r w:rsidR="002C3092">
        <w:t>f</w:t>
      </w:r>
      <w:r w:rsidR="00371A88">
        <w:t xml:space="preserve">oreign </w:t>
      </w:r>
      <w:r w:rsidR="002C3092">
        <w:t>d</w:t>
      </w:r>
      <w:r w:rsidR="00371A88">
        <w:t xml:space="preserve">irect </w:t>
      </w:r>
      <w:r w:rsidR="002C3092">
        <w:t>i</w:t>
      </w:r>
      <w:r w:rsidR="00371A88">
        <w:t>nvestment</w:t>
      </w:r>
      <w:r>
        <w:t xml:space="preserve">, </w:t>
      </w:r>
      <w:r w:rsidR="00705E9A">
        <w:t>t</w:t>
      </w:r>
      <w:r w:rsidR="00F53412" w:rsidRPr="003744B0">
        <w:t>he Agreement</w:t>
      </w:r>
      <w:r w:rsidR="00500F81" w:rsidRPr="005A0212">
        <w:t xml:space="preserve"> should also refer, inter alia, to:</w:t>
      </w:r>
    </w:p>
    <w:p w:rsidR="00500F81" w:rsidRPr="005A0212" w:rsidRDefault="00500F81" w:rsidP="002579BD">
      <w:pPr>
        <w:pStyle w:val="Bullet0"/>
        <w:numPr>
          <w:ilvl w:val="0"/>
          <w:numId w:val="5"/>
        </w:numPr>
      </w:pPr>
      <w:r w:rsidRPr="005A0212">
        <w:t xml:space="preserve">The principles and objectives of the </w:t>
      </w:r>
      <w:r w:rsidR="00F53412" w:rsidRPr="003744B0">
        <w:t>E</w:t>
      </w:r>
      <w:r w:rsidR="00FD55F8" w:rsidRPr="003744B0">
        <w:t>U's</w:t>
      </w:r>
      <w:r w:rsidRPr="005A0212">
        <w:t xml:space="preserve"> external action; </w:t>
      </w:r>
    </w:p>
    <w:p w:rsidR="00500F81" w:rsidRPr="005A0212" w:rsidRDefault="00500F81" w:rsidP="00500F81">
      <w:pPr>
        <w:pStyle w:val="Bullet0"/>
      </w:pPr>
      <w:r w:rsidRPr="005A0212">
        <w:t xml:space="preserve">The commitment of the parties to sustainable development and the contribution of international trade to sustainable development in its economic, social and environmental dimensions, including economic development, poverty reduction, full and productive employment and decent work for all, the protection and preservation of the environment and natural resources; </w:t>
      </w:r>
    </w:p>
    <w:p w:rsidR="00FD55F8" w:rsidRPr="003744B0" w:rsidRDefault="00500F81" w:rsidP="00FD55F8">
      <w:pPr>
        <w:pStyle w:val="Bullet0"/>
      </w:pPr>
      <w:r w:rsidRPr="005A0212">
        <w:t xml:space="preserve">The commitment of the parties to </w:t>
      </w:r>
      <w:r w:rsidR="00FD55F8" w:rsidRPr="003744B0">
        <w:t>full</w:t>
      </w:r>
      <w:r w:rsidR="00F53412" w:rsidRPr="003744B0">
        <w:t>y</w:t>
      </w:r>
      <w:r w:rsidR="00FD55F8" w:rsidRPr="003744B0">
        <w:t xml:space="preserve"> compl</w:t>
      </w:r>
      <w:r w:rsidR="00F53412" w:rsidRPr="003744B0">
        <w:t>y</w:t>
      </w:r>
      <w:r w:rsidRPr="005A0212">
        <w:t xml:space="preserve"> with their rights and obligations arising </w:t>
      </w:r>
      <w:r w:rsidR="00F53412" w:rsidRPr="003744B0">
        <w:t xml:space="preserve">from </w:t>
      </w:r>
      <w:r w:rsidR="00FD55F8" w:rsidRPr="003744B0">
        <w:t>WTO</w:t>
      </w:r>
      <w:r w:rsidR="00F53412" w:rsidRPr="003744B0">
        <w:t xml:space="preserve"> membership</w:t>
      </w:r>
      <w:r w:rsidR="00FD55F8" w:rsidRPr="003744B0">
        <w:t>;</w:t>
      </w:r>
    </w:p>
    <w:p w:rsidR="00500F81" w:rsidRPr="005A0212" w:rsidRDefault="00CF3536" w:rsidP="00500F81">
      <w:pPr>
        <w:pStyle w:val="Bullet0"/>
      </w:pPr>
      <w:r w:rsidRPr="003744B0">
        <w:t>The commitment</w:t>
      </w:r>
      <w:r w:rsidR="00500F81" w:rsidRPr="005A0212">
        <w:t xml:space="preserve"> of the </w:t>
      </w:r>
      <w:r w:rsidRPr="003744B0">
        <w:t xml:space="preserve">parties to </w:t>
      </w:r>
      <w:r w:rsidR="00167EF4" w:rsidRPr="003744B0">
        <w:t>enhance</w:t>
      </w:r>
      <w:r w:rsidRPr="003744B0">
        <w:t xml:space="preserve"> consumer welfare through policies ensuring a high level of consumer protection</w:t>
      </w:r>
      <w:r w:rsidR="00167EF4" w:rsidRPr="003744B0">
        <w:t xml:space="preserve"> and economic well-being;</w:t>
      </w:r>
    </w:p>
    <w:p w:rsidR="008F53BA" w:rsidRDefault="00500F81" w:rsidP="00500F81">
      <w:pPr>
        <w:pStyle w:val="Bullet0"/>
      </w:pPr>
      <w:r w:rsidRPr="005A0212">
        <w:t xml:space="preserve">The right to regulate economic activity in the public interest, to achieve legitimate public policy objectives such as the protection and promotion of public health, social services, public education, safety, the environment, public morals, social or consumer protection, privacy and data protection and the promotion and protection of cultural diversity; </w:t>
      </w:r>
    </w:p>
    <w:p w:rsidR="00500F81" w:rsidRPr="005A0212" w:rsidRDefault="00500F81" w:rsidP="00500F81">
      <w:pPr>
        <w:pStyle w:val="Bullet0"/>
      </w:pPr>
      <w:r w:rsidRPr="005A0212">
        <w:lastRenderedPageBreak/>
        <w:t xml:space="preserve">The objective that the Agreement should create a new framework for economic relations between the parties and above all for the development of trade and </w:t>
      </w:r>
      <w:r w:rsidR="002C3092">
        <w:t>f</w:t>
      </w:r>
      <w:r w:rsidR="00371A88">
        <w:t xml:space="preserve">oreign </w:t>
      </w:r>
      <w:r w:rsidR="002C3092">
        <w:t>d</w:t>
      </w:r>
      <w:r w:rsidR="00371A88">
        <w:t xml:space="preserve">irect </w:t>
      </w:r>
      <w:r w:rsidR="002C3092">
        <w:t>i</w:t>
      </w:r>
      <w:r w:rsidRPr="005A0212">
        <w:t>nvestment;</w:t>
      </w:r>
    </w:p>
    <w:p w:rsidR="00500F81" w:rsidRPr="005A0212" w:rsidRDefault="00500F81" w:rsidP="00500F81">
      <w:pPr>
        <w:pStyle w:val="Bullet0"/>
      </w:pPr>
      <w:r w:rsidRPr="005A0212">
        <w:t xml:space="preserve">The shared objective of the parties of taking into account the particular challenges faced by small and medium sized enterprises </w:t>
      </w:r>
      <w:r w:rsidR="00F53412" w:rsidRPr="003744B0">
        <w:t xml:space="preserve">(SMEs) </w:t>
      </w:r>
      <w:r w:rsidRPr="005A0212">
        <w:t xml:space="preserve">in contributing to the development of trade and </w:t>
      </w:r>
      <w:r w:rsidR="002C3092">
        <w:t>f</w:t>
      </w:r>
      <w:r w:rsidR="00371A88">
        <w:t xml:space="preserve">oreign </w:t>
      </w:r>
      <w:r w:rsidR="002C3092">
        <w:t>d</w:t>
      </w:r>
      <w:r w:rsidR="00371A88">
        <w:t xml:space="preserve">irect </w:t>
      </w:r>
      <w:r w:rsidR="002C3092">
        <w:t>i</w:t>
      </w:r>
      <w:r w:rsidRPr="005A0212">
        <w:t>nvestment;</w:t>
      </w:r>
    </w:p>
    <w:p w:rsidR="00500F81" w:rsidRPr="005A0212" w:rsidRDefault="00500F81" w:rsidP="00500F81">
      <w:pPr>
        <w:pStyle w:val="Bullet0"/>
      </w:pPr>
      <w:r w:rsidRPr="005A0212">
        <w:t xml:space="preserve">The commitment of the parties to communicate with all relevant interested </w:t>
      </w:r>
      <w:r w:rsidR="00F53412" w:rsidRPr="003744B0">
        <w:t>parties</w:t>
      </w:r>
      <w:r w:rsidRPr="005A0212">
        <w:t xml:space="preserve"> including the private sector and civil society organisations/representatives.</w:t>
      </w:r>
    </w:p>
    <w:p w:rsidR="00500F81" w:rsidRPr="005A0212" w:rsidRDefault="00500F81" w:rsidP="00500F81">
      <w:pPr>
        <w:rPr>
          <w:b/>
          <w:u w:val="single"/>
        </w:rPr>
      </w:pPr>
      <w:r w:rsidRPr="005A0212">
        <w:rPr>
          <w:b/>
          <w:u w:val="single"/>
        </w:rPr>
        <w:t>Objectives</w:t>
      </w:r>
    </w:p>
    <w:p w:rsidR="00500F81" w:rsidRPr="005A0212" w:rsidRDefault="00500F81" w:rsidP="00500F81">
      <w:r w:rsidRPr="005A0212">
        <w:t xml:space="preserve">The Agreement should confirm the joint objective of progressively and reciprocally liberalising substantially all trade in goods and services and </w:t>
      </w:r>
      <w:r w:rsidR="002C3092">
        <w:t>f</w:t>
      </w:r>
      <w:r w:rsidR="00371A88">
        <w:t xml:space="preserve">oreign </w:t>
      </w:r>
      <w:r w:rsidR="002C3092">
        <w:t>d</w:t>
      </w:r>
      <w:r w:rsidR="00371A88">
        <w:t xml:space="preserve">irect </w:t>
      </w:r>
      <w:r w:rsidR="002C3092">
        <w:t>i</w:t>
      </w:r>
      <w:r w:rsidRPr="005A0212">
        <w:t xml:space="preserve">nvestment, in full compliance with WTO rules, notably </w:t>
      </w:r>
      <w:r w:rsidR="00FD55F8" w:rsidRPr="003744B0">
        <w:t xml:space="preserve">Article XXIV </w:t>
      </w:r>
      <w:r w:rsidR="00902728" w:rsidRPr="003744B0">
        <w:t>of the General Agreement on Tariffs and Trade (</w:t>
      </w:r>
      <w:r w:rsidR="00FD55F8" w:rsidRPr="003744B0">
        <w:t>GATT</w:t>
      </w:r>
      <w:r w:rsidR="00902728" w:rsidRPr="003744B0">
        <w:t>)</w:t>
      </w:r>
      <w:r w:rsidR="00FD55F8" w:rsidRPr="003744B0">
        <w:t xml:space="preserve"> and </w:t>
      </w:r>
      <w:r w:rsidR="00902728" w:rsidRPr="003744B0">
        <w:t xml:space="preserve">Article </w:t>
      </w:r>
      <w:r w:rsidR="00FD55F8" w:rsidRPr="003744B0">
        <w:t xml:space="preserve">V </w:t>
      </w:r>
      <w:r w:rsidR="00902728" w:rsidRPr="003744B0">
        <w:t>of the General Agreement on Trade in Services (</w:t>
      </w:r>
      <w:r w:rsidR="00FD55F8" w:rsidRPr="003744B0">
        <w:t>GATS</w:t>
      </w:r>
      <w:r w:rsidR="00902728" w:rsidRPr="003744B0">
        <w:t>)</w:t>
      </w:r>
      <w:r w:rsidR="00FD55F8" w:rsidRPr="003744B0">
        <w:t>.</w:t>
      </w:r>
    </w:p>
    <w:p w:rsidR="00500F81" w:rsidRPr="005A0212" w:rsidRDefault="00500F81" w:rsidP="00500F81">
      <w:r w:rsidRPr="005A0212">
        <w:t xml:space="preserve">The Agreement </w:t>
      </w:r>
      <w:r>
        <w:t xml:space="preserve">should </w:t>
      </w:r>
      <w:r w:rsidRPr="005A0212">
        <w:t xml:space="preserve">ensure a high level of market access for public procurement, and </w:t>
      </w:r>
      <w:r w:rsidR="001E2D5B">
        <w:t xml:space="preserve">trade-related </w:t>
      </w:r>
      <w:r w:rsidRPr="005A0212">
        <w:t>intellectual property rights (IPR), including geographical indications and strengthen dialogue and cooperation on technical and regulatory frameworks.</w:t>
      </w:r>
    </w:p>
    <w:p w:rsidR="00500F81" w:rsidRPr="005A0212" w:rsidRDefault="00500F81" w:rsidP="00500F81">
      <w:r w:rsidRPr="005A0212">
        <w:t>The Agreement should recognise that sustainable development is an overarching objective of the parties and should ensur</w:t>
      </w:r>
      <w:r>
        <w:t>e</w:t>
      </w:r>
      <w:r w:rsidRPr="005A0212">
        <w:t xml:space="preserve"> and facilitat</w:t>
      </w:r>
      <w:r>
        <w:t>e</w:t>
      </w:r>
      <w:r w:rsidRPr="005A0212">
        <w:t xml:space="preserve"> respect of international environmental and social agreements and standards</w:t>
      </w:r>
      <w:r w:rsidR="001E2D5B">
        <w:t xml:space="preserve"> in order to promote trade</w:t>
      </w:r>
      <w:r w:rsidRPr="005A0212">
        <w:t xml:space="preserve">. Sustainable development should be taken into account throughout the agreement covering both social and environmental issues. The Agreement should </w:t>
      </w:r>
      <w:r>
        <w:t>ensure</w:t>
      </w:r>
      <w:r w:rsidRPr="005A0212">
        <w:t xml:space="preserve"> that the parties should not encourage trade or foreign direct investment by lowering domestic environmental, labour or occupational health and safety legislation</w:t>
      </w:r>
      <w:r>
        <w:t>,</w:t>
      </w:r>
      <w:r w:rsidRPr="005A0212">
        <w:t xml:space="preserve"> and standards or by relaxing core labour standards or laws aimed at protecting and promoting cultural diversity. </w:t>
      </w:r>
    </w:p>
    <w:p w:rsidR="00500F81" w:rsidRPr="005A0212" w:rsidRDefault="00500F81" w:rsidP="00500F81">
      <w:pPr>
        <w:rPr>
          <w:b/>
          <w:u w:val="single"/>
        </w:rPr>
      </w:pPr>
      <w:r w:rsidRPr="005A0212">
        <w:rPr>
          <w:b/>
          <w:u w:val="single"/>
        </w:rPr>
        <w:t>Trade in Goods</w:t>
      </w:r>
    </w:p>
    <w:p w:rsidR="00500F81" w:rsidRPr="005A0212" w:rsidRDefault="00500F81" w:rsidP="00500F81">
      <w:pPr>
        <w:rPr>
          <w:u w:val="single"/>
        </w:rPr>
      </w:pPr>
      <w:r w:rsidRPr="005A0212">
        <w:rPr>
          <w:u w:val="single"/>
        </w:rPr>
        <w:t xml:space="preserve">Duties on imports and exports and non-tariff measures </w:t>
      </w:r>
    </w:p>
    <w:p w:rsidR="00500F81" w:rsidRPr="005A0212" w:rsidRDefault="00500F81" w:rsidP="00500F81">
      <w:r w:rsidRPr="005A0212">
        <w:t xml:space="preserve">The aim of the Agreement </w:t>
      </w:r>
      <w:r>
        <w:t>is</w:t>
      </w:r>
      <w:r w:rsidRPr="005A0212">
        <w:t xml:space="preserve"> to ensure the highest possible degree of trade liberalisation. The Agreement should cover substantially all trade in goods between the parties. Tariffs on most lines should be eliminated </w:t>
      </w:r>
      <w:r w:rsidR="00F53412" w:rsidRPr="003744B0">
        <w:t>on the</w:t>
      </w:r>
      <w:r w:rsidRPr="005A0212">
        <w:t xml:space="preserve"> entry into force of the Agreement. The aim of the Agreement should be to dismantle import duties and charges having an equivalent effect on both sides, </w:t>
      </w:r>
      <w:r>
        <w:t xml:space="preserve">as a general rule not more than </w:t>
      </w:r>
      <w:r w:rsidR="00F53412" w:rsidRPr="003744B0">
        <w:t>seven</w:t>
      </w:r>
      <w:r w:rsidRPr="005A0212">
        <w:t xml:space="preserve"> years. Exceptions should be kept to a minimum and specific provisions should cover the most sensitive products</w:t>
      </w:r>
      <w:r w:rsidR="00F53412" w:rsidRPr="003744B0">
        <w:t>.</w:t>
      </w:r>
      <w:r w:rsidRPr="005A0212">
        <w:t xml:space="preserve"> </w:t>
      </w:r>
      <w:r w:rsidR="002877D7">
        <w:t>F</w:t>
      </w:r>
      <w:r w:rsidRPr="005A0212">
        <w:t xml:space="preserve">or instance some agricultural products for which </w:t>
      </w:r>
      <w:r>
        <w:t>tariff rate quotas,</w:t>
      </w:r>
      <w:r w:rsidRPr="005A0212">
        <w:t xml:space="preserve"> longer transitional periods</w:t>
      </w:r>
      <w:r>
        <w:t xml:space="preserve"> </w:t>
      </w:r>
      <w:r w:rsidRPr="005A0212">
        <w:t xml:space="preserve">or other arrangements should be considered. </w:t>
      </w:r>
    </w:p>
    <w:p w:rsidR="00500F81" w:rsidRPr="005A0212" w:rsidRDefault="00500F81" w:rsidP="00500F81">
      <w:r w:rsidRPr="005A0212">
        <w:t xml:space="preserve">Negotiations on tariff reduction should take place on the basis of the duties applied by the EU </w:t>
      </w:r>
      <w:r w:rsidRPr="005A0212">
        <w:rPr>
          <w:i/>
        </w:rPr>
        <w:t>erga omnes</w:t>
      </w:r>
      <w:r w:rsidRPr="005A0212">
        <w:t xml:space="preserve"> on the date of launch of </w:t>
      </w:r>
      <w:r w:rsidR="00F53412" w:rsidRPr="003744B0">
        <w:t xml:space="preserve">the </w:t>
      </w:r>
      <w:r w:rsidRPr="005A0212">
        <w:t>negotiations</w:t>
      </w:r>
      <w:r>
        <w:t xml:space="preserve"> </w:t>
      </w:r>
      <w:r w:rsidRPr="005A0212">
        <w:t xml:space="preserve">and of the duties applied by </w:t>
      </w:r>
      <w:r w:rsidRPr="00AB7C8B">
        <w:t xml:space="preserve">New Zealand </w:t>
      </w:r>
      <w:r w:rsidRPr="00AB7C8B">
        <w:rPr>
          <w:i/>
        </w:rPr>
        <w:t>erga</w:t>
      </w:r>
      <w:r w:rsidRPr="005A0212">
        <w:rPr>
          <w:i/>
        </w:rPr>
        <w:t xml:space="preserve"> omnes</w:t>
      </w:r>
      <w:r w:rsidRPr="005A0212">
        <w:t xml:space="preserve"> on the date of launch of </w:t>
      </w:r>
      <w:r w:rsidR="00F53412" w:rsidRPr="003744B0">
        <w:t xml:space="preserve">the </w:t>
      </w:r>
      <w:r w:rsidRPr="005A0212">
        <w:t xml:space="preserve">negotiations. </w:t>
      </w:r>
    </w:p>
    <w:p w:rsidR="00500F81" w:rsidRPr="00500F81" w:rsidRDefault="00500F81" w:rsidP="00500F81">
      <w:r w:rsidRPr="005A0212">
        <w:t xml:space="preserve">All customs duties or taxes on exports or any measures of equivalent effect should be prohibited and no new ones should be introduced. </w:t>
      </w:r>
    </w:p>
    <w:p w:rsidR="00500F81" w:rsidRPr="005A0212" w:rsidRDefault="00500F81" w:rsidP="00500F81">
      <w:pPr>
        <w:rPr>
          <w:u w:val="single"/>
        </w:rPr>
      </w:pPr>
      <w:r w:rsidRPr="005A0212">
        <w:rPr>
          <w:u w:val="single"/>
        </w:rPr>
        <w:t xml:space="preserve">Rules of </w:t>
      </w:r>
      <w:r w:rsidR="000E655E">
        <w:rPr>
          <w:u w:val="single"/>
        </w:rPr>
        <w:t>o</w:t>
      </w:r>
      <w:r w:rsidRPr="005A0212">
        <w:rPr>
          <w:u w:val="single"/>
        </w:rPr>
        <w:t>rigin</w:t>
      </w:r>
    </w:p>
    <w:p w:rsidR="00500F81" w:rsidRPr="005A0212" w:rsidRDefault="00500F81" w:rsidP="00500F81">
      <w:r w:rsidRPr="005A0212">
        <w:lastRenderedPageBreak/>
        <w:t xml:space="preserve">Rules of origin and provisions providing for administrative co-operation should be trade facilitating and simpler and should take into account the standard preferential </w:t>
      </w:r>
      <w:r w:rsidR="000E655E">
        <w:t>r</w:t>
      </w:r>
      <w:r w:rsidRPr="005A0212">
        <w:t xml:space="preserve">ules of </w:t>
      </w:r>
      <w:r w:rsidR="000E655E">
        <w:t>o</w:t>
      </w:r>
      <w:r w:rsidRPr="005A0212">
        <w:t xml:space="preserve">rigin of the EU and the </w:t>
      </w:r>
      <w:r w:rsidR="00FD55F8" w:rsidRPr="003744B0">
        <w:t>interest</w:t>
      </w:r>
      <w:r w:rsidR="00F53412" w:rsidRPr="003744B0">
        <w:t>s</w:t>
      </w:r>
      <w:r w:rsidRPr="005A0212">
        <w:t xml:space="preserve"> of </w:t>
      </w:r>
      <w:r w:rsidR="00F53412" w:rsidRPr="003744B0">
        <w:t>EU</w:t>
      </w:r>
      <w:r w:rsidRPr="005A0212">
        <w:t xml:space="preserve"> producers.</w:t>
      </w:r>
    </w:p>
    <w:p w:rsidR="00500F81" w:rsidRPr="005A0212" w:rsidRDefault="00500F81" w:rsidP="00500F81">
      <w:pPr>
        <w:rPr>
          <w:u w:val="single"/>
        </w:rPr>
      </w:pPr>
      <w:r w:rsidRPr="005A0212">
        <w:rPr>
          <w:u w:val="single"/>
        </w:rPr>
        <w:t>Anti-fraud measures</w:t>
      </w:r>
    </w:p>
    <w:p w:rsidR="00500F81" w:rsidRPr="00500F81" w:rsidRDefault="00500F81" w:rsidP="00500F81">
      <w:r w:rsidRPr="005A0212">
        <w:t xml:space="preserve">A clause in the Agreement </w:t>
      </w:r>
      <w:r w:rsidR="00F53412" w:rsidRPr="003744B0">
        <w:t>on</w:t>
      </w:r>
      <w:r w:rsidRPr="005A0212">
        <w:t xml:space="preserve"> enhanced administrative co-operation should set out the procedures and appropriate measures that the parties may take where a lack of administrative co-operation in customs matters, irregularities or fraud are established.</w:t>
      </w:r>
    </w:p>
    <w:p w:rsidR="00500F81" w:rsidRPr="005A0212" w:rsidRDefault="00500F81" w:rsidP="00500F81">
      <w:pPr>
        <w:rPr>
          <w:u w:val="single"/>
        </w:rPr>
      </w:pPr>
      <w:r w:rsidRPr="005A0212">
        <w:rPr>
          <w:u w:val="single"/>
        </w:rPr>
        <w:t>Management of administrative errors</w:t>
      </w:r>
    </w:p>
    <w:p w:rsidR="00500F81" w:rsidRPr="005A0212" w:rsidRDefault="00500F81" w:rsidP="00500F81">
      <w:r w:rsidRPr="005A0212">
        <w:t>Provisions should also be included to examine jointly the possibility of adopting appropriate measures in case of errors committed by the competent authorities in the application of the preferential rules of origin.</w:t>
      </w:r>
    </w:p>
    <w:p w:rsidR="00500F81" w:rsidRPr="005A0212" w:rsidRDefault="00500F81" w:rsidP="00500F81">
      <w:pPr>
        <w:rPr>
          <w:u w:val="single"/>
        </w:rPr>
      </w:pPr>
      <w:r w:rsidRPr="005A0212">
        <w:rPr>
          <w:u w:val="single"/>
        </w:rPr>
        <w:t xml:space="preserve">Customs and </w:t>
      </w:r>
      <w:r w:rsidR="000E655E">
        <w:rPr>
          <w:u w:val="single"/>
        </w:rPr>
        <w:t>t</w:t>
      </w:r>
      <w:r w:rsidRPr="005A0212">
        <w:rPr>
          <w:u w:val="single"/>
        </w:rPr>
        <w:t xml:space="preserve">rade </w:t>
      </w:r>
      <w:r w:rsidR="000E655E">
        <w:rPr>
          <w:u w:val="single"/>
        </w:rPr>
        <w:t>f</w:t>
      </w:r>
      <w:r w:rsidRPr="005A0212">
        <w:rPr>
          <w:u w:val="single"/>
        </w:rPr>
        <w:t>acilitation</w:t>
      </w:r>
    </w:p>
    <w:p w:rsidR="00500F81" w:rsidRPr="005A0212" w:rsidRDefault="00500F81" w:rsidP="00500F81">
      <w:r w:rsidRPr="005A0212">
        <w:t xml:space="preserve">The Agreement should include provisions to facilitate trade between the parties, while ensuring effective controls. To this end </w:t>
      </w:r>
      <w:r w:rsidR="00F53412" w:rsidRPr="003744B0">
        <w:t>the Agreement</w:t>
      </w:r>
      <w:r w:rsidRPr="005A0212">
        <w:t xml:space="preserve"> should include commitments on rules, requirements, formalities and procedures of the parties related </w:t>
      </w:r>
      <w:r>
        <w:t xml:space="preserve">to import, export and transit. </w:t>
      </w:r>
      <w:r w:rsidRPr="00AB7C8B">
        <w:t xml:space="preserve">These provisions should take into account the initialled </w:t>
      </w:r>
      <w:r w:rsidR="00BF01BE">
        <w:t xml:space="preserve">EU-New Zealand </w:t>
      </w:r>
      <w:r w:rsidRPr="00AB7C8B">
        <w:t>Customs Cooperation and Mutual Assistance Agreement or future amendments thereto.</w:t>
      </w:r>
    </w:p>
    <w:p w:rsidR="00500F81" w:rsidRPr="005A0212" w:rsidRDefault="00500F81" w:rsidP="00500F81">
      <w:r w:rsidRPr="005A0212">
        <w:t>The Agreement should promote the effective implementation and application of international rules and standards in the field of customs and other trade-related procedures, including WTO provisions, WTO Trade Facilitation Agreement and World Customs Organisation instruments and the revised Kyoto Convention.</w:t>
      </w:r>
    </w:p>
    <w:p w:rsidR="00582579" w:rsidRDefault="00500F81" w:rsidP="00500F81">
      <w:r w:rsidRPr="005A0212">
        <w:t xml:space="preserve">The Agreement should include provisions to promote exchange of best practice and experience, relating to particular areas of mutual interest. These areas may include issues such as </w:t>
      </w:r>
      <w:r w:rsidR="00F53412" w:rsidRPr="003744B0">
        <w:t xml:space="preserve">the </w:t>
      </w:r>
      <w:r w:rsidRPr="005A0212">
        <w:t xml:space="preserve">modernisation and simplification of rules and procedures, standardised documentation, tariff classification, transparency, mutual recognition and inter-agency co-operation. </w:t>
      </w:r>
    </w:p>
    <w:p w:rsidR="00500F81" w:rsidRPr="005A0212" w:rsidRDefault="00500F81" w:rsidP="00500F81">
      <w:r w:rsidRPr="005A0212">
        <w:t>The Agreement should promote convergence in trade facilitation, building on relevant international standards and instruments as appropriate.</w:t>
      </w:r>
    </w:p>
    <w:p w:rsidR="00500F81" w:rsidRPr="005A0212" w:rsidRDefault="00500F81" w:rsidP="00500F81">
      <w:r w:rsidRPr="005A0212">
        <w:t>The Agreement should promote effective and efficient IPR enforcement by customs authorities</w:t>
      </w:r>
      <w:r w:rsidR="00C74F94" w:rsidRPr="003744B0">
        <w:t xml:space="preserve"> on</w:t>
      </w:r>
      <w:r w:rsidRPr="005A0212">
        <w:t xml:space="preserve"> </w:t>
      </w:r>
      <w:r>
        <w:t>all goods under customs control.</w:t>
      </w:r>
    </w:p>
    <w:p w:rsidR="00500F81" w:rsidRPr="005A0212" w:rsidRDefault="00500F81" w:rsidP="00500F81">
      <w:r w:rsidRPr="005A0212">
        <w:t xml:space="preserve">The Agreement should take account, in the provisions on trade facilitation, of the challenges faced by </w:t>
      </w:r>
      <w:r w:rsidR="00C74F94" w:rsidRPr="003744B0">
        <w:t>SMEs</w:t>
      </w:r>
      <w:r w:rsidRPr="00D47393">
        <w:t xml:space="preserve"> while ensuring</w:t>
      </w:r>
      <w:r w:rsidR="00FD55F8" w:rsidRPr="003744B0">
        <w:t xml:space="preserve"> </w:t>
      </w:r>
      <w:r w:rsidR="00C74F94" w:rsidRPr="003744B0">
        <w:t>a</w:t>
      </w:r>
      <w:r w:rsidRPr="00D47393">
        <w:t xml:space="preserve"> level playing field for all economic operators</w:t>
      </w:r>
      <w:r>
        <w:t>.</w:t>
      </w:r>
    </w:p>
    <w:p w:rsidR="00500F81" w:rsidRPr="00500F81" w:rsidRDefault="00500F81" w:rsidP="00500F81">
      <w:r w:rsidRPr="005A0212">
        <w:t>The Agreement should aim to establish a Protocol on Mutual Administrative Assistance in Customs Matters, covering assistance with customs anti-fraud investigations (including assistance on request, spontaneous assistance and confidentiality)</w:t>
      </w:r>
      <w:r>
        <w:t xml:space="preserve"> </w:t>
      </w:r>
      <w:r w:rsidRPr="00AB7C8B">
        <w:rPr>
          <w:szCs w:val="24"/>
        </w:rPr>
        <w:t xml:space="preserve">or alternatively the Agreement could refer to the Protocol of the </w:t>
      </w:r>
      <w:r w:rsidR="00582579">
        <w:rPr>
          <w:szCs w:val="24"/>
        </w:rPr>
        <w:t xml:space="preserve">EU- New Zealand </w:t>
      </w:r>
      <w:r w:rsidRPr="00AB7C8B">
        <w:rPr>
          <w:szCs w:val="24"/>
        </w:rPr>
        <w:t>Customs Cooperation and Mutual Administrative Assistance Agreement</w:t>
      </w:r>
      <w:r w:rsidRPr="00AB7C8B">
        <w:t>.</w:t>
      </w:r>
    </w:p>
    <w:p w:rsidR="00500F81" w:rsidRPr="005A0212" w:rsidRDefault="00500F81" w:rsidP="00500F81">
      <w:pPr>
        <w:rPr>
          <w:u w:val="single"/>
        </w:rPr>
      </w:pPr>
      <w:r w:rsidRPr="005A0212">
        <w:rPr>
          <w:u w:val="single"/>
        </w:rPr>
        <w:t>Non-tariff barriers</w:t>
      </w:r>
    </w:p>
    <w:p w:rsidR="00500F81" w:rsidRPr="005A0212" w:rsidRDefault="00500F81" w:rsidP="00500F81">
      <w:r w:rsidRPr="005A0212">
        <w:t xml:space="preserve">The Agreement should </w:t>
      </w:r>
      <w:r w:rsidR="00FD55F8" w:rsidRPr="003744B0">
        <w:t>address</w:t>
      </w:r>
      <w:r w:rsidRPr="005A0212">
        <w:t xml:space="preserve"> trade related regulatory issues and non-tariff barriers (NTBs). </w:t>
      </w:r>
      <w:r w:rsidR="002877D7">
        <w:t>T</w:t>
      </w:r>
      <w:r w:rsidRPr="005A0212">
        <w:t xml:space="preserve">he Agreement should </w:t>
      </w:r>
      <w:r w:rsidR="00C74F94" w:rsidRPr="003744B0">
        <w:t>therefor prohibit</w:t>
      </w:r>
      <w:r w:rsidRPr="005A0212">
        <w:t xml:space="preserve"> any ban, restriction or other </w:t>
      </w:r>
      <w:r w:rsidR="00FD55F8" w:rsidRPr="003744B0">
        <w:t>NTB</w:t>
      </w:r>
      <w:r w:rsidR="00C74F94" w:rsidRPr="003744B0">
        <w:t>s</w:t>
      </w:r>
      <w:r w:rsidRPr="005A0212">
        <w:t xml:space="preserve"> to trade, which is not justified by the general exceptions set out below, and which could amount to a means of arbitrary discrimination or a disguised restriction on trade between the parties. Priority should be given to provisions and procedures that should be included to ensure the elimination of unjustified non-tariff obstacles to trade. The Agreement should also envisage appropriate procedures to prevent NTBs and other unnecessary obstacles to trade. The Agreement should also address localisation requirements.</w:t>
      </w:r>
    </w:p>
    <w:p w:rsidR="00500F81" w:rsidRPr="005A0212" w:rsidRDefault="00500F81" w:rsidP="00500F81">
      <w:r w:rsidRPr="005A0212">
        <w:t xml:space="preserve">Product-specific NTBs should be solved on a request and offer basis, in parallel with exchanges on tariff concessions. Given the relevance of furthering the objectives of the Agreement and to improve market access at a level greater than that delivered through horizontal rules, the Agreement should include sector specific commitments on NTBs. </w:t>
      </w:r>
    </w:p>
    <w:p w:rsidR="00500F81" w:rsidRPr="005A0212" w:rsidRDefault="00500F81" w:rsidP="00500F81">
      <w:r w:rsidRPr="005A0212">
        <w:t xml:space="preserve">The Agreement should include provisions on </w:t>
      </w:r>
      <w:r w:rsidR="000E655E">
        <w:t>s</w:t>
      </w:r>
      <w:r w:rsidRPr="005A0212">
        <w:t xml:space="preserve">tate </w:t>
      </w:r>
      <w:r w:rsidR="000E655E">
        <w:t>t</w:t>
      </w:r>
      <w:r w:rsidRPr="005A0212">
        <w:t xml:space="preserve">rading </w:t>
      </w:r>
      <w:r w:rsidR="000E655E">
        <w:t>e</w:t>
      </w:r>
      <w:r w:rsidRPr="005A0212">
        <w:t>nterprises, assessing any possible distortion to competition and barriers to trade that this could create.</w:t>
      </w:r>
    </w:p>
    <w:p w:rsidR="00500F81" w:rsidRPr="002877D7" w:rsidRDefault="00500F81" w:rsidP="00500F81">
      <w:pPr>
        <w:rPr>
          <w:u w:val="single"/>
        </w:rPr>
      </w:pPr>
      <w:r w:rsidRPr="002877D7">
        <w:rPr>
          <w:u w:val="single"/>
        </w:rPr>
        <w:t>Technical regulations, standards and conformity assessment procedures</w:t>
      </w:r>
    </w:p>
    <w:p w:rsidR="00582579" w:rsidRDefault="00500F81" w:rsidP="00500F81">
      <w:r w:rsidRPr="005A0212">
        <w:t>Apart from confirming the provisions of the WTO Agreement on Technical Barriers to Trade, the parties should also establish provisions that build on and complement such provisions</w:t>
      </w:r>
      <w:r w:rsidR="00C74F94" w:rsidRPr="003744B0">
        <w:t xml:space="preserve"> in order</w:t>
      </w:r>
      <w:r w:rsidRPr="005A0212">
        <w:t xml:space="preserve"> to </w:t>
      </w:r>
      <w:r w:rsidR="00FD55F8" w:rsidRPr="003744B0">
        <w:t>facilitat</w:t>
      </w:r>
      <w:r w:rsidR="00C74F94" w:rsidRPr="003744B0">
        <w:t>e</w:t>
      </w:r>
      <w:r w:rsidRPr="005A0212">
        <w:t xml:space="preserve"> access to each other's markets. </w:t>
      </w:r>
    </w:p>
    <w:p w:rsidR="00582579" w:rsidRDefault="00500F81" w:rsidP="00500F81">
      <w:r w:rsidRPr="005A0212">
        <w:t>The Agreement should contain a number of general principles (such as proportionality, no undue restrictions, transparency, non-discrimination) and provisions that build on and complement WTO rules</w:t>
      </w:r>
      <w:r w:rsidR="00C74F94" w:rsidRPr="003744B0">
        <w:t>. Among other things,</w:t>
      </w:r>
      <w:r w:rsidRPr="005A0212">
        <w:t xml:space="preserve"> the aims</w:t>
      </w:r>
      <w:r w:rsidR="00C74F94" w:rsidRPr="003744B0">
        <w:t xml:space="preserve"> should include </w:t>
      </w:r>
      <w:r w:rsidRPr="005A0212">
        <w:t xml:space="preserve">increasing transparency, promoting good regulatory practice, adopting relevant international standards, seeking the compatibility and convergence of technical regulations on the basis of international standards, streamlining testing and certification requirements through, for example, the application of a risk-based approach to conformity assessment (including the application of self-certification in sectors where this is possible and appropriate) and provisions aiming at the compatibility of testing requirements in a number of priority sectors and promoting the use of accreditation. </w:t>
      </w:r>
    </w:p>
    <w:p w:rsidR="00500F81" w:rsidRPr="005A0212" w:rsidRDefault="00500F81" w:rsidP="00500F81">
      <w:r w:rsidRPr="005A0212">
        <w:t xml:space="preserve">The Agreement should contain provisions </w:t>
      </w:r>
      <w:r w:rsidR="00C74F94" w:rsidRPr="003744B0">
        <w:t xml:space="preserve">that </w:t>
      </w:r>
      <w:r w:rsidR="00FD55F8" w:rsidRPr="003744B0">
        <w:t>aim</w:t>
      </w:r>
      <w:r w:rsidRPr="005A0212">
        <w:t xml:space="preserve"> at improving</w:t>
      </w:r>
      <w:r w:rsidR="00FD55F8" w:rsidRPr="003744B0">
        <w:t xml:space="preserve"> </w:t>
      </w:r>
      <w:r w:rsidR="00C74F94" w:rsidRPr="003744B0">
        <w:t>the</w:t>
      </w:r>
      <w:r w:rsidRPr="005A0212">
        <w:t xml:space="preserve"> dissemination of information to importers and exporters.</w:t>
      </w:r>
    </w:p>
    <w:p w:rsidR="00500F81" w:rsidRPr="005A0212" w:rsidRDefault="00500F81" w:rsidP="00500F81">
      <w:r w:rsidRPr="005A0212">
        <w:t>The negotiations should address the relationship between the Agreement and the existing Mutual Recognition Agreement with a view to improving its implementation and providing for more efficient cooperation.</w:t>
      </w:r>
    </w:p>
    <w:p w:rsidR="00500F81" w:rsidRPr="002877D7" w:rsidRDefault="00500F81" w:rsidP="00500F81">
      <w:pPr>
        <w:rPr>
          <w:u w:val="single"/>
        </w:rPr>
      </w:pPr>
      <w:r w:rsidRPr="002877D7">
        <w:rPr>
          <w:u w:val="single"/>
        </w:rPr>
        <w:t xml:space="preserve">Sanitary and phytosanitary </w:t>
      </w:r>
      <w:r w:rsidR="00C74F94" w:rsidRPr="002877D7">
        <w:rPr>
          <w:u w:val="single"/>
        </w:rPr>
        <w:t xml:space="preserve">(SPS) </w:t>
      </w:r>
      <w:r w:rsidRPr="002877D7">
        <w:rPr>
          <w:u w:val="single"/>
        </w:rPr>
        <w:t>measures</w:t>
      </w:r>
    </w:p>
    <w:p w:rsidR="00500F81" w:rsidRPr="005A0212" w:rsidRDefault="00500F81" w:rsidP="00500F81">
      <w:r w:rsidRPr="005A0212">
        <w:rPr>
          <w:bCs/>
          <w:iCs/>
        </w:rPr>
        <w:t xml:space="preserve">The parties should build on and go beyond the WTO Agreement on SPS measures, with the objective of facilitating access to each Party’s market while protecting human, animal or plant life and health. The SPS </w:t>
      </w:r>
      <w:r w:rsidR="000E655E">
        <w:rPr>
          <w:bCs/>
          <w:iCs/>
        </w:rPr>
        <w:t>c</w:t>
      </w:r>
      <w:r w:rsidRPr="005A0212">
        <w:rPr>
          <w:bCs/>
          <w:iCs/>
        </w:rPr>
        <w:t>hapter should cover issues such as transparency, proportionality, undue delays, harmonisation, the recognition of equivalence</w:t>
      </w:r>
      <w:r w:rsidRPr="00F6200E">
        <w:rPr>
          <w:bCs/>
          <w:iCs/>
        </w:rPr>
        <w:t xml:space="preserve"> </w:t>
      </w:r>
      <w:r w:rsidRPr="005A0212">
        <w:rPr>
          <w:bCs/>
          <w:iCs/>
        </w:rPr>
        <w:t xml:space="preserve">and alternative measures, regionalisation, control, inspection and approval procedures, audits, import checks, emergency measures, approval of establishments without prior inspection, </w:t>
      </w:r>
      <w:r>
        <w:rPr>
          <w:bCs/>
          <w:iCs/>
        </w:rPr>
        <w:t>pursuing the application of</w:t>
      </w:r>
      <w:r w:rsidRPr="005A0212">
        <w:rPr>
          <w:bCs/>
          <w:iCs/>
        </w:rPr>
        <w:t xml:space="preserve"> EU-wide authorisation processes</w:t>
      </w:r>
      <w:r>
        <w:rPr>
          <w:bCs/>
          <w:iCs/>
        </w:rPr>
        <w:t xml:space="preserve"> (single entity)</w:t>
      </w:r>
      <w:r w:rsidRPr="005A0212">
        <w:rPr>
          <w:bCs/>
          <w:iCs/>
        </w:rPr>
        <w:t>, regulatory cooperation, improved cooperation on antimicrobial resistance, and the</w:t>
      </w:r>
      <w:r w:rsidRPr="005A0212">
        <w:t xml:space="preserve"> creation of a mechanism to address expeditiously specific trade concerns related to SPS measures. </w:t>
      </w:r>
    </w:p>
    <w:p w:rsidR="00500F81" w:rsidRPr="005A0212" w:rsidRDefault="00500F81" w:rsidP="00500F81">
      <w:r w:rsidRPr="005A0212">
        <w:t xml:space="preserve">The negotiations should follow the provisions of the negotiating directives adopted by the Council on 20 February 1995 (Council document 4976/95). </w:t>
      </w:r>
      <w:r w:rsidRPr="00AB7C8B">
        <w:t>The negotiations should address the relationship between the Agreement and the EU-New Zealand Agreement on sanitary measures applicable to trade in live animals and animal products, while preserving its content and providing for efficient cooperation.</w:t>
      </w:r>
    </w:p>
    <w:p w:rsidR="00500F81" w:rsidRPr="002877D7" w:rsidRDefault="00500F81" w:rsidP="00500F81">
      <w:pPr>
        <w:rPr>
          <w:u w:val="single"/>
        </w:rPr>
      </w:pPr>
      <w:r w:rsidRPr="002877D7">
        <w:rPr>
          <w:u w:val="single"/>
        </w:rPr>
        <w:t>Animal welfare</w:t>
      </w:r>
    </w:p>
    <w:p w:rsidR="002877D7" w:rsidRPr="002877D7" w:rsidRDefault="002877D7" w:rsidP="00500F81">
      <w:r>
        <w:t xml:space="preserve">The Agreement should promote continued cooperation and exchanges on animal </w:t>
      </w:r>
      <w:r w:rsidRPr="002877D7">
        <w:t xml:space="preserve">welfare, to discuss, inter alia, </w:t>
      </w:r>
      <w:r w:rsidR="001E2D5B">
        <w:t xml:space="preserve">possible commitments on </w:t>
      </w:r>
      <w:r w:rsidRPr="002877D7">
        <w:t xml:space="preserve">equivalence on animal welfare between the </w:t>
      </w:r>
      <w:r>
        <w:t>p</w:t>
      </w:r>
      <w:r w:rsidRPr="002877D7">
        <w:t>arties</w:t>
      </w:r>
      <w:r>
        <w:t>.</w:t>
      </w:r>
    </w:p>
    <w:p w:rsidR="00500F81" w:rsidRPr="005A0212" w:rsidRDefault="00500F81" w:rsidP="00500F81">
      <w:pPr>
        <w:rPr>
          <w:u w:val="single"/>
        </w:rPr>
      </w:pPr>
      <w:r w:rsidRPr="005A0212">
        <w:rPr>
          <w:u w:val="single"/>
        </w:rPr>
        <w:t>Safeguards</w:t>
      </w:r>
    </w:p>
    <w:p w:rsidR="00500F81" w:rsidRPr="005A0212" w:rsidRDefault="00500F81" w:rsidP="00500F81">
      <w:pPr>
        <w:rPr>
          <w:lang w:val="en-US"/>
        </w:rPr>
      </w:pPr>
      <w:r w:rsidRPr="005A0212">
        <w:rPr>
          <w:lang w:val="en-US"/>
        </w:rPr>
        <w:t xml:space="preserve">The Agreement should include a clause on safeguard measures providing that </w:t>
      </w:r>
      <w:r w:rsidR="00C74F94" w:rsidRPr="003744B0">
        <w:rPr>
          <w:lang w:val="en-US"/>
        </w:rPr>
        <w:t>either party</w:t>
      </w:r>
      <w:r w:rsidRPr="005A0212">
        <w:rPr>
          <w:lang w:val="en-US"/>
        </w:rPr>
        <w:t xml:space="preserve"> may take appropriate measures in accordance with the WTO Agreement on Implementation of Article XIX </w:t>
      </w:r>
      <w:r w:rsidR="00FD55F8" w:rsidRPr="003744B0">
        <w:rPr>
          <w:lang w:val="en-US"/>
        </w:rPr>
        <w:t>GATT</w:t>
      </w:r>
      <w:r w:rsidRPr="005A0212">
        <w:rPr>
          <w:lang w:val="en-US"/>
        </w:rPr>
        <w:t xml:space="preserve"> 1994 or the WTO Agreement on Safeguards. The Agreement should also provide that such safeguard measures should have the least distorting effect on bilateral trade.</w:t>
      </w:r>
    </w:p>
    <w:p w:rsidR="00500F81" w:rsidRPr="00500F81" w:rsidRDefault="00500F81" w:rsidP="00500F81">
      <w:pPr>
        <w:rPr>
          <w:lang w:val="en-US"/>
        </w:rPr>
      </w:pPr>
      <w:r w:rsidRPr="005A0212">
        <w:rPr>
          <w:lang w:val="en-US"/>
        </w:rPr>
        <w:t xml:space="preserve">To </w:t>
      </w:r>
      <w:r w:rsidR="00C74F94" w:rsidRPr="003744B0">
        <w:rPr>
          <w:lang w:val="en-US"/>
        </w:rPr>
        <w:t>maximise</w:t>
      </w:r>
      <w:r w:rsidRPr="005A0212">
        <w:rPr>
          <w:lang w:val="en-US"/>
        </w:rPr>
        <w:t xml:space="preserve"> commitments</w:t>
      </w:r>
      <w:r w:rsidR="00C74F94" w:rsidRPr="003744B0">
        <w:rPr>
          <w:lang w:val="en-US"/>
        </w:rPr>
        <w:t xml:space="preserve"> towards </w:t>
      </w:r>
      <w:r w:rsidR="00FD55F8" w:rsidRPr="003744B0">
        <w:rPr>
          <w:lang w:val="en-US"/>
        </w:rPr>
        <w:t>liberali</w:t>
      </w:r>
      <w:r w:rsidR="00C74F94" w:rsidRPr="003744B0">
        <w:rPr>
          <w:lang w:val="en-US"/>
        </w:rPr>
        <w:t>s</w:t>
      </w:r>
      <w:r w:rsidR="00FD55F8" w:rsidRPr="003744B0">
        <w:rPr>
          <w:lang w:val="en-US"/>
        </w:rPr>
        <w:t>ation</w:t>
      </w:r>
      <w:r w:rsidRPr="005A0212">
        <w:rPr>
          <w:lang w:val="en-US"/>
        </w:rPr>
        <w:t xml:space="preserve"> and in order to ensure any necessary protection, taking into account specificities of sensitive sectors, the Agreement should in principle contain a bilateral safeguard clause by which either party may remove, in part or in full, preferences where a rise in imports of a product from the other party is causing or threatening to cause serious injury to its domestic industry.</w:t>
      </w:r>
    </w:p>
    <w:p w:rsidR="00500F81" w:rsidRPr="005A0212" w:rsidRDefault="00500F81" w:rsidP="00500F81">
      <w:pPr>
        <w:rPr>
          <w:u w:val="single"/>
        </w:rPr>
      </w:pPr>
      <w:r w:rsidRPr="005A0212">
        <w:rPr>
          <w:u w:val="single"/>
        </w:rPr>
        <w:t xml:space="preserve">Anti-dumping and countervailing measures </w:t>
      </w:r>
    </w:p>
    <w:p w:rsidR="00500F81" w:rsidRPr="005A0212" w:rsidRDefault="00500F81" w:rsidP="00500F81">
      <w:pPr>
        <w:rPr>
          <w:lang w:val="en-US"/>
        </w:rPr>
      </w:pPr>
      <w:r w:rsidRPr="005A0212">
        <w:rPr>
          <w:lang w:val="en-US"/>
        </w:rPr>
        <w:t xml:space="preserve">The Agreement should include a clause on anti-dumping and countervailing measures providing that </w:t>
      </w:r>
      <w:r w:rsidR="00C74F94" w:rsidRPr="003744B0">
        <w:rPr>
          <w:lang w:val="en-US"/>
        </w:rPr>
        <w:t>either party</w:t>
      </w:r>
      <w:r w:rsidRPr="005A0212">
        <w:rPr>
          <w:lang w:val="en-US"/>
        </w:rPr>
        <w:t xml:space="preserve"> may take appropriate measures against dumping and/or countervailable subsidies in accordance with the WTO Agreement on Implementation of Article VI </w:t>
      </w:r>
      <w:r w:rsidR="00FD55F8" w:rsidRPr="003744B0">
        <w:rPr>
          <w:lang w:val="en-US"/>
        </w:rPr>
        <w:t>GATT</w:t>
      </w:r>
      <w:r w:rsidRPr="005A0212">
        <w:rPr>
          <w:lang w:val="en-US"/>
        </w:rPr>
        <w:t xml:space="preserve"> 1994 or the WTO Agreement on Subsidies and Countervailing Measures. The Agreement should also integrate commitments that go beyond WTO rules in this area in line with EU rules and previous agreements.</w:t>
      </w:r>
    </w:p>
    <w:p w:rsidR="00500F81" w:rsidRPr="005A0212" w:rsidRDefault="00500F81" w:rsidP="00500F81">
      <w:r w:rsidRPr="005A0212">
        <w:t xml:space="preserve">The Agreement should recognise that green box payments are not </w:t>
      </w:r>
      <w:r>
        <w:t>trade</w:t>
      </w:r>
      <w:r w:rsidRPr="005A0212">
        <w:t xml:space="preserve"> distortive and should therefore</w:t>
      </w:r>
      <w:r w:rsidR="00C74F94" w:rsidRPr="003744B0">
        <w:t>,</w:t>
      </w:r>
      <w:r w:rsidRPr="005A0212">
        <w:t xml:space="preserve"> in principle not be targeted by anti-dumping or anti-subsidy measures.</w:t>
      </w:r>
    </w:p>
    <w:p w:rsidR="00500F81" w:rsidRPr="00500F81" w:rsidRDefault="00500F81" w:rsidP="00500F81">
      <w:pPr>
        <w:rPr>
          <w:b/>
          <w:u w:val="single"/>
        </w:rPr>
      </w:pPr>
      <w:r w:rsidRPr="005A0212">
        <w:rPr>
          <w:b/>
          <w:u w:val="single"/>
        </w:rPr>
        <w:t>Trade in Services</w:t>
      </w:r>
      <w:r w:rsidR="00310AC7">
        <w:rPr>
          <w:b/>
          <w:u w:val="single"/>
        </w:rPr>
        <w:t xml:space="preserve">, </w:t>
      </w:r>
      <w:r w:rsidR="00501116">
        <w:rPr>
          <w:b/>
          <w:u w:val="single"/>
        </w:rPr>
        <w:t xml:space="preserve">Foreign Direct </w:t>
      </w:r>
      <w:r w:rsidRPr="005A0212">
        <w:rPr>
          <w:b/>
          <w:u w:val="single"/>
        </w:rPr>
        <w:t>Investment</w:t>
      </w:r>
      <w:r w:rsidR="00310AC7">
        <w:rPr>
          <w:b/>
          <w:u w:val="single"/>
        </w:rPr>
        <w:t xml:space="preserve"> and Digital Trade</w:t>
      </w:r>
    </w:p>
    <w:p w:rsidR="00500F81" w:rsidRPr="000C042D" w:rsidRDefault="00500F81" w:rsidP="00500F81">
      <w:pPr>
        <w:snapToGrid w:val="0"/>
        <w:rPr>
          <w:bCs/>
          <w:iCs/>
          <w:szCs w:val="24"/>
        </w:rPr>
      </w:pPr>
      <w:r w:rsidRPr="00AD26A6">
        <w:rPr>
          <w:bCs/>
          <w:iCs/>
          <w:szCs w:val="24"/>
        </w:rPr>
        <w:t xml:space="preserve">In line with Article V </w:t>
      </w:r>
      <w:r w:rsidRPr="000C042D">
        <w:rPr>
          <w:bCs/>
          <w:iCs/>
          <w:szCs w:val="24"/>
        </w:rPr>
        <w:t>GATS</w:t>
      </w:r>
      <w:r w:rsidR="00FD55F8" w:rsidRPr="003744B0">
        <w:rPr>
          <w:bCs/>
          <w:iCs/>
          <w:szCs w:val="24"/>
        </w:rPr>
        <w:t>,</w:t>
      </w:r>
      <w:r w:rsidRPr="000C042D">
        <w:rPr>
          <w:bCs/>
          <w:iCs/>
          <w:szCs w:val="24"/>
        </w:rPr>
        <w:t xml:space="preserve"> the Agreement should have substantial </w:t>
      </w:r>
      <w:r w:rsidR="00FD55F8" w:rsidRPr="003744B0">
        <w:rPr>
          <w:bCs/>
          <w:iCs/>
          <w:szCs w:val="24"/>
        </w:rPr>
        <w:t>sector</w:t>
      </w:r>
      <w:r w:rsidR="00C74F94" w:rsidRPr="003744B0">
        <w:rPr>
          <w:bCs/>
          <w:iCs/>
          <w:szCs w:val="24"/>
        </w:rPr>
        <w:t>i</w:t>
      </w:r>
      <w:r w:rsidR="00FD55F8" w:rsidRPr="003744B0">
        <w:rPr>
          <w:bCs/>
          <w:iCs/>
          <w:szCs w:val="24"/>
        </w:rPr>
        <w:t>al</w:t>
      </w:r>
      <w:r w:rsidRPr="000C042D">
        <w:rPr>
          <w:bCs/>
          <w:iCs/>
          <w:szCs w:val="24"/>
        </w:rPr>
        <w:t xml:space="preserve"> coverage and should cover all modes of supply. The Agreement should have no </w:t>
      </w:r>
      <w:r w:rsidRPr="000C042D">
        <w:rPr>
          <w:bCs/>
          <w:i/>
          <w:iCs/>
          <w:szCs w:val="24"/>
        </w:rPr>
        <w:t>a priori</w:t>
      </w:r>
      <w:r w:rsidRPr="000C042D">
        <w:rPr>
          <w:bCs/>
          <w:iCs/>
          <w:szCs w:val="24"/>
        </w:rPr>
        <w:t xml:space="preserve"> exclusion from its scope other than the exclusion of audio-visual services and services supplied and activities performed in the exercise of governmental authority. The negotiations should aim at the progressive and reciprocal liberalisation of trade in services and </w:t>
      </w:r>
      <w:r w:rsidR="00294F29">
        <w:rPr>
          <w:bCs/>
          <w:iCs/>
          <w:szCs w:val="24"/>
        </w:rPr>
        <w:t>f</w:t>
      </w:r>
      <w:r w:rsidR="00501116">
        <w:rPr>
          <w:bCs/>
          <w:iCs/>
          <w:szCs w:val="24"/>
        </w:rPr>
        <w:t xml:space="preserve">oreign </w:t>
      </w:r>
      <w:r w:rsidR="00294F29">
        <w:rPr>
          <w:bCs/>
          <w:iCs/>
          <w:szCs w:val="24"/>
        </w:rPr>
        <w:t>d</w:t>
      </w:r>
      <w:r w:rsidR="00501116">
        <w:rPr>
          <w:bCs/>
          <w:iCs/>
          <w:szCs w:val="24"/>
        </w:rPr>
        <w:t xml:space="preserve">irect </w:t>
      </w:r>
      <w:r w:rsidR="00294F29">
        <w:rPr>
          <w:bCs/>
          <w:iCs/>
          <w:szCs w:val="24"/>
        </w:rPr>
        <w:t>i</w:t>
      </w:r>
      <w:r w:rsidRPr="000C042D">
        <w:rPr>
          <w:bCs/>
          <w:iCs/>
          <w:szCs w:val="24"/>
        </w:rPr>
        <w:t>nvestment by eliminating restrictions to market access and national treatment, beyond the Parties’ WTO commitments and offers submitted in the context of the negotiations of the Trade in Services Agreement. The Agreement should include rules concerning p</w:t>
      </w:r>
      <w:r w:rsidRPr="000C042D">
        <w:rPr>
          <w:szCs w:val="24"/>
        </w:rPr>
        <w:t>erformance requirements</w:t>
      </w:r>
      <w:r w:rsidR="00501116">
        <w:rPr>
          <w:szCs w:val="24"/>
        </w:rPr>
        <w:t xml:space="preserve"> </w:t>
      </w:r>
      <w:r w:rsidRPr="000C042D">
        <w:rPr>
          <w:szCs w:val="24"/>
        </w:rPr>
        <w:t xml:space="preserve">related to </w:t>
      </w:r>
      <w:r w:rsidR="00294F29">
        <w:rPr>
          <w:szCs w:val="24"/>
        </w:rPr>
        <w:t>f</w:t>
      </w:r>
      <w:r w:rsidR="00501116">
        <w:rPr>
          <w:szCs w:val="24"/>
        </w:rPr>
        <w:t xml:space="preserve">oreign </w:t>
      </w:r>
      <w:r w:rsidR="00294F29">
        <w:rPr>
          <w:szCs w:val="24"/>
        </w:rPr>
        <w:t>d</w:t>
      </w:r>
      <w:r w:rsidR="00501116">
        <w:rPr>
          <w:szCs w:val="24"/>
        </w:rPr>
        <w:t xml:space="preserve">irect </w:t>
      </w:r>
      <w:r w:rsidR="00294F29">
        <w:rPr>
          <w:szCs w:val="24"/>
        </w:rPr>
        <w:t>i</w:t>
      </w:r>
      <w:r w:rsidRPr="000C042D">
        <w:rPr>
          <w:szCs w:val="24"/>
        </w:rPr>
        <w:t>nvestment</w:t>
      </w:r>
      <w:r w:rsidRPr="000C042D">
        <w:rPr>
          <w:bCs/>
          <w:iCs/>
          <w:szCs w:val="24"/>
        </w:rPr>
        <w:t>.</w:t>
      </w:r>
    </w:p>
    <w:p w:rsidR="00500F81" w:rsidRPr="000C042D" w:rsidRDefault="00500F81" w:rsidP="00500F81">
      <w:pPr>
        <w:snapToGrid w:val="0"/>
        <w:rPr>
          <w:bCs/>
          <w:iCs/>
          <w:szCs w:val="24"/>
        </w:rPr>
      </w:pPr>
      <w:r w:rsidRPr="000C042D">
        <w:rPr>
          <w:bCs/>
          <w:iCs/>
          <w:szCs w:val="24"/>
        </w:rPr>
        <w:t>Furthermore, the Agreement should contain regulatory disciplines. To that end, the negotiations should cover matters such as:</w:t>
      </w:r>
    </w:p>
    <w:p w:rsidR="00500F81" w:rsidRPr="000C042D" w:rsidRDefault="00500F81" w:rsidP="00500F81">
      <w:pPr>
        <w:pStyle w:val="Bullet0"/>
      </w:pPr>
      <w:r w:rsidRPr="000C042D">
        <w:t xml:space="preserve">Regulatory provisions on transparency and mutual recognition; </w:t>
      </w:r>
    </w:p>
    <w:p w:rsidR="00500F81" w:rsidRPr="000C042D" w:rsidRDefault="00500F81" w:rsidP="00500F81">
      <w:pPr>
        <w:pStyle w:val="Bullet0"/>
      </w:pPr>
      <w:r w:rsidRPr="000C042D">
        <w:t xml:space="preserve">Horizontal provisions on domestic regulation, such as those ensuring impartiality and due process with regard to licensing and qualification requirements and procedures; and </w:t>
      </w:r>
    </w:p>
    <w:p w:rsidR="00500F81" w:rsidRPr="000C042D" w:rsidRDefault="00500F81" w:rsidP="00500F81">
      <w:pPr>
        <w:pStyle w:val="Bullet0"/>
      </w:pPr>
      <w:r w:rsidRPr="000C042D">
        <w:t xml:space="preserve">Regulatory provisions for specific sectors including telecommunication services, financial services, </w:t>
      </w:r>
      <w:r w:rsidR="00D541B4">
        <w:t>delivery</w:t>
      </w:r>
      <w:r w:rsidRPr="000C042D">
        <w:t xml:space="preserve"> services and international maritime transport services. </w:t>
      </w:r>
    </w:p>
    <w:p w:rsidR="00500F81" w:rsidRPr="000C042D" w:rsidRDefault="00500F81" w:rsidP="00500F81">
      <w:pPr>
        <w:snapToGrid w:val="0"/>
        <w:rPr>
          <w:rFonts w:eastAsia="Calibri"/>
          <w:szCs w:val="24"/>
        </w:rPr>
      </w:pPr>
      <w:r w:rsidRPr="000C042D">
        <w:rPr>
          <w:rFonts w:eastAsia="Calibri"/>
          <w:szCs w:val="24"/>
        </w:rPr>
        <w:t>In the context of the increasing digitalisation of trade, the negotiations should result in rules covering digital trade and cross-border data flows</w:t>
      </w:r>
      <w:r w:rsidR="00FD55F8" w:rsidRPr="003744B0">
        <w:rPr>
          <w:rFonts w:eastAsia="Calibri"/>
          <w:szCs w:val="24"/>
        </w:rPr>
        <w:t>,</w:t>
      </w:r>
      <w:r w:rsidRPr="000C042D">
        <w:rPr>
          <w:rFonts w:eastAsia="Calibri"/>
          <w:szCs w:val="24"/>
        </w:rPr>
        <w:t xml:space="preserve"> electronic trust and authentication services, unsolicited direct marketing communications, and addressing unjustified data localisation requirements, while </w:t>
      </w:r>
      <w:r w:rsidR="00660BF1" w:rsidRPr="003744B0">
        <w:rPr>
          <w:rFonts w:eastAsia="Calibri"/>
          <w:szCs w:val="24"/>
        </w:rPr>
        <w:t>neither negotiating nor affecting</w:t>
      </w:r>
      <w:r w:rsidRPr="000C042D">
        <w:rPr>
          <w:rFonts w:eastAsia="Calibri"/>
          <w:szCs w:val="24"/>
        </w:rPr>
        <w:t xml:space="preserve"> the EU’s personal data protection rules</w:t>
      </w:r>
      <w:r w:rsidR="00FD55F8" w:rsidRPr="003744B0">
        <w:rPr>
          <w:rFonts w:eastAsia="Calibri"/>
          <w:szCs w:val="24"/>
        </w:rPr>
        <w:t>.</w:t>
      </w:r>
    </w:p>
    <w:p w:rsidR="00500F81" w:rsidRPr="000C042D" w:rsidRDefault="00500F81" w:rsidP="00500F81">
      <w:pPr>
        <w:snapToGrid w:val="0"/>
        <w:rPr>
          <w:rFonts w:eastAsia="Calibri"/>
          <w:szCs w:val="24"/>
        </w:rPr>
      </w:pPr>
      <w:r w:rsidRPr="000C042D">
        <w:rPr>
          <w:rFonts w:eastAsia="Calibri"/>
          <w:szCs w:val="24"/>
        </w:rPr>
        <w:t xml:space="preserve">The Agreement may include procedural commitments for the entry and stay of natural persons for business purposes pursuant to the Parties' commitments in Mode 4. </w:t>
      </w:r>
      <w:r w:rsidR="00C74F94" w:rsidRPr="003744B0">
        <w:rPr>
          <w:rFonts w:eastAsia="Calibri"/>
          <w:szCs w:val="24"/>
        </w:rPr>
        <w:t>However</w:t>
      </w:r>
      <w:r w:rsidRPr="000C042D">
        <w:rPr>
          <w:rFonts w:eastAsia="Calibri"/>
          <w:szCs w:val="24"/>
        </w:rPr>
        <w:t xml:space="preserve">, nothing in the Agreement should prevent the Parties from applying their national laws, regulations and requirements regarding entry and stay, provided that, in doing so, they do not nullify or impair the benefits accruing from the Agreement. The laws, regulations and requirements </w:t>
      </w:r>
      <w:r w:rsidR="001E2D5B">
        <w:rPr>
          <w:rFonts w:eastAsia="Calibri"/>
          <w:szCs w:val="24"/>
        </w:rPr>
        <w:t xml:space="preserve">existing in the EU </w:t>
      </w:r>
      <w:r w:rsidRPr="000C042D">
        <w:rPr>
          <w:rFonts w:eastAsia="Calibri"/>
          <w:szCs w:val="24"/>
        </w:rPr>
        <w:t>regarding working conditions and labour rights should continue to apply.</w:t>
      </w:r>
    </w:p>
    <w:p w:rsidR="00500F81" w:rsidRPr="00500F81" w:rsidRDefault="00500F81" w:rsidP="00500F81">
      <w:pPr>
        <w:snapToGrid w:val="0"/>
        <w:rPr>
          <w:rFonts w:eastAsia="Calibri"/>
          <w:szCs w:val="24"/>
        </w:rPr>
      </w:pPr>
      <w:r w:rsidRPr="000C042D">
        <w:rPr>
          <w:rFonts w:eastAsia="Calibri"/>
          <w:szCs w:val="24"/>
        </w:rPr>
        <w:t xml:space="preserve">The Agreement should reaffirm the right </w:t>
      </w:r>
      <w:r w:rsidR="00310AC7" w:rsidRPr="00310AC7">
        <w:rPr>
          <w:rFonts w:eastAsia="Calibri"/>
          <w:szCs w:val="24"/>
        </w:rPr>
        <w:t xml:space="preserve">to regulate economic activity in the public interest, </w:t>
      </w:r>
      <w:r w:rsidRPr="000C042D">
        <w:rPr>
          <w:rFonts w:eastAsia="Calibri"/>
          <w:szCs w:val="24"/>
        </w:rPr>
        <w:t xml:space="preserve">to achieve legitimate public policy objectives such as the protection and promotion of public health, social services, public education, safety, the environment, public morals, social or consumer protection, privacy and data protection and the promotion and protection of cultural diversity. The high quality of the EU’s public services should be preserved in accordance with the Treaty on the Functioning of the European Union </w:t>
      </w:r>
      <w:r w:rsidR="00902728" w:rsidRPr="003744B0">
        <w:rPr>
          <w:rFonts w:eastAsia="Calibri"/>
          <w:szCs w:val="24"/>
        </w:rPr>
        <w:t xml:space="preserve">(TFEU) </w:t>
      </w:r>
      <w:r w:rsidRPr="000C042D">
        <w:rPr>
          <w:rFonts w:eastAsia="Calibri"/>
          <w:szCs w:val="24"/>
        </w:rPr>
        <w:t>and in particular Protocol No 26 on Services of General Interest, and taking into account the EU’s reservations in this area, including GATS.</w:t>
      </w:r>
    </w:p>
    <w:p w:rsidR="00500F81" w:rsidRPr="005A0212" w:rsidRDefault="00500F81" w:rsidP="00500F81">
      <w:pPr>
        <w:rPr>
          <w:b/>
          <w:u w:val="single"/>
        </w:rPr>
      </w:pPr>
      <w:r w:rsidRPr="005A0212">
        <w:rPr>
          <w:b/>
          <w:u w:val="single"/>
        </w:rPr>
        <w:t>Capital Movement and Payments</w:t>
      </w:r>
    </w:p>
    <w:p w:rsidR="00500F81" w:rsidRPr="005A0212" w:rsidRDefault="00500F81" w:rsidP="00500F81">
      <w:r w:rsidRPr="005A0212">
        <w:t xml:space="preserve">The Agreement should </w:t>
      </w:r>
      <w:r>
        <w:t xml:space="preserve">aim </w:t>
      </w:r>
      <w:r w:rsidRPr="005A0212">
        <w:t xml:space="preserve">for </w:t>
      </w:r>
      <w:r w:rsidR="009E3CBE">
        <w:t>the removal of restrictions to</w:t>
      </w:r>
      <w:r w:rsidRPr="005A0212">
        <w:t xml:space="preserve"> current payments and capital movements</w:t>
      </w:r>
      <w:r w:rsidR="00D541B4">
        <w:t xml:space="preserve"> related to transactions </w:t>
      </w:r>
      <w:r w:rsidR="009E3CBE">
        <w:t>liberalised</w:t>
      </w:r>
      <w:r w:rsidR="00D541B4">
        <w:t xml:space="preserve"> under this Agreement</w:t>
      </w:r>
      <w:r w:rsidRPr="005A0212">
        <w:t xml:space="preserve">, and include a standstill clause. It should </w:t>
      </w:r>
      <w:r>
        <w:t>include</w:t>
      </w:r>
      <w:r w:rsidRPr="005A0212">
        <w:t xml:space="preserve"> </w:t>
      </w:r>
      <w:r w:rsidR="00D02356" w:rsidRPr="003744B0">
        <w:t xml:space="preserve">safeguard and </w:t>
      </w:r>
      <w:r w:rsidRPr="005A0212">
        <w:t>carve-out provisions (e.g.</w:t>
      </w:r>
      <w:r w:rsidR="00D02356" w:rsidRPr="003744B0">
        <w:t xml:space="preserve"> concerning the Union's economic and</w:t>
      </w:r>
      <w:r w:rsidRPr="005A0212">
        <w:t xml:space="preserve"> monetary </w:t>
      </w:r>
      <w:r w:rsidR="00D02356" w:rsidRPr="003744B0">
        <w:t>union</w:t>
      </w:r>
      <w:r w:rsidR="008E504E" w:rsidRPr="003744B0">
        <w:t xml:space="preserve"> and</w:t>
      </w:r>
      <w:r w:rsidR="00D02356" w:rsidRPr="003744B0">
        <w:t xml:space="preserve"> balance of payments</w:t>
      </w:r>
      <w:r w:rsidRPr="005A0212">
        <w:t xml:space="preserve">), which should be in accordance with the provisions of the TFEU on the free movement of capital. </w:t>
      </w:r>
    </w:p>
    <w:p w:rsidR="00500F81" w:rsidRPr="005A0212" w:rsidRDefault="00500F81" w:rsidP="00500F81">
      <w:pPr>
        <w:rPr>
          <w:b/>
          <w:u w:val="single"/>
        </w:rPr>
      </w:pPr>
      <w:r w:rsidRPr="005A0212">
        <w:rPr>
          <w:b/>
          <w:u w:val="single"/>
        </w:rPr>
        <w:t>Intellectual Property Rights</w:t>
      </w:r>
    </w:p>
    <w:p w:rsidR="00500F81" w:rsidRPr="005A0212" w:rsidRDefault="00500F81" w:rsidP="00500F81">
      <w:r w:rsidRPr="005A0212">
        <w:t>The Agreement should complement and build upon the Agreement</w:t>
      </w:r>
      <w:r w:rsidR="00902728" w:rsidRPr="003744B0">
        <w:t xml:space="preserve"> on Trade-Related Aspects of Intellectual Property Rights (TRIPs)</w:t>
      </w:r>
      <w:r w:rsidR="00FD55F8" w:rsidRPr="003744B0">
        <w:t>,</w:t>
      </w:r>
      <w:r w:rsidRPr="005A0212">
        <w:t xml:space="preserve"> aiming at ensuring an adequate and effective level of protection and enforcement of intellectual property rights.</w:t>
      </w:r>
    </w:p>
    <w:p w:rsidR="00500F81" w:rsidRPr="005A0212" w:rsidRDefault="00500F81" w:rsidP="00500F81">
      <w:r w:rsidRPr="005A0212">
        <w:t xml:space="preserve">The IPR chapter should cover topics, such as copyright and related rights, trademarks, designs, patents, plant variety rights, </w:t>
      </w:r>
      <w:r w:rsidR="00A67E55" w:rsidRPr="003744B0">
        <w:t>undisclosed information including</w:t>
      </w:r>
      <w:r w:rsidRPr="005A0212">
        <w:t xml:space="preserve"> trade secrets, geographical indications (GIs) and enhanced enforcement. </w:t>
      </w:r>
      <w:r w:rsidR="002877D7">
        <w:t>T</w:t>
      </w:r>
      <w:r w:rsidRPr="005A0212">
        <w:t>he Agreement should seek to improve the effectiveness of enforcement of IPR, including in the digital environment and at the border (including on exports).</w:t>
      </w:r>
    </w:p>
    <w:p w:rsidR="00500F81" w:rsidRPr="005A0212" w:rsidRDefault="00500F81" w:rsidP="00500F81">
      <w:r w:rsidRPr="005A0212">
        <w:t xml:space="preserve">The Agreement should set up appropriate cooperation mechanisms between the Parties to support the implementation of the IPR chapter, as well as a regular dialogue on </w:t>
      </w:r>
      <w:r w:rsidR="000E655E">
        <w:t>i</w:t>
      </w:r>
      <w:r w:rsidRPr="005A0212">
        <w:t xml:space="preserve">ntellectual </w:t>
      </w:r>
      <w:r w:rsidR="000E655E">
        <w:t>p</w:t>
      </w:r>
      <w:r w:rsidRPr="005A0212">
        <w:t>roperty to promote exchange of information on respective legislative progress, exchange of experience on enforcement and consultation in relation to third countries.</w:t>
      </w:r>
    </w:p>
    <w:p w:rsidR="00500F81" w:rsidRPr="005A0212" w:rsidRDefault="00500F81" w:rsidP="00500F81">
      <w:r w:rsidRPr="005A0212">
        <w:t>Without prejudice to the relevant multilateral discussions in this regard, the negotiations should explore the issue of genetic resources, traditional knowledge and folklore.</w:t>
      </w:r>
    </w:p>
    <w:p w:rsidR="00500F81" w:rsidRPr="00500F81" w:rsidRDefault="00500F81" w:rsidP="00500F81">
      <w:pPr>
        <w:rPr>
          <w:b/>
          <w:u w:val="single"/>
        </w:rPr>
      </w:pPr>
      <w:r w:rsidRPr="00500F81">
        <w:rPr>
          <w:b/>
          <w:u w:val="single"/>
        </w:rPr>
        <w:t>Geographical Indications</w:t>
      </w:r>
    </w:p>
    <w:p w:rsidR="00500F81" w:rsidRPr="005A0212" w:rsidRDefault="00500F81" w:rsidP="00500F81">
      <w:r w:rsidRPr="005A0212">
        <w:t>The Agreement should provide direct protection through the agreement of a list of GIs (wines, spirits</w:t>
      </w:r>
      <w:r>
        <w:t>,</w:t>
      </w:r>
      <w:r w:rsidRPr="005A0212">
        <w:t xml:space="preserve"> agricultural products</w:t>
      </w:r>
      <w:r w:rsidRPr="005F118A">
        <w:t xml:space="preserve"> </w:t>
      </w:r>
      <w:r w:rsidRPr="005A0212">
        <w:t xml:space="preserve">and foodstuffs), at a high level of protection building upon </w:t>
      </w:r>
      <w:r w:rsidR="00FD55F8" w:rsidRPr="003744B0">
        <w:t>Art</w:t>
      </w:r>
      <w:r w:rsidR="00902728" w:rsidRPr="003744B0">
        <w:t>icle</w:t>
      </w:r>
      <w:r w:rsidRPr="005A0212">
        <w:t xml:space="preserve"> 23</w:t>
      </w:r>
      <w:r w:rsidR="00902728" w:rsidRPr="003744B0">
        <w:t xml:space="preserve"> TRIPs</w:t>
      </w:r>
      <w:r w:rsidRPr="005A0212">
        <w:t xml:space="preserve">, including evocation, </w:t>
      </w:r>
      <w:r>
        <w:t xml:space="preserve">enhanced </w:t>
      </w:r>
      <w:r w:rsidRPr="005A0212">
        <w:t xml:space="preserve">enforcement, co-existence with "bona fide" prior trademarks, protection against subsequent genericness and the possibility to add new GIs. Issues concerning individual prior rights, for example related to plant varieties, trademarks, generic or other legitimate prior uses, should be addressed. In addition, the negotiations will </w:t>
      </w:r>
      <w:r>
        <w:t>include arrangements</w:t>
      </w:r>
      <w:r w:rsidRPr="005A0212">
        <w:t xml:space="preserve"> regarding protection of GIs in third</w:t>
      </w:r>
      <w:r>
        <w:t xml:space="preserve"> country</w:t>
      </w:r>
      <w:r w:rsidRPr="005A0212">
        <w:t xml:space="preserve"> markets.</w:t>
      </w:r>
    </w:p>
    <w:p w:rsidR="00500F81" w:rsidRPr="005A0212" w:rsidRDefault="00500F81" w:rsidP="00500F81">
      <w:pPr>
        <w:rPr>
          <w:b/>
          <w:u w:val="single"/>
        </w:rPr>
      </w:pPr>
      <w:r w:rsidRPr="005A0212">
        <w:rPr>
          <w:b/>
          <w:u w:val="single"/>
        </w:rPr>
        <w:t>Public Procurement</w:t>
      </w:r>
    </w:p>
    <w:p w:rsidR="00500F81" w:rsidRPr="005A0212" w:rsidRDefault="00500F81" w:rsidP="00500F81">
      <w:r w:rsidRPr="00AB7C8B">
        <w:t>Building on respective WTO Government Procurement Agreement (GPA) commitments, the Agreement should aim at comprehensive and improved access to public procurement markets.</w:t>
      </w:r>
      <w:r w:rsidRPr="005A0212">
        <w:t xml:space="preserve"> This should include </w:t>
      </w:r>
      <w:r w:rsidRPr="00AB7C8B">
        <w:t>comprehensive and mutually acceptable coverage of procurement at all levels of government, crown entities,</w:t>
      </w:r>
      <w:r w:rsidRPr="005A0212">
        <w:t xml:space="preserve"> state owned enterprises and undertakings with special or exclusive rights, and procurement of goods, services and public works. In doing so, the </w:t>
      </w:r>
      <w:r w:rsidR="00B56154" w:rsidRPr="003744B0">
        <w:t>parties</w:t>
      </w:r>
      <w:r w:rsidRPr="005A0212">
        <w:t xml:space="preserve"> recognise the particularities and the sensitivities of their respective procurement environments. The Agreement should also consider covering commitments for </w:t>
      </w:r>
      <w:r w:rsidR="000E655E">
        <w:t>p</w:t>
      </w:r>
      <w:r w:rsidRPr="005A0212">
        <w:t xml:space="preserve">ublic </w:t>
      </w:r>
      <w:r w:rsidR="000E655E">
        <w:t>p</w:t>
      </w:r>
      <w:r w:rsidRPr="005A0212">
        <w:t xml:space="preserve">rivate </w:t>
      </w:r>
      <w:r w:rsidR="000E655E">
        <w:t>p</w:t>
      </w:r>
      <w:r w:rsidRPr="005A0212">
        <w:t xml:space="preserve">artnerships / concessions in line with respective legislation in this area. </w:t>
      </w:r>
      <w:r w:rsidR="00B56154" w:rsidRPr="003744B0">
        <w:t>The parties</w:t>
      </w:r>
      <w:r w:rsidRPr="005A0212">
        <w:t xml:space="preserve"> recognise the importance of the principle of national treatment in order to ensure treatment no less favourable than that accorded to locally-established suppliers or service providers. </w:t>
      </w:r>
    </w:p>
    <w:p w:rsidR="00500F81" w:rsidRPr="005A0212" w:rsidRDefault="00500F81" w:rsidP="00500F81">
      <w:r w:rsidRPr="005A0212">
        <w:t xml:space="preserve">Procedural commitments should be based on the rules, procedures and requirements established under the WTO </w:t>
      </w:r>
      <w:r w:rsidR="00237750" w:rsidRPr="003744B0">
        <w:t>GPA</w:t>
      </w:r>
      <w:r w:rsidR="00FD55F8" w:rsidRPr="003744B0">
        <w:t>.</w:t>
      </w:r>
      <w:r w:rsidRPr="005A0212">
        <w:t xml:space="preserve"> In particular, commitments should ensure due process (such as including effective review mechanisms) and transparency in covered procurement. Specific language on transparency should be considered in order to ensure clarity on applicable procurement rules and on available procurement opportunities in order to provide businesses with easily available information.</w:t>
      </w:r>
    </w:p>
    <w:p w:rsidR="00500F81" w:rsidRPr="005A0212" w:rsidRDefault="00500F81" w:rsidP="00500F81">
      <w:pPr>
        <w:rPr>
          <w:b/>
          <w:u w:val="single"/>
        </w:rPr>
      </w:pPr>
      <w:r w:rsidRPr="005A0212">
        <w:rPr>
          <w:b/>
          <w:u w:val="single"/>
        </w:rPr>
        <w:t>Trade and Competition</w:t>
      </w:r>
    </w:p>
    <w:p w:rsidR="00500F81" w:rsidRPr="005A0212" w:rsidRDefault="00500F81" w:rsidP="00500F81">
      <w:r w:rsidRPr="005A0212">
        <w:t>The Agreement should include provisions on competition addressing competition rules and their enforcement.</w:t>
      </w:r>
    </w:p>
    <w:p w:rsidR="00500F81" w:rsidRPr="005A0212" w:rsidRDefault="00500F81" w:rsidP="00500F81">
      <w:r w:rsidRPr="005A0212">
        <w:t xml:space="preserve">The Agreement should contain provisions on subsidies. Furthermore, it should also address State-Owned Enterprises, designated monopolies and enterprises granted special rights or privileges. </w:t>
      </w:r>
    </w:p>
    <w:p w:rsidR="00500F81" w:rsidRPr="005A0212" w:rsidRDefault="00500F81" w:rsidP="00500F81">
      <w:pPr>
        <w:rPr>
          <w:b/>
          <w:u w:val="single"/>
        </w:rPr>
      </w:pPr>
      <w:r w:rsidRPr="005A0212">
        <w:rPr>
          <w:b/>
          <w:u w:val="single"/>
        </w:rPr>
        <w:t>Small and Medium-sized Enterprises</w:t>
      </w:r>
    </w:p>
    <w:p w:rsidR="00500F81" w:rsidRPr="005A0212" w:rsidRDefault="00500F81" w:rsidP="00500F81">
      <w:r w:rsidRPr="005A0212">
        <w:t xml:space="preserve">The Agreement should include a specific SME chapter. The Agreement should assist SMEs to take </w:t>
      </w:r>
      <w:r w:rsidR="00B56154" w:rsidRPr="003744B0">
        <w:t xml:space="preserve">full </w:t>
      </w:r>
      <w:r w:rsidRPr="005A0212">
        <w:t xml:space="preserve">advantage of the </w:t>
      </w:r>
      <w:r w:rsidR="001E2D5B">
        <w:t xml:space="preserve">trade </w:t>
      </w:r>
      <w:r w:rsidRPr="005A0212">
        <w:t xml:space="preserve">opportunities </w:t>
      </w:r>
      <w:r w:rsidR="00B56154" w:rsidRPr="003744B0">
        <w:t>provided by</w:t>
      </w:r>
      <w:r w:rsidRPr="005A0212">
        <w:t xml:space="preserve"> the Agreement, including through information sharing arrangements on market access requirements and an appropriate institutional set-up.</w:t>
      </w:r>
    </w:p>
    <w:p w:rsidR="00500F81" w:rsidRPr="005A0212" w:rsidRDefault="00500F81" w:rsidP="00500F81">
      <w:pPr>
        <w:rPr>
          <w:b/>
          <w:u w:val="single"/>
        </w:rPr>
      </w:pPr>
      <w:r w:rsidRPr="005A0212">
        <w:rPr>
          <w:b/>
          <w:u w:val="single"/>
        </w:rPr>
        <w:t xml:space="preserve">Trade and Sustainable Development </w:t>
      </w:r>
    </w:p>
    <w:p w:rsidR="00500F81" w:rsidRPr="005A0212" w:rsidRDefault="00500F81" w:rsidP="00500F81">
      <w:r w:rsidRPr="005A0212">
        <w:t xml:space="preserve">The Agreement should include provisions on labour and environmental aspects of trade and sustainable development of relevance in a trade and </w:t>
      </w:r>
      <w:r w:rsidR="00294F29">
        <w:t>f</w:t>
      </w:r>
      <w:r w:rsidR="00D541B4">
        <w:t xml:space="preserve">oreign </w:t>
      </w:r>
      <w:r w:rsidR="00294F29">
        <w:t>d</w:t>
      </w:r>
      <w:r w:rsidR="00D541B4">
        <w:t xml:space="preserve">irect </w:t>
      </w:r>
      <w:r w:rsidR="00294F29">
        <w:t>i</w:t>
      </w:r>
      <w:r w:rsidRPr="005A0212">
        <w:t>nvestment context. It should include provisions that promote adherence to and effective implementation of relevant internationally agreed principles and rules, including the core labour standards and fundamental conventions of the International Labour Organisation (ILO) and multilateral environmental agreements</w:t>
      </w:r>
      <w:r w:rsidR="0027430D" w:rsidRPr="003744B0">
        <w:t xml:space="preserve"> including those related to climate change</w:t>
      </w:r>
      <w:r w:rsidRPr="005A0212">
        <w:t>.</w:t>
      </w:r>
    </w:p>
    <w:p w:rsidR="00500F81" w:rsidRPr="005A0212" w:rsidRDefault="00500F81" w:rsidP="00500F81">
      <w:r w:rsidRPr="005A0212">
        <w:t xml:space="preserve">The Agreement should reaffirm the right of the parties to regulate in the labour and environmental areas, consistent with their international commitments, and in pursuit of high levels of protection. It should include provisions for labour and environmental levels of protection not to be lowered in order to encourage trade and </w:t>
      </w:r>
      <w:r w:rsidR="00294F29">
        <w:t>f</w:t>
      </w:r>
      <w:r w:rsidR="00D541B4">
        <w:t xml:space="preserve">oreign </w:t>
      </w:r>
      <w:r w:rsidR="00294F29">
        <w:t>d</w:t>
      </w:r>
      <w:r w:rsidR="00D541B4">
        <w:t xml:space="preserve">irect </w:t>
      </w:r>
      <w:r w:rsidR="00294F29">
        <w:t>i</w:t>
      </w:r>
      <w:r w:rsidRPr="005A0212">
        <w:t>nvestment</w:t>
      </w:r>
      <w:r w:rsidR="00B56154" w:rsidRPr="003744B0">
        <w:t xml:space="preserve">. This should </w:t>
      </w:r>
      <w:r w:rsidR="00FD55F8" w:rsidRPr="003744B0">
        <w:t>includ</w:t>
      </w:r>
      <w:r w:rsidR="00B56154" w:rsidRPr="003744B0">
        <w:t>e</w:t>
      </w:r>
      <w:r w:rsidRPr="005A0212">
        <w:t xml:space="preserve"> a commitment not to derogate from or fail to enforce domestic labour or environmental laws</w:t>
      </w:r>
      <w:r w:rsidR="00FD55F8" w:rsidRPr="003744B0">
        <w:t>.</w:t>
      </w:r>
    </w:p>
    <w:p w:rsidR="00500F81" w:rsidRPr="005A0212" w:rsidRDefault="00500F81" w:rsidP="00500F81">
      <w:r w:rsidRPr="005A0212">
        <w:t xml:space="preserve">The Agreement should promote a greater contribution of trade and </w:t>
      </w:r>
      <w:r w:rsidR="00294F29">
        <w:t>f</w:t>
      </w:r>
      <w:r w:rsidR="00D541B4">
        <w:t xml:space="preserve">oreign </w:t>
      </w:r>
      <w:r w:rsidR="00294F29">
        <w:t>d</w:t>
      </w:r>
      <w:r w:rsidR="00D541B4">
        <w:t xml:space="preserve">irect </w:t>
      </w:r>
      <w:r w:rsidR="00294F29">
        <w:t>i</w:t>
      </w:r>
      <w:r w:rsidRPr="005A0212">
        <w:t>nvestment to sustainable development, including by addressing areas such as the facilitation of trade in environmental and climate-friendly goods and services and the promotion of voluntary sustainability assurance schemes and of corporate social responsibility, having regard to internationally recognised instruments.</w:t>
      </w:r>
    </w:p>
    <w:p w:rsidR="00AB3347" w:rsidRDefault="00AB3347" w:rsidP="00500F81">
      <w:r>
        <w:t>The Agreement should also contain commitments promoting trade in legally obtained and sustainably managed natural resources, in particular in relation to biodiversity, wildlife, forestry products, fisheries and cover relevant international instruments and practices. It should also promote trade favouring low-emission, climate resilient development.</w:t>
      </w:r>
    </w:p>
    <w:p w:rsidR="00500F81" w:rsidRPr="005A0212" w:rsidRDefault="00500F81" w:rsidP="00500F81">
      <w:pPr>
        <w:rPr>
          <w:lang w:val="en-NZ"/>
        </w:rPr>
      </w:pPr>
      <w:r w:rsidRPr="005A0212">
        <w:t>The Agreement should foresee suitable provisions for the effective implementation and monitoring of these provisions, as well as procedures to address any disputes arising between the Parties, and should provide for civil society participation.</w:t>
      </w:r>
    </w:p>
    <w:p w:rsidR="00500F81" w:rsidRPr="005A0212" w:rsidRDefault="00500F81" w:rsidP="00500F81">
      <w:pPr>
        <w:rPr>
          <w:b/>
          <w:u w:val="single"/>
        </w:rPr>
      </w:pPr>
      <w:r w:rsidRPr="005A0212">
        <w:rPr>
          <w:b/>
          <w:u w:val="single"/>
        </w:rPr>
        <w:t>Energy and Raw Materials</w:t>
      </w:r>
    </w:p>
    <w:p w:rsidR="00500F81" w:rsidRPr="005A0212" w:rsidRDefault="00500F81" w:rsidP="00500F81">
      <w:r w:rsidRPr="005A0212">
        <w:t xml:space="preserve">The Agreement should include provisions addressing trade and </w:t>
      </w:r>
      <w:r w:rsidR="00294F29">
        <w:t>f</w:t>
      </w:r>
      <w:r w:rsidR="00581C49">
        <w:t xml:space="preserve">oreign </w:t>
      </w:r>
      <w:r w:rsidR="00294F29">
        <w:t>d</w:t>
      </w:r>
      <w:r w:rsidR="00581C49">
        <w:t xml:space="preserve">irect </w:t>
      </w:r>
      <w:r w:rsidR="00294F29">
        <w:t>i</w:t>
      </w:r>
      <w:r w:rsidRPr="005A0212">
        <w:t xml:space="preserve">nvestment-related aspects of energy and raw materials. The Agreement should aim at ensuring an open, transparent, non-discriminatory and predictable business environment and at limiting anti-competitive practices in this area. The Agreement should also include rules that support and further promote trade and </w:t>
      </w:r>
      <w:r w:rsidR="00294F29">
        <w:t>f</w:t>
      </w:r>
      <w:r w:rsidR="00581C49">
        <w:t xml:space="preserve">oreign </w:t>
      </w:r>
      <w:r w:rsidR="00294F29">
        <w:t>d</w:t>
      </w:r>
      <w:r w:rsidR="00581C49">
        <w:t xml:space="preserve">irect </w:t>
      </w:r>
      <w:r w:rsidR="00294F29">
        <w:t>i</w:t>
      </w:r>
      <w:r w:rsidRPr="005A0212">
        <w:t>nvestment in the renewable energy sector. The Agreement should also enhance cooperation in the abovementioned areas.</w:t>
      </w:r>
    </w:p>
    <w:p w:rsidR="00500F81" w:rsidRPr="005A0212" w:rsidRDefault="00500F81" w:rsidP="00500F81">
      <w:pPr>
        <w:rPr>
          <w:b/>
          <w:u w:val="single"/>
        </w:rPr>
      </w:pPr>
      <w:r w:rsidRPr="005A0212">
        <w:rPr>
          <w:b/>
          <w:u w:val="single"/>
        </w:rPr>
        <w:t>Transparency of Regulations</w:t>
      </w:r>
    </w:p>
    <w:p w:rsidR="00500F81" w:rsidRPr="005A0212" w:rsidRDefault="00500F81" w:rsidP="00500F81">
      <w:r w:rsidRPr="005A0212">
        <w:t>The Agreement should include provisions regarding:</w:t>
      </w:r>
    </w:p>
    <w:p w:rsidR="00500F81" w:rsidRPr="005A0212" w:rsidRDefault="00500F81" w:rsidP="00500F81">
      <w:pPr>
        <w:pStyle w:val="Bullet0"/>
      </w:pPr>
      <w:r w:rsidRPr="005A0212">
        <w:t>Publication, including making measures of general application publicly available, in a non-discriminatory manner and with reasonable time for comments on proposals for measures of general application.</w:t>
      </w:r>
    </w:p>
    <w:p w:rsidR="00500F81" w:rsidRPr="005A0212" w:rsidRDefault="00500F81" w:rsidP="00500F81">
      <w:pPr>
        <w:pStyle w:val="Bullet0"/>
      </w:pPr>
      <w:r w:rsidRPr="005A0212">
        <w:t>Enquiries and contact points, with mechanisms to respond to enquiries from interested parties regarding measures proposed or in force.</w:t>
      </w:r>
    </w:p>
    <w:p w:rsidR="00500F81" w:rsidRPr="005A0212" w:rsidRDefault="00500F81" w:rsidP="00500F81">
      <w:pPr>
        <w:pStyle w:val="Bullet0"/>
      </w:pPr>
      <w:r w:rsidRPr="005A0212">
        <w:t>Administrative proceedings based on and in accordance with law which ensure that information on the operation of measures of general application is available to interested persons and reasonable opportunity is afforded for those affected by a proceeding to present views prior to any final administrative action.</w:t>
      </w:r>
    </w:p>
    <w:p w:rsidR="00500F81" w:rsidRPr="005A0212" w:rsidRDefault="00500F81" w:rsidP="00500F81">
      <w:pPr>
        <w:pStyle w:val="Bullet0"/>
      </w:pPr>
      <w:r w:rsidRPr="005A0212">
        <w:t xml:space="preserve">Appropriate opportunities </w:t>
      </w:r>
      <w:r w:rsidR="00B56154" w:rsidRPr="003744B0">
        <w:t>to</w:t>
      </w:r>
      <w:r w:rsidRPr="005A0212">
        <w:t xml:space="preserve"> review and appeal </w:t>
      </w:r>
      <w:r w:rsidR="00B56154" w:rsidRPr="003744B0">
        <w:t>an</w:t>
      </w:r>
      <w:r w:rsidRPr="005A0212">
        <w:t xml:space="preserve"> administrative action in areas covered by the Agreement.</w:t>
      </w:r>
    </w:p>
    <w:p w:rsidR="00500F81" w:rsidRPr="005A0212" w:rsidRDefault="00500F81" w:rsidP="00500F81">
      <w:pPr>
        <w:pStyle w:val="Bullet0"/>
      </w:pPr>
      <w:r w:rsidRPr="005A0212">
        <w:t>Promotion of quality regulation and good administrative practice.</w:t>
      </w:r>
    </w:p>
    <w:p w:rsidR="00500F81" w:rsidRPr="005A0212" w:rsidRDefault="00500F81" w:rsidP="00500F81">
      <w:pPr>
        <w:rPr>
          <w:b/>
          <w:u w:val="single"/>
        </w:rPr>
      </w:pPr>
      <w:r w:rsidRPr="005A0212">
        <w:rPr>
          <w:b/>
          <w:u w:val="single"/>
        </w:rPr>
        <w:t xml:space="preserve">Regulatory </w:t>
      </w:r>
      <w:r w:rsidR="000E655E">
        <w:rPr>
          <w:b/>
          <w:u w:val="single"/>
        </w:rPr>
        <w:t>c</w:t>
      </w:r>
      <w:r w:rsidRPr="005A0212">
        <w:rPr>
          <w:b/>
          <w:u w:val="single"/>
        </w:rPr>
        <w:t>ooperation</w:t>
      </w:r>
    </w:p>
    <w:p w:rsidR="00500F81" w:rsidRPr="005A0212" w:rsidRDefault="00500F81" w:rsidP="00500F81">
      <w:r w:rsidRPr="005A0212">
        <w:t>The Agreement should include cross-cutting disciplines on regulatory coherence and transparency for the development, adoption and implementation of efficient, cost-effective, and more compatible regulations</w:t>
      </w:r>
      <w:r w:rsidR="001E2D5B">
        <w:t xml:space="preserve"> so as to facilitate trade</w:t>
      </w:r>
      <w:r w:rsidRPr="005A0212">
        <w:t>. The Agreement should include provisions on the promotion of information exchange, the enhanced use of good regulatory practices, and enhanced regulatory cooperation.</w:t>
      </w:r>
    </w:p>
    <w:p w:rsidR="00500F81" w:rsidRPr="005A0212" w:rsidRDefault="00500F81" w:rsidP="00500F81">
      <w:r w:rsidRPr="005A0212">
        <w:t>To this end, consideration should be given to the inclusion of provisions on regulatory cooperation in certain specific areas not covered in the current framework, and to mechanisms for identifying potential obstacles to be addressed through regulatory cooperation.</w:t>
      </w:r>
    </w:p>
    <w:p w:rsidR="00500F81" w:rsidRPr="005A0212" w:rsidRDefault="00500F81" w:rsidP="00500F81">
      <w:pPr>
        <w:rPr>
          <w:b/>
          <w:u w:val="single"/>
        </w:rPr>
      </w:pPr>
      <w:r w:rsidRPr="005A0212">
        <w:rPr>
          <w:b/>
          <w:u w:val="single"/>
        </w:rPr>
        <w:t>Institutional and final provisions</w:t>
      </w:r>
    </w:p>
    <w:p w:rsidR="00500F81" w:rsidRPr="005A0212" w:rsidRDefault="00500F81" w:rsidP="00500F81">
      <w:r w:rsidRPr="005A0212">
        <w:t>A clear legal and institutional link should be established between the Agreement and the</w:t>
      </w:r>
      <w:r w:rsidRPr="00F84AB4">
        <w:rPr>
          <w:highlight w:val="yellow"/>
        </w:rPr>
        <w:t xml:space="preserve"> </w:t>
      </w:r>
      <w:r w:rsidRPr="00AB7C8B">
        <w:t>PARC.</w:t>
      </w:r>
      <w:r w:rsidRPr="005A0212">
        <w:t xml:space="preserve"> This should ensure external coherence in particular in respect of the existence, application, suspension and termination of the respective provisions.</w:t>
      </w:r>
    </w:p>
    <w:p w:rsidR="00500F81" w:rsidRPr="005A0212" w:rsidRDefault="00500F81" w:rsidP="00500F81">
      <w:r w:rsidRPr="005A0212">
        <w:t>The Agreement should set up a specific overarching body to monitor the implementation of the Agreement. Committees or working groups on specific areas may be established as appropriate and should operate under the framework of the overarching body.</w:t>
      </w:r>
    </w:p>
    <w:p w:rsidR="00500F81" w:rsidRPr="005A0212" w:rsidRDefault="00500F81" w:rsidP="00500F81">
      <w:pPr>
        <w:rPr>
          <w:u w:val="single"/>
        </w:rPr>
      </w:pPr>
      <w:r w:rsidRPr="005A0212">
        <w:rPr>
          <w:u w:val="single"/>
        </w:rPr>
        <w:t>Dispute Settlement and Mediation</w:t>
      </w:r>
    </w:p>
    <w:p w:rsidR="00500F81" w:rsidRPr="005A0212" w:rsidRDefault="00500F81" w:rsidP="00500F81">
      <w:r w:rsidRPr="005A0212">
        <w:t>The Agreement should include an effective and binding dispute settlement mechanism with an expedited procedure, in particular for the panel composition and the conduct of panel proceedings. The dispute settlement mechanism should be transparent, open and innovative. It should include provisions for a flexible and rapid mediation mechanism.</w:t>
      </w:r>
    </w:p>
    <w:p w:rsidR="00500F81" w:rsidRPr="005A0212" w:rsidRDefault="00500F81" w:rsidP="00500F81">
      <w:pPr>
        <w:rPr>
          <w:u w:val="single"/>
        </w:rPr>
      </w:pPr>
      <w:r w:rsidRPr="005A0212">
        <w:rPr>
          <w:u w:val="single"/>
        </w:rPr>
        <w:t>General exceptions</w:t>
      </w:r>
    </w:p>
    <w:p w:rsidR="00500F81" w:rsidRPr="005A0212" w:rsidRDefault="00500F81" w:rsidP="00500F81">
      <w:r w:rsidRPr="005A0212">
        <w:t>The Agreement should include general exceptions, applicable to the relevant parts of the Agreement, including regarding security, balance of payments</w:t>
      </w:r>
      <w:r w:rsidR="0086731B">
        <w:t>, prudential supervision</w:t>
      </w:r>
      <w:r w:rsidRPr="005A0212">
        <w:t xml:space="preserve"> and taxation.</w:t>
      </w:r>
    </w:p>
    <w:p w:rsidR="00500F81" w:rsidRPr="005A0212" w:rsidRDefault="00500F81" w:rsidP="00500F81">
      <w:pPr>
        <w:rPr>
          <w:u w:val="single"/>
        </w:rPr>
      </w:pPr>
      <w:r w:rsidRPr="005A0212">
        <w:rPr>
          <w:u w:val="single"/>
        </w:rPr>
        <w:t>Authentic languages</w:t>
      </w:r>
    </w:p>
    <w:p w:rsidR="00500F81" w:rsidRPr="005A0212" w:rsidRDefault="00500F81" w:rsidP="00500F81">
      <w:r w:rsidRPr="005A0212">
        <w:t>The Agreement, which should be equally authentic in all official EU languages, should include a language clause to that effect.</w:t>
      </w:r>
    </w:p>
    <w:p w:rsidR="00500F81" w:rsidRPr="005A0212" w:rsidRDefault="00500F81" w:rsidP="00500F81">
      <w:pPr>
        <w:rPr>
          <w:b/>
          <w:u w:val="single"/>
        </w:rPr>
      </w:pPr>
      <w:r w:rsidRPr="005A0212">
        <w:rPr>
          <w:b/>
          <w:u w:val="single"/>
        </w:rPr>
        <w:t xml:space="preserve">Other issues </w:t>
      </w:r>
    </w:p>
    <w:p w:rsidR="00500F81" w:rsidRPr="005A0212" w:rsidRDefault="00500F81" w:rsidP="00500F81">
      <w:r w:rsidRPr="005A0212">
        <w:t xml:space="preserve">The Agreement should recognise the importance of consumer protection issues and support effective consumer protection, including in a digital environment. </w:t>
      </w:r>
    </w:p>
    <w:p w:rsidR="00500F81" w:rsidRPr="005A0212" w:rsidRDefault="00500F81" w:rsidP="00500F81">
      <w:r w:rsidRPr="005A0212">
        <w:t>Following analysis by the Commission and prior consultation with the Trade Policy Committee and in accordance with EU Treaties, the Agreement may include additional provisions related to the trade and economic relationship where, in the course of negotiations, mutual interest was expressed in doing so.</w:t>
      </w:r>
    </w:p>
    <w:p w:rsidR="00500F81" w:rsidRPr="00AB7C8B" w:rsidRDefault="00500F81" w:rsidP="00500F81">
      <w:pPr>
        <w:rPr>
          <w:u w:val="single"/>
        </w:rPr>
      </w:pPr>
      <w:r w:rsidRPr="00AB7C8B">
        <w:rPr>
          <w:u w:val="single"/>
        </w:rPr>
        <w:t>Waitangi</w:t>
      </w:r>
    </w:p>
    <w:p w:rsidR="00F83237" w:rsidRPr="00440E9E" w:rsidRDefault="00500F81" w:rsidP="00440E9E">
      <w:r w:rsidRPr="00AB7C8B">
        <w:t xml:space="preserve">The Agreement should address the New Zealand government's obligations related to the Treaty of Waitangi. In this regard, any measures taken pursuant to this provision should not be used as a means of arbitrary or unjustified discrimination against persons of the other side or as a disguised restriction on </w:t>
      </w:r>
      <w:r w:rsidRPr="008B5A68">
        <w:t>trade in goods</w:t>
      </w:r>
      <w:r w:rsidR="008B5A68" w:rsidRPr="008B5A68">
        <w:t xml:space="preserve"> and</w:t>
      </w:r>
      <w:r w:rsidRPr="008B5A68">
        <w:t xml:space="preserve"> services and </w:t>
      </w:r>
      <w:r w:rsidR="008B5A68" w:rsidRPr="008B5A68">
        <w:t xml:space="preserve">foreign direct </w:t>
      </w:r>
      <w:r w:rsidRPr="008B5A68">
        <w:t>investment.</w:t>
      </w:r>
    </w:p>
    <w:sectPr w:rsidR="00F83237" w:rsidRPr="00440E9E" w:rsidSect="00423814">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A3" w:rsidRDefault="00AE79A3" w:rsidP="00440E9E">
      <w:pPr>
        <w:spacing w:before="0" w:after="0"/>
      </w:pPr>
      <w:r>
        <w:separator/>
      </w:r>
    </w:p>
  </w:endnote>
  <w:endnote w:type="continuationSeparator" w:id="0">
    <w:p w:rsidR="00AE79A3" w:rsidRDefault="00AE79A3" w:rsidP="00440E9E">
      <w:pPr>
        <w:spacing w:before="0" w:after="0"/>
      </w:pPr>
      <w:r>
        <w:continuationSeparator/>
      </w:r>
    </w:p>
  </w:endnote>
  <w:endnote w:type="continuationNotice" w:id="1">
    <w:p w:rsidR="00AE79A3" w:rsidRDefault="00AE79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CF" w:rsidRPr="00423814" w:rsidRDefault="00423814" w:rsidP="00423814">
    <w:pPr>
      <w:pStyle w:val="Footer"/>
      <w:rPr>
        <w:rFonts w:ascii="Arial" w:hAnsi="Arial" w:cs="Arial"/>
        <w:b/>
        <w:sz w:val="48"/>
      </w:rPr>
    </w:pPr>
    <w:r w:rsidRPr="00423814">
      <w:rPr>
        <w:rFonts w:ascii="Arial" w:hAnsi="Arial" w:cs="Arial"/>
        <w:b/>
        <w:sz w:val="48"/>
      </w:rPr>
      <w:t>EN</w:t>
    </w:r>
    <w:r w:rsidRPr="00423814">
      <w:rPr>
        <w:rFonts w:ascii="Arial" w:hAnsi="Arial" w:cs="Arial"/>
        <w:b/>
        <w:sz w:val="48"/>
      </w:rPr>
      <w:tab/>
    </w:r>
    <w:r w:rsidRPr="00423814">
      <w:rPr>
        <w:rFonts w:ascii="Arial" w:hAnsi="Arial" w:cs="Arial"/>
        <w:b/>
        <w:sz w:val="48"/>
      </w:rPr>
      <w:tab/>
    </w:r>
    <w:fldSimple w:instr=" DOCVARIABLE &quot;LW_Confidence&quot; \* MERGEFORMAT ">
      <w:r>
        <w:t xml:space="preserve"> </w:t>
      </w:r>
    </w:fldSimple>
    <w:r w:rsidRPr="00423814">
      <w:tab/>
    </w:r>
    <w:r w:rsidRPr="0042381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Footer"/>
      <w:rPr>
        <w:rFonts w:ascii="Arial" w:hAnsi="Arial" w:cs="Arial"/>
        <w:b/>
        <w:sz w:val="48"/>
      </w:rPr>
    </w:pPr>
    <w:r w:rsidRPr="00423814">
      <w:rPr>
        <w:rFonts w:ascii="Arial" w:hAnsi="Arial" w:cs="Arial"/>
        <w:b/>
        <w:sz w:val="48"/>
      </w:rPr>
      <w:t>EN</w:t>
    </w:r>
    <w:r w:rsidRPr="00423814">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fldSimple w:instr=" DOCVARIABLE &quot;LW_Confidence&quot; \* MERGEFORMAT ">
      <w:r>
        <w:t xml:space="preserve"> </w:t>
      </w:r>
    </w:fldSimple>
    <w:r w:rsidRPr="00423814">
      <w:tab/>
    </w:r>
    <w:r w:rsidRPr="0042381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A3" w:rsidRDefault="00AE79A3" w:rsidP="00440E9E">
      <w:pPr>
        <w:spacing w:before="0" w:after="0"/>
      </w:pPr>
      <w:r>
        <w:separator/>
      </w:r>
    </w:p>
  </w:footnote>
  <w:footnote w:type="continuationSeparator" w:id="0">
    <w:p w:rsidR="00AE79A3" w:rsidRDefault="00AE79A3" w:rsidP="00440E9E">
      <w:pPr>
        <w:spacing w:before="0" w:after="0"/>
      </w:pPr>
      <w:r>
        <w:continuationSeparator/>
      </w:r>
    </w:p>
  </w:footnote>
  <w:footnote w:type="continuationNotice" w:id="1">
    <w:p w:rsidR="00AE79A3" w:rsidRDefault="00AE79A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9CF" w:rsidRPr="00423814" w:rsidRDefault="007459CF" w:rsidP="00423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14" w:rsidRPr="00423814" w:rsidRDefault="00423814" w:rsidP="004238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AA8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AE0F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70CE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BAA8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0014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0EEE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38B434"/>
    <w:lvl w:ilvl="0">
      <w:start w:val="1"/>
      <w:numFmt w:val="decimal"/>
      <w:pStyle w:val="ListNumber"/>
      <w:lvlText w:val="%1."/>
      <w:lvlJc w:val="left"/>
      <w:pPr>
        <w:tabs>
          <w:tab w:val="num" w:pos="360"/>
        </w:tabs>
        <w:ind w:left="360" w:hanging="360"/>
      </w:pPr>
    </w:lvl>
  </w:abstractNum>
  <w:abstractNum w:abstractNumId="7">
    <w:nsid w:val="FFFFFF89"/>
    <w:multiLevelType w:val="singleLevel"/>
    <w:tmpl w:val="C9E4E5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7 15:52: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to the"/>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1F03F119AEE04EB1B8B16CFCE78474C5"/>
    <w:docVar w:name="LW_CROSSREFERENCE" w:val="{SWD(2017) 289 final}_x000a_{SWD(2017) 290 final}"/>
    <w:docVar w:name="LW_DocType" w:val="ANNEX"/>
    <w:docVar w:name="LW_EMISSION" w:val="13.9.2017"/>
    <w:docVar w:name="LW_EMISSION_ISODATE" w:val="2017-09-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authorising the opening of negotiations for a Free Trade Agreement with New Zealand"/>
    <w:docVar w:name="LW_OBJETACTEPRINCIPAL.CP" w:val="authorising the opening of negotiations for a Free Trade Agreement with New Zealand"/>
    <w:docVar w:name="LW_PART_NBR" w:val="1"/>
    <w:docVar w:name="LW_PART_NBR_TOTAL" w:val="1"/>
    <w:docVar w:name="LW_REF.INST.NEW" w:val="COM"/>
    <w:docVar w:name="LW_REF.INST.NEW_ADOPTED" w:val="final"/>
    <w:docVar w:name="LW_REF.INST.NEW_TEXT" w:val="(2017) 469"/>
    <w:docVar w:name="LW_REF.INTERNE" w:val="&lt;UNUSED&gt;"/>
    <w:docVar w:name="LW_SUPERTITRE" w:val="&lt;UNUSED&gt;"/>
    <w:docVar w:name="LW_TITRE.OBJ.CP" w:val="&lt;UNUSED&gt;"/>
    <w:docVar w:name="LW_TYPE.DOC" w:val="ANNEX"/>
    <w:docVar w:name="LW_TYPE.DOC.CP" w:val="ANNEX"/>
    <w:docVar w:name="LW_TYPEACTEPRINCIPAL" w:val="Recommendation for a Council Decision"/>
    <w:docVar w:name="LW_TYPEACTEPRINCIPAL.CP" w:val="Recommendation for a Council Decision"/>
  </w:docVars>
  <w:rsids>
    <w:rsidRoot w:val="00440E9E"/>
    <w:rsid w:val="000039AC"/>
    <w:rsid w:val="00021442"/>
    <w:rsid w:val="000411C1"/>
    <w:rsid w:val="00054354"/>
    <w:rsid w:val="00081316"/>
    <w:rsid w:val="0009533C"/>
    <w:rsid w:val="000C235C"/>
    <w:rsid w:val="000E655E"/>
    <w:rsid w:val="001407F8"/>
    <w:rsid w:val="00167EF4"/>
    <w:rsid w:val="00171635"/>
    <w:rsid w:val="0018484C"/>
    <w:rsid w:val="001942C5"/>
    <w:rsid w:val="001A0283"/>
    <w:rsid w:val="001A3405"/>
    <w:rsid w:val="001A5E25"/>
    <w:rsid w:val="001D062B"/>
    <w:rsid w:val="001D6914"/>
    <w:rsid w:val="001E2D5B"/>
    <w:rsid w:val="001E7F55"/>
    <w:rsid w:val="0023684C"/>
    <w:rsid w:val="00237750"/>
    <w:rsid w:val="002579BD"/>
    <w:rsid w:val="0027430D"/>
    <w:rsid w:val="002814B5"/>
    <w:rsid w:val="002825C1"/>
    <w:rsid w:val="00283A75"/>
    <w:rsid w:val="002877D7"/>
    <w:rsid w:val="00294F29"/>
    <w:rsid w:val="002A5CCF"/>
    <w:rsid w:val="002C3092"/>
    <w:rsid w:val="002E44AE"/>
    <w:rsid w:val="00310AC7"/>
    <w:rsid w:val="00322412"/>
    <w:rsid w:val="0034445E"/>
    <w:rsid w:val="003661E1"/>
    <w:rsid w:val="00371A88"/>
    <w:rsid w:val="003744B0"/>
    <w:rsid w:val="00377E9A"/>
    <w:rsid w:val="00384B07"/>
    <w:rsid w:val="003B2526"/>
    <w:rsid w:val="003B3DE3"/>
    <w:rsid w:val="003B5530"/>
    <w:rsid w:val="003C06B5"/>
    <w:rsid w:val="003C33DE"/>
    <w:rsid w:val="003E3953"/>
    <w:rsid w:val="003E46B8"/>
    <w:rsid w:val="003F72BA"/>
    <w:rsid w:val="00402D74"/>
    <w:rsid w:val="004128CA"/>
    <w:rsid w:val="004232E6"/>
    <w:rsid w:val="00423814"/>
    <w:rsid w:val="00440E9E"/>
    <w:rsid w:val="00445149"/>
    <w:rsid w:val="00472486"/>
    <w:rsid w:val="004808AE"/>
    <w:rsid w:val="004B52B5"/>
    <w:rsid w:val="004C49E1"/>
    <w:rsid w:val="004D1238"/>
    <w:rsid w:val="004D347E"/>
    <w:rsid w:val="004E7F8F"/>
    <w:rsid w:val="00500F81"/>
    <w:rsid w:val="00501116"/>
    <w:rsid w:val="005078C8"/>
    <w:rsid w:val="00507B8E"/>
    <w:rsid w:val="00517709"/>
    <w:rsid w:val="00577471"/>
    <w:rsid w:val="00581C49"/>
    <w:rsid w:val="00582579"/>
    <w:rsid w:val="00595D88"/>
    <w:rsid w:val="005C5C9B"/>
    <w:rsid w:val="005E5346"/>
    <w:rsid w:val="005F356E"/>
    <w:rsid w:val="006012CE"/>
    <w:rsid w:val="00660589"/>
    <w:rsid w:val="00660BF1"/>
    <w:rsid w:val="00660FCA"/>
    <w:rsid w:val="00682377"/>
    <w:rsid w:val="006974C1"/>
    <w:rsid w:val="006B7A50"/>
    <w:rsid w:val="006D36A5"/>
    <w:rsid w:val="006E4F23"/>
    <w:rsid w:val="006F158B"/>
    <w:rsid w:val="006F4FCC"/>
    <w:rsid w:val="006F78D4"/>
    <w:rsid w:val="00705D9F"/>
    <w:rsid w:val="00705E9A"/>
    <w:rsid w:val="00713D12"/>
    <w:rsid w:val="00717741"/>
    <w:rsid w:val="007459CF"/>
    <w:rsid w:val="0075503A"/>
    <w:rsid w:val="00767891"/>
    <w:rsid w:val="007760B5"/>
    <w:rsid w:val="00786F8B"/>
    <w:rsid w:val="00797907"/>
    <w:rsid w:val="00834603"/>
    <w:rsid w:val="00836DB0"/>
    <w:rsid w:val="00842505"/>
    <w:rsid w:val="00851E5B"/>
    <w:rsid w:val="00856B14"/>
    <w:rsid w:val="0086731B"/>
    <w:rsid w:val="00871403"/>
    <w:rsid w:val="008849BB"/>
    <w:rsid w:val="0089615A"/>
    <w:rsid w:val="008A18BE"/>
    <w:rsid w:val="008B5A68"/>
    <w:rsid w:val="008B5A75"/>
    <w:rsid w:val="008D5308"/>
    <w:rsid w:val="008D7D77"/>
    <w:rsid w:val="008E0ECA"/>
    <w:rsid w:val="008E504E"/>
    <w:rsid w:val="008F361F"/>
    <w:rsid w:val="008F53BA"/>
    <w:rsid w:val="00902728"/>
    <w:rsid w:val="00917498"/>
    <w:rsid w:val="00935874"/>
    <w:rsid w:val="00974F57"/>
    <w:rsid w:val="00983F57"/>
    <w:rsid w:val="00997E9A"/>
    <w:rsid w:val="009B7C45"/>
    <w:rsid w:val="009C3A43"/>
    <w:rsid w:val="009E1375"/>
    <w:rsid w:val="009E3CBE"/>
    <w:rsid w:val="009F014B"/>
    <w:rsid w:val="00A04A7A"/>
    <w:rsid w:val="00A4611F"/>
    <w:rsid w:val="00A67E55"/>
    <w:rsid w:val="00A94650"/>
    <w:rsid w:val="00AB3347"/>
    <w:rsid w:val="00AD0DA2"/>
    <w:rsid w:val="00AE79A3"/>
    <w:rsid w:val="00AF0ED5"/>
    <w:rsid w:val="00AF320F"/>
    <w:rsid w:val="00AF5616"/>
    <w:rsid w:val="00B04DCA"/>
    <w:rsid w:val="00B15BF4"/>
    <w:rsid w:val="00B16016"/>
    <w:rsid w:val="00B30EB4"/>
    <w:rsid w:val="00B442DD"/>
    <w:rsid w:val="00B44CFD"/>
    <w:rsid w:val="00B527A3"/>
    <w:rsid w:val="00B56154"/>
    <w:rsid w:val="00B80382"/>
    <w:rsid w:val="00B84D42"/>
    <w:rsid w:val="00B95B01"/>
    <w:rsid w:val="00BB22A0"/>
    <w:rsid w:val="00BE6554"/>
    <w:rsid w:val="00BF01BE"/>
    <w:rsid w:val="00C07E3F"/>
    <w:rsid w:val="00C128DE"/>
    <w:rsid w:val="00C21138"/>
    <w:rsid w:val="00C326A9"/>
    <w:rsid w:val="00C33565"/>
    <w:rsid w:val="00C33A02"/>
    <w:rsid w:val="00C406B4"/>
    <w:rsid w:val="00C532F9"/>
    <w:rsid w:val="00C721AE"/>
    <w:rsid w:val="00C74F94"/>
    <w:rsid w:val="00C87296"/>
    <w:rsid w:val="00C92CBA"/>
    <w:rsid w:val="00CA413A"/>
    <w:rsid w:val="00CB59A8"/>
    <w:rsid w:val="00CC53FF"/>
    <w:rsid w:val="00CF3536"/>
    <w:rsid w:val="00D02356"/>
    <w:rsid w:val="00D32411"/>
    <w:rsid w:val="00D3681A"/>
    <w:rsid w:val="00D541B4"/>
    <w:rsid w:val="00D565ED"/>
    <w:rsid w:val="00D6622F"/>
    <w:rsid w:val="00D7539B"/>
    <w:rsid w:val="00D94263"/>
    <w:rsid w:val="00DA7761"/>
    <w:rsid w:val="00DE623F"/>
    <w:rsid w:val="00E11347"/>
    <w:rsid w:val="00E404E5"/>
    <w:rsid w:val="00E83C50"/>
    <w:rsid w:val="00E844A0"/>
    <w:rsid w:val="00F10AFD"/>
    <w:rsid w:val="00F25A33"/>
    <w:rsid w:val="00F53412"/>
    <w:rsid w:val="00F6096A"/>
    <w:rsid w:val="00F65598"/>
    <w:rsid w:val="00F817DE"/>
    <w:rsid w:val="00F835B6"/>
    <w:rsid w:val="00F87183"/>
    <w:rsid w:val="00F90DCA"/>
    <w:rsid w:val="00F91CF4"/>
    <w:rsid w:val="00FA6594"/>
    <w:rsid w:val="00FD55F8"/>
    <w:rsid w:val="00FD5AE4"/>
    <w:rsid w:val="00FF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lang w:eastAsia="zh-CN"/>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500F81"/>
    <w:rPr>
      <w:rFonts w:eastAsiaTheme="minorEastAsia"/>
      <w:sz w:val="20"/>
      <w:szCs w:val="20"/>
      <w:lang w:val="en-GB" w:eastAsia="zh-CN"/>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en-GB"/>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en-GB" w:eastAsia="zh-CN"/>
    </w:rPr>
  </w:style>
  <w:style w:type="paragraph" w:styleId="Header">
    <w:name w:val="header"/>
    <w:basedOn w:val="Normal"/>
    <w:link w:val="HeaderChar"/>
    <w:uiPriority w:val="99"/>
    <w:unhideWhenUsed/>
    <w:rsid w:val="00423814"/>
    <w:pPr>
      <w:tabs>
        <w:tab w:val="center" w:pos="4535"/>
        <w:tab w:val="right" w:pos="9071"/>
      </w:tabs>
      <w:spacing w:before="0"/>
    </w:pPr>
  </w:style>
  <w:style w:type="character" w:customStyle="1" w:styleId="HeaderChar">
    <w:name w:val="Header Char"/>
    <w:basedOn w:val="DefaultParagraphFont"/>
    <w:link w:val="Header"/>
    <w:uiPriority w:val="99"/>
    <w:rsid w:val="00423814"/>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423814"/>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lang w:eastAsia="zh-CN"/>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rsid w:val="00500F81"/>
    <w:rPr>
      <w:rFonts w:eastAsiaTheme="minorEastAsia"/>
      <w:sz w:val="20"/>
      <w:szCs w:val="20"/>
      <w:lang w:val="en-GB" w:eastAsia="zh-CN"/>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en-GB"/>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lang w:eastAsia="en-U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en-GB" w:eastAsia="zh-CN"/>
    </w:rPr>
  </w:style>
  <w:style w:type="paragraph" w:styleId="Header">
    <w:name w:val="header"/>
    <w:basedOn w:val="Normal"/>
    <w:link w:val="HeaderChar"/>
    <w:uiPriority w:val="99"/>
    <w:unhideWhenUsed/>
    <w:rsid w:val="00423814"/>
    <w:pPr>
      <w:tabs>
        <w:tab w:val="center" w:pos="4535"/>
        <w:tab w:val="right" w:pos="9071"/>
      </w:tabs>
      <w:spacing w:before="0"/>
    </w:pPr>
  </w:style>
  <w:style w:type="character" w:customStyle="1" w:styleId="HeaderChar">
    <w:name w:val="Header Char"/>
    <w:basedOn w:val="DefaultParagraphFont"/>
    <w:link w:val="Header"/>
    <w:uiPriority w:val="99"/>
    <w:rsid w:val="00423814"/>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423814"/>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4"/>
      </w:numPr>
    </w:pPr>
  </w:style>
  <w:style w:type="paragraph" w:customStyle="1" w:styleId="Tiret1">
    <w:name w:val="Tiret 1"/>
    <w:basedOn w:val="Point1"/>
    <w:rsid w:val="0075503A"/>
    <w:pPr>
      <w:numPr>
        <w:numId w:val="25"/>
      </w:numPr>
    </w:pPr>
  </w:style>
  <w:style w:type="paragraph" w:customStyle="1" w:styleId="Tiret2">
    <w:name w:val="Tiret 2"/>
    <w:basedOn w:val="Point2"/>
    <w:rsid w:val="0075503A"/>
    <w:pPr>
      <w:numPr>
        <w:numId w:val="26"/>
      </w:numPr>
    </w:pPr>
  </w:style>
  <w:style w:type="paragraph" w:customStyle="1" w:styleId="Tiret3">
    <w:name w:val="Tiret 3"/>
    <w:basedOn w:val="Point3"/>
    <w:rsid w:val="0075503A"/>
    <w:pPr>
      <w:numPr>
        <w:numId w:val="27"/>
      </w:numPr>
    </w:pPr>
  </w:style>
  <w:style w:type="paragraph" w:customStyle="1" w:styleId="Tiret4">
    <w:name w:val="Tiret 4"/>
    <w:basedOn w:val="Point4"/>
    <w:rsid w:val="0075503A"/>
    <w:pPr>
      <w:numPr>
        <w:numId w:val="28"/>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9"/>
      </w:numPr>
    </w:pPr>
  </w:style>
  <w:style w:type="paragraph" w:customStyle="1" w:styleId="NumPar2">
    <w:name w:val="NumPar 2"/>
    <w:basedOn w:val="Normal"/>
    <w:next w:val="Text1"/>
    <w:rsid w:val="0075503A"/>
    <w:pPr>
      <w:numPr>
        <w:ilvl w:val="1"/>
        <w:numId w:val="29"/>
      </w:numPr>
    </w:pPr>
  </w:style>
  <w:style w:type="paragraph" w:customStyle="1" w:styleId="NumPar3">
    <w:name w:val="NumPar 3"/>
    <w:basedOn w:val="Normal"/>
    <w:next w:val="Text1"/>
    <w:rsid w:val="0075503A"/>
    <w:pPr>
      <w:numPr>
        <w:ilvl w:val="2"/>
        <w:numId w:val="29"/>
      </w:numPr>
    </w:pPr>
  </w:style>
  <w:style w:type="paragraph" w:customStyle="1" w:styleId="NumPar4">
    <w:name w:val="NumPar 4"/>
    <w:basedOn w:val="Normal"/>
    <w:next w:val="Text1"/>
    <w:rsid w:val="0075503A"/>
    <w:pPr>
      <w:numPr>
        <w:ilvl w:val="3"/>
        <w:numId w:val="29"/>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31"/>
      </w:numPr>
    </w:pPr>
  </w:style>
  <w:style w:type="paragraph" w:customStyle="1" w:styleId="Point1number">
    <w:name w:val="Point 1 (number)"/>
    <w:basedOn w:val="Normal"/>
    <w:rsid w:val="0075503A"/>
    <w:pPr>
      <w:numPr>
        <w:ilvl w:val="2"/>
        <w:numId w:val="31"/>
      </w:numPr>
    </w:pPr>
  </w:style>
  <w:style w:type="paragraph" w:customStyle="1" w:styleId="Point2number">
    <w:name w:val="Point 2 (number)"/>
    <w:basedOn w:val="Normal"/>
    <w:rsid w:val="0075503A"/>
    <w:pPr>
      <w:numPr>
        <w:ilvl w:val="4"/>
        <w:numId w:val="31"/>
      </w:numPr>
    </w:pPr>
  </w:style>
  <w:style w:type="paragraph" w:customStyle="1" w:styleId="Point3number">
    <w:name w:val="Point 3 (number)"/>
    <w:basedOn w:val="Normal"/>
    <w:rsid w:val="0075503A"/>
    <w:pPr>
      <w:numPr>
        <w:ilvl w:val="6"/>
        <w:numId w:val="31"/>
      </w:numPr>
    </w:pPr>
  </w:style>
  <w:style w:type="paragraph" w:customStyle="1" w:styleId="Point0letter">
    <w:name w:val="Point 0 (letter)"/>
    <w:basedOn w:val="Normal"/>
    <w:rsid w:val="0075503A"/>
    <w:pPr>
      <w:numPr>
        <w:ilvl w:val="1"/>
        <w:numId w:val="31"/>
      </w:numPr>
    </w:pPr>
  </w:style>
  <w:style w:type="paragraph" w:customStyle="1" w:styleId="Point1letter">
    <w:name w:val="Point 1 (letter)"/>
    <w:basedOn w:val="Normal"/>
    <w:rsid w:val="0075503A"/>
    <w:pPr>
      <w:numPr>
        <w:ilvl w:val="3"/>
        <w:numId w:val="31"/>
      </w:numPr>
    </w:pPr>
  </w:style>
  <w:style w:type="paragraph" w:customStyle="1" w:styleId="Point2letter">
    <w:name w:val="Point 2 (letter)"/>
    <w:basedOn w:val="Normal"/>
    <w:rsid w:val="0075503A"/>
    <w:pPr>
      <w:numPr>
        <w:ilvl w:val="5"/>
        <w:numId w:val="31"/>
      </w:numPr>
    </w:pPr>
  </w:style>
  <w:style w:type="paragraph" w:customStyle="1" w:styleId="Point3letter">
    <w:name w:val="Point 3 (letter)"/>
    <w:basedOn w:val="Normal"/>
    <w:rsid w:val="0075503A"/>
    <w:pPr>
      <w:numPr>
        <w:ilvl w:val="7"/>
        <w:numId w:val="31"/>
      </w:numPr>
    </w:pPr>
  </w:style>
  <w:style w:type="paragraph" w:customStyle="1" w:styleId="Point4letter">
    <w:name w:val="Point 4 (letter)"/>
    <w:basedOn w:val="Normal"/>
    <w:rsid w:val="0075503A"/>
    <w:pPr>
      <w:numPr>
        <w:ilvl w:val="8"/>
        <w:numId w:val="31"/>
      </w:numPr>
    </w:pPr>
  </w:style>
  <w:style w:type="paragraph" w:customStyle="1" w:styleId="Bullet0">
    <w:name w:val="Bullet 0"/>
    <w:basedOn w:val="Normal"/>
    <w:rsid w:val="0075503A"/>
    <w:pPr>
      <w:numPr>
        <w:numId w:val="32"/>
      </w:numPr>
    </w:pPr>
  </w:style>
  <w:style w:type="paragraph" w:customStyle="1" w:styleId="Bullet1">
    <w:name w:val="Bullet 1"/>
    <w:basedOn w:val="Normal"/>
    <w:rsid w:val="0075503A"/>
    <w:pPr>
      <w:numPr>
        <w:numId w:val="33"/>
      </w:numPr>
    </w:pPr>
  </w:style>
  <w:style w:type="paragraph" w:customStyle="1" w:styleId="Bullet2">
    <w:name w:val="Bullet 2"/>
    <w:basedOn w:val="Normal"/>
    <w:rsid w:val="0075503A"/>
    <w:pPr>
      <w:numPr>
        <w:numId w:val="34"/>
      </w:numPr>
    </w:pPr>
  </w:style>
  <w:style w:type="paragraph" w:customStyle="1" w:styleId="Bullet3">
    <w:name w:val="Bullet 3"/>
    <w:basedOn w:val="Normal"/>
    <w:rsid w:val="0075503A"/>
    <w:pPr>
      <w:numPr>
        <w:numId w:val="35"/>
      </w:numPr>
    </w:pPr>
  </w:style>
  <w:style w:type="paragraph" w:customStyle="1" w:styleId="Bullet4">
    <w:name w:val="Bullet 4"/>
    <w:basedOn w:val="Normal"/>
    <w:rsid w:val="0075503A"/>
    <w:pPr>
      <w:numPr>
        <w:numId w:val="36"/>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37"/>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5E87-2C4F-46E8-83E5-0817969A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TotalTime>
  <Pages>4</Pages>
  <Words>3854</Words>
  <Characters>23646</Characters>
  <Application>Microsoft Office Word</Application>
  <DocSecurity>0</DocSecurity>
  <Lines>370</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KITRIMI Efstathia (SG)</cp:lastModifiedBy>
  <cp:revision>2</cp:revision>
  <cp:lastPrinted>2017-07-27T09:58:00Z</cp:lastPrinted>
  <dcterms:created xsi:type="dcterms:W3CDTF">2017-09-12T10:26:00Z</dcterms:created>
  <dcterms:modified xsi:type="dcterms:W3CDTF">2017-09-12T10:26:00Z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