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49" w:rsidRDefault="0064466C" w:rsidP="0064466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CE4EC956E934F76A460FAB9B907407E" style="width:450.35pt;height:367.45pt">
            <v:imagedata r:id="rId8" o:title=""/>
          </v:shape>
        </w:pict>
      </w:r>
    </w:p>
    <w:bookmarkEnd w:id="0"/>
    <w:p w:rsidR="00181149" w:rsidRDefault="00181149">
      <w:pPr>
        <w:rPr>
          <w:noProof/>
        </w:rPr>
        <w:sectPr w:rsidR="00181149" w:rsidSect="0064466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181149" w:rsidRDefault="0064466C">
      <w:pPr>
        <w:spacing w:after="120"/>
        <w:rPr>
          <w:rFonts w:ascii="Arial" w:hAnsi="Arial" w:cs="Arial"/>
          <w:b/>
          <w:noProof/>
          <w:sz w:val="24"/>
          <w:szCs w:val="24"/>
        </w:rPr>
      </w:pPr>
      <w:bookmarkStart w:id="1" w:name="_GoBack"/>
      <w:bookmarkEnd w:id="1"/>
      <w:r>
        <w:rPr>
          <w:rFonts w:ascii="Arial" w:hAnsi="Arial" w:cs="Arial"/>
          <w:b/>
          <w:noProof/>
          <w:sz w:val="24"/>
          <w:szCs w:val="24"/>
        </w:rPr>
        <w:lastRenderedPageBreak/>
        <w:t>1. The EU is open to and benefits from foreign direct investment…</w:t>
      </w:r>
    </w:p>
    <w:p w:rsidR="00181149" w:rsidRDefault="0064466C">
      <w:pPr>
        <w:pStyle w:val="BodyA"/>
        <w:spacing w:after="120" w:line="240" w:lineRule="auto"/>
        <w:jc w:val="both"/>
        <w:rPr>
          <w:rStyle w:val="None"/>
          <w:rFonts w:ascii="Arial" w:hAnsi="Arial" w:cs="Arial"/>
          <w:noProof/>
          <w:color w:val="000000" w:themeColor="text1"/>
          <w:lang w:val="en-GB"/>
        </w:rPr>
      </w:pPr>
      <w:r>
        <w:rPr>
          <w:rStyle w:val="None"/>
          <w:rFonts w:ascii="Arial" w:hAnsi="Arial" w:cs="Arial"/>
          <w:noProof/>
          <w:color w:val="000000" w:themeColor="text1"/>
          <w:lang w:val="en-GB"/>
        </w:rPr>
        <w:t xml:space="preserve">The EU welcomes foreign direct investment (FDI) because of the </w:t>
      </w:r>
      <w:r>
        <w:rPr>
          <w:rStyle w:val="None"/>
          <w:rFonts w:ascii="Arial" w:hAnsi="Arial" w:cs="Arial"/>
          <w:noProof/>
          <w:color w:val="auto"/>
          <w:lang w:val="en-GB"/>
        </w:rPr>
        <w:t xml:space="preserve">substantial benefits they bring for our economy and society at large. FDI is a source of growth and jobs. It </w:t>
      </w:r>
      <w:r>
        <w:rPr>
          <w:rStyle w:val="None"/>
          <w:rFonts w:ascii="Arial" w:hAnsi="Arial" w:cs="Arial"/>
          <w:noProof/>
          <w:color w:val="000000" w:themeColor="text1"/>
          <w:lang w:val="en-GB"/>
        </w:rPr>
        <w:t>links EU companies with global value chains that drive the modern economy. It boosts</w:t>
      </w:r>
      <w:r>
        <w:rPr>
          <w:rStyle w:val="None"/>
          <w:rFonts w:ascii="Arial" w:hAnsi="Arial" w:cs="Arial"/>
          <w:noProof/>
          <w:color w:val="000000" w:themeColor="text1"/>
          <w:lang w:val="en-GB"/>
        </w:rPr>
        <w:t xml:space="preserve"> productivity and makes our companies more competitive by improving resource allocation, bringing in capital, technologies and expertise, increasing competition, stimulating innovation, and opening new markets for EU's exports. Furthermore, it supports the</w:t>
      </w:r>
      <w:r>
        <w:rPr>
          <w:rStyle w:val="None"/>
          <w:rFonts w:ascii="Arial" w:hAnsi="Arial" w:cs="Arial"/>
          <w:noProof/>
          <w:color w:val="000000" w:themeColor="text1"/>
          <w:lang w:val="en-GB"/>
        </w:rPr>
        <w:t xml:space="preserve"> objectives of the Investment Plan for Europe, and other EU projects and programmes. Outward FDI generates similar gains as inward FDI, including for the implementation of the 2030 Agenda for Sustainable Development. For those reasons, the EU supports libe</w:t>
      </w:r>
      <w:r>
        <w:rPr>
          <w:rStyle w:val="None"/>
          <w:rFonts w:ascii="Arial" w:hAnsi="Arial" w:cs="Arial"/>
          <w:noProof/>
          <w:color w:val="000000" w:themeColor="text1"/>
          <w:lang w:val="en-GB"/>
        </w:rPr>
        <w:t>ralisation of investments worldwide.</w:t>
      </w:r>
    </w:p>
    <w:p w:rsidR="00181149" w:rsidRDefault="0064466C">
      <w:pPr>
        <w:pStyle w:val="Body"/>
        <w:spacing w:after="120"/>
        <w:jc w:val="both"/>
        <w:rPr>
          <w:rFonts w:ascii="Arial" w:eastAsiaTheme="minorHAnsi" w:hAnsi="Arial" w:cs="Arial"/>
          <w:noProof/>
          <w:color w:val="auto"/>
          <w:bdr w:val="none" w:sz="0" w:space="0" w:color="auto" w:frame="1"/>
          <w:lang w:val="en-GB" w:eastAsia="en-US"/>
        </w:rPr>
      </w:pPr>
      <w:r>
        <w:rPr>
          <w:rFonts w:ascii="Arial" w:eastAsiaTheme="minorHAnsi" w:hAnsi="Arial" w:cs="Arial"/>
          <w:noProof/>
          <w:color w:val="auto"/>
          <w:bdr w:val="none" w:sz="0" w:space="0" w:color="auto" w:frame="1"/>
          <w:lang w:val="en-GB" w:eastAsia="en-US"/>
        </w:rPr>
        <w:t>Indeed, the European Union has one of the world's most open investment regimes, and collectively EU Member States have the fewest restrictions in the world on foreign direct investment. This is expressly acknowledged in</w:t>
      </w:r>
      <w:r>
        <w:rPr>
          <w:rFonts w:ascii="Arial" w:eastAsiaTheme="minorHAnsi" w:hAnsi="Arial" w:cs="Arial"/>
          <w:noProof/>
          <w:color w:val="auto"/>
          <w:bdr w:val="none" w:sz="0" w:space="0" w:color="auto" w:frame="1"/>
          <w:lang w:val="en-GB" w:eastAsia="en-US"/>
        </w:rPr>
        <w:t xml:space="preserve"> the OECD FDI Regulatory Restrictiveness Index which measures statutory barriers against foreign investment in over 60 countries worldwide and how they have changed over time (since 1997).</w:t>
      </w:r>
    </w:p>
    <w:p w:rsidR="00181149" w:rsidRDefault="0064466C">
      <w:pPr>
        <w:spacing w:after="120"/>
        <w:jc w:val="both"/>
        <w:rPr>
          <w:rFonts w:ascii="open_sansregular" w:hAnsi="open_sansregular" w:cs="Helvetica"/>
          <w:b/>
          <w:noProof/>
          <w:color w:val="333333"/>
          <w:sz w:val="21"/>
          <w:szCs w:val="21"/>
          <w:lang w:val="en"/>
        </w:rPr>
      </w:pPr>
      <w:r>
        <w:rPr>
          <w:rFonts w:ascii="open_sansregular" w:hAnsi="open_sansregular" w:cs="Helvetica"/>
          <w:b/>
          <w:noProof/>
          <w:color w:val="333333"/>
          <w:sz w:val="21"/>
          <w:szCs w:val="21"/>
          <w:lang w:val="en"/>
        </w:rPr>
        <w:t xml:space="preserve">OECD FDI Regulatory Restrictiveness Index (Section 1 – FDI </w:t>
      </w:r>
      <w:r>
        <w:rPr>
          <w:rFonts w:ascii="open_sansregular" w:hAnsi="open_sansregular" w:cs="Helvetica"/>
          <w:b/>
          <w:noProof/>
          <w:color w:val="333333"/>
          <w:sz w:val="21"/>
          <w:szCs w:val="21"/>
          <w:lang w:val="en"/>
        </w:rPr>
        <w:t>restrictions de jure)</w:t>
      </w:r>
    </w:p>
    <w:p w:rsidR="00181149" w:rsidRDefault="0064466C">
      <w:pPr>
        <w:spacing w:after="120"/>
        <w:jc w:val="both"/>
        <w:rPr>
          <w:rFonts w:ascii="open_sansregular" w:hAnsi="open_sansregular" w:cs="Helvetica"/>
          <w:b/>
          <w:i/>
          <w:noProof/>
          <w:color w:val="333333"/>
          <w:sz w:val="21"/>
          <w:szCs w:val="21"/>
          <w:lang w:val="en"/>
        </w:rPr>
      </w:pPr>
      <w:r>
        <w:rPr>
          <w:rFonts w:ascii="open_sansregular" w:hAnsi="open_sansregular" w:cs="Helvetica"/>
          <w:b/>
          <w:i/>
          <w:noProof/>
          <w:color w:val="333333"/>
          <w:sz w:val="21"/>
          <w:szCs w:val="21"/>
          <w:lang w:val="en"/>
        </w:rPr>
        <w:t>2015 - OECD FDI Regulatory Restrictiveness Index</w:t>
      </w:r>
    </w:p>
    <w:p w:rsidR="00181149" w:rsidRDefault="0064466C">
      <w:pPr>
        <w:spacing w:after="120"/>
        <w:jc w:val="center"/>
        <w:rPr>
          <w:rFonts w:ascii="open_sansregular" w:hAnsi="open_sansregular" w:cs="Helvetica"/>
          <w:noProof/>
          <w:color w:val="333333"/>
          <w:sz w:val="21"/>
          <w:szCs w:val="21"/>
          <w:lang w:val="en"/>
        </w:rPr>
      </w:pPr>
      <w:r>
        <w:rPr>
          <w:rFonts w:ascii="open_sansregular" w:hAnsi="open_sansregular" w:cs="Helvetica"/>
          <w:noProof/>
          <w:color w:val="333333"/>
          <w:sz w:val="21"/>
          <w:szCs w:val="21"/>
          <w:lang w:eastAsia="en-GB"/>
        </w:rPr>
        <w:drawing>
          <wp:inline distT="0" distB="0" distL="0" distR="0" wp14:anchorId="2FB6FCF6" wp14:editId="1A133532">
            <wp:extent cx="5287382" cy="2846291"/>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3075" cy="2849355"/>
                    </a:xfrm>
                    <a:prstGeom prst="rect">
                      <a:avLst/>
                    </a:prstGeom>
                    <a:noFill/>
                    <a:ln>
                      <a:noFill/>
                    </a:ln>
                  </pic:spPr>
                </pic:pic>
              </a:graphicData>
            </a:graphic>
          </wp:inline>
        </w:drawing>
      </w:r>
    </w:p>
    <w:p w:rsidR="00181149" w:rsidRDefault="0064466C">
      <w:pPr>
        <w:spacing w:before="120" w:after="120"/>
        <w:jc w:val="both"/>
        <w:rPr>
          <w:rFonts w:ascii="open_sansregular" w:hAnsi="open_sansregular" w:cs="Helvetica"/>
          <w:b/>
          <w:i/>
          <w:noProof/>
          <w:color w:val="333333"/>
          <w:sz w:val="21"/>
          <w:szCs w:val="21"/>
          <w:lang w:val="en"/>
        </w:rPr>
      </w:pPr>
      <w:r>
        <w:rPr>
          <w:rFonts w:ascii="open_sansregular" w:hAnsi="open_sansregular" w:cs="Helvetica"/>
          <w:b/>
          <w:i/>
          <w:noProof/>
          <w:color w:val="333333"/>
          <w:sz w:val="21"/>
          <w:szCs w:val="21"/>
          <w:lang w:val="en"/>
        </w:rPr>
        <w:t>OECD FDI Regulatory Restrictiveness Index – 2016</w:t>
      </w:r>
    </w:p>
    <w:p w:rsidR="00181149" w:rsidRDefault="0064466C">
      <w:pPr>
        <w:spacing w:after="120"/>
        <w:jc w:val="center"/>
        <w:rPr>
          <w:rFonts w:ascii="open_sansregular" w:hAnsi="open_sansregular" w:cs="Helvetica"/>
          <w:noProof/>
          <w:color w:val="333333"/>
          <w:sz w:val="21"/>
          <w:szCs w:val="21"/>
          <w:lang w:val="en"/>
        </w:rPr>
      </w:pPr>
      <w:r>
        <w:rPr>
          <w:noProof/>
          <w:lang w:eastAsia="en-GB"/>
        </w:rPr>
        <w:drawing>
          <wp:inline distT="0" distB="0" distL="0" distR="0" wp14:anchorId="6DEC921B" wp14:editId="27AE18EF">
            <wp:extent cx="5227408" cy="233092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26928" cy="2330714"/>
                    </a:xfrm>
                    <a:prstGeom prst="rect">
                      <a:avLst/>
                    </a:prstGeom>
                    <a:noFill/>
                  </pic:spPr>
                </pic:pic>
              </a:graphicData>
            </a:graphic>
          </wp:inline>
        </w:drawing>
      </w:r>
    </w:p>
    <w:p w:rsidR="00181149" w:rsidRDefault="00181149">
      <w:pPr>
        <w:spacing w:after="120"/>
        <w:jc w:val="both"/>
        <w:rPr>
          <w:rFonts w:ascii="open_sansregular" w:hAnsi="open_sansregular" w:cs="Helvetica"/>
          <w:b/>
          <w:i/>
          <w:noProof/>
          <w:color w:val="333333"/>
          <w:sz w:val="21"/>
          <w:szCs w:val="21"/>
          <w:lang w:val="en"/>
        </w:rPr>
      </w:pPr>
    </w:p>
    <w:p w:rsidR="00181149" w:rsidRDefault="0064466C">
      <w:pPr>
        <w:spacing w:after="120"/>
        <w:jc w:val="both"/>
        <w:rPr>
          <w:rFonts w:ascii="open_sansregular" w:hAnsi="open_sansregular" w:cs="Helvetica"/>
          <w:b/>
          <w:i/>
          <w:noProof/>
          <w:color w:val="333333"/>
          <w:sz w:val="21"/>
          <w:szCs w:val="21"/>
          <w:lang w:val="en"/>
        </w:rPr>
      </w:pPr>
      <w:r>
        <w:rPr>
          <w:rFonts w:ascii="open_sansregular" w:hAnsi="open_sansregular" w:cs="Helvetica"/>
          <w:b/>
          <w:i/>
          <w:noProof/>
          <w:color w:val="333333"/>
          <w:sz w:val="21"/>
          <w:szCs w:val="21"/>
          <w:lang w:val="en"/>
        </w:rPr>
        <w:t>Development of OECD FDI Regulatory Restrictiveness Index (1997-2016)</w:t>
      </w:r>
      <w:r>
        <w:rPr>
          <w:rFonts w:ascii="open_sansregular" w:hAnsi="open_sansregular" w:cs="Helvetica"/>
          <w:b/>
          <w:i/>
          <w:noProof/>
          <w:color w:val="333333"/>
          <w:sz w:val="21"/>
          <w:szCs w:val="21"/>
          <w:vertAlign w:val="superscript"/>
          <w:lang w:val="en"/>
        </w:rPr>
        <w:t>1</w:t>
      </w:r>
    </w:p>
    <w:p w:rsidR="00181149" w:rsidRDefault="0064466C">
      <w:pPr>
        <w:spacing w:after="120"/>
        <w:jc w:val="center"/>
        <w:rPr>
          <w:rFonts w:ascii="open_sansregular" w:hAnsi="open_sansregular" w:cs="Helvetica"/>
          <w:noProof/>
          <w:color w:val="333333"/>
          <w:sz w:val="21"/>
          <w:szCs w:val="21"/>
          <w:lang w:val="en"/>
        </w:rPr>
      </w:pPr>
      <w:r>
        <w:rPr>
          <w:noProof/>
          <w:lang w:eastAsia="en-GB"/>
        </w:rPr>
        <w:drawing>
          <wp:inline distT="0" distB="0" distL="0" distR="0" wp14:anchorId="5CFF5DB7" wp14:editId="4BBB2DF7">
            <wp:extent cx="5760720" cy="261715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2617156"/>
                    </a:xfrm>
                    <a:prstGeom prst="rect">
                      <a:avLst/>
                    </a:prstGeom>
                    <a:noFill/>
                  </pic:spPr>
                </pic:pic>
              </a:graphicData>
            </a:graphic>
          </wp:inline>
        </w:drawing>
      </w:r>
    </w:p>
    <w:p w:rsidR="00181149" w:rsidRDefault="0064466C">
      <w:pPr>
        <w:spacing w:after="120"/>
        <w:ind w:left="720"/>
        <w:rPr>
          <w:rFonts w:ascii="Arial" w:hAnsi="Arial" w:cs="Arial"/>
          <w:noProof/>
          <w:bdr w:val="none" w:sz="0" w:space="0" w:color="auto" w:frame="1"/>
          <w:lang w:val="en"/>
        </w:rPr>
      </w:pPr>
      <w:r>
        <w:rPr>
          <w:rFonts w:ascii="open_sansregular" w:hAnsi="open_sansregular" w:cs="Helvetica"/>
          <w:noProof/>
          <w:color w:val="333333"/>
          <w:sz w:val="18"/>
          <w:szCs w:val="18"/>
          <w:vertAlign w:val="superscript"/>
          <w:lang w:val="en"/>
        </w:rPr>
        <w:t>1</w:t>
      </w:r>
      <w:r>
        <w:rPr>
          <w:rFonts w:ascii="open_sansregular" w:hAnsi="open_sansregular" w:cs="Helvetica"/>
          <w:noProof/>
          <w:color w:val="333333"/>
          <w:sz w:val="18"/>
          <w:szCs w:val="18"/>
          <w:lang w:val="en"/>
        </w:rPr>
        <w:t xml:space="preserve"> Lithuania, Latvia (1997), Romania and Serbia (1997&amp;</w:t>
      </w:r>
      <w:r>
        <w:rPr>
          <w:rFonts w:ascii="open_sansregular" w:hAnsi="open_sansregular" w:cs="Helvetica"/>
          <w:noProof/>
          <w:color w:val="333333"/>
          <w:sz w:val="18"/>
          <w:szCs w:val="18"/>
          <w:lang w:val="en"/>
        </w:rPr>
        <w:t>2006) left blank</w:t>
      </w:r>
    </w:p>
    <w:p w:rsidR="00181149" w:rsidRDefault="0064466C">
      <w:pPr>
        <w:pStyle w:val="Body"/>
        <w:spacing w:after="120"/>
        <w:jc w:val="both"/>
        <w:rPr>
          <w:rFonts w:ascii="Arial" w:eastAsiaTheme="minorHAnsi" w:hAnsi="Arial" w:cs="Arial"/>
          <w:noProof/>
          <w:color w:val="auto"/>
          <w:bdr w:val="none" w:sz="0" w:space="0" w:color="auto" w:frame="1"/>
          <w:lang w:val="en-GB" w:eastAsia="en-US"/>
        </w:rPr>
      </w:pPr>
      <w:r>
        <w:rPr>
          <w:rFonts w:ascii="Arial" w:eastAsiaTheme="minorHAnsi" w:hAnsi="Arial" w:cs="Arial"/>
          <w:noProof/>
          <w:color w:val="auto"/>
          <w:bdr w:val="none" w:sz="0" w:space="0" w:color="auto" w:frame="1"/>
          <w:lang w:val="en-GB" w:eastAsia="en-US"/>
        </w:rPr>
        <w:t>This means that there are few obstacles for foreign investors to invest in the EU, and in particular to acquire EU companies. The OECD FDI Regulatory Restrictiveness Index also shows that major economic partners of the EU have more investm</w:t>
      </w:r>
      <w:r>
        <w:rPr>
          <w:rFonts w:ascii="Arial" w:eastAsiaTheme="minorHAnsi" w:hAnsi="Arial" w:cs="Arial"/>
          <w:noProof/>
          <w:color w:val="auto"/>
          <w:bdr w:val="none" w:sz="0" w:space="0" w:color="auto" w:frame="1"/>
          <w:lang w:val="en-GB" w:eastAsia="en-US"/>
        </w:rPr>
        <w:t>ent restrictions in place than is the case for the EU. Despite improvements over the period 1997-2016, China for instance remains among the countries with the highest restrictive index together with the Philippines and Saudi Arabia.</w:t>
      </w:r>
    </w:p>
    <w:p w:rsidR="00181149" w:rsidRDefault="0064466C">
      <w:pPr>
        <w:pStyle w:val="BodyA"/>
        <w:spacing w:line="240" w:lineRule="auto"/>
        <w:jc w:val="both"/>
        <w:rPr>
          <w:rFonts w:ascii="Arial" w:eastAsiaTheme="minorHAnsi" w:hAnsi="Arial" w:cs="Arial"/>
          <w:noProof/>
          <w:color w:val="auto"/>
          <w:bdr w:val="none" w:sz="0" w:space="0" w:color="auto" w:frame="1"/>
          <w:lang w:eastAsia="en-US"/>
        </w:rPr>
      </w:pPr>
      <w:r>
        <w:rPr>
          <w:rFonts w:ascii="Arial" w:eastAsiaTheme="minorHAnsi" w:hAnsi="Arial" w:cs="Arial"/>
          <w:noProof/>
          <w:color w:val="auto"/>
          <w:bdr w:val="none" w:sz="0" w:space="0" w:color="auto" w:frame="1"/>
          <w:lang w:val="en-GB" w:eastAsia="en-US"/>
        </w:rPr>
        <w:t>The EU is also the worl</w:t>
      </w:r>
      <w:r>
        <w:rPr>
          <w:rFonts w:ascii="Arial" w:eastAsiaTheme="minorHAnsi" w:hAnsi="Arial" w:cs="Arial"/>
          <w:noProof/>
          <w:color w:val="auto"/>
          <w:bdr w:val="none" w:sz="0" w:space="0" w:color="auto" w:frame="1"/>
          <w:lang w:val="en-GB" w:eastAsia="en-US"/>
        </w:rPr>
        <w:t xml:space="preserve">d's leading source and destination of FDI. </w:t>
      </w:r>
      <w:r>
        <w:rPr>
          <w:rFonts w:ascii="Arial" w:eastAsiaTheme="minorHAnsi" w:hAnsi="Arial" w:cs="Arial"/>
          <w:noProof/>
          <w:color w:val="auto"/>
          <w:bdr w:val="none" w:sz="0" w:space="0" w:color="auto" w:frame="1"/>
          <w:lang w:eastAsia="en-US"/>
        </w:rPr>
        <w:t>At the end of 2015, the stock of inward FDI in the EU stood at over EUR 5.7 trillion while it reached EUR 5.1 trillion in the US and EUR 1.5 trillion in China, including Hong Kong. EU investors held EUR 6.9 trilli</w:t>
      </w:r>
      <w:r>
        <w:rPr>
          <w:rFonts w:ascii="Arial" w:eastAsiaTheme="minorHAnsi" w:hAnsi="Arial" w:cs="Arial"/>
          <w:noProof/>
          <w:color w:val="auto"/>
          <w:bdr w:val="none" w:sz="0" w:space="0" w:color="auto" w:frame="1"/>
          <w:lang w:eastAsia="en-US"/>
        </w:rPr>
        <w:t>on in FDI in third countries in the same year</w:t>
      </w:r>
      <w:r>
        <w:rPr>
          <w:rFonts w:ascii="Arial" w:eastAsiaTheme="minorHAnsi" w:hAnsi="Arial" w:cs="Arial"/>
          <w:noProof/>
          <w:color w:val="auto"/>
          <w:bdr w:val="none" w:sz="0" w:space="0" w:color="auto" w:frame="1"/>
          <w:vertAlign w:val="superscript"/>
          <w:lang w:eastAsia="en-US"/>
        </w:rPr>
        <w:footnoteReference w:id="1"/>
      </w:r>
      <w:r>
        <w:rPr>
          <w:rFonts w:ascii="Arial" w:eastAsiaTheme="minorHAnsi" w:hAnsi="Arial" w:cs="Arial"/>
          <w:noProof/>
          <w:color w:val="auto"/>
          <w:bdr w:val="none" w:sz="0" w:space="0" w:color="auto" w:frame="1"/>
          <w:lang w:val="en-GB" w:eastAsia="en-US"/>
        </w:rPr>
        <w:t>, with inflows of EUR 467 billion and outflows of EUR 537 billion in 2015</w:t>
      </w:r>
      <w:r>
        <w:rPr>
          <w:rStyle w:val="FootnoteReference"/>
          <w:rFonts w:ascii="Arial" w:eastAsiaTheme="minorHAnsi" w:hAnsi="Arial" w:cs="Arial"/>
          <w:noProof/>
          <w:color w:val="auto"/>
          <w:bdr w:val="none" w:sz="0" w:space="0" w:color="auto" w:frame="1"/>
          <w:lang w:val="en-GB" w:eastAsia="en-US"/>
        </w:rPr>
        <w:footnoteReference w:id="2"/>
      </w:r>
      <w:r>
        <w:rPr>
          <w:rFonts w:ascii="Arial" w:eastAsiaTheme="minorHAnsi" w:hAnsi="Arial" w:cs="Arial"/>
          <w:noProof/>
          <w:color w:val="auto"/>
          <w:bdr w:val="none" w:sz="0" w:space="0" w:color="auto" w:frame="1"/>
          <w:lang w:val="en-GB" w:eastAsia="en-US"/>
        </w:rPr>
        <w:t xml:space="preserve">. The US is the largest investor in the EU, but its share of EU FDI stock fell from 51.3% in 1995 to 41.4% in 2015. The share of Japan also decreased over the same period, from 7.7% to 2.9%. </w:t>
      </w:r>
      <w:r>
        <w:rPr>
          <w:rFonts w:ascii="Arial" w:eastAsiaTheme="minorHAnsi" w:hAnsi="Arial" w:cs="Arial"/>
          <w:noProof/>
          <w:color w:val="auto"/>
          <w:bdr w:val="none" w:sz="0" w:space="0" w:color="auto" w:frame="1"/>
          <w:lang w:eastAsia="en-US"/>
        </w:rPr>
        <w:t>At the same time, the shares of Brazilian and Chinese FDI have in</w:t>
      </w:r>
      <w:r>
        <w:rPr>
          <w:rFonts w:ascii="Arial" w:eastAsiaTheme="minorHAnsi" w:hAnsi="Arial" w:cs="Arial"/>
          <w:noProof/>
          <w:color w:val="auto"/>
          <w:bdr w:val="none" w:sz="0" w:space="0" w:color="auto" w:frame="1"/>
          <w:lang w:eastAsia="en-US"/>
        </w:rPr>
        <w:t>creased significantly from respectively 0.2 and 0.3 per cent in 1995 to 2.2 and 2 per cent in 2015</w:t>
      </w:r>
      <w:r>
        <w:rPr>
          <w:rFonts w:ascii="Arial" w:eastAsiaTheme="minorHAnsi" w:hAnsi="Arial" w:cs="Arial"/>
          <w:noProof/>
          <w:color w:val="auto"/>
          <w:bdr w:val="none" w:sz="0" w:space="0" w:color="auto" w:frame="1"/>
          <w:vertAlign w:val="superscript"/>
          <w:lang w:val="en-GB" w:eastAsia="en-US"/>
        </w:rPr>
        <w:footnoteReference w:id="3"/>
      </w:r>
      <w:r>
        <w:rPr>
          <w:rFonts w:ascii="Arial" w:eastAsiaTheme="minorHAnsi" w:hAnsi="Arial" w:cs="Arial"/>
          <w:noProof/>
          <w:color w:val="auto"/>
          <w:bdr w:val="none" w:sz="0" w:space="0" w:color="auto" w:frame="1"/>
          <w:lang w:eastAsia="en-US"/>
        </w:rPr>
        <w:t>,making these two countries the fifth and sixth largest foreign investors in the EU (see chart and table below).</w:t>
      </w:r>
    </w:p>
    <w:p w:rsidR="00181149" w:rsidRDefault="00181149">
      <w:pPr>
        <w:pStyle w:val="BodyA"/>
        <w:spacing w:line="240" w:lineRule="auto"/>
        <w:jc w:val="both"/>
        <w:rPr>
          <w:rFonts w:ascii="Arial" w:eastAsiaTheme="minorHAnsi" w:hAnsi="Arial" w:cs="Arial"/>
          <w:noProof/>
          <w:color w:val="auto"/>
          <w:bdr w:val="none" w:sz="0" w:space="0" w:color="auto" w:frame="1"/>
          <w:lang w:eastAsia="en-US"/>
        </w:rPr>
      </w:pPr>
    </w:p>
    <w:p w:rsidR="00181149" w:rsidRDefault="0064466C">
      <w:pPr>
        <w:pStyle w:val="BodyA"/>
        <w:spacing w:after="120" w:line="240" w:lineRule="auto"/>
        <w:jc w:val="both"/>
        <w:rPr>
          <w:rStyle w:val="None"/>
          <w:rFonts w:ascii="Arial" w:hAnsi="Arial" w:cs="Arial"/>
          <w:b/>
          <w:noProof/>
          <w:color w:val="000000" w:themeColor="text1"/>
          <w:lang w:val="en-GB"/>
        </w:rPr>
      </w:pPr>
      <w:r>
        <w:rPr>
          <w:rStyle w:val="None"/>
          <w:rFonts w:ascii="Arial" w:hAnsi="Arial" w:cs="Arial"/>
          <w:b/>
          <w:noProof/>
          <w:color w:val="000000" w:themeColor="text1"/>
          <w:lang w:val="en-GB"/>
        </w:rPr>
        <w:t>Share of the ten largest investors into the</w:t>
      </w:r>
      <w:r>
        <w:rPr>
          <w:rStyle w:val="None"/>
          <w:rFonts w:ascii="Arial" w:hAnsi="Arial" w:cs="Arial"/>
          <w:b/>
          <w:noProof/>
          <w:color w:val="000000" w:themeColor="text1"/>
          <w:lang w:val="en-GB"/>
        </w:rPr>
        <w:t xml:space="preserve"> EU (share of EU inward FDI stocks)</w:t>
      </w:r>
      <w:r>
        <w:rPr>
          <w:rStyle w:val="None"/>
          <w:rFonts w:ascii="Arial" w:eastAsia="Times New Roman" w:hAnsi="Arial" w:cs="Arial"/>
          <w:b/>
          <w:noProof/>
          <w:color w:val="000000" w:themeColor="text1"/>
          <w:vertAlign w:val="superscript"/>
          <w:lang w:val="en-GB"/>
        </w:rPr>
        <w:t xml:space="preserve"> </w:t>
      </w:r>
      <w:r>
        <w:rPr>
          <w:rStyle w:val="None"/>
          <w:rFonts w:ascii="Arial" w:eastAsia="Times New Roman" w:hAnsi="Arial" w:cs="Arial"/>
          <w:b/>
          <w:noProof/>
          <w:color w:val="000000" w:themeColor="text1"/>
          <w:vertAlign w:val="superscript"/>
          <w:lang w:val="en-GB"/>
        </w:rPr>
        <w:footnoteReference w:id="4"/>
      </w:r>
      <w:r>
        <w:rPr>
          <w:rStyle w:val="None"/>
          <w:rFonts w:ascii="Arial" w:eastAsia="Times New Roman" w:hAnsi="Arial" w:cs="Arial"/>
          <w:b/>
          <w:noProof/>
          <w:color w:val="000000" w:themeColor="text1"/>
          <w:vertAlign w:val="superscript"/>
          <w:lang w:val="en-GB"/>
        </w:rPr>
        <w:t xml:space="preserve"> </w:t>
      </w:r>
    </w:p>
    <w:tbl>
      <w:tblPr>
        <w:tblStyle w:val="TableGrid"/>
        <w:tblW w:w="0" w:type="auto"/>
        <w:tblLook w:val="04A0" w:firstRow="1" w:lastRow="0" w:firstColumn="1" w:lastColumn="0" w:noHBand="0" w:noVBand="1"/>
      </w:tblPr>
      <w:tblGrid>
        <w:gridCol w:w="2320"/>
        <w:gridCol w:w="2320"/>
        <w:gridCol w:w="2321"/>
        <w:gridCol w:w="2321"/>
      </w:tblGrid>
      <w:tr w:rsidR="00181149">
        <w:tc>
          <w:tcPr>
            <w:tcW w:w="2320" w:type="dxa"/>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Style w:val="None"/>
                <w:rFonts w:ascii="Arial" w:hAnsi="Arial" w:cs="Arial"/>
                <w:b/>
                <w:noProof/>
                <w:color w:val="000000" w:themeColor="text1"/>
              </w:rPr>
            </w:pPr>
            <w:r>
              <w:rPr>
                <w:rStyle w:val="None"/>
                <w:rFonts w:ascii="Arial" w:hAnsi="Arial" w:cs="Arial"/>
                <w:b/>
                <w:noProof/>
                <w:color w:val="000000" w:themeColor="text1"/>
              </w:rPr>
              <w:t>Partner</w:t>
            </w:r>
          </w:p>
        </w:tc>
        <w:tc>
          <w:tcPr>
            <w:tcW w:w="2320"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b/>
                <w:noProof/>
                <w:color w:val="000000" w:themeColor="text1"/>
              </w:rPr>
            </w:pPr>
            <w:r>
              <w:rPr>
                <w:rStyle w:val="None"/>
                <w:rFonts w:ascii="Arial" w:hAnsi="Arial" w:cs="Arial"/>
                <w:b/>
                <w:noProof/>
                <w:color w:val="000000" w:themeColor="text1"/>
              </w:rPr>
              <w:t>1995</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b/>
                <w:noProof/>
                <w:color w:val="000000" w:themeColor="text1"/>
              </w:rPr>
            </w:pPr>
            <w:r>
              <w:rPr>
                <w:rStyle w:val="None"/>
                <w:rFonts w:ascii="Arial" w:hAnsi="Arial" w:cs="Arial"/>
                <w:b/>
                <w:noProof/>
                <w:color w:val="000000" w:themeColor="text1"/>
              </w:rPr>
              <w:t>2005</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b/>
                <w:noProof/>
                <w:color w:val="000000" w:themeColor="text1"/>
              </w:rPr>
            </w:pPr>
            <w:r>
              <w:rPr>
                <w:rStyle w:val="None"/>
                <w:rFonts w:ascii="Arial" w:hAnsi="Arial" w:cs="Arial"/>
                <w:b/>
                <w:noProof/>
                <w:color w:val="000000" w:themeColor="text1"/>
              </w:rPr>
              <w:t>2015</w:t>
            </w:r>
          </w:p>
        </w:tc>
      </w:tr>
      <w:tr w:rsidR="00181149">
        <w:tc>
          <w:tcPr>
            <w:tcW w:w="2320" w:type="dxa"/>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Style w:val="None"/>
                <w:rFonts w:ascii="Arial" w:hAnsi="Arial" w:cs="Arial"/>
                <w:noProof/>
                <w:color w:val="000000" w:themeColor="text1"/>
              </w:rPr>
            </w:pPr>
            <w:r>
              <w:rPr>
                <w:rStyle w:val="None"/>
                <w:rFonts w:ascii="Arial" w:hAnsi="Arial" w:cs="Arial"/>
                <w:noProof/>
                <w:color w:val="000000" w:themeColor="text1"/>
              </w:rPr>
              <w:t>United States</w:t>
            </w:r>
          </w:p>
        </w:tc>
        <w:tc>
          <w:tcPr>
            <w:tcW w:w="2320"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rPr>
            </w:pPr>
            <w:r>
              <w:rPr>
                <w:rStyle w:val="None"/>
                <w:rFonts w:ascii="Arial" w:hAnsi="Arial" w:cs="Arial"/>
                <w:noProof/>
                <w:color w:val="000000" w:themeColor="text1"/>
              </w:rPr>
              <w:t>51.3%</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rPr>
            </w:pPr>
            <w:r>
              <w:rPr>
                <w:rStyle w:val="None"/>
                <w:rFonts w:ascii="Arial" w:hAnsi="Arial" w:cs="Arial"/>
                <w:noProof/>
                <w:color w:val="000000" w:themeColor="text1"/>
              </w:rPr>
              <w:t>47.7%</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rPr>
            </w:pPr>
            <w:r>
              <w:rPr>
                <w:rStyle w:val="None"/>
                <w:rFonts w:ascii="Arial" w:hAnsi="Arial" w:cs="Arial"/>
                <w:noProof/>
                <w:color w:val="000000" w:themeColor="text1"/>
              </w:rPr>
              <w:t>41.4%</w:t>
            </w:r>
          </w:p>
        </w:tc>
      </w:tr>
      <w:tr w:rsidR="00181149">
        <w:tc>
          <w:tcPr>
            <w:tcW w:w="2320" w:type="dxa"/>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Style w:val="None"/>
                <w:rFonts w:ascii="Arial" w:hAnsi="Arial" w:cs="Arial"/>
                <w:noProof/>
                <w:color w:val="000000" w:themeColor="text1"/>
              </w:rPr>
            </w:pPr>
            <w:r>
              <w:rPr>
                <w:rStyle w:val="None"/>
                <w:rFonts w:ascii="Arial" w:hAnsi="Arial" w:cs="Arial"/>
                <w:noProof/>
                <w:color w:val="000000" w:themeColor="text1"/>
              </w:rPr>
              <w:t>Switzerland</w:t>
            </w:r>
          </w:p>
        </w:tc>
        <w:tc>
          <w:tcPr>
            <w:tcW w:w="2320"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rPr>
            </w:pPr>
            <w:r>
              <w:rPr>
                <w:rStyle w:val="None"/>
                <w:rFonts w:ascii="Arial" w:hAnsi="Arial" w:cs="Arial"/>
                <w:noProof/>
                <w:color w:val="000000" w:themeColor="text1"/>
              </w:rPr>
              <w:t>19.7%</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rPr>
            </w:pPr>
            <w:r>
              <w:rPr>
                <w:rStyle w:val="None"/>
                <w:rFonts w:ascii="Arial" w:hAnsi="Arial" w:cs="Arial"/>
                <w:noProof/>
                <w:color w:val="000000" w:themeColor="text1"/>
              </w:rPr>
              <w:t>13.3%</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rPr>
            </w:pPr>
            <w:r>
              <w:rPr>
                <w:rStyle w:val="None"/>
                <w:rFonts w:ascii="Arial" w:hAnsi="Arial" w:cs="Arial"/>
                <w:noProof/>
                <w:color w:val="000000" w:themeColor="text1"/>
              </w:rPr>
              <w:t>10.8%</w:t>
            </w:r>
          </w:p>
        </w:tc>
      </w:tr>
      <w:tr w:rsidR="00181149">
        <w:tc>
          <w:tcPr>
            <w:tcW w:w="2320" w:type="dxa"/>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Style w:val="None"/>
                <w:rFonts w:ascii="Arial" w:hAnsi="Arial" w:cs="Arial"/>
                <w:noProof/>
                <w:color w:val="000000" w:themeColor="text1"/>
              </w:rPr>
            </w:pPr>
            <w:r>
              <w:rPr>
                <w:rStyle w:val="None"/>
                <w:rFonts w:ascii="Arial" w:hAnsi="Arial" w:cs="Arial"/>
                <w:noProof/>
                <w:color w:val="000000" w:themeColor="text1"/>
              </w:rPr>
              <w:t>Canada</w:t>
            </w:r>
          </w:p>
        </w:tc>
        <w:tc>
          <w:tcPr>
            <w:tcW w:w="2320"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rPr>
            </w:pPr>
            <w:r>
              <w:rPr>
                <w:rStyle w:val="None"/>
                <w:rFonts w:ascii="Arial" w:hAnsi="Arial" w:cs="Arial"/>
                <w:noProof/>
                <w:color w:val="000000" w:themeColor="text1"/>
              </w:rPr>
              <w:t>3%</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rPr>
            </w:pPr>
            <w:r>
              <w:rPr>
                <w:rStyle w:val="None"/>
                <w:rFonts w:ascii="Arial" w:hAnsi="Arial" w:cs="Arial"/>
                <w:noProof/>
                <w:color w:val="000000" w:themeColor="text1"/>
              </w:rPr>
              <w:t>4.2%</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rPr>
            </w:pPr>
            <w:r>
              <w:rPr>
                <w:rStyle w:val="None"/>
                <w:rFonts w:ascii="Arial" w:hAnsi="Arial" w:cs="Arial"/>
                <w:noProof/>
                <w:color w:val="000000" w:themeColor="text1"/>
              </w:rPr>
              <w:t>3.8%</w:t>
            </w:r>
          </w:p>
        </w:tc>
      </w:tr>
      <w:tr w:rsidR="00181149">
        <w:tc>
          <w:tcPr>
            <w:tcW w:w="2320" w:type="dxa"/>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Style w:val="None"/>
                <w:rFonts w:ascii="Arial" w:hAnsi="Arial" w:cs="Arial"/>
                <w:noProof/>
                <w:color w:val="000000" w:themeColor="text1"/>
              </w:rPr>
            </w:pPr>
            <w:r>
              <w:rPr>
                <w:rStyle w:val="None"/>
                <w:rFonts w:ascii="Arial" w:hAnsi="Arial" w:cs="Arial"/>
                <w:noProof/>
                <w:color w:val="000000" w:themeColor="text1"/>
              </w:rPr>
              <w:t>Japan</w:t>
            </w:r>
          </w:p>
        </w:tc>
        <w:tc>
          <w:tcPr>
            <w:tcW w:w="2320"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rPr>
            </w:pPr>
            <w:r>
              <w:rPr>
                <w:rStyle w:val="None"/>
                <w:rFonts w:ascii="Arial" w:hAnsi="Arial" w:cs="Arial"/>
                <w:noProof/>
                <w:color w:val="000000" w:themeColor="text1"/>
              </w:rPr>
              <w:t>7.7%</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rPr>
            </w:pPr>
            <w:r>
              <w:rPr>
                <w:rStyle w:val="None"/>
                <w:rFonts w:ascii="Arial" w:hAnsi="Arial" w:cs="Arial"/>
                <w:noProof/>
                <w:color w:val="000000" w:themeColor="text1"/>
              </w:rPr>
              <w:t>4.3%</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rPr>
            </w:pPr>
            <w:r>
              <w:rPr>
                <w:rStyle w:val="None"/>
                <w:rFonts w:ascii="Arial" w:hAnsi="Arial" w:cs="Arial"/>
                <w:noProof/>
                <w:color w:val="000000" w:themeColor="text1"/>
              </w:rPr>
              <w:t>2.9%</w:t>
            </w:r>
          </w:p>
        </w:tc>
      </w:tr>
      <w:tr w:rsidR="00181149">
        <w:tc>
          <w:tcPr>
            <w:tcW w:w="2320" w:type="dxa"/>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Style w:val="None"/>
                <w:rFonts w:ascii="Arial" w:hAnsi="Arial" w:cs="Arial"/>
                <w:noProof/>
                <w:color w:val="000000" w:themeColor="text1"/>
              </w:rPr>
            </w:pPr>
            <w:r>
              <w:rPr>
                <w:rStyle w:val="None"/>
                <w:rFonts w:ascii="Arial" w:hAnsi="Arial" w:cs="Arial"/>
                <w:noProof/>
                <w:color w:val="000000" w:themeColor="text1"/>
              </w:rPr>
              <w:t>Brazil</w:t>
            </w:r>
          </w:p>
        </w:tc>
        <w:tc>
          <w:tcPr>
            <w:tcW w:w="2320"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rPr>
            </w:pPr>
            <w:r>
              <w:rPr>
                <w:rStyle w:val="None"/>
                <w:rFonts w:ascii="Arial" w:hAnsi="Arial" w:cs="Arial"/>
                <w:noProof/>
                <w:color w:val="000000" w:themeColor="text1"/>
              </w:rPr>
              <w:t>0.2%</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rPr>
            </w:pPr>
            <w:r>
              <w:rPr>
                <w:rStyle w:val="None"/>
                <w:rFonts w:ascii="Arial" w:hAnsi="Arial" w:cs="Arial"/>
                <w:noProof/>
                <w:color w:val="000000" w:themeColor="text1"/>
              </w:rPr>
              <w:t>0.4%</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rPr>
            </w:pPr>
            <w:r>
              <w:rPr>
                <w:rStyle w:val="None"/>
                <w:rFonts w:ascii="Arial" w:hAnsi="Arial" w:cs="Arial"/>
                <w:noProof/>
                <w:color w:val="000000" w:themeColor="text1"/>
              </w:rPr>
              <w:t>2.2%</w:t>
            </w:r>
          </w:p>
        </w:tc>
      </w:tr>
      <w:tr w:rsidR="00181149">
        <w:tc>
          <w:tcPr>
            <w:tcW w:w="2320" w:type="dxa"/>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Style w:val="None"/>
                <w:rFonts w:ascii="Arial" w:hAnsi="Arial" w:cs="Arial"/>
                <w:noProof/>
                <w:color w:val="000000" w:themeColor="text1"/>
                <w:lang w:val="it-IT"/>
              </w:rPr>
            </w:pPr>
            <w:r>
              <w:rPr>
                <w:rStyle w:val="None"/>
                <w:rFonts w:ascii="Arial" w:hAnsi="Arial" w:cs="Arial"/>
                <w:noProof/>
                <w:color w:val="000000" w:themeColor="text1"/>
                <w:lang w:val="it-IT"/>
              </w:rPr>
              <w:t>China. incl. Hong Kong</w:t>
            </w:r>
          </w:p>
        </w:tc>
        <w:tc>
          <w:tcPr>
            <w:tcW w:w="2320"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lang w:val="it-IT"/>
              </w:rPr>
            </w:pPr>
            <w:r>
              <w:rPr>
                <w:rStyle w:val="None"/>
                <w:rFonts w:ascii="Arial" w:hAnsi="Arial" w:cs="Arial"/>
                <w:noProof/>
                <w:color w:val="000000" w:themeColor="text1"/>
                <w:lang w:val="it-IT"/>
              </w:rPr>
              <w:t>0.3%</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lang w:val="it-IT"/>
              </w:rPr>
            </w:pPr>
            <w:r>
              <w:rPr>
                <w:rStyle w:val="None"/>
                <w:rFonts w:ascii="Arial" w:hAnsi="Arial" w:cs="Arial"/>
                <w:noProof/>
                <w:color w:val="000000" w:themeColor="text1"/>
                <w:lang w:val="it-IT"/>
              </w:rPr>
              <w:t>1%</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lang w:val="it-IT"/>
              </w:rPr>
            </w:pPr>
            <w:r>
              <w:rPr>
                <w:rStyle w:val="None"/>
                <w:rFonts w:ascii="Arial" w:hAnsi="Arial" w:cs="Arial"/>
                <w:noProof/>
                <w:color w:val="000000" w:themeColor="text1"/>
                <w:lang w:val="it-IT"/>
              </w:rPr>
              <w:t>2%</w:t>
            </w:r>
          </w:p>
        </w:tc>
      </w:tr>
      <w:tr w:rsidR="00181149">
        <w:tc>
          <w:tcPr>
            <w:tcW w:w="2320" w:type="dxa"/>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Style w:val="None"/>
                <w:rFonts w:ascii="Arial" w:hAnsi="Arial" w:cs="Arial"/>
                <w:noProof/>
                <w:color w:val="000000" w:themeColor="text1"/>
                <w:lang w:val="it-IT"/>
              </w:rPr>
            </w:pPr>
            <w:r>
              <w:rPr>
                <w:rStyle w:val="None"/>
                <w:rFonts w:ascii="Arial" w:hAnsi="Arial" w:cs="Arial"/>
                <w:noProof/>
                <w:color w:val="000000" w:themeColor="text1"/>
                <w:lang w:val="it-IT"/>
              </w:rPr>
              <w:t>Norway</w:t>
            </w:r>
          </w:p>
        </w:tc>
        <w:tc>
          <w:tcPr>
            <w:tcW w:w="2320"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lang w:val="it-IT"/>
              </w:rPr>
            </w:pPr>
            <w:r>
              <w:rPr>
                <w:rStyle w:val="None"/>
                <w:rFonts w:ascii="Arial" w:hAnsi="Arial" w:cs="Arial"/>
                <w:noProof/>
                <w:color w:val="000000" w:themeColor="text1"/>
                <w:lang w:val="it-IT"/>
              </w:rPr>
              <w:t>2.2%</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lang w:val="it-IT"/>
              </w:rPr>
            </w:pPr>
            <w:r>
              <w:rPr>
                <w:rStyle w:val="None"/>
                <w:rFonts w:ascii="Arial" w:hAnsi="Arial" w:cs="Arial"/>
                <w:noProof/>
                <w:color w:val="000000" w:themeColor="text1"/>
                <w:lang w:val="it-IT"/>
              </w:rPr>
              <w:t>2.5%</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lang w:val="it-IT"/>
              </w:rPr>
            </w:pPr>
            <w:r>
              <w:rPr>
                <w:rStyle w:val="None"/>
                <w:rFonts w:ascii="Arial" w:hAnsi="Arial" w:cs="Arial"/>
                <w:noProof/>
                <w:color w:val="000000" w:themeColor="text1"/>
                <w:lang w:val="it-IT"/>
              </w:rPr>
              <w:t>1.3%</w:t>
            </w:r>
          </w:p>
        </w:tc>
      </w:tr>
      <w:tr w:rsidR="00181149">
        <w:tc>
          <w:tcPr>
            <w:tcW w:w="2320" w:type="dxa"/>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Style w:val="None"/>
                <w:rFonts w:ascii="Arial" w:hAnsi="Arial" w:cs="Arial"/>
                <w:noProof/>
                <w:color w:val="000000" w:themeColor="text1"/>
                <w:lang w:val="it-IT"/>
              </w:rPr>
            </w:pPr>
            <w:r>
              <w:rPr>
                <w:rStyle w:val="None"/>
                <w:rFonts w:ascii="Arial" w:hAnsi="Arial" w:cs="Arial"/>
                <w:noProof/>
                <w:color w:val="000000" w:themeColor="text1"/>
                <w:lang w:val="it-IT"/>
              </w:rPr>
              <w:t>Russia</w:t>
            </w:r>
          </w:p>
        </w:tc>
        <w:tc>
          <w:tcPr>
            <w:tcW w:w="2320"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lang w:val="it-IT"/>
              </w:rPr>
            </w:pPr>
            <w:r>
              <w:rPr>
                <w:rStyle w:val="None"/>
                <w:rFonts w:ascii="Arial" w:hAnsi="Arial" w:cs="Arial"/>
                <w:noProof/>
                <w:color w:val="000000" w:themeColor="text1"/>
                <w:lang w:val="it-IT"/>
              </w:rPr>
              <w:t>0.4%</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lang w:val="it-IT"/>
              </w:rPr>
            </w:pPr>
            <w:r>
              <w:rPr>
                <w:rStyle w:val="None"/>
                <w:rFonts w:ascii="Arial" w:hAnsi="Arial" w:cs="Arial"/>
                <w:noProof/>
                <w:color w:val="000000" w:themeColor="text1"/>
                <w:lang w:val="it-IT"/>
              </w:rPr>
              <w:t>0.6%</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lang w:val="it-IT"/>
              </w:rPr>
            </w:pPr>
            <w:r>
              <w:rPr>
                <w:rStyle w:val="None"/>
                <w:rFonts w:ascii="Arial" w:hAnsi="Arial" w:cs="Arial"/>
                <w:noProof/>
                <w:color w:val="000000" w:themeColor="text1"/>
                <w:lang w:val="it-IT"/>
              </w:rPr>
              <w:t>1.1%</w:t>
            </w:r>
          </w:p>
        </w:tc>
      </w:tr>
      <w:tr w:rsidR="00181149">
        <w:tc>
          <w:tcPr>
            <w:tcW w:w="2320" w:type="dxa"/>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Style w:val="None"/>
                <w:rFonts w:ascii="Arial" w:hAnsi="Arial" w:cs="Arial"/>
                <w:noProof/>
                <w:color w:val="000000" w:themeColor="text1"/>
                <w:lang w:val="it-IT"/>
              </w:rPr>
            </w:pPr>
            <w:r>
              <w:rPr>
                <w:rStyle w:val="None"/>
                <w:rFonts w:ascii="Arial" w:hAnsi="Arial" w:cs="Arial"/>
                <w:noProof/>
                <w:color w:val="000000" w:themeColor="text1"/>
                <w:lang w:val="it-IT"/>
              </w:rPr>
              <w:t>Singapore</w:t>
            </w:r>
          </w:p>
        </w:tc>
        <w:tc>
          <w:tcPr>
            <w:tcW w:w="2320"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lang w:val="it-IT"/>
              </w:rPr>
            </w:pPr>
            <w:r>
              <w:rPr>
                <w:rStyle w:val="None"/>
                <w:rFonts w:ascii="Arial" w:hAnsi="Arial" w:cs="Arial"/>
                <w:noProof/>
                <w:color w:val="000000" w:themeColor="text1"/>
                <w:lang w:val="it-IT"/>
              </w:rPr>
              <w:t>0.4%</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lang w:val="it-IT"/>
              </w:rPr>
            </w:pPr>
            <w:r>
              <w:rPr>
                <w:rStyle w:val="None"/>
                <w:rFonts w:ascii="Arial" w:hAnsi="Arial" w:cs="Arial"/>
                <w:noProof/>
                <w:color w:val="000000" w:themeColor="text1"/>
                <w:lang w:val="it-IT"/>
              </w:rPr>
              <w:t>1.6%</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lang w:val="it-IT"/>
              </w:rPr>
            </w:pPr>
            <w:r>
              <w:rPr>
                <w:rStyle w:val="None"/>
                <w:rFonts w:ascii="Arial" w:hAnsi="Arial" w:cs="Arial"/>
                <w:noProof/>
                <w:color w:val="000000" w:themeColor="text1"/>
                <w:lang w:val="it-IT"/>
              </w:rPr>
              <w:t>1%</w:t>
            </w:r>
          </w:p>
        </w:tc>
      </w:tr>
      <w:tr w:rsidR="00181149">
        <w:tc>
          <w:tcPr>
            <w:tcW w:w="2320" w:type="dxa"/>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Style w:val="None"/>
                <w:rFonts w:ascii="Arial" w:hAnsi="Arial" w:cs="Arial"/>
                <w:noProof/>
                <w:color w:val="000000" w:themeColor="text1"/>
                <w:lang w:val="it-IT"/>
              </w:rPr>
            </w:pPr>
            <w:r>
              <w:rPr>
                <w:rStyle w:val="None"/>
                <w:rFonts w:ascii="Arial" w:hAnsi="Arial" w:cs="Arial"/>
                <w:noProof/>
                <w:color w:val="000000" w:themeColor="text1"/>
                <w:lang w:val="it-IT"/>
              </w:rPr>
              <w:t>Israel</w:t>
            </w:r>
          </w:p>
        </w:tc>
        <w:tc>
          <w:tcPr>
            <w:tcW w:w="2320"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lang w:val="it-IT"/>
              </w:rPr>
            </w:pPr>
            <w:r>
              <w:rPr>
                <w:rStyle w:val="None"/>
                <w:rFonts w:ascii="Arial" w:hAnsi="Arial" w:cs="Arial"/>
                <w:noProof/>
                <w:color w:val="000000" w:themeColor="text1"/>
                <w:lang w:val="it-IT"/>
              </w:rPr>
              <w:t>0.1%</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lang w:val="it-IT"/>
              </w:rPr>
            </w:pPr>
            <w:r>
              <w:rPr>
                <w:rStyle w:val="None"/>
                <w:rFonts w:ascii="Arial" w:hAnsi="Arial" w:cs="Arial"/>
                <w:noProof/>
                <w:color w:val="000000" w:themeColor="text1"/>
                <w:lang w:val="it-IT"/>
              </w:rPr>
              <w:t>0.3%</w:t>
            </w:r>
          </w:p>
        </w:tc>
        <w:tc>
          <w:tcPr>
            <w:tcW w:w="2321" w:type="dxa"/>
            <w:vAlign w:val="center"/>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Style w:val="None"/>
                <w:rFonts w:ascii="Arial" w:hAnsi="Arial" w:cs="Arial"/>
                <w:noProof/>
                <w:color w:val="000000" w:themeColor="text1"/>
                <w:lang w:val="it-IT"/>
              </w:rPr>
            </w:pPr>
            <w:r>
              <w:rPr>
                <w:rStyle w:val="None"/>
                <w:rFonts w:ascii="Arial" w:hAnsi="Arial" w:cs="Arial"/>
                <w:noProof/>
                <w:color w:val="000000" w:themeColor="text1"/>
                <w:lang w:val="it-IT"/>
              </w:rPr>
              <w:t>0.8%</w:t>
            </w:r>
          </w:p>
        </w:tc>
      </w:tr>
      <w:tr w:rsidR="00181149">
        <w:tc>
          <w:tcPr>
            <w:tcW w:w="9282" w:type="dxa"/>
            <w:gridSpan w:val="4"/>
          </w:tcPr>
          <w:p w:rsidR="00181149" w:rsidRDefault="0064466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rPr>
                <w:rStyle w:val="None"/>
                <w:rFonts w:ascii="Arial" w:hAnsi="Arial" w:cs="Arial"/>
                <w:noProof/>
                <w:color w:val="000000" w:themeColor="text1"/>
                <w:sz w:val="18"/>
                <w:szCs w:val="18"/>
                <w:lang w:val="it-IT"/>
              </w:rPr>
            </w:pPr>
            <w:r>
              <w:rPr>
                <w:rStyle w:val="None"/>
                <w:rFonts w:ascii="Arial" w:hAnsi="Arial" w:cs="Arial"/>
                <w:i/>
                <w:noProof/>
                <w:color w:val="000000" w:themeColor="text1"/>
                <w:sz w:val="18"/>
                <w:szCs w:val="18"/>
                <w:lang w:val="it-IT"/>
              </w:rPr>
              <w:t>Source</w:t>
            </w:r>
            <w:r>
              <w:rPr>
                <w:rStyle w:val="None"/>
                <w:rFonts w:ascii="Arial" w:hAnsi="Arial" w:cs="Arial"/>
                <w:noProof/>
                <w:color w:val="000000" w:themeColor="text1"/>
                <w:sz w:val="18"/>
                <w:szCs w:val="18"/>
                <w:lang w:val="it-IT"/>
              </w:rPr>
              <w:t>: EUROSTAT</w:t>
            </w:r>
          </w:p>
        </w:tc>
      </w:tr>
    </w:tbl>
    <w:p w:rsidR="00181149" w:rsidRDefault="00181149">
      <w:pPr>
        <w:spacing w:after="120"/>
        <w:rPr>
          <w:rFonts w:ascii="Arial" w:hAnsi="Arial" w:cs="Arial"/>
          <w:noProof/>
          <w:sz w:val="24"/>
          <w:szCs w:val="24"/>
          <w:lang w:val="it-IT"/>
        </w:rPr>
      </w:pPr>
    </w:p>
    <w:p w:rsidR="00181149" w:rsidRDefault="0064466C">
      <w:pPr>
        <w:spacing w:after="120"/>
        <w:jc w:val="both"/>
        <w:rPr>
          <w:rStyle w:val="None"/>
          <w:rFonts w:ascii="Arial" w:hAnsi="Arial" w:cs="Arial"/>
          <w:noProof/>
          <w:color w:val="000000" w:themeColor="text1"/>
        </w:rPr>
      </w:pPr>
      <w:r>
        <w:rPr>
          <w:rStyle w:val="None"/>
          <w:rFonts w:ascii="Arial" w:hAnsi="Arial" w:cs="Arial"/>
          <w:noProof/>
          <w:color w:val="000000" w:themeColor="text1"/>
        </w:rPr>
        <w:t xml:space="preserve">While only 0.4 per cent of EU companies are controlled by non-EU investors, these companies are on average much larger than companies owned by EU investors. As a </w:t>
      </w:r>
      <w:r>
        <w:rPr>
          <w:rStyle w:val="None"/>
          <w:rFonts w:ascii="Arial" w:hAnsi="Arial" w:cs="Arial"/>
          <w:noProof/>
          <w:color w:val="000000" w:themeColor="text1"/>
        </w:rPr>
        <w:t>result, they represent about 13 per cent of total turnover, 11 per cent of value added and 6 per cent of total employment in the EU.</w:t>
      </w:r>
      <w:r>
        <w:rPr>
          <w:rStyle w:val="FootnoteReference"/>
          <w:rFonts w:ascii="Arial" w:hAnsi="Arial" w:cs="Arial"/>
          <w:noProof/>
          <w:color w:val="000000" w:themeColor="text1"/>
        </w:rPr>
        <w:footnoteReference w:id="5"/>
      </w:r>
    </w:p>
    <w:p w:rsidR="00181149" w:rsidRDefault="0064466C">
      <w:pPr>
        <w:spacing w:after="120"/>
        <w:jc w:val="both"/>
        <w:rPr>
          <w:rStyle w:val="None"/>
          <w:rFonts w:ascii="Arial" w:hAnsi="Arial" w:cs="Arial"/>
          <w:noProof/>
          <w:color w:val="000000" w:themeColor="text1"/>
        </w:rPr>
      </w:pPr>
      <w:r>
        <w:rPr>
          <w:rStyle w:val="None"/>
          <w:rFonts w:ascii="Arial" w:hAnsi="Arial"/>
          <w:noProof/>
          <w:color w:val="000000" w:themeColor="text1"/>
        </w:rPr>
        <w:t>The US is at the top of the list with 26 000 EU controlled companies located – in order of importance – in UK, Germany, th</w:t>
      </w:r>
      <w:r>
        <w:rPr>
          <w:rStyle w:val="None"/>
          <w:rFonts w:ascii="Arial" w:hAnsi="Arial"/>
          <w:noProof/>
          <w:color w:val="000000" w:themeColor="text1"/>
        </w:rPr>
        <w:t>e Netherlands, France and Italy.</w:t>
      </w:r>
      <w:r>
        <w:rPr>
          <w:rStyle w:val="None"/>
          <w:rFonts w:ascii="Arial" w:hAnsi="Arial" w:cs="Arial"/>
          <w:noProof/>
          <w:color w:val="000000" w:themeColor="text1"/>
        </w:rPr>
        <w:t xml:space="preserve"> </w:t>
      </w:r>
      <w:r>
        <w:rPr>
          <w:rStyle w:val="None"/>
          <w:rFonts w:ascii="Arial" w:hAnsi="Arial" w:cs="Arial" w:hint="eastAsia"/>
          <w:noProof/>
          <w:color w:val="000000" w:themeColor="text1"/>
        </w:rPr>
        <w:t>China</w:t>
      </w:r>
      <w:r>
        <w:rPr>
          <w:rStyle w:val="None"/>
          <w:rFonts w:ascii="Arial" w:hAnsi="Arial" w:cs="Arial"/>
          <w:noProof/>
          <w:color w:val="000000" w:themeColor="text1"/>
        </w:rPr>
        <w:t xml:space="preserve">, </w:t>
      </w:r>
      <w:r>
        <w:rPr>
          <w:rStyle w:val="None"/>
          <w:rFonts w:ascii="Arial" w:hAnsi="Arial" w:cs="Arial" w:hint="eastAsia"/>
          <w:noProof/>
          <w:color w:val="000000" w:themeColor="text1"/>
        </w:rPr>
        <w:t xml:space="preserve"> controlled around 4 000 companies in the EU</w:t>
      </w:r>
      <w:r>
        <w:rPr>
          <w:rStyle w:val="None"/>
          <w:rFonts w:ascii="Arial" w:hAnsi="Arial" w:cs="Arial"/>
          <w:noProof/>
          <w:color w:val="000000" w:themeColor="text1"/>
        </w:rPr>
        <w:t>.</w:t>
      </w:r>
    </w:p>
    <w:p w:rsidR="00181149" w:rsidRDefault="0064466C">
      <w:pPr>
        <w:spacing w:after="120"/>
        <w:jc w:val="both"/>
        <w:rPr>
          <w:rStyle w:val="None"/>
          <w:rFonts w:ascii="Arial" w:hAnsi="Arial" w:cs="Arial"/>
          <w:noProof/>
          <w:color w:val="000000" w:themeColor="text1"/>
        </w:rPr>
      </w:pPr>
      <w:r>
        <w:rPr>
          <w:rStyle w:val="None"/>
          <w:rFonts w:ascii="Arial" w:hAnsi="Arial" w:cs="Arial"/>
          <w:noProof/>
          <w:color w:val="000000" w:themeColor="text1"/>
        </w:rPr>
        <w:t>Regarding the number of inward FDI transactions in the EU, estimates point to a range of between 2000 and 4000 per year.</w:t>
      </w:r>
      <w:r>
        <w:rPr>
          <w:rStyle w:val="FootnoteReference"/>
          <w:rFonts w:ascii="Arial" w:hAnsi="Arial" w:cs="Arial"/>
          <w:noProof/>
          <w:color w:val="000000" w:themeColor="text1"/>
        </w:rPr>
        <w:footnoteReference w:id="6"/>
      </w:r>
      <w:r>
        <w:rPr>
          <w:rStyle w:val="None"/>
          <w:rFonts w:ascii="Arial" w:hAnsi="Arial" w:cs="Arial"/>
          <w:noProof/>
          <w:color w:val="000000" w:themeColor="text1"/>
        </w:rPr>
        <w:t xml:space="preserve"> </w:t>
      </w:r>
      <w:r>
        <w:rPr>
          <w:rStyle w:val="None"/>
          <w:rFonts w:ascii="Arial" w:hAnsi="Arial" w:cs="Arial" w:hint="eastAsia"/>
          <w:noProof/>
          <w:color w:val="000000" w:themeColor="text1"/>
        </w:rPr>
        <w:t>In 2016 there were 1869 announced FDI transactio</w:t>
      </w:r>
      <w:r>
        <w:rPr>
          <w:rStyle w:val="None"/>
          <w:rFonts w:ascii="Arial" w:hAnsi="Arial" w:cs="Arial" w:hint="eastAsia"/>
          <w:noProof/>
          <w:color w:val="000000" w:themeColor="text1"/>
        </w:rPr>
        <w:t>ns involving an extra-EU acquisition of a stake above 10% in an EU enterprise</w:t>
      </w:r>
      <w:r>
        <w:rPr>
          <w:rStyle w:val="None"/>
          <w:rFonts w:ascii="Arial" w:hAnsi="Arial" w:cs="Arial"/>
          <w:noProof/>
          <w:color w:val="000000" w:themeColor="text1"/>
        </w:rPr>
        <w:t>.</w:t>
      </w:r>
      <w:r>
        <w:rPr>
          <w:rStyle w:val="FootnoteReference"/>
          <w:rFonts w:ascii="Arial" w:hAnsi="Arial" w:cs="Arial"/>
          <w:noProof/>
          <w:color w:val="000000" w:themeColor="text1"/>
        </w:rPr>
        <w:footnoteReference w:id="7"/>
      </w:r>
    </w:p>
    <w:p w:rsidR="00181149" w:rsidRDefault="00181149">
      <w:pPr>
        <w:pStyle w:val="Body"/>
        <w:spacing w:after="120"/>
        <w:jc w:val="both"/>
        <w:rPr>
          <w:rFonts w:ascii="Arial" w:eastAsiaTheme="minorHAnsi" w:hAnsi="Arial" w:cs="Arial"/>
          <w:noProof/>
          <w:color w:val="auto"/>
          <w:bdr w:val="none" w:sz="0" w:space="0" w:color="auto" w:frame="1"/>
          <w:lang w:val="en-GB" w:eastAsia="en-US"/>
        </w:rPr>
      </w:pPr>
    </w:p>
    <w:p w:rsidR="00181149" w:rsidRDefault="0064466C">
      <w:pPr>
        <w:spacing w:after="120"/>
        <w:jc w:val="center"/>
        <w:rPr>
          <w:rStyle w:val="None"/>
          <w:rFonts w:ascii="Arial" w:hAnsi="Arial" w:cs="Arial"/>
          <w:noProof/>
          <w:color w:val="000000" w:themeColor="text1"/>
        </w:rPr>
      </w:pPr>
      <w:r>
        <w:rPr>
          <w:rFonts w:ascii="Arial" w:hAnsi="Arial" w:cs="Arial"/>
          <w:noProof/>
          <w:color w:val="000000" w:themeColor="text1"/>
          <w:lang w:eastAsia="en-GB"/>
        </w:rPr>
        <w:drawing>
          <wp:inline distT="0" distB="0" distL="0" distR="0" wp14:anchorId="66DF3991" wp14:editId="1CB04B8A">
            <wp:extent cx="5191309" cy="245889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 of companies in EU28 by ultimate owner origin.png"/>
                    <pic:cNvPicPr/>
                  </pic:nvPicPr>
                  <pic:blipFill>
                    <a:blip r:embed="rId18">
                      <a:extLst>
                        <a:ext uri="{28A0092B-C50C-407E-A947-70E740481C1C}">
                          <a14:useLocalDpi xmlns:a14="http://schemas.microsoft.com/office/drawing/2010/main" val="0"/>
                        </a:ext>
                      </a:extLst>
                    </a:blip>
                    <a:stretch>
                      <a:fillRect/>
                    </a:stretch>
                  </pic:blipFill>
                  <pic:spPr>
                    <a:xfrm>
                      <a:off x="0" y="0"/>
                      <a:ext cx="5189232" cy="2457907"/>
                    </a:xfrm>
                    <a:prstGeom prst="rect">
                      <a:avLst/>
                    </a:prstGeom>
                  </pic:spPr>
                </pic:pic>
              </a:graphicData>
            </a:graphic>
          </wp:inline>
        </w:drawing>
      </w:r>
    </w:p>
    <w:p w:rsidR="00181149" w:rsidRDefault="00181149">
      <w:pPr>
        <w:spacing w:after="120"/>
        <w:jc w:val="both"/>
        <w:rPr>
          <w:rStyle w:val="None"/>
          <w:noProof/>
          <w:color w:val="000000" w:themeColor="text1"/>
        </w:rPr>
      </w:pPr>
    </w:p>
    <w:p w:rsidR="00181149" w:rsidRDefault="0064466C">
      <w:pPr>
        <w:spacing w:after="120"/>
        <w:jc w:val="both"/>
        <w:rPr>
          <w:rFonts w:ascii="Arial" w:hAnsi="Arial" w:cs="Arial"/>
          <w:noProof/>
        </w:rPr>
      </w:pPr>
      <w:r>
        <w:rPr>
          <w:rFonts w:ascii="Arial" w:hAnsi="Arial" w:cs="Arial"/>
          <w:noProof/>
          <w:color w:val="333333"/>
          <w:sz w:val="21"/>
          <w:szCs w:val="21"/>
        </w:rPr>
        <w:t xml:space="preserve">Regarding flows of cross-border investment, non-EU inward </w:t>
      </w:r>
      <w:r>
        <w:rPr>
          <w:rFonts w:ascii="Arial" w:hAnsi="Arial" w:cs="Arial"/>
          <w:noProof/>
          <w:color w:val="333333"/>
          <w:sz w:val="21"/>
          <w:szCs w:val="21"/>
          <w:lang w:val="en"/>
        </w:rPr>
        <w:t>FDI increased sharply in 2015 to EUR 467 bn, recovering to the levels reached before the beginning of the financial crisis. The recent increase and recovery of non-EU FDI flows was largely due to the rapid pace of expansion of inward FDI by certain large n</w:t>
      </w:r>
      <w:r>
        <w:rPr>
          <w:rFonts w:ascii="Arial" w:hAnsi="Arial" w:cs="Arial"/>
          <w:noProof/>
          <w:color w:val="333333"/>
          <w:sz w:val="21"/>
          <w:szCs w:val="21"/>
          <w:lang w:val="en"/>
        </w:rPr>
        <w:t xml:space="preserve">on-EU economies. </w:t>
      </w:r>
    </w:p>
    <w:p w:rsidR="00181149" w:rsidRDefault="00181149">
      <w:pPr>
        <w:pStyle w:val="BodyA"/>
        <w:spacing w:line="240" w:lineRule="auto"/>
        <w:jc w:val="both"/>
        <w:rPr>
          <w:rFonts w:ascii="Arial" w:eastAsiaTheme="minorHAnsi" w:hAnsi="Arial" w:cs="Arial"/>
          <w:noProof/>
          <w:color w:val="auto"/>
          <w:bdr w:val="none" w:sz="0" w:space="0" w:color="auto" w:frame="1"/>
          <w:lang w:val="en-GB" w:eastAsia="en-US"/>
        </w:rPr>
      </w:pPr>
    </w:p>
    <w:p w:rsidR="00181149" w:rsidRDefault="00181149">
      <w:pPr>
        <w:pStyle w:val="BodyA"/>
        <w:spacing w:line="240" w:lineRule="auto"/>
        <w:jc w:val="both"/>
        <w:rPr>
          <w:rFonts w:ascii="Arial" w:eastAsiaTheme="minorHAnsi" w:hAnsi="Arial" w:cs="Arial"/>
          <w:noProof/>
          <w:color w:val="auto"/>
          <w:bdr w:val="none" w:sz="0" w:space="0" w:color="auto" w:frame="1"/>
          <w:lang w:val="en-GB" w:eastAsia="en-US"/>
        </w:rPr>
      </w:pPr>
    </w:p>
    <w:tbl>
      <w:tblPr>
        <w:tblStyle w:val="TableGrid"/>
        <w:tblW w:w="0" w:type="auto"/>
        <w:tblLook w:val="04A0" w:firstRow="1" w:lastRow="0" w:firstColumn="1" w:lastColumn="0" w:noHBand="0" w:noVBand="1"/>
      </w:tblPr>
      <w:tblGrid>
        <w:gridCol w:w="9288"/>
      </w:tblGrid>
      <w:tr w:rsidR="00181149" w:rsidRPr="0064466C">
        <w:tc>
          <w:tcPr>
            <w:tcW w:w="9288" w:type="dxa"/>
            <w:tcBorders>
              <w:top w:val="single" w:sz="4" w:space="0" w:color="auto"/>
              <w:left w:val="single" w:sz="4" w:space="0" w:color="auto"/>
              <w:bottom w:val="single" w:sz="4" w:space="0" w:color="auto"/>
              <w:right w:val="single" w:sz="4" w:space="0" w:color="auto"/>
            </w:tcBorders>
            <w:hideMark/>
          </w:tcPr>
          <w:p w:rsidR="00181149" w:rsidRDefault="0064466C">
            <w:pPr>
              <w:spacing w:after="120"/>
              <w:jc w:val="center"/>
              <w:rPr>
                <w:rFonts w:ascii="Times New Roman" w:hAnsi="Times New Roman"/>
                <w:noProof/>
                <w:bdr w:val="none" w:sz="0" w:space="0" w:color="auto" w:frame="1"/>
                <w:lang w:val="nl-NL"/>
              </w:rPr>
            </w:pPr>
            <w:r>
              <w:rPr>
                <w:rFonts w:ascii="Times New Roman" w:hAnsi="Times New Roman"/>
                <w:b/>
                <w:noProof/>
                <w:bdr w:val="none" w:sz="0" w:space="0" w:color="auto" w:frame="1"/>
                <w:lang w:val="nl-NL"/>
              </w:rPr>
              <w:t>FDI net inflows in EU28, 2000-2015</w:t>
            </w:r>
          </w:p>
        </w:tc>
      </w:tr>
      <w:tr w:rsidR="00181149">
        <w:tc>
          <w:tcPr>
            <w:tcW w:w="9288" w:type="dxa"/>
            <w:tcBorders>
              <w:top w:val="single" w:sz="4" w:space="0" w:color="auto"/>
              <w:left w:val="single" w:sz="4" w:space="0" w:color="auto"/>
              <w:bottom w:val="single" w:sz="4" w:space="0" w:color="auto"/>
              <w:right w:val="single" w:sz="4" w:space="0" w:color="auto"/>
            </w:tcBorders>
            <w:hideMark/>
          </w:tcPr>
          <w:p w:rsidR="00181149" w:rsidRDefault="0064466C">
            <w:pPr>
              <w:spacing w:after="120"/>
              <w:jc w:val="center"/>
              <w:rPr>
                <w:rFonts w:ascii="Arial" w:hAnsi="Arial" w:cs="Arial"/>
                <w:noProof/>
                <w:bdr w:val="none" w:sz="0" w:space="0" w:color="auto" w:frame="1"/>
              </w:rPr>
            </w:pPr>
            <w:r>
              <w:rPr>
                <w:rFonts w:ascii="Arial" w:hAnsi="Arial" w:cs="Arial"/>
                <w:noProof/>
                <w:bdr w:val="none" w:sz="0" w:space="0" w:color="auto" w:frame="1"/>
              </w:rPr>
              <w:drawing>
                <wp:inline distT="0" distB="0" distL="0" distR="0" wp14:anchorId="324EBB22" wp14:editId="116DE491">
                  <wp:extent cx="5113020" cy="2887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3020" cy="2887980"/>
                          </a:xfrm>
                          <a:prstGeom prst="rect">
                            <a:avLst/>
                          </a:prstGeom>
                          <a:noFill/>
                        </pic:spPr>
                      </pic:pic>
                    </a:graphicData>
                  </a:graphic>
                </wp:inline>
              </w:drawing>
            </w:r>
          </w:p>
        </w:tc>
      </w:tr>
      <w:tr w:rsidR="00181149">
        <w:tc>
          <w:tcPr>
            <w:tcW w:w="9288" w:type="dxa"/>
            <w:tcBorders>
              <w:top w:val="single" w:sz="4" w:space="0" w:color="auto"/>
              <w:left w:val="single" w:sz="4" w:space="0" w:color="auto"/>
              <w:bottom w:val="single" w:sz="4" w:space="0" w:color="auto"/>
              <w:right w:val="single" w:sz="4" w:space="0" w:color="auto"/>
            </w:tcBorders>
            <w:hideMark/>
          </w:tcPr>
          <w:p w:rsidR="00181149" w:rsidRDefault="0064466C">
            <w:pPr>
              <w:spacing w:after="120"/>
              <w:jc w:val="both"/>
              <w:rPr>
                <w:rFonts w:ascii="Arial" w:hAnsi="Arial" w:cs="Arial"/>
                <w:noProof/>
                <w:bdr w:val="none" w:sz="0" w:space="0" w:color="auto" w:frame="1"/>
              </w:rPr>
            </w:pPr>
            <w:r>
              <w:rPr>
                <w:rFonts w:ascii="Times New Roman" w:hAnsi="Times New Roman"/>
                <w:i/>
                <w:noProof/>
                <w:sz w:val="18"/>
                <w:szCs w:val="18"/>
                <w:bdr w:val="none" w:sz="0" w:space="0" w:color="auto" w:frame="1"/>
              </w:rPr>
              <w:t>Source</w:t>
            </w:r>
            <w:r>
              <w:rPr>
                <w:rFonts w:ascii="Times New Roman" w:hAnsi="Times New Roman"/>
                <w:noProof/>
                <w:sz w:val="18"/>
                <w:szCs w:val="18"/>
                <w:bdr w:val="none" w:sz="0" w:space="0" w:color="auto" w:frame="1"/>
              </w:rPr>
              <w:t xml:space="preserve">: Eurostat, </w:t>
            </w:r>
            <w:r>
              <w:rPr>
                <w:rFonts w:ascii="Times New Roman" w:hAnsi="Times New Roman"/>
                <w:i/>
                <w:noProof/>
                <w:sz w:val="18"/>
                <w:szCs w:val="18"/>
                <w:bdr w:val="none" w:sz="0" w:space="0" w:color="auto" w:frame="1"/>
              </w:rPr>
              <w:t>Notes</w:t>
            </w:r>
            <w:r>
              <w:rPr>
                <w:rFonts w:ascii="Times New Roman" w:hAnsi="Times New Roman"/>
                <w:noProof/>
                <w:sz w:val="18"/>
                <w:szCs w:val="18"/>
                <w:bdr w:val="none" w:sz="0" w:space="0" w:color="auto" w:frame="1"/>
              </w:rPr>
              <w:t>: Extra-EU refers to investments into the EU from third countries; *Selected non-EU includes BRICS countries, US and Japan.</w:t>
            </w:r>
          </w:p>
        </w:tc>
      </w:tr>
    </w:tbl>
    <w:p w:rsidR="00181149" w:rsidRDefault="00181149">
      <w:pPr>
        <w:pStyle w:val="BodyA"/>
        <w:spacing w:line="240" w:lineRule="auto"/>
        <w:jc w:val="both"/>
        <w:rPr>
          <w:rFonts w:ascii="Arial" w:hAnsi="Arial"/>
          <w:noProof/>
          <w:color w:val="auto"/>
          <w:bdr w:val="none" w:sz="0" w:space="0" w:color="auto" w:frame="1"/>
          <w:lang w:val="en-GB"/>
        </w:rPr>
      </w:pPr>
    </w:p>
    <w:p w:rsidR="00181149" w:rsidRDefault="0064466C">
      <w:pPr>
        <w:pStyle w:val="BodyA"/>
        <w:spacing w:line="240" w:lineRule="auto"/>
        <w:jc w:val="both"/>
        <w:rPr>
          <w:rFonts w:ascii="Arial" w:eastAsiaTheme="minorHAnsi" w:hAnsi="Arial" w:cs="Arial"/>
          <w:noProof/>
          <w:color w:val="auto"/>
          <w:bdr w:val="none" w:sz="0" w:space="0" w:color="auto" w:frame="1"/>
          <w:lang w:val="en-GB" w:eastAsia="en-US"/>
        </w:rPr>
      </w:pPr>
      <w:r>
        <w:rPr>
          <w:rFonts w:ascii="Arial" w:hAnsi="Arial"/>
          <w:noProof/>
          <w:color w:val="auto"/>
          <w:bdr w:val="none" w:sz="0" w:space="0" w:color="auto" w:frame="1"/>
          <w:lang w:val="en-GB"/>
        </w:rPr>
        <w:t xml:space="preserve">While </w:t>
      </w:r>
      <w:r>
        <w:rPr>
          <w:rFonts w:ascii="Arial" w:eastAsiaTheme="minorHAnsi" w:hAnsi="Arial" w:cs="Arial"/>
          <w:noProof/>
          <w:color w:val="auto"/>
          <w:bdr w:val="none" w:sz="0" w:space="0" w:color="auto" w:frame="1"/>
          <w:lang w:val="en-GB" w:eastAsia="en-US"/>
        </w:rPr>
        <w:t>both main types of inward FDI, Mergers and</w:t>
      </w:r>
      <w:r>
        <w:rPr>
          <w:rFonts w:ascii="Arial" w:eastAsiaTheme="minorHAnsi" w:hAnsi="Arial" w:cs="Arial"/>
          <w:noProof/>
          <w:color w:val="auto"/>
          <w:bdr w:val="none" w:sz="0" w:space="0" w:color="auto" w:frame="1"/>
          <w:lang w:val="en-GB" w:eastAsia="en-US"/>
        </w:rPr>
        <w:t xml:space="preserve"> Acquisitions (M&amp;As) and Greenfield investment, were recently on an upward trend, the post crisis increase in inward EU FDI flows continued to take the form mostly of M&amp;As, while Greenfield investment remained more than six times lower than all other types</w:t>
      </w:r>
      <w:r>
        <w:rPr>
          <w:rFonts w:ascii="Arial" w:eastAsiaTheme="minorHAnsi" w:hAnsi="Arial" w:cs="Arial"/>
          <w:noProof/>
          <w:color w:val="auto"/>
          <w:bdr w:val="none" w:sz="0" w:space="0" w:color="auto" w:frame="1"/>
          <w:lang w:val="en-GB" w:eastAsia="en-US"/>
        </w:rPr>
        <w:t xml:space="preserve"> of FDI.</w:t>
      </w:r>
    </w:p>
    <w:tbl>
      <w:tblPr>
        <w:tblStyle w:val="TableGrid"/>
        <w:tblW w:w="0" w:type="auto"/>
        <w:tblLook w:val="04A0" w:firstRow="1" w:lastRow="0" w:firstColumn="1" w:lastColumn="0" w:noHBand="0" w:noVBand="1"/>
      </w:tblPr>
      <w:tblGrid>
        <w:gridCol w:w="9288"/>
      </w:tblGrid>
      <w:tr w:rsidR="00181149">
        <w:tc>
          <w:tcPr>
            <w:tcW w:w="9288" w:type="dxa"/>
          </w:tcPr>
          <w:p w:rsidR="00181149" w:rsidRDefault="0064466C">
            <w:pPr>
              <w:spacing w:after="200" w:line="276" w:lineRule="auto"/>
              <w:jc w:val="center"/>
              <w:rPr>
                <w:rFonts w:ascii="Arial" w:hAnsi="Arial" w:cs="Arial"/>
                <w:noProof/>
                <w:u w:val="single"/>
              </w:rPr>
            </w:pPr>
            <w:r>
              <w:rPr>
                <w:rFonts w:ascii="Times New Roman" w:hAnsi="Times New Roman"/>
                <w:b/>
                <w:noProof/>
              </w:rPr>
              <w:t>Greenfield investment as a share of total non-EU inward FDI</w:t>
            </w:r>
          </w:p>
        </w:tc>
      </w:tr>
      <w:tr w:rsidR="00181149">
        <w:tc>
          <w:tcPr>
            <w:tcW w:w="9288" w:type="dxa"/>
          </w:tcPr>
          <w:p w:rsidR="00181149" w:rsidRDefault="0064466C">
            <w:pPr>
              <w:spacing w:after="200" w:line="276" w:lineRule="auto"/>
              <w:jc w:val="center"/>
              <w:rPr>
                <w:rFonts w:ascii="Arial" w:hAnsi="Arial" w:cs="Arial"/>
                <w:noProof/>
                <w:u w:val="single"/>
              </w:rPr>
            </w:pPr>
            <w:r>
              <w:rPr>
                <w:rFonts w:ascii="Arial" w:hAnsi="Arial" w:cs="Arial"/>
                <w:noProof/>
                <w:u w:val="single"/>
              </w:rPr>
              <w:drawing>
                <wp:inline distT="0" distB="0" distL="0" distR="0" wp14:anchorId="3FE640A7" wp14:editId="7F4B266C">
                  <wp:extent cx="4581525" cy="22669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9620" cy="2266007"/>
                          </a:xfrm>
                          <a:prstGeom prst="rect">
                            <a:avLst/>
                          </a:prstGeom>
                          <a:noFill/>
                        </pic:spPr>
                      </pic:pic>
                    </a:graphicData>
                  </a:graphic>
                </wp:inline>
              </w:drawing>
            </w:r>
          </w:p>
        </w:tc>
      </w:tr>
      <w:tr w:rsidR="00181149">
        <w:tc>
          <w:tcPr>
            <w:tcW w:w="9288" w:type="dxa"/>
          </w:tcPr>
          <w:p w:rsidR="00181149" w:rsidRDefault="0064466C">
            <w:pPr>
              <w:spacing w:after="200" w:line="276" w:lineRule="auto"/>
              <w:rPr>
                <w:rFonts w:ascii="Times New Roman" w:hAnsi="Times New Roman"/>
                <w:noProof/>
                <w:u w:val="single"/>
              </w:rPr>
            </w:pPr>
            <w:r>
              <w:rPr>
                <w:rFonts w:ascii="Times New Roman" w:hAnsi="Times New Roman"/>
                <w:i/>
                <w:noProof/>
                <w:u w:val="single"/>
              </w:rPr>
              <w:t>Source</w:t>
            </w:r>
            <w:r>
              <w:rPr>
                <w:rFonts w:ascii="Times New Roman" w:hAnsi="Times New Roman"/>
                <w:noProof/>
                <w:u w:val="single"/>
              </w:rPr>
              <w:t xml:space="preserve">: FDIMarkets; </w:t>
            </w:r>
            <w:r>
              <w:rPr>
                <w:rFonts w:ascii="Times New Roman" w:hAnsi="Times New Roman"/>
                <w:i/>
                <w:noProof/>
                <w:u w:val="single"/>
              </w:rPr>
              <w:t>Note</w:t>
            </w:r>
            <w:r>
              <w:rPr>
                <w:rFonts w:ascii="Times New Roman" w:hAnsi="Times New Roman"/>
                <w:noProof/>
                <w:u w:val="single"/>
              </w:rPr>
              <w:t xml:space="preserve">: Brownfield investment is calculated as a residual and includes all remaining components of FDI (for instance M&amp;As, reinvested earnings and  intracompany </w:t>
            </w:r>
            <w:r>
              <w:rPr>
                <w:rFonts w:ascii="Times New Roman" w:hAnsi="Times New Roman"/>
                <w:noProof/>
                <w:u w:val="single"/>
              </w:rPr>
              <w:t>loans)</w:t>
            </w:r>
          </w:p>
        </w:tc>
      </w:tr>
    </w:tbl>
    <w:p w:rsidR="00181149" w:rsidRDefault="00181149">
      <w:pPr>
        <w:pStyle w:val="BodyA"/>
        <w:spacing w:line="240" w:lineRule="auto"/>
        <w:jc w:val="both"/>
        <w:rPr>
          <w:rFonts w:ascii="Arial" w:hAnsi="Arial"/>
          <w:noProof/>
          <w:color w:val="auto"/>
          <w:bdr w:val="none" w:sz="0" w:space="0" w:color="auto" w:frame="1"/>
          <w:lang w:val="en-GB"/>
        </w:rPr>
      </w:pPr>
    </w:p>
    <w:p w:rsidR="00181149" w:rsidRDefault="0064466C">
      <w:pPr>
        <w:pStyle w:val="BodyA"/>
        <w:spacing w:line="240" w:lineRule="auto"/>
        <w:jc w:val="both"/>
        <w:rPr>
          <w:rFonts w:ascii="Arial" w:eastAsiaTheme="minorHAnsi" w:hAnsi="Arial" w:cs="Arial"/>
          <w:noProof/>
          <w:color w:val="auto"/>
          <w:bdr w:val="none" w:sz="0" w:space="0" w:color="auto" w:frame="1"/>
          <w:lang w:val="en-GB" w:eastAsia="en-US"/>
        </w:rPr>
      </w:pPr>
      <w:r>
        <w:rPr>
          <w:rFonts w:ascii="Arial" w:eastAsiaTheme="minorHAnsi" w:hAnsi="Arial" w:cs="Arial"/>
          <w:noProof/>
          <w:color w:val="auto"/>
          <w:bdr w:val="none" w:sz="0" w:space="0" w:color="auto" w:frame="1"/>
          <w:lang w:val="en-GB" w:eastAsia="en-US"/>
        </w:rPr>
        <w:t>Even though the EU continues to be traditionally a net exporter of capital with respect to total FDI, regarding gross M&amp;As the value of inward flows has been higher than that of outward flows since 2012 which resulted in a positive net inward M&amp;As</w:t>
      </w:r>
      <w:r>
        <w:rPr>
          <w:rFonts w:ascii="Arial" w:eastAsiaTheme="minorHAnsi" w:hAnsi="Arial" w:cs="Arial"/>
          <w:noProof/>
          <w:color w:val="auto"/>
          <w:bdr w:val="none" w:sz="0" w:space="0" w:color="auto" w:frame="1"/>
          <w:lang w:val="en-GB" w:eastAsia="en-US"/>
        </w:rPr>
        <w:t xml:space="preserve"> balance for 5 consecutive years.</w:t>
      </w:r>
    </w:p>
    <w:p w:rsidR="00181149" w:rsidRDefault="00181149">
      <w:pPr>
        <w:pStyle w:val="BodyA"/>
        <w:spacing w:line="240" w:lineRule="auto"/>
        <w:jc w:val="both"/>
        <w:rPr>
          <w:rFonts w:ascii="Arial" w:hAnsi="Arial" w:cs="Arial"/>
          <w:noProof/>
          <w:bdr w:val="none" w:sz="0" w:space="0" w:color="auto" w:frame="1"/>
          <w:lang w:val="en-GB"/>
        </w:rPr>
      </w:pPr>
    </w:p>
    <w:tbl>
      <w:tblPr>
        <w:tblStyle w:val="TableGrid"/>
        <w:tblW w:w="0" w:type="auto"/>
        <w:tblLook w:val="04A0" w:firstRow="1" w:lastRow="0" w:firstColumn="1" w:lastColumn="0" w:noHBand="0" w:noVBand="1"/>
      </w:tblPr>
      <w:tblGrid>
        <w:gridCol w:w="9288"/>
      </w:tblGrid>
      <w:tr w:rsidR="00181149">
        <w:tc>
          <w:tcPr>
            <w:tcW w:w="9288" w:type="dxa"/>
          </w:tcPr>
          <w:p w:rsidR="00181149" w:rsidRDefault="0064466C">
            <w:pPr>
              <w:spacing w:after="120"/>
              <w:jc w:val="center"/>
              <w:rPr>
                <w:rFonts w:ascii="Times New Roman" w:hAnsi="Times New Roman"/>
                <w:b/>
                <w:noProof/>
                <w:sz w:val="24"/>
                <w:szCs w:val="24"/>
              </w:rPr>
            </w:pPr>
            <w:r>
              <w:rPr>
                <w:rFonts w:ascii="Times New Roman" w:hAnsi="Times New Roman"/>
                <w:b/>
                <w:noProof/>
                <w:sz w:val="24"/>
                <w:szCs w:val="24"/>
              </w:rPr>
              <w:t xml:space="preserve">Flows of Merger and Acquisition FDI transactions into the EU, </w:t>
            </w:r>
            <w:r>
              <w:rPr>
                <w:rFonts w:ascii="Times New Roman" w:hAnsi="Times New Roman"/>
                <w:noProof/>
                <w:sz w:val="24"/>
                <w:szCs w:val="24"/>
              </w:rPr>
              <w:t>EUR mn</w:t>
            </w:r>
          </w:p>
        </w:tc>
      </w:tr>
      <w:tr w:rsidR="00181149">
        <w:tc>
          <w:tcPr>
            <w:tcW w:w="9288" w:type="dxa"/>
          </w:tcPr>
          <w:p w:rsidR="00181149" w:rsidRDefault="0064466C">
            <w:pPr>
              <w:spacing w:after="120"/>
              <w:jc w:val="center"/>
              <w:rPr>
                <w:rFonts w:ascii="Arial" w:hAnsi="Arial" w:cs="Arial"/>
                <w:noProof/>
              </w:rPr>
            </w:pPr>
            <w:r>
              <w:rPr>
                <w:rFonts w:ascii="Arial" w:hAnsi="Arial" w:cs="Arial"/>
                <w:noProof/>
              </w:rPr>
              <w:drawing>
                <wp:inline distT="0" distB="0" distL="0" distR="0" wp14:anchorId="010E02B0" wp14:editId="1189BA62">
                  <wp:extent cx="4579950" cy="274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9620" cy="2743003"/>
                          </a:xfrm>
                          <a:prstGeom prst="rect">
                            <a:avLst/>
                          </a:prstGeom>
                          <a:noFill/>
                        </pic:spPr>
                      </pic:pic>
                    </a:graphicData>
                  </a:graphic>
                </wp:inline>
              </w:drawing>
            </w:r>
          </w:p>
        </w:tc>
      </w:tr>
      <w:tr w:rsidR="00181149">
        <w:tc>
          <w:tcPr>
            <w:tcW w:w="9288" w:type="dxa"/>
          </w:tcPr>
          <w:p w:rsidR="00181149" w:rsidRDefault="0064466C">
            <w:pPr>
              <w:spacing w:after="120"/>
              <w:jc w:val="both"/>
              <w:rPr>
                <w:rFonts w:ascii="Times New Roman" w:hAnsi="Times New Roman"/>
                <w:noProof/>
                <w:sz w:val="18"/>
                <w:szCs w:val="18"/>
              </w:rPr>
            </w:pPr>
            <w:r>
              <w:rPr>
                <w:rFonts w:ascii="Times New Roman" w:hAnsi="Times New Roman"/>
                <w:i/>
                <w:noProof/>
                <w:sz w:val="18"/>
                <w:szCs w:val="18"/>
              </w:rPr>
              <w:t>Source</w:t>
            </w:r>
            <w:r>
              <w:rPr>
                <w:rFonts w:ascii="Times New Roman" w:hAnsi="Times New Roman"/>
                <w:noProof/>
                <w:sz w:val="18"/>
                <w:szCs w:val="18"/>
              </w:rPr>
              <w:t>: Dealogic M&amp;As ANALYTICS, FDI transactions for the acquisition of stakes above 10%.</w:t>
            </w:r>
          </w:p>
        </w:tc>
      </w:tr>
    </w:tbl>
    <w:p w:rsidR="00181149" w:rsidRDefault="00181149">
      <w:pPr>
        <w:spacing w:after="120"/>
        <w:rPr>
          <w:rFonts w:ascii="Arial" w:hAnsi="Arial" w:cs="Arial"/>
          <w:noProof/>
          <w:sz w:val="24"/>
          <w:szCs w:val="24"/>
        </w:rPr>
      </w:pPr>
    </w:p>
    <w:p w:rsidR="00181149" w:rsidRDefault="0064466C">
      <w:pPr>
        <w:spacing w:after="120"/>
        <w:rPr>
          <w:rFonts w:ascii="Arial" w:hAnsi="Arial" w:cs="Arial"/>
          <w:b/>
          <w:noProof/>
          <w:sz w:val="24"/>
          <w:szCs w:val="24"/>
        </w:rPr>
      </w:pPr>
      <w:r>
        <w:rPr>
          <w:rFonts w:ascii="Arial" w:hAnsi="Arial" w:cs="Arial"/>
          <w:b/>
          <w:noProof/>
          <w:sz w:val="24"/>
          <w:szCs w:val="24"/>
        </w:rPr>
        <w:t>2. … but the screening of foreign direct investment may</w:t>
      </w:r>
      <w:r>
        <w:rPr>
          <w:rFonts w:ascii="Arial" w:hAnsi="Arial" w:cs="Arial"/>
          <w:b/>
          <w:noProof/>
          <w:sz w:val="24"/>
          <w:szCs w:val="24"/>
        </w:rPr>
        <w:t xml:space="preserve"> be necessary in certain cases</w:t>
      </w:r>
    </w:p>
    <w:p w:rsidR="00181149" w:rsidRDefault="0064466C">
      <w:pPr>
        <w:pStyle w:val="Body"/>
        <w:spacing w:after="120"/>
        <w:jc w:val="both"/>
        <w:rPr>
          <w:noProof/>
        </w:rPr>
      </w:pPr>
      <w:r>
        <w:rPr>
          <w:rFonts w:ascii="Arial" w:eastAsiaTheme="minorHAnsi" w:hAnsi="Arial" w:cs="Arial"/>
          <w:noProof/>
          <w:color w:val="auto"/>
          <w:lang w:val="en-GB" w:eastAsia="en-US"/>
        </w:rPr>
        <w:t>This being said</w:t>
      </w:r>
      <w:r>
        <w:rPr>
          <w:noProof/>
          <w:bdr w:val="none" w:sz="0" w:space="0" w:color="auto" w:frame="1"/>
        </w:rPr>
        <w:t xml:space="preserve">, in exceptional cases, foreign investments are problematic when </w:t>
      </w:r>
      <w:r>
        <w:rPr>
          <w:noProof/>
        </w:rPr>
        <w:t xml:space="preserve">they pose a threat to security or public order. This point has been made by the European Parliament and certain Member States, who also raised </w:t>
      </w:r>
      <w:r>
        <w:rPr>
          <w:noProof/>
        </w:rPr>
        <w:t>concerns regarding industrial policy. In such circumstances, FDI may need to be assessed and/or conditioned or prohibited. This is the case where foreign investors – especially but not only when they are state owned or controlled, including through financi</w:t>
      </w:r>
      <w:r>
        <w:rPr>
          <w:noProof/>
        </w:rPr>
        <w:t>ng or other means of direction – may seek to acquire control of or influence in European undertakings whose activities have repercussions on critical technologies, infrastructure, inputs or sensitive information. Such acquisitions may allow the States in q</w:t>
      </w:r>
      <w:r>
        <w:rPr>
          <w:noProof/>
        </w:rPr>
        <w:t>uestion to use these assets to the detriment not only of the EU's technological edge but also its security and public order.</w:t>
      </w:r>
    </w:p>
    <w:p w:rsidR="00181149" w:rsidRDefault="0064466C">
      <w:pPr>
        <w:pStyle w:val="Body"/>
        <w:spacing w:after="120"/>
        <w:jc w:val="both"/>
        <w:rPr>
          <w:rFonts w:ascii="Arial" w:hAnsi="Arial" w:cs="Arial"/>
          <w:noProof/>
          <w:color w:val="auto"/>
          <w:lang w:val="en-GB"/>
        </w:rPr>
      </w:pPr>
      <w:r>
        <w:rPr>
          <w:rFonts w:ascii="Arial" w:eastAsiaTheme="minorHAnsi" w:hAnsi="Arial" w:cs="Arial"/>
          <w:noProof/>
          <w:color w:val="auto"/>
          <w:lang w:val="en-GB" w:eastAsia="en-US"/>
        </w:rPr>
        <w:t>The recent increase in non-EU FDI was driven by a sustained increase in investment in the high technology sectors both with respect</w:t>
      </w:r>
      <w:r>
        <w:rPr>
          <w:rFonts w:ascii="Arial" w:eastAsiaTheme="minorHAnsi" w:hAnsi="Arial" w:cs="Arial"/>
          <w:noProof/>
          <w:color w:val="auto"/>
          <w:lang w:val="en-GB" w:eastAsia="en-US"/>
        </w:rPr>
        <w:t xml:space="preserve"> to M&amp;As and Greenfield investment.</w:t>
      </w:r>
    </w:p>
    <w:p w:rsidR="00181149" w:rsidRDefault="0064466C">
      <w:pPr>
        <w:pStyle w:val="Body"/>
        <w:spacing w:after="120"/>
        <w:jc w:val="both"/>
        <w:rPr>
          <w:rFonts w:ascii="Arial" w:hAnsi="Arial" w:cs="Arial"/>
          <w:noProof/>
        </w:rPr>
      </w:pPr>
      <w:r>
        <w:rPr>
          <w:rFonts w:ascii="Arial" w:eastAsiaTheme="minorHAnsi" w:hAnsi="Arial" w:cs="Arial"/>
          <w:noProof/>
          <w:color w:val="auto"/>
          <w:lang w:val="en-GB" w:eastAsia="en-US"/>
        </w:rPr>
        <w:t>Computers &amp; Electronics is the most targeted sector by third countries acquirers in terms of total value of the stock of M&amp;As which reached more than EUR 323 billion in the second quarter of 2017.</w:t>
      </w:r>
      <w:r>
        <w:rPr>
          <w:rStyle w:val="FootnoteReference"/>
          <w:rFonts w:ascii="Arial" w:eastAsiaTheme="minorHAnsi" w:hAnsi="Arial" w:cs="Arial"/>
          <w:noProof/>
          <w:color w:val="auto"/>
          <w:lang w:val="en-GB" w:eastAsia="en-US"/>
        </w:rPr>
        <w:footnoteReference w:id="8"/>
      </w:r>
    </w:p>
    <w:p w:rsidR="00181149" w:rsidRDefault="0064466C">
      <w:pPr>
        <w:pStyle w:val="Body"/>
        <w:spacing w:after="120"/>
        <w:jc w:val="both"/>
        <w:rPr>
          <w:rFonts w:ascii="Arial" w:eastAsiaTheme="minorHAnsi" w:hAnsi="Arial" w:cs="Arial"/>
          <w:noProof/>
          <w:color w:val="auto"/>
          <w:lang w:val="en-GB" w:eastAsia="en-US"/>
        </w:rPr>
      </w:pPr>
      <w:r>
        <w:rPr>
          <w:rFonts w:ascii="Arial" w:eastAsiaTheme="minorHAnsi" w:hAnsi="Arial" w:cs="Arial" w:hint="eastAsia"/>
          <w:noProof/>
          <w:color w:val="auto"/>
          <w:lang w:val="en-GB" w:eastAsia="en-US"/>
        </w:rPr>
        <w:t>In contrast, inward no</w:t>
      </w:r>
      <w:r>
        <w:rPr>
          <w:rFonts w:ascii="Arial" w:eastAsiaTheme="minorHAnsi" w:hAnsi="Arial" w:cs="Arial" w:hint="eastAsia"/>
          <w:noProof/>
          <w:color w:val="auto"/>
          <w:lang w:val="en-GB" w:eastAsia="en-US"/>
        </w:rPr>
        <w:t>n-EU FDI in traditional manufacturing sectors slowed dow</w:t>
      </w:r>
      <w:r>
        <w:rPr>
          <w:rFonts w:ascii="Arial" w:eastAsiaTheme="minorHAnsi" w:hAnsi="Arial" w:cs="Arial"/>
          <w:noProof/>
          <w:color w:val="auto"/>
          <w:lang w:val="en-GB" w:eastAsia="en-US"/>
        </w:rPr>
        <w:t>n</w:t>
      </w:r>
      <w:r>
        <w:rPr>
          <w:rFonts w:ascii="Arial" w:eastAsiaTheme="minorHAnsi" w:hAnsi="Arial" w:cs="Arial" w:hint="eastAsia"/>
          <w:noProof/>
          <w:color w:val="auto"/>
          <w:lang w:val="en-GB" w:eastAsia="en-US"/>
        </w:rPr>
        <w:t xml:space="preserve"> recent</w:t>
      </w:r>
      <w:r>
        <w:rPr>
          <w:rFonts w:ascii="Arial" w:eastAsiaTheme="minorHAnsi" w:hAnsi="Arial" w:cs="Arial"/>
          <w:noProof/>
          <w:color w:val="auto"/>
          <w:lang w:val="en-GB" w:eastAsia="en-US"/>
        </w:rPr>
        <w:t>ly</w:t>
      </w:r>
      <w:r>
        <w:rPr>
          <w:rFonts w:ascii="Arial" w:eastAsiaTheme="minorHAnsi" w:hAnsi="Arial" w:cs="Arial" w:hint="eastAsia"/>
          <w:noProof/>
          <w:color w:val="auto"/>
          <w:lang w:val="en-GB" w:eastAsia="en-US"/>
        </w:rPr>
        <w:t xml:space="preserve"> again with respect to both components of FDI, M&amp;As and Greenfield investment.</w:t>
      </w:r>
    </w:p>
    <w:p w:rsidR="00181149" w:rsidRDefault="00181149">
      <w:pPr>
        <w:pStyle w:val="Body"/>
        <w:spacing w:after="120"/>
        <w:jc w:val="both"/>
        <w:rPr>
          <w:noProof/>
        </w:rPr>
      </w:pPr>
    </w:p>
    <w:p w:rsidR="00181149" w:rsidRDefault="00181149">
      <w:pPr>
        <w:pStyle w:val="Body"/>
        <w:spacing w:after="120"/>
        <w:jc w:val="both"/>
        <w:rPr>
          <w:noProof/>
        </w:rPr>
      </w:pPr>
    </w:p>
    <w:p w:rsidR="00181149" w:rsidRDefault="00181149">
      <w:pPr>
        <w:pStyle w:val="Body"/>
        <w:spacing w:after="120"/>
        <w:jc w:val="both"/>
        <w:rPr>
          <w:noProof/>
        </w:rPr>
      </w:pPr>
    </w:p>
    <w:p w:rsidR="00181149" w:rsidRDefault="00181149">
      <w:pPr>
        <w:pStyle w:val="Body"/>
        <w:spacing w:after="120"/>
        <w:jc w:val="both"/>
        <w:rPr>
          <w:noProof/>
        </w:rPr>
      </w:pPr>
    </w:p>
    <w:p w:rsidR="00181149" w:rsidRDefault="00181149">
      <w:pPr>
        <w:pStyle w:val="Body"/>
        <w:spacing w:after="120"/>
        <w:jc w:val="both"/>
        <w:rPr>
          <w:noProof/>
        </w:rPr>
      </w:pPr>
    </w:p>
    <w:tbl>
      <w:tblPr>
        <w:tblStyle w:val="TableGrid"/>
        <w:tblW w:w="0" w:type="auto"/>
        <w:tblInd w:w="720" w:type="dxa"/>
        <w:tblLook w:val="04A0" w:firstRow="1" w:lastRow="0" w:firstColumn="1" w:lastColumn="0" w:noHBand="0" w:noVBand="1"/>
      </w:tblPr>
      <w:tblGrid>
        <w:gridCol w:w="4452"/>
        <w:gridCol w:w="4116"/>
      </w:tblGrid>
      <w:tr w:rsidR="00181149">
        <w:tc>
          <w:tcPr>
            <w:tcW w:w="8568" w:type="dxa"/>
            <w:gridSpan w:val="2"/>
          </w:tcPr>
          <w:p w:rsidR="00181149" w:rsidRDefault="0064466C">
            <w:pPr>
              <w:pStyle w:val="ListParagraph"/>
              <w:spacing w:after="120"/>
              <w:ind w:left="0"/>
              <w:jc w:val="center"/>
              <w:rPr>
                <w:rFonts w:ascii="open_sansregular" w:hAnsi="open_sansregular" w:cs="Helvetica"/>
                <w:i/>
                <w:noProof/>
                <w:color w:val="333333"/>
                <w:sz w:val="21"/>
                <w:szCs w:val="21"/>
                <w:lang w:val="en"/>
              </w:rPr>
            </w:pPr>
            <w:r>
              <w:rPr>
                <w:rFonts w:ascii="Times New Roman" w:hAnsi="Times New Roman"/>
                <w:b/>
                <w:noProof/>
              </w:rPr>
              <w:t>Non-EU FDI in high technology sectors and manufacturing</w:t>
            </w:r>
          </w:p>
        </w:tc>
      </w:tr>
      <w:tr w:rsidR="00181149">
        <w:tc>
          <w:tcPr>
            <w:tcW w:w="4356" w:type="dxa"/>
          </w:tcPr>
          <w:p w:rsidR="00181149" w:rsidRDefault="0064466C">
            <w:pPr>
              <w:pStyle w:val="ListParagraph"/>
              <w:spacing w:after="120"/>
              <w:ind w:left="0"/>
              <w:jc w:val="center"/>
              <w:rPr>
                <w:rFonts w:ascii="open_sansregular" w:hAnsi="open_sansregular" w:cs="Helvetica"/>
                <w:b/>
                <w:i/>
                <w:noProof/>
                <w:color w:val="333333"/>
                <w:sz w:val="21"/>
                <w:szCs w:val="21"/>
                <w:lang w:val="en"/>
              </w:rPr>
            </w:pPr>
            <w:r>
              <w:rPr>
                <w:rFonts w:ascii="open_sansregular" w:hAnsi="open_sansregular" w:cs="Helvetica"/>
                <w:b/>
                <w:i/>
                <w:noProof/>
                <w:color w:val="333333"/>
                <w:sz w:val="21"/>
                <w:szCs w:val="21"/>
                <w:lang w:val="en"/>
              </w:rPr>
              <w:t>A. M&amp;As</w:t>
            </w:r>
          </w:p>
        </w:tc>
        <w:tc>
          <w:tcPr>
            <w:tcW w:w="4212" w:type="dxa"/>
          </w:tcPr>
          <w:p w:rsidR="00181149" w:rsidRDefault="0064466C">
            <w:pPr>
              <w:pStyle w:val="ListParagraph"/>
              <w:spacing w:after="120"/>
              <w:ind w:left="0"/>
              <w:jc w:val="center"/>
              <w:rPr>
                <w:rFonts w:ascii="open_sansregular" w:hAnsi="open_sansregular" w:cs="Helvetica"/>
                <w:b/>
                <w:i/>
                <w:noProof/>
                <w:color w:val="333333"/>
                <w:sz w:val="21"/>
                <w:szCs w:val="21"/>
                <w:lang w:val="en"/>
              </w:rPr>
            </w:pPr>
            <w:r>
              <w:rPr>
                <w:rFonts w:ascii="open_sansregular" w:hAnsi="open_sansregular" w:cs="Helvetica"/>
                <w:b/>
                <w:i/>
                <w:noProof/>
                <w:color w:val="333333"/>
                <w:sz w:val="21"/>
                <w:szCs w:val="21"/>
                <w:lang w:val="en"/>
              </w:rPr>
              <w:t>B. Greenfield investment</w:t>
            </w:r>
          </w:p>
        </w:tc>
      </w:tr>
      <w:tr w:rsidR="00181149">
        <w:tc>
          <w:tcPr>
            <w:tcW w:w="4356" w:type="dxa"/>
          </w:tcPr>
          <w:p w:rsidR="00181149" w:rsidRDefault="0064466C">
            <w:pPr>
              <w:pStyle w:val="ListParagraph"/>
              <w:spacing w:after="120"/>
              <w:ind w:left="0"/>
              <w:jc w:val="both"/>
              <w:rPr>
                <w:rFonts w:ascii="open_sansregular" w:hAnsi="open_sansregular" w:cs="Helvetica"/>
                <w:i/>
                <w:noProof/>
                <w:color w:val="333333"/>
                <w:sz w:val="21"/>
                <w:szCs w:val="21"/>
                <w:lang w:val="en"/>
              </w:rPr>
            </w:pPr>
            <w:r>
              <w:rPr>
                <w:rFonts w:ascii="open_sansregular" w:hAnsi="open_sansregular" w:cs="Helvetica" w:hint="eastAsia"/>
                <w:i/>
                <w:noProof/>
                <w:color w:val="333333"/>
                <w:sz w:val="21"/>
                <w:szCs w:val="21"/>
              </w:rPr>
              <w:drawing>
                <wp:inline distT="0" distB="0" distL="0" distR="0" wp14:anchorId="6BC00E07" wp14:editId="41E71260">
                  <wp:extent cx="2689860" cy="18135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89860" cy="1813560"/>
                          </a:xfrm>
                          <a:prstGeom prst="rect">
                            <a:avLst/>
                          </a:prstGeom>
                          <a:noFill/>
                        </pic:spPr>
                      </pic:pic>
                    </a:graphicData>
                  </a:graphic>
                </wp:inline>
              </w:drawing>
            </w:r>
          </w:p>
        </w:tc>
        <w:tc>
          <w:tcPr>
            <w:tcW w:w="4212" w:type="dxa"/>
          </w:tcPr>
          <w:p w:rsidR="00181149" w:rsidRDefault="0064466C">
            <w:pPr>
              <w:pStyle w:val="ListParagraph"/>
              <w:spacing w:after="120"/>
              <w:ind w:left="0"/>
              <w:jc w:val="both"/>
              <w:rPr>
                <w:rFonts w:ascii="open_sansregular" w:hAnsi="open_sansregular" w:cs="Helvetica"/>
                <w:i/>
                <w:noProof/>
                <w:color w:val="333333"/>
                <w:sz w:val="21"/>
                <w:szCs w:val="21"/>
                <w:lang w:val="en"/>
              </w:rPr>
            </w:pPr>
            <w:r>
              <w:rPr>
                <w:rFonts w:ascii="open_sansregular" w:hAnsi="open_sansregular" w:cs="Helvetica" w:hint="eastAsia"/>
                <w:i/>
                <w:noProof/>
                <w:color w:val="333333"/>
                <w:sz w:val="21"/>
                <w:szCs w:val="21"/>
              </w:rPr>
              <w:drawing>
                <wp:inline distT="0" distB="0" distL="0" distR="0" wp14:anchorId="58B8B747" wp14:editId="415C06CB">
                  <wp:extent cx="2430780" cy="1811767"/>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27865" cy="1809594"/>
                          </a:xfrm>
                          <a:prstGeom prst="rect">
                            <a:avLst/>
                          </a:prstGeom>
                          <a:noFill/>
                        </pic:spPr>
                      </pic:pic>
                    </a:graphicData>
                  </a:graphic>
                </wp:inline>
              </w:drawing>
            </w:r>
          </w:p>
        </w:tc>
      </w:tr>
      <w:tr w:rsidR="00181149">
        <w:tc>
          <w:tcPr>
            <w:tcW w:w="8568" w:type="dxa"/>
            <w:gridSpan w:val="2"/>
          </w:tcPr>
          <w:p w:rsidR="00181149" w:rsidRDefault="0064466C">
            <w:pPr>
              <w:spacing w:after="120"/>
              <w:jc w:val="both"/>
              <w:rPr>
                <w:rFonts w:ascii="Times New Roman" w:hAnsi="Times New Roman"/>
                <w:noProof/>
                <w:sz w:val="18"/>
                <w:szCs w:val="18"/>
              </w:rPr>
            </w:pPr>
            <w:r>
              <w:rPr>
                <w:rFonts w:ascii="Times New Roman" w:hAnsi="Times New Roman"/>
                <w:i/>
                <w:noProof/>
                <w:sz w:val="18"/>
                <w:szCs w:val="18"/>
              </w:rPr>
              <w:t>Source</w:t>
            </w:r>
            <w:r>
              <w:rPr>
                <w:rFonts w:ascii="Times New Roman" w:hAnsi="Times New Roman"/>
                <w:noProof/>
                <w:sz w:val="18"/>
                <w:szCs w:val="18"/>
              </w:rPr>
              <w:t xml:space="preserve">: </w:t>
            </w:r>
            <w:r>
              <w:rPr>
                <w:rFonts w:ascii="Times New Roman" w:hAnsi="Times New Roman"/>
                <w:noProof/>
                <w:sz w:val="18"/>
                <w:szCs w:val="18"/>
              </w:rPr>
              <w:t>FDIMarkets and DEALOGIC M&amp;As ANALYTICS</w:t>
            </w:r>
          </w:p>
          <w:p w:rsidR="00181149" w:rsidRDefault="0064466C">
            <w:pPr>
              <w:pStyle w:val="ListParagraph"/>
              <w:spacing w:after="120"/>
              <w:ind w:left="0"/>
              <w:jc w:val="both"/>
              <w:rPr>
                <w:rFonts w:ascii="open_sansregular" w:hAnsi="open_sansregular" w:cs="Helvetica"/>
                <w:i/>
                <w:noProof/>
                <w:color w:val="333333"/>
                <w:sz w:val="21"/>
                <w:szCs w:val="21"/>
                <w:lang w:val="en"/>
              </w:rPr>
            </w:pPr>
            <w:r>
              <w:rPr>
                <w:rFonts w:ascii="Times New Roman" w:hAnsi="Times New Roman"/>
                <w:i/>
                <w:noProof/>
                <w:sz w:val="18"/>
                <w:szCs w:val="18"/>
              </w:rPr>
              <w:t>Note</w:t>
            </w:r>
            <w:r>
              <w:rPr>
                <w:rFonts w:ascii="Times New Roman" w:hAnsi="Times New Roman"/>
                <w:noProof/>
                <w:sz w:val="18"/>
                <w:szCs w:val="18"/>
              </w:rPr>
              <w:t xml:space="preserve">s: </w:t>
            </w:r>
            <w:r>
              <w:rPr>
                <w:rFonts w:ascii="Times New Roman" w:hAnsi="Times New Roman"/>
                <w:i/>
                <w:noProof/>
                <w:sz w:val="18"/>
                <w:szCs w:val="18"/>
              </w:rPr>
              <w:t>High technology</w:t>
            </w:r>
            <w:r>
              <w:rPr>
                <w:rFonts w:ascii="Times New Roman" w:hAnsi="Times New Roman"/>
                <w:noProof/>
                <w:sz w:val="18"/>
                <w:szCs w:val="18"/>
              </w:rPr>
              <w:t xml:space="preserve"> is defined here as aerospace, renewables, biotechnology, consumer electronics, electronic components, chemicals, engines/turbines, medical equipment, pharmaceuticals, semiconductors, software/IT services, space/defence; *indicates extrapolated figures; </w:t>
            </w:r>
            <w:r>
              <w:rPr>
                <w:rFonts w:ascii="Times New Roman" w:hAnsi="Times New Roman"/>
                <w:i/>
                <w:noProof/>
                <w:sz w:val="18"/>
                <w:szCs w:val="18"/>
              </w:rPr>
              <w:t>Ma</w:t>
            </w:r>
            <w:r>
              <w:rPr>
                <w:rFonts w:ascii="Times New Roman" w:hAnsi="Times New Roman"/>
                <w:i/>
                <w:noProof/>
                <w:sz w:val="18"/>
                <w:szCs w:val="18"/>
              </w:rPr>
              <w:t>nufacturing</w:t>
            </w:r>
            <w:r>
              <w:rPr>
                <w:rFonts w:ascii="Times New Roman" w:hAnsi="Times New Roman"/>
                <w:noProof/>
                <w:sz w:val="18"/>
                <w:szCs w:val="18"/>
              </w:rPr>
              <w:t xml:space="preserve"> is defined as automotive, beverages, building/construction materials, business machines, ceramics, coal/gas/oil, consumer products, food, industrial machinery, metals, minerals, paper, plastics, rubber, textiles, wood products.</w:t>
            </w:r>
          </w:p>
        </w:tc>
      </w:tr>
    </w:tbl>
    <w:p w:rsidR="00181149" w:rsidRDefault="00181149">
      <w:pPr>
        <w:spacing w:after="120"/>
        <w:rPr>
          <w:rFonts w:ascii="Arial" w:hAnsi="Arial" w:cs="Arial"/>
          <w:noProof/>
          <w:sz w:val="24"/>
          <w:szCs w:val="24"/>
        </w:rPr>
      </w:pPr>
    </w:p>
    <w:p w:rsidR="00181149" w:rsidRDefault="00181149">
      <w:pPr>
        <w:spacing w:after="120"/>
        <w:rPr>
          <w:rFonts w:ascii="Arial" w:hAnsi="Arial" w:cs="Arial"/>
          <w:noProof/>
          <w:sz w:val="24"/>
          <w:szCs w:val="24"/>
        </w:rPr>
      </w:pPr>
    </w:p>
    <w:p w:rsidR="00181149" w:rsidRDefault="0064466C">
      <w:pPr>
        <w:spacing w:after="120"/>
        <w:rPr>
          <w:rFonts w:ascii="Arial" w:hAnsi="Arial" w:cs="Arial"/>
          <w:b/>
          <w:noProof/>
          <w:sz w:val="24"/>
          <w:szCs w:val="24"/>
        </w:rPr>
      </w:pPr>
      <w:r>
        <w:rPr>
          <w:rFonts w:ascii="Arial" w:hAnsi="Arial" w:cs="Arial"/>
          <w:b/>
          <w:noProof/>
          <w:sz w:val="24"/>
          <w:szCs w:val="24"/>
        </w:rPr>
        <w:t>3. Existing f</w:t>
      </w:r>
      <w:r>
        <w:rPr>
          <w:rFonts w:ascii="Arial" w:hAnsi="Arial" w:cs="Arial"/>
          <w:b/>
          <w:noProof/>
          <w:sz w:val="24"/>
          <w:szCs w:val="24"/>
        </w:rPr>
        <w:t>oreign direct investment screening mechanisms</w:t>
      </w:r>
    </w:p>
    <w:p w:rsidR="00181149" w:rsidRDefault="0064466C">
      <w:pPr>
        <w:pStyle w:val="Body"/>
        <w:spacing w:after="120"/>
        <w:jc w:val="both"/>
        <w:rPr>
          <w:rFonts w:ascii="Arial" w:eastAsiaTheme="minorHAnsi" w:hAnsi="Arial" w:cs="Arial"/>
          <w:b/>
          <w:noProof/>
          <w:color w:val="auto"/>
          <w:bdr w:val="none" w:sz="0" w:space="0" w:color="auto" w:frame="1"/>
          <w:lang w:val="en-GB" w:eastAsia="en-US"/>
        </w:rPr>
      </w:pPr>
      <w:r>
        <w:rPr>
          <w:rFonts w:ascii="Arial" w:eastAsiaTheme="minorHAnsi" w:hAnsi="Arial" w:cs="Arial"/>
          <w:b/>
          <w:noProof/>
          <w:color w:val="auto"/>
          <w:bdr w:val="none" w:sz="0" w:space="0" w:color="auto" w:frame="1"/>
          <w:lang w:val="en-GB" w:eastAsia="en-US"/>
        </w:rPr>
        <w:t>Third countries</w:t>
      </w:r>
    </w:p>
    <w:p w:rsidR="00181149" w:rsidRDefault="0064466C">
      <w:pPr>
        <w:pStyle w:val="Body"/>
        <w:spacing w:after="120"/>
        <w:jc w:val="both"/>
        <w:rPr>
          <w:rFonts w:ascii="Arial" w:eastAsiaTheme="minorHAnsi" w:hAnsi="Arial" w:cs="Arial"/>
          <w:noProof/>
          <w:color w:val="auto"/>
          <w:bdr w:val="none" w:sz="0" w:space="0" w:color="auto" w:frame="1"/>
          <w:lang w:val="en-GB" w:eastAsia="en-US"/>
        </w:rPr>
      </w:pPr>
      <w:r>
        <w:rPr>
          <w:rFonts w:ascii="Arial" w:eastAsiaTheme="minorHAnsi" w:hAnsi="Arial" w:cs="Arial"/>
          <w:noProof/>
          <w:color w:val="auto"/>
          <w:bdr w:val="none" w:sz="0" w:space="0" w:color="auto" w:frame="1"/>
          <w:lang w:val="en-GB" w:eastAsia="en-US"/>
        </w:rPr>
        <w:t xml:space="preserve">Many EU partners have some type of </w:t>
      </w:r>
      <w:r>
        <w:rPr>
          <w:rFonts w:ascii="Arial" w:hAnsi="Arial" w:cs="Arial"/>
          <w:noProof/>
        </w:rPr>
        <w:t xml:space="preserve">investment screening mechanisms to screen inward FDI, including </w:t>
      </w:r>
      <w:r>
        <w:rPr>
          <w:rFonts w:ascii="Arial" w:eastAsiaTheme="minorHAnsi" w:hAnsi="Arial" w:cs="Arial"/>
          <w:noProof/>
          <w:color w:val="auto"/>
          <w:bdr w:val="none" w:sz="0" w:space="0" w:color="auto" w:frame="1"/>
          <w:lang w:val="en-GB" w:eastAsia="en-US"/>
        </w:rPr>
        <w:t xml:space="preserve">the Australia, Canada, China, Japan, Russia and the United States. The most common reason for </w:t>
      </w:r>
      <w:r>
        <w:rPr>
          <w:rFonts w:ascii="Arial" w:eastAsiaTheme="minorHAnsi" w:hAnsi="Arial" w:cs="Arial"/>
          <w:noProof/>
          <w:color w:val="auto"/>
          <w:bdr w:val="none" w:sz="0" w:space="0" w:color="auto" w:frame="1"/>
          <w:lang w:val="en-GB" w:eastAsia="en-US"/>
        </w:rPr>
        <w:t>screening foreign investment is national security. Some countries also refer to national "economic security" or "strategic sectors".</w:t>
      </w:r>
    </w:p>
    <w:p w:rsidR="00181149" w:rsidRDefault="0064466C">
      <w:pPr>
        <w:pStyle w:val="Body"/>
        <w:spacing w:after="120"/>
        <w:jc w:val="both"/>
        <w:rPr>
          <w:rFonts w:ascii="Arial" w:hAnsi="Arial" w:cs="Arial"/>
          <w:b/>
          <w:noProof/>
        </w:rPr>
      </w:pPr>
      <w:r>
        <w:rPr>
          <w:rFonts w:ascii="Arial" w:hAnsi="Arial" w:cs="Arial"/>
          <w:b/>
          <w:noProof/>
        </w:rPr>
        <w:t>EU Member States</w:t>
      </w:r>
    </w:p>
    <w:p w:rsidR="00181149" w:rsidRDefault="0064466C">
      <w:pPr>
        <w:pStyle w:val="Body"/>
        <w:spacing w:after="120"/>
        <w:jc w:val="both"/>
        <w:rPr>
          <w:rFonts w:ascii="Arial" w:hAnsi="Arial" w:cs="Arial"/>
          <w:noProof/>
        </w:rPr>
      </w:pPr>
      <w:r>
        <w:rPr>
          <w:rFonts w:ascii="Arial" w:hAnsi="Arial" w:cs="Arial"/>
          <w:noProof/>
          <w:lang w:val="en-GB"/>
        </w:rPr>
        <w:t xml:space="preserve">Within the EU, </w:t>
      </w:r>
      <w:r>
        <w:rPr>
          <w:rFonts w:ascii="Arial" w:hAnsi="Arial" w:cs="Arial"/>
          <w:noProof/>
        </w:rPr>
        <w:t xml:space="preserve">12 Member States have national mechanisms to screen investment in place: Austria, Denmark, </w:t>
      </w:r>
      <w:r>
        <w:rPr>
          <w:rFonts w:ascii="Arial" w:hAnsi="Arial" w:cs="Arial"/>
          <w:noProof/>
        </w:rPr>
        <w:t>Germany, Finland, France, Latvia, Lithuania, Italy, Poland, Portugal, Spain, and the United Kingdom</w:t>
      </w:r>
      <w:r>
        <w:rPr>
          <w:rStyle w:val="FootnoteReference"/>
          <w:rFonts w:ascii="Arial" w:hAnsi="Arial" w:cs="Arial"/>
          <w:noProof/>
        </w:rPr>
        <w:footnoteReference w:id="9"/>
      </w:r>
      <w:r>
        <w:rPr>
          <w:rFonts w:ascii="Arial" w:hAnsi="Arial" w:cs="Arial"/>
          <w:noProof/>
        </w:rPr>
        <w:t xml:space="preserve">. </w:t>
      </w:r>
    </w:p>
    <w:p w:rsidR="00181149" w:rsidRDefault="0064466C">
      <w:pPr>
        <w:pStyle w:val="Body"/>
        <w:spacing w:after="120"/>
        <w:jc w:val="both"/>
        <w:rPr>
          <w:rFonts w:ascii="Arial" w:hAnsi="Arial" w:cs="Arial"/>
          <w:noProof/>
        </w:rPr>
      </w:pPr>
      <w:r>
        <w:rPr>
          <w:rFonts w:ascii="Arial" w:hAnsi="Arial" w:cs="Arial"/>
          <w:noProof/>
        </w:rPr>
        <w:t>While the common purpose of these mechanisms is to allow the State to intervene in case of investments that may pose threats to their essential interests</w:t>
      </w:r>
      <w:r>
        <w:rPr>
          <w:rFonts w:ascii="Arial" w:hAnsi="Arial" w:cs="Arial"/>
          <w:noProof/>
        </w:rPr>
        <w:t xml:space="preserve">, they diverge in several aspects. </w:t>
      </w:r>
    </w:p>
    <w:p w:rsidR="00181149" w:rsidRDefault="0064466C">
      <w:pPr>
        <w:pStyle w:val="Body"/>
        <w:spacing w:after="120"/>
        <w:jc w:val="both"/>
        <w:rPr>
          <w:rFonts w:ascii="Arial" w:hAnsi="Arial" w:cs="Arial"/>
          <w:noProof/>
        </w:rPr>
      </w:pPr>
      <w:r>
        <w:rPr>
          <w:rFonts w:ascii="Arial" w:hAnsi="Arial" w:cs="Arial"/>
          <w:noProof/>
        </w:rPr>
        <w:t>First, with regard to the scope, most of the Member States' screening mechanisms apply to both intra-EU and extra-EU investments, in some cases with slightly different rules applying to third country investment. Other me</w:t>
      </w:r>
      <w:r>
        <w:rPr>
          <w:rFonts w:ascii="Arial" w:hAnsi="Arial" w:cs="Arial"/>
          <w:noProof/>
        </w:rPr>
        <w:t xml:space="preserve">chanisms apply only to investments from third countries. The mechanisms applying only to third country investments normally include provisions to tackle possible circumvention of the screening, for example to </w:t>
      </w:r>
      <w:r>
        <w:rPr>
          <w:noProof/>
        </w:rPr>
        <w:t>counter the phenomenon of letter box companies</w:t>
      </w:r>
    </w:p>
    <w:p w:rsidR="00181149" w:rsidRDefault="0064466C">
      <w:pPr>
        <w:pStyle w:val="Body"/>
        <w:spacing w:after="120"/>
        <w:jc w:val="both"/>
        <w:rPr>
          <w:rFonts w:ascii="Arial" w:hAnsi="Arial" w:cs="Arial"/>
          <w:noProof/>
          <w:lang w:val="en-GB"/>
        </w:rPr>
      </w:pPr>
      <w:r>
        <w:rPr>
          <w:rFonts w:ascii="Arial" w:hAnsi="Arial" w:cs="Arial"/>
          <w:noProof/>
        </w:rPr>
        <w:t xml:space="preserve">Second, with regard to the investments covered, </w:t>
      </w:r>
      <w:r>
        <w:rPr>
          <w:rFonts w:ascii="Arial" w:hAnsi="Arial" w:cs="Arial"/>
          <w:noProof/>
          <w:lang w:val="en-GB"/>
        </w:rPr>
        <w:t>the screening mechanisms normally set out qualitative criteria or quantitative thresholds, or a combination of both, to identify the investment to be screened. Qualitative criteria require for example acquisi</w:t>
      </w:r>
      <w:r>
        <w:rPr>
          <w:rFonts w:ascii="Arial" w:hAnsi="Arial" w:cs="Arial"/>
          <w:noProof/>
          <w:lang w:val="en-GB"/>
        </w:rPr>
        <w:t xml:space="preserve">tion of direct or indirect control over a company or assets. Quantitative criteria are usually thresholds referring to the percentage of shares or voting rights, which range from 5% to 50%. </w:t>
      </w:r>
    </w:p>
    <w:p w:rsidR="00181149" w:rsidRDefault="0064466C">
      <w:pPr>
        <w:pStyle w:val="Body"/>
        <w:spacing w:after="120"/>
        <w:jc w:val="both"/>
        <w:rPr>
          <w:rFonts w:ascii="Arial" w:hAnsi="Arial" w:cs="Arial"/>
          <w:noProof/>
          <w:lang w:val="en-GB"/>
        </w:rPr>
      </w:pPr>
      <w:r>
        <w:rPr>
          <w:rFonts w:ascii="Arial" w:hAnsi="Arial" w:cs="Arial"/>
          <w:noProof/>
          <w:lang w:val="en-GB"/>
        </w:rPr>
        <w:t>Third, as to the sectors concerned, some screening mechanisms lim</w:t>
      </w:r>
      <w:r>
        <w:rPr>
          <w:rFonts w:ascii="Arial" w:hAnsi="Arial" w:cs="Arial"/>
          <w:noProof/>
          <w:lang w:val="en-GB"/>
        </w:rPr>
        <w:t>it the screening to investments in specific sectors deemed to be strategic (e.g. telecommunications, transport, energy) or/and in certain companies or activities considered of strategic importance. Other mechanisms do not provide for such limitation or lis</w:t>
      </w:r>
      <w:r>
        <w:rPr>
          <w:rFonts w:ascii="Arial" w:hAnsi="Arial" w:cs="Arial"/>
          <w:noProof/>
          <w:lang w:val="en-GB"/>
        </w:rPr>
        <w:t>t sectors only for illustrative purposes.</w:t>
      </w:r>
    </w:p>
    <w:p w:rsidR="00181149" w:rsidRDefault="0064466C">
      <w:pPr>
        <w:pStyle w:val="Body"/>
        <w:spacing w:after="120"/>
        <w:jc w:val="both"/>
        <w:rPr>
          <w:rFonts w:ascii="Arial" w:hAnsi="Arial" w:cs="Arial"/>
          <w:noProof/>
        </w:rPr>
      </w:pPr>
      <w:r>
        <w:rPr>
          <w:rFonts w:ascii="Arial" w:hAnsi="Arial" w:cs="Arial"/>
          <w:noProof/>
        </w:rPr>
        <w:t>Fourth, as regards grounds for screening, in some cases the screening is limited to the protection of essential interest of national security, especially related to the production of or trade in arms, munitions, mi</w:t>
      </w:r>
      <w:r>
        <w:rPr>
          <w:rFonts w:ascii="Arial" w:hAnsi="Arial" w:cs="Arial"/>
          <w:noProof/>
        </w:rPr>
        <w:t xml:space="preserve">litary equipment, war material, etc. However, in most cases the screening goes beyond the defence sector and the grounds for screening extend to the protection of other public interests mainly related to public security and public policy.  </w:t>
      </w:r>
    </w:p>
    <w:p w:rsidR="00181149" w:rsidRDefault="0064466C">
      <w:pPr>
        <w:pStyle w:val="Body"/>
        <w:spacing w:after="120"/>
        <w:jc w:val="both"/>
        <w:rPr>
          <w:rFonts w:ascii="Arial" w:hAnsi="Arial" w:cs="Arial"/>
          <w:noProof/>
        </w:rPr>
      </w:pPr>
      <w:r>
        <w:rPr>
          <w:rFonts w:ascii="Arial" w:hAnsi="Arial" w:cs="Arial"/>
          <w:noProof/>
        </w:rPr>
        <w:t>Divergences exi</w:t>
      </w:r>
      <w:r>
        <w:rPr>
          <w:rFonts w:ascii="Arial" w:hAnsi="Arial" w:cs="Arial"/>
          <w:noProof/>
        </w:rPr>
        <w:t xml:space="preserve">st in the design of the screening procedures. The screening mechanisms can take two main forms: - prior </w:t>
      </w:r>
      <w:r>
        <w:rPr>
          <w:rFonts w:ascii="Arial" w:hAnsi="Arial" w:cs="Arial"/>
          <w:noProof/>
          <w:lang w:val="en-GB"/>
        </w:rPr>
        <w:t>authorisation</w:t>
      </w:r>
      <w:r>
        <w:rPr>
          <w:rFonts w:ascii="Arial" w:hAnsi="Arial" w:cs="Arial"/>
          <w:noProof/>
        </w:rPr>
        <w:t xml:space="preserve"> mechanisms which require investors to notify an investment covered before it is made and submit it to authorisation; - and ex-post- screen</w:t>
      </w:r>
      <w:r>
        <w:rPr>
          <w:rFonts w:ascii="Arial" w:hAnsi="Arial" w:cs="Arial"/>
          <w:noProof/>
        </w:rPr>
        <w:t xml:space="preserve">ing mechanisms which allow the State to carry out an ex-post control of investments already completed. Ex-post screening mechanisms normally also allow the investor to notify the investment voluntarily before it is completed in order to obtain clearance. </w:t>
      </w:r>
    </w:p>
    <w:p w:rsidR="00181149" w:rsidRDefault="0064466C">
      <w:pPr>
        <w:pStyle w:val="Body"/>
        <w:spacing w:after="120"/>
        <w:jc w:val="both"/>
        <w:rPr>
          <w:rFonts w:ascii="Arial" w:hAnsi="Arial" w:cs="Arial"/>
          <w:noProof/>
          <w:lang w:val="en-GB"/>
        </w:rPr>
      </w:pPr>
      <w:r>
        <w:rPr>
          <w:rFonts w:ascii="Arial" w:hAnsi="Arial" w:cs="Arial"/>
          <w:noProof/>
        </w:rPr>
        <w:t>There are different deadlines for completion of the screening procedures in the national mechanisms, most of them providing for two to four months. Often, mechanisms providing for prior screening set out a system of tacit approval, whereby the investment i</w:t>
      </w:r>
      <w:r>
        <w:rPr>
          <w:rFonts w:ascii="Arial" w:hAnsi="Arial" w:cs="Arial"/>
          <w:noProof/>
        </w:rPr>
        <w:t>s deemed to be approved if the decision is not taken within the prescribed time limit.</w:t>
      </w:r>
    </w:p>
    <w:p w:rsidR="00181149" w:rsidRDefault="0064466C">
      <w:pPr>
        <w:pStyle w:val="Body"/>
        <w:spacing w:after="120"/>
        <w:jc w:val="both"/>
        <w:rPr>
          <w:rFonts w:ascii="Arial" w:hAnsi="Arial" w:cs="Arial"/>
          <w:noProof/>
        </w:rPr>
      </w:pPr>
      <w:r>
        <w:rPr>
          <w:rFonts w:ascii="Arial" w:hAnsi="Arial" w:cs="Arial"/>
          <w:noProof/>
        </w:rPr>
        <w:t>As regards the types of decisions, the authorities in charge of the screening may approve the investment, oppose it or approve it under certain conditions. Normally, the</w:t>
      </w:r>
      <w:r>
        <w:rPr>
          <w:rFonts w:ascii="Arial" w:hAnsi="Arial" w:cs="Arial"/>
          <w:noProof/>
        </w:rPr>
        <w:t xml:space="preserve"> investors have the right to legal redress against the decision.</w:t>
      </w:r>
    </w:p>
    <w:p w:rsidR="00181149" w:rsidRDefault="0064466C">
      <w:pPr>
        <w:tabs>
          <w:tab w:val="left" w:pos="1170"/>
        </w:tabs>
        <w:spacing w:after="120"/>
        <w:jc w:val="both"/>
        <w:rPr>
          <w:rFonts w:ascii="Arial" w:hAnsi="Arial" w:cs="Arial"/>
          <w:b/>
          <w:noProof/>
        </w:rPr>
      </w:pPr>
      <w:r>
        <w:rPr>
          <w:rFonts w:ascii="Arial" w:hAnsi="Arial" w:cs="Arial"/>
          <w:b/>
          <w:noProof/>
        </w:rPr>
        <w:t>EU level</w:t>
      </w:r>
    </w:p>
    <w:p w:rsidR="00181149" w:rsidRDefault="0064466C">
      <w:pPr>
        <w:tabs>
          <w:tab w:val="left" w:pos="1170"/>
        </w:tabs>
        <w:spacing w:after="120"/>
        <w:jc w:val="both"/>
        <w:rPr>
          <w:rFonts w:ascii="Arial" w:hAnsi="Arial" w:cs="Arial"/>
          <w:noProof/>
          <w:sz w:val="24"/>
          <w:szCs w:val="24"/>
        </w:rPr>
      </w:pPr>
      <w:r>
        <w:rPr>
          <w:rFonts w:ascii="Arial" w:hAnsi="Arial" w:cs="Arial"/>
          <w:noProof/>
        </w:rPr>
        <w:t>There is no EU-wide FDI screening mechanism. T</w:t>
      </w:r>
      <w:r>
        <w:rPr>
          <w:rFonts w:ascii="Arial" w:hAnsi="Arial" w:cs="Arial"/>
          <w:noProof/>
          <w:bdr w:val="none" w:sz="0" w:space="0" w:color="auto" w:frame="1"/>
        </w:rPr>
        <w:t>he EU merger control regime may in certain situations allow a review of FDI, in cases where they take the form of concentrations falling</w:t>
      </w:r>
      <w:r>
        <w:rPr>
          <w:rFonts w:ascii="Arial" w:hAnsi="Arial" w:cs="Arial"/>
          <w:noProof/>
          <w:bdr w:val="none" w:sz="0" w:space="0" w:color="auto" w:frame="1"/>
        </w:rPr>
        <w:t xml:space="preserve"> within the scope of the EU Merger Regulation, but exclusively based on the effect on competition in the EU market. </w:t>
      </w:r>
    </w:p>
    <w:p w:rsidR="00181149" w:rsidRDefault="00181149">
      <w:pPr>
        <w:spacing w:after="120"/>
        <w:rPr>
          <w:rFonts w:ascii="Arial" w:hAnsi="Arial" w:cs="Arial"/>
          <w:noProof/>
          <w:sz w:val="24"/>
          <w:szCs w:val="24"/>
        </w:rPr>
      </w:pPr>
    </w:p>
    <w:p w:rsidR="00181149" w:rsidRDefault="0064466C">
      <w:pPr>
        <w:spacing w:after="120"/>
        <w:rPr>
          <w:rFonts w:ascii="Arial" w:hAnsi="Arial" w:cs="Arial"/>
          <w:b/>
          <w:noProof/>
          <w:sz w:val="24"/>
          <w:szCs w:val="24"/>
        </w:rPr>
      </w:pPr>
      <w:r>
        <w:rPr>
          <w:rFonts w:ascii="Arial" w:hAnsi="Arial" w:cs="Arial"/>
          <w:b/>
          <w:noProof/>
          <w:sz w:val="24"/>
          <w:szCs w:val="24"/>
        </w:rPr>
        <w:t>4. The case for an EU framework</w:t>
      </w:r>
    </w:p>
    <w:p w:rsidR="00181149" w:rsidRDefault="0064466C">
      <w:pPr>
        <w:spacing w:after="120"/>
        <w:jc w:val="both"/>
        <w:rPr>
          <w:rFonts w:ascii="Arial" w:hAnsi="Arial" w:cs="Arial"/>
          <w:b/>
          <w:noProof/>
        </w:rPr>
      </w:pPr>
      <w:r>
        <w:rPr>
          <w:rFonts w:ascii="Arial" w:hAnsi="Arial" w:cs="Arial"/>
          <w:b/>
          <w:noProof/>
        </w:rPr>
        <w:t>a) Status quo</w:t>
      </w:r>
    </w:p>
    <w:p w:rsidR="00181149" w:rsidRDefault="0064466C">
      <w:pPr>
        <w:spacing w:after="120"/>
        <w:jc w:val="both"/>
        <w:rPr>
          <w:rFonts w:ascii="Arial" w:hAnsi="Arial" w:cs="Arial"/>
          <w:noProof/>
        </w:rPr>
      </w:pPr>
      <w:r>
        <w:rPr>
          <w:rFonts w:ascii="Arial" w:hAnsi="Arial" w:cs="Arial"/>
          <w:noProof/>
        </w:rPr>
        <w:t xml:space="preserve">The absence of a comprehensive legal framework at EU level to screen FDI into the EU makes </w:t>
      </w:r>
      <w:r>
        <w:rPr>
          <w:rFonts w:ascii="Arial" w:hAnsi="Arial" w:cs="Arial"/>
          <w:noProof/>
        </w:rPr>
        <w:t>it difficult to monitor in detail FDI flows in the EU as well as FDI screening decisions taken by Member States that have a screening mechanism, and does not allow cooperation to take place at EU level on FDI that may affect the interests of several Member</w:t>
      </w:r>
      <w:r>
        <w:rPr>
          <w:rFonts w:ascii="Arial" w:hAnsi="Arial" w:cs="Arial"/>
          <w:noProof/>
        </w:rPr>
        <w:t xml:space="preserve"> States or of the Union as a whole. This situation also creates heightened uncertainty for foreign investors that face different FDI screening regimes from different Member States. The status quo is therefore not an ideal option.</w:t>
      </w:r>
    </w:p>
    <w:p w:rsidR="00181149" w:rsidRDefault="0064466C">
      <w:pPr>
        <w:spacing w:after="120"/>
        <w:jc w:val="both"/>
        <w:rPr>
          <w:rFonts w:ascii="Arial" w:hAnsi="Arial" w:cs="Arial"/>
          <w:b/>
          <w:noProof/>
          <w:sz w:val="24"/>
          <w:szCs w:val="24"/>
        </w:rPr>
      </w:pPr>
      <w:r>
        <w:rPr>
          <w:rFonts w:ascii="Arial" w:hAnsi="Arial" w:cs="Arial"/>
          <w:b/>
          <w:noProof/>
        </w:rPr>
        <w:t>b) More transparency</w:t>
      </w:r>
    </w:p>
    <w:p w:rsidR="00181149" w:rsidRDefault="0064466C">
      <w:pPr>
        <w:spacing w:after="120"/>
        <w:jc w:val="both"/>
        <w:rPr>
          <w:rFonts w:ascii="Arial" w:hAnsi="Arial" w:cs="Arial"/>
          <w:noProof/>
        </w:rPr>
      </w:pPr>
      <w:r>
        <w:rPr>
          <w:rFonts w:ascii="Arial" w:hAnsi="Arial" w:cs="Arial"/>
          <w:noProof/>
        </w:rPr>
        <w:t>More</w:t>
      </w:r>
      <w:r>
        <w:rPr>
          <w:rFonts w:ascii="Arial" w:hAnsi="Arial" w:cs="Arial"/>
          <w:b/>
          <w:noProof/>
        </w:rPr>
        <w:t xml:space="preserve"> </w:t>
      </w:r>
      <w:r>
        <w:rPr>
          <w:rFonts w:ascii="Arial" w:hAnsi="Arial" w:cs="Arial"/>
          <w:noProof/>
        </w:rPr>
        <w:t>transparency on foreign investments in the EU is a pre-requisite for sound decision-making as well as enhanced exchange of information at EU level. This is why the Commission has decided to immediately:</w:t>
      </w:r>
    </w:p>
    <w:p w:rsidR="00181149" w:rsidRDefault="0064466C">
      <w:pPr>
        <w:pStyle w:val="ListParagraph"/>
        <w:numPr>
          <w:ilvl w:val="0"/>
          <w:numId w:val="1"/>
        </w:numPr>
        <w:spacing w:after="120"/>
        <w:ind w:left="777" w:hanging="357"/>
        <w:contextualSpacing w:val="0"/>
        <w:jc w:val="both"/>
        <w:rPr>
          <w:rFonts w:ascii="Arial" w:hAnsi="Arial" w:cs="Arial"/>
          <w:noProof/>
        </w:rPr>
      </w:pPr>
      <w:r>
        <w:rPr>
          <w:rFonts w:ascii="Arial" w:hAnsi="Arial" w:cs="Arial"/>
          <w:noProof/>
          <w:u w:val="single"/>
        </w:rPr>
        <w:t>carry out further in-depth analysis of FDI flows</w:t>
      </w:r>
      <w:r>
        <w:rPr>
          <w:rFonts w:ascii="Arial" w:hAnsi="Arial" w:cs="Arial"/>
          <w:noProof/>
        </w:rPr>
        <w:t xml:space="preserve"> into</w:t>
      </w:r>
      <w:r>
        <w:rPr>
          <w:rFonts w:ascii="Arial" w:hAnsi="Arial" w:cs="Arial"/>
          <w:noProof/>
        </w:rPr>
        <w:t xml:space="preserve"> the EU, especially in strategic sectors (e.g. energy, space, transport) or assets (technologies and inputs linked to strategic sectors, critical infrastructures across sectors, sensitive data) that may raise security or public order concerns, in particula</w:t>
      </w:r>
      <w:r>
        <w:rPr>
          <w:rFonts w:ascii="Arial" w:hAnsi="Arial" w:cs="Arial"/>
          <w:noProof/>
        </w:rPr>
        <w:t>r when the investor is owned or controlled by a third country, and</w:t>
      </w:r>
    </w:p>
    <w:p w:rsidR="00181149" w:rsidRDefault="0064466C">
      <w:pPr>
        <w:pStyle w:val="ListParagraph"/>
        <w:numPr>
          <w:ilvl w:val="0"/>
          <w:numId w:val="1"/>
        </w:numPr>
        <w:spacing w:after="120"/>
        <w:ind w:left="777" w:hanging="357"/>
        <w:contextualSpacing w:val="0"/>
        <w:jc w:val="both"/>
        <w:rPr>
          <w:rFonts w:ascii="Arial" w:hAnsi="Arial" w:cs="Arial"/>
          <w:noProof/>
        </w:rPr>
      </w:pPr>
      <w:r>
        <w:rPr>
          <w:rFonts w:ascii="Arial" w:hAnsi="Arial" w:cs="Arial"/>
          <w:noProof/>
          <w:u w:val="single"/>
        </w:rPr>
        <w:t>set up a coordination group</w:t>
      </w:r>
      <w:r>
        <w:rPr>
          <w:rFonts w:ascii="Arial" w:hAnsi="Arial" w:cs="Arial"/>
          <w:noProof/>
        </w:rPr>
        <w:t xml:space="preserve"> chaired by the Commission, and composed of representatives of Member States, to exchange information on FDI flows and FDI screenings and promote policy convergence on FDI screening policies.</w:t>
      </w:r>
    </w:p>
    <w:p w:rsidR="00181149" w:rsidRDefault="0064466C">
      <w:pPr>
        <w:spacing w:after="120"/>
        <w:jc w:val="both"/>
        <w:rPr>
          <w:rFonts w:ascii="Arial" w:hAnsi="Arial" w:cs="Arial"/>
          <w:b/>
          <w:noProof/>
          <w:sz w:val="24"/>
          <w:szCs w:val="24"/>
        </w:rPr>
      </w:pPr>
      <w:r>
        <w:rPr>
          <w:rFonts w:ascii="Arial" w:hAnsi="Arial" w:cs="Arial"/>
          <w:b/>
          <w:noProof/>
        </w:rPr>
        <w:t>c) Legal framework</w:t>
      </w:r>
    </w:p>
    <w:p w:rsidR="00181149" w:rsidRDefault="0064466C">
      <w:pPr>
        <w:spacing w:after="120"/>
        <w:jc w:val="both"/>
        <w:rPr>
          <w:rFonts w:ascii="Arial" w:hAnsi="Arial" w:cs="Arial"/>
          <w:noProof/>
        </w:rPr>
      </w:pPr>
      <w:r>
        <w:rPr>
          <w:rFonts w:ascii="Arial" w:hAnsi="Arial" w:cs="Arial"/>
          <w:noProof/>
        </w:rPr>
        <w:t>This being said, in order to ensure a more ef</w:t>
      </w:r>
      <w:r>
        <w:rPr>
          <w:rFonts w:ascii="Arial" w:hAnsi="Arial" w:cs="Arial"/>
          <w:noProof/>
        </w:rPr>
        <w:t>fective coordination at EU level on FDI screenings and more legal certainty for Member States and for investors, a specific legal framework at EU level is necessary.</w:t>
      </w:r>
    </w:p>
    <w:p w:rsidR="00181149" w:rsidRDefault="0064466C">
      <w:pPr>
        <w:spacing w:after="120"/>
        <w:jc w:val="both"/>
        <w:rPr>
          <w:rFonts w:ascii="Arial" w:hAnsi="Arial" w:cs="Arial"/>
          <w:noProof/>
        </w:rPr>
      </w:pPr>
      <w:r>
        <w:rPr>
          <w:rFonts w:ascii="Arial" w:hAnsi="Arial" w:cs="Arial"/>
          <w:noProof/>
        </w:rPr>
        <w:t xml:space="preserve">One option could have been to propose an </w:t>
      </w:r>
      <w:r>
        <w:rPr>
          <w:rFonts w:ascii="Arial" w:hAnsi="Arial" w:cs="Arial"/>
          <w:noProof/>
          <w:u w:val="single"/>
        </w:rPr>
        <w:t>FDI screening mechanism entirely operated at EU</w:t>
      </w:r>
      <w:r>
        <w:rPr>
          <w:rFonts w:ascii="Arial" w:hAnsi="Arial" w:cs="Arial"/>
          <w:noProof/>
        </w:rPr>
        <w:t xml:space="preserve"> l</w:t>
      </w:r>
      <w:r>
        <w:rPr>
          <w:rFonts w:ascii="Arial" w:hAnsi="Arial" w:cs="Arial"/>
          <w:noProof/>
        </w:rPr>
        <w:t>evel. However, such system could be very difficult to operate in practice due to possible differences of views amongst Member States and also due to the fact that national security remains the sole responsibility of Member States. Such mechanism could ther</w:t>
      </w:r>
      <w:r>
        <w:rPr>
          <w:rFonts w:ascii="Arial" w:hAnsi="Arial" w:cs="Arial"/>
          <w:noProof/>
        </w:rPr>
        <w:t>efore generate a disproportionate burden for foreign investors subject to screening, additional administrative burden, long deadlines for taking decisions and uncertainty.</w:t>
      </w:r>
    </w:p>
    <w:p w:rsidR="00181149" w:rsidRDefault="0064466C">
      <w:pPr>
        <w:spacing w:after="120"/>
        <w:jc w:val="both"/>
        <w:rPr>
          <w:rFonts w:ascii="Arial" w:hAnsi="Arial" w:cs="Arial"/>
          <w:noProof/>
        </w:rPr>
      </w:pPr>
      <w:r>
        <w:rPr>
          <w:rFonts w:ascii="Arial" w:hAnsi="Arial" w:cs="Arial"/>
          <w:noProof/>
        </w:rPr>
        <w:t xml:space="preserve">The option of a </w:t>
      </w:r>
      <w:r>
        <w:rPr>
          <w:rFonts w:ascii="Arial" w:hAnsi="Arial" w:cs="Arial"/>
          <w:noProof/>
          <w:u w:val="single"/>
        </w:rPr>
        <w:t>framework for the screening of FDI at EU level</w:t>
      </w:r>
      <w:r>
        <w:rPr>
          <w:rFonts w:ascii="Arial" w:hAnsi="Arial" w:cs="Arial"/>
          <w:noProof/>
        </w:rPr>
        <w:t xml:space="preserve"> enabling Member State</w:t>
      </w:r>
      <w:r>
        <w:rPr>
          <w:rFonts w:ascii="Arial" w:hAnsi="Arial" w:cs="Arial"/>
          <w:noProof/>
        </w:rPr>
        <w:t>s to screen FDI based on Article 207 TFEU, setting common criteria and standards to do so, and providing for cooperation amongst Member States and with the Commission on FDI that affects the interest of several Member States or the Union is preferable.</w:t>
      </w:r>
    </w:p>
    <w:p w:rsidR="00181149" w:rsidRDefault="0064466C">
      <w:pPr>
        <w:spacing w:after="120"/>
        <w:jc w:val="both"/>
        <w:rPr>
          <w:rFonts w:ascii="Arial" w:hAnsi="Arial" w:cs="Arial"/>
          <w:noProof/>
        </w:rPr>
      </w:pPr>
      <w:r>
        <w:rPr>
          <w:rFonts w:ascii="Arial" w:hAnsi="Arial" w:cs="Arial"/>
          <w:noProof/>
        </w:rPr>
        <w:t xml:space="preserve">It </w:t>
      </w:r>
      <w:r>
        <w:rPr>
          <w:rFonts w:ascii="Arial" w:hAnsi="Arial" w:cs="Arial"/>
          <w:noProof/>
        </w:rPr>
        <w:t>gives enough flexibility to Member States on whether to maintain or not FDI screening mechanisms, but also would ensure a minimum degree of harmonisation and cooperation at EU level, whilst enhancing the certainty and limiting the administrative burden for</w:t>
      </w:r>
      <w:r>
        <w:rPr>
          <w:rFonts w:ascii="Arial" w:hAnsi="Arial" w:cs="Arial"/>
          <w:noProof/>
        </w:rPr>
        <w:t xml:space="preserve"> foreign investors.</w:t>
      </w:r>
    </w:p>
    <w:p w:rsidR="00181149" w:rsidRDefault="0064466C">
      <w:pPr>
        <w:spacing w:after="120"/>
        <w:jc w:val="both"/>
        <w:rPr>
          <w:rFonts w:ascii="Arial" w:hAnsi="Arial" w:cs="Arial"/>
          <w:noProof/>
        </w:rPr>
      </w:pPr>
      <w:r>
        <w:rPr>
          <w:rFonts w:ascii="Arial" w:hAnsi="Arial" w:cs="Arial"/>
          <w:noProof/>
        </w:rPr>
        <w:t xml:space="preserve">This is why the proposal for such lighter Regulation establishing a framework for the screening of foreign direct investments at EU level is being made. The objective is to have an EU system that is politically acceptable to all Member </w:t>
      </w:r>
      <w:r>
        <w:rPr>
          <w:rFonts w:ascii="Arial" w:hAnsi="Arial" w:cs="Arial"/>
          <w:noProof/>
        </w:rPr>
        <w:t>States, adequately covers the concerns linked to certain FDI, stays within the limits of EU and international law, does not unduly deter foreign investments, and is efficient and credible.</w:t>
      </w:r>
    </w:p>
    <w:p w:rsidR="00181149" w:rsidRDefault="0064466C">
      <w:pPr>
        <w:spacing w:after="200" w:line="276" w:lineRule="auto"/>
        <w:rPr>
          <w:rFonts w:ascii="Arial" w:hAnsi="Arial" w:cs="Arial"/>
          <w:noProof/>
        </w:rPr>
      </w:pPr>
      <w:r>
        <w:rPr>
          <w:rFonts w:ascii="Arial" w:hAnsi="Arial" w:cs="Arial"/>
          <w:noProof/>
        </w:rPr>
        <w:br w:type="page"/>
      </w:r>
    </w:p>
    <w:p w:rsidR="00181149" w:rsidRDefault="0064466C">
      <w:pPr>
        <w:spacing w:after="120"/>
        <w:jc w:val="center"/>
        <w:rPr>
          <w:rFonts w:ascii="Arial" w:hAnsi="Arial" w:cs="Arial"/>
          <w:b/>
          <w:noProof/>
        </w:rPr>
      </w:pPr>
      <w:r>
        <w:rPr>
          <w:rFonts w:ascii="Arial" w:hAnsi="Arial" w:cs="Arial"/>
          <w:b/>
          <w:noProof/>
        </w:rPr>
        <w:t>ANNEX</w:t>
      </w:r>
      <w:r>
        <w:rPr>
          <w:rStyle w:val="FootnoteReference"/>
          <w:rFonts w:ascii="Arial" w:hAnsi="Arial" w:cs="Arial"/>
          <w:b/>
          <w:noProof/>
        </w:rPr>
        <w:footnoteReference w:id="10"/>
      </w:r>
    </w:p>
    <w:p w:rsidR="00181149" w:rsidRDefault="0064466C">
      <w:pPr>
        <w:spacing w:after="120"/>
        <w:jc w:val="center"/>
        <w:rPr>
          <w:rFonts w:ascii="Arial" w:hAnsi="Arial" w:cs="Arial"/>
          <w:b/>
          <w:noProof/>
        </w:rPr>
      </w:pPr>
      <w:r>
        <w:rPr>
          <w:rFonts w:ascii="Arial" w:hAnsi="Arial" w:cs="Arial"/>
          <w:b/>
          <w:noProof/>
        </w:rPr>
        <w:t>DATA ON FDI IN THE EU</w:t>
      </w:r>
    </w:p>
    <w:p w:rsidR="00181149" w:rsidRDefault="00181149">
      <w:pPr>
        <w:spacing w:after="120"/>
        <w:jc w:val="both"/>
        <w:rPr>
          <w:rFonts w:ascii="Arial" w:hAnsi="Arial" w:cs="Arial"/>
          <w:noProof/>
        </w:rPr>
      </w:pPr>
    </w:p>
    <w:p w:rsidR="00181149" w:rsidRDefault="0064466C">
      <w:pPr>
        <w:spacing w:after="120"/>
        <w:jc w:val="both"/>
        <w:rPr>
          <w:rFonts w:ascii="Arial" w:hAnsi="Arial" w:cs="Arial"/>
          <w:b/>
          <w:noProof/>
        </w:rPr>
      </w:pPr>
      <w:r>
        <w:rPr>
          <w:rFonts w:ascii="Arial" w:hAnsi="Arial" w:cs="Arial"/>
          <w:b/>
          <w:noProof/>
        </w:rPr>
        <w:t>EU</w:t>
      </w:r>
    </w:p>
    <w:p w:rsidR="00181149" w:rsidRDefault="0064466C">
      <w:pPr>
        <w:spacing w:after="120"/>
        <w:jc w:val="both"/>
        <w:rPr>
          <w:rFonts w:ascii="Arial" w:hAnsi="Arial" w:cs="Arial"/>
          <w:noProof/>
          <w:u w:val="single"/>
        </w:rPr>
      </w:pPr>
      <w:r>
        <w:rPr>
          <w:rFonts w:ascii="Arial" w:hAnsi="Arial" w:cs="Arial"/>
          <w:noProof/>
          <w:u w:val="single"/>
        </w:rPr>
        <w:t>FDI Stocks</w:t>
      </w: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lang w:val="en"/>
        </w:rPr>
        <w:t>The EU is a net capit</w:t>
      </w:r>
      <w:r>
        <w:rPr>
          <w:rFonts w:ascii="open_sansregular" w:hAnsi="open_sansregular" w:cs="Helvetica"/>
          <w:i/>
          <w:noProof/>
          <w:color w:val="333333"/>
          <w:sz w:val="21"/>
          <w:szCs w:val="21"/>
          <w:lang w:val="en"/>
        </w:rPr>
        <w:t xml:space="preserve">al exporter worldwide in terms of foreign direct investment (FDI) stocks. </w:t>
      </w:r>
    </w:p>
    <w:p w:rsidR="00181149" w:rsidRDefault="00181149">
      <w:pPr>
        <w:pStyle w:val="ListParagraph"/>
        <w:spacing w:after="120"/>
        <w:jc w:val="both"/>
        <w:rPr>
          <w:rFonts w:ascii="Arial" w:hAnsi="Arial" w:cs="Arial"/>
          <w:noProof/>
        </w:rPr>
      </w:pP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lang w:val="en"/>
        </w:rPr>
        <w:t>Stakes of EU companies in non-EU countries (FDI outbound stocks) have increased in the last three years (since 2015) to a total of EUR 6.9 trillion. This compares to a total of EUR</w:t>
      </w:r>
      <w:r>
        <w:rPr>
          <w:rFonts w:ascii="open_sansregular" w:hAnsi="open_sansregular" w:cs="Helvetica"/>
          <w:i/>
          <w:noProof/>
          <w:color w:val="333333"/>
          <w:sz w:val="21"/>
          <w:szCs w:val="21"/>
          <w:lang w:val="en"/>
        </w:rPr>
        <w:t xml:space="preserve"> 5.7 trillion of non-EU countries stakes in the EU (FDI inbound stocks) also increasing over the last three years.</w:t>
      </w:r>
    </w:p>
    <w:p w:rsidR="00181149" w:rsidRDefault="0064466C">
      <w:pPr>
        <w:spacing w:after="120"/>
        <w:jc w:val="both"/>
        <w:rPr>
          <w:rFonts w:ascii="Arial" w:hAnsi="Arial" w:cs="Arial"/>
          <w:noProof/>
          <w:u w:val="single"/>
        </w:rPr>
      </w:pPr>
      <w:r>
        <w:rPr>
          <w:rFonts w:ascii="Arial" w:hAnsi="Arial" w:cs="Arial"/>
          <w:noProof/>
          <w:u w:val="single"/>
        </w:rPr>
        <w:t>FDI Flows</w:t>
      </w: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lang w:val="en"/>
        </w:rPr>
        <w:t xml:space="preserve">FDI flows to the EU increased sharply in 2015 to EUR 467bn, recovering to the levels reached before the beginning of the financial </w:t>
      </w:r>
      <w:r>
        <w:rPr>
          <w:rFonts w:ascii="open_sansregular" w:hAnsi="open_sansregular" w:cs="Helvetica"/>
          <w:i/>
          <w:noProof/>
          <w:color w:val="333333"/>
          <w:sz w:val="21"/>
          <w:szCs w:val="21"/>
          <w:lang w:val="en"/>
        </w:rPr>
        <w:t>crisis.</w:t>
      </w:r>
    </w:p>
    <w:p w:rsidR="00181149" w:rsidRDefault="00181149">
      <w:pPr>
        <w:pStyle w:val="ListParagraph"/>
        <w:spacing w:after="120"/>
        <w:jc w:val="both"/>
        <w:rPr>
          <w:rFonts w:ascii="Arial" w:hAnsi="Arial" w:cs="Arial"/>
          <w:noProof/>
        </w:rPr>
      </w:pP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rPr>
        <w:t xml:space="preserve">According to the </w:t>
      </w:r>
      <w:r>
        <w:rPr>
          <w:rFonts w:ascii="open_sansregular" w:hAnsi="open_sansregular" w:cs="Helvetica"/>
          <w:i/>
          <w:noProof/>
          <w:color w:val="333333"/>
          <w:sz w:val="21"/>
          <w:szCs w:val="21"/>
          <w:lang w:val="en"/>
        </w:rPr>
        <w:t>OECD, FDI flows to the EU increased in 2016 by 22% against a global decrease of 7% (from USD 478 billion to USD 582 billion), reaching their highest level since the beginning of the financial crisis.</w:t>
      </w:r>
    </w:p>
    <w:p w:rsidR="00181149" w:rsidRDefault="00181149">
      <w:pPr>
        <w:pStyle w:val="ListParagraph"/>
        <w:spacing w:after="120"/>
        <w:jc w:val="both"/>
        <w:rPr>
          <w:rFonts w:ascii="Arial" w:hAnsi="Arial" w:cs="Arial"/>
          <w:noProof/>
        </w:rPr>
      </w:pPr>
    </w:p>
    <w:tbl>
      <w:tblPr>
        <w:tblStyle w:val="TableGrid"/>
        <w:tblW w:w="0" w:type="auto"/>
        <w:tblLook w:val="04A0" w:firstRow="1" w:lastRow="0" w:firstColumn="1" w:lastColumn="0" w:noHBand="0" w:noVBand="1"/>
      </w:tblPr>
      <w:tblGrid>
        <w:gridCol w:w="9288"/>
      </w:tblGrid>
      <w:tr w:rsidR="00181149">
        <w:tc>
          <w:tcPr>
            <w:tcW w:w="9288" w:type="dxa"/>
          </w:tcPr>
          <w:p w:rsidR="00181149" w:rsidRDefault="0064466C">
            <w:pPr>
              <w:spacing w:after="120"/>
              <w:jc w:val="center"/>
              <w:rPr>
                <w:rFonts w:ascii="Times New Roman" w:hAnsi="Times New Roman"/>
                <w:noProof/>
              </w:rPr>
            </w:pPr>
            <w:r>
              <w:rPr>
                <w:rFonts w:ascii="Times New Roman" w:hAnsi="Times New Roman"/>
                <w:b/>
                <w:noProof/>
              </w:rPr>
              <w:t xml:space="preserve">Figure 1, FDI net inflows in </w:t>
            </w:r>
            <w:r>
              <w:rPr>
                <w:rFonts w:ascii="Times New Roman" w:hAnsi="Times New Roman"/>
                <w:b/>
                <w:noProof/>
              </w:rPr>
              <w:t>EU28, 2000-2015</w:t>
            </w:r>
          </w:p>
        </w:tc>
      </w:tr>
      <w:tr w:rsidR="00181149">
        <w:tc>
          <w:tcPr>
            <w:tcW w:w="9288" w:type="dxa"/>
          </w:tcPr>
          <w:p w:rsidR="00181149" w:rsidRDefault="0064466C">
            <w:pPr>
              <w:spacing w:after="120"/>
              <w:jc w:val="both"/>
              <w:rPr>
                <w:rFonts w:ascii="Arial" w:hAnsi="Arial" w:cs="Arial"/>
                <w:noProof/>
              </w:rPr>
            </w:pPr>
            <w:r>
              <w:rPr>
                <w:rFonts w:ascii="Arial" w:hAnsi="Arial" w:cs="Arial"/>
                <w:noProof/>
              </w:rPr>
              <w:drawing>
                <wp:inline distT="0" distB="0" distL="0" distR="0" wp14:anchorId="027D7816" wp14:editId="22748B68">
                  <wp:extent cx="5669280" cy="2806810"/>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8869" cy="2806607"/>
                          </a:xfrm>
                          <a:prstGeom prst="rect">
                            <a:avLst/>
                          </a:prstGeom>
                          <a:noFill/>
                        </pic:spPr>
                      </pic:pic>
                    </a:graphicData>
                  </a:graphic>
                </wp:inline>
              </w:drawing>
            </w:r>
          </w:p>
        </w:tc>
      </w:tr>
      <w:tr w:rsidR="00181149">
        <w:tc>
          <w:tcPr>
            <w:tcW w:w="9288" w:type="dxa"/>
          </w:tcPr>
          <w:p w:rsidR="00181149" w:rsidRDefault="0064466C">
            <w:pPr>
              <w:spacing w:after="120"/>
              <w:jc w:val="both"/>
              <w:rPr>
                <w:rFonts w:ascii="Arial" w:hAnsi="Arial" w:cs="Arial"/>
                <w:noProof/>
              </w:rPr>
            </w:pPr>
            <w:r>
              <w:rPr>
                <w:rFonts w:ascii="Times New Roman" w:hAnsi="Times New Roman"/>
                <w:i/>
                <w:noProof/>
                <w:sz w:val="18"/>
                <w:szCs w:val="18"/>
              </w:rPr>
              <w:t>Source</w:t>
            </w:r>
            <w:r>
              <w:rPr>
                <w:rFonts w:ascii="Times New Roman" w:hAnsi="Times New Roman"/>
                <w:noProof/>
                <w:sz w:val="18"/>
                <w:szCs w:val="18"/>
              </w:rPr>
              <w:t xml:space="preserve">: Eurostat, Notes: Extra-EU refers to investments into the EU from third countries. *Selected non-EU countries: the BRICS countries, the US and Japan; </w:t>
            </w:r>
          </w:p>
        </w:tc>
      </w:tr>
    </w:tbl>
    <w:p w:rsidR="00181149" w:rsidRDefault="00181149">
      <w:pPr>
        <w:spacing w:after="120"/>
        <w:jc w:val="both"/>
        <w:rPr>
          <w:rFonts w:ascii="Arial" w:hAnsi="Arial" w:cs="Arial"/>
          <w:noProof/>
        </w:rPr>
      </w:pPr>
    </w:p>
    <w:p w:rsidR="00181149" w:rsidRDefault="0064466C">
      <w:pPr>
        <w:spacing w:after="120"/>
        <w:jc w:val="both"/>
        <w:rPr>
          <w:rFonts w:ascii="Arial" w:hAnsi="Arial" w:cs="Arial"/>
          <w:noProof/>
        </w:rPr>
      </w:pPr>
      <w:r>
        <w:rPr>
          <w:rFonts w:ascii="Arial" w:hAnsi="Arial" w:cs="Arial"/>
          <w:noProof/>
          <w:u w:val="single"/>
        </w:rPr>
        <w:t xml:space="preserve">Main components of the recovery of FDI Flows </w:t>
      </w: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lang w:val="en"/>
        </w:rPr>
        <w:t>The increase in non-EU FDI was</w:t>
      </w:r>
      <w:r>
        <w:rPr>
          <w:rFonts w:ascii="open_sansregular" w:hAnsi="open_sansregular" w:cs="Helvetica"/>
          <w:i/>
          <w:noProof/>
          <w:color w:val="333333"/>
          <w:sz w:val="21"/>
          <w:szCs w:val="21"/>
          <w:lang w:val="en"/>
        </w:rPr>
        <w:t xml:space="preserve"> largely due to the rapid pace of expansion of inward FDI by certain large non-EU economies (see Figure 1).</w:t>
      </w:r>
    </w:p>
    <w:p w:rsidR="00181149" w:rsidRDefault="00181149">
      <w:pPr>
        <w:pStyle w:val="ListParagraph"/>
        <w:spacing w:after="120"/>
        <w:jc w:val="both"/>
        <w:rPr>
          <w:rFonts w:ascii="Arial" w:hAnsi="Arial" w:cs="Arial"/>
          <w:noProof/>
        </w:rPr>
      </w:pPr>
    </w:p>
    <w:p w:rsidR="00181149" w:rsidRDefault="0064466C">
      <w:pPr>
        <w:pStyle w:val="ListParagraph"/>
        <w:numPr>
          <w:ilvl w:val="0"/>
          <w:numId w:val="2"/>
        </w:numPr>
        <w:spacing w:after="120"/>
        <w:jc w:val="both"/>
        <w:rPr>
          <w:rFonts w:ascii="open_sansregular" w:hAnsi="open_sansregular" w:cs="Helvetica"/>
          <w:i/>
          <w:noProof/>
          <w:color w:val="333333"/>
          <w:sz w:val="21"/>
          <w:szCs w:val="21"/>
          <w:lang w:val="en"/>
        </w:rPr>
      </w:pPr>
      <w:r>
        <w:rPr>
          <w:rFonts w:ascii="open_sansregular" w:hAnsi="open_sansregular" w:cs="Helvetica"/>
          <w:i/>
          <w:noProof/>
          <w:color w:val="333333"/>
          <w:sz w:val="21"/>
          <w:szCs w:val="21"/>
          <w:lang w:val="en"/>
        </w:rPr>
        <w:t>It was as well driven by a sustained increase in investment in the high technology sectors both with respect to M&amp;As and Greenfield investment.</w:t>
      </w:r>
    </w:p>
    <w:p w:rsidR="00181149" w:rsidRDefault="00181149">
      <w:pPr>
        <w:pStyle w:val="ListParagraph"/>
        <w:spacing w:after="120"/>
        <w:jc w:val="both"/>
        <w:rPr>
          <w:rFonts w:ascii="open_sansregular" w:hAnsi="open_sansregular" w:cs="Helvetica"/>
          <w:i/>
          <w:noProof/>
          <w:color w:val="333333"/>
          <w:sz w:val="21"/>
          <w:szCs w:val="21"/>
          <w:lang w:val="en"/>
        </w:rPr>
      </w:pPr>
    </w:p>
    <w:p w:rsidR="00181149" w:rsidRDefault="0064466C">
      <w:pPr>
        <w:pStyle w:val="ListParagraph"/>
        <w:numPr>
          <w:ilvl w:val="0"/>
          <w:numId w:val="2"/>
        </w:numPr>
        <w:spacing w:after="120"/>
        <w:jc w:val="both"/>
        <w:rPr>
          <w:rFonts w:ascii="open_sansregular" w:hAnsi="open_sansregular" w:cs="Helvetica"/>
          <w:i/>
          <w:noProof/>
          <w:color w:val="333333"/>
          <w:sz w:val="21"/>
          <w:szCs w:val="21"/>
          <w:lang w:val="en"/>
        </w:rPr>
      </w:pPr>
      <w:r>
        <w:rPr>
          <w:rFonts w:ascii="open_sansregular" w:hAnsi="open_sansregular" w:cs="Helvetica"/>
          <w:i/>
          <w:noProof/>
          <w:color w:val="333333"/>
          <w:sz w:val="21"/>
          <w:szCs w:val="21"/>
          <w:lang w:val="en"/>
        </w:rPr>
        <w:t>In</w:t>
      </w:r>
      <w:r>
        <w:rPr>
          <w:rFonts w:ascii="open_sansregular" w:hAnsi="open_sansregular" w:cs="Helvetica"/>
          <w:i/>
          <w:noProof/>
          <w:color w:val="333333"/>
          <w:sz w:val="21"/>
          <w:szCs w:val="21"/>
          <w:lang w:val="en"/>
        </w:rPr>
        <w:t xml:space="preserve"> contrast, inward non-EU FDI in traditional manufacturing sectors slowed down in recent years again with respect to both components of FDI, M&amp;As and Greenfield investment (see Figure 2).</w:t>
      </w:r>
    </w:p>
    <w:p w:rsidR="00181149" w:rsidRDefault="00181149">
      <w:pPr>
        <w:pStyle w:val="ListParagraph"/>
        <w:spacing w:after="120"/>
        <w:jc w:val="center"/>
        <w:rPr>
          <w:rFonts w:ascii="open_sansregular" w:hAnsi="open_sansregular" w:cs="Helvetica"/>
          <w:i/>
          <w:noProof/>
          <w:color w:val="333333"/>
          <w:sz w:val="21"/>
          <w:szCs w:val="21"/>
          <w:lang w:val="en"/>
        </w:rPr>
      </w:pPr>
    </w:p>
    <w:tbl>
      <w:tblPr>
        <w:tblStyle w:val="TableGrid"/>
        <w:tblW w:w="0" w:type="auto"/>
        <w:tblInd w:w="720" w:type="dxa"/>
        <w:tblLook w:val="04A0" w:firstRow="1" w:lastRow="0" w:firstColumn="1" w:lastColumn="0" w:noHBand="0" w:noVBand="1"/>
      </w:tblPr>
      <w:tblGrid>
        <w:gridCol w:w="4452"/>
        <w:gridCol w:w="4116"/>
      </w:tblGrid>
      <w:tr w:rsidR="00181149">
        <w:tc>
          <w:tcPr>
            <w:tcW w:w="8568" w:type="dxa"/>
            <w:gridSpan w:val="2"/>
          </w:tcPr>
          <w:p w:rsidR="00181149" w:rsidRDefault="0064466C">
            <w:pPr>
              <w:pStyle w:val="ListParagraph"/>
              <w:spacing w:after="120"/>
              <w:ind w:left="0"/>
              <w:jc w:val="center"/>
              <w:rPr>
                <w:rFonts w:ascii="open_sansregular" w:hAnsi="open_sansregular" w:cs="Helvetica"/>
                <w:i/>
                <w:noProof/>
                <w:color w:val="333333"/>
                <w:sz w:val="21"/>
                <w:szCs w:val="21"/>
                <w:lang w:val="en"/>
              </w:rPr>
            </w:pPr>
            <w:r>
              <w:rPr>
                <w:rFonts w:ascii="Times New Roman" w:hAnsi="Times New Roman"/>
                <w:b/>
                <w:noProof/>
              </w:rPr>
              <w:t>Figure 2, Non-EU FDI in high technology sectors and manufacturing</w:t>
            </w:r>
          </w:p>
        </w:tc>
      </w:tr>
      <w:tr w:rsidR="00181149">
        <w:tc>
          <w:tcPr>
            <w:tcW w:w="4356" w:type="dxa"/>
          </w:tcPr>
          <w:p w:rsidR="00181149" w:rsidRDefault="0064466C">
            <w:pPr>
              <w:pStyle w:val="ListParagraph"/>
              <w:spacing w:after="120"/>
              <w:ind w:left="0"/>
              <w:jc w:val="center"/>
              <w:rPr>
                <w:rFonts w:ascii="open_sansregular" w:hAnsi="open_sansregular" w:cs="Helvetica"/>
                <w:b/>
                <w:i/>
                <w:noProof/>
                <w:color w:val="333333"/>
                <w:sz w:val="21"/>
                <w:szCs w:val="21"/>
                <w:lang w:val="en"/>
              </w:rPr>
            </w:pPr>
            <w:r>
              <w:rPr>
                <w:rFonts w:ascii="open_sansregular" w:hAnsi="open_sansregular" w:cs="Helvetica"/>
                <w:b/>
                <w:i/>
                <w:noProof/>
                <w:color w:val="333333"/>
                <w:sz w:val="21"/>
                <w:szCs w:val="21"/>
                <w:lang w:val="en"/>
              </w:rPr>
              <w:t>A. M&amp;As</w:t>
            </w:r>
          </w:p>
        </w:tc>
        <w:tc>
          <w:tcPr>
            <w:tcW w:w="4212" w:type="dxa"/>
          </w:tcPr>
          <w:p w:rsidR="00181149" w:rsidRDefault="0064466C">
            <w:pPr>
              <w:pStyle w:val="ListParagraph"/>
              <w:spacing w:after="120"/>
              <w:ind w:left="0"/>
              <w:jc w:val="center"/>
              <w:rPr>
                <w:rFonts w:ascii="open_sansregular" w:hAnsi="open_sansregular" w:cs="Helvetica"/>
                <w:b/>
                <w:i/>
                <w:noProof/>
                <w:color w:val="333333"/>
                <w:sz w:val="21"/>
                <w:szCs w:val="21"/>
                <w:lang w:val="en"/>
              </w:rPr>
            </w:pPr>
            <w:r>
              <w:rPr>
                <w:rFonts w:ascii="open_sansregular" w:hAnsi="open_sansregular" w:cs="Helvetica"/>
                <w:b/>
                <w:i/>
                <w:noProof/>
                <w:color w:val="333333"/>
                <w:sz w:val="21"/>
                <w:szCs w:val="21"/>
                <w:lang w:val="en"/>
              </w:rPr>
              <w:t>B. Greenfield investment</w:t>
            </w:r>
          </w:p>
        </w:tc>
      </w:tr>
      <w:tr w:rsidR="00181149">
        <w:tc>
          <w:tcPr>
            <w:tcW w:w="4356" w:type="dxa"/>
          </w:tcPr>
          <w:p w:rsidR="00181149" w:rsidRDefault="0064466C">
            <w:pPr>
              <w:pStyle w:val="ListParagraph"/>
              <w:spacing w:after="120"/>
              <w:ind w:left="0"/>
              <w:jc w:val="both"/>
              <w:rPr>
                <w:rFonts w:ascii="open_sansregular" w:hAnsi="open_sansregular" w:cs="Helvetica"/>
                <w:i/>
                <w:noProof/>
                <w:color w:val="333333"/>
                <w:sz w:val="21"/>
                <w:szCs w:val="21"/>
                <w:lang w:val="en"/>
              </w:rPr>
            </w:pPr>
            <w:r>
              <w:rPr>
                <w:rFonts w:ascii="open_sansregular" w:hAnsi="open_sansregular" w:cs="Helvetica"/>
                <w:i/>
                <w:noProof/>
                <w:color w:val="333333"/>
                <w:sz w:val="21"/>
                <w:szCs w:val="21"/>
              </w:rPr>
              <w:drawing>
                <wp:inline distT="0" distB="0" distL="0" distR="0" wp14:anchorId="6C14DD16" wp14:editId="777290B2">
                  <wp:extent cx="2689860" cy="1813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89860" cy="1813560"/>
                          </a:xfrm>
                          <a:prstGeom prst="rect">
                            <a:avLst/>
                          </a:prstGeom>
                          <a:noFill/>
                        </pic:spPr>
                      </pic:pic>
                    </a:graphicData>
                  </a:graphic>
                </wp:inline>
              </w:drawing>
            </w:r>
          </w:p>
        </w:tc>
        <w:tc>
          <w:tcPr>
            <w:tcW w:w="4212" w:type="dxa"/>
          </w:tcPr>
          <w:p w:rsidR="00181149" w:rsidRDefault="0064466C">
            <w:pPr>
              <w:pStyle w:val="ListParagraph"/>
              <w:spacing w:after="120"/>
              <w:ind w:left="0"/>
              <w:jc w:val="both"/>
              <w:rPr>
                <w:rFonts w:ascii="open_sansregular" w:hAnsi="open_sansregular" w:cs="Helvetica"/>
                <w:i/>
                <w:noProof/>
                <w:color w:val="333333"/>
                <w:sz w:val="21"/>
                <w:szCs w:val="21"/>
                <w:lang w:val="en"/>
              </w:rPr>
            </w:pPr>
            <w:r>
              <w:rPr>
                <w:rFonts w:ascii="open_sansregular" w:hAnsi="open_sansregular" w:cs="Helvetica" w:hint="eastAsia"/>
                <w:i/>
                <w:noProof/>
                <w:color w:val="333333"/>
                <w:sz w:val="21"/>
                <w:szCs w:val="21"/>
              </w:rPr>
              <w:drawing>
                <wp:inline distT="0" distB="0" distL="0" distR="0" wp14:anchorId="0125F8AD" wp14:editId="28C1A9A4">
                  <wp:extent cx="2457450" cy="1805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56428" cy="1805189"/>
                          </a:xfrm>
                          <a:prstGeom prst="rect">
                            <a:avLst/>
                          </a:prstGeom>
                          <a:noFill/>
                        </pic:spPr>
                      </pic:pic>
                    </a:graphicData>
                  </a:graphic>
                </wp:inline>
              </w:drawing>
            </w:r>
          </w:p>
        </w:tc>
      </w:tr>
      <w:tr w:rsidR="00181149">
        <w:tc>
          <w:tcPr>
            <w:tcW w:w="8568" w:type="dxa"/>
            <w:gridSpan w:val="2"/>
          </w:tcPr>
          <w:p w:rsidR="00181149" w:rsidRDefault="0064466C">
            <w:pPr>
              <w:spacing w:after="120"/>
              <w:jc w:val="both"/>
              <w:rPr>
                <w:rFonts w:ascii="Times New Roman" w:hAnsi="Times New Roman"/>
                <w:noProof/>
                <w:sz w:val="18"/>
                <w:szCs w:val="18"/>
              </w:rPr>
            </w:pPr>
            <w:r>
              <w:rPr>
                <w:rFonts w:ascii="Times New Roman" w:hAnsi="Times New Roman"/>
                <w:i/>
                <w:noProof/>
                <w:sz w:val="18"/>
                <w:szCs w:val="18"/>
              </w:rPr>
              <w:t>Source</w:t>
            </w:r>
            <w:r>
              <w:rPr>
                <w:rFonts w:ascii="Times New Roman" w:hAnsi="Times New Roman"/>
                <w:noProof/>
                <w:sz w:val="18"/>
                <w:szCs w:val="18"/>
              </w:rPr>
              <w:t>: FDIMarkets and DEALOGIC M&amp;As ANALYTICS</w:t>
            </w:r>
          </w:p>
          <w:p w:rsidR="00181149" w:rsidRDefault="0064466C">
            <w:pPr>
              <w:pStyle w:val="ListParagraph"/>
              <w:spacing w:after="120"/>
              <w:ind w:left="0"/>
              <w:jc w:val="both"/>
              <w:rPr>
                <w:rFonts w:ascii="open_sansregular" w:hAnsi="open_sansregular" w:cs="Helvetica"/>
                <w:i/>
                <w:noProof/>
                <w:color w:val="333333"/>
                <w:sz w:val="21"/>
                <w:szCs w:val="21"/>
                <w:lang w:val="en"/>
              </w:rPr>
            </w:pPr>
            <w:r>
              <w:rPr>
                <w:rFonts w:ascii="Times New Roman" w:hAnsi="Times New Roman"/>
                <w:i/>
                <w:noProof/>
                <w:sz w:val="18"/>
                <w:szCs w:val="18"/>
              </w:rPr>
              <w:t>Note</w:t>
            </w:r>
            <w:r>
              <w:rPr>
                <w:rFonts w:ascii="Times New Roman" w:hAnsi="Times New Roman"/>
                <w:noProof/>
                <w:sz w:val="18"/>
                <w:szCs w:val="18"/>
              </w:rPr>
              <w:t xml:space="preserve">s: </w:t>
            </w:r>
            <w:r>
              <w:rPr>
                <w:rFonts w:ascii="Times New Roman" w:hAnsi="Times New Roman"/>
                <w:i/>
                <w:noProof/>
                <w:sz w:val="18"/>
                <w:szCs w:val="18"/>
              </w:rPr>
              <w:t>High technology</w:t>
            </w:r>
            <w:r>
              <w:rPr>
                <w:rFonts w:ascii="Times New Roman" w:hAnsi="Times New Roman"/>
                <w:noProof/>
                <w:sz w:val="18"/>
                <w:szCs w:val="18"/>
              </w:rPr>
              <w:t xml:space="preserve"> is defined here as aerospace, renewables, biotechnology, consumer electronics, electronic components, chemicals, engines/turbines, medical equipment, pharmaceuticals, semiconductors, software/IT services, space/defence; *indicates extrapolated figures.</w:t>
            </w:r>
          </w:p>
        </w:tc>
      </w:tr>
    </w:tbl>
    <w:p w:rsidR="00181149" w:rsidRDefault="00181149">
      <w:pPr>
        <w:pStyle w:val="ListParagraph"/>
        <w:spacing w:after="120"/>
        <w:jc w:val="both"/>
        <w:rPr>
          <w:rFonts w:ascii="open_sansregular" w:hAnsi="open_sansregular" w:cs="Helvetica"/>
          <w:i/>
          <w:noProof/>
          <w:color w:val="333333"/>
          <w:sz w:val="21"/>
          <w:szCs w:val="21"/>
          <w:lang w:val="en"/>
        </w:rPr>
      </w:pP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lang w:val="en"/>
        </w:rPr>
        <w:t>Non-EU inward FDI in high technology sectors increasingly took the form of M&amp;As, while Greenfield investment is considered to have a more direct positive impact on international production growth and jobs as it is entails the creation of new production fac</w:t>
      </w:r>
      <w:r>
        <w:rPr>
          <w:rFonts w:ascii="open_sansregular" w:hAnsi="open_sansregular" w:cs="Helvetica"/>
          <w:i/>
          <w:noProof/>
          <w:color w:val="333333"/>
          <w:sz w:val="21"/>
          <w:szCs w:val="21"/>
          <w:lang w:val="en"/>
        </w:rPr>
        <w:t>ilities/enterprises in the hosting economies.</w:t>
      </w:r>
    </w:p>
    <w:tbl>
      <w:tblPr>
        <w:tblStyle w:val="TableGrid"/>
        <w:tblW w:w="0" w:type="auto"/>
        <w:tblLook w:val="04A0" w:firstRow="1" w:lastRow="0" w:firstColumn="1" w:lastColumn="0" w:noHBand="0" w:noVBand="1"/>
      </w:tblPr>
      <w:tblGrid>
        <w:gridCol w:w="9288"/>
      </w:tblGrid>
      <w:tr w:rsidR="00181149">
        <w:tc>
          <w:tcPr>
            <w:tcW w:w="9288" w:type="dxa"/>
          </w:tcPr>
          <w:p w:rsidR="00181149" w:rsidRDefault="0064466C">
            <w:pPr>
              <w:spacing w:after="120"/>
              <w:jc w:val="center"/>
              <w:rPr>
                <w:rFonts w:ascii="Arial" w:hAnsi="Arial" w:cs="Arial"/>
                <w:noProof/>
              </w:rPr>
            </w:pPr>
            <w:r>
              <w:rPr>
                <w:rFonts w:ascii="Times New Roman" w:hAnsi="Times New Roman"/>
                <w:b/>
                <w:noProof/>
              </w:rPr>
              <w:t>Figure 3, High technology M&amp;As and Greenfield investment, 2012-2016</w:t>
            </w:r>
          </w:p>
        </w:tc>
      </w:tr>
      <w:tr w:rsidR="00181149">
        <w:tc>
          <w:tcPr>
            <w:tcW w:w="9288" w:type="dxa"/>
          </w:tcPr>
          <w:p w:rsidR="00181149" w:rsidRDefault="0064466C">
            <w:pPr>
              <w:spacing w:after="120"/>
              <w:jc w:val="both"/>
              <w:rPr>
                <w:rFonts w:ascii="Arial" w:hAnsi="Arial" w:cs="Arial"/>
                <w:noProof/>
              </w:rPr>
            </w:pPr>
            <w:r>
              <w:rPr>
                <w:rFonts w:ascii="Arial" w:hAnsi="Arial" w:cs="Arial"/>
                <w:noProof/>
              </w:rPr>
              <w:drawing>
                <wp:inline distT="0" distB="0" distL="0" distR="0" wp14:anchorId="2895B32D" wp14:editId="120785FA">
                  <wp:extent cx="5467350" cy="255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1293" cy="2554541"/>
                          </a:xfrm>
                          <a:prstGeom prst="rect">
                            <a:avLst/>
                          </a:prstGeom>
                          <a:noFill/>
                        </pic:spPr>
                      </pic:pic>
                    </a:graphicData>
                  </a:graphic>
                </wp:inline>
              </w:drawing>
            </w:r>
          </w:p>
        </w:tc>
      </w:tr>
      <w:tr w:rsidR="00181149">
        <w:tc>
          <w:tcPr>
            <w:tcW w:w="9288" w:type="dxa"/>
          </w:tcPr>
          <w:p w:rsidR="00181149" w:rsidRDefault="0064466C">
            <w:pPr>
              <w:spacing w:after="120"/>
              <w:jc w:val="both"/>
              <w:rPr>
                <w:rFonts w:ascii="Times New Roman" w:hAnsi="Times New Roman"/>
                <w:noProof/>
                <w:sz w:val="18"/>
                <w:szCs w:val="18"/>
              </w:rPr>
            </w:pPr>
            <w:r>
              <w:rPr>
                <w:rFonts w:ascii="Times New Roman" w:hAnsi="Times New Roman"/>
                <w:i/>
                <w:noProof/>
                <w:sz w:val="18"/>
                <w:szCs w:val="18"/>
              </w:rPr>
              <w:t>Source</w:t>
            </w:r>
            <w:r>
              <w:rPr>
                <w:rFonts w:ascii="Times New Roman" w:hAnsi="Times New Roman"/>
                <w:noProof/>
                <w:sz w:val="18"/>
                <w:szCs w:val="18"/>
              </w:rPr>
              <w:t>: FDIMarkets and DEALOGIC M&amp;As ANALYTICS</w:t>
            </w:r>
          </w:p>
          <w:p w:rsidR="00181149" w:rsidRDefault="0064466C">
            <w:pPr>
              <w:spacing w:after="120"/>
              <w:jc w:val="both"/>
              <w:rPr>
                <w:rFonts w:ascii="Arial" w:hAnsi="Arial" w:cs="Arial"/>
                <w:noProof/>
              </w:rPr>
            </w:pPr>
            <w:r>
              <w:rPr>
                <w:rFonts w:ascii="Times New Roman" w:hAnsi="Times New Roman"/>
                <w:i/>
                <w:noProof/>
                <w:sz w:val="18"/>
                <w:szCs w:val="18"/>
              </w:rPr>
              <w:t>Note</w:t>
            </w:r>
            <w:r>
              <w:rPr>
                <w:rFonts w:ascii="Times New Roman" w:hAnsi="Times New Roman"/>
                <w:noProof/>
                <w:sz w:val="18"/>
                <w:szCs w:val="18"/>
              </w:rPr>
              <w:t xml:space="preserve">: </w:t>
            </w:r>
            <w:r>
              <w:rPr>
                <w:rFonts w:ascii="Times New Roman" w:hAnsi="Times New Roman"/>
                <w:i/>
                <w:noProof/>
                <w:sz w:val="18"/>
                <w:szCs w:val="18"/>
              </w:rPr>
              <w:t>High technology</w:t>
            </w:r>
            <w:r>
              <w:rPr>
                <w:rFonts w:ascii="Times New Roman" w:hAnsi="Times New Roman"/>
                <w:noProof/>
                <w:sz w:val="18"/>
                <w:szCs w:val="18"/>
              </w:rPr>
              <w:t xml:space="preserve"> is defined here as aerospace, renewables, biotechnology, consumer electronics, electronic components, chemicals, engines/turbines, medical equipment, pharmaceuticals, semiconductors, software/IT services, space/defence</w:t>
            </w:r>
          </w:p>
        </w:tc>
      </w:tr>
    </w:tbl>
    <w:p w:rsidR="00181149" w:rsidRDefault="00181149">
      <w:pPr>
        <w:spacing w:after="120"/>
        <w:jc w:val="both"/>
        <w:rPr>
          <w:rFonts w:ascii="Arial" w:hAnsi="Arial" w:cs="Arial"/>
          <w:noProof/>
        </w:rPr>
      </w:pPr>
    </w:p>
    <w:p w:rsidR="00181149" w:rsidRDefault="0064466C">
      <w:pPr>
        <w:rPr>
          <w:noProof/>
        </w:rPr>
      </w:pPr>
      <w:r>
        <w:rPr>
          <w:noProof/>
        </w:rPr>
        <w:br w:type="page"/>
      </w:r>
    </w:p>
    <w:p w:rsidR="00181149" w:rsidRDefault="00181149">
      <w:pPr>
        <w:rPr>
          <w:rFonts w:ascii="Arial" w:hAnsi="Arial" w:cs="Arial"/>
          <w:noProof/>
          <w:u w:val="single"/>
        </w:rPr>
      </w:pPr>
    </w:p>
    <w:p w:rsidR="00181149" w:rsidRDefault="0064466C">
      <w:pPr>
        <w:rPr>
          <w:rFonts w:ascii="open_sansregular" w:hAnsi="open_sansregular" w:cs="Helvetica"/>
          <w:i/>
          <w:noProof/>
          <w:color w:val="333333"/>
          <w:sz w:val="21"/>
          <w:szCs w:val="21"/>
          <w:lang w:val="en"/>
        </w:rPr>
      </w:pPr>
      <w:r>
        <w:rPr>
          <w:rFonts w:ascii="Arial" w:hAnsi="Arial" w:cs="Arial"/>
          <w:noProof/>
          <w:u w:val="single"/>
        </w:rPr>
        <w:t>Gross flows of M&amp;A / FDI Transa</w:t>
      </w:r>
      <w:r>
        <w:rPr>
          <w:rFonts w:ascii="Arial" w:hAnsi="Arial" w:cs="Arial"/>
          <w:noProof/>
          <w:u w:val="single"/>
        </w:rPr>
        <w:t>ctions</w:t>
      </w:r>
    </w:p>
    <w:p w:rsidR="00181149" w:rsidRDefault="00181149">
      <w:pPr>
        <w:rPr>
          <w:rFonts w:ascii="open_sansregular" w:hAnsi="open_sansregular" w:cs="Helvetica"/>
          <w:i/>
          <w:noProof/>
          <w:color w:val="333333"/>
          <w:sz w:val="21"/>
          <w:szCs w:val="21"/>
          <w:lang w:val="en"/>
        </w:rPr>
      </w:pPr>
    </w:p>
    <w:p w:rsidR="00181149" w:rsidRDefault="0064466C">
      <w:pPr>
        <w:pStyle w:val="ListParagraph"/>
        <w:numPr>
          <w:ilvl w:val="0"/>
          <w:numId w:val="2"/>
        </w:numPr>
        <w:jc w:val="both"/>
        <w:rPr>
          <w:rFonts w:ascii="open_sansregular" w:hAnsi="open_sansregular" w:cs="Helvetica"/>
          <w:i/>
          <w:noProof/>
          <w:color w:val="333333"/>
          <w:sz w:val="21"/>
          <w:szCs w:val="21"/>
          <w:lang w:val="en"/>
        </w:rPr>
      </w:pPr>
      <w:r>
        <w:rPr>
          <w:rFonts w:ascii="open_sansregular" w:hAnsi="open_sansregular" w:cs="Helvetica"/>
          <w:i/>
          <w:noProof/>
          <w:color w:val="333333"/>
          <w:sz w:val="21"/>
          <w:szCs w:val="21"/>
          <w:lang w:val="en"/>
        </w:rPr>
        <w:t>While EU continues to be traditionally a net exporter of capital, since 2012 the value of inward M&amp;As has been higher than that of outward M&amp;As which resulted in a positive net inward M&amp;As balance for 5 consecutive years.</w:t>
      </w:r>
      <w:r>
        <w:rPr>
          <w:noProof/>
        </w:rPr>
        <w:t xml:space="preserve"> </w:t>
      </w:r>
    </w:p>
    <w:p w:rsidR="00181149" w:rsidRDefault="00181149">
      <w:pPr>
        <w:pStyle w:val="ListParagraph"/>
        <w:spacing w:after="120"/>
        <w:jc w:val="both"/>
        <w:rPr>
          <w:rFonts w:ascii="Arial" w:hAnsi="Arial" w:cs="Arial"/>
          <w:noProof/>
        </w:rPr>
      </w:pPr>
    </w:p>
    <w:tbl>
      <w:tblPr>
        <w:tblStyle w:val="TableGrid"/>
        <w:tblW w:w="0" w:type="auto"/>
        <w:tblLook w:val="04A0" w:firstRow="1" w:lastRow="0" w:firstColumn="1" w:lastColumn="0" w:noHBand="0" w:noVBand="1"/>
      </w:tblPr>
      <w:tblGrid>
        <w:gridCol w:w="9288"/>
      </w:tblGrid>
      <w:tr w:rsidR="00181149">
        <w:tc>
          <w:tcPr>
            <w:tcW w:w="9288" w:type="dxa"/>
          </w:tcPr>
          <w:p w:rsidR="00181149" w:rsidRDefault="0064466C">
            <w:pPr>
              <w:spacing w:after="120"/>
              <w:jc w:val="center"/>
              <w:rPr>
                <w:rFonts w:ascii="Times New Roman" w:hAnsi="Times New Roman"/>
                <w:b/>
                <w:noProof/>
                <w:sz w:val="24"/>
                <w:szCs w:val="24"/>
              </w:rPr>
            </w:pPr>
            <w:r>
              <w:rPr>
                <w:rFonts w:ascii="Times New Roman" w:hAnsi="Times New Roman"/>
                <w:b/>
                <w:noProof/>
                <w:sz w:val="24"/>
                <w:szCs w:val="24"/>
              </w:rPr>
              <w:t>Figure 4, Flows of Merge</w:t>
            </w:r>
            <w:r>
              <w:rPr>
                <w:rFonts w:ascii="Times New Roman" w:hAnsi="Times New Roman"/>
                <w:b/>
                <w:noProof/>
                <w:sz w:val="24"/>
                <w:szCs w:val="24"/>
              </w:rPr>
              <w:t xml:space="preserve">r and Acquisition FDI transactions into the EU, </w:t>
            </w:r>
            <w:r>
              <w:rPr>
                <w:rFonts w:ascii="Times New Roman" w:hAnsi="Times New Roman"/>
                <w:noProof/>
                <w:sz w:val="24"/>
                <w:szCs w:val="24"/>
              </w:rPr>
              <w:t>EUR mn</w:t>
            </w:r>
          </w:p>
        </w:tc>
      </w:tr>
      <w:tr w:rsidR="00181149">
        <w:tc>
          <w:tcPr>
            <w:tcW w:w="9288" w:type="dxa"/>
          </w:tcPr>
          <w:p w:rsidR="00181149" w:rsidRDefault="0064466C">
            <w:pPr>
              <w:spacing w:after="120"/>
              <w:jc w:val="center"/>
              <w:rPr>
                <w:rFonts w:ascii="Arial" w:hAnsi="Arial" w:cs="Arial"/>
                <w:noProof/>
              </w:rPr>
            </w:pPr>
            <w:r>
              <w:rPr>
                <w:rFonts w:ascii="Arial" w:hAnsi="Arial" w:cs="Arial"/>
                <w:noProof/>
              </w:rPr>
              <w:drawing>
                <wp:inline distT="0" distB="0" distL="0" distR="0" wp14:anchorId="45AB81A1" wp14:editId="5F98C95A">
                  <wp:extent cx="4579950" cy="2743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9620" cy="2743003"/>
                          </a:xfrm>
                          <a:prstGeom prst="rect">
                            <a:avLst/>
                          </a:prstGeom>
                          <a:noFill/>
                        </pic:spPr>
                      </pic:pic>
                    </a:graphicData>
                  </a:graphic>
                </wp:inline>
              </w:drawing>
            </w:r>
          </w:p>
        </w:tc>
      </w:tr>
      <w:tr w:rsidR="00181149">
        <w:tc>
          <w:tcPr>
            <w:tcW w:w="9288" w:type="dxa"/>
          </w:tcPr>
          <w:p w:rsidR="00181149" w:rsidRDefault="0064466C">
            <w:pPr>
              <w:spacing w:after="120"/>
              <w:jc w:val="both"/>
              <w:rPr>
                <w:rFonts w:ascii="Times New Roman" w:hAnsi="Times New Roman"/>
                <w:noProof/>
                <w:sz w:val="18"/>
                <w:szCs w:val="18"/>
              </w:rPr>
            </w:pPr>
            <w:r>
              <w:rPr>
                <w:rFonts w:ascii="Times New Roman" w:hAnsi="Times New Roman"/>
                <w:i/>
                <w:noProof/>
                <w:sz w:val="18"/>
                <w:szCs w:val="18"/>
              </w:rPr>
              <w:t>Source</w:t>
            </w:r>
            <w:r>
              <w:rPr>
                <w:rFonts w:ascii="Times New Roman" w:hAnsi="Times New Roman"/>
                <w:noProof/>
                <w:sz w:val="18"/>
                <w:szCs w:val="18"/>
              </w:rPr>
              <w:t>: Dealogic M&amp;As ANALYTICS, transactions for the acquisition of stakes above 10%.</w:t>
            </w:r>
          </w:p>
        </w:tc>
      </w:tr>
    </w:tbl>
    <w:p w:rsidR="00181149" w:rsidRDefault="00181149">
      <w:pPr>
        <w:rPr>
          <w:rFonts w:ascii="open_sansregular" w:hAnsi="open_sansregular" w:cs="Helvetica"/>
          <w:i/>
          <w:noProof/>
          <w:color w:val="333333"/>
          <w:sz w:val="21"/>
          <w:szCs w:val="21"/>
          <w:lang w:val="en"/>
        </w:rPr>
      </w:pPr>
    </w:p>
    <w:p w:rsidR="00181149" w:rsidRDefault="0064466C">
      <w:pPr>
        <w:pStyle w:val="ListParagraph"/>
        <w:numPr>
          <w:ilvl w:val="0"/>
          <w:numId w:val="2"/>
        </w:numPr>
        <w:jc w:val="both"/>
        <w:rPr>
          <w:rFonts w:ascii="open_sansregular" w:hAnsi="open_sansregular" w:cs="Helvetica"/>
          <w:i/>
          <w:noProof/>
          <w:color w:val="333333"/>
          <w:sz w:val="21"/>
          <w:szCs w:val="21"/>
          <w:lang w:val="en"/>
        </w:rPr>
      </w:pPr>
      <w:r>
        <w:rPr>
          <w:rFonts w:ascii="open_sansregular" w:hAnsi="open_sansregular" w:cs="Helvetica"/>
          <w:i/>
          <w:noProof/>
          <w:color w:val="333333"/>
          <w:sz w:val="21"/>
          <w:szCs w:val="21"/>
          <w:lang w:val="en"/>
        </w:rPr>
        <w:t xml:space="preserve">Some of the top 10 countries having the largest stock of inward FDI in the EU continued to expand rapidly </w:t>
      </w:r>
      <w:r>
        <w:rPr>
          <w:rFonts w:ascii="open_sansregular" w:hAnsi="open_sansregular" w:cs="Helvetica"/>
          <w:i/>
          <w:noProof/>
          <w:color w:val="333333"/>
          <w:sz w:val="21"/>
          <w:szCs w:val="21"/>
          <w:lang w:val="en"/>
        </w:rPr>
        <w:t>their acquisitions in recent years (US, Japan, China including Hong Kong) which underpinned the rapid increase in inward M&amp;As.</w:t>
      </w:r>
      <w:r>
        <w:rPr>
          <w:noProof/>
        </w:rPr>
        <w:t xml:space="preserve"> </w:t>
      </w:r>
    </w:p>
    <w:p w:rsidR="00181149" w:rsidRDefault="00181149">
      <w:pPr>
        <w:rPr>
          <w:rFonts w:ascii="open_sansregular" w:hAnsi="open_sansregular" w:cs="Helvetica"/>
          <w:i/>
          <w:noProof/>
          <w:color w:val="333333"/>
          <w:sz w:val="21"/>
          <w:szCs w:val="21"/>
          <w:lang w:val="en"/>
        </w:rPr>
      </w:pPr>
    </w:p>
    <w:p w:rsidR="00181149" w:rsidRDefault="00181149">
      <w:pPr>
        <w:rPr>
          <w:rFonts w:ascii="open_sansregular" w:hAnsi="open_sansregular" w:cs="Helvetica"/>
          <w:i/>
          <w:noProof/>
          <w:color w:val="333333"/>
          <w:sz w:val="21"/>
          <w:szCs w:val="21"/>
          <w:lang w:val="en"/>
        </w:rPr>
      </w:pPr>
    </w:p>
    <w:tbl>
      <w:tblPr>
        <w:tblStyle w:val="TableGrid"/>
        <w:tblW w:w="0" w:type="auto"/>
        <w:tblLook w:val="04A0" w:firstRow="1" w:lastRow="0" w:firstColumn="1" w:lastColumn="0" w:noHBand="0" w:noVBand="1"/>
      </w:tblPr>
      <w:tblGrid>
        <w:gridCol w:w="9288"/>
      </w:tblGrid>
      <w:tr w:rsidR="00181149">
        <w:tc>
          <w:tcPr>
            <w:tcW w:w="9288" w:type="dxa"/>
          </w:tcPr>
          <w:p w:rsidR="00181149" w:rsidRDefault="00181149">
            <w:pPr>
              <w:spacing w:after="120"/>
              <w:jc w:val="center"/>
              <w:rPr>
                <w:rFonts w:ascii="Times New Roman" w:hAnsi="Times New Roman"/>
                <w:b/>
                <w:noProof/>
                <w:sz w:val="24"/>
                <w:szCs w:val="24"/>
              </w:rPr>
            </w:pPr>
          </w:p>
          <w:p w:rsidR="00181149" w:rsidRDefault="0064466C">
            <w:pPr>
              <w:spacing w:after="120"/>
              <w:jc w:val="center"/>
              <w:rPr>
                <w:rFonts w:ascii="Arial" w:hAnsi="Arial" w:cs="Arial"/>
                <w:noProof/>
              </w:rPr>
            </w:pPr>
            <w:r>
              <w:rPr>
                <w:rFonts w:ascii="Times New Roman" w:hAnsi="Times New Roman"/>
                <w:b/>
                <w:noProof/>
                <w:sz w:val="24"/>
                <w:szCs w:val="24"/>
              </w:rPr>
              <w:t>Figure 5, Gross M&amp;A flows into the EU by selected large non-EU economies</w:t>
            </w:r>
          </w:p>
        </w:tc>
      </w:tr>
      <w:tr w:rsidR="00181149">
        <w:tc>
          <w:tcPr>
            <w:tcW w:w="9288" w:type="dxa"/>
          </w:tcPr>
          <w:p w:rsidR="00181149" w:rsidRDefault="0064466C">
            <w:pPr>
              <w:spacing w:after="120"/>
              <w:jc w:val="center"/>
              <w:rPr>
                <w:rFonts w:ascii="Times New Roman" w:hAnsi="Times New Roman"/>
                <w:b/>
                <w:noProof/>
                <w:sz w:val="24"/>
                <w:szCs w:val="24"/>
              </w:rPr>
            </w:pPr>
            <w:r>
              <w:rPr>
                <w:rFonts w:ascii="Times New Roman" w:hAnsi="Times New Roman"/>
                <w:b/>
                <w:noProof/>
                <w:sz w:val="24"/>
                <w:szCs w:val="24"/>
              </w:rPr>
              <w:drawing>
                <wp:inline distT="0" distB="0" distL="0" distR="0" wp14:anchorId="03716B59" wp14:editId="312FED28">
                  <wp:extent cx="4576799" cy="20116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2015153"/>
                          </a:xfrm>
                          <a:prstGeom prst="rect">
                            <a:avLst/>
                          </a:prstGeom>
                          <a:noFill/>
                        </pic:spPr>
                      </pic:pic>
                    </a:graphicData>
                  </a:graphic>
                </wp:inline>
              </w:drawing>
            </w:r>
          </w:p>
        </w:tc>
      </w:tr>
      <w:tr w:rsidR="00181149">
        <w:tc>
          <w:tcPr>
            <w:tcW w:w="9288" w:type="dxa"/>
          </w:tcPr>
          <w:p w:rsidR="00181149" w:rsidRDefault="0064466C">
            <w:pPr>
              <w:spacing w:after="120"/>
              <w:jc w:val="both"/>
              <w:rPr>
                <w:rFonts w:ascii="Times New Roman" w:hAnsi="Times New Roman"/>
                <w:noProof/>
                <w:sz w:val="18"/>
                <w:szCs w:val="18"/>
              </w:rPr>
            </w:pPr>
            <w:r>
              <w:rPr>
                <w:rFonts w:ascii="Times New Roman" w:hAnsi="Times New Roman"/>
                <w:i/>
                <w:noProof/>
                <w:sz w:val="18"/>
                <w:szCs w:val="18"/>
              </w:rPr>
              <w:t>Source</w:t>
            </w:r>
            <w:r>
              <w:rPr>
                <w:rFonts w:ascii="Times New Roman" w:hAnsi="Times New Roman"/>
                <w:noProof/>
                <w:sz w:val="18"/>
                <w:szCs w:val="18"/>
              </w:rPr>
              <w:t>: Dealogic M&amp;As ANALYTICS, transactions fo</w:t>
            </w:r>
            <w:r>
              <w:rPr>
                <w:rFonts w:ascii="Times New Roman" w:hAnsi="Times New Roman"/>
                <w:noProof/>
                <w:sz w:val="18"/>
                <w:szCs w:val="18"/>
              </w:rPr>
              <w:t>r the acquisition of stakes above 10%.</w:t>
            </w:r>
          </w:p>
          <w:p w:rsidR="00181149" w:rsidRDefault="0064466C">
            <w:pPr>
              <w:spacing w:after="120"/>
              <w:jc w:val="both"/>
              <w:rPr>
                <w:rFonts w:ascii="Times New Roman" w:hAnsi="Times New Roman"/>
                <w:noProof/>
                <w:sz w:val="18"/>
                <w:szCs w:val="18"/>
              </w:rPr>
            </w:pPr>
            <w:r>
              <w:rPr>
                <w:rFonts w:ascii="Times New Roman" w:hAnsi="Times New Roman"/>
                <w:i/>
                <w:noProof/>
                <w:sz w:val="18"/>
                <w:szCs w:val="18"/>
              </w:rPr>
              <w:t>Note</w:t>
            </w:r>
            <w:r>
              <w:rPr>
                <w:rFonts w:ascii="Times New Roman" w:hAnsi="Times New Roman"/>
                <w:noProof/>
                <w:sz w:val="18"/>
                <w:szCs w:val="18"/>
              </w:rPr>
              <w:t>: *Selected non-EU economies: the BRICS countries, the US and Japan.</w:t>
            </w:r>
          </w:p>
        </w:tc>
      </w:tr>
    </w:tbl>
    <w:p w:rsidR="00181149" w:rsidRDefault="00181149">
      <w:pPr>
        <w:rPr>
          <w:rFonts w:ascii="open_sansregular" w:hAnsi="open_sansregular" w:cs="Helvetica"/>
          <w:i/>
          <w:noProof/>
          <w:color w:val="333333"/>
          <w:sz w:val="21"/>
          <w:szCs w:val="21"/>
        </w:rPr>
      </w:pPr>
    </w:p>
    <w:p w:rsidR="00181149" w:rsidRDefault="0064466C">
      <w:pPr>
        <w:pStyle w:val="ListParagraph"/>
        <w:numPr>
          <w:ilvl w:val="0"/>
          <w:numId w:val="2"/>
        </w:numPr>
        <w:jc w:val="both"/>
        <w:rPr>
          <w:rFonts w:ascii="open_sansregular" w:hAnsi="open_sansregular" w:cs="Helvetica"/>
          <w:i/>
          <w:noProof/>
          <w:color w:val="333333"/>
          <w:sz w:val="21"/>
          <w:szCs w:val="21"/>
          <w:lang w:val="en"/>
        </w:rPr>
      </w:pPr>
      <w:r>
        <w:rPr>
          <w:rFonts w:ascii="open_sansregular" w:hAnsi="open_sansregular" w:cs="Helvetica"/>
          <w:i/>
          <w:noProof/>
          <w:color w:val="333333"/>
          <w:sz w:val="21"/>
          <w:szCs w:val="21"/>
          <w:lang w:val="en"/>
        </w:rPr>
        <w:t>In 2016 the largest acquiring countries in the EU have been US, followed by China (including Hong Kong) and Japan.</w:t>
      </w:r>
    </w:p>
    <w:p w:rsidR="00181149" w:rsidRDefault="00181149">
      <w:pPr>
        <w:pStyle w:val="ListParagraph"/>
        <w:spacing w:after="200" w:line="276" w:lineRule="auto"/>
        <w:rPr>
          <w:rFonts w:ascii="Arial" w:hAnsi="Arial" w:cs="Arial"/>
          <w:noProof/>
          <w:lang w:val="en"/>
        </w:rPr>
      </w:pPr>
    </w:p>
    <w:tbl>
      <w:tblPr>
        <w:tblStyle w:val="TableGrid"/>
        <w:tblW w:w="0" w:type="auto"/>
        <w:tblLook w:val="04A0" w:firstRow="1" w:lastRow="0" w:firstColumn="1" w:lastColumn="0" w:noHBand="0" w:noVBand="1"/>
      </w:tblPr>
      <w:tblGrid>
        <w:gridCol w:w="8950"/>
      </w:tblGrid>
      <w:tr w:rsidR="00181149">
        <w:trPr>
          <w:trHeight w:val="27"/>
        </w:trPr>
        <w:tc>
          <w:tcPr>
            <w:tcW w:w="8950" w:type="dxa"/>
          </w:tcPr>
          <w:p w:rsidR="00181149" w:rsidRDefault="0064466C">
            <w:pPr>
              <w:spacing w:after="120"/>
              <w:jc w:val="center"/>
              <w:rPr>
                <w:rFonts w:ascii="Times New Roman" w:hAnsi="Times New Roman"/>
                <w:b/>
                <w:noProof/>
                <w:sz w:val="24"/>
                <w:szCs w:val="24"/>
              </w:rPr>
            </w:pPr>
            <w:r>
              <w:rPr>
                <w:rFonts w:ascii="Times New Roman" w:hAnsi="Times New Roman"/>
                <w:b/>
                <w:noProof/>
                <w:sz w:val="24"/>
                <w:szCs w:val="24"/>
              </w:rPr>
              <w:t xml:space="preserve">Figure 6, Ranking of the </w:t>
            </w:r>
            <w:r>
              <w:rPr>
                <w:rFonts w:ascii="Times New Roman" w:hAnsi="Times New Roman"/>
                <w:b/>
                <w:noProof/>
                <w:sz w:val="24"/>
                <w:szCs w:val="24"/>
              </w:rPr>
              <w:t>top 10 non-EU investment countries.</w:t>
            </w:r>
          </w:p>
          <w:p w:rsidR="00181149" w:rsidRDefault="0064466C">
            <w:pPr>
              <w:spacing w:after="120"/>
              <w:jc w:val="center"/>
              <w:rPr>
                <w:rFonts w:ascii="Times New Roman" w:hAnsi="Times New Roman"/>
                <w:b/>
                <w:noProof/>
                <w:sz w:val="24"/>
                <w:szCs w:val="24"/>
              </w:rPr>
            </w:pPr>
            <w:r>
              <w:rPr>
                <w:rFonts w:ascii="Times New Roman" w:hAnsi="Times New Roman"/>
                <w:b/>
                <w:noProof/>
                <w:sz w:val="24"/>
                <w:szCs w:val="24"/>
              </w:rPr>
              <w:t xml:space="preserve"> by value of their acquisition transactions in the EU in 2016</w:t>
            </w:r>
          </w:p>
        </w:tc>
      </w:tr>
      <w:tr w:rsidR="00181149">
        <w:trPr>
          <w:trHeight w:val="2071"/>
        </w:trPr>
        <w:tc>
          <w:tcPr>
            <w:tcW w:w="8950" w:type="dxa"/>
          </w:tcPr>
          <w:p w:rsidR="00181149" w:rsidRDefault="0064466C">
            <w:pPr>
              <w:spacing w:after="120"/>
              <w:jc w:val="center"/>
              <w:rPr>
                <w:rFonts w:ascii="Arial" w:hAnsi="Arial" w:cs="Arial"/>
                <w:noProof/>
              </w:rPr>
            </w:pPr>
            <w:r>
              <w:rPr>
                <w:rFonts w:ascii="Arial" w:hAnsi="Arial" w:cs="Arial"/>
                <w:noProof/>
              </w:rPr>
              <w:drawing>
                <wp:inline distT="0" distB="0" distL="0" distR="0" wp14:anchorId="16A9D75F" wp14:editId="0CB82810">
                  <wp:extent cx="4770120" cy="27355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70120" cy="2735580"/>
                          </a:xfrm>
                          <a:prstGeom prst="rect">
                            <a:avLst/>
                          </a:prstGeom>
                          <a:noFill/>
                        </pic:spPr>
                      </pic:pic>
                    </a:graphicData>
                  </a:graphic>
                </wp:inline>
              </w:drawing>
            </w:r>
          </w:p>
        </w:tc>
      </w:tr>
      <w:tr w:rsidR="00181149">
        <w:trPr>
          <w:trHeight w:val="38"/>
        </w:trPr>
        <w:tc>
          <w:tcPr>
            <w:tcW w:w="8950" w:type="dxa"/>
          </w:tcPr>
          <w:p w:rsidR="00181149" w:rsidRDefault="0064466C">
            <w:pPr>
              <w:spacing w:after="120"/>
              <w:jc w:val="both"/>
              <w:rPr>
                <w:rFonts w:ascii="Times New Roman" w:hAnsi="Times New Roman"/>
                <w:noProof/>
                <w:sz w:val="18"/>
                <w:szCs w:val="18"/>
              </w:rPr>
            </w:pPr>
            <w:r>
              <w:rPr>
                <w:rFonts w:ascii="Times New Roman" w:hAnsi="Times New Roman"/>
                <w:i/>
                <w:noProof/>
                <w:sz w:val="18"/>
                <w:szCs w:val="18"/>
              </w:rPr>
              <w:t>Source</w:t>
            </w:r>
            <w:r>
              <w:rPr>
                <w:rFonts w:ascii="Times New Roman" w:hAnsi="Times New Roman"/>
                <w:noProof/>
                <w:sz w:val="18"/>
                <w:szCs w:val="18"/>
              </w:rPr>
              <w:t>: Dealogic M&amp;As ANALYTICS, transactions for the acquisition of stakes above 10%.</w:t>
            </w:r>
          </w:p>
        </w:tc>
      </w:tr>
    </w:tbl>
    <w:p w:rsidR="00181149" w:rsidRDefault="00181149">
      <w:pPr>
        <w:rPr>
          <w:rFonts w:ascii="open_sansregular" w:hAnsi="open_sansregular" w:cs="Helvetica"/>
          <w:i/>
          <w:noProof/>
          <w:color w:val="333333"/>
          <w:sz w:val="21"/>
          <w:szCs w:val="21"/>
          <w:lang w:val="en"/>
        </w:rPr>
      </w:pPr>
    </w:p>
    <w:p w:rsidR="00181149" w:rsidRDefault="0064466C">
      <w:pPr>
        <w:spacing w:after="200" w:line="276" w:lineRule="auto"/>
        <w:rPr>
          <w:rFonts w:ascii="open_sansregular" w:hAnsi="open_sansregular" w:cs="Helvetica"/>
          <w:i/>
          <w:noProof/>
          <w:color w:val="333333"/>
          <w:sz w:val="21"/>
          <w:szCs w:val="21"/>
          <w:lang w:val="en"/>
        </w:rPr>
      </w:pPr>
      <w:r>
        <w:rPr>
          <w:rFonts w:ascii="open_sansregular" w:hAnsi="open_sansregular" w:cs="Helvetica"/>
          <w:i/>
          <w:noProof/>
          <w:color w:val="333333"/>
          <w:sz w:val="21"/>
          <w:szCs w:val="21"/>
          <w:lang w:val="en"/>
        </w:rPr>
        <w:br w:type="page"/>
      </w:r>
    </w:p>
    <w:p w:rsidR="00181149" w:rsidRDefault="00181149">
      <w:pPr>
        <w:rPr>
          <w:rFonts w:ascii="open_sansregular" w:hAnsi="open_sansregular" w:cs="Helvetica"/>
          <w:i/>
          <w:noProof/>
          <w:color w:val="333333"/>
          <w:sz w:val="21"/>
          <w:szCs w:val="21"/>
          <w:lang w:val="en"/>
        </w:rPr>
      </w:pPr>
    </w:p>
    <w:p w:rsidR="00181149" w:rsidRDefault="0064466C">
      <w:pPr>
        <w:rPr>
          <w:rFonts w:ascii="Arial" w:hAnsi="Arial" w:cs="Arial"/>
          <w:noProof/>
          <w:u w:val="single"/>
        </w:rPr>
      </w:pPr>
      <w:r>
        <w:rPr>
          <w:rFonts w:ascii="Arial" w:hAnsi="Arial" w:cs="Arial"/>
          <w:noProof/>
          <w:u w:val="single"/>
        </w:rPr>
        <w:t>Sectoral composition of gross inward M&amp;A / FDI Transactions</w:t>
      </w:r>
    </w:p>
    <w:p w:rsidR="00181149" w:rsidRDefault="00181149">
      <w:pPr>
        <w:rPr>
          <w:rFonts w:ascii="open_sansregular" w:hAnsi="open_sansregular" w:cs="Helvetica"/>
          <w:i/>
          <w:noProof/>
          <w:color w:val="333333"/>
          <w:sz w:val="21"/>
          <w:szCs w:val="21"/>
          <w:lang w:val="en"/>
        </w:rPr>
      </w:pPr>
    </w:p>
    <w:p w:rsidR="00181149" w:rsidRDefault="0064466C">
      <w:pPr>
        <w:pStyle w:val="ListParagraph"/>
        <w:numPr>
          <w:ilvl w:val="0"/>
          <w:numId w:val="2"/>
        </w:numPr>
        <w:spacing w:before="120" w:after="120"/>
        <w:ind w:left="714" w:hanging="357"/>
        <w:jc w:val="both"/>
        <w:rPr>
          <w:rFonts w:ascii="Arial" w:hAnsi="Arial" w:cs="Arial"/>
          <w:noProof/>
        </w:rPr>
      </w:pPr>
      <w:r>
        <w:rPr>
          <w:rFonts w:ascii="open_sansregular" w:hAnsi="open_sansregular" w:cs="Helvetica"/>
          <w:i/>
          <w:noProof/>
          <w:color w:val="333333"/>
          <w:sz w:val="21"/>
          <w:szCs w:val="21"/>
          <w:lang w:val="en"/>
        </w:rPr>
        <w:t>Computers &amp; Electronics is the most targeted sector by third countries acquirers in terms of total value of the stock of M&amp;As which reached more than EUR 323 billion in the second quarter of 2017.</w:t>
      </w:r>
    </w:p>
    <w:tbl>
      <w:tblPr>
        <w:tblStyle w:val="TableGrid"/>
        <w:tblW w:w="0" w:type="auto"/>
        <w:tblLook w:val="04A0" w:firstRow="1" w:lastRow="0" w:firstColumn="1" w:lastColumn="0" w:noHBand="0" w:noVBand="1"/>
      </w:tblPr>
      <w:tblGrid>
        <w:gridCol w:w="9288"/>
      </w:tblGrid>
      <w:tr w:rsidR="00181149">
        <w:tc>
          <w:tcPr>
            <w:tcW w:w="9288" w:type="dxa"/>
          </w:tcPr>
          <w:p w:rsidR="00181149" w:rsidRDefault="0064466C">
            <w:pPr>
              <w:spacing w:after="120"/>
              <w:jc w:val="both"/>
              <w:rPr>
                <w:rFonts w:ascii="Arial" w:hAnsi="Arial" w:cs="Arial"/>
                <w:noProof/>
              </w:rPr>
            </w:pPr>
            <w:r>
              <w:rPr>
                <w:rFonts w:ascii="Times New Roman" w:hAnsi="Times New Roman"/>
                <w:b/>
                <w:noProof/>
                <w:sz w:val="24"/>
                <w:szCs w:val="24"/>
              </w:rPr>
              <w:t>Figure 7, Total stocks of inward M&amp;As by General Industry G</w:t>
            </w:r>
            <w:r>
              <w:rPr>
                <w:rFonts w:ascii="Times New Roman" w:hAnsi="Times New Roman"/>
                <w:b/>
                <w:noProof/>
                <w:sz w:val="24"/>
                <w:szCs w:val="24"/>
              </w:rPr>
              <w:t>roups, Q2 2017</w:t>
            </w:r>
          </w:p>
        </w:tc>
      </w:tr>
      <w:tr w:rsidR="00181149">
        <w:tc>
          <w:tcPr>
            <w:tcW w:w="9288" w:type="dxa"/>
          </w:tcPr>
          <w:p w:rsidR="00181149" w:rsidRDefault="0064466C">
            <w:pPr>
              <w:spacing w:after="120"/>
              <w:jc w:val="both"/>
              <w:rPr>
                <w:rFonts w:ascii="Arial" w:hAnsi="Arial" w:cs="Arial"/>
                <w:noProof/>
              </w:rPr>
            </w:pPr>
            <w:r>
              <w:rPr>
                <w:rFonts w:ascii="Arial" w:hAnsi="Arial" w:cs="Arial"/>
                <w:noProof/>
              </w:rPr>
              <w:drawing>
                <wp:inline distT="0" distB="0" distL="0" distR="0" wp14:anchorId="0FE5AB68" wp14:editId="78ED7418">
                  <wp:extent cx="5637474" cy="5383033"/>
                  <wp:effectExtent l="0" t="0" r="1905"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39098" cy="5384584"/>
                          </a:xfrm>
                          <a:prstGeom prst="rect">
                            <a:avLst/>
                          </a:prstGeom>
                          <a:noFill/>
                        </pic:spPr>
                      </pic:pic>
                    </a:graphicData>
                  </a:graphic>
                </wp:inline>
              </w:drawing>
            </w:r>
          </w:p>
        </w:tc>
      </w:tr>
      <w:tr w:rsidR="00181149">
        <w:tc>
          <w:tcPr>
            <w:tcW w:w="9288" w:type="dxa"/>
          </w:tcPr>
          <w:p w:rsidR="00181149" w:rsidRDefault="0064466C">
            <w:pPr>
              <w:spacing w:after="120"/>
              <w:jc w:val="both"/>
              <w:rPr>
                <w:rFonts w:ascii="Arial" w:hAnsi="Arial" w:cs="Arial"/>
                <w:noProof/>
              </w:rPr>
            </w:pPr>
            <w:r>
              <w:rPr>
                <w:rFonts w:ascii="Times New Roman" w:hAnsi="Times New Roman"/>
                <w:i/>
                <w:noProof/>
                <w:sz w:val="18"/>
                <w:szCs w:val="18"/>
              </w:rPr>
              <w:t>Source</w:t>
            </w:r>
            <w:r>
              <w:rPr>
                <w:rFonts w:ascii="Times New Roman" w:hAnsi="Times New Roman"/>
                <w:noProof/>
                <w:sz w:val="18"/>
                <w:szCs w:val="18"/>
              </w:rPr>
              <w:t>: Dealogic M&amp;As ANALYTICS, transactions for the acquisition of stakes above 10%.</w:t>
            </w:r>
          </w:p>
        </w:tc>
      </w:tr>
    </w:tbl>
    <w:p w:rsidR="00181149" w:rsidRDefault="00181149">
      <w:pPr>
        <w:spacing w:after="120"/>
        <w:jc w:val="both"/>
        <w:rPr>
          <w:rFonts w:ascii="Arial" w:hAnsi="Arial" w:cs="Arial"/>
          <w:noProof/>
        </w:rPr>
      </w:pPr>
    </w:p>
    <w:p w:rsidR="00181149" w:rsidRDefault="0064466C">
      <w:pPr>
        <w:spacing w:after="200" w:line="276" w:lineRule="auto"/>
        <w:rPr>
          <w:rFonts w:ascii="Arial" w:hAnsi="Arial" w:cs="Arial"/>
          <w:noProof/>
        </w:rPr>
      </w:pPr>
      <w:r>
        <w:rPr>
          <w:rFonts w:ascii="Arial" w:hAnsi="Arial" w:cs="Arial"/>
          <w:noProof/>
        </w:rPr>
        <w:br w:type="page"/>
      </w:r>
    </w:p>
    <w:p w:rsidR="00181149" w:rsidRDefault="00181149">
      <w:pPr>
        <w:spacing w:after="120"/>
        <w:jc w:val="both"/>
        <w:rPr>
          <w:rFonts w:ascii="Arial" w:hAnsi="Arial" w:cs="Arial"/>
          <w:noProof/>
        </w:rPr>
      </w:pP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lang w:val="en"/>
        </w:rPr>
        <w:t>It was the most targeted sector as well in 2016 with a record value of gross M&amp;As flows of EUR 65 billion. It also experienced the most rapid pro</w:t>
      </w:r>
      <w:r>
        <w:rPr>
          <w:rFonts w:ascii="open_sansregular" w:hAnsi="open_sansregular" w:cs="Helvetica"/>
          <w:i/>
          <w:noProof/>
          <w:color w:val="333333"/>
          <w:sz w:val="21"/>
          <w:szCs w:val="21"/>
          <w:lang w:val="en"/>
        </w:rPr>
        <w:t>gression with value of deals increasing almost eightfold from EUR 2.25 billion in 1995 to more than EUR 65 billion in 2016.  The value of deals in "Healthcare" reached more than EUR 30 billion in 2015, while telecommunications deals peaked in 2013 with a v</w:t>
      </w:r>
      <w:r>
        <w:rPr>
          <w:rFonts w:ascii="open_sansregular" w:hAnsi="open_sansregular" w:cs="Helvetica"/>
          <w:i/>
          <w:noProof/>
          <w:color w:val="333333"/>
          <w:sz w:val="21"/>
          <w:szCs w:val="21"/>
          <w:lang w:val="en"/>
        </w:rPr>
        <w:t>olume of deals worth EUR 26 billion</w:t>
      </w:r>
      <w:r>
        <w:rPr>
          <w:noProof/>
        </w:rPr>
        <w:t xml:space="preserve"> </w:t>
      </w:r>
      <w:r>
        <w:rPr>
          <w:rFonts w:ascii="open_sansregular" w:hAnsi="open_sansregular" w:cs="Helvetica"/>
          <w:i/>
          <w:noProof/>
          <w:color w:val="333333"/>
          <w:sz w:val="21"/>
          <w:szCs w:val="21"/>
          <w:lang w:val="en"/>
        </w:rPr>
        <w:t>and partially recovered in 2016 with a deal volume of more than EUR 15 billion ..</w:t>
      </w:r>
    </w:p>
    <w:p w:rsidR="00181149" w:rsidRDefault="00181149">
      <w:pPr>
        <w:pStyle w:val="ListParagraph"/>
        <w:spacing w:after="120"/>
        <w:jc w:val="both"/>
        <w:rPr>
          <w:rFonts w:ascii="Arial" w:hAnsi="Arial" w:cs="Arial"/>
          <w:noProof/>
        </w:rPr>
      </w:pPr>
    </w:p>
    <w:tbl>
      <w:tblPr>
        <w:tblStyle w:val="TableGrid"/>
        <w:tblW w:w="0" w:type="auto"/>
        <w:tblLook w:val="04A0" w:firstRow="1" w:lastRow="0" w:firstColumn="1" w:lastColumn="0" w:noHBand="0" w:noVBand="1"/>
      </w:tblPr>
      <w:tblGrid>
        <w:gridCol w:w="9288"/>
      </w:tblGrid>
      <w:tr w:rsidR="00181149">
        <w:tc>
          <w:tcPr>
            <w:tcW w:w="9288" w:type="dxa"/>
          </w:tcPr>
          <w:p w:rsidR="00181149" w:rsidRDefault="0064466C">
            <w:pPr>
              <w:spacing w:after="120"/>
              <w:jc w:val="center"/>
              <w:rPr>
                <w:rFonts w:ascii="Times New Roman" w:hAnsi="Times New Roman"/>
                <w:b/>
                <w:noProof/>
              </w:rPr>
            </w:pPr>
            <w:r>
              <w:rPr>
                <w:rFonts w:ascii="Times New Roman" w:hAnsi="Times New Roman"/>
                <w:b/>
                <w:noProof/>
              </w:rPr>
              <w:t xml:space="preserve">Table 8, Sectoral composition of inward M&amp;As in 1995-2016, </w:t>
            </w:r>
            <w:r>
              <w:rPr>
                <w:rFonts w:ascii="Times New Roman" w:hAnsi="Times New Roman"/>
                <w:noProof/>
              </w:rPr>
              <w:t>EUR billion</w:t>
            </w:r>
          </w:p>
        </w:tc>
      </w:tr>
      <w:tr w:rsidR="00181149">
        <w:tc>
          <w:tcPr>
            <w:tcW w:w="9288" w:type="dxa"/>
          </w:tcPr>
          <w:p w:rsidR="00181149" w:rsidRDefault="0064466C">
            <w:pPr>
              <w:spacing w:after="120"/>
              <w:jc w:val="both"/>
              <w:rPr>
                <w:rFonts w:ascii="Arial" w:hAnsi="Arial" w:cs="Arial"/>
                <w:noProof/>
              </w:rPr>
            </w:pPr>
            <w:r>
              <w:rPr>
                <w:rFonts w:ascii="Arial" w:hAnsi="Arial" w:cs="Arial"/>
                <w:noProof/>
              </w:rPr>
              <w:drawing>
                <wp:inline distT="0" distB="0" distL="0" distR="0" wp14:anchorId="488BA937" wp14:editId="30E77D6C">
                  <wp:extent cx="5756910" cy="3808730"/>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6910" cy="3808730"/>
                          </a:xfrm>
                          <a:prstGeom prst="rect">
                            <a:avLst/>
                          </a:prstGeom>
                          <a:noFill/>
                          <a:ln>
                            <a:noFill/>
                          </a:ln>
                        </pic:spPr>
                      </pic:pic>
                    </a:graphicData>
                  </a:graphic>
                </wp:inline>
              </w:drawing>
            </w:r>
          </w:p>
        </w:tc>
      </w:tr>
      <w:tr w:rsidR="00181149">
        <w:tc>
          <w:tcPr>
            <w:tcW w:w="9288" w:type="dxa"/>
          </w:tcPr>
          <w:p w:rsidR="00181149" w:rsidRDefault="0064466C">
            <w:pPr>
              <w:spacing w:after="120"/>
              <w:jc w:val="both"/>
              <w:rPr>
                <w:rFonts w:ascii="Arial" w:hAnsi="Arial" w:cs="Arial"/>
                <w:noProof/>
              </w:rPr>
            </w:pPr>
            <w:r>
              <w:rPr>
                <w:rFonts w:ascii="Times New Roman" w:hAnsi="Times New Roman"/>
                <w:i/>
                <w:noProof/>
                <w:sz w:val="18"/>
                <w:szCs w:val="18"/>
              </w:rPr>
              <w:t>Source</w:t>
            </w:r>
            <w:r>
              <w:rPr>
                <w:rFonts w:ascii="Times New Roman" w:hAnsi="Times New Roman"/>
                <w:noProof/>
                <w:sz w:val="18"/>
                <w:szCs w:val="18"/>
              </w:rPr>
              <w:t xml:space="preserve">: Dealogic M&amp;As ANALYTICS, transactions for the </w:t>
            </w:r>
            <w:r>
              <w:rPr>
                <w:rFonts w:ascii="Times New Roman" w:hAnsi="Times New Roman"/>
                <w:noProof/>
                <w:sz w:val="18"/>
                <w:szCs w:val="18"/>
              </w:rPr>
              <w:t>acquisition of stakes above 10%.</w:t>
            </w:r>
          </w:p>
        </w:tc>
      </w:tr>
    </w:tbl>
    <w:p w:rsidR="00181149" w:rsidRDefault="00181149">
      <w:pPr>
        <w:spacing w:after="120"/>
        <w:jc w:val="both"/>
        <w:rPr>
          <w:rFonts w:ascii="Arial" w:hAnsi="Arial" w:cs="Arial"/>
          <w:noProof/>
        </w:rPr>
      </w:pPr>
    </w:p>
    <w:p w:rsidR="00181149" w:rsidRDefault="0064466C">
      <w:pPr>
        <w:spacing w:after="200" w:line="276" w:lineRule="auto"/>
        <w:rPr>
          <w:rFonts w:ascii="Arial" w:hAnsi="Arial" w:cs="Arial"/>
          <w:noProof/>
          <w:u w:val="single"/>
        </w:rPr>
      </w:pPr>
      <w:r>
        <w:rPr>
          <w:rFonts w:ascii="Arial" w:hAnsi="Arial" w:cs="Arial"/>
          <w:noProof/>
          <w:u w:val="single"/>
        </w:rPr>
        <w:br w:type="page"/>
      </w:r>
    </w:p>
    <w:p w:rsidR="00181149" w:rsidRDefault="0064466C">
      <w:pPr>
        <w:pStyle w:val="ListParagraph"/>
        <w:spacing w:after="120"/>
        <w:ind w:left="0"/>
        <w:jc w:val="both"/>
        <w:rPr>
          <w:rFonts w:ascii="Arial" w:hAnsi="Arial" w:cs="Arial"/>
          <w:noProof/>
          <w:u w:val="single"/>
        </w:rPr>
      </w:pPr>
      <w:r>
        <w:rPr>
          <w:rFonts w:ascii="Arial" w:hAnsi="Arial" w:cs="Arial"/>
          <w:noProof/>
          <w:u w:val="single"/>
        </w:rPr>
        <w:t xml:space="preserve">Number of inward M&amp;A / FDI Transactions </w:t>
      </w:r>
    </w:p>
    <w:p w:rsidR="00181149" w:rsidRDefault="00181149">
      <w:pPr>
        <w:pStyle w:val="ListParagraph"/>
        <w:spacing w:after="120"/>
        <w:jc w:val="both"/>
        <w:rPr>
          <w:rFonts w:ascii="Arial" w:hAnsi="Arial" w:cs="Arial"/>
          <w:noProof/>
        </w:rPr>
      </w:pP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lang w:val="en"/>
        </w:rPr>
        <w:t>Estimates point to a range for FDI transactions in the EU of between 2000 and 4000 per year</w:t>
      </w:r>
      <w:r>
        <w:rPr>
          <w:rStyle w:val="FootnoteReference"/>
          <w:rFonts w:ascii="open_sansregular" w:hAnsi="open_sansregular" w:cs="Helvetica"/>
          <w:i/>
          <w:noProof/>
          <w:color w:val="333333"/>
          <w:sz w:val="21"/>
          <w:szCs w:val="21"/>
          <w:lang w:val="en"/>
        </w:rPr>
        <w:footnoteReference w:id="11"/>
      </w:r>
    </w:p>
    <w:p w:rsidR="00181149" w:rsidRDefault="00181149">
      <w:pPr>
        <w:pStyle w:val="ListParagraph"/>
        <w:spacing w:after="120"/>
        <w:jc w:val="both"/>
        <w:rPr>
          <w:rFonts w:ascii="Arial" w:hAnsi="Arial" w:cs="Arial"/>
          <w:noProof/>
        </w:rPr>
      </w:pP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lang w:val="en"/>
        </w:rPr>
        <w:t>With respect to M&amp;As the EU has become a net importer of capital as of 2009 with th</w:t>
      </w:r>
      <w:r>
        <w:rPr>
          <w:rFonts w:ascii="open_sansregular" w:hAnsi="open_sansregular" w:cs="Helvetica"/>
          <w:i/>
          <w:noProof/>
          <w:color w:val="333333"/>
          <w:sz w:val="21"/>
          <w:szCs w:val="21"/>
          <w:lang w:val="en"/>
        </w:rPr>
        <w:t>e value of inward transactions exceeding that of outward transactions.</w:t>
      </w:r>
    </w:p>
    <w:p w:rsidR="00181149" w:rsidRDefault="00181149">
      <w:pPr>
        <w:pStyle w:val="ListParagraph"/>
        <w:spacing w:after="120"/>
        <w:jc w:val="both"/>
        <w:rPr>
          <w:rFonts w:ascii="Arial" w:hAnsi="Arial" w:cs="Arial"/>
          <w:noProof/>
        </w:rPr>
      </w:pPr>
    </w:p>
    <w:p w:rsidR="00181149" w:rsidRDefault="0064466C">
      <w:pPr>
        <w:pStyle w:val="ListParagraph"/>
        <w:numPr>
          <w:ilvl w:val="0"/>
          <w:numId w:val="2"/>
        </w:numPr>
        <w:spacing w:after="120"/>
        <w:jc w:val="both"/>
        <w:rPr>
          <w:rFonts w:ascii="open_sansregular" w:hAnsi="open_sansregular" w:cs="Helvetica"/>
          <w:i/>
          <w:noProof/>
          <w:color w:val="333333"/>
          <w:sz w:val="21"/>
          <w:szCs w:val="21"/>
          <w:lang w:val="en"/>
        </w:rPr>
      </w:pPr>
      <w:r>
        <w:rPr>
          <w:rFonts w:ascii="open_sansregular" w:hAnsi="open_sansregular" w:cs="Helvetica"/>
          <w:i/>
          <w:noProof/>
          <w:color w:val="333333"/>
          <w:sz w:val="21"/>
          <w:szCs w:val="21"/>
          <w:lang w:val="en"/>
        </w:rPr>
        <w:t>In 2016 there were 1869 announced FDI transactions involving an extra-EU acquisition of a stake above 10% in an EU enterprise</w:t>
      </w:r>
      <w:r>
        <w:rPr>
          <w:noProof/>
        </w:rPr>
        <w:t xml:space="preserve"> </w:t>
      </w:r>
    </w:p>
    <w:p w:rsidR="00181149" w:rsidRDefault="00181149">
      <w:pPr>
        <w:pStyle w:val="ListParagraph"/>
        <w:spacing w:after="120"/>
        <w:jc w:val="both"/>
        <w:rPr>
          <w:rFonts w:ascii="open_sansregular" w:hAnsi="open_sansregular" w:cs="Helvetica"/>
          <w:i/>
          <w:noProof/>
          <w:color w:val="333333"/>
          <w:sz w:val="21"/>
          <w:szCs w:val="21"/>
          <w:lang w:val="en"/>
        </w:rPr>
      </w:pPr>
    </w:p>
    <w:tbl>
      <w:tblPr>
        <w:tblStyle w:val="TableGrid"/>
        <w:tblW w:w="0" w:type="auto"/>
        <w:tblLook w:val="04A0" w:firstRow="1" w:lastRow="0" w:firstColumn="1" w:lastColumn="0" w:noHBand="0" w:noVBand="1"/>
      </w:tblPr>
      <w:tblGrid>
        <w:gridCol w:w="9288"/>
      </w:tblGrid>
      <w:tr w:rsidR="00181149">
        <w:tc>
          <w:tcPr>
            <w:tcW w:w="9288" w:type="dxa"/>
          </w:tcPr>
          <w:p w:rsidR="00181149" w:rsidRDefault="0064466C">
            <w:pPr>
              <w:jc w:val="center"/>
              <w:rPr>
                <w:b/>
                <w:noProof/>
              </w:rPr>
            </w:pPr>
            <w:r>
              <w:rPr>
                <w:b/>
                <w:noProof/>
              </w:rPr>
              <w:t>Figure 9, Number of extra-EU FDI transactions</w:t>
            </w:r>
          </w:p>
        </w:tc>
      </w:tr>
      <w:tr w:rsidR="00181149">
        <w:tc>
          <w:tcPr>
            <w:tcW w:w="9288" w:type="dxa"/>
          </w:tcPr>
          <w:p w:rsidR="00181149" w:rsidRDefault="0064466C">
            <w:pPr>
              <w:jc w:val="center"/>
              <w:rPr>
                <w:b/>
                <w:noProof/>
              </w:rPr>
            </w:pPr>
            <w:r>
              <w:rPr>
                <w:b/>
                <w:noProof/>
              </w:rPr>
              <w:drawing>
                <wp:inline distT="0" distB="0" distL="0" distR="0" wp14:anchorId="3BC354ED" wp14:editId="4F9DE6E2">
                  <wp:extent cx="4572000" cy="27508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2750820"/>
                          </a:xfrm>
                          <a:prstGeom prst="rect">
                            <a:avLst/>
                          </a:prstGeom>
                          <a:noFill/>
                        </pic:spPr>
                      </pic:pic>
                    </a:graphicData>
                  </a:graphic>
                </wp:inline>
              </w:drawing>
            </w:r>
          </w:p>
        </w:tc>
      </w:tr>
      <w:tr w:rsidR="00181149">
        <w:tc>
          <w:tcPr>
            <w:tcW w:w="9288" w:type="dxa"/>
          </w:tcPr>
          <w:p w:rsidR="00181149" w:rsidRDefault="0064466C">
            <w:pPr>
              <w:rPr>
                <w:rFonts w:ascii="Times New Roman" w:hAnsi="Times New Roman"/>
                <w:noProof/>
                <w:sz w:val="18"/>
                <w:szCs w:val="18"/>
              </w:rPr>
            </w:pPr>
            <w:r>
              <w:rPr>
                <w:rFonts w:ascii="Times New Roman" w:hAnsi="Times New Roman"/>
                <w:i/>
                <w:noProof/>
                <w:sz w:val="18"/>
                <w:szCs w:val="18"/>
              </w:rPr>
              <w:t>Source</w:t>
            </w:r>
            <w:r>
              <w:rPr>
                <w:rFonts w:ascii="Times New Roman" w:hAnsi="Times New Roman"/>
                <w:noProof/>
                <w:sz w:val="18"/>
                <w:szCs w:val="18"/>
              </w:rPr>
              <w:t>: DEALOGIC M&amp;As Analytics, Announced deals, acquisitions of stakes above 10%.</w:t>
            </w:r>
          </w:p>
        </w:tc>
      </w:tr>
    </w:tbl>
    <w:p w:rsidR="00181149" w:rsidRDefault="00181149">
      <w:pPr>
        <w:pStyle w:val="ListParagraph"/>
        <w:spacing w:after="120"/>
        <w:jc w:val="both"/>
        <w:rPr>
          <w:rFonts w:ascii="open_sansregular" w:hAnsi="open_sansregular" w:cs="Helvetica"/>
          <w:i/>
          <w:noProof/>
          <w:color w:val="333333"/>
          <w:sz w:val="21"/>
          <w:szCs w:val="21"/>
          <w:lang w:val="en"/>
        </w:rPr>
      </w:pPr>
    </w:p>
    <w:p w:rsidR="00181149" w:rsidRDefault="0064466C">
      <w:pPr>
        <w:pStyle w:val="ListParagraph"/>
        <w:numPr>
          <w:ilvl w:val="0"/>
          <w:numId w:val="2"/>
        </w:numPr>
        <w:spacing w:after="120"/>
        <w:jc w:val="both"/>
        <w:rPr>
          <w:rFonts w:ascii="open_sansregular" w:hAnsi="open_sansregular" w:cs="Helvetica"/>
          <w:i/>
          <w:noProof/>
          <w:color w:val="333333"/>
          <w:sz w:val="21"/>
          <w:szCs w:val="21"/>
          <w:lang w:val="en"/>
        </w:rPr>
      </w:pPr>
      <w:r>
        <w:rPr>
          <w:rFonts w:ascii="open_sansregular" w:hAnsi="open_sansregular" w:cs="Helvetica"/>
          <w:i/>
          <w:noProof/>
          <w:color w:val="333333"/>
          <w:sz w:val="21"/>
          <w:szCs w:val="21"/>
          <w:lang w:val="en"/>
        </w:rPr>
        <w:t>The UK was the most targeted Member State in 2016 as it was home to 629 deals or more than 35% of all extra-EU FDI transactions. It was followed by Germany (247 deals or 14% of</w:t>
      </w:r>
      <w:r>
        <w:rPr>
          <w:rFonts w:ascii="open_sansregular" w:hAnsi="open_sansregular" w:cs="Helvetica"/>
          <w:i/>
          <w:noProof/>
          <w:color w:val="333333"/>
          <w:sz w:val="21"/>
          <w:szCs w:val="21"/>
          <w:lang w:val="en"/>
        </w:rPr>
        <w:t xml:space="preserve"> EU total) and France (176 deals or 13% of EU total).</w:t>
      </w:r>
    </w:p>
    <w:p w:rsidR="00181149" w:rsidRDefault="00181149">
      <w:pPr>
        <w:pStyle w:val="ListParagraph"/>
        <w:spacing w:after="120"/>
        <w:jc w:val="both"/>
        <w:rPr>
          <w:rFonts w:ascii="open_sansregular" w:hAnsi="open_sansregular" w:cs="Helvetica"/>
          <w:i/>
          <w:noProof/>
          <w:color w:val="333333"/>
          <w:sz w:val="21"/>
          <w:szCs w:val="21"/>
          <w:lang w:val="en"/>
        </w:rPr>
      </w:pPr>
    </w:p>
    <w:p w:rsidR="00181149" w:rsidRDefault="0064466C">
      <w:pPr>
        <w:pStyle w:val="ListParagraph"/>
        <w:numPr>
          <w:ilvl w:val="0"/>
          <w:numId w:val="2"/>
        </w:numPr>
        <w:rPr>
          <w:rFonts w:ascii="open_sansregular" w:hAnsi="open_sansregular" w:cs="Helvetica"/>
          <w:i/>
          <w:noProof/>
          <w:color w:val="333333"/>
          <w:sz w:val="21"/>
          <w:szCs w:val="21"/>
          <w:lang w:val="en"/>
        </w:rPr>
      </w:pPr>
      <w:r>
        <w:rPr>
          <w:rFonts w:ascii="open_sansregular" w:hAnsi="open_sansregular" w:cs="Helvetica"/>
          <w:i/>
          <w:noProof/>
          <w:color w:val="333333"/>
          <w:sz w:val="21"/>
          <w:szCs w:val="21"/>
          <w:lang w:val="en"/>
        </w:rPr>
        <w:t>Regarding the nationality of acquirers, the US had the largest share in the total extra-EU FDI transactions in 2016 (40%), followed by China (12%).</w:t>
      </w:r>
    </w:p>
    <w:p w:rsidR="00181149" w:rsidRDefault="00181149">
      <w:pPr>
        <w:pStyle w:val="ListParagraph"/>
        <w:rPr>
          <w:rFonts w:ascii="open_sansregular" w:hAnsi="open_sansregular" w:cs="Helvetica"/>
          <w:i/>
          <w:noProof/>
          <w:color w:val="333333"/>
          <w:sz w:val="21"/>
          <w:szCs w:val="21"/>
          <w:lang w:val="en"/>
        </w:rPr>
      </w:pPr>
    </w:p>
    <w:p w:rsidR="00181149" w:rsidRDefault="0064466C">
      <w:pPr>
        <w:pStyle w:val="ListParagraph"/>
        <w:numPr>
          <w:ilvl w:val="0"/>
          <w:numId w:val="2"/>
        </w:numPr>
        <w:rPr>
          <w:rFonts w:ascii="open_sansregular" w:hAnsi="open_sansregular" w:cs="Helvetica"/>
          <w:i/>
          <w:noProof/>
          <w:color w:val="333333"/>
          <w:sz w:val="21"/>
          <w:szCs w:val="21"/>
          <w:lang w:val="en"/>
        </w:rPr>
      </w:pPr>
      <w:r>
        <w:rPr>
          <w:rFonts w:ascii="open_sansregular" w:hAnsi="open_sansregular" w:cs="Helvetica"/>
          <w:i/>
          <w:noProof/>
          <w:color w:val="333333"/>
          <w:sz w:val="21"/>
          <w:szCs w:val="21"/>
          <w:lang w:val="en"/>
        </w:rPr>
        <w:t>More than 85% of these transactions (i.e. acquisitio</w:t>
      </w:r>
      <w:r>
        <w:rPr>
          <w:rFonts w:ascii="open_sansregular" w:hAnsi="open_sansregular" w:cs="Helvetica"/>
          <w:i/>
          <w:noProof/>
          <w:color w:val="333333"/>
          <w:sz w:val="21"/>
          <w:szCs w:val="21"/>
          <w:lang w:val="en"/>
        </w:rPr>
        <w:t>n of a stake above 10%) were strategic acquisitions to gain control of the companies (i.e. stakes of more than 50%).</w:t>
      </w:r>
    </w:p>
    <w:p w:rsidR="00181149" w:rsidRDefault="00181149">
      <w:pPr>
        <w:spacing w:after="120"/>
        <w:jc w:val="both"/>
        <w:rPr>
          <w:rFonts w:ascii="Arial" w:hAnsi="Arial" w:cs="Arial"/>
          <w:noProof/>
          <w:lang w:val="en"/>
        </w:rPr>
      </w:pPr>
    </w:p>
    <w:p w:rsidR="00181149" w:rsidRDefault="0064466C">
      <w:pPr>
        <w:spacing w:after="200" w:line="276" w:lineRule="auto"/>
        <w:rPr>
          <w:rFonts w:ascii="Arial" w:hAnsi="Arial" w:cs="Arial"/>
          <w:noProof/>
          <w:u w:val="single"/>
        </w:rPr>
      </w:pPr>
      <w:r>
        <w:rPr>
          <w:rFonts w:ascii="Arial" w:hAnsi="Arial" w:cs="Arial"/>
          <w:noProof/>
          <w:u w:val="single"/>
        </w:rPr>
        <w:br w:type="page"/>
      </w:r>
    </w:p>
    <w:p w:rsidR="00181149" w:rsidRDefault="0064466C">
      <w:pPr>
        <w:spacing w:after="120"/>
        <w:jc w:val="both"/>
        <w:rPr>
          <w:rFonts w:ascii="Arial" w:hAnsi="Arial" w:cs="Arial"/>
          <w:noProof/>
          <w:u w:val="single"/>
        </w:rPr>
      </w:pPr>
      <w:r>
        <w:rPr>
          <w:rFonts w:ascii="Arial" w:hAnsi="Arial" w:cs="Arial"/>
          <w:noProof/>
          <w:u w:val="single"/>
        </w:rPr>
        <w:t>Greenfield investment</w:t>
      </w:r>
    </w:p>
    <w:p w:rsidR="00181149" w:rsidRDefault="0064466C">
      <w:pPr>
        <w:pStyle w:val="ListParagraph"/>
        <w:numPr>
          <w:ilvl w:val="0"/>
          <w:numId w:val="4"/>
        </w:numPr>
        <w:spacing w:after="120"/>
        <w:ind w:left="714" w:hanging="357"/>
        <w:jc w:val="both"/>
        <w:rPr>
          <w:rFonts w:ascii="open_sansregular" w:hAnsi="open_sansregular" w:cs="Helvetica"/>
          <w:i/>
          <w:noProof/>
          <w:color w:val="333333"/>
          <w:sz w:val="21"/>
          <w:szCs w:val="21"/>
          <w:lang w:val="en"/>
        </w:rPr>
      </w:pPr>
      <w:r>
        <w:rPr>
          <w:rFonts w:ascii="open_sansregular" w:hAnsi="open_sansregular" w:cs="Helvetica"/>
          <w:i/>
          <w:noProof/>
          <w:color w:val="333333"/>
          <w:sz w:val="21"/>
          <w:szCs w:val="21"/>
          <w:lang w:val="en"/>
        </w:rPr>
        <w:t>Greenfield FDI shows as well a clear continuation of the increase trend in non-EU FDI sources (2012-2017);</w:t>
      </w:r>
    </w:p>
    <w:p w:rsidR="00181149" w:rsidRDefault="00181149">
      <w:pPr>
        <w:pStyle w:val="ListParagraph"/>
        <w:spacing w:after="120"/>
        <w:ind w:left="714"/>
        <w:jc w:val="both"/>
        <w:rPr>
          <w:rFonts w:ascii="open_sansregular" w:hAnsi="open_sansregular" w:cs="Helvetica"/>
          <w:i/>
          <w:noProof/>
          <w:color w:val="333333"/>
          <w:sz w:val="21"/>
          <w:szCs w:val="21"/>
          <w:lang w:val="en"/>
        </w:rPr>
      </w:pPr>
    </w:p>
    <w:p w:rsidR="00181149" w:rsidRDefault="0064466C">
      <w:pPr>
        <w:pStyle w:val="ListParagraph"/>
        <w:numPr>
          <w:ilvl w:val="0"/>
          <w:numId w:val="4"/>
        </w:numPr>
        <w:spacing w:after="120"/>
        <w:jc w:val="both"/>
        <w:rPr>
          <w:rFonts w:ascii="open_sansregular" w:hAnsi="open_sansregular" w:cs="Helvetica"/>
          <w:i/>
          <w:noProof/>
          <w:color w:val="333333"/>
          <w:sz w:val="21"/>
          <w:szCs w:val="21"/>
          <w:lang w:val="en"/>
        </w:rPr>
      </w:pPr>
      <w:r>
        <w:rPr>
          <w:rFonts w:ascii="open_sansregular" w:hAnsi="open_sansregular" w:cs="Helvetica"/>
          <w:i/>
          <w:noProof/>
          <w:color w:val="333333"/>
          <w:sz w:val="21"/>
          <w:szCs w:val="21"/>
          <w:lang w:val="en"/>
        </w:rPr>
        <w:t>Simila</w:t>
      </w:r>
      <w:r>
        <w:rPr>
          <w:rFonts w:ascii="open_sansregular" w:hAnsi="open_sansregular" w:cs="Helvetica"/>
          <w:i/>
          <w:noProof/>
          <w:color w:val="333333"/>
          <w:sz w:val="21"/>
          <w:szCs w:val="21"/>
          <w:lang w:val="en"/>
        </w:rPr>
        <w:t>rly to M&amp;As and total non-EU FDI, the rise in Greenfield investment into the EU was increasingly due to investment by selected large non-EU economies;</w:t>
      </w:r>
    </w:p>
    <w:tbl>
      <w:tblPr>
        <w:tblStyle w:val="TableGrid"/>
        <w:tblW w:w="0" w:type="auto"/>
        <w:tblLook w:val="04A0" w:firstRow="1" w:lastRow="0" w:firstColumn="1" w:lastColumn="0" w:noHBand="0" w:noVBand="1"/>
      </w:tblPr>
      <w:tblGrid>
        <w:gridCol w:w="9288"/>
      </w:tblGrid>
      <w:tr w:rsidR="00181149">
        <w:tc>
          <w:tcPr>
            <w:tcW w:w="9288" w:type="dxa"/>
          </w:tcPr>
          <w:p w:rsidR="00181149" w:rsidRDefault="0064466C">
            <w:pPr>
              <w:spacing w:after="120"/>
              <w:jc w:val="center"/>
              <w:rPr>
                <w:rFonts w:ascii="Times New Roman" w:hAnsi="Times New Roman"/>
                <w:i/>
                <w:noProof/>
                <w:color w:val="333333"/>
                <w:sz w:val="21"/>
                <w:szCs w:val="21"/>
                <w:lang w:val="en"/>
              </w:rPr>
            </w:pPr>
            <w:r>
              <w:rPr>
                <w:rFonts w:ascii="Times New Roman" w:hAnsi="Times New Roman"/>
                <w:b/>
                <w:noProof/>
              </w:rPr>
              <w:t>Figure 10, Non-EU Greenfield investment, 2012-2017</w:t>
            </w:r>
          </w:p>
        </w:tc>
      </w:tr>
      <w:tr w:rsidR="00181149">
        <w:tc>
          <w:tcPr>
            <w:tcW w:w="9288" w:type="dxa"/>
          </w:tcPr>
          <w:p w:rsidR="00181149" w:rsidRDefault="0064466C">
            <w:pPr>
              <w:spacing w:after="120"/>
              <w:jc w:val="both"/>
              <w:rPr>
                <w:rFonts w:ascii="open_sansregular" w:hAnsi="open_sansregular" w:cs="Helvetica"/>
                <w:i/>
                <w:noProof/>
                <w:color w:val="333333"/>
                <w:sz w:val="21"/>
                <w:szCs w:val="21"/>
                <w:lang w:val="en"/>
              </w:rPr>
            </w:pPr>
            <w:r>
              <w:rPr>
                <w:noProof/>
              </w:rPr>
              <w:drawing>
                <wp:inline distT="0" distB="0" distL="0" distR="0" wp14:anchorId="77AF3D52" wp14:editId="18D06F19">
                  <wp:extent cx="5788325" cy="3079630"/>
                  <wp:effectExtent l="0" t="0" r="22225" b="260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181149">
        <w:tc>
          <w:tcPr>
            <w:tcW w:w="9288" w:type="dxa"/>
          </w:tcPr>
          <w:p w:rsidR="00181149" w:rsidRDefault="0064466C">
            <w:pPr>
              <w:spacing w:after="120"/>
              <w:jc w:val="both"/>
              <w:rPr>
                <w:rFonts w:ascii="open_sansregular" w:hAnsi="open_sansregular" w:cs="Helvetica"/>
                <w:i/>
                <w:noProof/>
                <w:color w:val="333333"/>
                <w:sz w:val="21"/>
                <w:szCs w:val="21"/>
                <w:lang w:val="en"/>
              </w:rPr>
            </w:pPr>
            <w:r>
              <w:rPr>
                <w:rFonts w:ascii="Times New Roman" w:hAnsi="Times New Roman"/>
                <w:i/>
                <w:noProof/>
                <w:sz w:val="18"/>
                <w:szCs w:val="18"/>
              </w:rPr>
              <w:t>Source</w:t>
            </w:r>
            <w:r>
              <w:rPr>
                <w:rFonts w:ascii="Times New Roman" w:hAnsi="Times New Roman"/>
                <w:noProof/>
                <w:sz w:val="18"/>
                <w:szCs w:val="18"/>
              </w:rPr>
              <w:t xml:space="preserve">: FDIMarkets; </w:t>
            </w:r>
            <w:r>
              <w:rPr>
                <w:rFonts w:ascii="Times New Roman" w:hAnsi="Times New Roman"/>
                <w:i/>
                <w:noProof/>
                <w:sz w:val="18"/>
                <w:szCs w:val="18"/>
              </w:rPr>
              <w:t>Notes</w:t>
            </w:r>
            <w:r>
              <w:rPr>
                <w:rFonts w:ascii="Times New Roman" w:hAnsi="Times New Roman"/>
                <w:noProof/>
                <w:sz w:val="18"/>
                <w:szCs w:val="18"/>
              </w:rPr>
              <w:t xml:space="preserve">: *Selected non-EU </w:t>
            </w:r>
            <w:r>
              <w:rPr>
                <w:rFonts w:ascii="Times New Roman" w:hAnsi="Times New Roman"/>
                <w:noProof/>
                <w:sz w:val="18"/>
                <w:szCs w:val="18"/>
              </w:rPr>
              <w:t>countries: the BRICS countries, the US and Japan; Extra-EU refers to investments into the EU from third countries.</w:t>
            </w:r>
          </w:p>
        </w:tc>
      </w:tr>
    </w:tbl>
    <w:p w:rsidR="00181149" w:rsidRDefault="00181149">
      <w:pPr>
        <w:spacing w:after="120"/>
        <w:jc w:val="both"/>
        <w:rPr>
          <w:rFonts w:ascii="open_sansregular" w:hAnsi="open_sansregular" w:cs="Helvetica"/>
          <w:i/>
          <w:noProof/>
          <w:color w:val="333333"/>
          <w:sz w:val="21"/>
          <w:szCs w:val="21"/>
          <w:lang w:val="en"/>
        </w:rPr>
      </w:pPr>
    </w:p>
    <w:p w:rsidR="00181149" w:rsidRDefault="0064466C">
      <w:pPr>
        <w:pStyle w:val="ListParagraph"/>
        <w:numPr>
          <w:ilvl w:val="0"/>
          <w:numId w:val="5"/>
        </w:numPr>
        <w:spacing w:after="120"/>
        <w:jc w:val="both"/>
        <w:rPr>
          <w:rFonts w:ascii="open_sansregular" w:hAnsi="open_sansregular" w:cs="Helvetica"/>
          <w:i/>
          <w:noProof/>
          <w:color w:val="333333"/>
          <w:sz w:val="21"/>
          <w:szCs w:val="21"/>
          <w:lang w:val="en"/>
        </w:rPr>
      </w:pPr>
      <w:r>
        <w:rPr>
          <w:rFonts w:ascii="open_sansregular" w:hAnsi="open_sansregular" w:cs="Helvetica"/>
          <w:i/>
          <w:noProof/>
          <w:color w:val="333333"/>
          <w:sz w:val="21"/>
          <w:szCs w:val="21"/>
          <w:lang w:val="en"/>
        </w:rPr>
        <w:t>However, despite its increasing trend and its more direct positive impact on the hosting economies, Greenfield investment into the EU still</w:t>
      </w:r>
      <w:r>
        <w:rPr>
          <w:rFonts w:ascii="open_sansregular" w:hAnsi="open_sansregular" w:cs="Helvetica"/>
          <w:i/>
          <w:noProof/>
          <w:color w:val="333333"/>
          <w:sz w:val="21"/>
          <w:szCs w:val="21"/>
          <w:lang w:val="en"/>
        </w:rPr>
        <w:t xml:space="preserve"> remains well below the value of M&amp;As and more than 6 times lower than brownfield investment.</w:t>
      </w:r>
    </w:p>
    <w:p w:rsidR="00181149" w:rsidRDefault="00181149">
      <w:pPr>
        <w:spacing w:after="200" w:line="276" w:lineRule="auto"/>
        <w:rPr>
          <w:rFonts w:ascii="Arial" w:hAnsi="Arial" w:cs="Arial"/>
          <w:noProof/>
          <w:u w:val="single"/>
        </w:rPr>
      </w:pPr>
    </w:p>
    <w:tbl>
      <w:tblPr>
        <w:tblStyle w:val="TableGrid"/>
        <w:tblW w:w="0" w:type="auto"/>
        <w:tblLook w:val="04A0" w:firstRow="1" w:lastRow="0" w:firstColumn="1" w:lastColumn="0" w:noHBand="0" w:noVBand="1"/>
      </w:tblPr>
      <w:tblGrid>
        <w:gridCol w:w="9288"/>
      </w:tblGrid>
      <w:tr w:rsidR="00181149">
        <w:tc>
          <w:tcPr>
            <w:tcW w:w="9288" w:type="dxa"/>
          </w:tcPr>
          <w:p w:rsidR="00181149" w:rsidRDefault="0064466C">
            <w:pPr>
              <w:spacing w:after="200" w:line="276" w:lineRule="auto"/>
              <w:jc w:val="center"/>
              <w:rPr>
                <w:rFonts w:ascii="Arial" w:hAnsi="Arial" w:cs="Arial"/>
                <w:noProof/>
                <w:u w:val="single"/>
              </w:rPr>
            </w:pPr>
            <w:r>
              <w:rPr>
                <w:rFonts w:ascii="Times New Roman" w:hAnsi="Times New Roman"/>
                <w:b/>
                <w:noProof/>
              </w:rPr>
              <w:t>Figure 11, Greenfield investment as a share of total non-EU inward FDI</w:t>
            </w:r>
          </w:p>
        </w:tc>
      </w:tr>
      <w:tr w:rsidR="00181149">
        <w:tc>
          <w:tcPr>
            <w:tcW w:w="9288" w:type="dxa"/>
          </w:tcPr>
          <w:p w:rsidR="00181149" w:rsidRDefault="0064466C">
            <w:pPr>
              <w:spacing w:after="200" w:line="276" w:lineRule="auto"/>
              <w:jc w:val="center"/>
              <w:rPr>
                <w:rFonts w:ascii="Arial" w:hAnsi="Arial" w:cs="Arial"/>
                <w:noProof/>
                <w:u w:val="single"/>
              </w:rPr>
            </w:pPr>
            <w:r>
              <w:rPr>
                <w:rFonts w:ascii="Arial" w:hAnsi="Arial" w:cs="Arial"/>
                <w:noProof/>
                <w:u w:val="single"/>
              </w:rPr>
              <w:drawing>
                <wp:inline distT="0" distB="0" distL="0" distR="0" wp14:anchorId="0F42D2C0" wp14:editId="119BB9DD">
                  <wp:extent cx="4581525" cy="2266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9620" cy="2266007"/>
                          </a:xfrm>
                          <a:prstGeom prst="rect">
                            <a:avLst/>
                          </a:prstGeom>
                          <a:noFill/>
                        </pic:spPr>
                      </pic:pic>
                    </a:graphicData>
                  </a:graphic>
                </wp:inline>
              </w:drawing>
            </w:r>
          </w:p>
        </w:tc>
      </w:tr>
      <w:tr w:rsidR="00181149">
        <w:tc>
          <w:tcPr>
            <w:tcW w:w="9288" w:type="dxa"/>
          </w:tcPr>
          <w:p w:rsidR="00181149" w:rsidRDefault="0064466C">
            <w:pPr>
              <w:spacing w:after="200" w:line="276" w:lineRule="auto"/>
              <w:rPr>
                <w:rFonts w:ascii="Times New Roman" w:hAnsi="Times New Roman"/>
                <w:noProof/>
                <w:u w:val="single"/>
              </w:rPr>
            </w:pPr>
            <w:r>
              <w:rPr>
                <w:rFonts w:ascii="Times New Roman" w:hAnsi="Times New Roman"/>
                <w:i/>
                <w:noProof/>
                <w:u w:val="single"/>
              </w:rPr>
              <w:t>Source</w:t>
            </w:r>
            <w:r>
              <w:rPr>
                <w:rFonts w:ascii="Times New Roman" w:hAnsi="Times New Roman"/>
                <w:noProof/>
                <w:u w:val="single"/>
              </w:rPr>
              <w:t xml:space="preserve">: FDIMarkets; </w:t>
            </w:r>
            <w:r>
              <w:rPr>
                <w:rFonts w:ascii="Times New Roman" w:hAnsi="Times New Roman"/>
                <w:i/>
                <w:noProof/>
                <w:u w:val="single"/>
              </w:rPr>
              <w:t>Note</w:t>
            </w:r>
            <w:r>
              <w:rPr>
                <w:rFonts w:ascii="Times New Roman" w:hAnsi="Times New Roman"/>
                <w:noProof/>
                <w:u w:val="single"/>
              </w:rPr>
              <w:t>: Brownfield investment is calculated as a residual and includ</w:t>
            </w:r>
            <w:r>
              <w:rPr>
                <w:rFonts w:ascii="Times New Roman" w:hAnsi="Times New Roman"/>
                <w:noProof/>
                <w:u w:val="single"/>
              </w:rPr>
              <w:t>es all remaining components of FDI (for instance M&amp;As, reinvested earnings and  intracompany loans)</w:t>
            </w:r>
          </w:p>
        </w:tc>
      </w:tr>
    </w:tbl>
    <w:p w:rsidR="00181149" w:rsidRDefault="00181149">
      <w:pPr>
        <w:spacing w:after="200" w:line="276" w:lineRule="auto"/>
        <w:rPr>
          <w:rFonts w:ascii="Arial" w:hAnsi="Arial" w:cs="Arial"/>
          <w:noProof/>
          <w:u w:val="single"/>
        </w:rPr>
      </w:pPr>
    </w:p>
    <w:p w:rsidR="00181149" w:rsidRDefault="0064466C">
      <w:pPr>
        <w:spacing w:after="120"/>
        <w:jc w:val="both"/>
        <w:rPr>
          <w:rFonts w:ascii="Arial" w:hAnsi="Arial" w:cs="Arial"/>
          <w:noProof/>
          <w:u w:val="single"/>
        </w:rPr>
      </w:pPr>
      <w:r>
        <w:rPr>
          <w:rFonts w:ascii="Arial" w:hAnsi="Arial" w:cs="Arial"/>
          <w:noProof/>
          <w:u w:val="single"/>
        </w:rPr>
        <w:t>Foreign controlled enterprises</w:t>
      </w:r>
      <w:r>
        <w:rPr>
          <w:rStyle w:val="FootnoteReference"/>
          <w:rFonts w:ascii="Arial" w:hAnsi="Arial" w:cs="Arial"/>
          <w:noProof/>
          <w:u w:val="single"/>
        </w:rPr>
        <w:footnoteReference w:id="12"/>
      </w:r>
      <w:r>
        <w:rPr>
          <w:rFonts w:ascii="Arial" w:hAnsi="Arial" w:cs="Arial"/>
          <w:noProof/>
          <w:u w:val="single"/>
        </w:rPr>
        <w:t xml:space="preserve"> </w:t>
      </w: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lang w:val="en"/>
        </w:rPr>
        <w:t xml:space="preserve">Third-country foreign-controlled enterprises are small in number in the EU (0.4% of the total) but they have a </w:t>
      </w:r>
      <w:r>
        <w:rPr>
          <w:rFonts w:ascii="open_sansregular" w:hAnsi="open_sansregular" w:cs="Helvetica"/>
          <w:i/>
          <w:noProof/>
          <w:color w:val="333333"/>
          <w:sz w:val="21"/>
          <w:szCs w:val="21"/>
          <w:lang w:val="en"/>
        </w:rPr>
        <w:t>significant economic impact due to their larger than average size in terms of added value, employment and turnover.</w:t>
      </w:r>
    </w:p>
    <w:p w:rsidR="00181149" w:rsidRDefault="00181149">
      <w:pPr>
        <w:pStyle w:val="ListParagraph"/>
        <w:spacing w:after="120"/>
        <w:jc w:val="both"/>
        <w:rPr>
          <w:rFonts w:ascii="Arial" w:hAnsi="Arial" w:cs="Arial"/>
          <w:noProof/>
        </w:rPr>
      </w:pP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lang w:val="en"/>
        </w:rPr>
        <w:t>The most recent reliable data available (end 2014</w:t>
      </w:r>
      <w:r>
        <w:rPr>
          <w:rStyle w:val="FootnoteReference"/>
          <w:rFonts w:ascii="open_sansregular" w:hAnsi="open_sansregular" w:cs="Helvetica"/>
          <w:noProof/>
          <w:color w:val="333333"/>
          <w:sz w:val="21"/>
          <w:szCs w:val="21"/>
        </w:rPr>
        <w:footnoteReference w:id="13"/>
      </w:r>
      <w:r>
        <w:rPr>
          <w:rFonts w:ascii="open_sansregular" w:hAnsi="open_sansregular" w:cs="Helvetica"/>
          <w:i/>
          <w:noProof/>
          <w:color w:val="333333"/>
          <w:sz w:val="21"/>
          <w:szCs w:val="21"/>
          <w:lang w:val="en"/>
        </w:rPr>
        <w:t xml:space="preserve">) shows that out of a grand total of around 22 million EU enterprises, only 1.2% were </w:t>
      </w:r>
      <w:r>
        <w:rPr>
          <w:rFonts w:ascii="open_sansregular" w:hAnsi="open_sansregular" w:cs="Helvetica"/>
          <w:i/>
          <w:noProof/>
          <w:color w:val="333333"/>
          <w:sz w:val="21"/>
          <w:szCs w:val="21"/>
          <w:lang w:val="en"/>
        </w:rPr>
        <w:t>foreign-controlled of which 89 000 (around one third) have controlling owners from outside the EU (see 0.4% figure in above bullet).</w:t>
      </w:r>
    </w:p>
    <w:p w:rsidR="00181149" w:rsidRDefault="00181149">
      <w:pPr>
        <w:pStyle w:val="ListParagraph"/>
        <w:spacing w:after="120"/>
        <w:jc w:val="both"/>
        <w:rPr>
          <w:rFonts w:ascii="Arial" w:hAnsi="Arial" w:cs="Arial"/>
          <w:noProof/>
        </w:rPr>
      </w:pP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rPr>
        <w:t xml:space="preserve">The </w:t>
      </w:r>
      <w:r>
        <w:rPr>
          <w:rFonts w:ascii="open_sansregular" w:hAnsi="open_sansregular" w:cs="Helvetica"/>
          <w:i/>
          <w:noProof/>
          <w:color w:val="333333"/>
          <w:sz w:val="21"/>
          <w:szCs w:val="21"/>
          <w:lang w:val="en"/>
        </w:rPr>
        <w:t>US is at the top of the list with 26 000 EU controlled companies located – in order of importance – in UK, Germany, th</w:t>
      </w:r>
      <w:r>
        <w:rPr>
          <w:rFonts w:ascii="open_sansregular" w:hAnsi="open_sansregular" w:cs="Helvetica"/>
          <w:i/>
          <w:noProof/>
          <w:color w:val="333333"/>
          <w:sz w:val="21"/>
          <w:szCs w:val="21"/>
          <w:lang w:val="en"/>
        </w:rPr>
        <w:t>e Netherlands, France and Italy</w:t>
      </w:r>
      <w:r>
        <w:rPr>
          <w:noProof/>
        </w:rPr>
        <w:t>.</w:t>
      </w:r>
    </w:p>
    <w:p w:rsidR="00181149" w:rsidRDefault="00181149">
      <w:pPr>
        <w:pStyle w:val="ListParagraph"/>
        <w:spacing w:after="120"/>
        <w:jc w:val="both"/>
        <w:rPr>
          <w:rFonts w:ascii="Arial" w:hAnsi="Arial" w:cs="Arial"/>
          <w:noProof/>
        </w:rPr>
      </w:pP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lang w:val="en"/>
        </w:rPr>
        <w:t>China (including Hong Kong) controlled around 4 000 companies in the EU with a third of them located in Romania</w:t>
      </w:r>
      <w:r>
        <w:rPr>
          <w:noProof/>
        </w:rPr>
        <w:t>.</w:t>
      </w:r>
    </w:p>
    <w:p w:rsidR="00181149" w:rsidRDefault="00181149">
      <w:pPr>
        <w:pStyle w:val="ListParagraph"/>
        <w:spacing w:after="120"/>
        <w:jc w:val="both"/>
        <w:rPr>
          <w:rFonts w:ascii="Arial" w:hAnsi="Arial" w:cs="Arial"/>
          <w:noProof/>
        </w:rPr>
      </w:pP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lang w:val="en"/>
        </w:rPr>
        <w:t xml:space="preserve">Although third-country foreign-controlled enterprises are small in number in the EU they have a significant </w:t>
      </w:r>
      <w:r>
        <w:rPr>
          <w:rFonts w:ascii="open_sansregular" w:hAnsi="open_sansregular" w:cs="Helvetica"/>
          <w:i/>
          <w:noProof/>
          <w:color w:val="333333"/>
          <w:sz w:val="21"/>
          <w:szCs w:val="21"/>
          <w:lang w:val="en"/>
        </w:rPr>
        <w:t>economic impact due to their larger than average size: in 2014, they accounted for 10% of value added 6% of employment and 13% of turnover in the non-financial business economy in the EU (see graph below).</w:t>
      </w:r>
    </w:p>
    <w:p w:rsidR="00181149" w:rsidRDefault="00181149">
      <w:pPr>
        <w:pStyle w:val="ListParagraph"/>
        <w:spacing w:after="120"/>
        <w:jc w:val="both"/>
        <w:rPr>
          <w:rFonts w:ascii="open_sansregular" w:hAnsi="open_sansregular" w:cs="Helvetica"/>
          <w:noProof/>
          <w:color w:val="333333"/>
          <w:sz w:val="21"/>
          <w:szCs w:val="21"/>
          <w:lang w:val="en"/>
        </w:rPr>
      </w:pPr>
    </w:p>
    <w:p w:rsidR="00181149" w:rsidRDefault="0064466C">
      <w:pPr>
        <w:spacing w:after="120"/>
        <w:jc w:val="center"/>
        <w:rPr>
          <w:rStyle w:val="None"/>
          <w:rFonts w:ascii="Arial" w:hAnsi="Arial" w:cs="Arial"/>
          <w:noProof/>
          <w:color w:val="000000" w:themeColor="text1"/>
        </w:rPr>
      </w:pPr>
      <w:r>
        <w:rPr>
          <w:rFonts w:ascii="Arial" w:hAnsi="Arial" w:cs="Arial"/>
          <w:noProof/>
          <w:color w:val="000000" w:themeColor="text1"/>
          <w:lang w:eastAsia="en-GB"/>
        </w:rPr>
        <w:drawing>
          <wp:inline distT="0" distB="0" distL="0" distR="0" wp14:anchorId="1E3609E9" wp14:editId="1A26F315">
            <wp:extent cx="5191309" cy="24588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 of companies in EU28 by ultimate owner origin.png"/>
                    <pic:cNvPicPr/>
                  </pic:nvPicPr>
                  <pic:blipFill>
                    <a:blip r:embed="rId18">
                      <a:extLst>
                        <a:ext uri="{28A0092B-C50C-407E-A947-70E740481C1C}">
                          <a14:useLocalDpi xmlns:a14="http://schemas.microsoft.com/office/drawing/2010/main" val="0"/>
                        </a:ext>
                      </a:extLst>
                    </a:blip>
                    <a:stretch>
                      <a:fillRect/>
                    </a:stretch>
                  </pic:blipFill>
                  <pic:spPr>
                    <a:xfrm>
                      <a:off x="0" y="0"/>
                      <a:ext cx="5189232" cy="2457907"/>
                    </a:xfrm>
                    <a:prstGeom prst="rect">
                      <a:avLst/>
                    </a:prstGeom>
                  </pic:spPr>
                </pic:pic>
              </a:graphicData>
            </a:graphic>
          </wp:inline>
        </w:drawing>
      </w:r>
    </w:p>
    <w:p w:rsidR="00181149" w:rsidRDefault="00181149">
      <w:pPr>
        <w:pStyle w:val="ListParagraph"/>
        <w:spacing w:after="120"/>
        <w:jc w:val="both"/>
        <w:rPr>
          <w:rFonts w:ascii="Arial" w:hAnsi="Arial" w:cs="Arial"/>
          <w:noProof/>
        </w:rPr>
      </w:pPr>
    </w:p>
    <w:p w:rsidR="00181149" w:rsidRDefault="00181149">
      <w:pPr>
        <w:pStyle w:val="ListParagraph"/>
        <w:spacing w:after="120"/>
        <w:jc w:val="both"/>
        <w:rPr>
          <w:rFonts w:ascii="Arial" w:hAnsi="Arial" w:cs="Arial"/>
          <w:noProof/>
        </w:rPr>
      </w:pPr>
    </w:p>
    <w:p w:rsidR="00181149" w:rsidRDefault="00181149">
      <w:pPr>
        <w:pStyle w:val="ListParagraph"/>
        <w:spacing w:after="120"/>
        <w:jc w:val="both"/>
        <w:rPr>
          <w:rFonts w:ascii="Arial" w:hAnsi="Arial" w:cs="Arial"/>
          <w:noProof/>
        </w:rPr>
      </w:pPr>
    </w:p>
    <w:p w:rsidR="00181149" w:rsidRDefault="0064466C">
      <w:pPr>
        <w:pStyle w:val="ListParagraph"/>
        <w:spacing w:after="120"/>
        <w:jc w:val="both"/>
        <w:rPr>
          <w:rFonts w:ascii="Arial" w:hAnsi="Arial" w:cs="Arial"/>
          <w:noProof/>
        </w:rPr>
      </w:pPr>
      <w:r>
        <w:rPr>
          <w:noProof/>
          <w:lang w:eastAsia="en-GB"/>
        </w:rPr>
        <w:drawing>
          <wp:inline distT="0" distB="0" distL="0" distR="0" wp14:anchorId="63483263" wp14:editId="63C1DDEC">
            <wp:extent cx="4857750" cy="22764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61815" cy="2278380"/>
                    </a:xfrm>
                    <a:prstGeom prst="rect">
                      <a:avLst/>
                    </a:prstGeom>
                    <a:noFill/>
                    <a:ln>
                      <a:noFill/>
                    </a:ln>
                  </pic:spPr>
                </pic:pic>
              </a:graphicData>
            </a:graphic>
          </wp:inline>
        </w:drawing>
      </w:r>
    </w:p>
    <w:p w:rsidR="00181149" w:rsidRDefault="00181149">
      <w:pPr>
        <w:pStyle w:val="ListParagraph"/>
        <w:spacing w:after="120"/>
        <w:jc w:val="both"/>
        <w:rPr>
          <w:rFonts w:ascii="Arial" w:hAnsi="Arial" w:cs="Arial"/>
          <w:noProof/>
        </w:rPr>
      </w:pP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lang w:val="en"/>
        </w:rPr>
        <w:t>The weight of third-country foreign-contr</w:t>
      </w:r>
      <w:r>
        <w:rPr>
          <w:rFonts w:ascii="open_sansregular" w:hAnsi="open_sansregular" w:cs="Helvetica"/>
          <w:i/>
          <w:noProof/>
          <w:color w:val="333333"/>
          <w:sz w:val="21"/>
          <w:szCs w:val="21"/>
          <w:lang w:val="en"/>
        </w:rPr>
        <w:t>olled enterprises in selected strategic sectors is also higher along the four dimensions analyzed (number of companies, added value, employment and turnover)</w:t>
      </w:r>
      <w:r>
        <w:rPr>
          <w:noProof/>
        </w:rPr>
        <w:t>.</w:t>
      </w:r>
    </w:p>
    <w:p w:rsidR="00181149" w:rsidRDefault="00181149">
      <w:pPr>
        <w:pStyle w:val="ListParagraph"/>
        <w:spacing w:after="120"/>
        <w:jc w:val="both"/>
        <w:rPr>
          <w:rFonts w:ascii="Arial" w:hAnsi="Arial" w:cs="Arial"/>
          <w:noProof/>
        </w:rPr>
      </w:pP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lang w:val="en"/>
        </w:rPr>
        <w:t>A focus analysis on 16 selected strategic sectors moreover shows that the role played by compani</w:t>
      </w:r>
      <w:r>
        <w:rPr>
          <w:rFonts w:ascii="open_sansregular" w:hAnsi="open_sansregular" w:cs="Helvetica"/>
          <w:i/>
          <w:noProof/>
          <w:color w:val="333333"/>
          <w:sz w:val="21"/>
          <w:szCs w:val="21"/>
          <w:lang w:val="en"/>
        </w:rPr>
        <w:t>es controlled by third-country entities was even higher there</w:t>
      </w:r>
      <w:r>
        <w:rPr>
          <w:noProof/>
        </w:rPr>
        <w:t>.</w:t>
      </w:r>
    </w:p>
    <w:p w:rsidR="00181149" w:rsidRDefault="00181149">
      <w:pPr>
        <w:pStyle w:val="ListParagraph"/>
        <w:spacing w:after="120"/>
        <w:jc w:val="both"/>
        <w:rPr>
          <w:rFonts w:ascii="Arial" w:hAnsi="Arial" w:cs="Arial"/>
          <w:noProof/>
        </w:rPr>
      </w:pPr>
    </w:p>
    <w:p w:rsidR="00181149" w:rsidRDefault="0064466C">
      <w:pPr>
        <w:pStyle w:val="ListParagraph"/>
        <w:spacing w:after="120"/>
        <w:jc w:val="both"/>
        <w:rPr>
          <w:rFonts w:ascii="Arial" w:hAnsi="Arial" w:cs="Arial"/>
          <w:noProof/>
        </w:rPr>
      </w:pPr>
      <w:r>
        <w:rPr>
          <w:rFonts w:ascii="Arial" w:hAnsi="Arial" w:cs="Arial"/>
          <w:noProof/>
          <w:lang w:eastAsia="en-GB"/>
        </w:rPr>
        <w:drawing>
          <wp:inline distT="0" distB="0" distL="0" distR="0" wp14:anchorId="1F6B9E66" wp14:editId="7EA86599">
            <wp:extent cx="3926205" cy="19507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26205" cy="1950720"/>
                    </a:xfrm>
                    <a:prstGeom prst="rect">
                      <a:avLst/>
                    </a:prstGeom>
                    <a:noFill/>
                  </pic:spPr>
                </pic:pic>
              </a:graphicData>
            </a:graphic>
          </wp:inline>
        </w:drawing>
      </w:r>
    </w:p>
    <w:p w:rsidR="00181149" w:rsidRDefault="00181149">
      <w:pPr>
        <w:pStyle w:val="ListParagraph"/>
        <w:spacing w:after="120"/>
        <w:jc w:val="both"/>
        <w:rPr>
          <w:rFonts w:ascii="Arial" w:hAnsi="Arial" w:cs="Arial"/>
          <w:noProof/>
        </w:rPr>
      </w:pP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lang w:val="en"/>
        </w:rPr>
        <w:t>EU companies controlled by third country entities played an especially significant role in "Information service activities" (accounting for 40% of the total) and in "Manufacture of computer</w:t>
      </w:r>
      <w:r>
        <w:rPr>
          <w:rFonts w:ascii="open_sansregular" w:hAnsi="open_sansregular" w:cs="Helvetica"/>
          <w:i/>
          <w:noProof/>
          <w:color w:val="333333"/>
          <w:sz w:val="21"/>
          <w:szCs w:val="21"/>
          <w:lang w:val="en"/>
        </w:rPr>
        <w:t>, electronic and optical products" (36% of the total)</w:t>
      </w:r>
      <w:r>
        <w:rPr>
          <w:noProof/>
        </w:rPr>
        <w:t>.</w:t>
      </w:r>
    </w:p>
    <w:p w:rsidR="00181149" w:rsidRDefault="00181149">
      <w:pPr>
        <w:pStyle w:val="ListParagraph"/>
        <w:spacing w:after="120"/>
        <w:jc w:val="both"/>
        <w:rPr>
          <w:rFonts w:ascii="Arial" w:hAnsi="Arial" w:cs="Arial"/>
          <w:noProof/>
        </w:rPr>
      </w:pPr>
    </w:p>
    <w:p w:rsidR="00181149" w:rsidRDefault="0064466C">
      <w:pPr>
        <w:pStyle w:val="ListParagraph"/>
        <w:numPr>
          <w:ilvl w:val="0"/>
          <w:numId w:val="2"/>
        </w:numPr>
        <w:spacing w:after="120"/>
        <w:jc w:val="both"/>
        <w:rPr>
          <w:rFonts w:ascii="Arial" w:hAnsi="Arial" w:cs="Arial"/>
          <w:noProof/>
        </w:rPr>
      </w:pPr>
      <w:r>
        <w:rPr>
          <w:rFonts w:ascii="open_sansregular" w:hAnsi="open_sansregular" w:cs="Helvetica"/>
          <w:i/>
          <w:noProof/>
          <w:color w:val="333333"/>
          <w:sz w:val="21"/>
          <w:szCs w:val="21"/>
          <w:lang w:val="en"/>
        </w:rPr>
        <w:t>2014 saw a net increase of around 4 000 of EU enterprises whose ultimate controlling company was located outside the EU (see table below) with China (including Hong Kong) in the lead.</w:t>
      </w:r>
    </w:p>
    <w:p w:rsidR="00181149" w:rsidRDefault="0064466C">
      <w:pPr>
        <w:pStyle w:val="ListParagraph"/>
        <w:spacing w:after="120"/>
        <w:jc w:val="center"/>
        <w:rPr>
          <w:rFonts w:ascii="Arial" w:hAnsi="Arial" w:cs="Arial"/>
          <w:noProof/>
        </w:rPr>
      </w:pPr>
      <w:r>
        <w:rPr>
          <w:noProof/>
          <w:lang w:eastAsia="en-GB"/>
        </w:rPr>
        <w:drawing>
          <wp:inline distT="0" distB="0" distL="0" distR="0" wp14:anchorId="1D4EA7C7" wp14:editId="6D87473F">
            <wp:extent cx="3427079" cy="1096389"/>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3428346" cy="1096794"/>
                    </a:xfrm>
                    <a:prstGeom prst="rect">
                      <a:avLst/>
                    </a:prstGeom>
                  </pic:spPr>
                </pic:pic>
              </a:graphicData>
            </a:graphic>
          </wp:inline>
        </w:drawing>
      </w:r>
    </w:p>
    <w:p w:rsidR="00181149" w:rsidRDefault="00181149">
      <w:pPr>
        <w:pStyle w:val="ListParagraph"/>
        <w:spacing w:after="120"/>
        <w:ind w:left="0"/>
        <w:jc w:val="center"/>
        <w:rPr>
          <w:rFonts w:ascii="Arial" w:hAnsi="Arial" w:cs="Arial"/>
          <w:noProof/>
        </w:rPr>
      </w:pPr>
    </w:p>
    <w:p w:rsidR="00181149" w:rsidRDefault="00181149">
      <w:pPr>
        <w:pStyle w:val="ListParagraph"/>
        <w:spacing w:after="120"/>
        <w:ind w:left="0"/>
        <w:jc w:val="center"/>
        <w:rPr>
          <w:rFonts w:ascii="Arial" w:hAnsi="Arial" w:cs="Arial"/>
          <w:noProof/>
        </w:rPr>
      </w:pPr>
    </w:p>
    <w:p w:rsidR="00181149" w:rsidRDefault="0064466C">
      <w:pPr>
        <w:pStyle w:val="ListParagraph"/>
        <w:spacing w:after="120"/>
        <w:ind w:left="0"/>
        <w:jc w:val="center"/>
        <w:rPr>
          <w:rFonts w:ascii="Arial" w:hAnsi="Arial" w:cs="Arial"/>
          <w:noProof/>
        </w:rPr>
      </w:pPr>
      <w:r>
        <w:rPr>
          <w:noProof/>
          <w:lang w:eastAsia="en-GB"/>
        </w:rPr>
        <w:drawing>
          <wp:inline distT="0" distB="0" distL="0" distR="0" wp14:anchorId="79C52070" wp14:editId="1A7A5FC0">
            <wp:extent cx="3140405" cy="1720172"/>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40405" cy="1720172"/>
                    </a:xfrm>
                    <a:prstGeom prst="rect">
                      <a:avLst/>
                    </a:prstGeom>
                    <a:noFill/>
                  </pic:spPr>
                </pic:pic>
              </a:graphicData>
            </a:graphic>
          </wp:inline>
        </w:drawing>
      </w:r>
    </w:p>
    <w:p w:rsidR="00181149" w:rsidRDefault="00181149">
      <w:pPr>
        <w:pStyle w:val="ListParagraph"/>
        <w:spacing w:after="120"/>
        <w:jc w:val="both"/>
        <w:rPr>
          <w:rFonts w:ascii="Arial" w:hAnsi="Arial" w:cs="Arial"/>
          <w:noProof/>
        </w:rPr>
      </w:pPr>
    </w:p>
    <w:p w:rsidR="00181149" w:rsidRDefault="00181149">
      <w:pPr>
        <w:rPr>
          <w:rFonts w:ascii="open_sansregular" w:hAnsi="open_sansregular" w:cs="Helvetica"/>
          <w:i/>
          <w:noProof/>
          <w:color w:val="333333"/>
          <w:sz w:val="21"/>
          <w:szCs w:val="21"/>
          <w:lang w:val="en"/>
        </w:rPr>
      </w:pPr>
    </w:p>
    <w:p w:rsidR="00181149" w:rsidRDefault="0064466C">
      <w:pPr>
        <w:spacing w:after="120"/>
        <w:jc w:val="both"/>
        <w:rPr>
          <w:rFonts w:ascii="Arial" w:hAnsi="Arial" w:cs="Arial"/>
          <w:b/>
          <w:noProof/>
        </w:rPr>
      </w:pPr>
      <w:r>
        <w:rPr>
          <w:rFonts w:ascii="Arial" w:hAnsi="Arial" w:cs="Arial"/>
          <w:b/>
          <w:noProof/>
        </w:rPr>
        <w:t>World</w:t>
      </w:r>
    </w:p>
    <w:p w:rsidR="00181149" w:rsidRDefault="0064466C">
      <w:pPr>
        <w:pStyle w:val="ListParagraph"/>
        <w:numPr>
          <w:ilvl w:val="0"/>
          <w:numId w:val="3"/>
        </w:numPr>
        <w:spacing w:after="120"/>
        <w:jc w:val="both"/>
        <w:rPr>
          <w:rFonts w:ascii="Arial" w:hAnsi="Arial" w:cs="Arial"/>
          <w:b/>
          <w:i/>
          <w:noProof/>
        </w:rPr>
      </w:pPr>
      <w:r>
        <w:rPr>
          <w:rFonts w:ascii="open_sansregular" w:hAnsi="open_sansregular" w:cs="Helvetica"/>
          <w:i/>
          <w:noProof/>
          <w:color w:val="333333"/>
          <w:sz w:val="21"/>
          <w:szCs w:val="21"/>
          <w:lang w:val="en"/>
        </w:rPr>
        <w:t>According to the OECD, in 2016 global FDI flows decreased by 7% to USD 1.6 trillion in comparison to 2015, but remains above levels recorded between 2009 and 2014 and comparable to 2008.</w:t>
      </w:r>
    </w:p>
    <w:p w:rsidR="00181149" w:rsidRDefault="00181149">
      <w:pPr>
        <w:pStyle w:val="ListParagraph"/>
        <w:spacing w:after="120"/>
        <w:jc w:val="both"/>
        <w:rPr>
          <w:rFonts w:ascii="Arial" w:hAnsi="Arial" w:cs="Arial"/>
          <w:b/>
          <w:i/>
          <w:noProof/>
        </w:rPr>
      </w:pPr>
    </w:p>
    <w:p w:rsidR="00181149" w:rsidRDefault="0064466C">
      <w:pPr>
        <w:pStyle w:val="ListParagraph"/>
        <w:numPr>
          <w:ilvl w:val="0"/>
          <w:numId w:val="3"/>
        </w:numPr>
        <w:spacing w:after="120"/>
        <w:jc w:val="both"/>
        <w:rPr>
          <w:rFonts w:ascii="Arial" w:hAnsi="Arial" w:cs="Arial"/>
          <w:b/>
          <w:i/>
          <w:noProof/>
        </w:rPr>
      </w:pPr>
      <w:r>
        <w:rPr>
          <w:rFonts w:ascii="open_sansregular" w:hAnsi="open_sansregular" w:cs="Helvetica"/>
          <w:i/>
          <w:noProof/>
          <w:color w:val="333333"/>
          <w:sz w:val="21"/>
          <w:szCs w:val="21"/>
          <w:lang w:val="en"/>
        </w:rPr>
        <w:t>FDI flows remained below their pre-crisis peak, representing 2.2% of</w:t>
      </w:r>
      <w:r>
        <w:rPr>
          <w:rFonts w:ascii="open_sansregular" w:hAnsi="open_sansregular" w:cs="Helvetica"/>
          <w:i/>
          <w:noProof/>
          <w:color w:val="333333"/>
          <w:sz w:val="21"/>
          <w:szCs w:val="21"/>
          <w:lang w:val="en"/>
        </w:rPr>
        <w:t xml:space="preserve"> global GDP compared to 3.6% in 2007.</w:t>
      </w:r>
    </w:p>
    <w:sectPr w:rsidR="00181149">
      <w:headerReference w:type="even" r:id="rId37"/>
      <w:headerReference w:type="default" r:id="rId38"/>
      <w:footerReference w:type="even" r:id="rId39"/>
      <w:footerReference w:type="default" r:id="rId40"/>
      <w:headerReference w:type="first" r:id="rId41"/>
      <w:footerReference w:type="first" r:id="rId4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149" w:rsidRDefault="0064466C">
      <w:r>
        <w:separator/>
      </w:r>
    </w:p>
  </w:endnote>
  <w:endnote w:type="continuationSeparator" w:id="0">
    <w:p w:rsidR="00181149" w:rsidRDefault="0064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open_sansregular">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C" w:rsidRPr="0064466C" w:rsidRDefault="0064466C" w:rsidP="006446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C" w:rsidRPr="0064466C" w:rsidRDefault="0064466C" w:rsidP="0064466C">
    <w:pPr>
      <w:pStyle w:val="FooterCoverPage"/>
      <w:rPr>
        <w:rFonts w:ascii="Arial" w:hAnsi="Arial" w:cs="Arial"/>
        <w:b/>
        <w:sz w:val="48"/>
      </w:rPr>
    </w:pPr>
    <w:r w:rsidRPr="0064466C">
      <w:rPr>
        <w:rFonts w:ascii="Arial" w:hAnsi="Arial" w:cs="Arial"/>
        <w:b/>
        <w:sz w:val="48"/>
      </w:rPr>
      <w:t>EN</w:t>
    </w:r>
    <w:r w:rsidRPr="0064466C">
      <w:rPr>
        <w:rFonts w:ascii="Arial" w:hAnsi="Arial" w:cs="Arial"/>
        <w:b/>
        <w:sz w:val="48"/>
      </w:rPr>
      <w:tab/>
    </w:r>
    <w:r w:rsidRPr="0064466C">
      <w:rPr>
        <w:rFonts w:ascii="Arial" w:hAnsi="Arial" w:cs="Arial"/>
        <w:b/>
        <w:sz w:val="48"/>
      </w:rPr>
      <w:tab/>
    </w:r>
    <w:fldSimple w:instr=" DOCVARIABLE &quot;LW_Confidence&quot; \* MERGEFORMAT ">
      <w:r>
        <w:t xml:space="preserve"> </w:t>
      </w:r>
    </w:fldSimple>
    <w:r w:rsidRPr="0064466C">
      <w:tab/>
    </w:r>
    <w:r w:rsidRPr="0064466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C" w:rsidRPr="0064466C" w:rsidRDefault="0064466C" w:rsidP="0064466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49" w:rsidRDefault="001811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526935"/>
      <w:docPartObj>
        <w:docPartGallery w:val="Page Numbers (Bottom of Page)"/>
        <w:docPartUnique/>
      </w:docPartObj>
    </w:sdtPr>
    <w:sdtEndPr>
      <w:rPr>
        <w:noProof/>
      </w:rPr>
    </w:sdtEndPr>
    <w:sdtContent>
      <w:p w:rsidR="00181149" w:rsidRDefault="0064466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181149" w:rsidRDefault="0018114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49" w:rsidRDefault="00181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149" w:rsidRDefault="0064466C">
      <w:r>
        <w:separator/>
      </w:r>
    </w:p>
  </w:footnote>
  <w:footnote w:type="continuationSeparator" w:id="0">
    <w:p w:rsidR="00181149" w:rsidRDefault="0064466C">
      <w:r>
        <w:continuationSeparator/>
      </w:r>
    </w:p>
  </w:footnote>
  <w:footnote w:id="1">
    <w:p w:rsidR="00181149" w:rsidRDefault="0064466C">
      <w:pPr>
        <w:pStyle w:val="FootnoteText"/>
      </w:pPr>
      <w:r>
        <w:rPr>
          <w:rStyle w:val="FootnoteReference"/>
        </w:rPr>
        <w:footnoteRef/>
      </w:r>
      <w:r>
        <w:t xml:space="preserve"> </w:t>
      </w:r>
      <w:r>
        <w:rPr>
          <w:rFonts w:ascii="Arial" w:hAnsi="Arial" w:cs="Arial"/>
          <w:sz w:val="16"/>
          <w:szCs w:val="16"/>
        </w:rPr>
        <w:t>Eurostat, based on BPM 6 methodology and BD4, including investment through Special Purpose Entities.</w:t>
      </w:r>
    </w:p>
  </w:footnote>
  <w:footnote w:id="2">
    <w:p w:rsidR="00181149" w:rsidRDefault="0064466C">
      <w:pPr>
        <w:pStyle w:val="FootnoteText"/>
        <w:jc w:val="both"/>
        <w:rPr>
          <w:rFonts w:ascii="Arial" w:hAnsi="Arial" w:cs="Arial"/>
          <w:sz w:val="16"/>
          <w:szCs w:val="16"/>
        </w:rPr>
      </w:pPr>
      <w:r>
        <w:rPr>
          <w:rStyle w:val="FootnoteReference"/>
          <w:rFonts w:ascii="Arial" w:hAnsi="Arial" w:cs="Arial"/>
        </w:rPr>
        <w:footnoteRef/>
      </w:r>
      <w:r>
        <w:rPr>
          <w:rFonts w:ascii="Arial" w:hAnsi="Arial" w:cs="Arial"/>
          <w:sz w:val="16"/>
          <w:szCs w:val="16"/>
        </w:rPr>
        <w:t xml:space="preserve"> Source: Eurostat</w:t>
      </w:r>
    </w:p>
  </w:footnote>
  <w:footnote w:id="3">
    <w:p w:rsidR="00181149" w:rsidRDefault="0064466C">
      <w:pPr>
        <w:pStyle w:val="FootnoteText"/>
        <w:jc w:val="both"/>
        <w:rPr>
          <w:rFonts w:ascii="Arial" w:hAnsi="Arial" w:cs="Arial"/>
          <w:sz w:val="16"/>
          <w:szCs w:val="16"/>
        </w:rPr>
      </w:pPr>
      <w:r>
        <w:rPr>
          <w:rStyle w:val="FootnoteReference"/>
          <w:rFonts w:ascii="Arial" w:hAnsi="Arial" w:cs="Arial"/>
        </w:rPr>
        <w:footnoteRef/>
      </w:r>
      <w:r>
        <w:rPr>
          <w:rFonts w:ascii="Arial" w:hAnsi="Arial" w:cs="Arial"/>
          <w:sz w:val="16"/>
          <w:szCs w:val="16"/>
        </w:rPr>
        <w:t xml:space="preserve"> Source: Eurostat</w:t>
      </w:r>
    </w:p>
  </w:footnote>
  <w:footnote w:id="4">
    <w:p w:rsidR="00181149" w:rsidRDefault="0064466C">
      <w:pPr>
        <w:pStyle w:val="FootnoteText"/>
      </w:pPr>
      <w:r>
        <w:rPr>
          <w:rStyle w:val="FootnoteReference"/>
        </w:rPr>
        <w:footnoteRef/>
      </w:r>
      <w:r>
        <w:t xml:space="preserve"> </w:t>
      </w:r>
      <w:r>
        <w:rPr>
          <w:rFonts w:ascii="Arial" w:hAnsi="Arial" w:cs="Arial"/>
          <w:sz w:val="16"/>
          <w:szCs w:val="16"/>
        </w:rPr>
        <w:t xml:space="preserve">Eurostat, data based on BPM 5 for </w:t>
      </w:r>
      <w:r>
        <w:rPr>
          <w:rFonts w:ascii="Arial" w:hAnsi="Arial" w:cs="Arial"/>
          <w:sz w:val="16"/>
          <w:szCs w:val="16"/>
        </w:rPr>
        <w:t>1995 and 2005, and BPM 6 for 2015.</w:t>
      </w:r>
    </w:p>
  </w:footnote>
  <w:footnote w:id="5">
    <w:p w:rsidR="00181149" w:rsidRDefault="0064466C">
      <w:pPr>
        <w:pStyle w:val="FootnoteText"/>
      </w:pPr>
      <w:r>
        <w:rPr>
          <w:rStyle w:val="FootnoteReference"/>
        </w:rPr>
        <w:footnoteRef/>
      </w:r>
      <w:r>
        <w:t xml:space="preserve"> Eurostat, FATS, 2014 figures.</w:t>
      </w:r>
    </w:p>
  </w:footnote>
  <w:footnote w:id="6">
    <w:p w:rsidR="00181149" w:rsidRDefault="0064466C">
      <w:pPr>
        <w:pStyle w:val="FootnoteText"/>
      </w:pPr>
      <w:r>
        <w:rPr>
          <w:rStyle w:val="FootnoteReference"/>
        </w:rPr>
        <w:footnoteRef/>
      </w:r>
      <w:r>
        <w:t xml:space="preserve"> Note that these figures are based on datasets that exhibit limitations in terms of coverage, period under analysis and details of information, so should be treated as rough estimates.</w:t>
      </w:r>
    </w:p>
  </w:footnote>
  <w:footnote w:id="7">
    <w:p w:rsidR="00181149" w:rsidRDefault="0064466C">
      <w:pPr>
        <w:pStyle w:val="FootnoteText"/>
      </w:pPr>
      <w:r>
        <w:rPr>
          <w:rStyle w:val="FootnoteReference"/>
        </w:rPr>
        <w:footnoteRef/>
      </w:r>
      <w:r>
        <w:t xml:space="preserve"> D</w:t>
      </w:r>
      <w:r>
        <w:t>EALOGIC M&amp;As ANALYTICS.</w:t>
      </w:r>
    </w:p>
  </w:footnote>
  <w:footnote w:id="8">
    <w:p w:rsidR="00181149" w:rsidRDefault="0064466C">
      <w:pPr>
        <w:pStyle w:val="FootnoteText"/>
      </w:pPr>
      <w:r>
        <w:rPr>
          <w:rStyle w:val="FootnoteReference"/>
        </w:rPr>
        <w:footnoteRef/>
      </w:r>
      <w:r>
        <w:t xml:space="preserve"> </w:t>
      </w:r>
      <w:r>
        <w:rPr>
          <w:rFonts w:ascii="Arial" w:hAnsi="Arial" w:cs="Arial"/>
        </w:rPr>
        <w:t>DEALOGIC M&amp;As ANALYTICS.</w:t>
      </w:r>
    </w:p>
  </w:footnote>
  <w:footnote w:id="9">
    <w:p w:rsidR="00181149" w:rsidRDefault="0064466C">
      <w:pPr>
        <w:pStyle w:val="FootnoteText"/>
      </w:pPr>
      <w:r>
        <w:rPr>
          <w:rStyle w:val="FootnoteReference"/>
        </w:rPr>
        <w:footnoteRef/>
      </w:r>
      <w:r>
        <w:t xml:space="preserve"> The description included in this paper of national screening mechanisms is based on the information currently available to the Commission services and their interpretation of the national legal framework</w:t>
      </w:r>
      <w:r>
        <w:t>s.</w:t>
      </w:r>
    </w:p>
  </w:footnote>
  <w:footnote w:id="10">
    <w:p w:rsidR="00181149" w:rsidRDefault="0064466C">
      <w:pPr>
        <w:pStyle w:val="FootnoteText"/>
      </w:pPr>
      <w:r>
        <w:rPr>
          <w:rStyle w:val="FootnoteReference"/>
        </w:rPr>
        <w:footnoteRef/>
      </w:r>
      <w:r>
        <w:t xml:space="preserve"> Note that some graphs of this annex are also present in the body of the document. This repetition is necessary for the logic of the presentation of the annex.</w:t>
      </w:r>
    </w:p>
  </w:footnote>
  <w:footnote w:id="11">
    <w:p w:rsidR="00181149" w:rsidRDefault="0064466C">
      <w:pPr>
        <w:pStyle w:val="FootnoteText"/>
      </w:pPr>
      <w:r>
        <w:rPr>
          <w:rStyle w:val="FootnoteReference"/>
        </w:rPr>
        <w:footnoteRef/>
      </w:r>
      <w:r>
        <w:t xml:space="preserve"> Note that these figures are based on datasets that exhibit limitations in terms of coverag</w:t>
      </w:r>
      <w:r>
        <w:t>e, period under analysis and details of information, so should be treated as rough estimates.</w:t>
      </w:r>
    </w:p>
  </w:footnote>
  <w:footnote w:id="12">
    <w:p w:rsidR="00181149" w:rsidRDefault="0064466C">
      <w:pPr>
        <w:pStyle w:val="FootnoteText"/>
      </w:pPr>
      <w:r>
        <w:rPr>
          <w:rStyle w:val="FootnoteReference"/>
        </w:rPr>
        <w:footnoteRef/>
      </w:r>
      <w:r>
        <w:t xml:space="preserve"> </w:t>
      </w:r>
      <w:r>
        <w:rPr>
          <w:rFonts w:ascii="Times New Roman" w:hAnsi="Times New Roman"/>
        </w:rPr>
        <w:t>This section is based on EUROSTAT FATS, 2014</w:t>
      </w:r>
      <w:r>
        <w:t>.</w:t>
      </w:r>
    </w:p>
  </w:footnote>
  <w:footnote w:id="13">
    <w:p w:rsidR="00181149" w:rsidRDefault="0064466C">
      <w:pPr>
        <w:pStyle w:val="FootnoteText"/>
        <w:jc w:val="both"/>
        <w:rPr>
          <w:sz w:val="16"/>
          <w:szCs w:val="16"/>
          <w:lang w:val="en"/>
        </w:rPr>
      </w:pPr>
      <w:r>
        <w:rPr>
          <w:rStyle w:val="FootnoteReference"/>
        </w:rPr>
        <w:footnoteRef/>
      </w:r>
      <w:r>
        <w:t xml:space="preserve"> </w:t>
      </w:r>
      <w:r>
        <w:rPr>
          <w:rFonts w:ascii="Times New Roman" w:hAnsi="Times New Roman"/>
        </w:rPr>
        <w:t>2015 data will be available in the first quarter of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C" w:rsidRPr="0064466C" w:rsidRDefault="0064466C" w:rsidP="006446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C" w:rsidRPr="0064466C" w:rsidRDefault="0064466C" w:rsidP="0064466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C" w:rsidRPr="0064466C" w:rsidRDefault="0064466C" w:rsidP="0064466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49" w:rsidRDefault="001811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49" w:rsidRDefault="0018114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49" w:rsidRDefault="001811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3FFF"/>
    <w:multiLevelType w:val="hybridMultilevel"/>
    <w:tmpl w:val="DA22F3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631D91"/>
    <w:multiLevelType w:val="hybridMultilevel"/>
    <w:tmpl w:val="E252FF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5CE75593"/>
    <w:multiLevelType w:val="hybridMultilevel"/>
    <w:tmpl w:val="48E4C7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0236F4"/>
    <w:multiLevelType w:val="hybridMultilevel"/>
    <w:tmpl w:val="BAC806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463EF0"/>
    <w:multiLevelType w:val="hybridMultilevel"/>
    <w:tmpl w:val="56F211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4CE4EC956E934F76A460FAB9B907407E"/>
    <w:docVar w:name="LW_CROSSREFERENCE" w:val="{COM(2017) 487 final}"/>
    <w:docVar w:name="LW_DocType" w:val="NORMAL"/>
    <w:docVar w:name="LW_EMISSION" w:val="13.9.2017"/>
    <w:docVar w:name="LW_EMISSION_ISODATE" w:val="2017-09-13"/>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establishing a framework for screening of foreign direct investments into the European Union_x000b_"/>
    <w:docVar w:name="LW_PART_NBR" w:val="1"/>
    <w:docVar w:name="LW_PART_NBR_TOTAL" w:val="1"/>
    <w:docVar w:name="LW_REF.INST.NEW" w:val="SWD"/>
    <w:docVar w:name="LW_REF.INST.NEW_ADOPTED" w:val="final"/>
    <w:docVar w:name="LW_REF.INST.NEW_TEXT" w:val="(2017) 297"/>
    <w:docVar w:name="LW_REF.INTERNE" w:val="&lt;UNUSED&gt;"/>
    <w:docVar w:name="LW_SUPERTITRE" w:val="&lt;UNUSED&gt;"/>
    <w:docVar w:name="LW_TITRE.OBJ.CP" w:val="&lt;UNUSED&gt;"/>
    <w:docVar w:name="LW_TYPE.DOC.CP" w:val="COMMISSION STAFF WORKING DOCUMENT"/>
    <w:docVar w:name="LW_TYPEACTEPRINCIPAL.CP" w:val="Proposal for a Regulation of the European Parliament and of the Council"/>
  </w:docVars>
  <w:rsids>
    <w:rsidRoot w:val="00181149"/>
    <w:rsid w:val="00181149"/>
    <w:rsid w:val="00644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hAnsi="Calibri"/>
      <w:sz w:val="22"/>
      <w:szCs w:val="22"/>
      <w:lang w:val="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hAnsi="Calibri"/>
      <w:sz w:val="22"/>
      <w:szCs w:val="22"/>
      <w:lang w:val="en-GB"/>
    </w:rPr>
  </w:style>
  <w:style w:type="paragraph" w:customStyle="1" w:styleId="Body">
    <w:name w:val="Body"/>
    <w:link w:val="BodyChar"/>
    <w:qFormat/>
    <w:rPr>
      <w:rFonts w:ascii="Helvetica" w:eastAsia="Arial Unicode MS" w:hAnsi="Helvetica" w:cs="Arial Unicode MS"/>
      <w:color w:val="000000"/>
      <w:sz w:val="22"/>
      <w:szCs w:val="22"/>
      <w:lang w:eastAsia="en-GB"/>
    </w:rPr>
  </w:style>
  <w:style w:type="character" w:customStyle="1" w:styleId="BodyChar">
    <w:name w:val="Body Char"/>
    <w:link w:val="Body"/>
    <w:rPr>
      <w:rFonts w:ascii="Helvetica" w:eastAsia="Arial Unicode MS" w:hAnsi="Helvetica" w:cs="Arial Unicode MS"/>
      <w:color w:val="000000"/>
      <w:sz w:val="22"/>
      <w:szCs w:val="22"/>
      <w:lang w:eastAsia="en-GB"/>
    </w:rPr>
  </w:style>
  <w:style w:type="paragraph" w:styleId="ListParagraph">
    <w:name w:val="List Paragraph"/>
    <w:basedOn w:val="Normal"/>
    <w:uiPriority w:val="34"/>
    <w:qFormat/>
    <w:pPr>
      <w:ind w:left="720"/>
      <w:contextualSpacing/>
    </w:pPr>
  </w:style>
  <w:style w:type="paragraph" w:styleId="FootnoteText">
    <w:name w:val="footnote text"/>
    <w:aliases w:val="Footnote,Fußnote,Footnote Text Char Char Char Char Char Char,Fodnotetekst Tegn Tegn Tegn Tegn Tegn Tegn Tegn Char Char,Fodnotetekst Tegn Tegn Tegn Tegn Tegn Tegn Tegn Char Char Char Char,Fodnotetekst Tegn Tegn Tegn Tegn Tegn Tegn Teg"/>
    <w:basedOn w:val="Normal"/>
    <w:link w:val="FootnoteTextChar"/>
    <w:uiPriority w:val="99"/>
    <w:unhideWhenUsed/>
    <w:rPr>
      <w:sz w:val="20"/>
      <w:szCs w:val="20"/>
    </w:rPr>
  </w:style>
  <w:style w:type="character" w:customStyle="1" w:styleId="FootnoteTextChar">
    <w:name w:val="Footnote Text Char"/>
    <w:aliases w:val="Footnote Char,Fußnote Char,Footnote Text Char Char Char Char Char Char Char,Fodnotetekst Tegn Tegn Tegn Tegn Tegn Tegn Tegn Char Char Char,Fodnotetekst Tegn Tegn Tegn Tegn Tegn Tegn Tegn Char Char Char Char Char"/>
    <w:basedOn w:val="DefaultParagraphFont"/>
    <w:link w:val="FootnoteText"/>
    <w:uiPriority w:val="99"/>
    <w:rPr>
      <w:rFonts w:ascii="Calibri" w:hAnsi="Calibri"/>
      <w:lang w:val="en-GB"/>
    </w:rPr>
  </w:style>
  <w:style w:type="character" w:styleId="FootnoteReference">
    <w:name w:val="footnote reference"/>
    <w:aliases w:val="fr"/>
    <w:basedOn w:val="DefaultParagraphFont"/>
    <w:uiPriority w:val="99"/>
    <w:unhideWhenUsed/>
    <w:rPr>
      <w:vertAlign w:val="superscript"/>
    </w:rPr>
  </w:style>
  <w:style w:type="character" w:customStyle="1" w:styleId="None">
    <w:name w:val="None"/>
  </w:style>
  <w:style w:type="paragraph" w:customStyle="1" w:styleId="BodyA">
    <w:name w:val="Body 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table" w:styleId="TableGrid">
    <w:name w:val="Table Grid"/>
    <w:basedOn w:val="TableNormal"/>
    <w:uiPriority w:val="59"/>
    <w:pPr>
      <w:pBdr>
        <w:top w:val="nil"/>
        <w:left w:val="nil"/>
        <w:bottom w:val="nil"/>
        <w:right w:val="nil"/>
        <w:between w:val="nil"/>
        <w:bar w:val="nil"/>
      </w:pBdr>
    </w:pPr>
    <w:rPr>
      <w:rFonts w:eastAsia="Arial Unicode MS"/>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sz w:val="24"/>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szCs w:val="24"/>
    </w:rPr>
  </w:style>
  <w:style w:type="character" w:customStyle="1" w:styleId="HeaderCoverPageChar">
    <w:name w:val="Header Cover Page Char"/>
    <w:basedOn w:val="DefaultParagraphFont"/>
    <w:link w:val="HeaderCoverPage"/>
    <w:rPr>
      <w:sz w:val="24"/>
      <w:szCs w:val="24"/>
      <w:lang w:val="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hAnsi="Calibri"/>
      <w:sz w:val="22"/>
      <w:szCs w:val="22"/>
      <w:lang w:val="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hAnsi="Calibri"/>
      <w:sz w:val="22"/>
      <w:szCs w:val="22"/>
      <w:lang w:val="en-GB"/>
    </w:rPr>
  </w:style>
  <w:style w:type="paragraph" w:customStyle="1" w:styleId="Body">
    <w:name w:val="Body"/>
    <w:link w:val="BodyChar"/>
    <w:qFormat/>
    <w:rPr>
      <w:rFonts w:ascii="Helvetica" w:eastAsia="Arial Unicode MS" w:hAnsi="Helvetica" w:cs="Arial Unicode MS"/>
      <w:color w:val="000000"/>
      <w:sz w:val="22"/>
      <w:szCs w:val="22"/>
      <w:lang w:eastAsia="en-GB"/>
    </w:rPr>
  </w:style>
  <w:style w:type="character" w:customStyle="1" w:styleId="BodyChar">
    <w:name w:val="Body Char"/>
    <w:link w:val="Body"/>
    <w:rPr>
      <w:rFonts w:ascii="Helvetica" w:eastAsia="Arial Unicode MS" w:hAnsi="Helvetica" w:cs="Arial Unicode MS"/>
      <w:color w:val="000000"/>
      <w:sz w:val="22"/>
      <w:szCs w:val="22"/>
      <w:lang w:eastAsia="en-GB"/>
    </w:rPr>
  </w:style>
  <w:style w:type="paragraph" w:styleId="ListParagraph">
    <w:name w:val="List Paragraph"/>
    <w:basedOn w:val="Normal"/>
    <w:uiPriority w:val="34"/>
    <w:qFormat/>
    <w:pPr>
      <w:ind w:left="720"/>
      <w:contextualSpacing/>
    </w:pPr>
  </w:style>
  <w:style w:type="paragraph" w:styleId="FootnoteText">
    <w:name w:val="footnote text"/>
    <w:aliases w:val="Footnote,Fußnote,Footnote Text Char Char Char Char Char Char,Fodnotetekst Tegn Tegn Tegn Tegn Tegn Tegn Tegn Char Char,Fodnotetekst Tegn Tegn Tegn Tegn Tegn Tegn Tegn Char Char Char Char,Fodnotetekst Tegn Tegn Tegn Tegn Tegn Tegn Teg"/>
    <w:basedOn w:val="Normal"/>
    <w:link w:val="FootnoteTextChar"/>
    <w:uiPriority w:val="99"/>
    <w:unhideWhenUsed/>
    <w:rPr>
      <w:sz w:val="20"/>
      <w:szCs w:val="20"/>
    </w:rPr>
  </w:style>
  <w:style w:type="character" w:customStyle="1" w:styleId="FootnoteTextChar">
    <w:name w:val="Footnote Text Char"/>
    <w:aliases w:val="Footnote Char,Fußnote Char,Footnote Text Char Char Char Char Char Char Char,Fodnotetekst Tegn Tegn Tegn Tegn Tegn Tegn Tegn Char Char Char,Fodnotetekst Tegn Tegn Tegn Tegn Tegn Tegn Tegn Char Char Char Char Char"/>
    <w:basedOn w:val="DefaultParagraphFont"/>
    <w:link w:val="FootnoteText"/>
    <w:uiPriority w:val="99"/>
    <w:rPr>
      <w:rFonts w:ascii="Calibri" w:hAnsi="Calibri"/>
      <w:lang w:val="en-GB"/>
    </w:rPr>
  </w:style>
  <w:style w:type="character" w:styleId="FootnoteReference">
    <w:name w:val="footnote reference"/>
    <w:aliases w:val="fr"/>
    <w:basedOn w:val="DefaultParagraphFont"/>
    <w:uiPriority w:val="99"/>
    <w:unhideWhenUsed/>
    <w:rPr>
      <w:vertAlign w:val="superscript"/>
    </w:rPr>
  </w:style>
  <w:style w:type="character" w:customStyle="1" w:styleId="None">
    <w:name w:val="None"/>
  </w:style>
  <w:style w:type="paragraph" w:customStyle="1" w:styleId="BodyA">
    <w:name w:val="Body 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table" w:styleId="TableGrid">
    <w:name w:val="Table Grid"/>
    <w:basedOn w:val="TableNormal"/>
    <w:uiPriority w:val="59"/>
    <w:pPr>
      <w:pBdr>
        <w:top w:val="nil"/>
        <w:left w:val="nil"/>
        <w:bottom w:val="nil"/>
        <w:right w:val="nil"/>
        <w:between w:val="nil"/>
        <w:bar w:val="nil"/>
      </w:pBdr>
    </w:pPr>
    <w:rPr>
      <w:rFonts w:eastAsia="Arial Unicode MS"/>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sz w:val="24"/>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szCs w:val="24"/>
    </w:rPr>
  </w:style>
  <w:style w:type="character" w:customStyle="1" w:styleId="HeaderCoverPageChar">
    <w:name w:val="Header Cover Page Char"/>
    <w:basedOn w:val="DefaultParagraphFont"/>
    <w:link w:val="HeaderCoverPage"/>
    <w:rPr>
      <w:sz w:val="24"/>
      <w:szCs w:val="24"/>
      <w:lang w:val="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jpeg"/><Relationship Id="rId39"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image" Target="media/image20.png"/><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image" Target="media/image19.emf"/><Relationship Id="rId38"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32" Type="http://schemas.openxmlformats.org/officeDocument/2006/relationships/chart" Target="charts/chart1.xm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2.png"/><Relationship Id="rId10" Type="http://schemas.openxmlformats.org/officeDocument/2006/relationships/header" Target="header2.xm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media/image17.emf"/><Relationship Id="rId35" Type="http://schemas.openxmlformats.org/officeDocument/2006/relationships/image" Target="media/image21.png"/><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FISMA\Public\_Public\_B1\Inv%20screening%20econ%20analysis%20-%20with%20B2\FDI%20flows_25Aug17_LV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39784727939878E-2"/>
          <c:y val="0.10142361111111112"/>
          <c:w val="0.92559376515570191"/>
          <c:h val="0.71748554208858661"/>
        </c:manualLayout>
      </c:layout>
      <c:lineChart>
        <c:grouping val="standard"/>
        <c:varyColors val="0"/>
        <c:ser>
          <c:idx val="0"/>
          <c:order val="0"/>
          <c:tx>
            <c:strRef>
              <c:f>'greenfield into EU28'!$A$16</c:f>
              <c:strCache>
                <c:ptCount val="1"/>
                <c:pt idx="0">
                  <c:v>Extra-EU28</c:v>
                </c:pt>
              </c:strCache>
            </c:strRef>
          </c:tx>
          <c:marker>
            <c:symbol val="none"/>
          </c:marker>
          <c:cat>
            <c:strRef>
              <c:f>'greenfield into EU28'!$B$8:$G$8</c:f>
              <c:strCache>
                <c:ptCount val="6"/>
                <c:pt idx="0">
                  <c:v>2012</c:v>
                </c:pt>
                <c:pt idx="1">
                  <c:v>2013</c:v>
                </c:pt>
                <c:pt idx="2">
                  <c:v>2014</c:v>
                </c:pt>
                <c:pt idx="3">
                  <c:v>2015</c:v>
                </c:pt>
                <c:pt idx="4">
                  <c:v>2016</c:v>
                </c:pt>
                <c:pt idx="5">
                  <c:v>2017 (extrapolated)</c:v>
                </c:pt>
              </c:strCache>
            </c:strRef>
          </c:cat>
          <c:val>
            <c:numRef>
              <c:f>'greenfield into EU28'!$B$16:$G$16</c:f>
              <c:numCache>
                <c:formatCode>#,##0</c:formatCode>
                <c:ptCount val="6"/>
                <c:pt idx="0">
                  <c:v>61603.109999999309</c:v>
                </c:pt>
                <c:pt idx="1">
                  <c:v>62274.429999999069</c:v>
                </c:pt>
                <c:pt idx="2">
                  <c:v>60126.909999999138</c:v>
                </c:pt>
                <c:pt idx="3">
                  <c:v>65217.15999999889</c:v>
                </c:pt>
                <c:pt idx="4">
                  <c:v>63320.529999999315</c:v>
                </c:pt>
                <c:pt idx="5">
                  <c:v>67603.485010755423</c:v>
                </c:pt>
              </c:numCache>
            </c:numRef>
          </c:val>
          <c:smooth val="0"/>
        </c:ser>
        <c:ser>
          <c:idx val="1"/>
          <c:order val="1"/>
          <c:tx>
            <c:strRef>
              <c:f>'greenfield into EU28'!$A$17</c:f>
              <c:strCache>
                <c:ptCount val="1"/>
                <c:pt idx="0">
                  <c:v>Selected large non-EU source countries*</c:v>
                </c:pt>
              </c:strCache>
            </c:strRef>
          </c:tx>
          <c:spPr>
            <a:ln w="34925">
              <a:prstDash val="sysDot"/>
            </a:ln>
          </c:spPr>
          <c:marker>
            <c:symbol val="none"/>
          </c:marker>
          <c:val>
            <c:numRef>
              <c:f>'greenfield into EU28'!$B$17:$G$17</c:f>
              <c:numCache>
                <c:formatCode>#,##0</c:formatCode>
                <c:ptCount val="6"/>
                <c:pt idx="0">
                  <c:v>34054.059999999947</c:v>
                </c:pt>
                <c:pt idx="1">
                  <c:v>41415.620000000024</c:v>
                </c:pt>
                <c:pt idx="2">
                  <c:v>43777.22999999996</c:v>
                </c:pt>
                <c:pt idx="3">
                  <c:v>42395.500000000015</c:v>
                </c:pt>
                <c:pt idx="4">
                  <c:v>44914.260000000104</c:v>
                </c:pt>
                <c:pt idx="5">
                  <c:v>53660.62570271748</c:v>
                </c:pt>
              </c:numCache>
            </c:numRef>
          </c:val>
          <c:smooth val="0"/>
        </c:ser>
        <c:dLbls>
          <c:showLegendKey val="0"/>
          <c:showVal val="0"/>
          <c:showCatName val="0"/>
          <c:showSerName val="0"/>
          <c:showPercent val="0"/>
          <c:showBubbleSize val="0"/>
        </c:dLbls>
        <c:marker val="1"/>
        <c:smooth val="0"/>
        <c:axId val="38021760"/>
        <c:axId val="38748544"/>
      </c:lineChart>
      <c:catAx>
        <c:axId val="38021760"/>
        <c:scaling>
          <c:orientation val="minMax"/>
        </c:scaling>
        <c:delete val="0"/>
        <c:axPos val="b"/>
        <c:majorTickMark val="out"/>
        <c:minorTickMark val="none"/>
        <c:tickLblPos val="nextTo"/>
        <c:crossAx val="38748544"/>
        <c:crosses val="autoZero"/>
        <c:auto val="1"/>
        <c:lblAlgn val="ctr"/>
        <c:lblOffset val="100"/>
        <c:noMultiLvlLbl val="0"/>
      </c:catAx>
      <c:valAx>
        <c:axId val="38748544"/>
        <c:scaling>
          <c:orientation val="minMax"/>
          <c:min val="30000"/>
        </c:scaling>
        <c:delete val="0"/>
        <c:axPos val="l"/>
        <c:majorGridlines>
          <c:spPr>
            <a:ln>
              <a:solidFill>
                <a:schemeClr val="bg1">
                  <a:lumMod val="85000"/>
                </a:schemeClr>
              </a:solidFill>
              <a:prstDash val="sysDot"/>
            </a:ln>
          </c:spPr>
        </c:majorGridlines>
        <c:title>
          <c:tx>
            <c:rich>
              <a:bodyPr rot="0" vert="horz"/>
              <a:lstStyle/>
              <a:p>
                <a:pPr>
                  <a:defRPr/>
                </a:pPr>
                <a:r>
                  <a:rPr lang="en-GB"/>
                  <a:t>EURbn</a:t>
                </a:r>
              </a:p>
            </c:rich>
          </c:tx>
          <c:layout>
            <c:manualLayout>
              <c:xMode val="edge"/>
              <c:yMode val="edge"/>
              <c:x val="1.3368973904935919E-2"/>
              <c:y val="1.4526388888888866E-2"/>
            </c:manualLayout>
          </c:layout>
          <c:overlay val="0"/>
        </c:title>
        <c:numFmt formatCode="#,##0" sourceLinked="1"/>
        <c:majorTickMark val="out"/>
        <c:minorTickMark val="none"/>
        <c:tickLblPos val="nextTo"/>
        <c:crossAx val="38021760"/>
        <c:crosses val="autoZero"/>
        <c:crossBetween val="between"/>
        <c:dispUnits>
          <c:builtInUnit val="thousands"/>
        </c:dispUnits>
      </c:valAx>
    </c:plotArea>
    <c:legend>
      <c:legendPos val="b"/>
      <c:layout/>
      <c:overlay val="0"/>
    </c:legend>
    <c:plotVisOnly val="1"/>
    <c:dispBlanksAs val="gap"/>
    <c:showDLblsOverMax val="0"/>
  </c:chart>
  <c:txPr>
    <a:bodyPr/>
    <a:lstStyle/>
    <a:p>
      <a:pPr>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3837</Words>
  <Characters>20306</Characters>
  <Application>Microsoft Office Word</Application>
  <DocSecurity>0</DocSecurity>
  <Lines>478</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17</cp:revision>
  <cp:lastPrinted>2017-09-08T10:29:00Z</cp:lastPrinted>
  <dcterms:created xsi:type="dcterms:W3CDTF">2017-09-12T10:35:00Z</dcterms:created>
  <dcterms:modified xsi:type="dcterms:W3CDTF">2017-09-12T12:34:00Z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