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7F" w:rsidRDefault="00E367A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B27EE56818943EBAE2458B8B3751B80" style="width:450.6pt;height:321.6pt">
            <v:imagedata r:id="rId9" o:title=""/>
          </v:shape>
        </w:pict>
      </w:r>
    </w:p>
    <w:bookmarkEnd w:id="0"/>
    <w:p w:rsidR="006B6B7F" w:rsidRDefault="006B6B7F">
      <w:pPr>
        <w:rPr>
          <w:noProof/>
        </w:rPr>
        <w:sectPr w:rsidR="006B6B7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B6B7F" w:rsidRDefault="00E367AA">
      <w:pPr>
        <w:jc w:val="both"/>
        <w:rPr>
          <w:rFonts w:ascii="Times New Roman" w:eastAsia="Times New Roman" w:hAnsi="Times New Roman"/>
          <w:b/>
          <w:smallCaps/>
          <w:noProof/>
          <w:sz w:val="24"/>
          <w:szCs w:val="24"/>
        </w:rPr>
      </w:pPr>
      <w:r>
        <w:rPr>
          <w:rFonts w:ascii="Times New Roman" w:eastAsia="Times New Roman" w:hAnsi="Times New Roman"/>
          <w:b/>
          <w:smallCaps/>
          <w:noProof/>
          <w:sz w:val="24"/>
          <w:szCs w:val="24"/>
        </w:rPr>
        <w:lastRenderedPageBreak/>
        <w:t>1. Introduction</w:t>
      </w:r>
    </w:p>
    <w:p w:rsidR="006B6B7F" w:rsidRDefault="006B6B7F">
      <w:pPr>
        <w:jc w:val="both"/>
        <w:rPr>
          <w:rFonts w:ascii="Times New Roman" w:eastAsia="Times New Roman" w:hAnsi="Times New Roman"/>
          <w:b/>
          <w:smallCaps/>
          <w:noProof/>
          <w:sz w:val="24"/>
          <w:szCs w:val="24"/>
        </w:rPr>
      </w:pPr>
    </w:p>
    <w:p w:rsidR="006B6B7F" w:rsidRDefault="00E367AA">
      <w:pPr>
        <w:pStyle w:val="Body"/>
        <w:pBdr>
          <w:top w:val="nil"/>
          <w:left w:val="nil"/>
          <w:bottom w:val="nil"/>
          <w:right w:val="nil"/>
          <w:between w:val="nil"/>
        </w:pBdr>
        <w:tabs>
          <w:tab w:val="left" w:pos="284"/>
        </w:tabs>
        <w:jc w:val="both"/>
        <w:rPr>
          <w:noProof/>
        </w:rPr>
      </w:pPr>
      <w:r>
        <w:rPr>
          <w:noProof/>
        </w:rPr>
        <w:t xml:space="preserve">Global trade is a key contributor to a competitive and prosperous European Union, </w:t>
      </w:r>
      <w:r>
        <w:rPr>
          <w:noProof/>
        </w:rPr>
        <w:t>with more than 30 million jobs supported by European exports to the rest of the world. A globally integrated economy continues to benefit both large and small or medium sized European companies, as well as European citizens, workers and consumers. But glob</w:t>
      </w:r>
      <w:r>
        <w:rPr>
          <w:noProof/>
        </w:rPr>
        <w:t>al trade needs to be proactively shaped and managed to ensure it is fair, projects values and remains firmly anchored in a rules-based system. The European Union aims for a trade policy that is transparent and responsible, benefits all citizens, and provid</w:t>
      </w:r>
      <w:r>
        <w:rPr>
          <w:noProof/>
        </w:rPr>
        <w:t>es modern solutions for the realities of today's economy in the middle of a technological change. As part of the debate launched in March by the White Paper on the Future of Europe,</w:t>
      </w:r>
      <w:r>
        <w:rPr>
          <w:rStyle w:val="FootnoteReference"/>
          <w:noProof/>
        </w:rPr>
        <w:footnoteReference w:id="1"/>
      </w:r>
      <w:r>
        <w:rPr>
          <w:noProof/>
        </w:rPr>
        <w:t xml:space="preserve">  a reflection paper</w:t>
      </w:r>
      <w:r>
        <w:rPr>
          <w:rStyle w:val="FootnoteReference"/>
          <w:noProof/>
          <w:sz w:val="24"/>
          <w:szCs w:val="24"/>
        </w:rPr>
        <w:footnoteReference w:id="2"/>
      </w:r>
      <w:r>
        <w:rPr>
          <w:noProof/>
        </w:rPr>
        <w:t xml:space="preserve"> sketched out how trade policy, alongside other EU po</w:t>
      </w:r>
      <w:r>
        <w:rPr>
          <w:noProof/>
        </w:rPr>
        <w:t>licies, can help harness globalisation and ensure that benefits of trade are fairly shared in line with EU principles of solidarity and sustainability.</w:t>
      </w:r>
    </w:p>
    <w:p w:rsidR="006B6B7F" w:rsidRDefault="006B6B7F">
      <w:pPr>
        <w:pStyle w:val="Body"/>
        <w:pBdr>
          <w:top w:val="nil"/>
          <w:left w:val="nil"/>
          <w:bottom w:val="nil"/>
          <w:right w:val="nil"/>
          <w:between w:val="nil"/>
        </w:pBdr>
        <w:tabs>
          <w:tab w:val="left" w:pos="284"/>
        </w:tabs>
        <w:jc w:val="both"/>
        <w:rPr>
          <w:noProof/>
        </w:rPr>
      </w:pPr>
    </w:p>
    <w:p w:rsidR="006B6B7F" w:rsidRDefault="00E367AA">
      <w:pPr>
        <w:pStyle w:val="Body"/>
        <w:pBdr>
          <w:top w:val="nil"/>
          <w:left w:val="nil"/>
          <w:bottom w:val="nil"/>
          <w:right w:val="nil"/>
          <w:between w:val="nil"/>
        </w:pBdr>
        <w:tabs>
          <w:tab w:val="left" w:pos="284"/>
        </w:tabs>
        <w:jc w:val="both"/>
        <w:rPr>
          <w:noProof/>
        </w:rPr>
      </w:pPr>
      <w:r>
        <w:rPr>
          <w:noProof/>
        </w:rPr>
        <w:t xml:space="preserve">The international environment in which the EU conducts trade policy is continually changing: there are </w:t>
      </w:r>
      <w:r>
        <w:rPr>
          <w:noProof/>
        </w:rPr>
        <w:t>an increasing number of actions challenging the rules-based multilateral trading system, which may also herald a protectionist resurgence. At the same time, many trading nations, both major and smaller players, have shown very concretely their attachment t</w:t>
      </w:r>
      <w:r>
        <w:rPr>
          <w:noProof/>
        </w:rPr>
        <w:t xml:space="preserve">o fair and open international trade. </w:t>
      </w:r>
    </w:p>
    <w:p w:rsidR="006B6B7F" w:rsidRDefault="006B6B7F">
      <w:pPr>
        <w:jc w:val="both"/>
        <w:rPr>
          <w:rFonts w:ascii="Times New Roman" w:eastAsia="Times New Roman" w:hAnsi="Times New Roman"/>
          <w:noProof/>
          <w:sz w:val="24"/>
          <w:szCs w:val="24"/>
        </w:rPr>
      </w:pP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European Commission works to ensure that EU trade policy evolves to meet the Union’s overarching economic and political aims, including by enhancing coherence between trade policy and other EU external and internal policies. </w:t>
      </w:r>
      <w:r>
        <w:rPr>
          <w:rFonts w:ascii="Times New Roman" w:hAnsi="Times New Roman"/>
          <w:noProof/>
          <w:sz w:val="24"/>
          <w:szCs w:val="24"/>
        </w:rPr>
        <w:t>For example, trade policy c</w:t>
      </w:r>
      <w:r>
        <w:rPr>
          <w:rFonts w:ascii="Times New Roman" w:hAnsi="Times New Roman"/>
          <w:noProof/>
          <w:sz w:val="24"/>
          <w:szCs w:val="24"/>
        </w:rPr>
        <w:t>ontributes to the integrated policy-making of the 2030 Agenda for Sustainable Development by focusing not only on economic aspects, but also furthering social and environmental objectives, and contributes to the European Agenda on Migration and the Europea</w:t>
      </w:r>
      <w:r>
        <w:rPr>
          <w:rFonts w:ascii="Times New Roman" w:hAnsi="Times New Roman"/>
          <w:noProof/>
          <w:sz w:val="24"/>
          <w:szCs w:val="24"/>
        </w:rPr>
        <w:t xml:space="preserve">n Agenda on Security. </w:t>
      </w:r>
      <w:r>
        <w:rPr>
          <w:rFonts w:ascii="Times New Roman" w:eastAsia="Times New Roman" w:hAnsi="Times New Roman"/>
          <w:noProof/>
          <w:sz w:val="24"/>
          <w:szCs w:val="24"/>
        </w:rPr>
        <w:t>A robust and progressive policy agenda must respond to the current opportunities and challenges Europe faces, while furthering Europe's essential interests. Today, the Commission proposes a package of new initiatives that add to and c</w:t>
      </w:r>
      <w:r>
        <w:rPr>
          <w:rFonts w:ascii="Times New Roman" w:eastAsia="Times New Roman" w:hAnsi="Times New Roman"/>
          <w:noProof/>
          <w:sz w:val="24"/>
          <w:szCs w:val="24"/>
        </w:rPr>
        <w:t xml:space="preserve">omplete the existing very intensive trade agenda of the Union, in order to achieve these goals: </w:t>
      </w:r>
    </w:p>
    <w:p w:rsidR="006B6B7F" w:rsidRDefault="00E367AA">
      <w:pPr>
        <w:spacing w:after="200"/>
        <w:ind w:left="36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First, a </w:t>
      </w:r>
      <w:r>
        <w:rPr>
          <w:rFonts w:ascii="Times New Roman" w:eastAsia="Times New Roman" w:hAnsi="Times New Roman"/>
          <w:b/>
          <w:noProof/>
          <w:sz w:val="24"/>
          <w:szCs w:val="24"/>
        </w:rPr>
        <w:t>proposal for a Regulation establishing a framework to screen foreign direct investment coming into the EU</w:t>
      </w:r>
      <w:r>
        <w:rPr>
          <w:rFonts w:ascii="Times New Roman" w:eastAsia="Times New Roman" w:hAnsi="Times New Roman"/>
          <w:noProof/>
          <w:sz w:val="24"/>
          <w:szCs w:val="24"/>
        </w:rPr>
        <w:t>, to ensure that foreign investment remains</w:t>
      </w:r>
      <w:r>
        <w:rPr>
          <w:rFonts w:ascii="Times New Roman" w:eastAsia="Times New Roman" w:hAnsi="Times New Roman"/>
          <w:noProof/>
          <w:sz w:val="24"/>
          <w:szCs w:val="24"/>
        </w:rPr>
        <w:t xml:space="preserve"> a major source of growth in the EU while protecting the EU's essential interests. The legislative proposal is accompanied by a Commission Communication outlining in detail the strategic need for such screening;</w:t>
      </w:r>
    </w:p>
    <w:p w:rsidR="006B6B7F" w:rsidRDefault="00E367AA">
      <w:pPr>
        <w:spacing w:after="200"/>
        <w:ind w:left="36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Second, </w:t>
      </w:r>
      <w:r>
        <w:rPr>
          <w:rFonts w:ascii="Times New Roman" w:eastAsia="Times New Roman" w:hAnsi="Times New Roman"/>
          <w:b/>
          <w:noProof/>
          <w:sz w:val="24"/>
          <w:szCs w:val="24"/>
        </w:rPr>
        <w:t>recommendations to open negotiatio</w:t>
      </w:r>
      <w:r>
        <w:rPr>
          <w:rFonts w:ascii="Times New Roman" w:eastAsia="Times New Roman" w:hAnsi="Times New Roman"/>
          <w:b/>
          <w:noProof/>
          <w:sz w:val="24"/>
          <w:szCs w:val="24"/>
        </w:rPr>
        <w:t>ns for trade agreements with Australia and with New Zealand</w:t>
      </w:r>
      <w:r>
        <w:rPr>
          <w:rFonts w:ascii="Times New Roman" w:eastAsia="Times New Roman" w:hAnsi="Times New Roman"/>
          <w:noProof/>
          <w:sz w:val="24"/>
          <w:szCs w:val="24"/>
        </w:rPr>
        <w:t xml:space="preserve">. These agreements would build on the recent successful negotiations with Canada, Singapore, Vietnam as well as Japan among others, expanding the alliance of partners committed to progressive rules for global trade; </w:t>
      </w:r>
    </w:p>
    <w:p w:rsidR="006B6B7F" w:rsidRDefault="00E367AA">
      <w:pPr>
        <w:spacing w:after="200"/>
        <w:ind w:left="36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Third, </w:t>
      </w:r>
      <w:r>
        <w:rPr>
          <w:rFonts w:ascii="Times New Roman" w:eastAsia="Times New Roman" w:hAnsi="Times New Roman"/>
          <w:b/>
          <w:noProof/>
          <w:sz w:val="24"/>
          <w:szCs w:val="24"/>
        </w:rPr>
        <w:t>a recommendation to open multi</w:t>
      </w:r>
      <w:r>
        <w:rPr>
          <w:rFonts w:ascii="Times New Roman" w:eastAsia="Times New Roman" w:hAnsi="Times New Roman"/>
          <w:b/>
          <w:noProof/>
          <w:sz w:val="24"/>
          <w:szCs w:val="24"/>
        </w:rPr>
        <w:t>lateral negotiations to establish a multilateral court for the settlement of investment disputes</w:t>
      </w:r>
      <w:r>
        <w:rPr>
          <w:rFonts w:ascii="Times New Roman" w:eastAsia="Times New Roman" w:hAnsi="Times New Roman"/>
          <w:noProof/>
          <w:sz w:val="24"/>
          <w:szCs w:val="24"/>
        </w:rPr>
        <w:t>, a major innovation in global governance;</w:t>
      </w:r>
    </w:p>
    <w:p w:rsidR="006B6B7F" w:rsidRDefault="00E367AA">
      <w:pPr>
        <w:spacing w:after="200"/>
        <w:ind w:left="36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Fourth, the Commission has also decided to </w:t>
      </w:r>
      <w:r>
        <w:rPr>
          <w:rFonts w:ascii="Times New Roman" w:eastAsia="Times New Roman" w:hAnsi="Times New Roman"/>
          <w:b/>
          <w:noProof/>
          <w:sz w:val="24"/>
          <w:szCs w:val="24"/>
        </w:rPr>
        <w:t>publish from now on its recommendations for negotiating directives</w:t>
      </w:r>
      <w:r>
        <w:rPr>
          <w:rFonts w:ascii="Times New Roman" w:eastAsia="Times New Roman" w:hAnsi="Times New Roman"/>
          <w:noProof/>
          <w:sz w:val="24"/>
          <w:szCs w:val="24"/>
        </w:rPr>
        <w:t xml:space="preserve"> </w:t>
      </w:r>
      <w:r>
        <w:rPr>
          <w:rFonts w:ascii="Times New Roman" w:eastAsia="Times New Roman" w:hAnsi="Times New Roman"/>
          <w:b/>
          <w:noProof/>
          <w:sz w:val="24"/>
          <w:szCs w:val="24"/>
        </w:rPr>
        <w:t>for t</w:t>
      </w:r>
      <w:r>
        <w:rPr>
          <w:rFonts w:ascii="Times New Roman" w:eastAsia="Times New Roman" w:hAnsi="Times New Roman"/>
          <w:b/>
          <w:noProof/>
          <w:sz w:val="24"/>
          <w:szCs w:val="24"/>
        </w:rPr>
        <w:t>rade agreements</w:t>
      </w:r>
      <w:r>
        <w:rPr>
          <w:rFonts w:ascii="Times New Roman" w:eastAsia="Times New Roman" w:hAnsi="Times New Roman"/>
          <w:noProof/>
          <w:sz w:val="24"/>
          <w:szCs w:val="24"/>
        </w:rPr>
        <w:t xml:space="preserve">, starting today with these three recommendations. This  means that at the same time as they are submitted to </w:t>
      </w:r>
      <w:r>
        <w:rPr>
          <w:rFonts w:ascii="Times New Roman" w:eastAsia="Times New Roman" w:hAnsi="Times New Roman"/>
          <w:noProof/>
          <w:sz w:val="24"/>
          <w:szCs w:val="24"/>
        </w:rPr>
        <w:lastRenderedPageBreak/>
        <w:t>the Council for deliberations and transmitted to the European Parliament as they have been in the past; they are now also automatic</w:t>
      </w:r>
      <w:r>
        <w:rPr>
          <w:rFonts w:ascii="Times New Roman" w:eastAsia="Times New Roman" w:hAnsi="Times New Roman"/>
          <w:noProof/>
          <w:sz w:val="24"/>
          <w:szCs w:val="24"/>
        </w:rPr>
        <w:t xml:space="preserve">ally transmitted to national Parliaments and made available to the general public, thus allowing for a wide and inclusive debate on the planned agreement from the outset; </w:t>
      </w:r>
    </w:p>
    <w:p w:rsidR="006B6B7F" w:rsidRDefault="00E367AA">
      <w:pPr>
        <w:spacing w:after="200"/>
        <w:ind w:left="36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Finally, the Commission has also decided to </w:t>
      </w:r>
      <w:r>
        <w:rPr>
          <w:rFonts w:ascii="Times New Roman" w:eastAsia="Times New Roman" w:hAnsi="Times New Roman"/>
          <w:b/>
          <w:noProof/>
          <w:sz w:val="24"/>
          <w:szCs w:val="24"/>
        </w:rPr>
        <w:t>create a group to provide advice on th</w:t>
      </w:r>
      <w:r>
        <w:rPr>
          <w:rFonts w:ascii="Times New Roman" w:eastAsia="Times New Roman" w:hAnsi="Times New Roman"/>
          <w:b/>
          <w:noProof/>
          <w:sz w:val="24"/>
          <w:szCs w:val="24"/>
        </w:rPr>
        <w:t>e EU trade agreements</w:t>
      </w:r>
      <w:r>
        <w:rPr>
          <w:rFonts w:ascii="Times New Roman" w:eastAsia="Times New Roman" w:hAnsi="Times New Roman"/>
          <w:noProof/>
          <w:sz w:val="24"/>
          <w:szCs w:val="24"/>
        </w:rPr>
        <w:t>, as part of its emphasis on transparent and inclusive trade policy-making.</w:t>
      </w:r>
    </w:p>
    <w:p w:rsidR="006B6B7F" w:rsidRDefault="00E367AA">
      <w:pPr>
        <w:jc w:val="both"/>
        <w:rPr>
          <w:rFonts w:ascii="Times New Roman" w:eastAsia="Times New Roman" w:hAnsi="Times New Roman"/>
          <w:b/>
          <w:smallCaps/>
          <w:noProof/>
          <w:sz w:val="24"/>
          <w:szCs w:val="24"/>
        </w:rPr>
      </w:pPr>
      <w:r>
        <w:rPr>
          <w:rFonts w:ascii="Times New Roman" w:eastAsia="Times New Roman" w:hAnsi="Times New Roman"/>
          <w:noProof/>
          <w:sz w:val="24"/>
          <w:szCs w:val="24"/>
        </w:rPr>
        <w:t>Alongside this Communication, the Commission is also today publishing the first two-year Report</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on the implementation of its trade policy strategy “</w:t>
      </w:r>
      <w:r>
        <w:rPr>
          <w:rFonts w:ascii="Times New Roman" w:eastAsia="Times New Roman" w:hAnsi="Times New Roman"/>
          <w:i/>
          <w:noProof/>
          <w:sz w:val="24"/>
          <w:szCs w:val="24"/>
        </w:rPr>
        <w:t>Trade for A</w:t>
      </w:r>
      <w:r>
        <w:rPr>
          <w:rFonts w:ascii="Times New Roman" w:eastAsia="Times New Roman" w:hAnsi="Times New Roman"/>
          <w:i/>
          <w:noProof/>
          <w:sz w:val="24"/>
          <w:szCs w:val="24"/>
        </w:rPr>
        <w:t>ll.”</w:t>
      </w:r>
      <w:r>
        <w:rPr>
          <w:rStyle w:val="FootnoteReference"/>
          <w:rFonts w:ascii="Times New Roman" w:eastAsia="Times New Roman" w:hAnsi="Times New Roman"/>
          <w:noProof/>
          <w:sz w:val="24"/>
          <w:szCs w:val="24"/>
        </w:rPr>
        <w:footnoteReference w:id="3"/>
      </w:r>
      <w:r>
        <w:rPr>
          <w:rFonts w:ascii="Times New Roman" w:eastAsia="Times New Roman" w:hAnsi="Times New Roman"/>
          <w:noProof/>
          <w:sz w:val="24"/>
          <w:szCs w:val="24"/>
        </w:rPr>
        <w:t xml:space="preserve"> The Report charts the concrete achievements and work in progress over the two years since the strategy’s adoption, showing the lessons learnt that guide the evolution of EU trade policy. It will be complemented by a </w:t>
      </w:r>
      <w:r>
        <w:rPr>
          <w:rFonts w:ascii="Times New Roman" w:eastAsia="Times New Roman" w:hAnsi="Times New Roman"/>
          <w:i/>
          <w:noProof/>
          <w:sz w:val="24"/>
          <w:szCs w:val="24"/>
        </w:rPr>
        <w:t>Report on Implementation of Free T</w:t>
      </w:r>
      <w:r>
        <w:rPr>
          <w:rFonts w:ascii="Times New Roman" w:eastAsia="Times New Roman" w:hAnsi="Times New Roman"/>
          <w:i/>
          <w:noProof/>
          <w:sz w:val="24"/>
          <w:szCs w:val="24"/>
        </w:rPr>
        <w:t>rade Agreements</w:t>
      </w:r>
      <w:r>
        <w:rPr>
          <w:rFonts w:ascii="Times New Roman" w:eastAsia="Times New Roman" w:hAnsi="Times New Roman"/>
          <w:noProof/>
          <w:sz w:val="24"/>
          <w:szCs w:val="24"/>
        </w:rPr>
        <w:t xml:space="preserve"> later this autumn, and the Commission invites all stakeholders to a debate on a forward-looking trade policy based on the two Reports and this Communication. In addition, building  on the new European Consensus on Development, the Aid for T</w:t>
      </w:r>
      <w:r>
        <w:rPr>
          <w:rFonts w:ascii="Times New Roman" w:eastAsia="Times New Roman" w:hAnsi="Times New Roman"/>
          <w:noProof/>
          <w:sz w:val="24"/>
          <w:szCs w:val="24"/>
        </w:rPr>
        <w:t xml:space="preserve">rade Strategy will be reviewed this year. </w:t>
      </w:r>
    </w:p>
    <w:p w:rsidR="006B6B7F" w:rsidRDefault="006B6B7F">
      <w:pPr>
        <w:jc w:val="both"/>
        <w:rPr>
          <w:rFonts w:ascii="Times New Roman" w:eastAsia="Times New Roman" w:hAnsi="Times New Roman"/>
          <w:b/>
          <w:smallCaps/>
          <w:noProof/>
          <w:sz w:val="24"/>
          <w:szCs w:val="24"/>
        </w:rPr>
      </w:pPr>
    </w:p>
    <w:p w:rsidR="006B6B7F" w:rsidRDefault="006B6B7F">
      <w:pPr>
        <w:rPr>
          <w:rFonts w:ascii="Times New Roman" w:eastAsia="Times New Roman" w:hAnsi="Times New Roman"/>
          <w:b/>
          <w:smallCaps/>
          <w:noProof/>
          <w:sz w:val="24"/>
          <w:szCs w:val="24"/>
        </w:rPr>
      </w:pPr>
    </w:p>
    <w:p w:rsidR="006B6B7F" w:rsidRDefault="00E367AA">
      <w:pPr>
        <w:spacing w:after="20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2. Sealing new trade partnerships to build Progressive Rules for Global Trade</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is committed to </w:t>
      </w:r>
      <w:r>
        <w:rPr>
          <w:rFonts w:ascii="Times New Roman" w:eastAsia="Times New Roman" w:hAnsi="Times New Roman"/>
          <w:b/>
          <w:noProof/>
          <w:sz w:val="24"/>
          <w:szCs w:val="24"/>
        </w:rPr>
        <w:t>open trade anchored in the rules-based multilateral trading system</w:t>
      </w:r>
      <w:r>
        <w:rPr>
          <w:rFonts w:ascii="Times New Roman" w:eastAsia="Times New Roman" w:hAnsi="Times New Roman"/>
          <w:noProof/>
          <w:sz w:val="24"/>
          <w:szCs w:val="24"/>
        </w:rPr>
        <w:t>. Openness to flows of goods, services, peop</w:t>
      </w:r>
      <w:r>
        <w:rPr>
          <w:rFonts w:ascii="Times New Roman" w:eastAsia="Times New Roman" w:hAnsi="Times New Roman"/>
          <w:noProof/>
          <w:sz w:val="24"/>
          <w:szCs w:val="24"/>
        </w:rPr>
        <w:t>le and capital has fuelled EU growth, competitiveness and consumer welfare. Combined with high standards of environmental, labour, consumer and social protection, it underpins our prosperity, and is the most fitting way to make globalisation work for all E</w:t>
      </w:r>
      <w:r>
        <w:rPr>
          <w:rFonts w:ascii="Times New Roman" w:eastAsia="Times New Roman" w:hAnsi="Times New Roman"/>
          <w:noProof/>
          <w:sz w:val="24"/>
          <w:szCs w:val="24"/>
        </w:rPr>
        <w:t xml:space="preserve">uropeans. </w:t>
      </w:r>
      <w:r>
        <w:rPr>
          <w:rFonts w:ascii="Times New Roman" w:hAnsi="Times New Roman"/>
          <w:noProof/>
          <w:sz w:val="24"/>
          <w:szCs w:val="24"/>
        </w:rPr>
        <w:t>Globalisation is about more than trade and its effects are combined with those of technological change</w:t>
      </w:r>
      <w:r>
        <w:rPr>
          <w:rFonts w:ascii="Times New Roman" w:eastAsia="Times New Roman" w:hAnsi="Times New Roman"/>
          <w:noProof/>
          <w:sz w:val="24"/>
          <w:szCs w:val="24"/>
        </w:rPr>
        <w:t xml:space="preserve">; but there is no doubt trade policy has an important role to play in harnessing globalisation to ensure its economic, social and environmental </w:t>
      </w:r>
      <w:r>
        <w:rPr>
          <w:rFonts w:ascii="Times New Roman" w:eastAsia="Times New Roman" w:hAnsi="Times New Roman"/>
          <w:noProof/>
          <w:sz w:val="24"/>
          <w:szCs w:val="24"/>
        </w:rPr>
        <w:t xml:space="preserve">effects are positive for people and businesses in Europe and beyond. </w:t>
      </w:r>
    </w:p>
    <w:p w:rsidR="006B6B7F" w:rsidRDefault="00E367AA">
      <w:pPr>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 xml:space="preserve">The EU seeks out partners who want to team up </w:t>
      </w:r>
      <w:r>
        <w:rPr>
          <w:rFonts w:ascii="Times New Roman" w:eastAsia="Times New Roman" w:hAnsi="Times New Roman"/>
          <w:b/>
          <w:noProof/>
          <w:sz w:val="24"/>
          <w:szCs w:val="24"/>
        </w:rPr>
        <w:t>to build open and progressive rules</w:t>
      </w:r>
      <w:r>
        <w:rPr>
          <w:rFonts w:ascii="Times New Roman" w:eastAsia="Times New Roman" w:hAnsi="Times New Roman"/>
          <w:noProof/>
          <w:sz w:val="24"/>
          <w:szCs w:val="24"/>
        </w:rPr>
        <w:t xml:space="preserve"> for the realities of 21</w:t>
      </w:r>
      <w:r>
        <w:rPr>
          <w:rFonts w:ascii="Times New Roman" w:eastAsia="Times New Roman" w:hAnsi="Times New Roman"/>
          <w:noProof/>
          <w:sz w:val="24"/>
          <w:szCs w:val="24"/>
          <w:vertAlign w:val="superscript"/>
        </w:rPr>
        <w:t>st</w:t>
      </w:r>
      <w:r>
        <w:rPr>
          <w:rFonts w:ascii="Times New Roman" w:eastAsia="Times New Roman" w:hAnsi="Times New Roman"/>
          <w:noProof/>
          <w:sz w:val="24"/>
          <w:szCs w:val="24"/>
        </w:rPr>
        <w:t xml:space="preserve"> century trade, and thereby strengthen global governance. The EU’s recent agreements with Canada, Singapore or Vietnam as well as the agreement in principle with Japan do not just create new economic opportunities for our businesses and citizens – they als</w:t>
      </w:r>
      <w:r>
        <w:rPr>
          <w:rFonts w:ascii="Times New Roman" w:eastAsia="Times New Roman" w:hAnsi="Times New Roman"/>
          <w:noProof/>
          <w:sz w:val="24"/>
          <w:szCs w:val="24"/>
        </w:rPr>
        <w:t>o reflect and promote the universal values the Union adheres to and preserve the right of governments to regulate in the public interest.</w:t>
      </w:r>
    </w:p>
    <w:p w:rsidR="006B6B7F" w:rsidRDefault="006B6B7F">
      <w:pPr>
        <w:jc w:val="both"/>
        <w:rPr>
          <w:rFonts w:ascii="Times New Roman" w:eastAsia="Times New Roman" w:hAnsi="Times New Roman"/>
          <w:b/>
          <w:i/>
          <w:noProof/>
          <w:sz w:val="24"/>
          <w:szCs w:val="24"/>
        </w:rPr>
      </w:pPr>
    </w:p>
    <w:p w:rsidR="006B6B7F" w:rsidRDefault="00E367AA">
      <w:pPr>
        <w:spacing w:after="200"/>
        <w:jc w:val="both"/>
        <w:rPr>
          <w:rFonts w:ascii="Times New Roman" w:eastAsia="Times New Roman" w:hAnsi="Times New Roman"/>
          <w:b/>
          <w:i/>
          <w:noProof/>
          <w:sz w:val="24"/>
          <w:szCs w:val="24"/>
        </w:rPr>
      </w:pPr>
      <w:r>
        <w:rPr>
          <w:rFonts w:ascii="Times New Roman" w:eastAsia="Times New Roman" w:hAnsi="Times New Roman"/>
          <w:b/>
          <w:i/>
          <w:noProof/>
          <w:sz w:val="24"/>
          <w:szCs w:val="24"/>
        </w:rPr>
        <w:t xml:space="preserve">Creating new economic opportunities </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To open new markets, the European Commission pursues </w:t>
      </w:r>
      <w:r>
        <w:rPr>
          <w:rFonts w:ascii="Times New Roman" w:eastAsia="Times New Roman" w:hAnsi="Times New Roman"/>
          <w:b/>
          <w:noProof/>
          <w:sz w:val="24"/>
          <w:szCs w:val="24"/>
        </w:rPr>
        <w:t>a comprehensive negotiating</w:t>
      </w:r>
      <w:r>
        <w:rPr>
          <w:rFonts w:ascii="Times New Roman" w:eastAsia="Times New Roman" w:hAnsi="Times New Roman"/>
          <w:b/>
          <w:noProof/>
          <w:sz w:val="24"/>
          <w:szCs w:val="24"/>
        </w:rPr>
        <w:t xml:space="preserve"> agenda at both multilateral and bilateral levels </w:t>
      </w:r>
      <w:r>
        <w:rPr>
          <w:rFonts w:ascii="Times New Roman" w:eastAsia="Times New Roman" w:hAnsi="Times New Roman"/>
          <w:noProof/>
          <w:sz w:val="24"/>
          <w:szCs w:val="24"/>
        </w:rPr>
        <w:t>to secure reciprocal market access. The EU’s multilateral obligations in the World Trade Organisation (WTO) are the basis of our trade relations around the world. In the run-up to the Ministerial Conference</w:t>
      </w:r>
      <w:r>
        <w:rPr>
          <w:rFonts w:ascii="Times New Roman" w:eastAsia="Times New Roman" w:hAnsi="Times New Roman"/>
          <w:noProof/>
          <w:sz w:val="24"/>
          <w:szCs w:val="24"/>
        </w:rPr>
        <w:t xml:space="preserve"> in Buenos Aires in December, the EU is leading the way on reshaping the WTO negotiating agenda, seeking</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to</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modernise world trade rules and to restore the primacy of the WTO in rule-making, especially at a time of increasing protectionism.</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The Commission i</w:t>
      </w:r>
      <w:r>
        <w:rPr>
          <w:rFonts w:ascii="Times New Roman" w:eastAsia="Times New Roman" w:hAnsi="Times New Roman"/>
          <w:noProof/>
          <w:sz w:val="24"/>
          <w:szCs w:val="24"/>
        </w:rPr>
        <w:t xml:space="preserve">s committed to </w:t>
      </w:r>
      <w:r>
        <w:rPr>
          <w:rFonts w:ascii="Times New Roman" w:eastAsia="Times New Roman" w:hAnsi="Times New Roman"/>
          <w:b/>
          <w:noProof/>
          <w:sz w:val="24"/>
          <w:szCs w:val="24"/>
        </w:rPr>
        <w:t>deepening the EU's ties with the future growth engines in Asia and Latin America.</w:t>
      </w:r>
      <w:r>
        <w:rPr>
          <w:rFonts w:ascii="Times New Roman" w:eastAsia="Times New Roman" w:hAnsi="Times New Roman"/>
          <w:noProof/>
          <w:sz w:val="24"/>
          <w:szCs w:val="24"/>
        </w:rPr>
        <w:t xml:space="preserve"> Negotiations with Mexico and Mercosur are advancing fast and the Commission is aiming for a political conclusion of the talks by the end of the year. The agree</w:t>
      </w:r>
      <w:r>
        <w:rPr>
          <w:rFonts w:ascii="Times New Roman" w:eastAsia="Times New Roman" w:hAnsi="Times New Roman"/>
          <w:noProof/>
          <w:sz w:val="24"/>
          <w:szCs w:val="24"/>
        </w:rPr>
        <w:t xml:space="preserve">ments negotiated with Singapore and Vietnam will also be brought forward shortly. </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lastRenderedPageBreak/>
        <w:t xml:space="preserve">The </w:t>
      </w:r>
      <w:r>
        <w:rPr>
          <w:rFonts w:ascii="Times New Roman" w:eastAsia="Times New Roman" w:hAnsi="Times New Roman"/>
          <w:b/>
          <w:noProof/>
          <w:sz w:val="24"/>
          <w:szCs w:val="24"/>
        </w:rPr>
        <w:t xml:space="preserve">EU-Canada Comprehensive Economic and Trade Agreement (CETA) </w:t>
      </w:r>
      <w:r>
        <w:rPr>
          <w:rFonts w:ascii="Times New Roman" w:eastAsia="Times New Roman" w:hAnsi="Times New Roman"/>
          <w:noProof/>
          <w:sz w:val="24"/>
          <w:szCs w:val="24"/>
        </w:rPr>
        <w:t>will be provisionally applied as of 21 September. The EU and Japan reached an agreement in principle on the m</w:t>
      </w:r>
      <w:r>
        <w:rPr>
          <w:rFonts w:ascii="Times New Roman" w:eastAsia="Times New Roman" w:hAnsi="Times New Roman"/>
          <w:noProof/>
          <w:sz w:val="24"/>
          <w:szCs w:val="24"/>
        </w:rPr>
        <w:t>ain elements of an Economic Partnership Agreement on 6 July, with intensive work ongoing to conclude a final text of the agreement by the end of the year. These wide-reaching agreements will for example remove the vast majority of duties paid by EU compani</w:t>
      </w:r>
      <w:r>
        <w:rPr>
          <w:rFonts w:ascii="Times New Roman" w:eastAsia="Times New Roman" w:hAnsi="Times New Roman"/>
          <w:noProof/>
          <w:sz w:val="24"/>
          <w:szCs w:val="24"/>
        </w:rPr>
        <w:t>es on their trade with Canada and with Japan and will open markets to EU exports, including agriculture, food and drinks. The agreements will remove barriers across a number of services sectors and further promote an innovative and competitive economy, mak</w:t>
      </w:r>
      <w:r>
        <w:rPr>
          <w:rFonts w:ascii="Times New Roman" w:eastAsia="Times New Roman" w:hAnsi="Times New Roman"/>
          <w:noProof/>
          <w:sz w:val="24"/>
          <w:szCs w:val="24"/>
        </w:rPr>
        <w:t>ing it easier for all companies, and especially small and medium-sized enterprises, to do business.</w:t>
      </w:r>
    </w:p>
    <w:p w:rsidR="006B6B7F" w:rsidRDefault="00E367AA">
      <w:pPr>
        <w:spacing w:after="200"/>
        <w:jc w:val="both"/>
        <w:rPr>
          <w:rFonts w:ascii="Times New Roman" w:eastAsia="Times New Roman" w:hAnsi="Times New Roman"/>
          <w:b/>
          <w:i/>
          <w:noProof/>
          <w:sz w:val="24"/>
          <w:szCs w:val="24"/>
        </w:rPr>
      </w:pPr>
      <w:r>
        <w:rPr>
          <w:rFonts w:ascii="Times New Roman" w:eastAsia="Times New Roman" w:hAnsi="Times New Roman"/>
          <w:b/>
          <w:i/>
          <w:noProof/>
          <w:sz w:val="24"/>
          <w:szCs w:val="24"/>
        </w:rPr>
        <w:t>Promoting the universal values the Union adheres to</w:t>
      </w:r>
    </w:p>
    <w:p w:rsidR="006B6B7F" w:rsidRDefault="00E367AA">
      <w:pPr>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leads the way, </w:t>
      </w:r>
      <w:r>
        <w:rPr>
          <w:rFonts w:ascii="Times New Roman" w:eastAsia="Times New Roman" w:hAnsi="Times New Roman"/>
          <w:b/>
          <w:noProof/>
          <w:sz w:val="24"/>
          <w:szCs w:val="24"/>
        </w:rPr>
        <w:t>safeguarding high European standards of environmental, consumer, social and labour</w:t>
      </w:r>
      <w:r>
        <w:rPr>
          <w:rFonts w:ascii="Times New Roman" w:eastAsia="Times New Roman" w:hAnsi="Times New Roman"/>
          <w:b/>
          <w:noProof/>
          <w:sz w:val="24"/>
          <w:szCs w:val="24"/>
        </w:rPr>
        <w:t xml:space="preserve"> protection as well as fundamental rights without compromise</w:t>
      </w:r>
      <w:r>
        <w:rPr>
          <w:rFonts w:ascii="Times New Roman" w:eastAsia="Times New Roman" w:hAnsi="Times New Roman"/>
          <w:noProof/>
          <w:sz w:val="24"/>
          <w:szCs w:val="24"/>
        </w:rPr>
        <w:t>. Together with our partners, we seek to use trade policy instruments to promote those standards around the world in line with Sustainable Development Goals, which identify trade as one of the cru</w:t>
      </w:r>
      <w:r>
        <w:rPr>
          <w:rFonts w:ascii="Times New Roman" w:eastAsia="Times New Roman" w:hAnsi="Times New Roman"/>
          <w:noProof/>
          <w:sz w:val="24"/>
          <w:szCs w:val="24"/>
        </w:rPr>
        <w:t>cial means of implementation. For example, all modern EU trade agreements support the implementation of international environmental protection and labour standards agreements, with the EU-Japan Economic Partnership Agreement being the first international t</w:t>
      </w:r>
      <w:r>
        <w:rPr>
          <w:rFonts w:ascii="Times New Roman" w:eastAsia="Times New Roman" w:hAnsi="Times New Roman"/>
          <w:noProof/>
          <w:sz w:val="24"/>
          <w:szCs w:val="24"/>
        </w:rPr>
        <w:t>rade agreement to explicitly support the Paris climate agreement. The agreement with Canada delivered ambitious outcomes on labour commitments. This highlights that the Commission's approach in this respect as set out in its Communication "</w:t>
      </w:r>
      <w:r>
        <w:rPr>
          <w:rFonts w:ascii="Times New Roman" w:eastAsia="Times New Roman" w:hAnsi="Times New Roman"/>
          <w:i/>
          <w:noProof/>
          <w:sz w:val="24"/>
          <w:szCs w:val="24"/>
        </w:rPr>
        <w:t>Trade for All</w:t>
      </w:r>
      <w:r>
        <w:rPr>
          <w:rFonts w:ascii="Times New Roman" w:eastAsia="Times New Roman" w:hAnsi="Times New Roman"/>
          <w:noProof/>
          <w:sz w:val="24"/>
          <w:szCs w:val="24"/>
        </w:rPr>
        <w:t>"</w:t>
      </w:r>
      <w:r>
        <w:rPr>
          <w:rStyle w:val="None"/>
          <w:rFonts w:ascii="Times New Roman" w:eastAsia="Times New Roman" w:hAnsi="Times New Roman"/>
          <w:noProof/>
          <w:sz w:val="24"/>
          <w:szCs w:val="24"/>
          <w:vertAlign w:val="superscript"/>
        </w:rPr>
        <w:footnoteReference w:id="4"/>
      </w:r>
      <w:r>
        <w:rPr>
          <w:rFonts w:ascii="Times New Roman" w:eastAsia="Times New Roman" w:hAnsi="Times New Roman"/>
          <w:noProof/>
          <w:sz w:val="24"/>
          <w:szCs w:val="24"/>
        </w:rPr>
        <w:t xml:space="preserve"> </w:t>
      </w:r>
      <w:r>
        <w:rPr>
          <w:rFonts w:ascii="Times New Roman" w:eastAsia="Times New Roman" w:hAnsi="Times New Roman"/>
          <w:noProof/>
          <w:sz w:val="24"/>
          <w:szCs w:val="24"/>
        </w:rPr>
        <w:t>is bearing fruit. The Commission is currently engaged in comprehensive discussions with the European Parliament, the Council and stakeholders with a view to improving the effectiveness of the implementation and enforcement of trade and sustainable developm</w:t>
      </w:r>
      <w:r>
        <w:rPr>
          <w:rFonts w:ascii="Times New Roman" w:eastAsia="Times New Roman" w:hAnsi="Times New Roman"/>
          <w:noProof/>
          <w:sz w:val="24"/>
          <w:szCs w:val="24"/>
        </w:rPr>
        <w:t>ent provisions in our agreements</w:t>
      </w:r>
      <w:r>
        <w:rPr>
          <w:rFonts w:ascii="Times New Roman" w:eastAsia="Times New Roman" w:hAnsi="Times New Roman"/>
          <w:noProof/>
          <w:color w:val="1F497D"/>
          <w:sz w:val="24"/>
          <w:szCs w:val="24"/>
        </w:rPr>
        <w:t xml:space="preserve">. </w:t>
      </w:r>
    </w:p>
    <w:p w:rsidR="006B6B7F" w:rsidRDefault="006B6B7F">
      <w:pPr>
        <w:jc w:val="both"/>
        <w:rPr>
          <w:rFonts w:ascii="Times New Roman" w:eastAsia="Times New Roman" w:hAnsi="Times New Roman"/>
          <w:noProof/>
          <w:sz w:val="24"/>
          <w:szCs w:val="24"/>
        </w:rPr>
      </w:pPr>
    </w:p>
    <w:p w:rsidR="006B6B7F" w:rsidRDefault="00E367AA">
      <w:pPr>
        <w:jc w:val="both"/>
        <w:rPr>
          <w:rFonts w:ascii="Times New Roman" w:eastAsia="Times New Roman" w:hAnsi="Times New Roman"/>
          <w:b/>
          <w:i/>
          <w:noProof/>
          <w:sz w:val="24"/>
          <w:szCs w:val="24"/>
        </w:rPr>
      </w:pPr>
      <w:r>
        <w:rPr>
          <w:rFonts w:ascii="Times New Roman" w:eastAsia="Times New Roman" w:hAnsi="Times New Roman"/>
          <w:b/>
          <w:i/>
          <w:noProof/>
          <w:sz w:val="24"/>
          <w:szCs w:val="24"/>
        </w:rPr>
        <w:t>Preserving the right to regulate</w:t>
      </w:r>
    </w:p>
    <w:p w:rsidR="006B6B7F" w:rsidRDefault="006B6B7F">
      <w:pPr>
        <w:jc w:val="both"/>
        <w:rPr>
          <w:rFonts w:ascii="Times New Roman" w:eastAsia="Times New Roman" w:hAnsi="Times New Roman"/>
          <w:noProof/>
          <w:sz w:val="24"/>
          <w:szCs w:val="24"/>
        </w:rPr>
      </w:pP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EU agreements also </w:t>
      </w:r>
      <w:r>
        <w:rPr>
          <w:rFonts w:ascii="Times New Roman" w:eastAsia="Times New Roman" w:hAnsi="Times New Roman"/>
          <w:b/>
          <w:noProof/>
          <w:sz w:val="24"/>
          <w:szCs w:val="24"/>
        </w:rPr>
        <w:t>explicitly preserve the right of governments to regulate in the public interest</w:t>
      </w:r>
      <w:r>
        <w:rPr>
          <w:rFonts w:ascii="Times New Roman" w:eastAsia="Times New Roman" w:hAnsi="Times New Roman"/>
          <w:noProof/>
          <w:sz w:val="24"/>
          <w:szCs w:val="24"/>
        </w:rPr>
        <w:t xml:space="preserve"> – an important principle for all future negotiations.</w:t>
      </w:r>
      <w:r>
        <w:rPr>
          <w:rStyle w:val="FootnoteReference"/>
          <w:rFonts w:ascii="Times New Roman" w:eastAsia="Times New Roman" w:hAnsi="Times New Roman"/>
          <w:noProof/>
        </w:rPr>
        <w:footnoteReference w:id="5"/>
      </w:r>
      <w:r>
        <w:rPr>
          <w:rFonts w:ascii="Times New Roman" w:eastAsia="Times New Roman" w:hAnsi="Times New Roman"/>
          <w:noProof/>
          <w:sz w:val="24"/>
          <w:szCs w:val="24"/>
        </w:rPr>
        <w:t xml:space="preserve"> This principle underpins the EU'</w:t>
      </w:r>
      <w:r>
        <w:rPr>
          <w:rFonts w:ascii="Times New Roman" w:eastAsia="Times New Roman" w:hAnsi="Times New Roman"/>
          <w:noProof/>
          <w:sz w:val="24"/>
          <w:szCs w:val="24"/>
        </w:rPr>
        <w:t>s new approach to investment protection. The Commission is now pursuing a fully reformed approach to investment protection in its bilateral agreements, a major departure from the system of investor-to-state dispute settlement, as illustrated by the agreeme</w:t>
      </w:r>
      <w:r>
        <w:rPr>
          <w:rFonts w:ascii="Times New Roman" w:eastAsia="Times New Roman" w:hAnsi="Times New Roman"/>
          <w:noProof/>
          <w:sz w:val="24"/>
          <w:szCs w:val="24"/>
        </w:rPr>
        <w:t xml:space="preserve">nt with Canada. </w:t>
      </w:r>
    </w:p>
    <w:p w:rsidR="006B6B7F" w:rsidRDefault="00E367AA">
      <w:pPr>
        <w:jc w:val="both"/>
        <w:rPr>
          <w:rFonts w:ascii="Times New Roman" w:eastAsia="Times New Roman" w:hAnsi="Times New Roman"/>
          <w:b/>
          <w:i/>
          <w:noProof/>
          <w:sz w:val="24"/>
          <w:szCs w:val="24"/>
        </w:rPr>
      </w:pPr>
      <w:r>
        <w:rPr>
          <w:rFonts w:ascii="Times New Roman" w:eastAsia="Times New Roman" w:hAnsi="Times New Roman"/>
          <w:b/>
          <w:i/>
          <w:noProof/>
          <w:sz w:val="24"/>
          <w:szCs w:val="24"/>
        </w:rPr>
        <w:t>Sealing new partnerships</w:t>
      </w:r>
    </w:p>
    <w:p w:rsidR="006B6B7F" w:rsidRDefault="006B6B7F">
      <w:pPr>
        <w:jc w:val="both"/>
        <w:rPr>
          <w:rFonts w:ascii="Times New Roman" w:eastAsia="Times New Roman" w:hAnsi="Times New Roman"/>
          <w:noProof/>
          <w:sz w:val="24"/>
          <w:szCs w:val="24"/>
        </w:rPr>
      </w:pPr>
    </w:p>
    <w:p w:rsidR="006B6B7F" w:rsidRDefault="00E367AA">
      <w:pPr>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 xml:space="preserve">The Japan and Canada agreements, and the fast progress made with partners such as Mexico and Mercosur, show it is possible to create progressive and modern trade rules. </w:t>
      </w:r>
      <w:r>
        <w:rPr>
          <w:rFonts w:ascii="Times New Roman" w:eastAsia="Times New Roman" w:hAnsi="Times New Roman"/>
          <w:b/>
          <w:noProof/>
          <w:sz w:val="24"/>
          <w:szCs w:val="24"/>
        </w:rPr>
        <w:t xml:space="preserve">To build on this momentum the Commission is </w:t>
      </w:r>
      <w:r>
        <w:rPr>
          <w:rFonts w:ascii="Times New Roman" w:eastAsia="Times New Roman" w:hAnsi="Times New Roman"/>
          <w:b/>
          <w:noProof/>
          <w:sz w:val="24"/>
          <w:szCs w:val="24"/>
        </w:rPr>
        <w:t>making recommendations to the Council to negotiate two new trade agreements</w:t>
      </w:r>
      <w:r>
        <w:rPr>
          <w:rFonts w:ascii="Times New Roman" w:eastAsia="Times New Roman" w:hAnsi="Times New Roman"/>
          <w:noProof/>
          <w:sz w:val="24"/>
          <w:szCs w:val="24"/>
        </w:rPr>
        <w:t xml:space="preserve">: with Australia and with New Zealand, which add up to the Commission's recent recommendation to open negotiations with Chile. </w:t>
      </w:r>
      <w:r>
        <w:rPr>
          <w:rFonts w:ascii="Times New Roman" w:eastAsia="Times New Roman" w:hAnsi="Times New Roman"/>
          <w:noProof/>
          <w:color w:val="000000"/>
          <w:sz w:val="24"/>
          <w:szCs w:val="24"/>
        </w:rPr>
        <w:t>The goal of these agreements is to promote sustainable</w:t>
      </w:r>
      <w:r>
        <w:rPr>
          <w:rFonts w:ascii="Times New Roman" w:eastAsia="Times New Roman" w:hAnsi="Times New Roman"/>
          <w:noProof/>
          <w:color w:val="000000"/>
          <w:sz w:val="24"/>
          <w:szCs w:val="24"/>
        </w:rPr>
        <w:t xml:space="preserve"> growth by expanding trade, providing a solid platform for deepening economic ties with the whole Asia-Pacific region, and </w:t>
      </w:r>
      <w:r>
        <w:rPr>
          <w:rFonts w:ascii="Times New Roman" w:eastAsia="Times New Roman" w:hAnsi="Times New Roman"/>
          <w:noProof/>
          <w:sz w:val="24"/>
          <w:szCs w:val="24"/>
        </w:rPr>
        <w:t xml:space="preserve">expand the alliance of partners committed to progressive rules for global trade. </w:t>
      </w:r>
    </w:p>
    <w:p w:rsidR="006B6B7F" w:rsidRDefault="006B6B7F">
      <w:pPr>
        <w:spacing w:after="200"/>
        <w:rPr>
          <w:rFonts w:ascii="Times New Roman" w:eastAsia="Times New Roman" w:hAnsi="Times New Roman"/>
          <w:b/>
          <w:smallCaps/>
          <w:noProof/>
          <w:sz w:val="24"/>
          <w:szCs w:val="24"/>
        </w:rPr>
      </w:pPr>
    </w:p>
    <w:p w:rsidR="006B6B7F" w:rsidRDefault="00E367AA">
      <w:pPr>
        <w:rPr>
          <w:rFonts w:ascii="Times New Roman" w:eastAsia="Times New Roman" w:hAnsi="Times New Roman"/>
          <w:b/>
          <w:smallCaps/>
          <w:noProof/>
          <w:sz w:val="24"/>
          <w:szCs w:val="24"/>
        </w:rPr>
      </w:pPr>
      <w:r>
        <w:rPr>
          <w:rFonts w:ascii="Times New Roman" w:eastAsia="Times New Roman" w:hAnsi="Times New Roman"/>
          <w:b/>
          <w:smallCaps/>
          <w:noProof/>
          <w:sz w:val="24"/>
          <w:szCs w:val="24"/>
        </w:rPr>
        <w:br w:type="page"/>
      </w:r>
    </w:p>
    <w:p w:rsidR="006B6B7F" w:rsidRDefault="00E367AA">
      <w:pPr>
        <w:spacing w:after="200"/>
        <w:rPr>
          <w:rFonts w:ascii="Times New Roman" w:eastAsia="Times New Roman" w:hAnsi="Times New Roman"/>
          <w:b/>
          <w:smallCaps/>
          <w:noProof/>
          <w:sz w:val="24"/>
          <w:szCs w:val="24"/>
        </w:rPr>
      </w:pPr>
      <w:r>
        <w:rPr>
          <w:rFonts w:ascii="Times New Roman" w:eastAsia="Times New Roman" w:hAnsi="Times New Roman"/>
          <w:b/>
          <w:smallCaps/>
          <w:noProof/>
          <w:sz w:val="24"/>
          <w:szCs w:val="24"/>
        </w:rPr>
        <w:lastRenderedPageBreak/>
        <w:t>3. A robust trade and investment policy Protecti</w:t>
      </w:r>
      <w:r>
        <w:rPr>
          <w:rFonts w:ascii="Times New Roman" w:eastAsia="Times New Roman" w:hAnsi="Times New Roman"/>
          <w:b/>
          <w:smallCaps/>
          <w:noProof/>
          <w:sz w:val="24"/>
          <w:szCs w:val="24"/>
        </w:rPr>
        <w:t xml:space="preserve">ng EU interests and ensuring fairness </w:t>
      </w:r>
    </w:p>
    <w:p w:rsidR="006B6B7F" w:rsidRDefault="00E367AA">
      <w:pPr>
        <w:pStyle w:val="Body"/>
        <w:pBdr>
          <w:top w:val="nil"/>
          <w:left w:val="nil"/>
          <w:bottom w:val="nil"/>
          <w:right w:val="nil"/>
          <w:between w:val="nil"/>
        </w:pBdr>
        <w:jc w:val="both"/>
        <w:rPr>
          <w:noProof/>
        </w:rPr>
      </w:pPr>
      <w:r>
        <w:rPr>
          <w:noProof/>
        </w:rPr>
        <w:t xml:space="preserve">Our trade policy strives to make open trade fair: ensuring that European business, workers and farmers compete on a level playing field with those of our trading partners around the world. </w:t>
      </w:r>
    </w:p>
    <w:p w:rsidR="006B6B7F" w:rsidRDefault="006B6B7F">
      <w:pPr>
        <w:pStyle w:val="Body"/>
        <w:pBdr>
          <w:top w:val="nil"/>
          <w:left w:val="nil"/>
          <w:bottom w:val="nil"/>
          <w:right w:val="nil"/>
          <w:between w:val="nil"/>
        </w:pBdr>
        <w:jc w:val="both"/>
        <w:rPr>
          <w:noProof/>
        </w:rPr>
      </w:pPr>
    </w:p>
    <w:p w:rsidR="006B6B7F" w:rsidRDefault="00E367AA">
      <w:pPr>
        <w:pStyle w:val="Body"/>
        <w:pBdr>
          <w:top w:val="nil"/>
          <w:left w:val="nil"/>
          <w:bottom w:val="nil"/>
          <w:right w:val="nil"/>
          <w:between w:val="nil"/>
        </w:pBdr>
        <w:jc w:val="both"/>
        <w:rPr>
          <w:noProof/>
        </w:rPr>
      </w:pPr>
      <w:r>
        <w:rPr>
          <w:noProof/>
        </w:rPr>
        <w:t>Opening markets goes hand-</w:t>
      </w:r>
      <w:r>
        <w:rPr>
          <w:noProof/>
        </w:rPr>
        <w:t xml:space="preserve">in-hand </w:t>
      </w:r>
      <w:r>
        <w:rPr>
          <w:b/>
          <w:noProof/>
        </w:rPr>
        <w:t>with making sure that everyone plays by the rules and ensuring that essential EU interests are being protected</w:t>
      </w:r>
      <w:r>
        <w:rPr>
          <w:noProof/>
        </w:rPr>
        <w:t>. The EU actively uses all the tools at its disposal to enforce commitments undertaken by its partners, to remove trade barriers, and to c</w:t>
      </w:r>
      <w:r>
        <w:rPr>
          <w:noProof/>
        </w:rPr>
        <w:t>ombat unfair practices. Several EU partners, including the world's biggest economies, are more and more often taking domestic policy action that would damage other countries or undermine the rules-based multilateral trading system. The Commission is also r</w:t>
      </w:r>
      <w:r>
        <w:rPr>
          <w:noProof/>
        </w:rPr>
        <w:t xml:space="preserve">eady, if needed, to take new measures to combat this trend.  </w:t>
      </w:r>
    </w:p>
    <w:p w:rsidR="006B6B7F" w:rsidRDefault="006B6B7F">
      <w:pPr>
        <w:pStyle w:val="Body"/>
        <w:pBdr>
          <w:top w:val="nil"/>
          <w:left w:val="nil"/>
          <w:bottom w:val="nil"/>
          <w:right w:val="nil"/>
          <w:between w:val="nil"/>
        </w:pBdr>
        <w:jc w:val="both"/>
        <w:rPr>
          <w:noProof/>
        </w:rPr>
      </w:pPr>
    </w:p>
    <w:p w:rsidR="006B6B7F" w:rsidRDefault="00E367AA">
      <w:pPr>
        <w:pStyle w:val="Body"/>
        <w:pBdr>
          <w:top w:val="nil"/>
          <w:left w:val="nil"/>
          <w:bottom w:val="nil"/>
          <w:right w:val="nil"/>
          <w:between w:val="nil"/>
        </w:pBdr>
        <w:jc w:val="both"/>
        <w:rPr>
          <w:noProof/>
        </w:rPr>
      </w:pPr>
      <w:r>
        <w:rPr>
          <w:b/>
          <w:noProof/>
        </w:rPr>
        <w:t>Trade Defence Instruments also help ensuring that EU firms face fair competition</w:t>
      </w:r>
      <w:r>
        <w:rPr>
          <w:noProof/>
        </w:rPr>
        <w:t>. The Commission is working intensively with the European Parliament and the Council to achieve the proposed over</w:t>
      </w:r>
      <w:r>
        <w:rPr>
          <w:noProof/>
        </w:rPr>
        <w:t>all modernisation of trade defence instrument rules and a new anti-dumping calculation methodology, in line with the European Council Conclusions of 23 June 2017 calling for a swift agreement by the co-legislators. The updated rules would maintain and enha</w:t>
      </w:r>
      <w:r>
        <w:rPr>
          <w:noProof/>
        </w:rPr>
        <w:t xml:space="preserve">nce the ability of the EU to react to significant market distortions in countries that export to the EU. </w:t>
      </w:r>
    </w:p>
    <w:p w:rsidR="006B6B7F" w:rsidRDefault="006B6B7F">
      <w:pPr>
        <w:pStyle w:val="Body"/>
        <w:pBdr>
          <w:top w:val="nil"/>
          <w:left w:val="nil"/>
          <w:bottom w:val="nil"/>
          <w:right w:val="nil"/>
          <w:between w:val="nil"/>
        </w:pBdr>
        <w:jc w:val="both"/>
        <w:rPr>
          <w:noProof/>
        </w:rPr>
      </w:pPr>
    </w:p>
    <w:p w:rsidR="006B6B7F" w:rsidRDefault="00E367AA">
      <w:pPr>
        <w:pStyle w:val="Body"/>
        <w:pBdr>
          <w:top w:val="nil"/>
          <w:left w:val="nil"/>
          <w:bottom w:val="nil"/>
          <w:right w:val="nil"/>
          <w:between w:val="nil"/>
        </w:pBdr>
        <w:jc w:val="both"/>
        <w:rPr>
          <w:noProof/>
        </w:rPr>
      </w:pPr>
      <w:r>
        <w:rPr>
          <w:noProof/>
        </w:rPr>
        <w:t xml:space="preserve">Strengthening the anti-subsidy trade defence instrument is a key component in the EU's determination to tackle one of the main root causes of unfair </w:t>
      </w:r>
      <w:r>
        <w:rPr>
          <w:noProof/>
        </w:rPr>
        <w:t xml:space="preserve">international trade: </w:t>
      </w:r>
      <w:r>
        <w:rPr>
          <w:b/>
          <w:noProof/>
        </w:rPr>
        <w:t>unfair subsidisation practices</w:t>
      </w:r>
      <w:r>
        <w:rPr>
          <w:noProof/>
        </w:rPr>
        <w:t>, in particular when</w:t>
      </w:r>
      <w:r>
        <w:rPr>
          <w:b/>
          <w:noProof/>
        </w:rPr>
        <w:t xml:space="preserve"> </w:t>
      </w:r>
      <w:r>
        <w:rPr>
          <w:noProof/>
        </w:rPr>
        <w:t>leading to overcapacity. In addition, the EU will further push for initiatives at multilateral level concerning unfair subsidies. In particular, the EU is making proposals in the World</w:t>
      </w:r>
      <w:r>
        <w:rPr>
          <w:noProof/>
        </w:rPr>
        <w:t xml:space="preserve"> Trade Organisation that would promote transparency in industrial subsidies and limit the use of harmful subsidies in the agriculture and fisheries sectors. The EU also tackles the problems of overcapacity through stepping up international economic governa</w:t>
      </w:r>
      <w:r>
        <w:rPr>
          <w:noProof/>
        </w:rPr>
        <w:t xml:space="preserve">nce, for example seeking to address urgent problems in the steel sector within the Global Forum on Steel Excess Capacity, established by the G20 and OECD members. </w:t>
      </w:r>
    </w:p>
    <w:p w:rsidR="006B6B7F" w:rsidRDefault="006B6B7F">
      <w:pPr>
        <w:pStyle w:val="Body"/>
        <w:pBdr>
          <w:top w:val="nil"/>
          <w:left w:val="nil"/>
          <w:bottom w:val="nil"/>
          <w:right w:val="nil"/>
          <w:between w:val="nil"/>
        </w:pBdr>
        <w:jc w:val="both"/>
        <w:rPr>
          <w:noProof/>
        </w:rPr>
      </w:pPr>
    </w:p>
    <w:p w:rsidR="006B6B7F" w:rsidRDefault="00E367AA">
      <w:pPr>
        <w:pStyle w:val="Body"/>
        <w:pBdr>
          <w:top w:val="nil"/>
          <w:left w:val="nil"/>
          <w:bottom w:val="nil"/>
          <w:right w:val="nil"/>
          <w:between w:val="nil"/>
        </w:pBdr>
        <w:jc w:val="both"/>
        <w:rPr>
          <w:noProof/>
        </w:rPr>
      </w:pPr>
      <w:r>
        <w:rPr>
          <w:noProof/>
        </w:rPr>
        <w:t>Another area where the interest of EU producers are often adversely affected is that of pub</w:t>
      </w:r>
      <w:r>
        <w:rPr>
          <w:noProof/>
        </w:rPr>
        <w:t xml:space="preserve">lic procurement, where </w:t>
      </w:r>
      <w:r>
        <w:rPr>
          <w:noProof/>
          <w:lang w:val="en"/>
        </w:rPr>
        <w:t>many of the EU's major trading partners still apply restrictive practices which discriminate against EU businesses and do not ensure reciprocity in terms of market access.</w:t>
      </w:r>
      <w:r>
        <w:rPr>
          <w:noProof/>
        </w:rPr>
        <w:t xml:space="preserve"> </w:t>
      </w:r>
      <w:r>
        <w:rPr>
          <w:noProof/>
          <w:lang w:val="en"/>
        </w:rPr>
        <w:t xml:space="preserve">The Commission therefore calls on a swift adoption of its revised proposal for an </w:t>
      </w:r>
      <w:r>
        <w:rPr>
          <w:b/>
          <w:noProof/>
          <w:lang w:val="en"/>
        </w:rPr>
        <w:t>International Procurement Instrument</w:t>
      </w:r>
      <w:r>
        <w:rPr>
          <w:noProof/>
          <w:lang w:val="en"/>
        </w:rPr>
        <w:t xml:space="preserve"> - a tool to promote open and reciprocal access to public procurement markets around the world.</w:t>
      </w:r>
    </w:p>
    <w:p w:rsidR="006B6B7F" w:rsidRDefault="006B6B7F">
      <w:pPr>
        <w:jc w:val="both"/>
        <w:rPr>
          <w:rFonts w:ascii="Times New Roman" w:eastAsia="Times New Roman" w:hAnsi="Times New Roman"/>
          <w:noProof/>
          <w:color w:val="FF0000"/>
          <w:sz w:val="24"/>
          <w:szCs w:val="24"/>
          <w:shd w:val="clear" w:color="000000" w:fill="FFFF00"/>
        </w:rPr>
      </w:pPr>
    </w:p>
    <w:p w:rsidR="006B6B7F" w:rsidRDefault="00E367AA">
      <w:pPr>
        <w:pStyle w:val="BodyA"/>
        <w:spacing w:after="0" w:line="240" w:lineRule="auto"/>
        <w:jc w:val="both"/>
        <w:rPr>
          <w:rStyle w:val="None"/>
          <w:rFonts w:ascii="Times New Roman" w:hAnsi="Times New Roman" w:cs="Times New Roman"/>
          <w:noProof/>
          <w:color w:val="000000" w:themeColor="text1"/>
          <w:sz w:val="24"/>
          <w:szCs w:val="24"/>
          <w:bdr w:val="none" w:sz="0" w:space="0" w:color="auto"/>
          <w:lang w:val="en-GB"/>
        </w:rPr>
      </w:pPr>
      <w:r>
        <w:rPr>
          <w:rFonts w:ascii="Times New Roman" w:eastAsia="Times New Roman" w:hAnsi="Times New Roman"/>
          <w:noProof/>
          <w:sz w:val="24"/>
          <w:szCs w:val="24"/>
          <w:lang w:val="en-GB"/>
        </w:rPr>
        <w:t>In the same vein, the EU’s work on global</w:t>
      </w:r>
      <w:r>
        <w:rPr>
          <w:rFonts w:ascii="Times New Roman" w:eastAsia="Times New Roman" w:hAnsi="Times New Roman"/>
          <w:noProof/>
          <w:sz w:val="24"/>
          <w:szCs w:val="24"/>
          <w:lang w:val="en-GB"/>
        </w:rPr>
        <w:t xml:space="preserve"> governance rules must also adapt to the new challenges of global competition, such as the </w:t>
      </w:r>
      <w:r>
        <w:rPr>
          <w:rFonts w:ascii="Times New Roman" w:eastAsia="Times New Roman" w:hAnsi="Times New Roman"/>
          <w:b/>
          <w:noProof/>
          <w:sz w:val="24"/>
          <w:szCs w:val="24"/>
          <w:lang w:val="en-GB"/>
        </w:rPr>
        <w:t>concerns related to strategic EU assets being taken over by foreign investors</w:t>
      </w:r>
      <w:r>
        <w:rPr>
          <w:rFonts w:ascii="Times New Roman" w:eastAsia="Times New Roman" w:hAnsi="Times New Roman"/>
          <w:noProof/>
          <w:sz w:val="24"/>
          <w:szCs w:val="24"/>
          <w:lang w:val="en-GB"/>
        </w:rPr>
        <w:t xml:space="preserve"> – in particular, by subsidised and/or state-owned enterprises.  The </w:t>
      </w:r>
      <w:r>
        <w:rPr>
          <w:rStyle w:val="None"/>
          <w:rFonts w:ascii="Times New Roman" w:hAnsi="Times New Roman"/>
          <w:noProof/>
          <w:color w:val="000000" w:themeColor="text1"/>
          <w:sz w:val="24"/>
          <w:szCs w:val="24"/>
          <w:lang w:val="en-GB"/>
        </w:rPr>
        <w:t>EU's principled ope</w:t>
      </w:r>
      <w:r>
        <w:rPr>
          <w:rStyle w:val="None"/>
          <w:rFonts w:ascii="Times New Roman" w:hAnsi="Times New Roman"/>
          <w:noProof/>
          <w:color w:val="000000" w:themeColor="text1"/>
          <w:sz w:val="24"/>
          <w:szCs w:val="24"/>
          <w:lang w:val="en-GB"/>
        </w:rPr>
        <w:t>nness to FDI is not going to change. However, it has to be accompanied by vigorous and appropriate policies to, on the one hand, open up other economies and ensure that everyone plays by the same rules, and, on the other hand, to protect assets against tak</w:t>
      </w:r>
      <w:r>
        <w:rPr>
          <w:rStyle w:val="None"/>
          <w:rFonts w:ascii="Times New Roman" w:hAnsi="Times New Roman"/>
          <w:noProof/>
          <w:color w:val="000000" w:themeColor="text1"/>
          <w:sz w:val="24"/>
          <w:szCs w:val="24"/>
          <w:lang w:val="en-GB"/>
        </w:rPr>
        <w:t>eovers that would be detrimental to the vital interests of the EU or its Member States. Whilst the EU's trade and investment policy remains the most appropriate tool to ensure that third countries offer a level of openness for foreign investment equivalent</w:t>
      </w:r>
      <w:r>
        <w:rPr>
          <w:rStyle w:val="None"/>
          <w:rFonts w:ascii="Times New Roman" w:hAnsi="Times New Roman"/>
          <w:noProof/>
          <w:color w:val="000000" w:themeColor="text1"/>
          <w:sz w:val="24"/>
          <w:szCs w:val="24"/>
          <w:lang w:val="en-GB"/>
        </w:rPr>
        <w:t xml:space="preserve"> to that of the EU and in promoting a level playing field for EU operators, measures should also be taken to protect essential EU interests. </w:t>
      </w:r>
    </w:p>
    <w:p w:rsidR="006B6B7F" w:rsidRDefault="006B6B7F">
      <w:pPr>
        <w:jc w:val="both"/>
        <w:rPr>
          <w:rFonts w:ascii="Times New Roman" w:eastAsia="Times New Roman" w:hAnsi="Times New Roman"/>
          <w:noProof/>
          <w:sz w:val="24"/>
          <w:szCs w:val="24"/>
        </w:rPr>
      </w:pPr>
    </w:p>
    <w:p w:rsidR="006B6B7F" w:rsidRDefault="00E367AA">
      <w:pPr>
        <w:jc w:val="both"/>
        <w:rPr>
          <w:rFonts w:ascii="Times New Roman" w:eastAsia="Times New Roman" w:hAnsi="Times New Roman"/>
          <w:noProof/>
          <w:sz w:val="24"/>
          <w:szCs w:val="24"/>
        </w:rPr>
      </w:pPr>
      <w:r>
        <w:rPr>
          <w:rFonts w:ascii="Times New Roman" w:eastAsia="Times New Roman" w:hAnsi="Times New Roman"/>
          <w:noProof/>
          <w:sz w:val="24"/>
          <w:szCs w:val="24"/>
        </w:rPr>
        <w:lastRenderedPageBreak/>
        <w:t>As part of the today's package of trade policy measures, the Commission is proposing to increase EU cooperation a</w:t>
      </w:r>
      <w:r>
        <w:rPr>
          <w:rFonts w:ascii="Times New Roman" w:eastAsia="Times New Roman" w:hAnsi="Times New Roman"/>
          <w:noProof/>
          <w:sz w:val="24"/>
          <w:szCs w:val="24"/>
        </w:rPr>
        <w:t xml:space="preserve">nd establish a framework to </w:t>
      </w:r>
      <w:r>
        <w:rPr>
          <w:rFonts w:ascii="Times New Roman" w:eastAsia="Times New Roman" w:hAnsi="Times New Roman"/>
          <w:b/>
          <w:noProof/>
          <w:sz w:val="24"/>
          <w:szCs w:val="24"/>
        </w:rPr>
        <w:t xml:space="preserve">screen foreign direct investment </w:t>
      </w:r>
      <w:r>
        <w:rPr>
          <w:rFonts w:ascii="Times New Roman" w:eastAsia="Times New Roman" w:hAnsi="Times New Roman"/>
          <w:noProof/>
          <w:sz w:val="24"/>
          <w:szCs w:val="24"/>
        </w:rPr>
        <w:t>coming into the EU. The aim is to prevent take-overs of strategic assets that could threaten security or public order, thus preserving Europe’s essential interests, while also maintaining the ope</w:t>
      </w:r>
      <w:r>
        <w:rPr>
          <w:rFonts w:ascii="Times New Roman" w:eastAsia="Times New Roman" w:hAnsi="Times New Roman"/>
          <w:noProof/>
          <w:sz w:val="24"/>
          <w:szCs w:val="24"/>
        </w:rPr>
        <w:t xml:space="preserve">nness of EU markets to investment as a whole. </w:t>
      </w:r>
    </w:p>
    <w:p w:rsidR="006B6B7F" w:rsidRDefault="006B6B7F">
      <w:pPr>
        <w:jc w:val="both"/>
        <w:rPr>
          <w:rFonts w:ascii="Times New Roman" w:eastAsia="Times New Roman" w:hAnsi="Times New Roman"/>
          <w:noProof/>
          <w:sz w:val="24"/>
          <w:szCs w:val="24"/>
        </w:rPr>
      </w:pPr>
    </w:p>
    <w:p w:rsidR="006B6B7F" w:rsidRDefault="00E367AA">
      <w:pPr>
        <w:jc w:val="both"/>
        <w:rPr>
          <w:rFonts w:ascii="Times New Roman" w:eastAsia="Times New Roman" w:hAnsi="Times New Roman"/>
          <w:noProof/>
          <w:sz w:val="24"/>
          <w:szCs w:val="24"/>
        </w:rPr>
      </w:pPr>
      <w:r>
        <w:rPr>
          <w:rFonts w:ascii="Times New Roman" w:eastAsia="Times New Roman" w:hAnsi="Times New Roman"/>
          <w:noProof/>
          <w:sz w:val="24"/>
          <w:szCs w:val="24"/>
        </w:rPr>
        <w:t>T</w:t>
      </w:r>
      <w:r>
        <w:rPr>
          <w:rFonts w:ascii="Times New Roman" w:hAnsi="Times New Roman"/>
          <w:noProof/>
          <w:color w:val="000000" w:themeColor="text1"/>
          <w:sz w:val="24"/>
          <w:szCs w:val="24"/>
        </w:rPr>
        <w:t xml:space="preserve">oday's </w:t>
      </w:r>
      <w:r>
        <w:rPr>
          <w:rFonts w:ascii="Times New Roman" w:hAnsi="Times New Roman"/>
          <w:b/>
          <w:noProof/>
          <w:color w:val="000000" w:themeColor="text1"/>
          <w:sz w:val="24"/>
          <w:szCs w:val="24"/>
        </w:rPr>
        <w:t xml:space="preserve">Communication on welcoming Foreign Direct Investment while protecting Essential Interests </w:t>
      </w:r>
      <w:r>
        <w:rPr>
          <w:rFonts w:ascii="Times New Roman" w:hAnsi="Times New Roman"/>
          <w:noProof/>
          <w:color w:val="000000" w:themeColor="text1"/>
          <w:sz w:val="24"/>
          <w:szCs w:val="24"/>
        </w:rPr>
        <w:t>therefore proposes further concrete steps for Member States and, where relevant, the Commission to screen cert</w:t>
      </w:r>
      <w:r>
        <w:rPr>
          <w:rFonts w:ascii="Times New Roman" w:hAnsi="Times New Roman"/>
          <w:noProof/>
          <w:color w:val="000000" w:themeColor="text1"/>
          <w:sz w:val="24"/>
          <w:szCs w:val="24"/>
        </w:rPr>
        <w:t>ain FDI into the EU with the view to safeguarding security and public order.</w:t>
      </w:r>
      <w:r>
        <w:rPr>
          <w:rFonts w:ascii="Times New Roman" w:hAnsi="Times New Roman"/>
          <w:noProof/>
          <w:color w:val="000000" w:themeColor="text1"/>
          <w:sz w:val="24"/>
          <w:szCs w:val="24"/>
          <w:u w:color="FF2600"/>
        </w:rPr>
        <w:t xml:space="preserve"> </w:t>
      </w:r>
      <w:r>
        <w:rPr>
          <w:rFonts w:ascii="Times New Roman" w:hAnsi="Times New Roman"/>
          <w:noProof/>
          <w:color w:val="000000" w:themeColor="text1"/>
          <w:sz w:val="24"/>
          <w:szCs w:val="24"/>
        </w:rPr>
        <w:t>The Communication accompanies a proposal for a Regulation establishing a framework to screen foreign direct investments in the EU on grounds of security and public order, together</w:t>
      </w:r>
      <w:r>
        <w:rPr>
          <w:rFonts w:ascii="Times New Roman" w:hAnsi="Times New Roman"/>
          <w:noProof/>
          <w:color w:val="000000" w:themeColor="text1"/>
          <w:sz w:val="24"/>
          <w:szCs w:val="24"/>
        </w:rPr>
        <w:t xml:space="preserve"> with a cooperation mechanism among Member States as well as a framework for review at EU level.</w:t>
      </w:r>
    </w:p>
    <w:p w:rsidR="006B6B7F" w:rsidRDefault="006B6B7F">
      <w:pPr>
        <w:spacing w:after="200" w:line="276" w:lineRule="auto"/>
        <w:jc w:val="both"/>
        <w:rPr>
          <w:rFonts w:ascii="Times New Roman" w:eastAsia="Times New Roman" w:hAnsi="Times New Roman"/>
          <w:b/>
          <w:smallCaps/>
          <w:noProof/>
          <w:sz w:val="24"/>
          <w:szCs w:val="24"/>
        </w:rPr>
      </w:pPr>
    </w:p>
    <w:p w:rsidR="006B6B7F" w:rsidRDefault="00E367AA">
      <w:pPr>
        <w:spacing w:after="200" w:line="276" w:lineRule="auto"/>
        <w:jc w:val="both"/>
        <w:rPr>
          <w:rFonts w:ascii="Times New Roman" w:eastAsia="Times New Roman" w:hAnsi="Times New Roman"/>
          <w:b/>
          <w:smallCaps/>
          <w:noProof/>
          <w:sz w:val="24"/>
          <w:szCs w:val="24"/>
        </w:rPr>
      </w:pPr>
      <w:r>
        <w:rPr>
          <w:rFonts w:ascii="Times New Roman" w:eastAsia="Times New Roman" w:hAnsi="Times New Roman"/>
          <w:b/>
          <w:smallCaps/>
          <w:noProof/>
          <w:sz w:val="24"/>
          <w:szCs w:val="24"/>
        </w:rPr>
        <w:t>4. Delivering Effective Agreements through a Negotiation Process that is Transparent and Inclusive</w:t>
      </w:r>
    </w:p>
    <w:p w:rsidR="006B6B7F" w:rsidRDefault="00E367AA">
      <w:pPr>
        <w:pStyle w:val="NormalWeb"/>
        <w:spacing w:before="280" w:beforeAutospacing="1" w:after="280" w:afterAutospacing="1"/>
        <w:jc w:val="both"/>
        <w:rPr>
          <w:noProof/>
        </w:rPr>
      </w:pPr>
      <w:r>
        <w:rPr>
          <w:noProof/>
        </w:rPr>
        <w:t xml:space="preserve">How we conduct trade policy and trade negotiations matters. If the EU is to deliver effective agreements that benefit all citizens, the crafting of these agreements must be </w:t>
      </w:r>
      <w:r>
        <w:rPr>
          <w:b/>
          <w:noProof/>
        </w:rPr>
        <w:t>accountable, transparent, and inclusive</w:t>
      </w:r>
      <w:r>
        <w:rPr>
          <w:noProof/>
        </w:rPr>
        <w:t>. This is a joint responsibility of all EU I</w:t>
      </w:r>
      <w:r>
        <w:rPr>
          <w:noProof/>
        </w:rPr>
        <w:t xml:space="preserve">nstitutions, all Member States and all national Parliaments. </w:t>
      </w:r>
    </w:p>
    <w:p w:rsidR="006B6B7F" w:rsidRDefault="00E367AA">
      <w:pPr>
        <w:spacing w:after="1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To maximise the potential benefits of our trade policy, </w:t>
      </w:r>
      <w:r>
        <w:rPr>
          <w:rFonts w:ascii="Times New Roman" w:eastAsia="Times New Roman" w:hAnsi="Times New Roman"/>
          <w:b/>
          <w:noProof/>
          <w:sz w:val="24"/>
          <w:szCs w:val="24"/>
        </w:rPr>
        <w:t>the EU must be a credible negotiating partner</w:t>
      </w:r>
      <w:r>
        <w:rPr>
          <w:rFonts w:ascii="Times New Roman" w:eastAsia="Times New Roman" w:hAnsi="Times New Roman"/>
          <w:noProof/>
          <w:sz w:val="24"/>
          <w:szCs w:val="24"/>
        </w:rPr>
        <w:t>: our institutional decision-making must be clear, predictable and fit for purpose. This mean</w:t>
      </w:r>
      <w:r>
        <w:rPr>
          <w:rFonts w:ascii="Times New Roman" w:eastAsia="Times New Roman" w:hAnsi="Times New Roman"/>
          <w:noProof/>
          <w:sz w:val="24"/>
          <w:szCs w:val="24"/>
        </w:rPr>
        <w:t>s ensuring that our institutional set-up allows us to ratify and implement our negotiated agreements in an accountable, legitimate and effective manner. The Opinion of the Court of Justice of the European Union on the EU-Singapore Free Trade Agreement</w:t>
      </w:r>
      <w:r>
        <w:rPr>
          <w:rStyle w:val="FootnoteReference"/>
          <w:rFonts w:ascii="Times New Roman" w:eastAsia="Times New Roman" w:hAnsi="Times New Roman"/>
          <w:noProof/>
        </w:rPr>
        <w:footnoteReference w:id="6"/>
      </w:r>
      <w:r>
        <w:rPr>
          <w:rFonts w:ascii="Times New Roman" w:eastAsia="Times New Roman" w:hAnsi="Times New Roman"/>
          <w:noProof/>
          <w:sz w:val="24"/>
          <w:szCs w:val="24"/>
        </w:rPr>
        <w:t xml:space="preserve"> pro</w:t>
      </w:r>
      <w:r>
        <w:rPr>
          <w:rFonts w:ascii="Times New Roman" w:eastAsia="Times New Roman" w:hAnsi="Times New Roman"/>
          <w:noProof/>
          <w:sz w:val="24"/>
          <w:szCs w:val="24"/>
        </w:rPr>
        <w:t xml:space="preserve">vides welcome clarity on the division of competences in trade and investment agreements between the EU and its Member States. </w:t>
      </w:r>
    </w:p>
    <w:p w:rsidR="006B6B7F" w:rsidRDefault="00E367AA">
      <w:pPr>
        <w:spacing w:after="1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recommendation to open negotiations with Australia and New Zealand covers a broad list of subjects fully covered by the EU's </w:t>
      </w:r>
      <w:r>
        <w:rPr>
          <w:rFonts w:ascii="Times New Roman" w:eastAsia="Times New Roman" w:hAnsi="Times New Roman"/>
          <w:noProof/>
          <w:sz w:val="24"/>
          <w:szCs w:val="24"/>
        </w:rPr>
        <w:t xml:space="preserve">common commercial policy, including the liberalisation of trade in goods, services and foreign direct investment, public procurement, global rules aimed at ensuring a level playing field and ambitious sustainable development chapters. This allows </w:t>
      </w:r>
      <w:r>
        <w:rPr>
          <w:rFonts w:ascii="Times New Roman" w:eastAsia="Times New Roman" w:hAnsi="Times New Roman"/>
          <w:b/>
          <w:noProof/>
          <w:sz w:val="24"/>
          <w:szCs w:val="24"/>
        </w:rPr>
        <w:t>moving fo</w:t>
      </w:r>
      <w:r>
        <w:rPr>
          <w:rFonts w:ascii="Times New Roman" w:eastAsia="Times New Roman" w:hAnsi="Times New Roman"/>
          <w:b/>
          <w:noProof/>
          <w:sz w:val="24"/>
          <w:szCs w:val="24"/>
        </w:rPr>
        <w:t>rward quickly in view of the political imperative of strengthening the EU’s trading position in the world.</w:t>
      </w:r>
      <w:r>
        <w:rPr>
          <w:rFonts w:ascii="Times New Roman" w:eastAsia="Times New Roman" w:hAnsi="Times New Roman"/>
          <w:noProof/>
          <w:sz w:val="24"/>
          <w:szCs w:val="24"/>
        </w:rPr>
        <w:t xml:space="preserve"> The Commission stands ready to conduct these negotiations at an accelerated pace, with a view to concluding them by March 2019.</w:t>
      </w:r>
    </w:p>
    <w:p w:rsidR="006B6B7F" w:rsidRDefault="00E367AA">
      <w:pPr>
        <w:jc w:val="both"/>
        <w:rPr>
          <w:rFonts w:ascii="Times New Roman" w:eastAsia="Times New Roman" w:hAnsi="Times New Roman"/>
          <w:noProof/>
          <w:sz w:val="24"/>
          <w:szCs w:val="24"/>
        </w:rPr>
      </w:pPr>
      <w:r>
        <w:rPr>
          <w:rFonts w:ascii="Times New Roman" w:eastAsia="Times New Roman" w:hAnsi="Times New Roman"/>
          <w:noProof/>
          <w:sz w:val="24"/>
          <w:szCs w:val="24"/>
        </w:rPr>
        <w:t>The recommendation to</w:t>
      </w:r>
      <w:r>
        <w:rPr>
          <w:rFonts w:ascii="Times New Roman" w:eastAsia="Times New Roman" w:hAnsi="Times New Roman"/>
          <w:noProof/>
          <w:sz w:val="24"/>
          <w:szCs w:val="24"/>
        </w:rPr>
        <w:t xml:space="preserve"> open negotiations with Australia and New Zealand does not include investment protection and the resolution of investment disputes: </w:t>
      </w:r>
      <w:r>
        <w:rPr>
          <w:rFonts w:ascii="Times New Roman" w:eastAsia="Times New Roman" w:hAnsi="Times New Roman"/>
          <w:b/>
          <w:noProof/>
          <w:sz w:val="24"/>
          <w:szCs w:val="24"/>
        </w:rPr>
        <w:t>the debate on the best architecture for EU trade agreements and investment protection agreements</w:t>
      </w:r>
      <w:r>
        <w:rPr>
          <w:rFonts w:ascii="Times New Roman" w:eastAsia="Times New Roman" w:hAnsi="Times New Roman"/>
          <w:noProof/>
          <w:sz w:val="24"/>
          <w:szCs w:val="24"/>
        </w:rPr>
        <w:t xml:space="preserve"> must be completed and the C</w:t>
      </w:r>
      <w:r>
        <w:rPr>
          <w:rFonts w:ascii="Times New Roman" w:eastAsia="Times New Roman" w:hAnsi="Times New Roman"/>
          <w:noProof/>
          <w:sz w:val="24"/>
          <w:szCs w:val="24"/>
        </w:rPr>
        <w:t xml:space="preserve">ommission stands ready to discuss this further with the Council and the European Parliament. At the same time, the Commission continues to pursue ongoing investment negotiations; including those with Japan, China, Myanmar and other partners to improve the </w:t>
      </w:r>
      <w:r>
        <w:rPr>
          <w:rFonts w:ascii="Times New Roman" w:eastAsia="Times New Roman" w:hAnsi="Times New Roman"/>
          <w:noProof/>
          <w:sz w:val="24"/>
          <w:szCs w:val="24"/>
        </w:rPr>
        <w:t xml:space="preserve">position of EU investors abroad, whilst promoting sustainable development and protecting governments' right to regulate. The Commission also adopted today a recommendation to open negotiations </w:t>
      </w:r>
      <w:r>
        <w:rPr>
          <w:rFonts w:ascii="Times New Roman" w:eastAsia="Times New Roman" w:hAnsi="Times New Roman"/>
          <w:b/>
          <w:noProof/>
          <w:sz w:val="24"/>
          <w:szCs w:val="24"/>
        </w:rPr>
        <w:t xml:space="preserve">to establish an investment court at multilateral level. </w:t>
      </w:r>
      <w:r>
        <w:rPr>
          <w:rFonts w:ascii="Times New Roman" w:eastAsia="Times New Roman" w:hAnsi="Times New Roman"/>
          <w:noProof/>
          <w:sz w:val="24"/>
          <w:szCs w:val="24"/>
        </w:rPr>
        <w:t>This pr</w:t>
      </w:r>
      <w:r>
        <w:rPr>
          <w:rFonts w:ascii="Times New Roman" w:eastAsia="Times New Roman" w:hAnsi="Times New Roman"/>
          <w:noProof/>
          <w:sz w:val="24"/>
          <w:szCs w:val="24"/>
        </w:rPr>
        <w:t>oposal is yet another step towards a more transparent, coherent and fair approach to dealing with investor complaints under protection agreements.</w:t>
      </w:r>
    </w:p>
    <w:p w:rsidR="006B6B7F" w:rsidRDefault="006B6B7F">
      <w:pPr>
        <w:jc w:val="both"/>
        <w:rPr>
          <w:noProof/>
        </w:rPr>
      </w:pPr>
    </w:p>
    <w:p w:rsidR="006B6B7F" w:rsidRDefault="00E367AA">
      <w:pPr>
        <w:jc w:val="both"/>
        <w:rPr>
          <w:noProof/>
        </w:rPr>
      </w:pPr>
      <w:r>
        <w:rPr>
          <w:rFonts w:ascii="Times New Roman" w:eastAsia="Times New Roman" w:hAnsi="Times New Roman"/>
          <w:noProof/>
          <w:sz w:val="24"/>
          <w:szCs w:val="24"/>
        </w:rPr>
        <w:t xml:space="preserve">The legal issue of division of competences </w:t>
      </w:r>
      <w:r>
        <w:rPr>
          <w:rFonts w:ascii="Times New Roman" w:eastAsia="Times New Roman" w:hAnsi="Times New Roman"/>
          <w:b/>
          <w:noProof/>
          <w:sz w:val="24"/>
          <w:szCs w:val="24"/>
        </w:rPr>
        <w:t>should in no way impact the legitimacy and inclusiveness of the a</w:t>
      </w:r>
      <w:r>
        <w:rPr>
          <w:rFonts w:ascii="Times New Roman" w:eastAsia="Times New Roman" w:hAnsi="Times New Roman"/>
          <w:b/>
          <w:noProof/>
          <w:sz w:val="24"/>
          <w:szCs w:val="24"/>
        </w:rPr>
        <w:t>doption process</w:t>
      </w:r>
      <w:r>
        <w:rPr>
          <w:rFonts w:ascii="Times New Roman" w:eastAsia="Times New Roman" w:hAnsi="Times New Roman"/>
          <w:noProof/>
          <w:sz w:val="24"/>
          <w:szCs w:val="24"/>
        </w:rPr>
        <w:t>. This should be ensured irrespective of whether the final decision for adoption takes place at the EU level or also at Member States level. The Commission therefore welcomes the fact that EU Member State governments are now also increasingl</w:t>
      </w:r>
      <w:r>
        <w:rPr>
          <w:rFonts w:ascii="Times New Roman" w:eastAsia="Times New Roman" w:hAnsi="Times New Roman"/>
          <w:noProof/>
          <w:sz w:val="24"/>
          <w:szCs w:val="24"/>
        </w:rPr>
        <w:t xml:space="preserve">y engaging with their </w:t>
      </w:r>
      <w:r>
        <w:rPr>
          <w:rFonts w:ascii="Times New Roman" w:eastAsia="Times New Roman" w:hAnsi="Times New Roman"/>
          <w:b/>
          <w:noProof/>
          <w:sz w:val="24"/>
          <w:szCs w:val="24"/>
        </w:rPr>
        <w:t>national and regional Parliaments on trade negotiations.</w:t>
      </w:r>
      <w:r>
        <w:rPr>
          <w:rFonts w:ascii="Times New Roman" w:eastAsia="Times New Roman" w:hAnsi="Times New Roman"/>
          <w:noProof/>
          <w:sz w:val="24"/>
          <w:szCs w:val="24"/>
        </w:rPr>
        <w:t xml:space="preserve"> National Parliaments indeed play a key role in monitoring their government's positioning towards EU trade negotiations. The Commission therefore encourages Member States to cont</w:t>
      </w:r>
      <w:r>
        <w:rPr>
          <w:rFonts w:ascii="Times New Roman" w:eastAsia="Times New Roman" w:hAnsi="Times New Roman"/>
          <w:noProof/>
          <w:sz w:val="24"/>
          <w:szCs w:val="24"/>
        </w:rPr>
        <w:t xml:space="preserve">inue and, whenever possible, ensure the involvement of national Parliaments in trade talks at the earliest possible stage. </w:t>
      </w:r>
    </w:p>
    <w:p w:rsidR="006B6B7F" w:rsidRDefault="00E367AA">
      <w:pPr>
        <w:pStyle w:val="NormalWeb"/>
        <w:spacing w:before="280" w:beforeAutospacing="1" w:after="280" w:afterAutospacing="1"/>
        <w:jc w:val="both"/>
        <w:rPr>
          <w:noProof/>
        </w:rPr>
      </w:pPr>
      <w:r>
        <w:rPr>
          <w:noProof/>
        </w:rPr>
        <w:t xml:space="preserve">This is one of the key reasons why the Commission has decided to </w:t>
      </w:r>
      <w:r>
        <w:rPr>
          <w:b/>
          <w:noProof/>
        </w:rPr>
        <w:t>publish its recommendations for negotiating directives for trade ag</w:t>
      </w:r>
      <w:r>
        <w:rPr>
          <w:b/>
          <w:noProof/>
        </w:rPr>
        <w:t>reements</w:t>
      </w:r>
      <w:r>
        <w:rPr>
          <w:noProof/>
        </w:rPr>
        <w:t xml:space="preserve">, starting with the recommendations it has made today on Australia, New Zealand and the Multilateral Investment Court, and in line with the practice established for Article 50 negotiations with the United Kingdom. </w:t>
      </w:r>
    </w:p>
    <w:p w:rsidR="006B6B7F" w:rsidRDefault="00E367AA">
      <w:pPr>
        <w:pStyle w:val="NormalWeb"/>
        <w:spacing w:before="280" w:beforeAutospacing="1" w:after="280" w:afterAutospacing="1"/>
        <w:jc w:val="both"/>
        <w:rPr>
          <w:noProof/>
        </w:rPr>
      </w:pPr>
      <w:r>
        <w:rPr>
          <w:noProof/>
        </w:rPr>
        <w:t>This also means that in line with</w:t>
      </w:r>
      <w:r>
        <w:rPr>
          <w:noProof/>
        </w:rPr>
        <w:t xml:space="preserve"> normal practice for other types of Commission proposals, </w:t>
      </w:r>
      <w:r>
        <w:rPr>
          <w:b/>
          <w:noProof/>
        </w:rPr>
        <w:t>these recommendations will be automatically transmitted to all EU national Parliaments</w:t>
      </w:r>
      <w:r>
        <w:rPr>
          <w:noProof/>
        </w:rPr>
        <w:t xml:space="preserve"> and the European Parliament at the same time as being transmitted to the Council, together with the accompanyin</w:t>
      </w:r>
      <w:r>
        <w:rPr>
          <w:noProof/>
        </w:rPr>
        <w:t xml:space="preserve">g impact assessment report. This will make it easier for national Parliaments as well as a variety of stakeholders to express their views to their governments that represent them in Council discussions at the earliest possible stage. The Commission stands </w:t>
      </w:r>
      <w:r>
        <w:rPr>
          <w:noProof/>
        </w:rPr>
        <w:t xml:space="preserve">ready to assist Member States as they involve their own national and regional Parliaments, and to further discuss how best to facilitate parliamentary involvement. </w:t>
      </w:r>
    </w:p>
    <w:p w:rsidR="006B6B7F" w:rsidRDefault="00E367AA">
      <w:pPr>
        <w:jc w:val="both"/>
        <w:rPr>
          <w:rFonts w:ascii="Times New Roman" w:eastAsia="Times New Roman" w:hAnsi="Times New Roman"/>
          <w:noProof/>
          <w:sz w:val="24"/>
          <w:szCs w:val="24"/>
        </w:rPr>
      </w:pPr>
      <w:r>
        <w:rPr>
          <w:rFonts w:ascii="Times New Roman" w:eastAsia="Times New Roman" w:hAnsi="Times New Roman"/>
          <w:noProof/>
          <w:sz w:val="24"/>
          <w:szCs w:val="24"/>
        </w:rPr>
        <w:t>Finally, as part of its emphasis on transparent and inclusive trade policy-making, the Comm</w:t>
      </w:r>
      <w:r>
        <w:rPr>
          <w:rFonts w:ascii="Times New Roman" w:eastAsia="Times New Roman" w:hAnsi="Times New Roman"/>
          <w:noProof/>
          <w:sz w:val="24"/>
          <w:szCs w:val="24"/>
        </w:rPr>
        <w:t xml:space="preserve">ission has decided to create an </w:t>
      </w:r>
      <w:r>
        <w:rPr>
          <w:rFonts w:ascii="Times New Roman" w:eastAsia="Times New Roman" w:hAnsi="Times New Roman"/>
          <w:b/>
          <w:noProof/>
          <w:sz w:val="24"/>
          <w:szCs w:val="24"/>
        </w:rPr>
        <w:t xml:space="preserve">advisory group on EU trade negotiations. </w:t>
      </w:r>
      <w:r>
        <w:rPr>
          <w:rFonts w:ascii="Times New Roman" w:eastAsia="Times New Roman" w:hAnsi="Times New Roman"/>
          <w:noProof/>
          <w:sz w:val="24"/>
          <w:szCs w:val="24"/>
        </w:rPr>
        <w:t>The group will consist of representatives of a wide and balanced group of stakeholders, ranging from trade unions, employers' organisations, consumer groups and other non-governmental</w:t>
      </w:r>
      <w:r>
        <w:rPr>
          <w:rFonts w:ascii="Times New Roman" w:eastAsia="Times New Roman" w:hAnsi="Times New Roman"/>
          <w:noProof/>
          <w:sz w:val="24"/>
          <w:szCs w:val="24"/>
        </w:rPr>
        <w:t xml:space="preserve"> organisations. They will provide the Commission's trade negotiators and policy makers with high quality advice on areas subject to trade negotiations, enabling the Commission to rely on different perspectives and insights on trade.</w:t>
      </w:r>
    </w:p>
    <w:p w:rsidR="006B6B7F" w:rsidRDefault="006B6B7F">
      <w:pPr>
        <w:jc w:val="both"/>
        <w:rPr>
          <w:rFonts w:ascii="Times New Roman" w:eastAsia="Times New Roman" w:hAnsi="Times New Roman"/>
          <w:noProof/>
          <w:sz w:val="24"/>
          <w:szCs w:val="24"/>
        </w:rPr>
      </w:pPr>
    </w:p>
    <w:p w:rsidR="006B6B7F" w:rsidRDefault="006B6B7F">
      <w:pPr>
        <w:jc w:val="both"/>
        <w:rPr>
          <w:rFonts w:ascii="Times New Roman" w:eastAsia="Times New Roman" w:hAnsi="Times New Roman"/>
          <w:noProof/>
          <w:sz w:val="24"/>
          <w:szCs w:val="24"/>
        </w:rPr>
      </w:pPr>
    </w:p>
    <w:p w:rsidR="006B6B7F" w:rsidRDefault="00E367AA">
      <w:pPr>
        <w:rPr>
          <w:rFonts w:ascii="Times New Roman" w:eastAsia="Times New Roman" w:hAnsi="Times New Roman"/>
          <w:b/>
          <w:smallCaps/>
          <w:noProof/>
          <w:sz w:val="24"/>
          <w:szCs w:val="24"/>
        </w:rPr>
      </w:pPr>
      <w:r>
        <w:rPr>
          <w:rFonts w:ascii="Times New Roman" w:eastAsia="Times New Roman" w:hAnsi="Times New Roman"/>
          <w:b/>
          <w:smallCaps/>
          <w:noProof/>
          <w:sz w:val="24"/>
          <w:szCs w:val="24"/>
        </w:rPr>
        <w:br w:type="page"/>
      </w:r>
    </w:p>
    <w:p w:rsidR="006B6B7F" w:rsidRDefault="00E367AA">
      <w:pPr>
        <w:spacing w:after="200"/>
        <w:rPr>
          <w:rFonts w:ascii="Times New Roman" w:eastAsia="Times New Roman" w:hAnsi="Times New Roman"/>
          <w:noProof/>
          <w:sz w:val="24"/>
          <w:szCs w:val="24"/>
        </w:rPr>
      </w:pPr>
      <w:r>
        <w:rPr>
          <w:rFonts w:ascii="Times New Roman" w:eastAsia="Times New Roman" w:hAnsi="Times New Roman"/>
          <w:b/>
          <w:smallCaps/>
          <w:noProof/>
          <w:sz w:val="24"/>
          <w:szCs w:val="24"/>
        </w:rPr>
        <w:lastRenderedPageBreak/>
        <w:t>5. Conclusion</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The European Union must uphold an open and rules-based multilateral trading system and conduct a robust and pro-active trade policy based on openness, not protectionism, safeguards our continued prosperity and the sustainable development of the European ec</w:t>
      </w:r>
      <w:r>
        <w:rPr>
          <w:rFonts w:ascii="Times New Roman" w:eastAsia="Times New Roman" w:hAnsi="Times New Roman"/>
          <w:noProof/>
          <w:sz w:val="24"/>
          <w:szCs w:val="24"/>
        </w:rPr>
        <w:t xml:space="preserve">onomy. </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To this end, the European Union must promote an ambitious and progressive open, values- and rules-based trade agenda on the global scene. This means a trade policy that not only creates new economic opportunities for our businesses and citizens, bu</w:t>
      </w:r>
      <w:r>
        <w:rPr>
          <w:rFonts w:ascii="Times New Roman" w:eastAsia="Times New Roman" w:hAnsi="Times New Roman"/>
          <w:noProof/>
          <w:sz w:val="24"/>
          <w:szCs w:val="24"/>
        </w:rPr>
        <w:t>t also reflects and promotes the universal values the Union adheres to and preserves the right of governments to regulate in the public interest.</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This Commission will dedicate the rest of its mandate to building on previous successful agreements, to delive</w:t>
      </w:r>
      <w:r>
        <w:rPr>
          <w:rFonts w:ascii="Times New Roman" w:eastAsia="Times New Roman" w:hAnsi="Times New Roman"/>
          <w:noProof/>
          <w:sz w:val="24"/>
          <w:szCs w:val="24"/>
        </w:rPr>
        <w:t>r concrete benefits to all citizens. To do so, the EU needs a solid policy approach with consensus from all institutional actors. This debate must take place – yet, at the same time, we should not hold back from our task of further promoting Europe’s inter</w:t>
      </w:r>
      <w:r>
        <w:rPr>
          <w:rFonts w:ascii="Times New Roman" w:eastAsia="Times New Roman" w:hAnsi="Times New Roman"/>
          <w:noProof/>
          <w:sz w:val="24"/>
          <w:szCs w:val="24"/>
        </w:rPr>
        <w:t>ests. Therefore, the Commission intends to speed up all ongoing negotiations, and invites all institutions to swiftly engage in the debate on the broader architecture of EU trade agreements and EU investment protection agreements.</w:t>
      </w:r>
    </w:p>
    <w:p w:rsidR="006B6B7F" w:rsidRDefault="00E367AA">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Recent agreements with Ca</w:t>
      </w:r>
      <w:r>
        <w:rPr>
          <w:rFonts w:ascii="Times New Roman" w:eastAsia="Times New Roman" w:hAnsi="Times New Roman"/>
          <w:noProof/>
          <w:sz w:val="24"/>
          <w:szCs w:val="24"/>
        </w:rPr>
        <w:t>nada and Japan show that an ambition for an open, rules-based and progressive trade policy is not only possible. It also delivers, creating mutually beneficial outcomes and strengthening global governance with the EU's partners. The package of trade policy</w:t>
      </w:r>
      <w:r>
        <w:rPr>
          <w:rFonts w:ascii="Times New Roman" w:eastAsia="Times New Roman" w:hAnsi="Times New Roman"/>
          <w:noProof/>
          <w:sz w:val="24"/>
          <w:szCs w:val="24"/>
        </w:rPr>
        <w:t xml:space="preserve"> measures unveiled today furthers a modern EU trade policy that contributes to this Commission's resolve to harness globalisation.</w:t>
      </w:r>
    </w:p>
    <w:p w:rsidR="006B6B7F" w:rsidRDefault="006B6B7F">
      <w:pPr>
        <w:spacing w:after="200"/>
        <w:jc w:val="both"/>
        <w:rPr>
          <w:rFonts w:ascii="Times New Roman" w:eastAsia="Times New Roman" w:hAnsi="Times New Roman"/>
          <w:noProof/>
          <w:sz w:val="24"/>
          <w:szCs w:val="24"/>
        </w:rPr>
      </w:pPr>
    </w:p>
    <w:p w:rsidR="006B6B7F" w:rsidRDefault="006B6B7F">
      <w:pPr>
        <w:jc w:val="both"/>
        <w:rPr>
          <w:rFonts w:ascii="Times New Roman" w:eastAsia="Times New Roman" w:hAnsi="Times New Roman"/>
          <w:noProof/>
          <w:color w:val="000000"/>
          <w:sz w:val="24"/>
          <w:szCs w:val="24"/>
        </w:rPr>
      </w:pPr>
    </w:p>
    <w:p w:rsidR="006B6B7F" w:rsidRDefault="006B6B7F">
      <w:pPr>
        <w:spacing w:after="200"/>
        <w:jc w:val="both"/>
        <w:rPr>
          <w:rFonts w:ascii="Times New Roman" w:eastAsia="Times New Roman" w:hAnsi="Times New Roman"/>
          <w:noProof/>
          <w:sz w:val="24"/>
          <w:szCs w:val="24"/>
        </w:rPr>
      </w:pPr>
    </w:p>
    <w:sectPr w:rsidR="006B6B7F">
      <w:headerReference w:type="even" r:id="rId16"/>
      <w:headerReference w:type="default" r:id="rId17"/>
      <w:footerReference w:type="even" r:id="rId18"/>
      <w:footerReference w:type="default" r:id="rId19"/>
      <w:headerReference w:type="first" r:id="rId20"/>
      <w:footerReference w:type="first" r:id="rId21"/>
      <w:pgSz w:w="11906" w:h="16838"/>
      <w:pgMar w:top="1135" w:right="1417" w:bottom="993"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7F" w:rsidRDefault="00E367AA">
      <w:r>
        <w:separator/>
      </w:r>
    </w:p>
  </w:endnote>
  <w:endnote w:type="continuationSeparator" w:id="0">
    <w:p w:rsidR="006B6B7F" w:rsidRDefault="00E3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E367A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04080"/>
      <w:docPartObj>
        <w:docPartGallery w:val="Page Numbers (Bottom of Page)"/>
        <w:docPartUnique/>
      </w:docPartObj>
    </w:sdtPr>
    <w:sdtEndPr>
      <w:rPr>
        <w:noProof/>
      </w:rPr>
    </w:sdtEndPr>
    <w:sdtContent>
      <w:p w:rsidR="006B6B7F" w:rsidRDefault="00E367A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B6B7F" w:rsidRDefault="006B6B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7F" w:rsidRDefault="00E367AA">
      <w:r>
        <w:separator/>
      </w:r>
    </w:p>
  </w:footnote>
  <w:footnote w:type="continuationSeparator" w:id="0">
    <w:p w:rsidR="006B6B7F" w:rsidRDefault="00E367AA">
      <w:r>
        <w:continuationSeparator/>
      </w:r>
    </w:p>
  </w:footnote>
  <w:footnote w:id="1">
    <w:p w:rsidR="006B6B7F" w:rsidRDefault="00E367AA">
      <w:pPr>
        <w:pStyle w:val="FootnoteText"/>
        <w:rPr>
          <w:lang w:val="en-US"/>
        </w:rPr>
      </w:pPr>
      <w:r>
        <w:rPr>
          <w:rStyle w:val="FootnoteReference"/>
        </w:rPr>
        <w:t>1</w:t>
      </w:r>
      <w:r>
        <w:rPr>
          <w:lang w:val="en-US"/>
        </w:rPr>
        <w:t xml:space="preserve"> European Commission, "White Paper reference on the Future of Europe", COM(2017)2025.</w:t>
      </w:r>
    </w:p>
  </w:footnote>
  <w:footnote w:id="2">
    <w:p w:rsidR="006B6B7F" w:rsidRDefault="00E367AA">
      <w:pPr>
        <w:pStyle w:val="FootnoteText"/>
        <w:pBdr>
          <w:top w:val="nil"/>
          <w:left w:val="nil"/>
          <w:bottom w:val="nil"/>
          <w:right w:val="nil"/>
          <w:between w:val="nil"/>
        </w:pBdr>
      </w:pPr>
      <w:r>
        <w:rPr>
          <w:rStyle w:val="FootnoteReference"/>
        </w:rPr>
        <w:footnoteRef/>
      </w:r>
      <w:r>
        <w:t xml:space="preserve"> European Commission, “Reflection Paper on Harnessing Globalisation”, COM(2017)240.</w:t>
      </w:r>
    </w:p>
  </w:footnote>
  <w:footnote w:id="3">
    <w:p w:rsidR="006B6B7F" w:rsidRDefault="00E367AA">
      <w:pPr>
        <w:pStyle w:val="FootnoteText"/>
        <w:pBdr>
          <w:top w:val="nil"/>
          <w:left w:val="nil"/>
          <w:bottom w:val="nil"/>
          <w:right w:val="nil"/>
          <w:between w:val="nil"/>
        </w:pBdr>
        <w:jc w:val="both"/>
      </w:pPr>
      <w:r>
        <w:rPr>
          <w:rStyle w:val="FootnoteReference"/>
        </w:rPr>
        <w:footnoteRef/>
      </w:r>
      <w:r>
        <w:t xml:space="preserve"> European Commission, “Report on the Implementation of the Trade Policy Strategy </w:t>
      </w:r>
      <w:r>
        <w:rPr>
          <w:i/>
        </w:rPr>
        <w:t>Tra</w:t>
      </w:r>
      <w:r>
        <w:rPr>
          <w:i/>
        </w:rPr>
        <w:t>de for All</w:t>
      </w:r>
      <w:r>
        <w:t>”, COM (2017) 491.</w:t>
      </w:r>
    </w:p>
  </w:footnote>
  <w:footnote w:id="4">
    <w:p w:rsidR="006B6B7F" w:rsidRDefault="00E367AA">
      <w:pPr>
        <w:pStyle w:val="FootnoteText"/>
        <w:jc w:val="both"/>
      </w:pPr>
      <w:r>
        <w:rPr>
          <w:rStyle w:val="None"/>
          <w:vertAlign w:val="superscript"/>
        </w:rPr>
        <w:footnoteRef/>
      </w:r>
      <w:r>
        <w:t>Communication COM(2015)497 of 14 October 2015 "Trade for All: Towards a more responsible trade and investment policy"</w:t>
      </w:r>
    </w:p>
  </w:footnote>
  <w:footnote w:id="5">
    <w:p w:rsidR="006B6B7F" w:rsidRDefault="00E367AA">
      <w:pPr>
        <w:pStyle w:val="FootnoteText"/>
        <w:jc w:val="both"/>
      </w:pPr>
      <w:r>
        <w:rPr>
          <w:rStyle w:val="FootnoteReference"/>
        </w:rPr>
        <w:footnoteRef/>
      </w:r>
      <w:r>
        <w:t xml:space="preserve"> The Joint Interpretative Instrument on the Comprehensive Economic and Trade Agreement between Canada and the EU and its Member States explains the commitments in greater detail: </w:t>
      </w:r>
      <w:hyperlink r:id="rId1" w:history="1">
        <w:r>
          <w:rPr>
            <w:rStyle w:val="Hyperlink"/>
          </w:rPr>
          <w:t>http://data.consilium.europa.eu/doc/document/ST-13541-2016-INIT/en/</w:t>
        </w:r>
      </w:hyperlink>
      <w:r>
        <w:t>pdf.</w:t>
      </w:r>
    </w:p>
  </w:footnote>
  <w:footnote w:id="6">
    <w:p w:rsidR="006B6B7F" w:rsidRDefault="00E367AA">
      <w:pPr>
        <w:pStyle w:val="FootnoteText"/>
      </w:pPr>
      <w:r>
        <w:rPr>
          <w:rStyle w:val="FootnoteReference"/>
        </w:rPr>
        <w:footnoteRef/>
      </w:r>
      <w:r>
        <w:t xml:space="preserve"> </w:t>
      </w:r>
      <w:r>
        <w:rPr>
          <w:lang w:val="en-US"/>
        </w:rPr>
        <w:t>Opinion 2/15 of the Court of Justice of the European Union pursuant to Article 218(11) TFEU delivered on 16 May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Header"/>
      <w:jc w:val="center"/>
      <w:rPr>
        <w:rFonts w:ascii="Times New Roman" w:eastAsia="Times New Roman" w:hAnsi="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7F" w:rsidRDefault="006B6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D63AF1"/>
    <w:lvl w:ilvl="0" w:tplc="AC827E1E">
      <w:numFmt w:val="bullet"/>
      <w:lvlText w:val="-"/>
      <w:lvlJc w:val="left"/>
      <w:pPr>
        <w:ind w:left="1080" w:hanging="360"/>
      </w:pPr>
      <w:rPr>
        <w:rFonts w:ascii="Calibri" w:eastAsia="Times New Roman" w:hAnsi="Calibri"/>
        <w:w w:val="100"/>
        <w:sz w:val="20"/>
        <w:szCs w:val="20"/>
        <w:shd w:val="clear" w:color="auto" w:fill="auto"/>
      </w:rPr>
    </w:lvl>
    <w:lvl w:ilvl="1" w:tplc="D77A0DA4">
      <w:start w:val="1"/>
      <w:numFmt w:val="bullet"/>
      <w:lvlText w:val="o"/>
      <w:lvlJc w:val="left"/>
      <w:pPr>
        <w:ind w:left="1800" w:hanging="360"/>
      </w:pPr>
      <w:rPr>
        <w:rFonts w:ascii="Courier New" w:eastAsia="Courier New" w:hAnsi="Courier New"/>
        <w:w w:val="100"/>
        <w:sz w:val="20"/>
        <w:szCs w:val="20"/>
        <w:shd w:val="clear" w:color="auto" w:fill="auto"/>
      </w:rPr>
    </w:lvl>
    <w:lvl w:ilvl="2" w:tplc="AA54E04E">
      <w:start w:val="1"/>
      <w:numFmt w:val="bullet"/>
      <w:lvlText w:val="§"/>
      <w:lvlJc w:val="left"/>
      <w:pPr>
        <w:ind w:left="2520" w:hanging="360"/>
      </w:pPr>
      <w:rPr>
        <w:rFonts w:ascii="Wingdings" w:eastAsia="Wingdings" w:hAnsi="Wingdings"/>
        <w:w w:val="100"/>
        <w:sz w:val="20"/>
        <w:szCs w:val="20"/>
        <w:shd w:val="clear" w:color="auto" w:fill="auto"/>
      </w:rPr>
    </w:lvl>
    <w:lvl w:ilvl="3" w:tplc="9ABEF44E">
      <w:start w:val="1"/>
      <w:numFmt w:val="bullet"/>
      <w:lvlText w:val="·"/>
      <w:lvlJc w:val="left"/>
      <w:pPr>
        <w:ind w:left="3240" w:hanging="360"/>
      </w:pPr>
      <w:rPr>
        <w:rFonts w:ascii="Symbol" w:eastAsia="Symbol" w:hAnsi="Symbol"/>
        <w:w w:val="100"/>
        <w:sz w:val="20"/>
        <w:szCs w:val="20"/>
        <w:shd w:val="clear" w:color="auto" w:fill="auto"/>
      </w:rPr>
    </w:lvl>
    <w:lvl w:ilvl="4" w:tplc="D92E4984">
      <w:start w:val="1"/>
      <w:numFmt w:val="bullet"/>
      <w:lvlText w:val="o"/>
      <w:lvlJc w:val="left"/>
      <w:pPr>
        <w:ind w:left="3960" w:hanging="360"/>
      </w:pPr>
      <w:rPr>
        <w:rFonts w:ascii="Courier New" w:eastAsia="Courier New" w:hAnsi="Courier New"/>
        <w:w w:val="100"/>
        <w:sz w:val="20"/>
        <w:szCs w:val="20"/>
        <w:shd w:val="clear" w:color="auto" w:fill="auto"/>
      </w:rPr>
    </w:lvl>
    <w:lvl w:ilvl="5" w:tplc="C91A664A">
      <w:start w:val="1"/>
      <w:numFmt w:val="bullet"/>
      <w:lvlText w:val="§"/>
      <w:lvlJc w:val="left"/>
      <w:pPr>
        <w:ind w:left="4680" w:hanging="360"/>
      </w:pPr>
      <w:rPr>
        <w:rFonts w:ascii="Wingdings" w:eastAsia="Wingdings" w:hAnsi="Wingdings"/>
        <w:w w:val="100"/>
        <w:sz w:val="20"/>
        <w:szCs w:val="20"/>
        <w:shd w:val="clear" w:color="auto" w:fill="auto"/>
      </w:rPr>
    </w:lvl>
    <w:lvl w:ilvl="6" w:tplc="A93A870C">
      <w:start w:val="1"/>
      <w:numFmt w:val="bullet"/>
      <w:lvlText w:val="·"/>
      <w:lvlJc w:val="left"/>
      <w:pPr>
        <w:ind w:left="5400" w:hanging="360"/>
      </w:pPr>
      <w:rPr>
        <w:rFonts w:ascii="Symbol" w:eastAsia="Symbol" w:hAnsi="Symbol"/>
        <w:w w:val="100"/>
        <w:sz w:val="20"/>
        <w:szCs w:val="20"/>
        <w:shd w:val="clear" w:color="auto" w:fill="auto"/>
      </w:rPr>
    </w:lvl>
    <w:lvl w:ilvl="7" w:tplc="7C5656AA">
      <w:start w:val="1"/>
      <w:numFmt w:val="bullet"/>
      <w:lvlText w:val="o"/>
      <w:lvlJc w:val="left"/>
      <w:pPr>
        <w:ind w:left="6120" w:hanging="360"/>
      </w:pPr>
      <w:rPr>
        <w:rFonts w:ascii="Courier New" w:eastAsia="Courier New" w:hAnsi="Courier New"/>
        <w:w w:val="100"/>
        <w:sz w:val="20"/>
        <w:szCs w:val="20"/>
        <w:shd w:val="clear" w:color="auto" w:fill="auto"/>
      </w:rPr>
    </w:lvl>
    <w:lvl w:ilvl="8" w:tplc="3508046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60B7ACD9"/>
    <w:lvl w:ilvl="0" w:tplc="29B0A85C">
      <w:start w:val="1"/>
      <w:numFmt w:val="bullet"/>
      <w:lvlText w:val="·"/>
      <w:lvlJc w:val="left"/>
      <w:pPr>
        <w:ind w:left="1080" w:hanging="360"/>
      </w:pPr>
      <w:rPr>
        <w:rFonts w:ascii="Symbol" w:eastAsia="Symbol" w:hAnsi="Symbol"/>
        <w:w w:val="100"/>
        <w:sz w:val="20"/>
        <w:szCs w:val="20"/>
        <w:shd w:val="clear" w:color="auto" w:fill="auto"/>
      </w:rPr>
    </w:lvl>
    <w:lvl w:ilvl="1" w:tplc="57B08268">
      <w:start w:val="1"/>
      <w:numFmt w:val="bullet"/>
      <w:lvlText w:val="o"/>
      <w:lvlJc w:val="left"/>
      <w:pPr>
        <w:ind w:left="1800" w:hanging="360"/>
      </w:pPr>
      <w:rPr>
        <w:rFonts w:ascii="Courier New" w:eastAsia="Courier New" w:hAnsi="Courier New"/>
        <w:w w:val="100"/>
        <w:sz w:val="20"/>
        <w:szCs w:val="20"/>
        <w:shd w:val="clear" w:color="auto" w:fill="auto"/>
      </w:rPr>
    </w:lvl>
    <w:lvl w:ilvl="2" w:tplc="3D148EB0">
      <w:start w:val="1"/>
      <w:numFmt w:val="bullet"/>
      <w:lvlText w:val="§"/>
      <w:lvlJc w:val="left"/>
      <w:pPr>
        <w:ind w:left="2520" w:hanging="360"/>
      </w:pPr>
      <w:rPr>
        <w:rFonts w:ascii="Wingdings" w:eastAsia="Wingdings" w:hAnsi="Wingdings"/>
        <w:w w:val="100"/>
        <w:sz w:val="20"/>
        <w:szCs w:val="20"/>
        <w:shd w:val="clear" w:color="auto" w:fill="auto"/>
      </w:rPr>
    </w:lvl>
    <w:lvl w:ilvl="3" w:tplc="9EA47CAE">
      <w:start w:val="1"/>
      <w:numFmt w:val="bullet"/>
      <w:lvlText w:val="·"/>
      <w:lvlJc w:val="left"/>
      <w:pPr>
        <w:ind w:left="3240" w:hanging="360"/>
      </w:pPr>
      <w:rPr>
        <w:rFonts w:ascii="Symbol" w:eastAsia="Symbol" w:hAnsi="Symbol"/>
        <w:w w:val="100"/>
        <w:sz w:val="20"/>
        <w:szCs w:val="20"/>
        <w:shd w:val="clear" w:color="auto" w:fill="auto"/>
      </w:rPr>
    </w:lvl>
    <w:lvl w:ilvl="4" w:tplc="AC06F85A">
      <w:start w:val="1"/>
      <w:numFmt w:val="bullet"/>
      <w:lvlText w:val="o"/>
      <w:lvlJc w:val="left"/>
      <w:pPr>
        <w:ind w:left="3960" w:hanging="360"/>
      </w:pPr>
      <w:rPr>
        <w:rFonts w:ascii="Courier New" w:eastAsia="Courier New" w:hAnsi="Courier New"/>
        <w:w w:val="100"/>
        <w:sz w:val="20"/>
        <w:szCs w:val="20"/>
        <w:shd w:val="clear" w:color="auto" w:fill="auto"/>
      </w:rPr>
    </w:lvl>
    <w:lvl w:ilvl="5" w:tplc="2B0CD208">
      <w:start w:val="1"/>
      <w:numFmt w:val="bullet"/>
      <w:lvlText w:val="§"/>
      <w:lvlJc w:val="left"/>
      <w:pPr>
        <w:ind w:left="4680" w:hanging="360"/>
      </w:pPr>
      <w:rPr>
        <w:rFonts w:ascii="Wingdings" w:eastAsia="Wingdings" w:hAnsi="Wingdings"/>
        <w:w w:val="100"/>
        <w:sz w:val="20"/>
        <w:szCs w:val="20"/>
        <w:shd w:val="clear" w:color="auto" w:fill="auto"/>
      </w:rPr>
    </w:lvl>
    <w:lvl w:ilvl="6" w:tplc="30465F86">
      <w:start w:val="1"/>
      <w:numFmt w:val="bullet"/>
      <w:lvlText w:val="·"/>
      <w:lvlJc w:val="left"/>
      <w:pPr>
        <w:ind w:left="5400" w:hanging="360"/>
      </w:pPr>
      <w:rPr>
        <w:rFonts w:ascii="Symbol" w:eastAsia="Symbol" w:hAnsi="Symbol"/>
        <w:w w:val="100"/>
        <w:sz w:val="20"/>
        <w:szCs w:val="20"/>
        <w:shd w:val="clear" w:color="auto" w:fill="auto"/>
      </w:rPr>
    </w:lvl>
    <w:lvl w:ilvl="7" w:tplc="09928A26">
      <w:start w:val="1"/>
      <w:numFmt w:val="bullet"/>
      <w:lvlText w:val="o"/>
      <w:lvlJc w:val="left"/>
      <w:pPr>
        <w:ind w:left="6120" w:hanging="360"/>
      </w:pPr>
      <w:rPr>
        <w:rFonts w:ascii="Courier New" w:eastAsia="Courier New" w:hAnsi="Courier New"/>
        <w:w w:val="100"/>
        <w:sz w:val="20"/>
        <w:szCs w:val="20"/>
        <w:shd w:val="clear" w:color="auto" w:fill="auto"/>
      </w:rPr>
    </w:lvl>
    <w:lvl w:ilvl="8" w:tplc="76201C7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nsid w:val="00000003"/>
    <w:multiLevelType w:val="hybridMultilevel"/>
    <w:tmpl w:val="3AB50C2A"/>
    <w:lvl w:ilvl="0" w:tplc="ACB06C16">
      <w:start w:val="1"/>
      <w:numFmt w:val="bullet"/>
      <w:lvlText w:val="·"/>
      <w:lvlJc w:val="left"/>
      <w:pPr>
        <w:ind w:left="1440" w:hanging="360"/>
      </w:pPr>
      <w:rPr>
        <w:rFonts w:ascii="Symbol" w:eastAsia="Symbol" w:hAnsi="Symbol"/>
        <w:w w:val="100"/>
        <w:sz w:val="20"/>
        <w:szCs w:val="20"/>
        <w:shd w:val="clear" w:color="auto" w:fill="auto"/>
      </w:rPr>
    </w:lvl>
    <w:lvl w:ilvl="1" w:tplc="FA7884C6">
      <w:start w:val="1"/>
      <w:numFmt w:val="bullet"/>
      <w:lvlText w:val="o"/>
      <w:lvlJc w:val="left"/>
      <w:pPr>
        <w:ind w:left="2160" w:hanging="360"/>
      </w:pPr>
      <w:rPr>
        <w:rFonts w:ascii="Courier New" w:eastAsia="Courier New" w:hAnsi="Courier New"/>
        <w:w w:val="100"/>
        <w:sz w:val="20"/>
        <w:szCs w:val="20"/>
        <w:shd w:val="clear" w:color="auto" w:fill="auto"/>
      </w:rPr>
    </w:lvl>
    <w:lvl w:ilvl="2" w:tplc="29D4200E">
      <w:start w:val="1"/>
      <w:numFmt w:val="bullet"/>
      <w:lvlText w:val="§"/>
      <w:lvlJc w:val="left"/>
      <w:pPr>
        <w:ind w:left="2880" w:hanging="360"/>
      </w:pPr>
      <w:rPr>
        <w:rFonts w:ascii="Wingdings" w:eastAsia="Wingdings" w:hAnsi="Wingdings"/>
        <w:w w:val="100"/>
        <w:sz w:val="20"/>
        <w:szCs w:val="20"/>
        <w:shd w:val="clear" w:color="auto" w:fill="auto"/>
      </w:rPr>
    </w:lvl>
    <w:lvl w:ilvl="3" w:tplc="20F4B906">
      <w:start w:val="1"/>
      <w:numFmt w:val="bullet"/>
      <w:lvlText w:val="·"/>
      <w:lvlJc w:val="left"/>
      <w:pPr>
        <w:ind w:left="3600" w:hanging="360"/>
      </w:pPr>
      <w:rPr>
        <w:rFonts w:ascii="Symbol" w:eastAsia="Symbol" w:hAnsi="Symbol"/>
        <w:w w:val="100"/>
        <w:sz w:val="20"/>
        <w:szCs w:val="20"/>
        <w:shd w:val="clear" w:color="auto" w:fill="auto"/>
      </w:rPr>
    </w:lvl>
    <w:lvl w:ilvl="4" w:tplc="BE58AD68">
      <w:start w:val="1"/>
      <w:numFmt w:val="bullet"/>
      <w:lvlText w:val="o"/>
      <w:lvlJc w:val="left"/>
      <w:pPr>
        <w:ind w:left="4320" w:hanging="360"/>
      </w:pPr>
      <w:rPr>
        <w:rFonts w:ascii="Courier New" w:eastAsia="Courier New" w:hAnsi="Courier New"/>
        <w:w w:val="100"/>
        <w:sz w:val="20"/>
        <w:szCs w:val="20"/>
        <w:shd w:val="clear" w:color="auto" w:fill="auto"/>
      </w:rPr>
    </w:lvl>
    <w:lvl w:ilvl="5" w:tplc="04A803FA">
      <w:start w:val="1"/>
      <w:numFmt w:val="bullet"/>
      <w:lvlText w:val="§"/>
      <w:lvlJc w:val="left"/>
      <w:pPr>
        <w:ind w:left="5040" w:hanging="360"/>
      </w:pPr>
      <w:rPr>
        <w:rFonts w:ascii="Wingdings" w:eastAsia="Wingdings" w:hAnsi="Wingdings"/>
        <w:w w:val="100"/>
        <w:sz w:val="20"/>
        <w:szCs w:val="20"/>
        <w:shd w:val="clear" w:color="auto" w:fill="auto"/>
      </w:rPr>
    </w:lvl>
    <w:lvl w:ilvl="6" w:tplc="E0E07DA8">
      <w:start w:val="1"/>
      <w:numFmt w:val="bullet"/>
      <w:lvlText w:val="·"/>
      <w:lvlJc w:val="left"/>
      <w:pPr>
        <w:ind w:left="5760" w:hanging="360"/>
      </w:pPr>
      <w:rPr>
        <w:rFonts w:ascii="Symbol" w:eastAsia="Symbol" w:hAnsi="Symbol"/>
        <w:w w:val="100"/>
        <w:sz w:val="20"/>
        <w:szCs w:val="20"/>
        <w:shd w:val="clear" w:color="auto" w:fill="auto"/>
      </w:rPr>
    </w:lvl>
    <w:lvl w:ilvl="7" w:tplc="03C86A5E">
      <w:start w:val="1"/>
      <w:numFmt w:val="bullet"/>
      <w:lvlText w:val="o"/>
      <w:lvlJc w:val="left"/>
      <w:pPr>
        <w:ind w:left="6480" w:hanging="360"/>
      </w:pPr>
      <w:rPr>
        <w:rFonts w:ascii="Courier New" w:eastAsia="Courier New" w:hAnsi="Courier New"/>
        <w:w w:val="100"/>
        <w:sz w:val="20"/>
        <w:szCs w:val="20"/>
        <w:shd w:val="clear" w:color="auto" w:fill="auto"/>
      </w:rPr>
    </w:lvl>
    <w:lvl w:ilvl="8" w:tplc="F67EDB04">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3">
    <w:nsid w:val="00000004"/>
    <w:multiLevelType w:val="hybridMultilevel"/>
    <w:tmpl w:val="4431B782"/>
    <w:lvl w:ilvl="0" w:tplc="1B4A7044">
      <w:start w:val="1"/>
      <w:numFmt w:val="bullet"/>
      <w:lvlText w:val="·"/>
      <w:lvlJc w:val="left"/>
      <w:pPr>
        <w:ind w:left="1080" w:hanging="360"/>
      </w:pPr>
      <w:rPr>
        <w:rFonts w:ascii="Symbol" w:eastAsia="Symbol" w:hAnsi="Symbol"/>
        <w:w w:val="100"/>
        <w:sz w:val="20"/>
        <w:szCs w:val="20"/>
        <w:shd w:val="clear" w:color="auto" w:fill="auto"/>
      </w:rPr>
    </w:lvl>
    <w:lvl w:ilvl="1" w:tplc="74B81072">
      <w:start w:val="1"/>
      <w:numFmt w:val="bullet"/>
      <w:lvlText w:val="o"/>
      <w:lvlJc w:val="left"/>
      <w:pPr>
        <w:ind w:left="1800" w:hanging="360"/>
      </w:pPr>
      <w:rPr>
        <w:rFonts w:ascii="Courier New" w:eastAsia="Courier New" w:hAnsi="Courier New"/>
        <w:w w:val="100"/>
        <w:sz w:val="20"/>
        <w:szCs w:val="20"/>
        <w:shd w:val="clear" w:color="auto" w:fill="auto"/>
      </w:rPr>
    </w:lvl>
    <w:lvl w:ilvl="2" w:tplc="2EA86694">
      <w:start w:val="1"/>
      <w:numFmt w:val="bullet"/>
      <w:lvlText w:val="§"/>
      <w:lvlJc w:val="left"/>
      <w:pPr>
        <w:ind w:left="2520" w:hanging="360"/>
      </w:pPr>
      <w:rPr>
        <w:rFonts w:ascii="Wingdings" w:eastAsia="Wingdings" w:hAnsi="Wingdings"/>
        <w:w w:val="100"/>
        <w:sz w:val="20"/>
        <w:szCs w:val="20"/>
        <w:shd w:val="clear" w:color="auto" w:fill="auto"/>
      </w:rPr>
    </w:lvl>
    <w:lvl w:ilvl="3" w:tplc="9C9A5E5E">
      <w:start w:val="1"/>
      <w:numFmt w:val="bullet"/>
      <w:lvlText w:val="·"/>
      <w:lvlJc w:val="left"/>
      <w:pPr>
        <w:ind w:left="3240" w:hanging="360"/>
      </w:pPr>
      <w:rPr>
        <w:rFonts w:ascii="Symbol" w:eastAsia="Symbol" w:hAnsi="Symbol"/>
        <w:w w:val="100"/>
        <w:sz w:val="20"/>
        <w:szCs w:val="20"/>
        <w:shd w:val="clear" w:color="auto" w:fill="auto"/>
      </w:rPr>
    </w:lvl>
    <w:lvl w:ilvl="4" w:tplc="CE0C51D8">
      <w:start w:val="1"/>
      <w:numFmt w:val="bullet"/>
      <w:lvlText w:val="o"/>
      <w:lvlJc w:val="left"/>
      <w:pPr>
        <w:ind w:left="3960" w:hanging="360"/>
      </w:pPr>
      <w:rPr>
        <w:rFonts w:ascii="Courier New" w:eastAsia="Courier New" w:hAnsi="Courier New"/>
        <w:w w:val="100"/>
        <w:sz w:val="20"/>
        <w:szCs w:val="20"/>
        <w:shd w:val="clear" w:color="auto" w:fill="auto"/>
      </w:rPr>
    </w:lvl>
    <w:lvl w:ilvl="5" w:tplc="663EB980">
      <w:start w:val="1"/>
      <w:numFmt w:val="bullet"/>
      <w:lvlText w:val="§"/>
      <w:lvlJc w:val="left"/>
      <w:pPr>
        <w:ind w:left="4680" w:hanging="360"/>
      </w:pPr>
      <w:rPr>
        <w:rFonts w:ascii="Wingdings" w:eastAsia="Wingdings" w:hAnsi="Wingdings"/>
        <w:w w:val="100"/>
        <w:sz w:val="20"/>
        <w:szCs w:val="20"/>
        <w:shd w:val="clear" w:color="auto" w:fill="auto"/>
      </w:rPr>
    </w:lvl>
    <w:lvl w:ilvl="6" w:tplc="EDCE8A7A">
      <w:start w:val="1"/>
      <w:numFmt w:val="bullet"/>
      <w:lvlText w:val="·"/>
      <w:lvlJc w:val="left"/>
      <w:pPr>
        <w:ind w:left="5400" w:hanging="360"/>
      </w:pPr>
      <w:rPr>
        <w:rFonts w:ascii="Symbol" w:eastAsia="Symbol" w:hAnsi="Symbol"/>
        <w:w w:val="100"/>
        <w:sz w:val="20"/>
        <w:szCs w:val="20"/>
        <w:shd w:val="clear" w:color="auto" w:fill="auto"/>
      </w:rPr>
    </w:lvl>
    <w:lvl w:ilvl="7" w:tplc="F6FE2AB6">
      <w:start w:val="1"/>
      <w:numFmt w:val="bullet"/>
      <w:lvlText w:val="o"/>
      <w:lvlJc w:val="left"/>
      <w:pPr>
        <w:ind w:left="6120" w:hanging="360"/>
      </w:pPr>
      <w:rPr>
        <w:rFonts w:ascii="Courier New" w:eastAsia="Courier New" w:hAnsi="Courier New"/>
        <w:w w:val="100"/>
        <w:sz w:val="20"/>
        <w:szCs w:val="20"/>
        <w:shd w:val="clear" w:color="auto" w:fill="auto"/>
      </w:rPr>
    </w:lvl>
    <w:lvl w:ilvl="8" w:tplc="FE6875F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1C06DAC8"/>
    <w:lvl w:ilvl="0" w:tplc="FFB09AAC">
      <w:start w:val="1"/>
      <w:numFmt w:val="decimal"/>
      <w:lvlText w:val="%1."/>
      <w:lvlJc w:val="left"/>
      <w:pPr>
        <w:ind w:left="1080" w:hanging="360"/>
      </w:pPr>
    </w:lvl>
    <w:lvl w:ilvl="1" w:tplc="3DBE2086">
      <w:start w:val="1"/>
      <w:numFmt w:val="lowerLetter"/>
      <w:lvlText w:val="%2."/>
      <w:lvlJc w:val="left"/>
      <w:pPr>
        <w:ind w:left="1800" w:hanging="360"/>
      </w:pPr>
    </w:lvl>
    <w:lvl w:ilvl="2" w:tplc="FA18F4CC">
      <w:start w:val="1"/>
      <w:numFmt w:val="lowerRoman"/>
      <w:lvlText w:val="%3."/>
      <w:lvlJc w:val="right"/>
      <w:pPr>
        <w:ind w:left="2340" w:hanging="180"/>
      </w:pPr>
    </w:lvl>
    <w:lvl w:ilvl="3" w:tplc="E108A386">
      <w:start w:val="1"/>
      <w:numFmt w:val="decimal"/>
      <w:lvlText w:val="%4."/>
      <w:lvlJc w:val="left"/>
      <w:pPr>
        <w:ind w:left="3240" w:hanging="360"/>
      </w:pPr>
    </w:lvl>
    <w:lvl w:ilvl="4" w:tplc="F370A30A">
      <w:start w:val="1"/>
      <w:numFmt w:val="lowerLetter"/>
      <w:lvlText w:val="%5."/>
      <w:lvlJc w:val="left"/>
      <w:pPr>
        <w:ind w:left="3960" w:hanging="360"/>
      </w:pPr>
    </w:lvl>
    <w:lvl w:ilvl="5" w:tplc="4B7EAD42">
      <w:start w:val="1"/>
      <w:numFmt w:val="lowerRoman"/>
      <w:lvlText w:val="%6."/>
      <w:lvlJc w:val="right"/>
      <w:pPr>
        <w:ind w:left="4500" w:hanging="180"/>
      </w:pPr>
    </w:lvl>
    <w:lvl w:ilvl="6" w:tplc="588685F2">
      <w:start w:val="1"/>
      <w:numFmt w:val="decimal"/>
      <w:lvlText w:val="%7."/>
      <w:lvlJc w:val="left"/>
      <w:pPr>
        <w:ind w:left="5400" w:hanging="360"/>
      </w:pPr>
    </w:lvl>
    <w:lvl w:ilvl="7" w:tplc="1BC600C4">
      <w:start w:val="1"/>
      <w:numFmt w:val="lowerLetter"/>
      <w:lvlText w:val="%8."/>
      <w:lvlJc w:val="left"/>
      <w:pPr>
        <w:ind w:left="6120" w:hanging="360"/>
      </w:pPr>
    </w:lvl>
    <w:lvl w:ilvl="8" w:tplc="DE9A7C7E">
      <w:start w:val="1"/>
      <w:numFmt w:val="lowerRoman"/>
      <w:lvlText w:val="%9."/>
      <w:lvlJc w:val="right"/>
      <w:pPr>
        <w:ind w:left="6660" w:hanging="180"/>
      </w:pPr>
    </w:lvl>
  </w:abstractNum>
  <w:abstractNum w:abstractNumId="5">
    <w:nsid w:val="00000006"/>
    <w:multiLevelType w:val="hybridMultilevel"/>
    <w:tmpl w:val="06058ED8"/>
    <w:lvl w:ilvl="0" w:tplc="BDFCF2A4">
      <w:start w:val="1"/>
      <w:numFmt w:val="bullet"/>
      <w:lvlText w:val="·"/>
      <w:lvlJc w:val="left"/>
      <w:pPr>
        <w:ind w:left="1080" w:hanging="360"/>
      </w:pPr>
      <w:rPr>
        <w:rFonts w:ascii="Symbol" w:eastAsia="Symbol" w:hAnsi="Symbol"/>
        <w:w w:val="100"/>
        <w:sz w:val="20"/>
        <w:szCs w:val="20"/>
        <w:shd w:val="clear" w:color="auto" w:fill="auto"/>
      </w:rPr>
    </w:lvl>
    <w:lvl w:ilvl="1" w:tplc="3EA22AEC">
      <w:start w:val="1"/>
      <w:numFmt w:val="bullet"/>
      <w:lvlText w:val="o"/>
      <w:lvlJc w:val="left"/>
      <w:pPr>
        <w:ind w:left="1800" w:hanging="360"/>
      </w:pPr>
      <w:rPr>
        <w:rFonts w:ascii="Courier New" w:eastAsia="Courier New" w:hAnsi="Courier New"/>
        <w:w w:val="100"/>
        <w:sz w:val="20"/>
        <w:szCs w:val="20"/>
        <w:shd w:val="clear" w:color="auto" w:fill="auto"/>
      </w:rPr>
    </w:lvl>
    <w:lvl w:ilvl="2" w:tplc="EBC69B58">
      <w:start w:val="1"/>
      <w:numFmt w:val="bullet"/>
      <w:lvlText w:val="§"/>
      <w:lvlJc w:val="left"/>
      <w:pPr>
        <w:ind w:left="2520" w:hanging="360"/>
      </w:pPr>
      <w:rPr>
        <w:rFonts w:ascii="Wingdings" w:eastAsia="Wingdings" w:hAnsi="Wingdings"/>
        <w:w w:val="100"/>
        <w:sz w:val="20"/>
        <w:szCs w:val="20"/>
        <w:shd w:val="clear" w:color="auto" w:fill="auto"/>
      </w:rPr>
    </w:lvl>
    <w:lvl w:ilvl="3" w:tplc="F724D286">
      <w:start w:val="1"/>
      <w:numFmt w:val="bullet"/>
      <w:lvlText w:val="·"/>
      <w:lvlJc w:val="left"/>
      <w:pPr>
        <w:ind w:left="3240" w:hanging="360"/>
      </w:pPr>
      <w:rPr>
        <w:rFonts w:ascii="Symbol" w:eastAsia="Symbol" w:hAnsi="Symbol"/>
        <w:w w:val="100"/>
        <w:sz w:val="20"/>
        <w:szCs w:val="20"/>
        <w:shd w:val="clear" w:color="auto" w:fill="auto"/>
      </w:rPr>
    </w:lvl>
    <w:lvl w:ilvl="4" w:tplc="0D7A3DA8">
      <w:start w:val="1"/>
      <w:numFmt w:val="bullet"/>
      <w:lvlText w:val="o"/>
      <w:lvlJc w:val="left"/>
      <w:pPr>
        <w:ind w:left="3960" w:hanging="360"/>
      </w:pPr>
      <w:rPr>
        <w:rFonts w:ascii="Courier New" w:eastAsia="Courier New" w:hAnsi="Courier New"/>
        <w:w w:val="100"/>
        <w:sz w:val="20"/>
        <w:szCs w:val="20"/>
        <w:shd w:val="clear" w:color="auto" w:fill="auto"/>
      </w:rPr>
    </w:lvl>
    <w:lvl w:ilvl="5" w:tplc="CB1A5F08">
      <w:start w:val="1"/>
      <w:numFmt w:val="bullet"/>
      <w:lvlText w:val="§"/>
      <w:lvlJc w:val="left"/>
      <w:pPr>
        <w:ind w:left="4680" w:hanging="360"/>
      </w:pPr>
      <w:rPr>
        <w:rFonts w:ascii="Wingdings" w:eastAsia="Wingdings" w:hAnsi="Wingdings"/>
        <w:w w:val="100"/>
        <w:sz w:val="20"/>
        <w:szCs w:val="20"/>
        <w:shd w:val="clear" w:color="auto" w:fill="auto"/>
      </w:rPr>
    </w:lvl>
    <w:lvl w:ilvl="6" w:tplc="412EFC56">
      <w:start w:val="1"/>
      <w:numFmt w:val="bullet"/>
      <w:lvlText w:val="·"/>
      <w:lvlJc w:val="left"/>
      <w:pPr>
        <w:ind w:left="5400" w:hanging="360"/>
      </w:pPr>
      <w:rPr>
        <w:rFonts w:ascii="Symbol" w:eastAsia="Symbol" w:hAnsi="Symbol"/>
        <w:w w:val="100"/>
        <w:sz w:val="20"/>
        <w:szCs w:val="20"/>
        <w:shd w:val="clear" w:color="auto" w:fill="auto"/>
      </w:rPr>
    </w:lvl>
    <w:lvl w:ilvl="7" w:tplc="F39E9F44">
      <w:start w:val="1"/>
      <w:numFmt w:val="bullet"/>
      <w:lvlText w:val="o"/>
      <w:lvlJc w:val="left"/>
      <w:pPr>
        <w:ind w:left="6120" w:hanging="360"/>
      </w:pPr>
      <w:rPr>
        <w:rFonts w:ascii="Courier New" w:eastAsia="Courier New" w:hAnsi="Courier New"/>
        <w:w w:val="100"/>
        <w:sz w:val="20"/>
        <w:szCs w:val="20"/>
        <w:shd w:val="clear" w:color="auto" w:fill="auto"/>
      </w:rPr>
    </w:lvl>
    <w:lvl w:ilvl="8" w:tplc="628613A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6">
    <w:nsid w:val="00000007"/>
    <w:multiLevelType w:val="hybridMultilevel"/>
    <w:tmpl w:val="56E509FE"/>
    <w:lvl w:ilvl="0" w:tplc="B664D2A6">
      <w:start w:val="1"/>
      <w:numFmt w:val="bullet"/>
      <w:lvlText w:val="·"/>
      <w:lvlJc w:val="left"/>
      <w:pPr>
        <w:ind w:left="1080" w:hanging="360"/>
      </w:pPr>
      <w:rPr>
        <w:rFonts w:ascii="Symbol" w:eastAsia="Symbol" w:hAnsi="Symbol"/>
        <w:w w:val="100"/>
        <w:sz w:val="20"/>
        <w:szCs w:val="20"/>
        <w:shd w:val="clear" w:color="auto" w:fill="auto"/>
      </w:rPr>
    </w:lvl>
    <w:lvl w:ilvl="1" w:tplc="E71E0512">
      <w:start w:val="1"/>
      <w:numFmt w:val="bullet"/>
      <w:lvlText w:val="o"/>
      <w:lvlJc w:val="left"/>
      <w:pPr>
        <w:ind w:left="1800" w:hanging="360"/>
      </w:pPr>
      <w:rPr>
        <w:rFonts w:ascii="Courier New" w:eastAsia="Courier New" w:hAnsi="Courier New"/>
        <w:w w:val="100"/>
        <w:sz w:val="20"/>
        <w:szCs w:val="20"/>
        <w:shd w:val="clear" w:color="auto" w:fill="auto"/>
      </w:rPr>
    </w:lvl>
    <w:lvl w:ilvl="2" w:tplc="F352391C">
      <w:start w:val="1"/>
      <w:numFmt w:val="bullet"/>
      <w:lvlText w:val="§"/>
      <w:lvlJc w:val="left"/>
      <w:pPr>
        <w:ind w:left="2520" w:hanging="360"/>
      </w:pPr>
      <w:rPr>
        <w:rFonts w:ascii="Wingdings" w:eastAsia="Wingdings" w:hAnsi="Wingdings"/>
        <w:w w:val="100"/>
        <w:sz w:val="20"/>
        <w:szCs w:val="20"/>
        <w:shd w:val="clear" w:color="auto" w:fill="auto"/>
      </w:rPr>
    </w:lvl>
    <w:lvl w:ilvl="3" w:tplc="452AD5C0">
      <w:start w:val="1"/>
      <w:numFmt w:val="bullet"/>
      <w:lvlText w:val="·"/>
      <w:lvlJc w:val="left"/>
      <w:pPr>
        <w:ind w:left="3240" w:hanging="360"/>
      </w:pPr>
      <w:rPr>
        <w:rFonts w:ascii="Symbol" w:eastAsia="Symbol" w:hAnsi="Symbol"/>
        <w:w w:val="100"/>
        <w:sz w:val="20"/>
        <w:szCs w:val="20"/>
        <w:shd w:val="clear" w:color="auto" w:fill="auto"/>
      </w:rPr>
    </w:lvl>
    <w:lvl w:ilvl="4" w:tplc="B6345BC4">
      <w:start w:val="1"/>
      <w:numFmt w:val="bullet"/>
      <w:lvlText w:val="o"/>
      <w:lvlJc w:val="left"/>
      <w:pPr>
        <w:ind w:left="3960" w:hanging="360"/>
      </w:pPr>
      <w:rPr>
        <w:rFonts w:ascii="Courier New" w:eastAsia="Courier New" w:hAnsi="Courier New"/>
        <w:w w:val="100"/>
        <w:sz w:val="20"/>
        <w:szCs w:val="20"/>
        <w:shd w:val="clear" w:color="auto" w:fill="auto"/>
      </w:rPr>
    </w:lvl>
    <w:lvl w:ilvl="5" w:tplc="E0B8749A">
      <w:start w:val="1"/>
      <w:numFmt w:val="bullet"/>
      <w:lvlText w:val="§"/>
      <w:lvlJc w:val="left"/>
      <w:pPr>
        <w:ind w:left="4680" w:hanging="360"/>
      </w:pPr>
      <w:rPr>
        <w:rFonts w:ascii="Wingdings" w:eastAsia="Wingdings" w:hAnsi="Wingdings"/>
        <w:w w:val="100"/>
        <w:sz w:val="20"/>
        <w:szCs w:val="20"/>
        <w:shd w:val="clear" w:color="auto" w:fill="auto"/>
      </w:rPr>
    </w:lvl>
    <w:lvl w:ilvl="6" w:tplc="A0FEAD98">
      <w:start w:val="1"/>
      <w:numFmt w:val="bullet"/>
      <w:lvlText w:val="·"/>
      <w:lvlJc w:val="left"/>
      <w:pPr>
        <w:ind w:left="5400" w:hanging="360"/>
      </w:pPr>
      <w:rPr>
        <w:rFonts w:ascii="Symbol" w:eastAsia="Symbol" w:hAnsi="Symbol"/>
        <w:w w:val="100"/>
        <w:sz w:val="20"/>
        <w:szCs w:val="20"/>
        <w:shd w:val="clear" w:color="auto" w:fill="auto"/>
      </w:rPr>
    </w:lvl>
    <w:lvl w:ilvl="7" w:tplc="39B0644A">
      <w:start w:val="1"/>
      <w:numFmt w:val="bullet"/>
      <w:lvlText w:val="o"/>
      <w:lvlJc w:val="left"/>
      <w:pPr>
        <w:ind w:left="6120" w:hanging="360"/>
      </w:pPr>
      <w:rPr>
        <w:rFonts w:ascii="Courier New" w:eastAsia="Courier New" w:hAnsi="Courier New"/>
        <w:w w:val="100"/>
        <w:sz w:val="20"/>
        <w:szCs w:val="20"/>
        <w:shd w:val="clear" w:color="auto" w:fill="auto"/>
      </w:rPr>
    </w:lvl>
    <w:lvl w:ilvl="8" w:tplc="0958E28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56F32F43"/>
    <w:lvl w:ilvl="0" w:tplc="B99C2E98">
      <w:start w:val="1"/>
      <w:numFmt w:val="bullet"/>
      <w:lvlText w:val="·"/>
      <w:lvlJc w:val="left"/>
      <w:pPr>
        <w:ind w:left="1080" w:hanging="360"/>
      </w:pPr>
      <w:rPr>
        <w:rFonts w:ascii="Symbol" w:eastAsia="Symbol" w:hAnsi="Symbol"/>
        <w:w w:val="100"/>
        <w:sz w:val="20"/>
        <w:szCs w:val="20"/>
        <w:shd w:val="clear" w:color="auto" w:fill="auto"/>
      </w:rPr>
    </w:lvl>
    <w:lvl w:ilvl="1" w:tplc="E9C49BFA">
      <w:start w:val="1"/>
      <w:numFmt w:val="bullet"/>
      <w:lvlText w:val="o"/>
      <w:lvlJc w:val="left"/>
      <w:pPr>
        <w:ind w:left="1800" w:hanging="360"/>
      </w:pPr>
      <w:rPr>
        <w:rFonts w:ascii="Courier New" w:eastAsia="Courier New" w:hAnsi="Courier New"/>
        <w:w w:val="100"/>
        <w:sz w:val="20"/>
        <w:szCs w:val="20"/>
        <w:shd w:val="clear" w:color="auto" w:fill="auto"/>
      </w:rPr>
    </w:lvl>
    <w:lvl w:ilvl="2" w:tplc="7512C918">
      <w:start w:val="1"/>
      <w:numFmt w:val="bullet"/>
      <w:lvlText w:val="§"/>
      <w:lvlJc w:val="left"/>
      <w:pPr>
        <w:ind w:left="2520" w:hanging="360"/>
      </w:pPr>
      <w:rPr>
        <w:rFonts w:ascii="Wingdings" w:eastAsia="Wingdings" w:hAnsi="Wingdings"/>
        <w:w w:val="100"/>
        <w:sz w:val="20"/>
        <w:szCs w:val="20"/>
        <w:shd w:val="clear" w:color="auto" w:fill="auto"/>
      </w:rPr>
    </w:lvl>
    <w:lvl w:ilvl="3" w:tplc="56B4D3BA">
      <w:start w:val="1"/>
      <w:numFmt w:val="bullet"/>
      <w:lvlText w:val="·"/>
      <w:lvlJc w:val="left"/>
      <w:pPr>
        <w:ind w:left="3240" w:hanging="360"/>
      </w:pPr>
      <w:rPr>
        <w:rFonts w:ascii="Symbol" w:eastAsia="Symbol" w:hAnsi="Symbol"/>
        <w:w w:val="100"/>
        <w:sz w:val="20"/>
        <w:szCs w:val="20"/>
        <w:shd w:val="clear" w:color="auto" w:fill="auto"/>
      </w:rPr>
    </w:lvl>
    <w:lvl w:ilvl="4" w:tplc="401E3A84">
      <w:start w:val="1"/>
      <w:numFmt w:val="bullet"/>
      <w:lvlText w:val="o"/>
      <w:lvlJc w:val="left"/>
      <w:pPr>
        <w:ind w:left="3960" w:hanging="360"/>
      </w:pPr>
      <w:rPr>
        <w:rFonts w:ascii="Courier New" w:eastAsia="Courier New" w:hAnsi="Courier New"/>
        <w:w w:val="100"/>
        <w:sz w:val="20"/>
        <w:szCs w:val="20"/>
        <w:shd w:val="clear" w:color="auto" w:fill="auto"/>
      </w:rPr>
    </w:lvl>
    <w:lvl w:ilvl="5" w:tplc="573CF3BC">
      <w:start w:val="1"/>
      <w:numFmt w:val="bullet"/>
      <w:lvlText w:val="§"/>
      <w:lvlJc w:val="left"/>
      <w:pPr>
        <w:ind w:left="4680" w:hanging="360"/>
      </w:pPr>
      <w:rPr>
        <w:rFonts w:ascii="Wingdings" w:eastAsia="Wingdings" w:hAnsi="Wingdings"/>
        <w:w w:val="100"/>
        <w:sz w:val="20"/>
        <w:szCs w:val="20"/>
        <w:shd w:val="clear" w:color="auto" w:fill="auto"/>
      </w:rPr>
    </w:lvl>
    <w:lvl w:ilvl="6" w:tplc="2EF26316">
      <w:start w:val="1"/>
      <w:numFmt w:val="bullet"/>
      <w:lvlText w:val="·"/>
      <w:lvlJc w:val="left"/>
      <w:pPr>
        <w:ind w:left="5400" w:hanging="360"/>
      </w:pPr>
      <w:rPr>
        <w:rFonts w:ascii="Symbol" w:eastAsia="Symbol" w:hAnsi="Symbol"/>
        <w:w w:val="100"/>
        <w:sz w:val="20"/>
        <w:szCs w:val="20"/>
        <w:shd w:val="clear" w:color="auto" w:fill="auto"/>
      </w:rPr>
    </w:lvl>
    <w:lvl w:ilvl="7" w:tplc="A34E96CA">
      <w:start w:val="1"/>
      <w:numFmt w:val="bullet"/>
      <w:lvlText w:val="o"/>
      <w:lvlJc w:val="left"/>
      <w:pPr>
        <w:ind w:left="6120" w:hanging="360"/>
      </w:pPr>
      <w:rPr>
        <w:rFonts w:ascii="Courier New" w:eastAsia="Courier New" w:hAnsi="Courier New"/>
        <w:w w:val="100"/>
        <w:sz w:val="20"/>
        <w:szCs w:val="20"/>
        <w:shd w:val="clear" w:color="auto" w:fill="auto"/>
      </w:rPr>
    </w:lvl>
    <w:lvl w:ilvl="8" w:tplc="2F96111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8">
    <w:nsid w:val="185D607F"/>
    <w:multiLevelType w:val="hybridMultilevel"/>
    <w:tmpl w:val="8632C28A"/>
    <w:styleLink w:val="ImportedStyle1"/>
    <w:lvl w:ilvl="0" w:tplc="AFC22F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82B9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287A5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CAC5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C2A8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B0473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0433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7E4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0439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18D062A"/>
    <w:multiLevelType w:val="multilevel"/>
    <w:tmpl w:val="000041A7"/>
    <w:lvl w:ilvl="0">
      <w:start w:val="1"/>
      <w:numFmt w:val="decimal"/>
      <w:pStyle w:val="Point123"/>
      <w:lvlText w:val="%1."/>
      <w:lvlJc w:val="left"/>
      <w:pPr>
        <w:tabs>
          <w:tab w:val="left" w:pos="567"/>
        </w:tabs>
        <w:ind w:left="1134" w:hanging="567"/>
      </w:pPr>
    </w:lvl>
    <w:lvl w:ilvl="1">
      <w:start w:val="1"/>
      <w:numFmt w:val="lowerLetter"/>
      <w:pStyle w:val="Pointabc"/>
      <w:lvlText w:val="%2)"/>
      <w:lvlJc w:val="left"/>
      <w:pPr>
        <w:tabs>
          <w:tab w:val="left" w:pos="567"/>
        </w:tabs>
        <w:ind w:left="1134" w:hanging="567"/>
      </w:pPr>
    </w:lvl>
    <w:lvl w:ilvl="2">
      <w:start w:val="1"/>
      <w:numFmt w:val="decimal"/>
      <w:pStyle w:val="Point1231"/>
      <w:lvlText w:val="%3."/>
      <w:lvlJc w:val="left"/>
      <w:pPr>
        <w:tabs>
          <w:tab w:val="left" w:pos="1134"/>
        </w:tabs>
        <w:ind w:left="1701" w:hanging="567"/>
      </w:pPr>
    </w:lvl>
    <w:lvl w:ilvl="3">
      <w:start w:val="1"/>
      <w:numFmt w:val="lowerLetter"/>
      <w:pStyle w:val="Pointabc1"/>
      <w:lvlText w:val="%4)"/>
      <w:lvlJc w:val="left"/>
      <w:pPr>
        <w:tabs>
          <w:tab w:val="left" w:pos="1134"/>
        </w:tabs>
        <w:ind w:left="1701" w:hanging="567"/>
      </w:pPr>
    </w:lvl>
    <w:lvl w:ilvl="4">
      <w:start w:val="1"/>
      <w:numFmt w:val="decimal"/>
      <w:pStyle w:val="Point1232"/>
      <w:lvlText w:val="%5."/>
      <w:lvlJc w:val="left"/>
      <w:pPr>
        <w:tabs>
          <w:tab w:val="left" w:pos="1701"/>
        </w:tabs>
        <w:ind w:left="2268" w:hanging="567"/>
      </w:pPr>
    </w:lvl>
    <w:lvl w:ilvl="5">
      <w:start w:val="1"/>
      <w:numFmt w:val="lowerLetter"/>
      <w:pStyle w:val="Pointabc2"/>
      <w:lvlText w:val="%6)"/>
      <w:lvlJc w:val="left"/>
      <w:pPr>
        <w:tabs>
          <w:tab w:val="left" w:pos="1701"/>
        </w:tabs>
        <w:ind w:left="2268" w:hanging="567"/>
      </w:pPr>
    </w:lvl>
    <w:lvl w:ilvl="6">
      <w:start w:val="1"/>
      <w:numFmt w:val="decimal"/>
      <w:pStyle w:val="Point1233"/>
      <w:lvlText w:val="%7."/>
      <w:lvlJc w:val="left"/>
      <w:pPr>
        <w:tabs>
          <w:tab w:val="left" w:pos="2268"/>
        </w:tabs>
        <w:ind w:left="2835" w:hanging="567"/>
      </w:pPr>
    </w:lvl>
    <w:lvl w:ilvl="7">
      <w:start w:val="1"/>
      <w:numFmt w:val="lowerLetter"/>
      <w:pStyle w:val="Pointabc3"/>
      <w:lvlText w:val="%8)"/>
      <w:lvlJc w:val="left"/>
      <w:pPr>
        <w:tabs>
          <w:tab w:val="left" w:pos="2268"/>
        </w:tabs>
        <w:ind w:left="2835" w:hanging="567"/>
      </w:pPr>
    </w:lvl>
    <w:lvl w:ilvl="8">
      <w:start w:val="1"/>
      <w:numFmt w:val="lowerLetter"/>
      <w:pStyle w:val="Pointabc4"/>
      <w:lvlText w:val="%9)"/>
      <w:lvlJc w:val="left"/>
      <w:pPr>
        <w:tabs>
          <w:tab w:val="left" w:pos="2835"/>
        </w:tabs>
        <w:ind w:left="3402" w:hanging="567"/>
      </w:pPr>
    </w:lvl>
  </w:abstractNum>
  <w:abstractNum w:abstractNumId="10">
    <w:nsid w:val="55805C99"/>
    <w:multiLevelType w:val="hybridMultilevel"/>
    <w:tmpl w:val="8632C28A"/>
    <w:numStyleLink w:val="ImportedStyle1"/>
  </w:abstractNum>
  <w:num w:numId="1">
    <w:abstractNumId w:val="3"/>
  </w:num>
  <w:num w:numId="2">
    <w:abstractNumId w:val="7"/>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9"/>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B27EE56818943EBAE2458B8B3751B80"/>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92"/>
    <w:docVar w:name="LW_REF.INTERNE" w:val="&lt;UNUSED&gt;"/>
    <w:docVar w:name="LW_SOUS.TITRE.OBJ.CP" w:val="&lt;UNUSED&gt;"/>
    <w:docVar w:name="LW_SUPERTITRE" w:val="&lt;UNUSED&gt;"/>
    <w:docVar w:name="LW_TITRE.OBJ.CP" w:val="A Balanced and Progressive Trade Policy to Harness Globalisation"/>
    <w:docVar w:name="LW_TYPE.DOC.CP" w:val="COMMUNICATION FROM THE COMMISSION TO THE EUROPEAN PARLIAMENT, THE COUNCIL, THE EUROPEAN ECONOMIC AND SOCIAL COMMITTEE AND THE COMMITTEE OF THE REGIONS"/>
    <w:docVar w:name="LW_TYPE.DOC.CP.USERTEXT" w:val="&lt;EMPTY&gt;"/>
  </w:docVars>
  <w:rsids>
    <w:rsidRoot w:val="006B6B7F"/>
    <w:rsid w:val="006B6B7F"/>
    <w:rsid w:val="00E367A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sz w:val="20"/>
      <w:szCs w:val="20"/>
    </w:rPr>
  </w:style>
  <w:style w:type="paragraph" w:customStyle="1" w:styleId="Body">
    <w:name w:val="Body"/>
    <w:rPr>
      <w:rFonts w:ascii="Times New Roman" w:eastAsia="Times New Roman" w:hAnsi="Times New Roman"/>
      <w:color w:val="000000"/>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FootnoteText">
    <w:name w:val="footnote text"/>
    <w:link w:val="FootnoteTextCha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rPr>
      <w:rFonts w:ascii="Times New Roman" w:eastAsia="Times New Roman" w:hAnsi="Times New Roman"/>
      <w:color w:val="000000"/>
      <w:w w:val="100"/>
      <w:sz w:val="20"/>
      <w:szCs w:val="20"/>
      <w:shd w:val="clear" w:color="auto" w:fill="auto"/>
    </w:rPr>
  </w:style>
  <w:style w:type="paragraph" w:customStyle="1" w:styleId="Pointabc">
    <w:name w:val="Point abc"/>
    <w:basedOn w:val="Normal"/>
    <w:pPr>
      <w:numPr>
        <w:ilvl w:val="1"/>
        <w:numId w:val="8"/>
      </w:numPr>
      <w:ind w:left="0" w:firstLine="0"/>
    </w:pPr>
    <w:rPr>
      <w:rFonts w:ascii="Times New Roman" w:eastAsia="Times New Roman" w:hAnsi="Times New Roman"/>
      <w:sz w:val="24"/>
      <w:szCs w:val="24"/>
    </w:rPr>
  </w:style>
  <w:style w:type="paragraph" w:customStyle="1" w:styleId="Pointabc1">
    <w:name w:val="Point abc (1)"/>
    <w:basedOn w:val="Normal"/>
    <w:pPr>
      <w:numPr>
        <w:ilvl w:val="3"/>
        <w:numId w:val="8"/>
      </w:numPr>
      <w:ind w:left="0" w:firstLine="0"/>
    </w:pPr>
    <w:rPr>
      <w:rFonts w:ascii="Times New Roman" w:eastAsia="Times New Roman" w:hAnsi="Times New Roman"/>
      <w:sz w:val="24"/>
      <w:szCs w:val="24"/>
    </w:rPr>
  </w:style>
  <w:style w:type="paragraph" w:customStyle="1" w:styleId="Pointabc2">
    <w:name w:val="Point abc (2)"/>
    <w:basedOn w:val="Normal"/>
    <w:pPr>
      <w:numPr>
        <w:ilvl w:val="5"/>
        <w:numId w:val="8"/>
      </w:numPr>
      <w:ind w:left="0" w:firstLine="0"/>
    </w:pPr>
    <w:rPr>
      <w:rFonts w:ascii="Times New Roman" w:eastAsia="Times New Roman" w:hAnsi="Times New Roman"/>
      <w:sz w:val="24"/>
      <w:szCs w:val="24"/>
    </w:rPr>
  </w:style>
  <w:style w:type="paragraph" w:customStyle="1" w:styleId="Pointabc3">
    <w:name w:val="Point abc (3)"/>
    <w:basedOn w:val="Normal"/>
    <w:pPr>
      <w:numPr>
        <w:ilvl w:val="7"/>
        <w:numId w:val="8"/>
      </w:numPr>
      <w:ind w:left="0" w:firstLine="0"/>
    </w:pPr>
    <w:rPr>
      <w:rFonts w:ascii="Times New Roman" w:eastAsia="Times New Roman" w:hAnsi="Times New Roman"/>
      <w:sz w:val="24"/>
      <w:szCs w:val="24"/>
    </w:rPr>
  </w:style>
  <w:style w:type="paragraph" w:customStyle="1" w:styleId="Pointabc4">
    <w:name w:val="Point abc (4)"/>
    <w:basedOn w:val="Normal"/>
    <w:pPr>
      <w:numPr>
        <w:ilvl w:val="8"/>
        <w:numId w:val="8"/>
      </w:numPr>
      <w:ind w:left="0" w:firstLine="0"/>
    </w:pPr>
    <w:rPr>
      <w:rFonts w:ascii="Times New Roman" w:eastAsia="Times New Roman" w:hAnsi="Times New Roman"/>
      <w:sz w:val="24"/>
      <w:szCs w:val="24"/>
    </w:rPr>
  </w:style>
  <w:style w:type="paragraph" w:customStyle="1" w:styleId="Point123">
    <w:name w:val="Point 123"/>
    <w:basedOn w:val="Normal"/>
    <w:pPr>
      <w:numPr>
        <w:numId w:val="8"/>
      </w:numPr>
      <w:ind w:left="0" w:firstLine="0"/>
    </w:pPr>
    <w:rPr>
      <w:rFonts w:ascii="Times New Roman" w:eastAsia="Times New Roman" w:hAnsi="Times New Roman"/>
      <w:sz w:val="24"/>
      <w:szCs w:val="24"/>
    </w:rPr>
  </w:style>
  <w:style w:type="paragraph" w:customStyle="1" w:styleId="Point1231">
    <w:name w:val="Point 123 (1)"/>
    <w:basedOn w:val="Normal"/>
    <w:pPr>
      <w:numPr>
        <w:ilvl w:val="2"/>
        <w:numId w:val="8"/>
      </w:numPr>
      <w:ind w:left="0" w:firstLine="0"/>
    </w:pPr>
    <w:rPr>
      <w:rFonts w:ascii="Times New Roman" w:eastAsia="Times New Roman" w:hAnsi="Times New Roman"/>
      <w:sz w:val="24"/>
      <w:szCs w:val="24"/>
    </w:rPr>
  </w:style>
  <w:style w:type="paragraph" w:customStyle="1" w:styleId="Point1232">
    <w:name w:val="Point 123 (2)"/>
    <w:basedOn w:val="Normal"/>
    <w:pPr>
      <w:numPr>
        <w:ilvl w:val="4"/>
        <w:numId w:val="8"/>
      </w:numPr>
      <w:ind w:left="0" w:firstLine="0"/>
    </w:pPr>
    <w:rPr>
      <w:rFonts w:ascii="Times New Roman" w:eastAsia="Times New Roman" w:hAnsi="Times New Roman"/>
      <w:sz w:val="24"/>
      <w:szCs w:val="24"/>
    </w:rPr>
  </w:style>
  <w:style w:type="paragraph" w:customStyle="1" w:styleId="Point1233">
    <w:name w:val="Point 123 (3)"/>
    <w:basedOn w:val="Normal"/>
    <w:pPr>
      <w:numPr>
        <w:ilvl w:val="6"/>
        <w:numId w:val="8"/>
      </w:numPr>
      <w:ind w:left="0" w:firstLine="0"/>
    </w:pPr>
    <w:rPr>
      <w:rFonts w:ascii="Times New Roman" w:eastAsia="Times New Roman" w:hAnsi="Times New Roman"/>
      <w:sz w:val="24"/>
      <w:szCs w:val="24"/>
    </w:rPr>
  </w:style>
  <w:style w:type="character" w:styleId="FootnoteReference">
    <w:name w:val="footnote reference"/>
    <w:basedOn w:val="DefaultParagraphFont"/>
    <w:unhideWhenUsed/>
    <w:rPr>
      <w:w w:val="100"/>
      <w:sz w:val="20"/>
      <w:szCs w:val="20"/>
      <w:shd w:val="clear" w:color="auto" w:fill="auto"/>
      <w:vertAlign w:val="superscript"/>
    </w:rPr>
  </w:style>
  <w:style w:type="paragraph" w:styleId="NormalWeb">
    <w:name w:val="Normal (Web)"/>
    <w:basedOn w:val="Normal"/>
    <w:unhideWhenUsed/>
    <w:rPr>
      <w:rFonts w:ascii="Times New Roman" w:eastAsia="Times New Roman" w:hAnsi="Times New Roman"/>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Revision">
    <w:name w:val="Revision"/>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A">
    <w:name w:val="Body A"/>
    <w:pPr>
      <w:pBdr>
        <w:top w:val="nil"/>
        <w:left w:val="nil"/>
        <w:bottom w:val="nil"/>
        <w:right w:val="nil"/>
        <w:between w:val="nil"/>
        <w:bar w:val="nil"/>
      </w:pBdr>
      <w:spacing w:after="200" w:line="276" w:lineRule="auto"/>
    </w:pPr>
    <w:rPr>
      <w:rFonts w:cs="Calibri"/>
      <w:color w:val="000000"/>
      <w:u w:color="000000"/>
      <w:bdr w:val="nil"/>
      <w:lang w:val="en-US"/>
    </w:rPr>
  </w:style>
  <w:style w:type="numbering" w:customStyle="1" w:styleId="ImportedStyle1">
    <w:name w:val="Imported Style 1"/>
    <w:pPr>
      <w:numPr>
        <w:numId w:val="10"/>
      </w:numPr>
    </w:pPr>
  </w:style>
  <w:style w:type="character" w:customStyle="1" w:styleId="None">
    <w:name w:val="No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imes New Roman" w:hAnsi="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imes New Roman" w:hAnsi="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sz w:val="20"/>
      <w:szCs w:val="20"/>
    </w:rPr>
  </w:style>
  <w:style w:type="paragraph" w:customStyle="1" w:styleId="Body">
    <w:name w:val="Body"/>
    <w:rPr>
      <w:rFonts w:ascii="Times New Roman" w:eastAsia="Times New Roman" w:hAnsi="Times New Roman"/>
      <w:color w:val="000000"/>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FootnoteText">
    <w:name w:val="footnote text"/>
    <w:link w:val="FootnoteTextCha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rPr>
      <w:rFonts w:ascii="Times New Roman" w:eastAsia="Times New Roman" w:hAnsi="Times New Roman"/>
      <w:color w:val="000000"/>
      <w:w w:val="100"/>
      <w:sz w:val="20"/>
      <w:szCs w:val="20"/>
      <w:shd w:val="clear" w:color="auto" w:fill="auto"/>
    </w:rPr>
  </w:style>
  <w:style w:type="paragraph" w:customStyle="1" w:styleId="Pointabc">
    <w:name w:val="Point abc"/>
    <w:basedOn w:val="Normal"/>
    <w:pPr>
      <w:numPr>
        <w:ilvl w:val="1"/>
        <w:numId w:val="8"/>
      </w:numPr>
      <w:ind w:left="0" w:firstLine="0"/>
    </w:pPr>
    <w:rPr>
      <w:rFonts w:ascii="Times New Roman" w:eastAsia="Times New Roman" w:hAnsi="Times New Roman"/>
      <w:sz w:val="24"/>
      <w:szCs w:val="24"/>
    </w:rPr>
  </w:style>
  <w:style w:type="paragraph" w:customStyle="1" w:styleId="Pointabc1">
    <w:name w:val="Point abc (1)"/>
    <w:basedOn w:val="Normal"/>
    <w:pPr>
      <w:numPr>
        <w:ilvl w:val="3"/>
        <w:numId w:val="8"/>
      </w:numPr>
      <w:ind w:left="0" w:firstLine="0"/>
    </w:pPr>
    <w:rPr>
      <w:rFonts w:ascii="Times New Roman" w:eastAsia="Times New Roman" w:hAnsi="Times New Roman"/>
      <w:sz w:val="24"/>
      <w:szCs w:val="24"/>
    </w:rPr>
  </w:style>
  <w:style w:type="paragraph" w:customStyle="1" w:styleId="Pointabc2">
    <w:name w:val="Point abc (2)"/>
    <w:basedOn w:val="Normal"/>
    <w:pPr>
      <w:numPr>
        <w:ilvl w:val="5"/>
        <w:numId w:val="8"/>
      </w:numPr>
      <w:ind w:left="0" w:firstLine="0"/>
    </w:pPr>
    <w:rPr>
      <w:rFonts w:ascii="Times New Roman" w:eastAsia="Times New Roman" w:hAnsi="Times New Roman"/>
      <w:sz w:val="24"/>
      <w:szCs w:val="24"/>
    </w:rPr>
  </w:style>
  <w:style w:type="paragraph" w:customStyle="1" w:styleId="Pointabc3">
    <w:name w:val="Point abc (3)"/>
    <w:basedOn w:val="Normal"/>
    <w:pPr>
      <w:numPr>
        <w:ilvl w:val="7"/>
        <w:numId w:val="8"/>
      </w:numPr>
      <w:ind w:left="0" w:firstLine="0"/>
    </w:pPr>
    <w:rPr>
      <w:rFonts w:ascii="Times New Roman" w:eastAsia="Times New Roman" w:hAnsi="Times New Roman"/>
      <w:sz w:val="24"/>
      <w:szCs w:val="24"/>
    </w:rPr>
  </w:style>
  <w:style w:type="paragraph" w:customStyle="1" w:styleId="Pointabc4">
    <w:name w:val="Point abc (4)"/>
    <w:basedOn w:val="Normal"/>
    <w:pPr>
      <w:numPr>
        <w:ilvl w:val="8"/>
        <w:numId w:val="8"/>
      </w:numPr>
      <w:ind w:left="0" w:firstLine="0"/>
    </w:pPr>
    <w:rPr>
      <w:rFonts w:ascii="Times New Roman" w:eastAsia="Times New Roman" w:hAnsi="Times New Roman"/>
      <w:sz w:val="24"/>
      <w:szCs w:val="24"/>
    </w:rPr>
  </w:style>
  <w:style w:type="paragraph" w:customStyle="1" w:styleId="Point123">
    <w:name w:val="Point 123"/>
    <w:basedOn w:val="Normal"/>
    <w:pPr>
      <w:numPr>
        <w:numId w:val="8"/>
      </w:numPr>
      <w:ind w:left="0" w:firstLine="0"/>
    </w:pPr>
    <w:rPr>
      <w:rFonts w:ascii="Times New Roman" w:eastAsia="Times New Roman" w:hAnsi="Times New Roman"/>
      <w:sz w:val="24"/>
      <w:szCs w:val="24"/>
    </w:rPr>
  </w:style>
  <w:style w:type="paragraph" w:customStyle="1" w:styleId="Point1231">
    <w:name w:val="Point 123 (1)"/>
    <w:basedOn w:val="Normal"/>
    <w:pPr>
      <w:numPr>
        <w:ilvl w:val="2"/>
        <w:numId w:val="8"/>
      </w:numPr>
      <w:ind w:left="0" w:firstLine="0"/>
    </w:pPr>
    <w:rPr>
      <w:rFonts w:ascii="Times New Roman" w:eastAsia="Times New Roman" w:hAnsi="Times New Roman"/>
      <w:sz w:val="24"/>
      <w:szCs w:val="24"/>
    </w:rPr>
  </w:style>
  <w:style w:type="paragraph" w:customStyle="1" w:styleId="Point1232">
    <w:name w:val="Point 123 (2)"/>
    <w:basedOn w:val="Normal"/>
    <w:pPr>
      <w:numPr>
        <w:ilvl w:val="4"/>
        <w:numId w:val="8"/>
      </w:numPr>
      <w:ind w:left="0" w:firstLine="0"/>
    </w:pPr>
    <w:rPr>
      <w:rFonts w:ascii="Times New Roman" w:eastAsia="Times New Roman" w:hAnsi="Times New Roman"/>
      <w:sz w:val="24"/>
      <w:szCs w:val="24"/>
    </w:rPr>
  </w:style>
  <w:style w:type="paragraph" w:customStyle="1" w:styleId="Point1233">
    <w:name w:val="Point 123 (3)"/>
    <w:basedOn w:val="Normal"/>
    <w:pPr>
      <w:numPr>
        <w:ilvl w:val="6"/>
        <w:numId w:val="8"/>
      </w:numPr>
      <w:ind w:left="0" w:firstLine="0"/>
    </w:pPr>
    <w:rPr>
      <w:rFonts w:ascii="Times New Roman" w:eastAsia="Times New Roman" w:hAnsi="Times New Roman"/>
      <w:sz w:val="24"/>
      <w:szCs w:val="24"/>
    </w:rPr>
  </w:style>
  <w:style w:type="character" w:styleId="FootnoteReference">
    <w:name w:val="footnote reference"/>
    <w:basedOn w:val="DefaultParagraphFont"/>
    <w:unhideWhenUsed/>
    <w:rPr>
      <w:w w:val="100"/>
      <w:sz w:val="20"/>
      <w:szCs w:val="20"/>
      <w:shd w:val="clear" w:color="auto" w:fill="auto"/>
      <w:vertAlign w:val="superscript"/>
    </w:rPr>
  </w:style>
  <w:style w:type="paragraph" w:styleId="NormalWeb">
    <w:name w:val="Normal (Web)"/>
    <w:basedOn w:val="Normal"/>
    <w:unhideWhenUsed/>
    <w:rPr>
      <w:rFonts w:ascii="Times New Roman" w:eastAsia="Times New Roman" w:hAnsi="Times New Roman"/>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Revision">
    <w:name w:val="Revision"/>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A">
    <w:name w:val="Body A"/>
    <w:pPr>
      <w:pBdr>
        <w:top w:val="nil"/>
        <w:left w:val="nil"/>
        <w:bottom w:val="nil"/>
        <w:right w:val="nil"/>
        <w:between w:val="nil"/>
        <w:bar w:val="nil"/>
      </w:pBdr>
      <w:spacing w:after="200" w:line="276" w:lineRule="auto"/>
    </w:pPr>
    <w:rPr>
      <w:rFonts w:cs="Calibri"/>
      <w:color w:val="000000"/>
      <w:u w:color="000000"/>
      <w:bdr w:val="nil"/>
      <w:lang w:val="en-US"/>
    </w:rPr>
  </w:style>
  <w:style w:type="numbering" w:customStyle="1" w:styleId="ImportedStyle1">
    <w:name w:val="Imported Style 1"/>
    <w:pPr>
      <w:numPr>
        <w:numId w:val="10"/>
      </w:numPr>
    </w:pPr>
  </w:style>
  <w:style w:type="character" w:customStyle="1" w:styleId="None">
    <w:name w:val="No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imes New Roman" w:hAnsi="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imes New Roman" w:hAnsi="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6062">
      <w:bodyDiv w:val="1"/>
      <w:marLeft w:val="0"/>
      <w:marRight w:val="0"/>
      <w:marTop w:val="0"/>
      <w:marBottom w:val="0"/>
      <w:divBdr>
        <w:top w:val="none" w:sz="0" w:space="0" w:color="auto"/>
        <w:left w:val="none" w:sz="0" w:space="0" w:color="auto"/>
        <w:bottom w:val="none" w:sz="0" w:space="0" w:color="auto"/>
        <w:right w:val="none" w:sz="0" w:space="0" w:color="auto"/>
      </w:divBdr>
    </w:div>
    <w:div w:id="1933657313">
      <w:bodyDiv w:val="1"/>
      <w:marLeft w:val="0"/>
      <w:marRight w:val="0"/>
      <w:marTop w:val="0"/>
      <w:marBottom w:val="0"/>
      <w:divBdr>
        <w:top w:val="none" w:sz="0" w:space="0" w:color="auto"/>
        <w:left w:val="none" w:sz="0" w:space="0" w:color="auto"/>
        <w:bottom w:val="none" w:sz="0" w:space="0" w:color="auto"/>
        <w:right w:val="none" w:sz="0" w:space="0" w:color="auto"/>
      </w:divBdr>
    </w:div>
    <w:div w:id="1958633851">
      <w:bodyDiv w:val="1"/>
      <w:marLeft w:val="0"/>
      <w:marRight w:val="0"/>
      <w:marTop w:val="0"/>
      <w:marBottom w:val="0"/>
      <w:divBdr>
        <w:top w:val="none" w:sz="0" w:space="0" w:color="auto"/>
        <w:left w:val="none" w:sz="0" w:space="0" w:color="auto"/>
        <w:bottom w:val="none" w:sz="0" w:space="0" w:color="auto"/>
        <w:right w:val="none" w:sz="0" w:space="0" w:color="auto"/>
      </w:divBdr>
    </w:div>
    <w:div w:id="21435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3541-2016-INI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0237-5208-4300-BD2C-67830724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3244</Words>
  <Characters>18134</Characters>
  <Application>Microsoft Office Word</Application>
  <DocSecurity>0</DocSecurity>
  <Lines>323</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21261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18</cp:revision>
  <cp:lastPrinted>2017-09-12T10:01:00Z</cp:lastPrinted>
  <dcterms:created xsi:type="dcterms:W3CDTF">2017-09-08T10:12:00Z</dcterms:created>
  <dcterms:modified xsi:type="dcterms:W3CDTF">2017-09-12T10:01:00Z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