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C3" w:rsidRDefault="007E1FD3" w:rsidP="007E1FD3">
      <w:pPr>
        <w:pStyle w:val="Pagedecouverture"/>
        <w:rPr>
          <w:noProof/>
          <w:u w:color="000000"/>
          <w:lang w:val="en-GB" w:eastAsia="en-GB"/>
        </w:rPr>
      </w:pPr>
      <w:bookmarkStart w:id="0" w:name="LW_BM_COVERPAGE"/>
      <w:r>
        <w:rPr>
          <w:noProof/>
          <w:u w:color="00000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76BE3FC00AF417B99A824C4F7EB78AE" style="width:450.45pt;height:334.6pt">
            <v:imagedata r:id="rId9" o:title=""/>
          </v:shape>
        </w:pict>
      </w:r>
    </w:p>
    <w:bookmarkEnd w:id="0"/>
    <w:p w:rsidR="00DE03C3" w:rsidRDefault="00DE03C3">
      <w:pPr>
        <w:rPr>
          <w:noProof/>
          <w:lang w:val="en-GB"/>
        </w:rPr>
        <w:sectPr w:rsidR="00DE03C3" w:rsidSect="007E1FD3">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DE03C3" w:rsidRDefault="00DE03C3">
      <w:pPr>
        <w:jc w:val="both"/>
        <w:rPr>
          <w:rFonts w:eastAsia="Times New Roman"/>
          <w:b/>
          <w:bCs/>
          <w:noProof/>
          <w:color w:val="000000" w:themeColor="text1"/>
          <w:lang w:val="en-GB"/>
        </w:rPr>
      </w:pPr>
      <w:bookmarkStart w:id="1" w:name="_GoBack"/>
      <w:bookmarkEnd w:id="1"/>
    </w:p>
    <w:p w:rsidR="00DE03C3" w:rsidRDefault="007E1FD3">
      <w:pPr>
        <w:pStyle w:val="ListParagraph"/>
        <w:numPr>
          <w:ilvl w:val="0"/>
          <w:numId w:val="2"/>
        </w:numPr>
        <w:jc w:val="both"/>
        <w:rPr>
          <w:rFonts w:ascii="Times New Roman" w:eastAsia="Times New Roman" w:hAnsi="Times New Roman" w:cs="Times New Roman"/>
          <w:b/>
          <w:bCs/>
          <w:noProof/>
          <w:color w:val="000000" w:themeColor="text1"/>
          <w:sz w:val="24"/>
          <w:szCs w:val="24"/>
          <w:lang w:val="en-GB"/>
        </w:rPr>
      </w:pPr>
      <w:r>
        <w:rPr>
          <w:rFonts w:ascii="Times New Roman" w:hAnsi="Times New Roman"/>
          <w:b/>
          <w:bCs/>
          <w:noProof/>
          <w:color w:val="000000" w:themeColor="text1"/>
          <w:sz w:val="24"/>
          <w:szCs w:val="24"/>
          <w:lang w:val="en-GB"/>
        </w:rPr>
        <w:t>Introduction</w:t>
      </w:r>
    </w:p>
    <w:p w:rsidR="00DE03C3" w:rsidRDefault="007E1FD3">
      <w:pPr>
        <w:pStyle w:val="BodyA"/>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noProof/>
          <w:color w:val="000000" w:themeColor="text1"/>
          <w:sz w:val="24"/>
          <w:szCs w:val="24"/>
          <w:lang w:val="en-GB"/>
        </w:rPr>
        <w:t xml:space="preserve">On 10 May 2017, the European Commission issued the reflection paper on Harnessing </w:t>
      </w:r>
      <w:r>
        <w:rPr>
          <w:rFonts w:ascii="Times New Roman" w:hAnsi="Times New Roman"/>
          <w:noProof/>
          <w:color w:val="000000" w:themeColor="text1"/>
          <w:sz w:val="24"/>
          <w:szCs w:val="24"/>
          <w:lang w:val="en-GB"/>
        </w:rPr>
        <w:t>Globalisation</w:t>
      </w:r>
      <w:r>
        <w:rPr>
          <w:rFonts w:ascii="Times New Roman" w:eastAsia="Times New Roman" w:hAnsi="Times New Roman" w:cs="Times New Roman"/>
          <w:noProof/>
          <w:color w:val="000000" w:themeColor="text1"/>
          <w:sz w:val="24"/>
          <w:szCs w:val="24"/>
          <w:vertAlign w:val="superscript"/>
          <w:lang w:val="en-GB"/>
        </w:rPr>
        <w:footnoteReference w:id="2"/>
      </w:r>
      <w:r>
        <w:rPr>
          <w:rFonts w:ascii="Times New Roman" w:hAnsi="Times New Roman"/>
          <w:noProof/>
          <w:color w:val="000000" w:themeColor="text1"/>
          <w:sz w:val="24"/>
          <w:szCs w:val="24"/>
          <w:lang w:val="en-GB"/>
        </w:rPr>
        <w:t xml:space="preserve"> opening a debate on how to shape globalisation so that it benefits all. The paper underlined the steadfast commitment of the European Union (EU) to build an open, sustainable, fair and rules-based global trade order through international cooperation. Howe</w:t>
      </w:r>
      <w:r>
        <w:rPr>
          <w:rFonts w:ascii="Times New Roman" w:hAnsi="Times New Roman"/>
          <w:noProof/>
          <w:color w:val="000000" w:themeColor="text1"/>
          <w:sz w:val="24"/>
          <w:szCs w:val="24"/>
          <w:lang w:val="en-GB"/>
        </w:rPr>
        <w:t>ver, the EU would not hesitate to act in order to protect its citizens and its industry when foreign countries or companies engage in unfair practices or raise concerns for security and public order.</w:t>
      </w:r>
    </w:p>
    <w:p w:rsidR="00DE03C3" w:rsidRDefault="00DE03C3">
      <w:pPr>
        <w:pStyle w:val="BodyA"/>
        <w:spacing w:after="0" w:line="240" w:lineRule="auto"/>
        <w:jc w:val="both"/>
        <w:rPr>
          <w:rFonts w:ascii="Times New Roman" w:eastAsia="Times New Roman" w:hAnsi="Times New Roman" w:cs="Times New Roman"/>
          <w:noProof/>
          <w:color w:val="000000" w:themeColor="text1"/>
          <w:sz w:val="24"/>
          <w:szCs w:val="24"/>
          <w:lang w:val="en-GB"/>
        </w:rPr>
      </w:pPr>
    </w:p>
    <w:p w:rsidR="00DE03C3" w:rsidRDefault="007E1FD3">
      <w:pPr>
        <w:pStyle w:val="BodyA"/>
        <w:spacing w:after="0" w:line="240" w:lineRule="auto"/>
        <w:jc w:val="both"/>
        <w:rPr>
          <w:rFonts w:ascii="Times New Roman" w:hAnsi="Times New Roman"/>
          <w:noProof/>
          <w:color w:val="000000" w:themeColor="text1"/>
          <w:sz w:val="24"/>
          <w:szCs w:val="24"/>
          <w:lang w:val="en-GB"/>
        </w:rPr>
      </w:pPr>
      <w:r>
        <w:rPr>
          <w:rFonts w:ascii="Times New Roman" w:hAnsi="Times New Roman"/>
          <w:noProof/>
          <w:color w:val="000000" w:themeColor="text1"/>
          <w:sz w:val="24"/>
          <w:szCs w:val="24"/>
          <w:lang w:val="en-GB"/>
        </w:rPr>
        <w:t>These principles apply fully to foreign direct investme</w:t>
      </w:r>
      <w:r>
        <w:rPr>
          <w:rFonts w:ascii="Times New Roman" w:hAnsi="Times New Roman"/>
          <w:noProof/>
          <w:color w:val="000000" w:themeColor="text1"/>
          <w:sz w:val="24"/>
          <w:szCs w:val="24"/>
          <w:lang w:val="en-GB"/>
        </w:rPr>
        <w:t>nt from third countries, which forms part of the EU's common commercial policy. Foreign direct investment is an important source of growth, jobs and innovation. It has brought significant benefits to the EU as to the rest of the world. This is why the EU w</w:t>
      </w:r>
      <w:r>
        <w:rPr>
          <w:rFonts w:ascii="Times New Roman" w:hAnsi="Times New Roman"/>
          <w:noProof/>
          <w:color w:val="000000" w:themeColor="text1"/>
          <w:sz w:val="24"/>
          <w:szCs w:val="24"/>
          <w:lang w:val="en-GB"/>
        </w:rPr>
        <w:t>ants to maintain an open investment environment. At the same time, the reflection paper on Harnessing Globalisation recognised increasing concerns about strategic acquisitions of European companies with key technologies by foreign investors, especially sta</w:t>
      </w:r>
      <w:r>
        <w:rPr>
          <w:rFonts w:ascii="Times New Roman" w:hAnsi="Times New Roman"/>
          <w:noProof/>
          <w:color w:val="000000" w:themeColor="text1"/>
          <w:sz w:val="24"/>
          <w:szCs w:val="24"/>
          <w:lang w:val="en-GB"/>
        </w:rPr>
        <w:t>te-owned enterprises. These concerns called into question the capacity of the current regulatory framework to address them.</w:t>
      </w:r>
    </w:p>
    <w:p w:rsidR="00DE03C3" w:rsidRDefault="00DE03C3">
      <w:pPr>
        <w:pStyle w:val="BodyA"/>
        <w:spacing w:after="0" w:line="240" w:lineRule="auto"/>
        <w:jc w:val="both"/>
        <w:rPr>
          <w:rFonts w:ascii="Times New Roman" w:eastAsia="Times New Roman" w:hAnsi="Times New Roman" w:cs="Times New Roman"/>
          <w:noProof/>
          <w:color w:val="000000" w:themeColor="text1"/>
          <w:sz w:val="24"/>
          <w:szCs w:val="24"/>
          <w:lang w:val="en-GB"/>
        </w:rPr>
      </w:pPr>
    </w:p>
    <w:p w:rsidR="00DE03C3" w:rsidRDefault="007E1FD3">
      <w:pPr>
        <w:pStyle w:val="BodyA"/>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u w:color="FF2600"/>
          <w:lang w:val="en-GB"/>
        </w:rPr>
        <w:t>The European Council welcomed the Commission's initiative</w:t>
      </w:r>
      <w:r>
        <w:rPr>
          <w:rFonts w:ascii="Times New Roman" w:hAnsi="Times New Roman" w:cs="Times New Roman"/>
          <w:noProof/>
          <w:color w:val="000000" w:themeColor="text1"/>
          <w:sz w:val="24"/>
          <w:szCs w:val="24"/>
          <w:lang w:val="en-GB"/>
        </w:rPr>
        <w:t xml:space="preserve"> to harness globalisation and specifically to analyse investments from thi</w:t>
      </w:r>
      <w:r>
        <w:rPr>
          <w:rFonts w:ascii="Times New Roman" w:hAnsi="Times New Roman" w:cs="Times New Roman"/>
          <w:noProof/>
          <w:color w:val="000000" w:themeColor="text1"/>
          <w:sz w:val="24"/>
          <w:szCs w:val="24"/>
          <w:lang w:val="en-GB"/>
        </w:rPr>
        <w:t>rd countries in strategic sectors</w:t>
      </w:r>
      <w:r>
        <w:rPr>
          <w:rFonts w:ascii="Times New Roman" w:hAnsi="Times New Roman" w:cs="Times New Roman"/>
          <w:noProof/>
          <w:color w:val="000000" w:themeColor="text1"/>
          <w:sz w:val="24"/>
          <w:szCs w:val="24"/>
          <w:u w:color="FF2600"/>
          <w:lang w:val="en-GB"/>
        </w:rPr>
        <w:t>.</w:t>
      </w:r>
      <w:r>
        <w:rPr>
          <w:rStyle w:val="FootnoteReference"/>
          <w:rFonts w:ascii="Times New Roman" w:hAnsi="Times New Roman" w:cs="Times New Roman"/>
          <w:noProof/>
          <w:color w:val="000000" w:themeColor="text1"/>
          <w:sz w:val="24"/>
          <w:szCs w:val="24"/>
          <w:u w:color="FF2600"/>
          <w:lang w:val="en-GB"/>
        </w:rPr>
        <w:footnoteReference w:id="3"/>
      </w:r>
      <w:r>
        <w:rPr>
          <w:rFonts w:ascii="Times New Roman" w:hAnsi="Times New Roman" w:cs="Times New Roman"/>
          <w:noProof/>
          <w:color w:val="000000" w:themeColor="text1"/>
          <w:sz w:val="24"/>
          <w:szCs w:val="24"/>
          <w:u w:color="FF2600"/>
          <w:lang w:val="en-GB"/>
        </w:rPr>
        <w:t xml:space="preserve"> For its part, the European Parliament called on the Commission</w:t>
      </w:r>
      <w:r>
        <w:rPr>
          <w:rFonts w:ascii="Times New Roman" w:eastAsia="Times New Roman" w:hAnsi="Times New Roman" w:cs="Times New Roman"/>
          <w:noProof/>
          <w:color w:val="000000" w:themeColor="text1"/>
          <w:sz w:val="24"/>
          <w:szCs w:val="24"/>
          <w:lang w:val="en-GB"/>
        </w:rPr>
        <w:t>, together with the Member States,</w:t>
      </w:r>
      <w:r>
        <w:rPr>
          <w:rStyle w:val="FootnoteReference"/>
          <w:rFonts w:ascii="Times New Roman" w:eastAsia="Times New Roman" w:hAnsi="Times New Roman" w:cs="Times New Roman"/>
          <w:noProof/>
          <w:color w:val="000000" w:themeColor="text1"/>
          <w:sz w:val="24"/>
          <w:szCs w:val="24"/>
          <w:lang w:val="en-GB"/>
        </w:rPr>
        <w:t xml:space="preserve"> </w:t>
      </w:r>
      <w:r>
        <w:rPr>
          <w:rFonts w:ascii="Times New Roman" w:eastAsia="Times New Roman" w:hAnsi="Times New Roman" w:cs="Times New Roman"/>
          <w:noProof/>
          <w:color w:val="000000" w:themeColor="text1"/>
          <w:sz w:val="24"/>
          <w:szCs w:val="24"/>
          <w:lang w:val="en-GB"/>
        </w:rPr>
        <w:t xml:space="preserve"> "to screen third country </w:t>
      </w:r>
      <w:r>
        <w:rPr>
          <w:rFonts w:ascii="Times New Roman" w:hAnsi="Times New Roman"/>
          <w:noProof/>
          <w:color w:val="000000" w:themeColor="text1"/>
          <w:sz w:val="24"/>
          <w:szCs w:val="24"/>
          <w:lang w:val="en-GB"/>
        </w:rPr>
        <w:t>foreign direct investments</w:t>
      </w:r>
      <w:r>
        <w:rPr>
          <w:rFonts w:ascii="Times New Roman" w:eastAsia="Times New Roman" w:hAnsi="Times New Roman" w:cs="Times New Roman"/>
          <w:noProof/>
          <w:color w:val="000000" w:themeColor="text1"/>
          <w:sz w:val="24"/>
          <w:szCs w:val="24"/>
          <w:lang w:val="en-GB"/>
        </w:rPr>
        <w:t xml:space="preserve"> in the EU in strategic industries, infrastructure and key future techn</w:t>
      </w:r>
      <w:r>
        <w:rPr>
          <w:rFonts w:ascii="Times New Roman" w:eastAsia="Times New Roman" w:hAnsi="Times New Roman" w:cs="Times New Roman"/>
          <w:noProof/>
          <w:color w:val="000000" w:themeColor="text1"/>
          <w:sz w:val="24"/>
          <w:szCs w:val="24"/>
          <w:lang w:val="en-GB"/>
        </w:rPr>
        <w:t>ologies, or other assets that are important in the interests of security and protection of access to them".</w:t>
      </w:r>
      <w:r>
        <w:rPr>
          <w:rStyle w:val="FootnoteReference"/>
          <w:rFonts w:ascii="Times New Roman" w:eastAsia="Times New Roman" w:hAnsi="Times New Roman" w:cs="Times New Roman"/>
          <w:noProof/>
          <w:color w:val="000000" w:themeColor="text1"/>
          <w:sz w:val="24"/>
          <w:szCs w:val="24"/>
          <w:lang w:val="en-GB"/>
        </w:rPr>
        <w:footnoteReference w:id="4"/>
      </w:r>
      <w:r>
        <w:rPr>
          <w:rFonts w:ascii="Times New Roman" w:eastAsia="Times New Roman" w:hAnsi="Times New Roman" w:cs="Times New Roman"/>
          <w:noProof/>
          <w:color w:val="000000" w:themeColor="text1"/>
          <w:sz w:val="24"/>
          <w:szCs w:val="24"/>
          <w:lang w:val="en-GB"/>
        </w:rPr>
        <w:t xml:space="preserve">  </w:t>
      </w:r>
    </w:p>
    <w:p w:rsidR="00DE03C3" w:rsidRDefault="00DE03C3">
      <w:pPr>
        <w:pStyle w:val="BodyA"/>
        <w:spacing w:after="0" w:line="240" w:lineRule="auto"/>
        <w:jc w:val="both"/>
        <w:rPr>
          <w:rFonts w:ascii="Times New Roman" w:hAnsi="Times New Roman"/>
          <w:noProof/>
          <w:color w:val="000000" w:themeColor="text1"/>
          <w:sz w:val="24"/>
          <w:szCs w:val="24"/>
          <w:u w:color="FF2600"/>
          <w:lang w:val="en-GB"/>
        </w:rPr>
      </w:pPr>
    </w:p>
    <w:p w:rsidR="00DE03C3" w:rsidRDefault="007E1FD3">
      <w:pPr>
        <w:pStyle w:val="BodyA"/>
        <w:spacing w:after="0" w:line="240" w:lineRule="auto"/>
        <w:jc w:val="both"/>
        <w:rPr>
          <w:rFonts w:ascii="Times New Roman" w:hAnsi="Times New Roman"/>
          <w:noProof/>
          <w:color w:val="000000" w:themeColor="text1"/>
          <w:sz w:val="24"/>
          <w:szCs w:val="24"/>
          <w:u w:color="FF0000"/>
          <w:lang w:val="en-GB"/>
        </w:rPr>
      </w:pPr>
      <w:r>
        <w:rPr>
          <w:rFonts w:ascii="Times New Roman" w:hAnsi="Times New Roman"/>
          <w:noProof/>
          <w:color w:val="000000" w:themeColor="text1"/>
          <w:sz w:val="24"/>
          <w:szCs w:val="24"/>
          <w:lang w:val="en-GB"/>
        </w:rPr>
        <w:t>In order to address the potential impact of cross-border takeovers on security and public order, nearly half of EU Member States currently maintain foreign direct investment screening mechanisms and reserve the power to restrict investments that pose a thr</w:t>
      </w:r>
      <w:r>
        <w:rPr>
          <w:rFonts w:ascii="Times New Roman" w:hAnsi="Times New Roman"/>
          <w:noProof/>
          <w:color w:val="000000" w:themeColor="text1"/>
          <w:sz w:val="24"/>
          <w:szCs w:val="24"/>
          <w:lang w:val="en-GB"/>
        </w:rPr>
        <w:t xml:space="preserve">eat to their essential interests. </w:t>
      </w:r>
      <w:r>
        <w:rPr>
          <w:rFonts w:ascii="Times New Roman" w:hAnsi="Times New Roman"/>
          <w:noProof/>
          <w:color w:val="000000" w:themeColor="text1"/>
          <w:sz w:val="24"/>
          <w:szCs w:val="24"/>
          <w:u w:color="FF0000"/>
          <w:lang w:val="en-GB"/>
        </w:rPr>
        <w:t xml:space="preserve">However, despite a clear European dimension to </w:t>
      </w:r>
      <w:r>
        <w:rPr>
          <w:rFonts w:ascii="Times New Roman" w:hAnsi="Times New Roman"/>
          <w:noProof/>
          <w:color w:val="000000" w:themeColor="text1"/>
          <w:sz w:val="24"/>
          <w:szCs w:val="24"/>
          <w:lang w:val="en-GB"/>
        </w:rPr>
        <w:t>foreign direct investment</w:t>
      </w:r>
      <w:r>
        <w:rPr>
          <w:rFonts w:ascii="Times New Roman" w:hAnsi="Times New Roman"/>
          <w:noProof/>
          <w:color w:val="000000" w:themeColor="text1"/>
          <w:sz w:val="24"/>
          <w:szCs w:val="24"/>
          <w:u w:color="FF0000"/>
          <w:lang w:val="en-GB"/>
        </w:rPr>
        <w:t xml:space="preserve">, there is neither systematic cooperation among Member States nor an EU-wide approach to these issues. </w:t>
      </w:r>
    </w:p>
    <w:p w:rsidR="00DE03C3" w:rsidRDefault="00DE03C3">
      <w:pPr>
        <w:pStyle w:val="BodyA"/>
        <w:spacing w:after="0" w:line="240" w:lineRule="auto"/>
        <w:jc w:val="both"/>
        <w:rPr>
          <w:rFonts w:ascii="Times New Roman" w:hAnsi="Times New Roman"/>
          <w:noProof/>
          <w:color w:val="000000" w:themeColor="text1"/>
          <w:sz w:val="24"/>
          <w:szCs w:val="24"/>
          <w:lang w:val="en-GB"/>
        </w:rPr>
      </w:pPr>
    </w:p>
    <w:p w:rsidR="00DE03C3" w:rsidRDefault="007E1FD3">
      <w:pPr>
        <w:pStyle w:val="BodyA"/>
        <w:spacing w:after="0" w:line="240" w:lineRule="auto"/>
        <w:jc w:val="both"/>
        <w:rPr>
          <w:rFonts w:ascii="Times New Roman" w:hAnsi="Times New Roman"/>
          <w:noProof/>
          <w:color w:val="000000" w:themeColor="text1"/>
          <w:sz w:val="24"/>
          <w:szCs w:val="24"/>
          <w:lang w:val="en-GB"/>
        </w:rPr>
      </w:pPr>
      <w:r>
        <w:rPr>
          <w:rFonts w:ascii="Times New Roman" w:hAnsi="Times New Roman"/>
          <w:noProof/>
          <w:color w:val="000000" w:themeColor="text1"/>
          <w:sz w:val="24"/>
          <w:szCs w:val="24"/>
          <w:lang w:val="en-GB"/>
        </w:rPr>
        <w:t>This Communication therefore suggests further</w:t>
      </w:r>
      <w:r>
        <w:rPr>
          <w:rFonts w:ascii="Times New Roman" w:hAnsi="Times New Roman"/>
          <w:noProof/>
          <w:color w:val="000000" w:themeColor="text1"/>
          <w:sz w:val="24"/>
          <w:szCs w:val="24"/>
          <w:lang w:val="en-GB"/>
        </w:rPr>
        <w:t xml:space="preserve"> concrete steps for Member States and, where relevant, the Commission to screen certain foreign direct investments into the EU.</w:t>
      </w:r>
      <w:r>
        <w:rPr>
          <w:rFonts w:ascii="Times New Roman" w:eastAsia="Times New Roman" w:hAnsi="Times New Roman" w:cs="Times New Roman"/>
          <w:noProof/>
          <w:color w:val="000000" w:themeColor="text1"/>
          <w:sz w:val="24"/>
          <w:szCs w:val="24"/>
          <w:vertAlign w:val="superscript"/>
          <w:lang w:val="en-GB"/>
        </w:rPr>
        <w:footnoteReference w:id="5"/>
      </w:r>
      <w:r>
        <w:rPr>
          <w:rFonts w:ascii="Times New Roman" w:hAnsi="Times New Roman"/>
          <w:noProof/>
          <w:color w:val="000000" w:themeColor="text1"/>
          <w:sz w:val="24"/>
          <w:szCs w:val="24"/>
          <w:u w:color="FF2600"/>
          <w:lang w:val="en-GB"/>
        </w:rPr>
        <w:t xml:space="preserve"> </w:t>
      </w:r>
      <w:r>
        <w:rPr>
          <w:rFonts w:ascii="Times New Roman" w:hAnsi="Times New Roman"/>
          <w:noProof/>
          <w:color w:val="000000" w:themeColor="text1"/>
          <w:sz w:val="24"/>
          <w:szCs w:val="24"/>
          <w:lang w:val="en-GB"/>
        </w:rPr>
        <w:t>It accompanies a proposal for a Regulation establishing a framework to screen foreign direct investments from third countries o</w:t>
      </w:r>
      <w:r>
        <w:rPr>
          <w:rFonts w:ascii="Times New Roman" w:hAnsi="Times New Roman"/>
          <w:noProof/>
          <w:color w:val="000000" w:themeColor="text1"/>
          <w:sz w:val="24"/>
          <w:szCs w:val="24"/>
          <w:lang w:val="en-GB"/>
        </w:rPr>
        <w:t>n grounds of security and public order in the EU, together with a cooperation mechanism among Member States as well as a framework for screening at the EU level.</w:t>
      </w:r>
    </w:p>
    <w:p w:rsidR="00DE03C3" w:rsidRDefault="00DE03C3">
      <w:pPr>
        <w:pStyle w:val="BodyA"/>
        <w:spacing w:after="0" w:line="240" w:lineRule="auto"/>
        <w:jc w:val="both"/>
        <w:rPr>
          <w:rFonts w:ascii="Times New Roman" w:eastAsia="Times New Roman" w:hAnsi="Times New Roman" w:cs="Times New Roman"/>
          <w:noProof/>
          <w:color w:val="000000" w:themeColor="text1"/>
          <w:sz w:val="24"/>
          <w:szCs w:val="24"/>
          <w:lang w:val="en-GB"/>
        </w:rPr>
      </w:pPr>
    </w:p>
    <w:p w:rsidR="00DE03C3" w:rsidRDefault="007E1FD3">
      <w:pPr>
        <w:pStyle w:val="ListParagraph"/>
        <w:numPr>
          <w:ilvl w:val="0"/>
          <w:numId w:val="2"/>
        </w:numPr>
        <w:jc w:val="both"/>
        <w:rPr>
          <w:rFonts w:ascii="Times New Roman" w:hAnsi="Times New Roman"/>
          <w:b/>
          <w:bCs/>
          <w:noProof/>
          <w:color w:val="000000" w:themeColor="text1"/>
          <w:sz w:val="24"/>
          <w:szCs w:val="24"/>
          <w:lang w:val="en-GB"/>
        </w:rPr>
      </w:pPr>
      <w:r>
        <w:rPr>
          <w:rFonts w:ascii="Times New Roman" w:hAnsi="Times New Roman"/>
          <w:b/>
          <w:bCs/>
          <w:noProof/>
          <w:color w:val="000000" w:themeColor="text1"/>
          <w:sz w:val="24"/>
          <w:szCs w:val="24"/>
          <w:lang w:val="en-GB"/>
        </w:rPr>
        <w:lastRenderedPageBreak/>
        <w:t>The EU is open to foreign investment…</w:t>
      </w:r>
    </w:p>
    <w:p w:rsidR="00DE03C3" w:rsidRDefault="007E1FD3">
      <w:pPr>
        <w:pStyle w:val="BodyA"/>
        <w:spacing w:after="0" w:line="240" w:lineRule="auto"/>
        <w:jc w:val="both"/>
        <w:rPr>
          <w:rStyle w:val="None"/>
          <w:rFonts w:ascii="Times New Roman" w:hAnsi="Times New Roman"/>
          <w:noProof/>
          <w:color w:val="000000" w:themeColor="text1"/>
          <w:sz w:val="24"/>
          <w:szCs w:val="24"/>
          <w:lang w:val="en-GB"/>
        </w:rPr>
      </w:pPr>
      <w:r>
        <w:rPr>
          <w:rFonts w:ascii="Times New Roman" w:hAnsi="Times New Roman"/>
          <w:b/>
          <w:noProof/>
          <w:color w:val="000000" w:themeColor="text1"/>
          <w:sz w:val="24"/>
          <w:szCs w:val="24"/>
          <w:lang w:val="en-GB"/>
        </w:rPr>
        <w:t xml:space="preserve">The EU has one of the most open investment regimes in </w:t>
      </w:r>
      <w:r>
        <w:rPr>
          <w:rFonts w:ascii="Times New Roman" w:hAnsi="Times New Roman"/>
          <w:b/>
          <w:noProof/>
          <w:color w:val="000000" w:themeColor="text1"/>
          <w:sz w:val="24"/>
          <w:szCs w:val="24"/>
          <w:lang w:val="en-GB"/>
        </w:rPr>
        <w:t>the world</w:t>
      </w:r>
      <w:r>
        <w:rPr>
          <w:rFonts w:ascii="Times New Roman" w:hAnsi="Times New Roman"/>
          <w:noProof/>
          <w:color w:val="000000" w:themeColor="text1"/>
          <w:sz w:val="24"/>
          <w:szCs w:val="24"/>
          <w:lang w:val="en-GB"/>
        </w:rPr>
        <w:t>.</w:t>
      </w:r>
      <w:r>
        <w:rPr>
          <w:rFonts w:ascii="Times New Roman" w:eastAsia="Times New Roman" w:hAnsi="Times New Roman" w:cs="Times New Roman"/>
          <w:noProof/>
          <w:color w:val="000000" w:themeColor="text1"/>
          <w:sz w:val="24"/>
          <w:szCs w:val="24"/>
          <w:vertAlign w:val="superscript"/>
          <w:lang w:val="en-GB"/>
        </w:rPr>
        <w:footnoteReference w:id="6"/>
      </w:r>
      <w:r>
        <w:rPr>
          <w:rStyle w:val="None"/>
          <w:rFonts w:ascii="Times New Roman" w:hAnsi="Times New Roman"/>
          <w:noProof/>
          <w:color w:val="000000" w:themeColor="text1"/>
          <w:sz w:val="24"/>
          <w:szCs w:val="24"/>
          <w:lang w:val="en-GB"/>
        </w:rPr>
        <w:t xml:space="preserve"> Openness to foreign investment is enshrined in the EU Treaties</w:t>
      </w:r>
      <w:r>
        <w:rPr>
          <w:rStyle w:val="FootnoteReference"/>
          <w:rFonts w:ascii="Times New Roman" w:hAnsi="Times New Roman"/>
          <w:noProof/>
          <w:color w:val="000000" w:themeColor="text1"/>
          <w:sz w:val="24"/>
          <w:szCs w:val="24"/>
          <w:lang w:val="en-GB"/>
        </w:rPr>
        <w:footnoteReference w:id="7"/>
      </w:r>
      <w:r>
        <w:rPr>
          <w:rStyle w:val="None"/>
          <w:rFonts w:ascii="Times New Roman" w:hAnsi="Times New Roman"/>
          <w:noProof/>
          <w:color w:val="000000" w:themeColor="text1"/>
          <w:sz w:val="24"/>
          <w:szCs w:val="24"/>
          <w:lang w:val="en-GB"/>
        </w:rPr>
        <w:t xml:space="preserve">. The EU is the world's leading source and destination of </w:t>
      </w:r>
      <w:r>
        <w:rPr>
          <w:rStyle w:val="None"/>
          <w:rFonts w:ascii="Times New Roman" w:hAnsi="Times New Roman"/>
          <w:noProof/>
          <w:color w:val="000000" w:themeColor="text1"/>
          <w:sz w:val="24"/>
          <w:szCs w:val="24"/>
          <w:u w:color="FF2600"/>
          <w:lang w:val="en-GB"/>
        </w:rPr>
        <w:t>foreign direct investment</w:t>
      </w:r>
      <w:r>
        <w:rPr>
          <w:rStyle w:val="None"/>
          <w:rFonts w:ascii="Times New Roman" w:hAnsi="Times New Roman"/>
          <w:noProof/>
          <w:color w:val="000000" w:themeColor="text1"/>
          <w:sz w:val="24"/>
          <w:szCs w:val="24"/>
          <w:lang w:val="en-GB"/>
        </w:rPr>
        <w:t>. At the end of 201</w:t>
      </w:r>
      <w:r>
        <w:rPr>
          <w:rStyle w:val="None"/>
          <w:rFonts w:ascii="Times New Roman" w:hAnsi="Times New Roman"/>
          <w:noProof/>
          <w:color w:val="000000" w:themeColor="text1"/>
          <w:sz w:val="24"/>
          <w:szCs w:val="24"/>
          <w:u w:color="FF2600"/>
          <w:lang w:val="en-GB"/>
        </w:rPr>
        <w:t>5</w:t>
      </w:r>
      <w:r>
        <w:rPr>
          <w:rStyle w:val="None"/>
          <w:rFonts w:ascii="Times New Roman" w:hAnsi="Times New Roman"/>
          <w:noProof/>
          <w:color w:val="000000" w:themeColor="text1"/>
          <w:sz w:val="24"/>
          <w:szCs w:val="24"/>
          <w:lang w:val="en-GB"/>
        </w:rPr>
        <w:t xml:space="preserve">, the stock of inward </w:t>
      </w:r>
      <w:r>
        <w:rPr>
          <w:rStyle w:val="None"/>
          <w:rFonts w:ascii="Times New Roman" w:hAnsi="Times New Roman"/>
          <w:noProof/>
          <w:color w:val="000000" w:themeColor="text1"/>
          <w:sz w:val="24"/>
          <w:szCs w:val="24"/>
          <w:u w:color="FF2600"/>
          <w:lang w:val="en-GB"/>
        </w:rPr>
        <w:t>foreign direct investment</w:t>
      </w:r>
      <w:r>
        <w:rPr>
          <w:rStyle w:val="None"/>
          <w:rFonts w:ascii="Times New Roman" w:hAnsi="Times New Roman"/>
          <w:noProof/>
          <w:color w:val="000000" w:themeColor="text1"/>
          <w:sz w:val="24"/>
          <w:szCs w:val="24"/>
          <w:lang w:val="en-GB"/>
        </w:rPr>
        <w:t xml:space="preserve"> in the EU stood at over EUR 5.7 trillion while it reached EUR 5.1 trillion in </w:t>
      </w:r>
      <w:r>
        <w:rPr>
          <w:rStyle w:val="None"/>
          <w:rFonts w:ascii="Times New Roman" w:hAnsi="Times New Roman"/>
          <w:noProof/>
          <w:color w:val="000000" w:themeColor="text1"/>
          <w:sz w:val="24"/>
          <w:szCs w:val="24"/>
          <w:u w:color="FF2600"/>
          <w:lang w:val="en-GB"/>
        </w:rPr>
        <w:t xml:space="preserve">the US and EUR 1.1 trillion in China. </w:t>
      </w:r>
      <w:r>
        <w:rPr>
          <w:rStyle w:val="None"/>
          <w:rFonts w:ascii="Times New Roman" w:hAnsi="Times New Roman"/>
          <w:noProof/>
          <w:color w:val="000000" w:themeColor="text1"/>
          <w:sz w:val="24"/>
          <w:szCs w:val="24"/>
          <w:lang w:val="en-GB"/>
        </w:rPr>
        <w:t xml:space="preserve">At the same time, EU investors held EUR 6.9 trillion in </w:t>
      </w:r>
      <w:r>
        <w:rPr>
          <w:rStyle w:val="None"/>
          <w:rFonts w:ascii="Times New Roman" w:hAnsi="Times New Roman"/>
          <w:noProof/>
          <w:color w:val="000000" w:themeColor="text1"/>
          <w:sz w:val="24"/>
          <w:szCs w:val="24"/>
          <w:u w:color="FF2600"/>
          <w:lang w:val="en-GB"/>
        </w:rPr>
        <w:t>foreign direct investment</w:t>
      </w:r>
      <w:r>
        <w:rPr>
          <w:rStyle w:val="None"/>
          <w:rFonts w:ascii="Times New Roman" w:hAnsi="Times New Roman"/>
          <w:noProof/>
          <w:color w:val="000000" w:themeColor="text1"/>
          <w:sz w:val="24"/>
          <w:szCs w:val="24"/>
          <w:lang w:val="en-GB"/>
        </w:rPr>
        <w:t xml:space="preserve"> in third countries.</w:t>
      </w:r>
      <w:r>
        <w:rPr>
          <w:rStyle w:val="FootnoteReference"/>
          <w:rFonts w:ascii="Times New Roman" w:hAnsi="Times New Roman"/>
          <w:noProof/>
          <w:color w:val="000000" w:themeColor="text1"/>
          <w:sz w:val="24"/>
          <w:szCs w:val="24"/>
          <w:lang w:val="en-GB"/>
        </w:rPr>
        <w:footnoteReference w:id="8"/>
      </w:r>
      <w:r>
        <w:rPr>
          <w:rStyle w:val="None"/>
          <w:rFonts w:ascii="Times New Roman" w:hAnsi="Times New Roman"/>
          <w:noProof/>
          <w:color w:val="000000" w:themeColor="text1"/>
          <w:sz w:val="24"/>
          <w:szCs w:val="24"/>
          <w:lang w:val="en-GB"/>
        </w:rPr>
        <w:t xml:space="preserve"> </w:t>
      </w:r>
    </w:p>
    <w:p w:rsidR="00DE03C3" w:rsidRDefault="00DE03C3">
      <w:pPr>
        <w:pStyle w:val="BodyA"/>
        <w:spacing w:after="0" w:line="240" w:lineRule="auto"/>
        <w:jc w:val="both"/>
        <w:rPr>
          <w:rStyle w:val="None"/>
          <w:rFonts w:ascii="Times New Roman" w:hAnsi="Times New Roman"/>
          <w:noProof/>
          <w:color w:val="000000" w:themeColor="text1"/>
          <w:sz w:val="24"/>
          <w:szCs w:val="24"/>
          <w:lang w:val="en-GB"/>
        </w:rPr>
      </w:pPr>
    </w:p>
    <w:p w:rsidR="00DE03C3" w:rsidRDefault="007E1FD3">
      <w:pPr>
        <w:pStyle w:val="BodyA"/>
        <w:spacing w:after="0" w:line="240" w:lineRule="auto"/>
        <w:jc w:val="both"/>
        <w:rPr>
          <w:rStyle w:val="None"/>
          <w:rFonts w:ascii="open_sansregular" w:hAnsi="open_sansregular" w:cs="Helvetica"/>
          <w:noProof/>
          <w:color w:val="000000" w:themeColor="text1"/>
          <w:sz w:val="24"/>
          <w:szCs w:val="24"/>
          <w:lang w:val="en-GB"/>
        </w:rPr>
      </w:pPr>
      <w:r>
        <w:rPr>
          <w:rStyle w:val="None"/>
          <w:rFonts w:ascii="Times New Roman" w:hAnsi="Times New Roman"/>
          <w:noProof/>
          <w:color w:val="000000" w:themeColor="text1"/>
          <w:sz w:val="24"/>
          <w:szCs w:val="24"/>
          <w:u w:color="FF2600"/>
          <w:lang w:val="en-GB"/>
        </w:rPr>
        <w:t>Foreign direct investment</w:t>
      </w:r>
      <w:r>
        <w:rPr>
          <w:rStyle w:val="None"/>
          <w:rFonts w:ascii="Times New Roman" w:hAnsi="Times New Roman"/>
          <w:noProof/>
          <w:color w:val="000000" w:themeColor="text1"/>
          <w:sz w:val="24"/>
          <w:szCs w:val="24"/>
          <w:lang w:val="en-GB"/>
        </w:rPr>
        <w:t xml:space="preserve"> flows in</w:t>
      </w:r>
      <w:r>
        <w:rPr>
          <w:rStyle w:val="None"/>
          <w:rFonts w:ascii="Times New Roman" w:hAnsi="Times New Roman"/>
          <w:noProof/>
          <w:color w:val="000000" w:themeColor="text1"/>
          <w:sz w:val="24"/>
          <w:szCs w:val="24"/>
          <w:lang w:val="en-GB"/>
        </w:rPr>
        <w:t xml:space="preserve">to the EU have recovered from the lower figures observed during and in the aftermath of the financial crisis, in particular between 2008 and 2010. In 2015, </w:t>
      </w:r>
      <w:r>
        <w:rPr>
          <w:rFonts w:ascii="open_sansregular" w:hAnsi="open_sansregular" w:cs="Helvetica"/>
          <w:noProof/>
          <w:color w:val="000000" w:themeColor="text1"/>
          <w:sz w:val="24"/>
          <w:szCs w:val="24"/>
          <w:lang w:val="en-GB"/>
        </w:rPr>
        <w:t xml:space="preserve">inward </w:t>
      </w:r>
      <w:r>
        <w:rPr>
          <w:rStyle w:val="None"/>
          <w:rFonts w:ascii="Times New Roman" w:hAnsi="Times New Roman"/>
          <w:noProof/>
          <w:color w:val="000000" w:themeColor="text1"/>
          <w:sz w:val="24"/>
          <w:szCs w:val="24"/>
          <w:u w:color="FF2600"/>
          <w:lang w:val="en-GB"/>
        </w:rPr>
        <w:t>foreign direct investment</w:t>
      </w:r>
      <w:r>
        <w:rPr>
          <w:rFonts w:ascii="open_sansregular" w:hAnsi="open_sansregular" w:cs="Helvetica"/>
          <w:noProof/>
          <w:color w:val="000000" w:themeColor="text1"/>
          <w:sz w:val="24"/>
          <w:szCs w:val="24"/>
          <w:lang w:val="en-GB"/>
        </w:rPr>
        <w:t xml:space="preserve"> reached almost EUR 470 billion – more than the highest level before</w:t>
      </w:r>
      <w:r>
        <w:rPr>
          <w:rFonts w:ascii="open_sansregular" w:hAnsi="open_sansregular" w:cs="Helvetica"/>
          <w:noProof/>
          <w:color w:val="000000" w:themeColor="text1"/>
          <w:sz w:val="24"/>
          <w:szCs w:val="24"/>
          <w:lang w:val="en-GB"/>
        </w:rPr>
        <w:t xml:space="preserve"> the crisis recorded in 2007.</w:t>
      </w:r>
      <w:r>
        <w:rPr>
          <w:rStyle w:val="FootnoteReference"/>
          <w:rFonts w:ascii="open_sansregular" w:hAnsi="open_sansregular" w:cs="Helvetica"/>
          <w:noProof/>
          <w:color w:val="000000" w:themeColor="text1"/>
          <w:sz w:val="24"/>
          <w:szCs w:val="24"/>
          <w:lang w:val="en-GB"/>
        </w:rPr>
        <w:footnoteReference w:id="9"/>
      </w:r>
      <w:r>
        <w:rPr>
          <w:rFonts w:ascii="open_sansregular" w:hAnsi="open_sansregular" w:cs="Helvetica"/>
          <w:noProof/>
          <w:color w:val="000000" w:themeColor="text1"/>
          <w:sz w:val="24"/>
          <w:szCs w:val="24"/>
          <w:lang w:val="en-GB"/>
        </w:rPr>
        <w:t xml:space="preserve"> </w:t>
      </w:r>
      <w:r>
        <w:rPr>
          <w:rStyle w:val="None"/>
          <w:rFonts w:ascii="Times New Roman" w:hAnsi="Times New Roman"/>
          <w:noProof/>
          <w:color w:val="000000" w:themeColor="text1"/>
          <w:sz w:val="24"/>
          <w:szCs w:val="24"/>
          <w:u w:color="FF2600"/>
          <w:lang w:val="en-GB"/>
        </w:rPr>
        <w:t xml:space="preserve"> The recovery has been supported by an increase in both the number and value of international cross-border mergers and acquisitions, which continue to represent the bulk of foreign direct investment inflows.</w:t>
      </w:r>
    </w:p>
    <w:p w:rsidR="00DE03C3" w:rsidRDefault="00DE03C3">
      <w:pPr>
        <w:pStyle w:val="BodyA"/>
        <w:spacing w:after="0" w:line="240" w:lineRule="auto"/>
        <w:jc w:val="both"/>
        <w:rPr>
          <w:rStyle w:val="None"/>
          <w:rFonts w:ascii="Times New Roman" w:hAnsi="Times New Roman"/>
          <w:noProof/>
          <w:color w:val="000000" w:themeColor="text1"/>
          <w:sz w:val="24"/>
          <w:szCs w:val="24"/>
          <w:u w:color="FF2600"/>
          <w:lang w:val="en-GB"/>
        </w:rPr>
      </w:pPr>
    </w:p>
    <w:p w:rsidR="00DE03C3" w:rsidRDefault="007E1FD3">
      <w:pPr>
        <w:pStyle w:val="BodyA"/>
        <w:spacing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noProof/>
          <w:color w:val="000000" w:themeColor="text1"/>
          <w:sz w:val="24"/>
          <w:szCs w:val="24"/>
          <w:lang w:val="en-GB"/>
        </w:rPr>
        <w:t>At the same time</w:t>
      </w:r>
      <w:r>
        <w:rPr>
          <w:rStyle w:val="None"/>
          <w:rFonts w:ascii="Times New Roman" w:hAnsi="Times New Roman"/>
          <w:noProof/>
          <w:color w:val="000000" w:themeColor="text1"/>
          <w:sz w:val="24"/>
          <w:szCs w:val="24"/>
          <w:lang w:val="en-GB"/>
        </w:rPr>
        <w:t xml:space="preserve">, new investment trends are appearing with </w:t>
      </w:r>
      <w:r>
        <w:rPr>
          <w:rStyle w:val="None"/>
          <w:rFonts w:ascii="Times New Roman" w:hAnsi="Times New Roman"/>
          <w:b/>
          <w:noProof/>
          <w:color w:val="000000" w:themeColor="text1"/>
          <w:sz w:val="24"/>
          <w:szCs w:val="24"/>
          <w:lang w:val="en-GB"/>
        </w:rPr>
        <w:t>some</w:t>
      </w:r>
      <w:r>
        <w:rPr>
          <w:rStyle w:val="None"/>
          <w:rFonts w:ascii="Times New Roman" w:hAnsi="Times New Roman"/>
          <w:noProof/>
          <w:color w:val="000000" w:themeColor="text1"/>
          <w:sz w:val="24"/>
          <w:szCs w:val="24"/>
          <w:lang w:val="en-GB"/>
        </w:rPr>
        <w:t xml:space="preserve"> </w:t>
      </w:r>
      <w:r>
        <w:rPr>
          <w:rStyle w:val="None"/>
          <w:rFonts w:ascii="Times New Roman" w:hAnsi="Times New Roman"/>
          <w:b/>
          <w:noProof/>
          <w:color w:val="000000" w:themeColor="text1"/>
          <w:sz w:val="24"/>
          <w:szCs w:val="24"/>
          <w:lang w:val="en-GB"/>
        </w:rPr>
        <w:t xml:space="preserve">emerging economies playing an increasing role as providers of </w:t>
      </w:r>
      <w:r>
        <w:rPr>
          <w:rStyle w:val="None"/>
          <w:rFonts w:ascii="Times New Roman" w:hAnsi="Times New Roman"/>
          <w:b/>
          <w:noProof/>
          <w:color w:val="000000" w:themeColor="text1"/>
          <w:sz w:val="24"/>
          <w:szCs w:val="24"/>
          <w:u w:color="FF2600"/>
          <w:lang w:val="en-GB"/>
        </w:rPr>
        <w:t>foreign direct investment</w:t>
      </w:r>
      <w:r>
        <w:rPr>
          <w:rStyle w:val="None"/>
          <w:rFonts w:ascii="Times New Roman" w:hAnsi="Times New Roman"/>
          <w:noProof/>
          <w:color w:val="000000" w:themeColor="text1"/>
          <w:sz w:val="24"/>
          <w:szCs w:val="24"/>
          <w:lang w:val="en-GB"/>
        </w:rPr>
        <w:t xml:space="preserve">. The US remains, by far, the largest foreign investor in the EU but its share in the </w:t>
      </w:r>
      <w:r>
        <w:rPr>
          <w:rStyle w:val="None"/>
          <w:rFonts w:ascii="Times New Roman" w:hAnsi="Times New Roman"/>
          <w:noProof/>
          <w:color w:val="000000" w:themeColor="text1"/>
          <w:sz w:val="24"/>
          <w:szCs w:val="24"/>
          <w:u w:color="FF2600"/>
          <w:lang w:val="en-GB"/>
        </w:rPr>
        <w:t>foreign direct investment</w:t>
      </w:r>
      <w:r>
        <w:rPr>
          <w:rStyle w:val="None"/>
          <w:rFonts w:ascii="Times New Roman" w:hAnsi="Times New Roman"/>
          <w:noProof/>
          <w:color w:val="000000" w:themeColor="text1"/>
          <w:sz w:val="24"/>
          <w:szCs w:val="24"/>
          <w:lang w:val="en-GB"/>
        </w:rPr>
        <w:t xml:space="preserve"> stock in the EU fell from 51.3 per cent in 1995 to </w:t>
      </w:r>
      <w:r>
        <w:rPr>
          <w:rStyle w:val="None"/>
          <w:rFonts w:ascii="Times New Roman" w:hAnsi="Times New Roman"/>
          <w:noProof/>
          <w:color w:val="000000" w:themeColor="text1"/>
          <w:sz w:val="24"/>
          <w:szCs w:val="24"/>
          <w:u w:color="FF2600"/>
          <w:lang w:val="en-GB"/>
        </w:rPr>
        <w:t xml:space="preserve">41.4 per cent in 2015. </w:t>
      </w:r>
      <w:r>
        <w:rPr>
          <w:rStyle w:val="None"/>
          <w:rFonts w:ascii="Times New Roman" w:hAnsi="Times New Roman"/>
          <w:noProof/>
          <w:color w:val="000000" w:themeColor="text1"/>
          <w:sz w:val="24"/>
          <w:szCs w:val="24"/>
          <w:lang w:val="en-GB"/>
        </w:rPr>
        <w:t>Japan’s share also declined from 7.7</w:t>
      </w:r>
      <w:r>
        <w:rPr>
          <w:rStyle w:val="None"/>
          <w:rFonts w:ascii="Times New Roman" w:hAnsi="Times New Roman"/>
          <w:noProof/>
          <w:color w:val="000000" w:themeColor="text1"/>
          <w:sz w:val="24"/>
          <w:szCs w:val="24"/>
          <w:u w:color="FF2600"/>
          <w:lang w:val="en-GB"/>
        </w:rPr>
        <w:t xml:space="preserve"> per cent to below 3 per cent in the same period. At</w:t>
      </w:r>
      <w:r>
        <w:rPr>
          <w:rStyle w:val="None"/>
          <w:rFonts w:ascii="Times New Roman" w:hAnsi="Times New Roman"/>
          <w:noProof/>
          <w:color w:val="000000" w:themeColor="text1"/>
          <w:sz w:val="24"/>
          <w:szCs w:val="24"/>
          <w:lang w:val="en-GB"/>
        </w:rPr>
        <w:t xml:space="preserve"> the same time, the shares of Brazil and China have increased significantly from respectively</w:t>
      </w:r>
      <w:r>
        <w:rPr>
          <w:rStyle w:val="None"/>
          <w:rFonts w:ascii="Times New Roman" w:hAnsi="Times New Roman"/>
          <w:noProof/>
          <w:color w:val="000000" w:themeColor="text1"/>
          <w:sz w:val="24"/>
          <w:szCs w:val="24"/>
          <w:lang w:val="en-GB"/>
        </w:rPr>
        <w:t xml:space="preserve"> 0.2 and 0.3 per cent in 1995 to 2.2 and 2 per cent in 2015,</w:t>
      </w:r>
      <w:r>
        <w:rPr>
          <w:rStyle w:val="FootnoteReference"/>
          <w:rFonts w:ascii="Times New Roman" w:hAnsi="Times New Roman"/>
          <w:noProof/>
          <w:color w:val="000000" w:themeColor="text1"/>
          <w:sz w:val="24"/>
          <w:szCs w:val="24"/>
          <w:lang w:val="en-GB"/>
        </w:rPr>
        <w:footnoteReference w:id="10"/>
      </w:r>
      <w:r>
        <w:rPr>
          <w:rStyle w:val="None"/>
          <w:rFonts w:ascii="Times New Roman" w:hAnsi="Times New Roman"/>
          <w:noProof/>
          <w:color w:val="000000" w:themeColor="text1"/>
          <w:sz w:val="24"/>
          <w:szCs w:val="24"/>
          <w:lang w:val="en-GB"/>
        </w:rPr>
        <w:t xml:space="preserve"> making these two countries the fifth and sixth largest foreign investors in the EU (see charts below).</w:t>
      </w:r>
    </w:p>
    <w:p w:rsidR="00DE03C3" w:rsidRDefault="007E1FD3">
      <w:pPr>
        <w:pStyle w:val="BodyA"/>
        <w:spacing w:line="240" w:lineRule="auto"/>
        <w:jc w:val="both"/>
        <w:rPr>
          <w:rStyle w:val="None"/>
          <w:rFonts w:ascii="Times New Roman" w:hAnsi="Times New Roman"/>
          <w:b/>
          <w:i/>
          <w:noProof/>
          <w:color w:val="000000" w:themeColor="text1"/>
          <w:sz w:val="24"/>
          <w:szCs w:val="24"/>
          <w:lang w:val="en-GB"/>
        </w:rPr>
      </w:pPr>
      <w:r>
        <w:rPr>
          <w:rStyle w:val="None"/>
          <w:rFonts w:ascii="Times New Roman" w:hAnsi="Times New Roman"/>
          <w:b/>
          <w:i/>
          <w:noProof/>
          <w:color w:val="000000" w:themeColor="text1"/>
          <w:sz w:val="24"/>
          <w:szCs w:val="24"/>
          <w:lang w:val="en-GB"/>
        </w:rPr>
        <w:t>Chart 1: Composition of EU inward and outward foreign direct investment stock by internatio</w:t>
      </w:r>
      <w:r>
        <w:rPr>
          <w:rStyle w:val="None"/>
          <w:rFonts w:ascii="Times New Roman" w:hAnsi="Times New Roman"/>
          <w:b/>
          <w:i/>
          <w:noProof/>
          <w:color w:val="000000" w:themeColor="text1"/>
          <w:sz w:val="24"/>
          <w:szCs w:val="24"/>
          <w:lang w:val="en-GB"/>
        </w:rPr>
        <w:t xml:space="preserve">nal partner, end of 2015 </w:t>
      </w:r>
    </w:p>
    <w:p w:rsidR="00DE03C3" w:rsidRDefault="007E1FD3">
      <w:pPr>
        <w:pStyle w:val="BodyA"/>
        <w:spacing w:line="240" w:lineRule="auto"/>
        <w:jc w:val="both"/>
        <w:rPr>
          <w:rStyle w:val="None"/>
          <w:rFonts w:ascii="Times New Roman" w:hAnsi="Times New Roman"/>
          <w:noProof/>
          <w:color w:val="000000" w:themeColor="text1"/>
          <w:sz w:val="20"/>
          <w:szCs w:val="20"/>
          <w:lang w:val="en-GB"/>
        </w:rPr>
      </w:pPr>
      <w:r>
        <w:rPr>
          <w:noProof/>
          <w:lang w:val="en-GB"/>
        </w:rPr>
        <w:drawing>
          <wp:inline distT="0" distB="0" distL="0" distR="0" wp14:anchorId="08C364C3" wp14:editId="4AFD3FF1">
            <wp:extent cx="2876550" cy="2438400"/>
            <wp:effectExtent l="0" t="0" r="0" b="0"/>
            <wp:docPr id="1" name="Picture 1" descr="C:\Users\lodramn\AppData\Local\Microsoft\Windows\Temporary Internet Files\Content.Word\f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dramn\AppData\Local\Microsoft\Windows\Temporary Internet Files\Content.Word\fdi.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3077" cy="2443933"/>
                    </a:xfrm>
                    <a:prstGeom prst="rect">
                      <a:avLst/>
                    </a:prstGeom>
                    <a:noFill/>
                    <a:ln>
                      <a:noFill/>
                    </a:ln>
                  </pic:spPr>
                </pic:pic>
              </a:graphicData>
            </a:graphic>
          </wp:inline>
        </w:drawing>
      </w:r>
    </w:p>
    <w:p w:rsidR="00DE03C3" w:rsidRDefault="007E1FD3">
      <w:pPr>
        <w:pStyle w:val="BodyA"/>
        <w:spacing w:line="240" w:lineRule="auto"/>
        <w:jc w:val="both"/>
        <w:rPr>
          <w:rStyle w:val="None"/>
          <w:rFonts w:ascii="Times New Roman" w:hAnsi="Times New Roman"/>
          <w:noProof/>
          <w:color w:val="000000" w:themeColor="text1"/>
          <w:sz w:val="20"/>
          <w:szCs w:val="20"/>
          <w:lang w:val="en-GB"/>
        </w:rPr>
      </w:pPr>
      <w:r>
        <w:rPr>
          <w:rStyle w:val="None"/>
          <w:rFonts w:ascii="Times New Roman" w:hAnsi="Times New Roman"/>
          <w:noProof/>
          <w:color w:val="000000" w:themeColor="text1"/>
          <w:sz w:val="20"/>
          <w:szCs w:val="20"/>
          <w:lang w:val="en-GB"/>
        </w:rPr>
        <w:t>Source: Eurostat</w:t>
      </w:r>
    </w:p>
    <w:p w:rsidR="00DE03C3" w:rsidRDefault="007E1FD3">
      <w:pPr>
        <w:pStyle w:val="BodyA"/>
        <w:spacing w:line="240" w:lineRule="auto"/>
        <w:jc w:val="both"/>
        <w:rPr>
          <w:rStyle w:val="None"/>
          <w:rFonts w:ascii="Times New Roman" w:hAnsi="Times New Roman"/>
          <w:b/>
          <w:i/>
          <w:noProof/>
          <w:color w:val="000000" w:themeColor="text1"/>
          <w:sz w:val="24"/>
          <w:szCs w:val="24"/>
          <w:lang w:val="en-GB"/>
        </w:rPr>
      </w:pPr>
      <w:r>
        <w:rPr>
          <w:rStyle w:val="None"/>
          <w:rFonts w:ascii="Times New Roman" w:hAnsi="Times New Roman"/>
          <w:b/>
          <w:i/>
          <w:noProof/>
          <w:color w:val="000000" w:themeColor="text1"/>
          <w:sz w:val="24"/>
          <w:szCs w:val="24"/>
          <w:lang w:val="en-GB"/>
        </w:rPr>
        <w:t>Chart 2: Evolution of shares of the ten largest investors in EU inward foreign direct investment stock</w:t>
      </w:r>
      <w:r>
        <w:rPr>
          <w:rStyle w:val="FootnoteReference"/>
          <w:rFonts w:ascii="Times New Roman" w:hAnsi="Times New Roman"/>
          <w:b/>
          <w:i/>
          <w:noProof/>
          <w:color w:val="000000" w:themeColor="text1"/>
          <w:sz w:val="24"/>
          <w:szCs w:val="24"/>
          <w:lang w:val="en-GB"/>
        </w:rPr>
        <w:footnoteReference w:id="11"/>
      </w:r>
      <w:r>
        <w:rPr>
          <w:rStyle w:val="None"/>
          <w:rFonts w:ascii="Times New Roman" w:hAnsi="Times New Roman"/>
          <w:b/>
          <w:i/>
          <w:noProof/>
          <w:color w:val="000000" w:themeColor="text1"/>
          <w:sz w:val="24"/>
          <w:szCs w:val="24"/>
          <w:lang w:val="en-GB"/>
        </w:rPr>
        <w:t xml:space="preserve"> </w:t>
      </w:r>
    </w:p>
    <w:p w:rsidR="00DE03C3" w:rsidRDefault="007E1FD3">
      <w:pPr>
        <w:pStyle w:val="BodyA"/>
        <w:spacing w:line="240" w:lineRule="auto"/>
        <w:jc w:val="both"/>
        <w:rPr>
          <w:rStyle w:val="None"/>
          <w:rFonts w:ascii="Times New Roman" w:hAnsi="Times New Roman"/>
          <w:b/>
          <w:i/>
          <w:noProof/>
          <w:color w:val="000000" w:themeColor="text1"/>
          <w:sz w:val="24"/>
          <w:szCs w:val="24"/>
          <w:lang w:val="en-GB"/>
        </w:rPr>
      </w:pPr>
      <w:r>
        <w:rPr>
          <w:noProof/>
          <w:lang w:val="en-GB"/>
        </w:rPr>
        <w:drawing>
          <wp:inline distT="0" distB="0" distL="0" distR="0" wp14:anchorId="708AD5BE" wp14:editId="1936C805">
            <wp:extent cx="5756910" cy="4526280"/>
            <wp:effectExtent l="0" t="0" r="1524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03C3" w:rsidRDefault="007E1FD3">
      <w:pPr>
        <w:pStyle w:val="BodyA"/>
        <w:spacing w:line="240" w:lineRule="auto"/>
        <w:jc w:val="both"/>
        <w:rPr>
          <w:rStyle w:val="None"/>
          <w:rFonts w:ascii="Times New Roman" w:hAnsi="Times New Roman"/>
          <w:i/>
          <w:noProof/>
          <w:color w:val="auto"/>
          <w:sz w:val="20"/>
          <w:szCs w:val="20"/>
          <w:lang w:val="en-GB"/>
        </w:rPr>
      </w:pPr>
      <w:r>
        <w:rPr>
          <w:i/>
          <w:noProof/>
          <w:color w:val="auto"/>
          <w:sz w:val="20"/>
          <w:szCs w:val="20"/>
          <w:lang w:val="en-GB"/>
        </w:rPr>
        <w:t xml:space="preserve">Source: Eurostat </w:t>
      </w:r>
    </w:p>
    <w:p w:rsidR="00DE03C3" w:rsidRDefault="007E1FD3">
      <w:pPr>
        <w:pStyle w:val="BodyA"/>
        <w:spacing w:after="0"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b/>
          <w:noProof/>
          <w:color w:val="000000" w:themeColor="text1"/>
          <w:sz w:val="24"/>
          <w:szCs w:val="24"/>
          <w:lang w:val="en-GB"/>
        </w:rPr>
        <w:t xml:space="preserve">The EU welcomes foreign investments because of the </w:t>
      </w:r>
      <w:r>
        <w:rPr>
          <w:rStyle w:val="None"/>
          <w:rFonts w:ascii="Times New Roman" w:hAnsi="Times New Roman"/>
          <w:b/>
          <w:noProof/>
          <w:color w:val="auto"/>
          <w:sz w:val="24"/>
          <w:szCs w:val="24"/>
          <w:lang w:val="en-GB"/>
        </w:rPr>
        <w:t>substantial benefits they bring for</w:t>
      </w:r>
      <w:r>
        <w:rPr>
          <w:rStyle w:val="None"/>
          <w:rFonts w:ascii="Times New Roman" w:hAnsi="Times New Roman"/>
          <w:b/>
          <w:noProof/>
          <w:color w:val="auto"/>
          <w:sz w:val="24"/>
          <w:szCs w:val="24"/>
          <w:lang w:val="en-GB"/>
        </w:rPr>
        <w:t xml:space="preserve"> our economy and society at large</w:t>
      </w:r>
      <w:r>
        <w:rPr>
          <w:rStyle w:val="None"/>
          <w:rFonts w:ascii="Times New Roman" w:hAnsi="Times New Roman"/>
          <w:noProof/>
          <w:color w:val="auto"/>
          <w:sz w:val="24"/>
          <w:szCs w:val="24"/>
          <w:lang w:val="en-GB"/>
        </w:rPr>
        <w:t>. F</w:t>
      </w:r>
      <w:r>
        <w:rPr>
          <w:rStyle w:val="None"/>
          <w:rFonts w:ascii="Times New Roman" w:hAnsi="Times New Roman"/>
          <w:noProof/>
          <w:color w:val="000000" w:themeColor="text1"/>
          <w:sz w:val="24"/>
          <w:szCs w:val="24"/>
          <w:lang w:val="en-GB"/>
        </w:rPr>
        <w:t>oreign direct investment</w:t>
      </w:r>
      <w:r>
        <w:rPr>
          <w:rStyle w:val="None"/>
          <w:rFonts w:ascii="Times New Roman" w:hAnsi="Times New Roman"/>
          <w:noProof/>
          <w:color w:val="auto"/>
          <w:sz w:val="24"/>
          <w:szCs w:val="24"/>
          <w:lang w:val="en-GB"/>
        </w:rPr>
        <w:t xml:space="preserve"> is a source of growth and jobs. It </w:t>
      </w:r>
      <w:r>
        <w:rPr>
          <w:rStyle w:val="None"/>
          <w:rFonts w:ascii="Times New Roman" w:hAnsi="Times New Roman"/>
          <w:noProof/>
          <w:color w:val="000000" w:themeColor="text1"/>
          <w:sz w:val="24"/>
          <w:szCs w:val="24"/>
          <w:lang w:val="en-GB"/>
        </w:rPr>
        <w:t>links EU companies with global value chains that drive the modern economy. It boosts productivity and makes our companies more competitive by improving resource</w:t>
      </w:r>
      <w:r>
        <w:rPr>
          <w:rStyle w:val="None"/>
          <w:rFonts w:ascii="Times New Roman" w:hAnsi="Times New Roman"/>
          <w:noProof/>
          <w:color w:val="000000" w:themeColor="text1"/>
          <w:sz w:val="24"/>
          <w:szCs w:val="24"/>
          <w:lang w:val="en-GB"/>
        </w:rPr>
        <w:t xml:space="preserve"> allocation, bringing in capital, technologies and expertise, increasing competition, stimulating innovation, and opening new markets for EU's exports. Furthermore, it supports the objectives of the Investment Plan for Europe, and other EU projects and pro</w:t>
      </w:r>
      <w:r>
        <w:rPr>
          <w:rStyle w:val="None"/>
          <w:rFonts w:ascii="Times New Roman" w:hAnsi="Times New Roman"/>
          <w:noProof/>
          <w:color w:val="000000" w:themeColor="text1"/>
          <w:sz w:val="24"/>
          <w:szCs w:val="24"/>
          <w:lang w:val="en-GB"/>
        </w:rPr>
        <w:t>grammes. Outward foreign direct investment generates similar gains as inward flows, including for the implementation of the 2030 Agenda for Sustainable Development. For all those reasons, the EU will continue to support liberalisation and protection of inv</w:t>
      </w:r>
      <w:r>
        <w:rPr>
          <w:rStyle w:val="None"/>
          <w:rFonts w:ascii="Times New Roman" w:hAnsi="Times New Roman"/>
          <w:noProof/>
          <w:color w:val="000000" w:themeColor="text1"/>
          <w:sz w:val="24"/>
          <w:szCs w:val="24"/>
          <w:lang w:val="en-GB"/>
        </w:rPr>
        <w:t>estments worldwide.</w:t>
      </w:r>
    </w:p>
    <w:p w:rsidR="00DE03C3" w:rsidRDefault="00DE03C3">
      <w:pPr>
        <w:pStyle w:val="BodyA"/>
        <w:spacing w:after="0" w:line="240" w:lineRule="auto"/>
        <w:jc w:val="both"/>
        <w:rPr>
          <w:rStyle w:val="None"/>
          <w:rFonts w:ascii="Times New Roman" w:hAnsi="Times New Roman"/>
          <w:noProof/>
          <w:color w:val="000000" w:themeColor="text1"/>
          <w:sz w:val="24"/>
          <w:szCs w:val="24"/>
          <w:lang w:val="en-GB"/>
        </w:rPr>
      </w:pPr>
    </w:p>
    <w:p w:rsidR="00DE03C3" w:rsidRDefault="007E1FD3">
      <w:pPr>
        <w:jc w:val="both"/>
        <w:rPr>
          <w:rStyle w:val="None"/>
          <w:noProof/>
          <w:color w:val="000000" w:themeColor="text1"/>
          <w:lang w:val="en-GB"/>
        </w:rPr>
      </w:pPr>
      <w:r>
        <w:rPr>
          <w:rStyle w:val="None"/>
          <w:noProof/>
          <w:color w:val="000000" w:themeColor="text1"/>
          <w:lang w:val="en-GB"/>
        </w:rPr>
        <w:t>While only 0.4 per cent of EU companies are controlled by non-EU investors, these companies are on average much larger than companies owned by EU investors. As a result, they represent about 13 per cent of total turnover, 11 per cent o</w:t>
      </w:r>
      <w:r>
        <w:rPr>
          <w:rStyle w:val="None"/>
          <w:noProof/>
          <w:color w:val="000000" w:themeColor="text1"/>
          <w:lang w:val="en-GB"/>
        </w:rPr>
        <w:t>f value added and 6 per cent of total employment in the EU.</w:t>
      </w:r>
      <w:r>
        <w:rPr>
          <w:rStyle w:val="FootnoteReference"/>
          <w:noProof/>
          <w:color w:val="000000" w:themeColor="text1"/>
          <w:lang w:val="en-GB"/>
        </w:rPr>
        <w:footnoteReference w:id="12"/>
      </w:r>
    </w:p>
    <w:p w:rsidR="00DE03C3" w:rsidRDefault="00DE03C3">
      <w:pPr>
        <w:jc w:val="both"/>
        <w:rPr>
          <w:rFonts w:eastAsia="Calibri"/>
          <w:b/>
          <w:bCs/>
          <w:noProof/>
          <w:color w:val="000000" w:themeColor="text1"/>
          <w:u w:color="000000"/>
          <w:lang w:val="en-GB" w:eastAsia="en-GB"/>
        </w:rPr>
      </w:pPr>
    </w:p>
    <w:p w:rsidR="00DE03C3" w:rsidRDefault="007E1FD3">
      <w:pPr>
        <w:pStyle w:val="ListParagraph"/>
        <w:numPr>
          <w:ilvl w:val="0"/>
          <w:numId w:val="2"/>
        </w:numPr>
        <w:jc w:val="both"/>
        <w:rPr>
          <w:rFonts w:ascii="Times New Roman" w:hAnsi="Times New Roman" w:cs="Times New Roman"/>
          <w:b/>
          <w:bCs/>
          <w:noProof/>
          <w:color w:val="000000" w:themeColor="text1"/>
          <w:sz w:val="24"/>
          <w:szCs w:val="24"/>
          <w:lang w:val="en-GB"/>
        </w:rPr>
      </w:pPr>
      <w:r>
        <w:rPr>
          <w:rFonts w:ascii="Times New Roman" w:hAnsi="Times New Roman" w:cs="Times New Roman"/>
          <w:b/>
          <w:bCs/>
          <w:noProof/>
          <w:color w:val="000000" w:themeColor="text1"/>
          <w:sz w:val="24"/>
          <w:szCs w:val="24"/>
          <w:lang w:val="en-GB"/>
        </w:rPr>
        <w:t>…but as foreign investment patterns change, security and public order must be ensured</w:t>
      </w:r>
    </w:p>
    <w:p w:rsidR="00DE03C3" w:rsidRDefault="007E1FD3">
      <w:pPr>
        <w:pStyle w:val="BodyA"/>
        <w:spacing w:after="0"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b/>
          <w:noProof/>
          <w:color w:val="000000" w:themeColor="text1"/>
          <w:sz w:val="24"/>
          <w:szCs w:val="24"/>
          <w:lang w:val="en-GB"/>
        </w:rPr>
        <w:t>EU openness to foreign investment is not going to change</w:t>
      </w:r>
      <w:r>
        <w:rPr>
          <w:rStyle w:val="None"/>
          <w:rFonts w:ascii="Times New Roman" w:hAnsi="Times New Roman"/>
          <w:noProof/>
          <w:color w:val="000000" w:themeColor="text1"/>
          <w:sz w:val="24"/>
          <w:szCs w:val="24"/>
          <w:lang w:val="en-GB"/>
        </w:rPr>
        <w:t xml:space="preserve">. However, it has to be accompanied by vigorous and </w:t>
      </w:r>
      <w:r>
        <w:rPr>
          <w:rStyle w:val="None"/>
          <w:rFonts w:ascii="Times New Roman" w:hAnsi="Times New Roman"/>
          <w:noProof/>
          <w:color w:val="000000" w:themeColor="text1"/>
          <w:sz w:val="24"/>
          <w:szCs w:val="24"/>
          <w:lang w:val="en-GB"/>
        </w:rPr>
        <w:t>appropriate policies to, first, open markets for EU companies in third countries, ensure that everyone plays by the same rules and protect EU investments in third countries, and, second, to protect assets in the EU against takeovers that could be detriment</w:t>
      </w:r>
      <w:r>
        <w:rPr>
          <w:rStyle w:val="None"/>
          <w:rFonts w:ascii="Times New Roman" w:hAnsi="Times New Roman"/>
          <w:noProof/>
          <w:color w:val="000000" w:themeColor="text1"/>
          <w:sz w:val="24"/>
          <w:szCs w:val="24"/>
          <w:lang w:val="en-GB"/>
        </w:rPr>
        <w:t>al to the essential interests of the EU or its Member States.</w:t>
      </w:r>
    </w:p>
    <w:p w:rsidR="00DE03C3" w:rsidRDefault="00DE03C3">
      <w:pPr>
        <w:pStyle w:val="BodyA"/>
        <w:spacing w:after="0" w:line="240" w:lineRule="auto"/>
        <w:jc w:val="both"/>
        <w:rPr>
          <w:rStyle w:val="None"/>
          <w:rFonts w:ascii="Times New Roman" w:hAnsi="Times New Roman"/>
          <w:noProof/>
          <w:color w:val="000000" w:themeColor="text1"/>
          <w:sz w:val="24"/>
          <w:szCs w:val="24"/>
          <w:lang w:val="en-GB"/>
        </w:rPr>
      </w:pPr>
    </w:p>
    <w:p w:rsidR="00DE03C3" w:rsidRDefault="007E1FD3">
      <w:pPr>
        <w:pStyle w:val="BodyA"/>
        <w:spacing w:after="0"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noProof/>
          <w:color w:val="000000" w:themeColor="text1"/>
          <w:sz w:val="24"/>
          <w:szCs w:val="24"/>
          <w:lang w:val="en-GB"/>
        </w:rPr>
        <w:t xml:space="preserve">Foreign investors are increasingly focused on seeking new markets and strategic assets and </w:t>
      </w:r>
      <w:r>
        <w:rPr>
          <w:rStyle w:val="None"/>
          <w:rFonts w:ascii="Times New Roman" w:hAnsi="Times New Roman"/>
          <w:b/>
          <w:noProof/>
          <w:color w:val="000000" w:themeColor="text1"/>
          <w:sz w:val="24"/>
          <w:szCs w:val="24"/>
          <w:lang w:val="en-GB"/>
        </w:rPr>
        <w:t>State-Owned Enterprises play a growing role in the global economy</w:t>
      </w:r>
      <w:r>
        <w:rPr>
          <w:rStyle w:val="None"/>
          <w:rFonts w:ascii="Times New Roman" w:hAnsi="Times New Roman"/>
          <w:noProof/>
          <w:color w:val="000000" w:themeColor="text1"/>
          <w:sz w:val="24"/>
          <w:szCs w:val="24"/>
          <w:lang w:val="en-GB"/>
        </w:rPr>
        <w:t>.</w:t>
      </w:r>
      <w:r>
        <w:rPr>
          <w:rStyle w:val="FootnoteReference"/>
          <w:rFonts w:ascii="Times New Roman" w:hAnsi="Times New Roman"/>
          <w:noProof/>
          <w:color w:val="000000" w:themeColor="text1"/>
          <w:sz w:val="24"/>
          <w:szCs w:val="24"/>
          <w:lang w:val="en-GB"/>
        </w:rPr>
        <w:footnoteReference w:id="13"/>
      </w:r>
      <w:r>
        <w:rPr>
          <w:rStyle w:val="None"/>
          <w:rFonts w:ascii="Times New Roman" w:hAnsi="Times New Roman"/>
          <w:noProof/>
          <w:color w:val="000000" w:themeColor="text1"/>
          <w:sz w:val="24"/>
          <w:szCs w:val="24"/>
          <w:lang w:val="en-GB"/>
        </w:rPr>
        <w:t xml:space="preserve"> In some economies State-owned Enterprisesundertake a significant share of outward foreign direct investment, in some cases as part of a declared government strategy.</w:t>
      </w:r>
      <w:r>
        <w:rPr>
          <w:rStyle w:val="FootnoteReference"/>
          <w:rFonts w:ascii="Times New Roman" w:hAnsi="Times New Roman"/>
          <w:noProof/>
          <w:color w:val="000000" w:themeColor="text1"/>
          <w:sz w:val="24"/>
          <w:szCs w:val="24"/>
          <w:lang w:val="en-GB"/>
        </w:rPr>
        <w:footnoteReference w:id="14"/>
      </w:r>
      <w:r>
        <w:rPr>
          <w:rStyle w:val="None"/>
          <w:rFonts w:ascii="Times New Roman" w:hAnsi="Times New Roman"/>
          <w:noProof/>
          <w:color w:val="000000" w:themeColor="text1"/>
          <w:sz w:val="24"/>
          <w:szCs w:val="24"/>
          <w:lang w:val="en-GB"/>
        </w:rPr>
        <w:t xml:space="preserve"> Beyond direct state ownership in enterprises, we also witness situations whereby certain</w:t>
      </w:r>
      <w:r>
        <w:rPr>
          <w:rStyle w:val="None"/>
          <w:rFonts w:ascii="Times New Roman" w:hAnsi="Times New Roman"/>
          <w:noProof/>
          <w:color w:val="000000" w:themeColor="text1"/>
          <w:sz w:val="24"/>
          <w:szCs w:val="24"/>
          <w:lang w:val="en-GB"/>
        </w:rPr>
        <w:t xml:space="preserve"> companies are directly or indirectly influenced by the state through various means, or where the state facilitates foreign take-overs by national companies, notably through facilitating access to financing below market rates. </w:t>
      </w:r>
    </w:p>
    <w:p w:rsidR="00DE03C3" w:rsidRDefault="00DE03C3">
      <w:pPr>
        <w:pStyle w:val="BodyA"/>
        <w:spacing w:after="0" w:line="240" w:lineRule="auto"/>
        <w:jc w:val="both"/>
        <w:rPr>
          <w:rStyle w:val="None"/>
          <w:rFonts w:ascii="Times New Roman" w:hAnsi="Times New Roman"/>
          <w:noProof/>
          <w:color w:val="000000" w:themeColor="text1"/>
          <w:sz w:val="24"/>
          <w:szCs w:val="24"/>
          <w:lang w:val="en-GB"/>
        </w:rPr>
      </w:pPr>
    </w:p>
    <w:p w:rsidR="00DE03C3" w:rsidRDefault="007E1FD3">
      <w:pPr>
        <w:pStyle w:val="BodyA"/>
        <w:spacing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noProof/>
          <w:color w:val="000000" w:themeColor="text1"/>
          <w:sz w:val="24"/>
          <w:szCs w:val="24"/>
          <w:lang w:val="en-GB"/>
        </w:rPr>
        <w:t>In this context, there is a</w:t>
      </w:r>
      <w:r>
        <w:rPr>
          <w:rStyle w:val="None"/>
          <w:rFonts w:ascii="Times New Roman" w:hAnsi="Times New Roman"/>
          <w:noProof/>
          <w:color w:val="000000" w:themeColor="text1"/>
          <w:sz w:val="24"/>
          <w:szCs w:val="24"/>
          <w:lang w:val="en-GB"/>
        </w:rPr>
        <w:t xml:space="preserve"> risk that in individual cases </w:t>
      </w:r>
      <w:r>
        <w:rPr>
          <w:rStyle w:val="None"/>
          <w:rFonts w:ascii="Times New Roman" w:hAnsi="Times New Roman"/>
          <w:b/>
          <w:noProof/>
          <w:color w:val="000000" w:themeColor="text1"/>
          <w:sz w:val="24"/>
          <w:szCs w:val="24"/>
          <w:lang w:val="en-GB"/>
        </w:rPr>
        <w:t>foreign investors may seek to acquire control of or influence in European undertakings whose activities have repercussions on critical technologies, infrastructure, inputs, or sensitive information</w:t>
      </w:r>
      <w:r>
        <w:rPr>
          <w:rStyle w:val="None"/>
          <w:rFonts w:ascii="Times New Roman" w:hAnsi="Times New Roman"/>
          <w:noProof/>
          <w:color w:val="000000" w:themeColor="text1"/>
          <w:sz w:val="24"/>
          <w:szCs w:val="24"/>
          <w:lang w:val="en-GB"/>
        </w:rPr>
        <w:t>. This risk arises especiall</w:t>
      </w:r>
      <w:r>
        <w:rPr>
          <w:rStyle w:val="None"/>
          <w:rFonts w:ascii="Times New Roman" w:hAnsi="Times New Roman"/>
          <w:noProof/>
          <w:color w:val="000000" w:themeColor="text1"/>
          <w:sz w:val="24"/>
          <w:szCs w:val="24"/>
          <w:lang w:val="en-GB"/>
        </w:rPr>
        <w:t>y but not only when foreign investors are state owned or controlled, including through financing or other means of direction.</w:t>
      </w:r>
      <w:r>
        <w:rPr>
          <w:rStyle w:val="None"/>
          <w:rFonts w:ascii="Times New Roman" w:hAnsi="Times New Roman"/>
          <w:b/>
          <w:noProof/>
          <w:color w:val="000000" w:themeColor="text1"/>
          <w:sz w:val="24"/>
          <w:szCs w:val="24"/>
          <w:lang w:val="en-GB"/>
        </w:rPr>
        <w:t xml:space="preserve"> </w:t>
      </w:r>
      <w:r>
        <w:rPr>
          <w:rStyle w:val="None"/>
          <w:rFonts w:ascii="Times New Roman" w:hAnsi="Times New Roman"/>
          <w:noProof/>
          <w:color w:val="000000" w:themeColor="text1"/>
          <w:sz w:val="24"/>
          <w:szCs w:val="24"/>
          <w:lang w:val="en-GB"/>
        </w:rPr>
        <w:t>Such acquisitions may allow the States in question to use these assets to the detriment not only of the EU's technological edge bu</w:t>
      </w:r>
      <w:r>
        <w:rPr>
          <w:rStyle w:val="None"/>
          <w:rFonts w:ascii="Times New Roman" w:hAnsi="Times New Roman"/>
          <w:noProof/>
          <w:color w:val="000000" w:themeColor="text1"/>
          <w:sz w:val="24"/>
          <w:szCs w:val="24"/>
          <w:lang w:val="en-GB"/>
        </w:rPr>
        <w:t xml:space="preserve">t also its security and public order. </w:t>
      </w:r>
    </w:p>
    <w:p w:rsidR="00DE03C3" w:rsidRDefault="007E1FD3">
      <w:pPr>
        <w:pStyle w:val="BodyA"/>
        <w:spacing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b/>
          <w:noProof/>
          <w:color w:val="000000" w:themeColor="text1"/>
          <w:sz w:val="24"/>
          <w:szCs w:val="24"/>
          <w:lang w:val="en-GB"/>
        </w:rPr>
        <w:t xml:space="preserve">Several of the EU's key international partners have established and operate </w:t>
      </w:r>
      <w:r>
        <w:rPr>
          <w:rStyle w:val="None"/>
          <w:rFonts w:ascii="Times New Roman" w:hAnsi="Times New Roman"/>
          <w:b/>
          <w:noProof/>
          <w:color w:val="000000" w:themeColor="text1"/>
          <w:sz w:val="24"/>
          <w:szCs w:val="24"/>
          <w:u w:color="FF0000"/>
          <w:lang w:val="en-GB"/>
        </w:rPr>
        <w:t>foreign direct investment</w:t>
      </w:r>
      <w:r>
        <w:rPr>
          <w:rStyle w:val="None"/>
          <w:rFonts w:ascii="Times New Roman" w:hAnsi="Times New Roman"/>
          <w:b/>
          <w:noProof/>
          <w:color w:val="000000" w:themeColor="text1"/>
          <w:sz w:val="24"/>
          <w:szCs w:val="24"/>
          <w:lang w:val="en-GB"/>
        </w:rPr>
        <w:t xml:space="preserve"> screening mechanisms</w:t>
      </w:r>
      <w:r>
        <w:rPr>
          <w:rStyle w:val="None"/>
          <w:rFonts w:ascii="Times New Roman" w:hAnsi="Times New Roman"/>
          <w:noProof/>
          <w:color w:val="000000" w:themeColor="text1"/>
          <w:sz w:val="24"/>
          <w:szCs w:val="24"/>
          <w:lang w:val="en-GB"/>
        </w:rPr>
        <w:t xml:space="preserve">, in order to address these types of concerns. These include Australia, Canada, </w:t>
      </w:r>
      <w:r>
        <w:rPr>
          <w:rStyle w:val="None"/>
          <w:rFonts w:ascii="Times New Roman" w:hAnsi="Times New Roman"/>
          <w:noProof/>
          <w:color w:val="auto"/>
          <w:sz w:val="24"/>
          <w:szCs w:val="24"/>
          <w:lang w:val="en-GB"/>
        </w:rPr>
        <w:t xml:space="preserve">China, India, </w:t>
      </w:r>
      <w:r>
        <w:rPr>
          <w:rStyle w:val="None"/>
          <w:rFonts w:ascii="Times New Roman" w:hAnsi="Times New Roman"/>
          <w:noProof/>
          <w:color w:val="000000" w:themeColor="text1"/>
          <w:sz w:val="24"/>
          <w:szCs w:val="24"/>
          <w:lang w:val="en-GB"/>
        </w:rPr>
        <w:t>J</w:t>
      </w:r>
      <w:r>
        <w:rPr>
          <w:rStyle w:val="None"/>
          <w:rFonts w:ascii="Times New Roman" w:hAnsi="Times New Roman"/>
          <w:noProof/>
          <w:color w:val="000000" w:themeColor="text1"/>
          <w:sz w:val="24"/>
          <w:szCs w:val="24"/>
          <w:lang w:val="en-GB"/>
        </w:rPr>
        <w:t>apan and the United States.</w:t>
      </w:r>
    </w:p>
    <w:tbl>
      <w:tblPr>
        <w:tblStyle w:val="TableGrid"/>
        <w:tblW w:w="0" w:type="auto"/>
        <w:tblLook w:val="04A0" w:firstRow="1" w:lastRow="0" w:firstColumn="1" w:lastColumn="0" w:noHBand="0" w:noVBand="1"/>
      </w:tblPr>
      <w:tblGrid>
        <w:gridCol w:w="9282"/>
      </w:tblGrid>
      <w:tr w:rsidR="00DE03C3">
        <w:tc>
          <w:tcPr>
            <w:tcW w:w="9282" w:type="dxa"/>
          </w:tcPr>
          <w:p w:rsidR="00DE03C3" w:rsidRDefault="007E1FD3">
            <w:pPr>
              <w:pStyle w:val="BodyA"/>
              <w:spacing w:line="240" w:lineRule="auto"/>
              <w:jc w:val="both"/>
              <w:rPr>
                <w:rStyle w:val="None"/>
                <w:rFonts w:ascii="Times New Roman" w:hAnsi="Times New Roman"/>
                <w:b/>
                <w:noProof/>
                <w:color w:val="000000" w:themeColor="text1"/>
                <w:sz w:val="24"/>
                <w:szCs w:val="24"/>
                <w:lang w:val="en-GB"/>
              </w:rPr>
            </w:pPr>
            <w:r>
              <w:rPr>
                <w:rStyle w:val="None"/>
                <w:rFonts w:ascii="Times New Roman" w:hAnsi="Times New Roman"/>
                <w:b/>
                <w:noProof/>
                <w:color w:val="000000" w:themeColor="text1"/>
                <w:sz w:val="24"/>
                <w:szCs w:val="24"/>
                <w:lang w:val="en-GB"/>
              </w:rPr>
              <w:t xml:space="preserve">Examples of foreign direct investment screenings </w:t>
            </w:r>
          </w:p>
          <w:p w:rsidR="00DE03C3" w:rsidRDefault="007E1FD3">
            <w:pPr>
              <w:pStyle w:val="BodyA"/>
              <w:spacing w:after="0" w:line="240" w:lineRule="auto"/>
              <w:jc w:val="both"/>
              <w:rPr>
                <w:rStyle w:val="None"/>
                <w:rFonts w:ascii="Times New Roman" w:hAnsi="Times New Roman"/>
                <w:b/>
                <w:noProof/>
                <w:color w:val="000000" w:themeColor="text1"/>
                <w:sz w:val="24"/>
                <w:szCs w:val="24"/>
                <w:u w:val="single"/>
                <w:lang w:val="en-GB"/>
              </w:rPr>
            </w:pPr>
            <w:r>
              <w:rPr>
                <w:rStyle w:val="None"/>
                <w:rFonts w:ascii="Times New Roman" w:hAnsi="Times New Roman"/>
                <w:b/>
                <w:noProof/>
                <w:color w:val="000000" w:themeColor="text1"/>
                <w:sz w:val="24"/>
                <w:szCs w:val="24"/>
                <w:u w:val="single"/>
                <w:lang w:val="en-GB"/>
              </w:rPr>
              <w:t>United States</w:t>
            </w:r>
          </w:p>
          <w:p w:rsidR="00DE03C3" w:rsidRDefault="007E1FD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noProof/>
                <w:color w:val="000000" w:themeColor="text1"/>
                <w:sz w:val="24"/>
                <w:szCs w:val="24"/>
                <w:lang w:val="en-GB"/>
              </w:rPr>
              <w:t xml:space="preserve">Since 1975, the Committee on Foreign Investment in the US (CFIUS) monitors and screens transactions that could result in control of a US business by a foreign </w:t>
            </w:r>
            <w:r>
              <w:rPr>
                <w:rStyle w:val="None"/>
                <w:rFonts w:ascii="Times New Roman" w:hAnsi="Times New Roman"/>
                <w:noProof/>
                <w:color w:val="000000" w:themeColor="text1"/>
                <w:sz w:val="24"/>
                <w:szCs w:val="24"/>
                <w:lang w:val="en-GB"/>
              </w:rPr>
              <w:t>person in order to determine the effect of such transactions on national security. As an inter-agency service, CFIUS has the authority to formally review foreign direct investments, while the Foreign Investment and National Security Act of 2007 also requir</w:t>
            </w:r>
            <w:r>
              <w:rPr>
                <w:rStyle w:val="None"/>
                <w:rFonts w:ascii="Times New Roman" w:hAnsi="Times New Roman"/>
                <w:noProof/>
                <w:color w:val="000000" w:themeColor="text1"/>
                <w:sz w:val="24"/>
                <w:szCs w:val="24"/>
                <w:lang w:val="en-GB"/>
              </w:rPr>
              <w:t>es heightened scrutiny of foreign government-controlled transactions. Between 2009 and 2014, CFIUS received 627 notices of proposed acquisitions of US companies by foreign firms, formally investigating around 40% of this total: of these 244 investigated tr</w:t>
            </w:r>
            <w:r>
              <w:rPr>
                <w:rStyle w:val="None"/>
                <w:rFonts w:ascii="Times New Roman" w:hAnsi="Times New Roman"/>
                <w:noProof/>
                <w:color w:val="000000" w:themeColor="text1"/>
                <w:sz w:val="24"/>
                <w:szCs w:val="24"/>
                <w:lang w:val="en-GB"/>
              </w:rPr>
              <w:t>ansactions, 47 (or around 7% of screened deals) were cancelled by the companies involved during the investigation period and one was cancelled by Presidential decision after the CFIUS investigation.</w:t>
            </w:r>
          </w:p>
          <w:p w:rsidR="00DE03C3" w:rsidRDefault="007E1FD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i/>
                <w:noProof/>
                <w:color w:val="000000" w:themeColor="text1"/>
                <w:sz w:val="20"/>
                <w:szCs w:val="20"/>
                <w:lang w:val="fr-FR"/>
              </w:rPr>
            </w:pPr>
            <w:r>
              <w:rPr>
                <w:rStyle w:val="None"/>
                <w:rFonts w:ascii="Times New Roman" w:hAnsi="Times New Roman"/>
                <w:i/>
                <w:noProof/>
                <w:color w:val="000000" w:themeColor="text1"/>
                <w:sz w:val="20"/>
                <w:szCs w:val="20"/>
                <w:lang w:val="fr-FR"/>
              </w:rPr>
              <w:t xml:space="preserve">Source: </w:t>
            </w:r>
            <w:hyperlink r:id="rId18" w:history="1">
              <w:r>
                <w:rPr>
                  <w:rStyle w:val="Hyperlink"/>
                  <w:rFonts w:ascii="Times New Roman" w:hAnsi="Times New Roman"/>
                  <w:i/>
                  <w:noProof/>
                  <w:sz w:val="20"/>
                  <w:szCs w:val="20"/>
                  <w:lang w:val="fr-FR"/>
                </w:rPr>
                <w:t>www.treasury.gov/resource-center/international/Pages/Committee-on-Foreign-Investment-in-US.aspx</w:t>
              </w:r>
            </w:hyperlink>
          </w:p>
          <w:p w:rsidR="00DE03C3" w:rsidRDefault="007E1FD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i/>
                <w:noProof/>
                <w:color w:val="000000" w:themeColor="text1"/>
                <w:sz w:val="20"/>
                <w:szCs w:val="20"/>
                <w:lang w:val="fr-FR"/>
              </w:rPr>
            </w:pPr>
            <w:r>
              <w:fldChar w:fldCharType="begin"/>
            </w:r>
            <w:r>
              <w:rPr>
                <w:noProof/>
                <w:lang w:val="fr-FR"/>
              </w:rPr>
              <w:instrText>www.treasury.gov/resource-center/international/Pages/Committee-on-Foreign-Investment-in-US</w:instrText>
            </w:r>
            <w:r>
              <w:rPr>
                <w:noProof/>
                <w:lang w:val="fr-FR"/>
              </w:rPr>
              <w:instrText xml:space="preserve">.aspx" </w:instrText>
            </w:r>
            <w:r>
              <w:fldChar w:fldCharType="separate"/>
            </w:r>
            <w:r>
              <w:rPr>
                <w:rStyle w:val="Hyperlink"/>
                <w:rFonts w:ascii="Times New Roman" w:hAnsi="Times New Roman"/>
                <w:i/>
                <w:noProof/>
                <w:sz w:val="20"/>
                <w:szCs w:val="20"/>
                <w:u w:val="none"/>
                <w:lang w:val="fr-FR"/>
              </w:rPr>
              <w:t>www.treasury.gov/resource-center/international/Pages/Committee-on-Foreign-Investment-in-US.aspx</w:t>
            </w:r>
            <w:r>
              <w:rPr>
                <w:rStyle w:val="Hyperlink"/>
                <w:rFonts w:ascii="Times New Roman" w:hAnsi="Times New Roman"/>
                <w:i/>
                <w:noProof/>
                <w:sz w:val="20"/>
                <w:szCs w:val="20"/>
                <w:u w:val="none"/>
                <w:lang w:val="fr-FR"/>
              </w:rPr>
              <w:fldChar w:fldCharType="end"/>
            </w:r>
          </w:p>
          <w:p w:rsidR="00DE03C3" w:rsidRDefault="007E1FD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340"/>
              </w:tabs>
              <w:spacing w:after="0" w:line="240" w:lineRule="auto"/>
              <w:jc w:val="both"/>
              <w:rPr>
                <w:rStyle w:val="None"/>
                <w:rFonts w:ascii="Times New Roman" w:hAnsi="Times New Roman"/>
                <w:b/>
                <w:noProof/>
                <w:color w:val="000000" w:themeColor="text1"/>
                <w:sz w:val="24"/>
                <w:szCs w:val="24"/>
                <w:u w:val="single"/>
                <w:lang w:val="en-GB"/>
              </w:rPr>
            </w:pPr>
            <w:r>
              <w:rPr>
                <w:rStyle w:val="None"/>
                <w:rFonts w:ascii="Times New Roman" w:hAnsi="Times New Roman"/>
                <w:b/>
                <w:noProof/>
                <w:color w:val="000000" w:themeColor="text1"/>
                <w:sz w:val="24"/>
                <w:szCs w:val="24"/>
                <w:u w:val="single"/>
                <w:lang w:val="en-GB"/>
              </w:rPr>
              <w:t>Australia</w:t>
            </w:r>
          </w:p>
          <w:p w:rsidR="00DE03C3" w:rsidRDefault="007E1FD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noProof/>
                <w:color w:val="000000" w:themeColor="text1"/>
                <w:sz w:val="24"/>
                <w:szCs w:val="24"/>
                <w:lang w:val="en-GB"/>
              </w:rPr>
              <w:t>Under the 1975 Foreign Acquisitions and Take-Over Act certain proposed foreign investments have to be notified and must receive an approval (a no-objections notification) before they can proceed. The screening, conducted by the Treasurer (Minister responsi</w:t>
            </w:r>
            <w:r>
              <w:rPr>
                <w:rStyle w:val="None"/>
                <w:rFonts w:ascii="Times New Roman" w:hAnsi="Times New Roman"/>
                <w:noProof/>
                <w:color w:val="000000" w:themeColor="text1"/>
                <w:sz w:val="24"/>
                <w:szCs w:val="24"/>
                <w:lang w:val="en-GB"/>
              </w:rPr>
              <w:t>ble for government expenditure) advised by the Foreign Investment Review Board, is based on a national interest test. Sectors identified as sensitive in this context include media, telecom, transport, defence related industries, and the extraction of urani</w:t>
            </w:r>
            <w:r>
              <w:rPr>
                <w:rStyle w:val="None"/>
                <w:rFonts w:ascii="Times New Roman" w:hAnsi="Times New Roman"/>
                <w:noProof/>
                <w:color w:val="000000" w:themeColor="text1"/>
                <w:sz w:val="24"/>
                <w:szCs w:val="24"/>
                <w:lang w:val="en-GB"/>
              </w:rPr>
              <w:t xml:space="preserve">um and plutonium as well as nuclear facilities. Notification requirements vary depending on, </w:t>
            </w:r>
            <w:r>
              <w:rPr>
                <w:rStyle w:val="None"/>
                <w:rFonts w:ascii="Times New Roman" w:hAnsi="Times New Roman"/>
                <w:i/>
                <w:noProof/>
                <w:color w:val="000000" w:themeColor="text1"/>
                <w:sz w:val="24"/>
                <w:szCs w:val="24"/>
                <w:lang w:val="en-GB"/>
              </w:rPr>
              <w:t>inter alia</w:t>
            </w:r>
            <w:r>
              <w:rPr>
                <w:rStyle w:val="None"/>
                <w:rFonts w:ascii="Times New Roman" w:hAnsi="Times New Roman"/>
                <w:noProof/>
                <w:color w:val="000000" w:themeColor="text1"/>
                <w:sz w:val="24"/>
                <w:szCs w:val="24"/>
                <w:lang w:val="en-GB"/>
              </w:rPr>
              <w:t xml:space="preserve">, the sector, the type and value of the acquisition, free trade agreements and whether the investor is private or government.  </w:t>
            </w:r>
          </w:p>
          <w:p w:rsidR="00DE03C3" w:rsidRDefault="007E1FD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i/>
                <w:noProof/>
                <w:color w:val="000000" w:themeColor="text1"/>
                <w:sz w:val="20"/>
                <w:szCs w:val="20"/>
                <w:lang w:val="en-GB"/>
              </w:rPr>
              <w:t>Source: firb.gov.au</w:t>
            </w:r>
          </w:p>
        </w:tc>
      </w:tr>
    </w:tbl>
    <w:p w:rsidR="00DE03C3" w:rsidRDefault="00DE03C3">
      <w:pPr>
        <w:rPr>
          <w:rStyle w:val="None"/>
          <w:b/>
          <w:noProof/>
          <w:color w:val="000000" w:themeColor="text1"/>
          <w:lang w:val="en-GB"/>
        </w:rPr>
      </w:pPr>
    </w:p>
    <w:p w:rsidR="00DE03C3" w:rsidRDefault="00DE03C3">
      <w:pPr>
        <w:rPr>
          <w:rStyle w:val="None"/>
          <w:b/>
          <w:noProof/>
          <w:color w:val="000000" w:themeColor="text1"/>
          <w:lang w:val="en-GB"/>
        </w:rPr>
      </w:pPr>
    </w:p>
    <w:p w:rsidR="00DE03C3" w:rsidRDefault="007E1FD3">
      <w:pPr>
        <w:pStyle w:val="ListParagraph"/>
        <w:numPr>
          <w:ilvl w:val="0"/>
          <w:numId w:val="2"/>
        </w:numPr>
        <w:jc w:val="both"/>
        <w:rPr>
          <w:rFonts w:ascii="Times New Roman" w:hAnsi="Times New Roman"/>
          <w:b/>
          <w:bCs/>
          <w:noProof/>
          <w:color w:val="000000" w:themeColor="text1"/>
          <w:sz w:val="24"/>
          <w:szCs w:val="24"/>
          <w:lang w:val="en-GB"/>
        </w:rPr>
      </w:pPr>
      <w:r>
        <w:rPr>
          <w:rFonts w:ascii="Times New Roman" w:hAnsi="Times New Roman"/>
          <w:b/>
          <w:bCs/>
          <w:noProof/>
          <w:sz w:val="24"/>
          <w:szCs w:val="24"/>
          <w:lang w:val="en-GB"/>
        </w:rPr>
        <w:t xml:space="preserve">EU trade and investment policy as a driver </w:t>
      </w:r>
      <w:r>
        <w:rPr>
          <w:rFonts w:ascii="Times New Roman" w:hAnsi="Times New Roman"/>
          <w:b/>
          <w:bCs/>
          <w:noProof/>
          <w:color w:val="000000" w:themeColor="text1"/>
          <w:sz w:val="24"/>
          <w:szCs w:val="24"/>
          <w:lang w:val="en-GB"/>
        </w:rPr>
        <w:t>for an open and fair investment order</w:t>
      </w:r>
    </w:p>
    <w:p w:rsidR="00DE03C3" w:rsidRDefault="007E1FD3">
      <w:pPr>
        <w:pStyle w:val="BodyA"/>
        <w:spacing w:line="240" w:lineRule="auto"/>
        <w:jc w:val="both"/>
        <w:rPr>
          <w:rStyle w:val="None"/>
          <w:rFonts w:ascii="Times New Roman" w:hAnsi="Times New Roman"/>
          <w:noProof/>
          <w:color w:val="000000" w:themeColor="text1"/>
          <w:sz w:val="24"/>
          <w:szCs w:val="24"/>
          <w:lang w:val="en-GB"/>
        </w:rPr>
      </w:pPr>
      <w:r>
        <w:rPr>
          <w:rStyle w:val="None"/>
          <w:rFonts w:ascii="Times New Roman" w:eastAsia="Times New Roman" w:hAnsi="Times New Roman" w:cs="Times New Roman"/>
          <w:noProof/>
          <w:color w:val="000000" w:themeColor="text1"/>
          <w:sz w:val="24"/>
          <w:szCs w:val="24"/>
          <w:lang w:val="en-GB"/>
        </w:rPr>
        <w:t xml:space="preserve">Many countries still maintain significant barriers to foreign investment and do not offer comparable investment conditions to EU operators. </w:t>
      </w:r>
      <w:r>
        <w:rPr>
          <w:rStyle w:val="None"/>
          <w:rFonts w:ascii="Times New Roman" w:hAnsi="Times New Roman"/>
          <w:noProof/>
          <w:color w:val="000000" w:themeColor="text1"/>
          <w:sz w:val="24"/>
          <w:szCs w:val="24"/>
          <w:lang w:val="en-GB"/>
        </w:rPr>
        <w:t xml:space="preserve">While progress has been made in </w:t>
      </w:r>
      <w:r>
        <w:rPr>
          <w:rStyle w:val="None"/>
          <w:rFonts w:ascii="Times New Roman" w:hAnsi="Times New Roman"/>
          <w:noProof/>
          <w:color w:val="000000" w:themeColor="text1"/>
          <w:sz w:val="24"/>
          <w:szCs w:val="24"/>
          <w:lang w:val="en-GB"/>
        </w:rPr>
        <w:t>liberalising investment, the number of new restrictive measures has recently risen again.</w:t>
      </w:r>
      <w:r>
        <w:rPr>
          <w:rStyle w:val="None"/>
          <w:rFonts w:ascii="Times New Roman" w:hAnsi="Times New Roman"/>
          <w:noProof/>
          <w:color w:val="000000" w:themeColor="text1"/>
          <w:sz w:val="24"/>
          <w:szCs w:val="24"/>
          <w:vertAlign w:val="superscript"/>
          <w:lang w:val="en-GB"/>
        </w:rPr>
        <w:footnoteReference w:id="15"/>
      </w:r>
      <w:r>
        <w:rPr>
          <w:rStyle w:val="None"/>
          <w:rFonts w:ascii="Times New Roman" w:hAnsi="Times New Roman"/>
          <w:noProof/>
          <w:color w:val="000000" w:themeColor="text1"/>
          <w:sz w:val="24"/>
          <w:szCs w:val="24"/>
          <w:lang w:val="en-GB"/>
        </w:rPr>
        <w:t xml:space="preserve"> </w:t>
      </w:r>
    </w:p>
    <w:p w:rsidR="00DE03C3" w:rsidRDefault="007E1FD3">
      <w:pPr>
        <w:pStyle w:val="BodyA"/>
        <w:spacing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noProof/>
          <w:color w:val="000000" w:themeColor="text1"/>
          <w:sz w:val="24"/>
          <w:szCs w:val="24"/>
          <w:lang w:val="en-GB"/>
        </w:rPr>
        <w:t xml:space="preserve">The establishment of a level playing field with third countries with regard to investment conditions is paramount. </w:t>
      </w:r>
      <w:r>
        <w:rPr>
          <w:rStyle w:val="None"/>
          <w:rFonts w:ascii="Times New Roman" w:hAnsi="Times New Roman"/>
          <w:b/>
          <w:noProof/>
          <w:color w:val="000000" w:themeColor="text1"/>
          <w:sz w:val="24"/>
          <w:szCs w:val="24"/>
          <w:lang w:val="en-GB"/>
        </w:rPr>
        <w:t>The EU's trade and investment policy</w:t>
      </w:r>
      <w:r>
        <w:rPr>
          <w:rStyle w:val="None"/>
          <w:rFonts w:ascii="Times New Roman" w:eastAsia="Times New Roman" w:hAnsi="Times New Roman" w:cs="Times New Roman"/>
          <w:b/>
          <w:noProof/>
          <w:color w:val="000000" w:themeColor="text1"/>
          <w:sz w:val="24"/>
          <w:szCs w:val="24"/>
          <w:vertAlign w:val="superscript"/>
          <w:lang w:val="en-GB"/>
        </w:rPr>
        <w:footnoteReference w:id="16"/>
      </w:r>
      <w:r>
        <w:rPr>
          <w:rStyle w:val="None"/>
          <w:rFonts w:ascii="Times New Roman" w:hAnsi="Times New Roman"/>
          <w:b/>
          <w:noProof/>
          <w:color w:val="000000" w:themeColor="text1"/>
          <w:sz w:val="24"/>
          <w:szCs w:val="24"/>
          <w:lang w:val="en-GB"/>
        </w:rPr>
        <w:t xml:space="preserve"> is the most appropriate tool to ensure that third countries offer a level of openness for foreign investment equivalent to that of the EU</w:t>
      </w:r>
      <w:r>
        <w:rPr>
          <w:rStyle w:val="None"/>
          <w:rFonts w:ascii="Times New Roman" w:hAnsi="Times New Roman"/>
          <w:noProof/>
          <w:color w:val="000000" w:themeColor="text1"/>
          <w:sz w:val="24"/>
          <w:szCs w:val="24"/>
          <w:lang w:val="en-GB"/>
        </w:rPr>
        <w:t xml:space="preserve"> and to promote a level playing field for EU operators. </w:t>
      </w:r>
    </w:p>
    <w:p w:rsidR="00DE03C3" w:rsidRDefault="007E1FD3">
      <w:pPr>
        <w:pStyle w:val="BodyA"/>
        <w:spacing w:after="120" w:line="240" w:lineRule="auto"/>
        <w:jc w:val="both"/>
        <w:rPr>
          <w:rStyle w:val="None"/>
          <w:rFonts w:ascii="Times New Roman" w:eastAsia="Times New Roman" w:hAnsi="Times New Roman" w:cs="Times New Roman"/>
          <w:noProof/>
          <w:color w:val="000000" w:themeColor="text1"/>
          <w:sz w:val="24"/>
          <w:szCs w:val="24"/>
          <w:lang w:val="en-GB"/>
        </w:rPr>
      </w:pPr>
      <w:r>
        <w:rPr>
          <w:rStyle w:val="None"/>
          <w:rFonts w:ascii="Times New Roman" w:hAnsi="Times New Roman"/>
          <w:noProof/>
          <w:color w:val="000000" w:themeColor="text1"/>
          <w:sz w:val="24"/>
          <w:szCs w:val="24"/>
          <w:lang w:val="en-GB"/>
        </w:rPr>
        <w:t xml:space="preserve">The EU </w:t>
      </w:r>
      <w:r>
        <w:rPr>
          <w:rStyle w:val="None"/>
          <w:rFonts w:ascii="Times New Roman" w:hAnsi="Times New Roman"/>
          <w:noProof/>
          <w:color w:val="000000" w:themeColor="text1"/>
          <w:sz w:val="24"/>
          <w:szCs w:val="24"/>
          <w:u w:color="FF2600"/>
          <w:lang w:val="en-GB"/>
        </w:rPr>
        <w:t xml:space="preserve">is pursuing </w:t>
      </w:r>
      <w:r>
        <w:rPr>
          <w:rStyle w:val="None"/>
          <w:rFonts w:ascii="Times New Roman" w:hAnsi="Times New Roman"/>
          <w:b/>
          <w:noProof/>
          <w:color w:val="000000" w:themeColor="text1"/>
          <w:sz w:val="24"/>
          <w:szCs w:val="24"/>
          <w:lang w:val="en-GB"/>
        </w:rPr>
        <w:t>bilateral or regional agreements encompass</w:t>
      </w:r>
      <w:r>
        <w:rPr>
          <w:rStyle w:val="None"/>
          <w:rFonts w:ascii="Times New Roman" w:hAnsi="Times New Roman"/>
          <w:b/>
          <w:noProof/>
          <w:color w:val="000000" w:themeColor="text1"/>
          <w:sz w:val="24"/>
          <w:szCs w:val="24"/>
          <w:lang w:val="en-GB"/>
        </w:rPr>
        <w:t>ing binding rules and commitments on</w:t>
      </w:r>
      <w:r>
        <w:rPr>
          <w:rStyle w:val="None"/>
          <w:rFonts w:ascii="Times New Roman" w:hAnsi="Times New Roman"/>
          <w:b/>
          <w:noProof/>
          <w:color w:val="000000" w:themeColor="text1"/>
          <w:sz w:val="24"/>
          <w:szCs w:val="24"/>
          <w:u w:color="FF2600"/>
          <w:lang w:val="en-GB"/>
        </w:rPr>
        <w:t xml:space="preserve"> foreign investment</w:t>
      </w:r>
      <w:r>
        <w:rPr>
          <w:rStyle w:val="None"/>
          <w:rFonts w:ascii="Times New Roman" w:hAnsi="Times New Roman"/>
          <w:noProof/>
          <w:color w:val="000000" w:themeColor="text1"/>
          <w:sz w:val="24"/>
          <w:szCs w:val="24"/>
          <w:u w:color="FF2600"/>
          <w:lang w:val="en-GB"/>
        </w:rPr>
        <w:t xml:space="preserve">, notably </w:t>
      </w:r>
      <w:r>
        <w:rPr>
          <w:rStyle w:val="None"/>
          <w:rFonts w:ascii="Times New Roman" w:hAnsi="Times New Roman"/>
          <w:noProof/>
          <w:color w:val="000000" w:themeColor="text1"/>
          <w:sz w:val="24"/>
          <w:szCs w:val="24"/>
          <w:lang w:val="en-GB"/>
        </w:rPr>
        <w:t>foreign direct investment, with a wide range of partners.</w:t>
      </w:r>
      <w:r>
        <w:rPr>
          <w:rStyle w:val="FootnoteReference"/>
          <w:rFonts w:ascii="Times New Roman" w:hAnsi="Times New Roman"/>
          <w:noProof/>
          <w:color w:val="000000" w:themeColor="text1"/>
          <w:sz w:val="24"/>
          <w:szCs w:val="24"/>
          <w:lang w:val="en-GB"/>
        </w:rPr>
        <w:footnoteReference w:id="17"/>
      </w:r>
      <w:r>
        <w:rPr>
          <w:rStyle w:val="None"/>
          <w:rFonts w:ascii="Times New Roman" w:hAnsi="Times New Roman"/>
          <w:noProof/>
          <w:color w:val="000000" w:themeColor="text1"/>
          <w:sz w:val="24"/>
          <w:szCs w:val="24"/>
          <w:u w:color="FF2600"/>
          <w:lang w:val="en-GB"/>
        </w:rPr>
        <w:t xml:space="preserve"> These agreements ensure in particular that EU investors benefit from a clearer legal framework and better access to foreign markets.</w:t>
      </w:r>
      <w:r>
        <w:rPr>
          <w:rStyle w:val="None"/>
          <w:rFonts w:ascii="Times New Roman" w:hAnsi="Times New Roman"/>
          <w:noProof/>
          <w:color w:val="000000" w:themeColor="text1"/>
          <w:sz w:val="24"/>
          <w:szCs w:val="24"/>
          <w:u w:color="FF2600"/>
          <w:lang w:val="en-GB"/>
        </w:rPr>
        <w:t xml:space="preserve"> Moreover, the Commission seeks provisions to safeguard intellectual property, increase transparency and limit particularly trade-distortive subsidisation, and discipline the behaviour of state-owned enterprises. The key achievements in ensuring a more ope</w:t>
      </w:r>
      <w:r>
        <w:rPr>
          <w:rStyle w:val="None"/>
          <w:rFonts w:ascii="Times New Roman" w:hAnsi="Times New Roman"/>
          <w:noProof/>
          <w:color w:val="000000" w:themeColor="text1"/>
          <w:sz w:val="24"/>
          <w:szCs w:val="24"/>
          <w:u w:color="FF2600"/>
          <w:lang w:val="en-GB"/>
        </w:rPr>
        <w:t>n, fair and rules-based trade and investment environment are highlighted in the Commission's Communication "A Modern Trade Policy to Harness Globalisation" and a Report on the implementation of the EU trade strategy "</w:t>
      </w:r>
      <w:r>
        <w:rPr>
          <w:rStyle w:val="None"/>
          <w:rFonts w:ascii="Times New Roman" w:hAnsi="Times New Roman"/>
          <w:i/>
          <w:noProof/>
          <w:color w:val="000000" w:themeColor="text1"/>
          <w:sz w:val="24"/>
          <w:szCs w:val="24"/>
          <w:u w:color="FF2600"/>
          <w:lang w:val="en-GB"/>
        </w:rPr>
        <w:t>Trade for All</w:t>
      </w:r>
      <w:r>
        <w:rPr>
          <w:rStyle w:val="None"/>
          <w:rFonts w:ascii="Times New Roman" w:hAnsi="Times New Roman"/>
          <w:noProof/>
          <w:color w:val="000000" w:themeColor="text1"/>
          <w:sz w:val="24"/>
          <w:szCs w:val="24"/>
          <w:u w:color="FF2600"/>
          <w:lang w:val="en-GB"/>
        </w:rPr>
        <w:t>" which were adopted along</w:t>
      </w:r>
      <w:r>
        <w:rPr>
          <w:rStyle w:val="None"/>
          <w:rFonts w:ascii="Times New Roman" w:hAnsi="Times New Roman"/>
          <w:noProof/>
          <w:color w:val="000000" w:themeColor="text1"/>
          <w:sz w:val="24"/>
          <w:szCs w:val="24"/>
          <w:u w:color="FF2600"/>
          <w:lang w:val="en-GB"/>
        </w:rPr>
        <w:t xml:space="preserve">side the present Communication. </w:t>
      </w:r>
    </w:p>
    <w:p w:rsidR="00DE03C3" w:rsidRDefault="007E1FD3">
      <w:pPr>
        <w:pStyle w:val="BodyA"/>
        <w:spacing w:after="0" w:line="240" w:lineRule="auto"/>
        <w:jc w:val="both"/>
        <w:rPr>
          <w:rStyle w:val="None"/>
          <w:rFonts w:ascii="Times New Roman" w:hAnsi="Times New Roman"/>
          <w:noProof/>
          <w:color w:val="000000" w:themeColor="text1"/>
          <w:sz w:val="24"/>
          <w:szCs w:val="24"/>
          <w:u w:color="FF0000"/>
          <w:lang w:val="en-GB"/>
        </w:rPr>
      </w:pPr>
      <w:r>
        <w:rPr>
          <w:rStyle w:val="None"/>
          <w:rFonts w:ascii="Times New Roman" w:hAnsi="Times New Roman"/>
          <w:noProof/>
          <w:color w:val="000000" w:themeColor="text1"/>
          <w:sz w:val="24"/>
          <w:szCs w:val="24"/>
          <w:u w:color="FF2600"/>
          <w:lang w:val="en-GB"/>
        </w:rPr>
        <w:t xml:space="preserve">Also in this context, the EU attaches utmost importance to </w:t>
      </w:r>
      <w:r>
        <w:rPr>
          <w:rStyle w:val="None"/>
          <w:rFonts w:ascii="Times New Roman" w:hAnsi="Times New Roman"/>
          <w:b/>
          <w:noProof/>
          <w:color w:val="000000" w:themeColor="text1"/>
          <w:sz w:val="24"/>
          <w:szCs w:val="24"/>
          <w:lang w:val="en-GB"/>
        </w:rPr>
        <w:t>multilateral cooperation and rule making</w:t>
      </w:r>
      <w:r>
        <w:rPr>
          <w:rStyle w:val="None"/>
          <w:rFonts w:ascii="Times New Roman" w:hAnsi="Times New Roman"/>
          <w:noProof/>
          <w:color w:val="000000" w:themeColor="text1"/>
          <w:sz w:val="24"/>
          <w:szCs w:val="24"/>
          <w:lang w:val="en-GB"/>
        </w:rPr>
        <w:t xml:space="preserve">. The World Trade Organisation's General Agreement on Trade in Services (GATS) contains detailed rules on the establishment of foreign services providers, covering market access as well as non-discrimination commitments, and rules on the liberalisation of </w:t>
      </w:r>
      <w:r>
        <w:rPr>
          <w:rStyle w:val="None"/>
          <w:rFonts w:ascii="Times New Roman" w:hAnsi="Times New Roman"/>
          <w:noProof/>
          <w:color w:val="000000" w:themeColor="text1"/>
          <w:sz w:val="24"/>
          <w:szCs w:val="24"/>
          <w:lang w:val="en-GB"/>
        </w:rPr>
        <w:t xml:space="preserve">capital movements exist under </w:t>
      </w:r>
      <w:r>
        <w:rPr>
          <w:rStyle w:val="None"/>
          <w:rFonts w:ascii="Times New Roman" w:hAnsi="Times New Roman"/>
          <w:noProof/>
          <w:color w:val="000000" w:themeColor="text1"/>
          <w:sz w:val="24"/>
          <w:szCs w:val="24"/>
          <w:u w:color="FF0000"/>
          <w:lang w:val="en-GB"/>
        </w:rPr>
        <w:t>the Code of Liberalisation of Capital Movements of the Organisation for Economic Cooperation and Development (OECD).</w:t>
      </w:r>
    </w:p>
    <w:p w:rsidR="00DE03C3" w:rsidRDefault="00DE03C3">
      <w:pPr>
        <w:pStyle w:val="BodyA"/>
        <w:spacing w:after="0" w:line="240" w:lineRule="auto"/>
        <w:jc w:val="both"/>
        <w:rPr>
          <w:rStyle w:val="None"/>
          <w:rFonts w:ascii="Times New Roman" w:hAnsi="Times New Roman"/>
          <w:noProof/>
          <w:color w:val="000000" w:themeColor="text1"/>
          <w:sz w:val="24"/>
          <w:szCs w:val="24"/>
          <w:u w:color="FF0000"/>
          <w:lang w:val="en-GB"/>
        </w:rPr>
      </w:pPr>
    </w:p>
    <w:p w:rsidR="00DE03C3" w:rsidRDefault="007E1FD3">
      <w:pPr>
        <w:pStyle w:val="BodyA"/>
        <w:spacing w:after="0" w:line="240" w:lineRule="auto"/>
        <w:jc w:val="both"/>
        <w:rPr>
          <w:rStyle w:val="None"/>
          <w:rFonts w:ascii="Times New Roman" w:hAnsi="Times New Roman"/>
          <w:noProof/>
          <w:color w:val="000000" w:themeColor="text1"/>
          <w:sz w:val="24"/>
          <w:szCs w:val="24"/>
          <w:u w:color="FF0000"/>
          <w:lang w:val="en-GB"/>
        </w:rPr>
      </w:pPr>
      <w:r>
        <w:rPr>
          <w:rFonts w:ascii="Times New Roman" w:hAnsi="Times New Roman"/>
          <w:noProof/>
          <w:color w:val="000000" w:themeColor="text1"/>
          <w:sz w:val="24"/>
          <w:szCs w:val="24"/>
          <w:u w:color="FF0000"/>
          <w:lang w:val="en-GB"/>
        </w:rPr>
        <w:t>It is important to note that these international trade and investment agreements concluded by the EU and its</w:t>
      </w:r>
      <w:r>
        <w:rPr>
          <w:rFonts w:ascii="Times New Roman" w:hAnsi="Times New Roman"/>
          <w:noProof/>
          <w:color w:val="000000" w:themeColor="text1"/>
          <w:sz w:val="24"/>
          <w:szCs w:val="24"/>
          <w:u w:color="FF0000"/>
          <w:lang w:val="en-GB"/>
        </w:rPr>
        <w:t xml:space="preserve"> Member States provide for </w:t>
      </w:r>
      <w:r>
        <w:rPr>
          <w:rFonts w:ascii="Times New Roman" w:hAnsi="Times New Roman"/>
          <w:b/>
          <w:noProof/>
          <w:color w:val="000000" w:themeColor="text1"/>
          <w:sz w:val="24"/>
          <w:szCs w:val="24"/>
          <w:u w:color="FF0000"/>
          <w:lang w:val="en-GB"/>
        </w:rPr>
        <w:t>exceptions from the national treatment and market access obligations allowing signatories to take measures to protect security interests or public order</w:t>
      </w:r>
      <w:r>
        <w:rPr>
          <w:rFonts w:ascii="Times New Roman" w:hAnsi="Times New Roman"/>
          <w:noProof/>
          <w:color w:val="000000" w:themeColor="text1"/>
          <w:sz w:val="24"/>
          <w:szCs w:val="24"/>
          <w:u w:color="FF0000"/>
          <w:lang w:val="en-GB"/>
        </w:rPr>
        <w:t>, provided those measures do not constitute an arbitrary or unjustifiable dis</w:t>
      </w:r>
      <w:r>
        <w:rPr>
          <w:rFonts w:ascii="Times New Roman" w:hAnsi="Times New Roman"/>
          <w:noProof/>
          <w:color w:val="000000" w:themeColor="text1"/>
          <w:sz w:val="24"/>
          <w:szCs w:val="24"/>
          <w:u w:color="FF0000"/>
          <w:lang w:val="en-GB"/>
        </w:rPr>
        <w:t xml:space="preserve">crimination or a disguised restriction on trade. </w:t>
      </w:r>
    </w:p>
    <w:p w:rsidR="00DE03C3" w:rsidRDefault="00DE03C3">
      <w:pPr>
        <w:pStyle w:val="BodyA"/>
        <w:spacing w:after="0" w:line="240" w:lineRule="auto"/>
        <w:jc w:val="both"/>
        <w:rPr>
          <w:rStyle w:val="None"/>
          <w:rFonts w:ascii="Times New Roman" w:hAnsi="Times New Roman"/>
          <w:noProof/>
          <w:color w:val="000000" w:themeColor="text1"/>
          <w:sz w:val="24"/>
          <w:szCs w:val="24"/>
          <w:lang w:val="en-GB"/>
        </w:rPr>
      </w:pPr>
    </w:p>
    <w:p w:rsidR="00DE03C3" w:rsidRDefault="007E1FD3">
      <w:pPr>
        <w:pStyle w:val="BodyA"/>
        <w:spacing w:after="0" w:line="240" w:lineRule="auto"/>
        <w:jc w:val="both"/>
        <w:rPr>
          <w:rStyle w:val="None"/>
          <w:rFonts w:ascii="Times New Roman" w:eastAsia="Times New Roman" w:hAnsi="Times New Roman" w:cs="Times New Roman"/>
          <w:noProof/>
          <w:color w:val="000000" w:themeColor="text1"/>
          <w:sz w:val="24"/>
          <w:szCs w:val="24"/>
          <w:lang w:val="en-GB"/>
        </w:rPr>
      </w:pPr>
      <w:r>
        <w:rPr>
          <w:rStyle w:val="None"/>
          <w:rFonts w:ascii="Times New Roman" w:hAnsi="Times New Roman"/>
          <w:noProof/>
          <w:color w:val="000000" w:themeColor="text1"/>
          <w:sz w:val="24"/>
          <w:szCs w:val="24"/>
          <w:lang w:val="en-GB"/>
        </w:rPr>
        <w:t>The G20 adopted, in 2016, Guiding Principles for Global Investment Policymaking</w:t>
      </w:r>
      <w:r>
        <w:rPr>
          <w:rStyle w:val="FootnoteReference"/>
          <w:rFonts w:ascii="Times New Roman" w:hAnsi="Times New Roman"/>
          <w:noProof/>
          <w:color w:val="000000" w:themeColor="text1"/>
          <w:sz w:val="24"/>
          <w:szCs w:val="24"/>
          <w:lang w:val="en-GB"/>
        </w:rPr>
        <w:footnoteReference w:id="18"/>
      </w:r>
      <w:r>
        <w:rPr>
          <w:rStyle w:val="None"/>
          <w:rFonts w:ascii="Times New Roman" w:hAnsi="Times New Roman"/>
          <w:noProof/>
          <w:color w:val="000000" w:themeColor="text1"/>
          <w:sz w:val="24"/>
          <w:szCs w:val="24"/>
          <w:lang w:val="en-GB"/>
        </w:rPr>
        <w:t xml:space="preserve">, which call for open, non-discriminatory, transparent and predictable conditions for investment. In 2017, </w:t>
      </w:r>
      <w:r>
        <w:rPr>
          <w:rStyle w:val="None"/>
          <w:rFonts w:ascii="Times New Roman" w:hAnsi="Times New Roman"/>
          <w:bCs/>
          <w:noProof/>
          <w:color w:val="000000" w:themeColor="text1"/>
          <w:sz w:val="24"/>
          <w:szCs w:val="24"/>
          <w:lang w:val="en-GB"/>
        </w:rPr>
        <w:t xml:space="preserve">G20 members again </w:t>
      </w:r>
      <w:r>
        <w:rPr>
          <w:rStyle w:val="None"/>
          <w:rFonts w:ascii="Times New Roman" w:hAnsi="Times New Roman"/>
          <w:bCs/>
          <w:noProof/>
          <w:color w:val="000000" w:themeColor="text1"/>
          <w:sz w:val="24"/>
          <w:szCs w:val="24"/>
          <w:lang w:val="en-GB"/>
        </w:rPr>
        <w:t>underlined the importance of reciprocal trade and investment frameworks and their commitment to work towards a level playing field</w:t>
      </w:r>
      <w:r>
        <w:rPr>
          <w:rStyle w:val="None"/>
          <w:rFonts w:ascii="Times New Roman" w:hAnsi="Times New Roman"/>
          <w:noProof/>
          <w:color w:val="000000" w:themeColor="text1"/>
          <w:sz w:val="24"/>
          <w:szCs w:val="24"/>
          <w:lang w:val="en-GB"/>
        </w:rPr>
        <w:t xml:space="preserve">. </w:t>
      </w:r>
    </w:p>
    <w:p w:rsidR="00DE03C3" w:rsidRDefault="00DE03C3">
      <w:pPr>
        <w:pStyle w:val="BodyA"/>
        <w:spacing w:after="0" w:line="240" w:lineRule="auto"/>
        <w:jc w:val="both"/>
        <w:rPr>
          <w:rStyle w:val="None"/>
          <w:rFonts w:ascii="Times New Roman" w:hAnsi="Times New Roman"/>
          <w:noProof/>
          <w:color w:val="000000" w:themeColor="text1"/>
          <w:sz w:val="24"/>
          <w:szCs w:val="24"/>
          <w:u w:color="FF0000"/>
          <w:lang w:val="en-GB"/>
        </w:rPr>
      </w:pPr>
    </w:p>
    <w:p w:rsidR="00DE03C3" w:rsidRDefault="007E1FD3">
      <w:pPr>
        <w:pStyle w:val="BodyA"/>
        <w:spacing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noProof/>
          <w:color w:val="000000" w:themeColor="text1"/>
          <w:sz w:val="24"/>
          <w:szCs w:val="24"/>
          <w:u w:color="FF0000"/>
          <w:lang w:val="en-GB"/>
        </w:rPr>
        <w:t xml:space="preserve">The EU will continue its efforts at bilateral and multilateral level </w:t>
      </w:r>
      <w:r>
        <w:rPr>
          <w:rStyle w:val="None"/>
          <w:rFonts w:ascii="Times New Roman" w:hAnsi="Times New Roman"/>
          <w:noProof/>
          <w:color w:val="000000" w:themeColor="text1"/>
          <w:sz w:val="24"/>
          <w:szCs w:val="24"/>
          <w:lang w:val="en-GB"/>
        </w:rPr>
        <w:t>to ensure that third countries offer a level of openn</w:t>
      </w:r>
      <w:r>
        <w:rPr>
          <w:rStyle w:val="None"/>
          <w:rFonts w:ascii="Times New Roman" w:hAnsi="Times New Roman"/>
          <w:noProof/>
          <w:color w:val="000000" w:themeColor="text1"/>
          <w:sz w:val="24"/>
          <w:szCs w:val="24"/>
          <w:lang w:val="en-GB"/>
        </w:rPr>
        <w:t xml:space="preserve">ess for foreign investment equivalent to that of the EU and maintain a level playing field for EU operators. The EU also supports </w:t>
      </w:r>
      <w:r>
        <w:rPr>
          <w:rStyle w:val="None"/>
          <w:rFonts w:ascii="Times New Roman" w:hAnsi="Times New Roman"/>
          <w:noProof/>
          <w:color w:val="000000" w:themeColor="text1"/>
          <w:sz w:val="24"/>
          <w:szCs w:val="24"/>
          <w:u w:color="FF0000"/>
          <w:lang w:val="en-GB"/>
        </w:rPr>
        <w:t xml:space="preserve">discussions in the World Trade Organisation on investment facilitation. </w:t>
      </w:r>
    </w:p>
    <w:p w:rsidR="00DE03C3" w:rsidRDefault="007E1FD3">
      <w:pPr>
        <w:pStyle w:val="ListParagraph"/>
        <w:numPr>
          <w:ilvl w:val="0"/>
          <w:numId w:val="2"/>
        </w:numPr>
        <w:jc w:val="both"/>
        <w:rPr>
          <w:rFonts w:ascii="Times New Roman" w:hAnsi="Times New Roman"/>
          <w:b/>
          <w:bCs/>
          <w:noProof/>
          <w:sz w:val="24"/>
          <w:szCs w:val="24"/>
          <w:lang w:val="en-GB"/>
        </w:rPr>
      </w:pPr>
      <w:r>
        <w:rPr>
          <w:rFonts w:ascii="Times New Roman" w:hAnsi="Times New Roman"/>
          <w:b/>
          <w:bCs/>
          <w:noProof/>
          <w:sz w:val="24"/>
          <w:szCs w:val="24"/>
          <w:lang w:val="en-GB"/>
        </w:rPr>
        <w:t>Screening Foreign Direct Investment</w:t>
      </w:r>
    </w:p>
    <w:p w:rsidR="00DE03C3" w:rsidRDefault="007E1FD3">
      <w:pPr>
        <w:pStyle w:val="ListParagraph"/>
        <w:numPr>
          <w:ilvl w:val="1"/>
          <w:numId w:val="18"/>
        </w:numPr>
        <w:jc w:val="both"/>
        <w:rPr>
          <w:rStyle w:val="None"/>
          <w:rFonts w:ascii="Times New Roman" w:hAnsi="Times New Roman" w:cs="Times New Roman"/>
          <w:b/>
          <w:noProof/>
          <w:color w:val="000000" w:themeColor="text1"/>
          <w:sz w:val="24"/>
          <w:szCs w:val="24"/>
          <w:u w:color="FF0000"/>
          <w:lang w:val="en-GB"/>
        </w:rPr>
      </w:pPr>
      <w:r>
        <w:rPr>
          <w:rStyle w:val="None"/>
          <w:rFonts w:ascii="Times New Roman" w:hAnsi="Times New Roman" w:cs="Times New Roman"/>
          <w:b/>
          <w:noProof/>
          <w:color w:val="000000" w:themeColor="text1"/>
          <w:sz w:val="24"/>
          <w:szCs w:val="24"/>
          <w:u w:color="FF0000"/>
          <w:lang w:val="en-GB"/>
        </w:rPr>
        <w:t>Existing screenin</w:t>
      </w:r>
      <w:r>
        <w:rPr>
          <w:rStyle w:val="None"/>
          <w:rFonts w:ascii="Times New Roman" w:hAnsi="Times New Roman" w:cs="Times New Roman"/>
          <w:b/>
          <w:noProof/>
          <w:color w:val="000000" w:themeColor="text1"/>
          <w:sz w:val="24"/>
          <w:szCs w:val="24"/>
          <w:u w:color="FF0000"/>
          <w:lang w:val="en-GB"/>
        </w:rPr>
        <w:t xml:space="preserve">g mechanisms in EU Member States </w:t>
      </w:r>
    </w:p>
    <w:p w:rsidR="00DE03C3" w:rsidRDefault="007E1FD3">
      <w:pPr>
        <w:jc w:val="both"/>
        <w:rPr>
          <w:rStyle w:val="None"/>
          <w:noProof/>
          <w:color w:val="000000" w:themeColor="text1"/>
          <w:u w:color="FF0000"/>
          <w:lang w:val="en-GB"/>
        </w:rPr>
      </w:pPr>
      <w:r>
        <w:rPr>
          <w:rStyle w:val="None"/>
          <w:b/>
          <w:noProof/>
          <w:color w:val="000000" w:themeColor="text1"/>
          <w:u w:color="FF0000"/>
          <w:lang w:val="en-GB"/>
        </w:rPr>
        <w:t>Nearly half of EU Member States</w:t>
      </w:r>
      <w:r>
        <w:rPr>
          <w:rStyle w:val="None"/>
          <w:b/>
          <w:noProof/>
          <w:color w:val="000000" w:themeColor="text1"/>
          <w:u w:color="FF0000"/>
          <w:vertAlign w:val="superscript"/>
          <w:lang w:val="en-GB"/>
        </w:rPr>
        <w:t xml:space="preserve"> </w:t>
      </w:r>
      <w:r>
        <w:rPr>
          <w:rStyle w:val="None"/>
          <w:b/>
          <w:noProof/>
          <w:color w:val="000000" w:themeColor="text1"/>
          <w:u w:color="FF0000"/>
          <w:lang w:val="en-GB"/>
        </w:rPr>
        <w:t>have in place mechanisms for screening foreign direct investments</w:t>
      </w:r>
      <w:r>
        <w:rPr>
          <w:rStyle w:val="None"/>
          <w:noProof/>
          <w:color w:val="000000" w:themeColor="text1"/>
          <w:u w:color="FF0000"/>
          <w:lang w:val="en-GB"/>
        </w:rPr>
        <w:t xml:space="preserve">. This is the case for </w:t>
      </w:r>
      <w:r>
        <w:rPr>
          <w:rStyle w:val="None"/>
          <w:noProof/>
          <w:u w:color="FF0000"/>
          <w:lang w:val="en-GB"/>
        </w:rPr>
        <w:t>Austria, Denmark, Germany, Finland, France, Latvia, Lithuania, Italy, Poland, Portugal, Spain, and the</w:t>
      </w:r>
      <w:r>
        <w:rPr>
          <w:rStyle w:val="None"/>
          <w:noProof/>
          <w:u w:color="FF0000"/>
          <w:lang w:val="en-GB"/>
        </w:rPr>
        <w:t xml:space="preserve"> United Kingdom.</w:t>
      </w:r>
      <w:r>
        <w:rPr>
          <w:rStyle w:val="None"/>
          <w:noProof/>
          <w:color w:val="000000" w:themeColor="text1"/>
          <w:u w:color="FF0000"/>
          <w:lang w:val="en-GB"/>
        </w:rPr>
        <w:t xml:space="preserve">  </w:t>
      </w:r>
    </w:p>
    <w:p w:rsidR="00DE03C3" w:rsidRDefault="00DE03C3">
      <w:pPr>
        <w:jc w:val="both"/>
        <w:rPr>
          <w:rStyle w:val="None"/>
          <w:noProof/>
          <w:color w:val="000000" w:themeColor="text1"/>
          <w:u w:color="FF0000"/>
          <w:lang w:val="en-GB"/>
        </w:rPr>
      </w:pPr>
    </w:p>
    <w:p w:rsidR="00DE03C3" w:rsidRDefault="007E1FD3">
      <w:pPr>
        <w:jc w:val="both"/>
        <w:rPr>
          <w:rStyle w:val="None"/>
          <w:noProof/>
          <w:color w:val="000000" w:themeColor="text1"/>
          <w:u w:color="FF0000"/>
          <w:lang w:val="en-GB"/>
        </w:rPr>
      </w:pPr>
      <w:r>
        <w:rPr>
          <w:rStyle w:val="None"/>
          <w:b/>
          <w:noProof/>
          <w:u w:color="FF0000"/>
          <w:lang w:val="en-GB"/>
        </w:rPr>
        <w:t xml:space="preserve">Member States follow different approaches as regards </w:t>
      </w:r>
      <w:r>
        <w:rPr>
          <w:rStyle w:val="None"/>
          <w:noProof/>
          <w:u w:color="FF0000"/>
          <w:lang w:val="en-GB"/>
        </w:rPr>
        <w:t>the exact scope</w:t>
      </w:r>
      <w:r>
        <w:rPr>
          <w:rStyle w:val="None"/>
          <w:noProof/>
          <w:color w:val="000000" w:themeColor="text1"/>
          <w:u w:color="FF0000"/>
          <w:lang w:val="en-GB"/>
        </w:rPr>
        <w:t xml:space="preserve"> and design of the screening procedures. </w:t>
      </w:r>
    </w:p>
    <w:p w:rsidR="00DE03C3" w:rsidRDefault="007E1FD3">
      <w:pPr>
        <w:pStyle w:val="BodyA"/>
        <w:spacing w:before="240" w:line="240" w:lineRule="auto"/>
        <w:jc w:val="both"/>
        <w:rPr>
          <w:rStyle w:val="None"/>
          <w:rFonts w:ascii="Times New Roman" w:eastAsia="Arial Unicode MS" w:hAnsi="Times New Roman" w:cs="Times New Roman"/>
          <w:noProof/>
          <w:color w:val="auto"/>
          <w:sz w:val="24"/>
          <w:szCs w:val="24"/>
          <w:lang w:val="en-GB" w:eastAsia="en-US"/>
        </w:rPr>
      </w:pPr>
      <w:r>
        <w:rPr>
          <w:rStyle w:val="None"/>
          <w:rFonts w:ascii="Times New Roman" w:eastAsia="Arial Unicode MS" w:hAnsi="Times New Roman" w:cs="Times New Roman"/>
          <w:noProof/>
          <w:color w:val="auto"/>
          <w:sz w:val="24"/>
          <w:szCs w:val="24"/>
          <w:lang w:val="en-GB" w:eastAsia="en-US"/>
        </w:rPr>
        <w:t xml:space="preserve">As regards the scope, most existing screening mechanisms apply to both intra-EU and extra-EU investments, while some apply to </w:t>
      </w:r>
      <w:r>
        <w:rPr>
          <w:rStyle w:val="None"/>
          <w:rFonts w:ascii="Times New Roman" w:eastAsia="Arial Unicode MS" w:hAnsi="Times New Roman" w:cs="Times New Roman"/>
          <w:noProof/>
          <w:color w:val="auto"/>
          <w:sz w:val="24"/>
          <w:szCs w:val="24"/>
          <w:lang w:val="en-GB" w:eastAsia="en-US"/>
        </w:rPr>
        <w:t>investments from third countries only but may include anti-circumvention provisions to prevent abuse. In some cases, the screening mechanisms cover investments in specific sectors considered strategic (e.g. energy, telecommunication, transport) while in ot</w:t>
      </w:r>
      <w:r>
        <w:rPr>
          <w:rStyle w:val="None"/>
          <w:rFonts w:ascii="Times New Roman" w:eastAsia="Arial Unicode MS" w:hAnsi="Times New Roman" w:cs="Times New Roman"/>
          <w:noProof/>
          <w:color w:val="auto"/>
          <w:sz w:val="24"/>
          <w:szCs w:val="24"/>
          <w:lang w:val="en-GB" w:eastAsia="en-US"/>
        </w:rPr>
        <w:t>hers there is no limitation to specific sectors. Investments covered by the screening mechanisms are normally qualified by qualitative criteria (e.g. gaining control over the target company) and/or quantitative thresholds (i.e. percentage of shares or voti</w:t>
      </w:r>
      <w:r>
        <w:rPr>
          <w:rStyle w:val="None"/>
          <w:rFonts w:ascii="Times New Roman" w:eastAsia="Arial Unicode MS" w:hAnsi="Times New Roman" w:cs="Times New Roman"/>
          <w:noProof/>
          <w:color w:val="auto"/>
          <w:sz w:val="24"/>
          <w:szCs w:val="24"/>
          <w:lang w:val="en-GB" w:eastAsia="en-US"/>
        </w:rPr>
        <w:t xml:space="preserve">ng rights). In terms of the </w:t>
      </w:r>
      <w:r>
        <w:rPr>
          <w:rFonts w:ascii="Times New Roman" w:eastAsia="Arial Unicode MS" w:hAnsi="Times New Roman" w:cs="Times New Roman"/>
          <w:noProof/>
          <w:color w:val="auto"/>
          <w:sz w:val="24"/>
          <w:szCs w:val="24"/>
          <w:lang w:val="en-GB" w:eastAsia="en-US"/>
        </w:rPr>
        <w:t>grounds for screening, some screening mechanisms are limited to the protection of essential interest of national security, especially production of or trade in arms, munitions, military equipment, war material, etc. However, mos</w:t>
      </w:r>
      <w:r>
        <w:rPr>
          <w:rFonts w:ascii="Times New Roman" w:eastAsia="Arial Unicode MS" w:hAnsi="Times New Roman" w:cs="Times New Roman"/>
          <w:noProof/>
          <w:color w:val="auto"/>
          <w:sz w:val="24"/>
          <w:szCs w:val="24"/>
          <w:lang w:val="en-GB" w:eastAsia="en-US"/>
        </w:rPr>
        <w:t>t go beyond the defence sector and are mainly related to the protection of public security and public policy or public order.</w:t>
      </w:r>
    </w:p>
    <w:p w:rsidR="00DE03C3" w:rsidRDefault="007E1FD3">
      <w:pPr>
        <w:pStyle w:val="BodyA"/>
        <w:spacing w:before="240" w:line="240" w:lineRule="auto"/>
        <w:jc w:val="both"/>
        <w:rPr>
          <w:rStyle w:val="None"/>
          <w:rFonts w:ascii="Times New Roman" w:eastAsia="Arial Unicode MS" w:hAnsi="Times New Roman" w:cs="Times New Roman"/>
          <w:noProof/>
          <w:color w:val="auto"/>
          <w:sz w:val="24"/>
          <w:szCs w:val="24"/>
          <w:lang w:val="en-GB" w:eastAsia="en-US"/>
        </w:rPr>
      </w:pPr>
      <w:r>
        <w:rPr>
          <w:rStyle w:val="None"/>
          <w:rFonts w:ascii="Times New Roman" w:eastAsia="Arial Unicode MS" w:hAnsi="Times New Roman" w:cs="Times New Roman"/>
          <w:noProof/>
          <w:color w:val="auto"/>
          <w:sz w:val="24"/>
          <w:szCs w:val="24"/>
          <w:lang w:val="en-GB" w:eastAsia="en-US"/>
        </w:rPr>
        <w:t>As regards the design of the screening procedures, there are two main types of mechanism: those requiring investors to notify an i</w:t>
      </w:r>
      <w:r>
        <w:rPr>
          <w:rStyle w:val="None"/>
          <w:rFonts w:ascii="Times New Roman" w:eastAsia="Arial Unicode MS" w:hAnsi="Times New Roman" w:cs="Times New Roman"/>
          <w:noProof/>
          <w:color w:val="auto"/>
          <w:sz w:val="24"/>
          <w:szCs w:val="24"/>
          <w:lang w:val="en-GB" w:eastAsia="en-US"/>
        </w:rPr>
        <w:t>nvestment covered before it is made and providing for a prior authorisation system and those providing for an ex-post control of investments already completed, with the possibility for investors to voluntarily submit the investment to screening before it i</w:t>
      </w:r>
      <w:r>
        <w:rPr>
          <w:rStyle w:val="None"/>
          <w:rFonts w:ascii="Times New Roman" w:eastAsia="Arial Unicode MS" w:hAnsi="Times New Roman" w:cs="Times New Roman"/>
          <w:noProof/>
          <w:color w:val="auto"/>
          <w:sz w:val="24"/>
          <w:szCs w:val="24"/>
          <w:lang w:val="en-GB" w:eastAsia="en-US"/>
        </w:rPr>
        <w:t xml:space="preserve">s finalised.  </w:t>
      </w:r>
    </w:p>
    <w:p w:rsidR="00DE03C3" w:rsidRDefault="007E1FD3">
      <w:pPr>
        <w:pStyle w:val="BodyA"/>
        <w:spacing w:before="240" w:line="240" w:lineRule="auto"/>
        <w:jc w:val="both"/>
        <w:rPr>
          <w:noProof/>
          <w:lang w:val="en-GB"/>
        </w:rPr>
      </w:pPr>
      <w:r>
        <w:rPr>
          <w:rStyle w:val="None"/>
          <w:rFonts w:ascii="Times New Roman" w:eastAsia="Arial Unicode MS" w:hAnsi="Times New Roman" w:cs="Times New Roman"/>
          <w:noProof/>
          <w:color w:val="auto"/>
          <w:sz w:val="24"/>
          <w:szCs w:val="24"/>
          <w:lang w:val="en-GB" w:eastAsia="en-US"/>
        </w:rPr>
        <w:t xml:space="preserve">The national screening mechanisms </w:t>
      </w:r>
      <w:r>
        <w:rPr>
          <w:rStyle w:val="None"/>
          <w:rFonts w:ascii="Times New Roman" w:hAnsi="Times New Roman" w:cs="Times New Roman"/>
          <w:noProof/>
          <w:sz w:val="24"/>
          <w:szCs w:val="24"/>
          <w:lang w:val="en-GB"/>
        </w:rPr>
        <w:t>represent a restriction to free movement of capital or freedom of establishment, in particular as regards intra-EU investments.</w:t>
      </w:r>
      <w:r>
        <w:rPr>
          <w:rStyle w:val="FootnoteReference"/>
          <w:rFonts w:ascii="Times New Roman" w:hAnsi="Times New Roman" w:cs="Times New Roman"/>
          <w:noProof/>
          <w:sz w:val="24"/>
          <w:szCs w:val="24"/>
          <w:lang w:val="en-GB"/>
        </w:rPr>
        <w:footnoteReference w:id="19"/>
      </w:r>
      <w:r>
        <w:rPr>
          <w:rStyle w:val="None"/>
          <w:rFonts w:ascii="Times New Roman" w:hAnsi="Times New Roman" w:cs="Times New Roman"/>
          <w:noProof/>
          <w:sz w:val="24"/>
          <w:szCs w:val="24"/>
          <w:lang w:val="en-GB"/>
        </w:rPr>
        <w:t xml:space="preserve"> However, the Treaty allows Member States to take measures restricting these freedoms provided that they are </w:t>
      </w:r>
      <w:r>
        <w:rPr>
          <w:rStyle w:val="None"/>
          <w:rFonts w:ascii="Times New Roman" w:eastAsia="Arial Unicode MS" w:hAnsi="Times New Roman" w:cs="Times New Roman"/>
          <w:noProof/>
          <w:color w:val="auto"/>
          <w:sz w:val="24"/>
          <w:szCs w:val="24"/>
          <w:u w:color="FF0000"/>
          <w:lang w:val="en-GB" w:eastAsia="en-US"/>
        </w:rPr>
        <w:t>non-discriminatory on grounds of nationality, and can be</w:t>
      </w:r>
      <w:r>
        <w:rPr>
          <w:rStyle w:val="None"/>
          <w:rFonts w:ascii="Times New Roman" w:hAnsi="Times New Roman" w:cs="Times New Roman"/>
          <w:noProof/>
          <w:sz w:val="24"/>
          <w:szCs w:val="24"/>
          <w:lang w:val="en-GB"/>
        </w:rPr>
        <w:t>justified in particular on public security or public policy grounds or for other overriding</w:t>
      </w:r>
      <w:r>
        <w:rPr>
          <w:rStyle w:val="None"/>
          <w:rFonts w:ascii="Times New Roman" w:hAnsi="Times New Roman" w:cs="Times New Roman"/>
          <w:noProof/>
          <w:sz w:val="24"/>
          <w:szCs w:val="24"/>
          <w:lang w:val="en-GB"/>
        </w:rPr>
        <w:t xml:space="preserve"> reasons in the general interest as defined by the Court of Justice, and comply with the principles of proportionality and legal certainty. </w:t>
      </w:r>
    </w:p>
    <w:p w:rsidR="00DE03C3" w:rsidRDefault="007E1FD3">
      <w:pPr>
        <w:pStyle w:val="ListParagraph"/>
        <w:numPr>
          <w:ilvl w:val="1"/>
          <w:numId w:val="18"/>
        </w:numPr>
        <w:jc w:val="both"/>
        <w:rPr>
          <w:rStyle w:val="None"/>
          <w:rFonts w:ascii="Times New Roman" w:hAnsi="Times New Roman" w:cs="Times New Roman"/>
          <w:b/>
          <w:noProof/>
          <w:sz w:val="24"/>
          <w:szCs w:val="24"/>
          <w:u w:color="FF0000"/>
          <w:lang w:val="en-GB"/>
        </w:rPr>
      </w:pPr>
      <w:r>
        <w:rPr>
          <w:rStyle w:val="None"/>
          <w:rFonts w:ascii="Times New Roman" w:hAnsi="Times New Roman" w:cs="Times New Roman"/>
          <w:b/>
          <w:noProof/>
          <w:sz w:val="24"/>
          <w:szCs w:val="24"/>
          <w:u w:color="FF0000"/>
          <w:lang w:val="en-GB"/>
        </w:rPr>
        <w:t>Relevant existing policies and instruments at EU level</w:t>
      </w:r>
    </w:p>
    <w:p w:rsidR="00DE03C3" w:rsidRDefault="007E1FD3">
      <w:pPr>
        <w:pStyle w:val="BodyA"/>
        <w:spacing w:after="0" w:line="240" w:lineRule="auto"/>
        <w:jc w:val="both"/>
        <w:rPr>
          <w:rStyle w:val="None"/>
          <w:rFonts w:ascii="Times New Roman" w:hAnsi="Times New Roman" w:cs="Times New Roman"/>
          <w:noProof/>
          <w:color w:val="000000" w:themeColor="text1"/>
          <w:sz w:val="24"/>
          <w:szCs w:val="24"/>
          <w:lang w:val="en-GB"/>
        </w:rPr>
      </w:pPr>
      <w:r>
        <w:rPr>
          <w:rStyle w:val="None"/>
          <w:rFonts w:ascii="Times New Roman" w:hAnsi="Times New Roman" w:cs="Times New Roman"/>
          <w:bCs/>
          <w:noProof/>
          <w:color w:val="000000" w:themeColor="text1"/>
          <w:sz w:val="24"/>
          <w:szCs w:val="24"/>
          <w:lang w:val="en-GB"/>
        </w:rPr>
        <w:t xml:space="preserve">A number of EU policies </w:t>
      </w:r>
      <w:r>
        <w:rPr>
          <w:rStyle w:val="None"/>
          <w:rFonts w:ascii="Times New Roman" w:hAnsi="Times New Roman" w:cs="Times New Roman"/>
          <w:noProof/>
          <w:color w:val="000000" w:themeColor="text1"/>
          <w:sz w:val="24"/>
          <w:szCs w:val="24"/>
          <w:lang w:val="en-GB"/>
        </w:rPr>
        <w:t xml:space="preserve">contribute to ensuring the benefits </w:t>
      </w:r>
      <w:r>
        <w:rPr>
          <w:rStyle w:val="None"/>
          <w:rFonts w:ascii="Times New Roman" w:hAnsi="Times New Roman" w:cs="Times New Roman"/>
          <w:noProof/>
          <w:color w:val="000000" w:themeColor="text1"/>
          <w:sz w:val="24"/>
          <w:szCs w:val="24"/>
          <w:lang w:val="en-GB"/>
        </w:rPr>
        <w:t xml:space="preserve">of foreign investment while limiting the associated risks.  </w:t>
      </w:r>
    </w:p>
    <w:p w:rsidR="00DE03C3" w:rsidRDefault="00DE03C3">
      <w:pPr>
        <w:pStyle w:val="BodyA"/>
        <w:spacing w:after="0" w:line="240" w:lineRule="auto"/>
        <w:jc w:val="both"/>
        <w:rPr>
          <w:rStyle w:val="None"/>
          <w:rFonts w:ascii="Times New Roman" w:hAnsi="Times New Roman"/>
          <w:noProof/>
          <w:color w:val="000000" w:themeColor="text1"/>
          <w:sz w:val="24"/>
          <w:szCs w:val="24"/>
          <w:lang w:val="en-GB"/>
        </w:rPr>
      </w:pPr>
    </w:p>
    <w:p w:rsidR="00DE03C3" w:rsidRDefault="007E1FD3">
      <w:pPr>
        <w:pStyle w:val="BodyA"/>
        <w:spacing w:after="0" w:line="240" w:lineRule="auto"/>
        <w:jc w:val="both"/>
        <w:rPr>
          <w:rStyle w:val="None"/>
          <w:rFonts w:ascii="Times New Roman" w:hAnsi="Times New Roman"/>
          <w:bCs/>
          <w:noProof/>
          <w:color w:val="000000" w:themeColor="text1"/>
          <w:sz w:val="24"/>
          <w:szCs w:val="24"/>
          <w:lang w:val="en-GB"/>
        </w:rPr>
      </w:pPr>
      <w:r>
        <w:rPr>
          <w:rStyle w:val="None"/>
          <w:rFonts w:ascii="Times New Roman" w:hAnsi="Times New Roman"/>
          <w:noProof/>
          <w:color w:val="000000" w:themeColor="text1"/>
          <w:sz w:val="24"/>
          <w:szCs w:val="24"/>
          <w:lang w:val="en-GB"/>
        </w:rPr>
        <w:t xml:space="preserve">First and foremost, it is a fundamental obligation that </w:t>
      </w:r>
      <w:r>
        <w:rPr>
          <w:rStyle w:val="None"/>
          <w:rFonts w:ascii="Times New Roman" w:hAnsi="Times New Roman"/>
          <w:b/>
          <w:noProof/>
          <w:color w:val="000000" w:themeColor="text1"/>
          <w:sz w:val="24"/>
          <w:szCs w:val="24"/>
          <w:lang w:val="en-GB"/>
        </w:rPr>
        <w:t>all foreign investors in the EU comply with applicable EU and national laws</w:t>
      </w:r>
      <w:r>
        <w:rPr>
          <w:rStyle w:val="None"/>
          <w:rFonts w:ascii="Times New Roman" w:hAnsi="Times New Roman"/>
          <w:noProof/>
          <w:color w:val="000000" w:themeColor="text1"/>
          <w:sz w:val="24"/>
          <w:szCs w:val="24"/>
          <w:lang w:val="en-GB"/>
        </w:rPr>
        <w:t>.</w:t>
      </w:r>
      <w:r>
        <w:rPr>
          <w:rStyle w:val="None"/>
          <w:rFonts w:ascii="Times New Roman" w:hAnsi="Times New Roman"/>
          <w:bCs/>
          <w:noProof/>
          <w:color w:val="000000" w:themeColor="text1"/>
          <w:sz w:val="24"/>
          <w:szCs w:val="24"/>
          <w:lang w:val="en-GB"/>
        </w:rPr>
        <w:t xml:space="preserve"> This includes the </w:t>
      </w:r>
      <w:r>
        <w:rPr>
          <w:rStyle w:val="None"/>
          <w:rFonts w:ascii="Times New Roman" w:hAnsi="Times New Roman"/>
          <w:b/>
          <w:bCs/>
          <w:noProof/>
          <w:color w:val="000000" w:themeColor="text1"/>
          <w:sz w:val="24"/>
          <w:szCs w:val="24"/>
          <w:lang w:val="en-GB"/>
        </w:rPr>
        <w:t>EU competition rules</w:t>
      </w:r>
      <w:r>
        <w:rPr>
          <w:rStyle w:val="None"/>
          <w:rFonts w:ascii="Times New Roman" w:hAnsi="Times New Roman"/>
          <w:bCs/>
          <w:noProof/>
          <w:color w:val="000000" w:themeColor="text1"/>
          <w:sz w:val="24"/>
          <w:szCs w:val="24"/>
          <w:lang w:val="en-GB"/>
        </w:rPr>
        <w:t xml:space="preserve">, which include the </w:t>
      </w:r>
      <w:r>
        <w:rPr>
          <w:rStyle w:val="None"/>
          <w:rFonts w:ascii="Times New Roman" w:hAnsi="Times New Roman"/>
          <w:bCs/>
          <w:noProof/>
          <w:color w:val="000000" w:themeColor="text1"/>
          <w:sz w:val="24"/>
          <w:szCs w:val="24"/>
          <w:lang w:val="en-GB"/>
        </w:rPr>
        <w:t>control of mergers and acquisitions. When a proposed investment, whatever its source or origin, falls within the scope of the EU Merger Regulation</w:t>
      </w:r>
      <w:r>
        <w:rPr>
          <w:rStyle w:val="None"/>
          <w:bCs/>
          <w:noProof/>
          <w:color w:val="000000" w:themeColor="text1"/>
          <w:vertAlign w:val="superscript"/>
          <w:lang w:val="en-GB"/>
        </w:rPr>
        <w:footnoteReference w:id="20"/>
      </w:r>
      <w:r>
        <w:rPr>
          <w:rStyle w:val="None"/>
          <w:rFonts w:ascii="Times New Roman" w:hAnsi="Times New Roman"/>
          <w:bCs/>
          <w:noProof/>
          <w:color w:val="000000" w:themeColor="text1"/>
          <w:sz w:val="24"/>
          <w:szCs w:val="24"/>
          <w:lang w:val="en-GB"/>
        </w:rPr>
        <w:t>, it cannot go ahead without prior review and approval by the European Commission.  The aim of this  procedur</w:t>
      </w:r>
      <w:r>
        <w:rPr>
          <w:rStyle w:val="None"/>
          <w:rFonts w:ascii="Times New Roman" w:hAnsi="Times New Roman"/>
          <w:bCs/>
          <w:noProof/>
          <w:color w:val="000000" w:themeColor="text1"/>
          <w:sz w:val="24"/>
          <w:szCs w:val="24"/>
          <w:lang w:val="en-GB"/>
        </w:rPr>
        <w:t>e is to prevent concentrations that would significantly impede effective competition in the internal market. The assessment of the compatibility of a notified concentration carried out under the EU Merger Regulation focuses solely on competition and does n</w:t>
      </w:r>
      <w:r>
        <w:rPr>
          <w:rStyle w:val="None"/>
          <w:rFonts w:ascii="Times New Roman" w:hAnsi="Times New Roman"/>
          <w:bCs/>
          <w:noProof/>
          <w:color w:val="000000" w:themeColor="text1"/>
          <w:sz w:val="24"/>
          <w:szCs w:val="24"/>
          <w:lang w:val="en-GB"/>
        </w:rPr>
        <w:t xml:space="preserve">ot take into account security or public order concerns. </w:t>
      </w:r>
    </w:p>
    <w:p w:rsidR="00DE03C3" w:rsidRDefault="00DE03C3">
      <w:pPr>
        <w:pStyle w:val="BodyA"/>
        <w:spacing w:after="0" w:line="240" w:lineRule="auto"/>
        <w:jc w:val="both"/>
        <w:rPr>
          <w:rStyle w:val="None"/>
          <w:rFonts w:ascii="Times New Roman" w:hAnsi="Times New Roman"/>
          <w:bCs/>
          <w:noProof/>
          <w:color w:val="000000" w:themeColor="text1"/>
          <w:sz w:val="24"/>
          <w:szCs w:val="24"/>
          <w:lang w:val="en-GB"/>
        </w:rPr>
      </w:pPr>
    </w:p>
    <w:p w:rsidR="00DE03C3" w:rsidRDefault="007E1FD3">
      <w:pPr>
        <w:pStyle w:val="BodyBA"/>
        <w:spacing w:after="200"/>
        <w:jc w:val="both"/>
        <w:rPr>
          <w:rStyle w:val="None"/>
          <w:noProof/>
          <w:color w:val="000000" w:themeColor="text1"/>
          <w:lang w:val="en-GB"/>
        </w:rPr>
      </w:pPr>
      <w:r>
        <w:rPr>
          <w:rStyle w:val="None"/>
          <w:noProof/>
          <w:color w:val="000000" w:themeColor="text1"/>
          <w:lang w:val="en-GB"/>
        </w:rPr>
        <w:t xml:space="preserve">Other relevant rules are enshrined in </w:t>
      </w:r>
      <w:r>
        <w:rPr>
          <w:rStyle w:val="None"/>
          <w:b/>
          <w:noProof/>
          <w:color w:val="000000" w:themeColor="text1"/>
          <w:lang w:val="en-GB"/>
        </w:rPr>
        <w:t>EU</w:t>
      </w:r>
      <w:r>
        <w:rPr>
          <w:rStyle w:val="None"/>
          <w:noProof/>
          <w:color w:val="000000" w:themeColor="text1"/>
          <w:lang w:val="en-GB"/>
        </w:rPr>
        <w:t xml:space="preserve"> </w:t>
      </w:r>
      <w:r>
        <w:rPr>
          <w:rStyle w:val="None"/>
          <w:b/>
          <w:noProof/>
          <w:color w:val="000000" w:themeColor="text1"/>
          <w:lang w:val="en-GB"/>
        </w:rPr>
        <w:t xml:space="preserve">legislation addressing the security of critical infrastructures and essential services. </w:t>
      </w:r>
      <w:r>
        <w:rPr>
          <w:rStyle w:val="None"/>
          <w:noProof/>
          <w:color w:val="000000" w:themeColor="text1"/>
          <w:lang w:val="en-GB"/>
        </w:rPr>
        <w:t xml:space="preserve">In certain cases, these rules address the impact of foreign ownership. The following examples can be mentioned: </w:t>
      </w:r>
    </w:p>
    <w:p w:rsidR="00DE03C3" w:rsidRDefault="007E1FD3">
      <w:pPr>
        <w:pStyle w:val="BodyBA"/>
        <w:numPr>
          <w:ilvl w:val="0"/>
          <w:numId w:val="15"/>
        </w:numPr>
        <w:spacing w:after="200"/>
        <w:jc w:val="both"/>
        <w:rPr>
          <w:rStyle w:val="None"/>
          <w:noProof/>
          <w:color w:val="000000" w:themeColor="text1"/>
          <w:lang w:val="en-GB"/>
        </w:rPr>
      </w:pPr>
      <w:r>
        <w:rPr>
          <w:rStyle w:val="None"/>
          <w:b/>
          <w:noProof/>
          <w:color w:val="000000" w:themeColor="text1"/>
          <w:lang w:val="en-GB"/>
        </w:rPr>
        <w:t>A number of assets have been identified as critical at the European level</w:t>
      </w:r>
      <w:r>
        <w:rPr>
          <w:rStyle w:val="None"/>
          <w:noProof/>
          <w:color w:val="000000" w:themeColor="text1"/>
          <w:lang w:val="en-GB"/>
        </w:rPr>
        <w:t>: Galileo, Copernicus, Eurocontrol, the European electricity and gas t</w:t>
      </w:r>
      <w:r>
        <w:rPr>
          <w:rStyle w:val="None"/>
          <w:noProof/>
          <w:color w:val="000000" w:themeColor="text1"/>
          <w:lang w:val="en-GB"/>
        </w:rPr>
        <w:t>ransmission networks.</w:t>
      </w:r>
      <w:r>
        <w:rPr>
          <w:rStyle w:val="FootnoteReference"/>
          <w:noProof/>
          <w:color w:val="000000" w:themeColor="text1"/>
          <w:lang w:val="en-GB"/>
        </w:rPr>
        <w:footnoteReference w:id="21"/>
      </w:r>
      <w:r>
        <w:rPr>
          <w:rStyle w:val="None"/>
          <w:noProof/>
          <w:color w:val="000000" w:themeColor="text1"/>
          <w:lang w:val="en-GB"/>
        </w:rPr>
        <w:t xml:space="preserve"> Specific attention must be given to the security, integrity and ownership of these infrastructures and the need to ensure their continuous operation. In addition, EU legislation on cybersecurity</w:t>
      </w:r>
      <w:r>
        <w:rPr>
          <w:rStyle w:val="None"/>
          <w:noProof/>
          <w:color w:val="000000" w:themeColor="text1"/>
          <w:vertAlign w:val="superscript"/>
          <w:lang w:val="en-GB"/>
        </w:rPr>
        <w:footnoteReference w:id="22"/>
      </w:r>
      <w:r>
        <w:rPr>
          <w:rStyle w:val="None"/>
          <w:noProof/>
          <w:color w:val="000000" w:themeColor="text1"/>
          <w:lang w:val="en-GB"/>
        </w:rPr>
        <w:t xml:space="preserve"> establishes a list of sectors providi</w:t>
      </w:r>
      <w:r>
        <w:rPr>
          <w:rStyle w:val="None"/>
          <w:noProof/>
          <w:color w:val="000000" w:themeColor="text1"/>
          <w:lang w:val="en-GB"/>
        </w:rPr>
        <w:t>ng essential services where operators must be defended against cyber-attacks.</w:t>
      </w:r>
      <w:r>
        <w:rPr>
          <w:rStyle w:val="FootnoteReference"/>
          <w:noProof/>
          <w:color w:val="000000" w:themeColor="text1"/>
          <w:lang w:val="en-GB"/>
        </w:rPr>
        <w:footnoteReference w:id="23"/>
      </w:r>
    </w:p>
    <w:p w:rsidR="00DE03C3" w:rsidRDefault="007E1FD3">
      <w:pPr>
        <w:pStyle w:val="BodyBA"/>
        <w:numPr>
          <w:ilvl w:val="0"/>
          <w:numId w:val="15"/>
        </w:numPr>
        <w:spacing w:after="200"/>
        <w:jc w:val="both"/>
        <w:rPr>
          <w:rStyle w:val="None"/>
          <w:noProof/>
          <w:color w:val="000000" w:themeColor="text1"/>
          <w:lang w:val="en-GB"/>
        </w:rPr>
      </w:pPr>
      <w:r>
        <w:rPr>
          <w:rStyle w:val="None"/>
          <w:noProof/>
          <w:color w:val="000000" w:themeColor="text1"/>
          <w:lang w:val="en-GB"/>
        </w:rPr>
        <w:t xml:space="preserve">Some EU legislation </w:t>
      </w:r>
      <w:r>
        <w:rPr>
          <w:rStyle w:val="None"/>
          <w:b/>
          <w:noProof/>
          <w:color w:val="000000" w:themeColor="text1"/>
          <w:lang w:val="en-GB"/>
        </w:rPr>
        <w:t>directly addresses the impact of foreign ownership</w:t>
      </w:r>
      <w:r>
        <w:rPr>
          <w:rStyle w:val="None"/>
          <w:noProof/>
          <w:color w:val="000000" w:themeColor="text1"/>
          <w:lang w:val="en-GB"/>
        </w:rPr>
        <w:t>.</w:t>
      </w:r>
      <w:r>
        <w:rPr>
          <w:rStyle w:val="None"/>
          <w:rFonts w:eastAsia="Times New Roman" w:cs="Times New Roman"/>
          <w:noProof/>
          <w:color w:val="000000" w:themeColor="text1"/>
          <w:lang w:val="en-GB"/>
        </w:rPr>
        <w:t xml:space="preserve"> </w:t>
      </w:r>
      <w:r>
        <w:rPr>
          <w:rStyle w:val="None"/>
          <w:noProof/>
          <w:color w:val="000000" w:themeColor="text1"/>
          <w:lang w:val="en-GB"/>
        </w:rPr>
        <w:t xml:space="preserve">Legislation regarding foreign control over certain European assets already exists in very specific instances, in particular where the EU defines criteria for authorisation of operators based, </w:t>
      </w:r>
      <w:r>
        <w:rPr>
          <w:rStyle w:val="None"/>
          <w:i/>
          <w:iCs/>
          <w:noProof/>
          <w:color w:val="000000" w:themeColor="text1"/>
          <w:lang w:val="en-GB"/>
        </w:rPr>
        <w:t>inter alia</w:t>
      </w:r>
      <w:r>
        <w:rPr>
          <w:rStyle w:val="None"/>
          <w:noProof/>
          <w:color w:val="000000" w:themeColor="text1"/>
          <w:lang w:val="en-GB"/>
        </w:rPr>
        <w:t xml:space="preserve">, on the nationality of ownership. For instance, an </w:t>
      </w:r>
      <w:r>
        <w:rPr>
          <w:rStyle w:val="None"/>
          <w:noProof/>
          <w:color w:val="000000" w:themeColor="text1"/>
          <w:u w:color="FF2600"/>
          <w:lang w:val="en-GB"/>
        </w:rPr>
        <w:t>ai</w:t>
      </w:r>
      <w:r>
        <w:rPr>
          <w:rStyle w:val="None"/>
          <w:noProof/>
          <w:color w:val="000000" w:themeColor="text1"/>
          <w:u w:color="FF2600"/>
          <w:lang w:val="en-GB"/>
        </w:rPr>
        <w:t>r</w:t>
      </w:r>
      <w:r>
        <w:rPr>
          <w:rStyle w:val="None"/>
          <w:noProof/>
          <w:color w:val="000000" w:themeColor="text1"/>
          <w:lang w:val="en-GB"/>
        </w:rPr>
        <w:t xml:space="preserve"> carrier cannot be licensed in the EU if 50 per cent or more of its shares are owned by </w:t>
      </w:r>
      <w:r>
        <w:rPr>
          <w:rStyle w:val="None"/>
          <w:noProof/>
          <w:color w:val="000000" w:themeColor="text1"/>
          <w:u w:color="FF2600"/>
          <w:lang w:val="en-GB"/>
        </w:rPr>
        <w:t xml:space="preserve">non-EU persons, </w:t>
      </w:r>
      <w:r>
        <w:rPr>
          <w:rStyle w:val="None"/>
          <w:noProof/>
          <w:color w:val="000000" w:themeColor="text1"/>
          <w:lang w:val="en-GB"/>
        </w:rPr>
        <w:t>unless an agreement exists with its home country.</w:t>
      </w:r>
      <w:r>
        <w:rPr>
          <w:rStyle w:val="None"/>
          <w:noProof/>
          <w:color w:val="000000" w:themeColor="text1"/>
          <w:vertAlign w:val="superscript"/>
          <w:lang w:val="en-GB"/>
        </w:rPr>
        <w:footnoteReference w:id="24"/>
      </w:r>
      <w:r>
        <w:rPr>
          <w:rStyle w:val="None"/>
          <w:noProof/>
          <w:color w:val="000000" w:themeColor="text1"/>
          <w:lang w:val="en-GB"/>
        </w:rPr>
        <w:t xml:space="preserve"> In the same vein, in accordance with EU energy rules, a gas or electricity transmission system opera</w:t>
      </w:r>
      <w:r>
        <w:rPr>
          <w:rStyle w:val="None"/>
          <w:noProof/>
          <w:color w:val="000000" w:themeColor="text1"/>
          <w:lang w:val="en-GB"/>
        </w:rPr>
        <w:t>tor controlled by a third country cannot operate in the EU unless it has been demonstrated in the process of certification that it will not put at risk the security of energy supply to the Member State in which it would operate or to the Union.</w:t>
      </w:r>
      <w:r>
        <w:rPr>
          <w:rStyle w:val="None"/>
          <w:noProof/>
          <w:color w:val="000000" w:themeColor="text1"/>
          <w:vertAlign w:val="superscript"/>
          <w:lang w:val="en-GB"/>
        </w:rPr>
        <w:footnoteReference w:id="25"/>
      </w:r>
      <w:r>
        <w:rPr>
          <w:rStyle w:val="None"/>
          <w:noProof/>
          <w:color w:val="000000" w:themeColor="text1"/>
          <w:lang w:val="en-GB"/>
        </w:rPr>
        <w:t>Another exa</w:t>
      </w:r>
      <w:r>
        <w:rPr>
          <w:rStyle w:val="None"/>
          <w:noProof/>
          <w:color w:val="000000" w:themeColor="text1"/>
          <w:lang w:val="en-GB"/>
        </w:rPr>
        <w:t>mple are EU rules for granting and using authorisations for the prospection, exploration and production of hydrocarbons</w:t>
      </w:r>
      <w:r>
        <w:rPr>
          <w:rStyle w:val="FootnoteReference"/>
          <w:noProof/>
          <w:color w:val="000000" w:themeColor="text1"/>
          <w:lang w:val="en-GB"/>
        </w:rPr>
        <w:footnoteReference w:id="26"/>
      </w:r>
      <w:r>
        <w:rPr>
          <w:rStyle w:val="None"/>
          <w:noProof/>
          <w:color w:val="000000" w:themeColor="text1"/>
          <w:lang w:val="en-GB"/>
        </w:rPr>
        <w:t xml:space="preserve"> which provide that Member States may, on grounds of national security, refuse to allow access to and exercise of these activities to an</w:t>
      </w:r>
      <w:r>
        <w:rPr>
          <w:rStyle w:val="None"/>
          <w:noProof/>
          <w:color w:val="000000" w:themeColor="text1"/>
          <w:lang w:val="en-GB"/>
        </w:rPr>
        <w:t xml:space="preserve">y entity which is effectively controlled by third countries or third country nationals. </w:t>
      </w:r>
    </w:p>
    <w:p w:rsidR="00DE03C3" w:rsidRDefault="007E1FD3">
      <w:pPr>
        <w:pStyle w:val="BodyBA"/>
        <w:numPr>
          <w:ilvl w:val="0"/>
          <w:numId w:val="15"/>
        </w:numPr>
        <w:spacing w:after="200"/>
        <w:jc w:val="both"/>
        <w:rPr>
          <w:rStyle w:val="None"/>
          <w:noProof/>
          <w:color w:val="000000" w:themeColor="text1"/>
          <w:lang w:val="en-GB"/>
        </w:rPr>
      </w:pPr>
      <w:r>
        <w:rPr>
          <w:rStyle w:val="None"/>
          <w:noProof/>
          <w:color w:val="000000" w:themeColor="text1"/>
          <w:lang w:val="en-GB"/>
        </w:rPr>
        <w:t>The Commission's 2014 European Energy Security Strategy</w:t>
      </w:r>
      <w:r>
        <w:rPr>
          <w:rStyle w:val="FootnoteReference"/>
          <w:noProof/>
          <w:color w:val="000000" w:themeColor="text1"/>
          <w:u w:color="FF0000"/>
          <w:lang w:val="en-GB"/>
        </w:rPr>
        <w:footnoteReference w:id="27"/>
      </w:r>
      <w:r>
        <w:rPr>
          <w:rStyle w:val="None"/>
          <w:noProof/>
          <w:color w:val="000000" w:themeColor="text1"/>
          <w:lang w:val="en-GB"/>
        </w:rPr>
        <w:t xml:space="preserve"> envisaged launching </w:t>
      </w:r>
      <w:r>
        <w:rPr>
          <w:rStyle w:val="None"/>
          <w:noProof/>
          <w:color w:val="000000" w:themeColor="text1"/>
          <w:u w:color="FF0000"/>
          <w:lang w:val="en-GB"/>
        </w:rPr>
        <w:t xml:space="preserve">a </w:t>
      </w:r>
      <w:r>
        <w:rPr>
          <w:rStyle w:val="None"/>
          <w:b/>
          <w:noProof/>
          <w:color w:val="000000" w:themeColor="text1"/>
          <w:u w:color="FF0000"/>
          <w:lang w:val="en-GB"/>
        </w:rPr>
        <w:t xml:space="preserve">wider debate on the control of strategic infrastructures in the energy sector by non-EU </w:t>
      </w:r>
      <w:r>
        <w:rPr>
          <w:rStyle w:val="None"/>
          <w:b/>
          <w:noProof/>
          <w:color w:val="000000" w:themeColor="text1"/>
          <w:u w:color="FF0000"/>
          <w:lang w:val="en-GB"/>
        </w:rPr>
        <w:t>entities</w:t>
      </w:r>
      <w:r>
        <w:rPr>
          <w:rStyle w:val="None"/>
          <w:noProof/>
          <w:color w:val="000000" w:themeColor="text1"/>
          <w:u w:color="FF0000"/>
          <w:lang w:val="en-GB"/>
        </w:rPr>
        <w:t xml:space="preserve">, notably state-owned enterprises, national banks or sovereign funds from key supplier countries that aim at penetrating the EU market and where there is a risk that they hamper diversification of supplies and the development of the EU network and </w:t>
      </w:r>
      <w:r>
        <w:rPr>
          <w:rStyle w:val="None"/>
          <w:noProof/>
          <w:color w:val="000000" w:themeColor="text1"/>
          <w:u w:color="FF0000"/>
          <w:lang w:val="en-GB"/>
        </w:rPr>
        <w:t xml:space="preserve">infrastructure. As </w:t>
      </w:r>
      <w:r>
        <w:rPr>
          <w:rStyle w:val="None"/>
          <w:noProof/>
          <w:color w:val="000000" w:themeColor="text1"/>
          <w:lang w:val="en-GB"/>
        </w:rPr>
        <w:t>a first step, the Commission has</w:t>
      </w:r>
      <w:r>
        <w:rPr>
          <w:rStyle w:val="None"/>
          <w:rFonts w:eastAsia="Times New Roman" w:cs="Times New Roman"/>
          <w:noProof/>
          <w:color w:val="000000" w:themeColor="text1"/>
          <w:lang w:val="en-GB"/>
        </w:rPr>
        <w:t xml:space="preserve"> tabled legislative proposals regarding the security of gas and electricity supply that would require Member States to assess the risks posed by foreign control or ownership of gas and electricity infrastr</w:t>
      </w:r>
      <w:r>
        <w:rPr>
          <w:rStyle w:val="None"/>
          <w:rFonts w:eastAsia="Times New Roman" w:cs="Times New Roman"/>
          <w:noProof/>
          <w:color w:val="000000" w:themeColor="text1"/>
          <w:lang w:val="en-GB"/>
        </w:rPr>
        <w:t>uctures, and to adopt measures they deem necessary and which are subject to review by the Commission and/or by an experts group.</w:t>
      </w:r>
      <w:r>
        <w:rPr>
          <w:rStyle w:val="None"/>
          <w:rFonts w:eastAsia="Times New Roman" w:cs="Times New Roman"/>
          <w:noProof/>
          <w:color w:val="000000" w:themeColor="text1"/>
          <w:vertAlign w:val="superscript"/>
          <w:lang w:val="en-GB"/>
        </w:rPr>
        <w:footnoteReference w:id="28"/>
      </w:r>
    </w:p>
    <w:p w:rsidR="00DE03C3" w:rsidRDefault="007E1FD3">
      <w:pPr>
        <w:pStyle w:val="BodyBA"/>
        <w:spacing w:after="200"/>
        <w:jc w:val="both"/>
        <w:rPr>
          <w:rStyle w:val="None"/>
          <w:noProof/>
          <w:color w:val="000000" w:themeColor="text1"/>
          <w:u w:color="FF0000"/>
          <w:lang w:val="en-GB"/>
        </w:rPr>
      </w:pPr>
      <w:r>
        <w:rPr>
          <w:rStyle w:val="None"/>
          <w:noProof/>
          <w:color w:val="000000" w:themeColor="text1"/>
          <w:u w:color="FF0000"/>
          <w:lang w:val="en-GB"/>
        </w:rPr>
        <w:t xml:space="preserve">However, in spite of these sectorial initiatives, there is, so far, no comprehensive legal framework at the EU level which addresses the security and public order risks that certain </w:t>
      </w:r>
      <w:r>
        <w:rPr>
          <w:rStyle w:val="None"/>
          <w:noProof/>
          <w:color w:val="000000" w:themeColor="text1"/>
          <w:u w:color="FF2600"/>
          <w:lang w:val="en-GB"/>
        </w:rPr>
        <w:t xml:space="preserve">foreign direct investment </w:t>
      </w:r>
      <w:r>
        <w:rPr>
          <w:rStyle w:val="None"/>
          <w:noProof/>
          <w:color w:val="000000" w:themeColor="text1"/>
          <w:u w:color="FF0000"/>
          <w:lang w:val="en-GB"/>
        </w:rPr>
        <w:t>from third countries may pose.</w:t>
      </w:r>
    </w:p>
    <w:p w:rsidR="00DE03C3" w:rsidRDefault="00DE03C3">
      <w:pPr>
        <w:rPr>
          <w:rStyle w:val="None"/>
          <w:b/>
          <w:bCs/>
          <w:noProof/>
          <w:color w:val="000000" w:themeColor="text1"/>
          <w:lang w:val="en-GB"/>
        </w:rPr>
      </w:pPr>
    </w:p>
    <w:p w:rsidR="00DE03C3" w:rsidRDefault="007E1FD3">
      <w:pPr>
        <w:pStyle w:val="ListParagraph"/>
        <w:numPr>
          <w:ilvl w:val="0"/>
          <w:numId w:val="2"/>
        </w:numPr>
        <w:jc w:val="both"/>
        <w:rPr>
          <w:rFonts w:ascii="Times New Roman" w:hAnsi="Times New Roman"/>
          <w:b/>
          <w:noProof/>
          <w:sz w:val="24"/>
          <w:szCs w:val="24"/>
          <w:lang w:val="en-GB"/>
        </w:rPr>
      </w:pPr>
      <w:r>
        <w:rPr>
          <w:rFonts w:ascii="Times New Roman" w:hAnsi="Times New Roman"/>
          <w:b/>
          <w:noProof/>
          <w:sz w:val="24"/>
          <w:szCs w:val="24"/>
          <w:lang w:val="en-GB"/>
        </w:rPr>
        <w:t>Towards an EU fr</w:t>
      </w:r>
      <w:r>
        <w:rPr>
          <w:rFonts w:ascii="Times New Roman" w:hAnsi="Times New Roman"/>
          <w:b/>
          <w:noProof/>
          <w:sz w:val="24"/>
          <w:szCs w:val="24"/>
          <w:lang w:val="en-GB"/>
        </w:rPr>
        <w:t xml:space="preserve">amework to screen </w:t>
      </w:r>
      <w:r>
        <w:rPr>
          <w:rFonts w:ascii="Times New Roman" w:hAnsi="Times New Roman"/>
          <w:b/>
          <w:bCs/>
          <w:noProof/>
          <w:sz w:val="24"/>
          <w:szCs w:val="24"/>
          <w:lang w:val="en-GB"/>
        </w:rPr>
        <w:t>foreign direct investment</w:t>
      </w:r>
      <w:r>
        <w:rPr>
          <w:rFonts w:ascii="Times New Roman" w:hAnsi="Times New Roman"/>
          <w:b/>
          <w:noProof/>
          <w:sz w:val="24"/>
          <w:szCs w:val="24"/>
          <w:lang w:val="en-GB"/>
        </w:rPr>
        <w:t xml:space="preserve"> on security or public order grounds</w:t>
      </w:r>
    </w:p>
    <w:p w:rsidR="00DE03C3" w:rsidRDefault="007E1FD3">
      <w:pPr>
        <w:pStyle w:val="ListParagraph"/>
        <w:numPr>
          <w:ilvl w:val="1"/>
          <w:numId w:val="19"/>
        </w:numPr>
        <w:jc w:val="both"/>
        <w:rPr>
          <w:rStyle w:val="None"/>
          <w:rFonts w:ascii="Times New Roman" w:hAnsi="Times New Roman" w:cs="Times New Roman"/>
          <w:b/>
          <w:noProof/>
          <w:sz w:val="24"/>
          <w:szCs w:val="24"/>
          <w:u w:color="FF0000"/>
          <w:lang w:val="en-GB"/>
        </w:rPr>
      </w:pPr>
      <w:r>
        <w:rPr>
          <w:rStyle w:val="None"/>
          <w:rFonts w:ascii="Times New Roman" w:hAnsi="Times New Roman" w:cs="Times New Roman"/>
          <w:b/>
          <w:noProof/>
          <w:sz w:val="24"/>
          <w:szCs w:val="24"/>
          <w:u w:color="FF0000"/>
          <w:lang w:val="en-GB"/>
        </w:rPr>
        <w:t>The case for action</w:t>
      </w:r>
    </w:p>
    <w:p w:rsidR="00DE03C3" w:rsidRDefault="007E1FD3">
      <w:pPr>
        <w:pStyle w:val="BodyA"/>
        <w:spacing w:before="240" w:line="240" w:lineRule="auto"/>
        <w:jc w:val="both"/>
        <w:rPr>
          <w:rStyle w:val="None"/>
          <w:rFonts w:ascii="Times New Roman" w:hAnsi="Times New Roman" w:cs="Times New Roman"/>
          <w:noProof/>
          <w:color w:val="000000" w:themeColor="text1"/>
          <w:sz w:val="24"/>
          <w:szCs w:val="24"/>
          <w:lang w:val="en-GB"/>
        </w:rPr>
      </w:pPr>
      <w:r>
        <w:rPr>
          <w:rStyle w:val="None"/>
          <w:rFonts w:ascii="Times New Roman" w:hAnsi="Times New Roman" w:cs="Times New Roman"/>
          <w:b/>
          <w:noProof/>
          <w:color w:val="000000" w:themeColor="text1"/>
          <w:sz w:val="24"/>
          <w:szCs w:val="24"/>
          <w:u w:color="FF0000"/>
          <w:lang w:val="en-GB"/>
        </w:rPr>
        <w:t>The Commission fully acknowledges the need to maintain the necessary flexibility for Member States to screen foreign direct investments</w:t>
      </w:r>
      <w:r>
        <w:rPr>
          <w:rStyle w:val="None"/>
          <w:rFonts w:ascii="Times New Roman" w:hAnsi="Times New Roman" w:cs="Times New Roman"/>
          <w:noProof/>
          <w:color w:val="000000" w:themeColor="text1"/>
          <w:sz w:val="24"/>
          <w:szCs w:val="24"/>
          <w:u w:color="FF0000"/>
          <w:lang w:val="en-GB"/>
        </w:rPr>
        <w:t>, taking into account</w:t>
      </w:r>
      <w:r>
        <w:rPr>
          <w:rStyle w:val="None"/>
          <w:rFonts w:ascii="Times New Roman" w:hAnsi="Times New Roman" w:cs="Times New Roman"/>
          <w:noProof/>
          <w:color w:val="000000" w:themeColor="text1"/>
          <w:sz w:val="24"/>
          <w:szCs w:val="24"/>
          <w:u w:color="FF0000"/>
          <w:lang w:val="en-GB"/>
        </w:rPr>
        <w:t xml:space="preserve"> their individual legitimate interests, different situations and national circumstances. At the same time, the European dimension of foreign direct investment is obvious, which is why it falls under the EU's Common Commercial Policy.</w:t>
      </w:r>
      <w:r>
        <w:rPr>
          <w:rStyle w:val="FootnoteReference"/>
          <w:rFonts w:ascii="Times New Roman" w:hAnsi="Times New Roman" w:cs="Times New Roman"/>
          <w:noProof/>
          <w:color w:val="000000" w:themeColor="text1"/>
          <w:sz w:val="24"/>
          <w:szCs w:val="24"/>
          <w:u w:color="FF0000"/>
          <w:lang w:val="en-GB"/>
        </w:rPr>
        <w:footnoteReference w:id="29"/>
      </w:r>
      <w:r>
        <w:rPr>
          <w:rStyle w:val="None"/>
          <w:rFonts w:ascii="Times New Roman" w:hAnsi="Times New Roman" w:cs="Times New Roman"/>
          <w:noProof/>
          <w:color w:val="000000" w:themeColor="text1"/>
          <w:sz w:val="24"/>
          <w:szCs w:val="24"/>
          <w:u w:color="FF0000"/>
          <w:lang w:val="en-GB"/>
        </w:rPr>
        <w:t xml:space="preserve"> Within the Internal M</w:t>
      </w:r>
      <w:r>
        <w:rPr>
          <w:rStyle w:val="None"/>
          <w:rFonts w:ascii="Times New Roman" w:hAnsi="Times New Roman" w:cs="Times New Roman"/>
          <w:noProof/>
          <w:color w:val="000000" w:themeColor="text1"/>
          <w:sz w:val="24"/>
          <w:szCs w:val="24"/>
          <w:u w:color="FF0000"/>
          <w:lang w:val="en-GB"/>
        </w:rPr>
        <w:t xml:space="preserve">arket, EU companies increasingly make use of the freedom of establishment and to provide services as well as of the free circulation of goods and capital, spreading their activities and their supply chains over several Member States, rather than operating </w:t>
      </w:r>
      <w:r>
        <w:rPr>
          <w:rStyle w:val="None"/>
          <w:rFonts w:ascii="Times New Roman" w:hAnsi="Times New Roman" w:cs="Times New Roman"/>
          <w:noProof/>
          <w:color w:val="000000" w:themeColor="text1"/>
          <w:sz w:val="24"/>
          <w:szCs w:val="24"/>
          <w:u w:color="FF0000"/>
          <w:lang w:val="en-GB"/>
        </w:rPr>
        <w:t>in just one. Third country investors also wish to reap the benefits of the Internal Market by investing in EU companies, which affords them considerable economies of scale and access to the Internal Market. Moreover, a foreign direct investment in one Memb</w:t>
      </w:r>
      <w:r>
        <w:rPr>
          <w:rStyle w:val="None"/>
          <w:rFonts w:ascii="Times New Roman" w:hAnsi="Times New Roman" w:cs="Times New Roman"/>
          <w:noProof/>
          <w:color w:val="000000" w:themeColor="text1"/>
          <w:sz w:val="24"/>
          <w:szCs w:val="24"/>
          <w:u w:color="FF0000"/>
          <w:lang w:val="en-GB"/>
        </w:rPr>
        <w:t xml:space="preserve">er State may have implications for the security or public order of another Member State or for the EU as a whole. Such cross-border impact cannot always be fully considered and assessed within national mechanisms. Moreover, </w:t>
      </w:r>
      <w:r>
        <w:rPr>
          <w:rStyle w:val="None"/>
          <w:rFonts w:ascii="Times New Roman" w:hAnsi="Times New Roman" w:cs="Times New Roman"/>
          <w:noProof/>
          <w:color w:val="000000" w:themeColor="text1"/>
          <w:sz w:val="24"/>
          <w:szCs w:val="24"/>
          <w:lang w:val="en-GB"/>
        </w:rPr>
        <w:t>there is a need to ensure a fram</w:t>
      </w:r>
      <w:r>
        <w:rPr>
          <w:rStyle w:val="None"/>
          <w:rFonts w:ascii="Times New Roman" w:hAnsi="Times New Roman" w:cs="Times New Roman"/>
          <w:noProof/>
          <w:color w:val="000000" w:themeColor="text1"/>
          <w:sz w:val="24"/>
          <w:szCs w:val="24"/>
          <w:lang w:val="en-GB"/>
        </w:rPr>
        <w:t xml:space="preserve">ework that protects assets that have a significant European dimension given their links to programmes or projects of Union interest such as, for instance, the European global satellite-based navigation system (Galileo). </w:t>
      </w:r>
    </w:p>
    <w:p w:rsidR="00DE03C3" w:rsidRDefault="007E1FD3">
      <w:pPr>
        <w:pStyle w:val="BodyA"/>
        <w:spacing w:before="240" w:line="240" w:lineRule="auto"/>
        <w:jc w:val="both"/>
        <w:rPr>
          <w:rStyle w:val="None"/>
          <w:rFonts w:ascii="Times New Roman" w:hAnsi="Times New Roman"/>
          <w:noProof/>
          <w:color w:val="000000" w:themeColor="text1"/>
          <w:sz w:val="24"/>
          <w:szCs w:val="24"/>
          <w:u w:color="FF0000"/>
          <w:lang w:val="en-GB"/>
        </w:rPr>
      </w:pPr>
      <w:r>
        <w:rPr>
          <w:rStyle w:val="None"/>
          <w:rFonts w:ascii="Times New Roman" w:hAnsi="Times New Roman"/>
          <w:noProof/>
          <w:color w:val="000000" w:themeColor="text1"/>
          <w:sz w:val="24"/>
          <w:szCs w:val="24"/>
          <w:u w:color="FF0000"/>
          <w:lang w:val="en-GB"/>
        </w:rPr>
        <w:t xml:space="preserve">The Commission considers that </w:t>
      </w:r>
      <w:r>
        <w:rPr>
          <w:rStyle w:val="None"/>
          <w:rFonts w:ascii="Times New Roman" w:hAnsi="Times New Roman"/>
          <w:b/>
          <w:noProof/>
          <w:color w:val="000000" w:themeColor="text1"/>
          <w:sz w:val="24"/>
          <w:szCs w:val="24"/>
          <w:u w:color="FF0000"/>
          <w:lang w:val="en-GB"/>
        </w:rPr>
        <w:t>close</w:t>
      </w:r>
      <w:r>
        <w:rPr>
          <w:rStyle w:val="None"/>
          <w:rFonts w:ascii="Times New Roman" w:hAnsi="Times New Roman"/>
          <w:b/>
          <w:noProof/>
          <w:color w:val="000000" w:themeColor="text1"/>
          <w:sz w:val="24"/>
          <w:szCs w:val="24"/>
          <w:u w:color="FF0000"/>
          <w:lang w:val="en-GB"/>
        </w:rPr>
        <w:t>r cooperation and better coordination between Member States is essential</w:t>
      </w:r>
      <w:r>
        <w:rPr>
          <w:rStyle w:val="None"/>
          <w:rFonts w:ascii="Times New Roman" w:hAnsi="Times New Roman"/>
          <w:noProof/>
          <w:color w:val="000000" w:themeColor="text1"/>
          <w:sz w:val="24"/>
          <w:szCs w:val="24"/>
          <w:u w:color="FF0000"/>
          <w:lang w:val="en-GB"/>
        </w:rPr>
        <w:t xml:space="preserve"> to respond to the changing investment landscape and to enhance synergies between the respective prerogatives of the EU and Member States. </w:t>
      </w:r>
      <w:r>
        <w:rPr>
          <w:rStyle w:val="None"/>
          <w:rFonts w:ascii="Times New Roman" w:hAnsi="Times New Roman"/>
          <w:b/>
          <w:noProof/>
          <w:color w:val="000000" w:themeColor="text1"/>
          <w:sz w:val="24"/>
          <w:szCs w:val="24"/>
          <w:u w:color="FF0000"/>
          <w:lang w:val="en-GB"/>
        </w:rPr>
        <w:t>The Commission therefore suggests taking furt</w:t>
      </w:r>
      <w:r>
        <w:rPr>
          <w:rStyle w:val="None"/>
          <w:rFonts w:ascii="Times New Roman" w:hAnsi="Times New Roman"/>
          <w:b/>
          <w:noProof/>
          <w:color w:val="000000" w:themeColor="text1"/>
          <w:sz w:val="24"/>
          <w:szCs w:val="24"/>
          <w:u w:color="FF0000"/>
          <w:lang w:val="en-GB"/>
        </w:rPr>
        <w:t>her measures as regards those investments from third countries that may raise security and public order concerns.</w:t>
      </w:r>
    </w:p>
    <w:p w:rsidR="00DE03C3" w:rsidRDefault="007E1FD3">
      <w:pPr>
        <w:pStyle w:val="BodyA"/>
        <w:spacing w:before="240" w:line="240" w:lineRule="auto"/>
        <w:jc w:val="both"/>
        <w:rPr>
          <w:rStyle w:val="None"/>
          <w:rFonts w:ascii="Times New Roman" w:hAnsi="Times New Roman"/>
          <w:noProof/>
          <w:color w:val="000000" w:themeColor="text1"/>
          <w:sz w:val="24"/>
          <w:szCs w:val="24"/>
          <w:u w:color="FF0000"/>
          <w:lang w:val="en-GB"/>
        </w:rPr>
      </w:pPr>
      <w:r>
        <w:rPr>
          <w:rStyle w:val="None"/>
          <w:rFonts w:ascii="Times New Roman" w:hAnsi="Times New Roman"/>
          <w:noProof/>
          <w:color w:val="000000" w:themeColor="text1"/>
          <w:sz w:val="24"/>
          <w:szCs w:val="24"/>
          <w:u w:color="FF0000"/>
          <w:lang w:val="en-GB"/>
        </w:rPr>
        <w:t xml:space="preserve">In this context, the </w:t>
      </w:r>
      <w:r>
        <w:rPr>
          <w:rStyle w:val="None"/>
          <w:rFonts w:ascii="Times New Roman" w:hAnsi="Times New Roman"/>
          <w:b/>
          <w:noProof/>
          <w:color w:val="000000" w:themeColor="text1"/>
          <w:sz w:val="24"/>
          <w:szCs w:val="24"/>
          <w:u w:color="FF0000"/>
          <w:lang w:val="en-GB"/>
        </w:rPr>
        <w:t>specific objectives</w:t>
      </w:r>
      <w:r>
        <w:rPr>
          <w:rStyle w:val="None"/>
          <w:rFonts w:ascii="Times New Roman" w:hAnsi="Times New Roman"/>
          <w:noProof/>
          <w:color w:val="000000" w:themeColor="text1"/>
          <w:sz w:val="24"/>
          <w:szCs w:val="24"/>
          <w:u w:color="FF0000"/>
          <w:lang w:val="en-GB"/>
        </w:rPr>
        <w:t xml:space="preserve"> to be achieved are the following:</w:t>
      </w:r>
    </w:p>
    <w:p w:rsidR="00DE03C3" w:rsidRDefault="007E1FD3">
      <w:pPr>
        <w:pStyle w:val="BodyA"/>
        <w:numPr>
          <w:ilvl w:val="1"/>
          <w:numId w:val="4"/>
        </w:numPr>
        <w:spacing w:after="0" w:line="240" w:lineRule="auto"/>
        <w:jc w:val="both"/>
        <w:rPr>
          <w:rFonts w:ascii="Times New Roman" w:eastAsia="Times New Roman" w:hAnsi="Times New Roman" w:cs="Times New Roman"/>
          <w:noProof/>
          <w:color w:val="000000" w:themeColor="text1"/>
          <w:sz w:val="24"/>
          <w:szCs w:val="24"/>
          <w:lang w:val="en-GB"/>
        </w:rPr>
      </w:pPr>
      <w:r>
        <w:rPr>
          <w:rStyle w:val="None"/>
          <w:rFonts w:ascii="Times New Roman" w:hAnsi="Times New Roman" w:cs="Times New Roman"/>
          <w:noProof/>
          <w:color w:val="000000" w:themeColor="text1"/>
          <w:sz w:val="24"/>
          <w:szCs w:val="24"/>
          <w:u w:color="FF0000"/>
          <w:lang w:val="en-GB"/>
        </w:rPr>
        <w:t>provide a coherent framework to screen foreign direct investment in</w:t>
      </w:r>
      <w:r>
        <w:rPr>
          <w:rStyle w:val="None"/>
          <w:rFonts w:ascii="Times New Roman" w:hAnsi="Times New Roman" w:cs="Times New Roman"/>
          <w:noProof/>
          <w:color w:val="000000" w:themeColor="text1"/>
          <w:sz w:val="24"/>
          <w:szCs w:val="24"/>
          <w:u w:color="FF0000"/>
          <w:lang w:val="en-GB"/>
        </w:rPr>
        <w:t xml:space="preserve"> the EU on grounds of security or public order, without impinging on Member States' national prerogatives</w:t>
      </w:r>
      <w:r>
        <w:rPr>
          <w:rFonts w:ascii="Times New Roman" w:hAnsi="Times New Roman" w:cs="Times New Roman"/>
          <w:noProof/>
          <w:color w:val="000000" w:themeColor="text1"/>
          <w:sz w:val="24"/>
          <w:szCs w:val="24"/>
          <w:lang w:val="en-GB"/>
        </w:rPr>
        <w:t>;</w:t>
      </w:r>
    </w:p>
    <w:p w:rsidR="00DE03C3" w:rsidRDefault="007E1FD3">
      <w:pPr>
        <w:pStyle w:val="BodyA"/>
        <w:numPr>
          <w:ilvl w:val="1"/>
          <w:numId w:val="4"/>
        </w:numPr>
        <w:spacing w:after="0" w:line="240" w:lineRule="auto"/>
        <w:jc w:val="both"/>
        <w:rPr>
          <w:rFonts w:ascii="Times New Roman" w:eastAsia="Times New Roman" w:hAnsi="Times New Roman" w:cs="Times New Roman"/>
          <w:noProof/>
          <w:color w:val="000000" w:themeColor="text1"/>
          <w:sz w:val="24"/>
          <w:szCs w:val="24"/>
          <w:lang w:val="en-GB"/>
        </w:rPr>
      </w:pPr>
      <w:r>
        <w:rPr>
          <w:rStyle w:val="None"/>
          <w:rFonts w:ascii="Times New Roman" w:hAnsi="Times New Roman" w:cs="Times New Roman"/>
          <w:noProof/>
          <w:color w:val="000000" w:themeColor="text1"/>
          <w:sz w:val="24"/>
          <w:szCs w:val="24"/>
          <w:u w:color="FF0000"/>
          <w:lang w:val="en-GB"/>
        </w:rPr>
        <w:t xml:space="preserve">facilitate close and systematic cooperation among Member States and between Member States and the Commission with regard to the screening of certain </w:t>
      </w:r>
      <w:r>
        <w:rPr>
          <w:rStyle w:val="None"/>
          <w:rFonts w:ascii="Times New Roman" w:hAnsi="Times New Roman"/>
          <w:noProof/>
          <w:color w:val="000000" w:themeColor="text1"/>
          <w:sz w:val="24"/>
          <w:szCs w:val="24"/>
          <w:u w:color="FF0000"/>
          <w:lang w:val="en-GB"/>
        </w:rPr>
        <w:t>foreign direct investment</w:t>
      </w:r>
      <w:r>
        <w:rPr>
          <w:rStyle w:val="None"/>
          <w:rFonts w:ascii="Times New Roman" w:hAnsi="Times New Roman" w:cs="Times New Roman"/>
          <w:noProof/>
          <w:color w:val="000000" w:themeColor="text1"/>
          <w:sz w:val="24"/>
          <w:szCs w:val="24"/>
          <w:u w:color="FF0000"/>
          <w:lang w:val="en-GB"/>
        </w:rPr>
        <w:t xml:space="preserve"> when these raise security or public order concerns, including strengthened </w:t>
      </w:r>
      <w:r>
        <w:rPr>
          <w:rFonts w:ascii="Times New Roman" w:eastAsia="Times New Roman" w:hAnsi="Times New Roman" w:cs="Times New Roman"/>
          <w:noProof/>
          <w:color w:val="000000" w:themeColor="text1"/>
          <w:sz w:val="24"/>
          <w:szCs w:val="24"/>
          <w:lang w:val="en-GB"/>
        </w:rPr>
        <w:t>exchange of information;</w:t>
      </w:r>
    </w:p>
    <w:p w:rsidR="00DE03C3" w:rsidRDefault="007E1FD3">
      <w:pPr>
        <w:pStyle w:val="BodyA"/>
        <w:numPr>
          <w:ilvl w:val="1"/>
          <w:numId w:val="4"/>
        </w:numPr>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noProof/>
          <w:color w:val="000000" w:themeColor="text1"/>
          <w:sz w:val="24"/>
          <w:szCs w:val="24"/>
          <w:lang w:val="en-GB"/>
        </w:rPr>
        <w:t xml:space="preserve">increase transparency of </w:t>
      </w:r>
      <w:r>
        <w:rPr>
          <w:rStyle w:val="None"/>
          <w:rFonts w:ascii="Times New Roman" w:hAnsi="Times New Roman"/>
          <w:noProof/>
          <w:color w:val="000000" w:themeColor="text1"/>
          <w:sz w:val="24"/>
          <w:szCs w:val="24"/>
          <w:u w:color="FF0000"/>
          <w:lang w:val="en-GB"/>
        </w:rPr>
        <w:t>foreign direct investment</w:t>
      </w:r>
      <w:r>
        <w:rPr>
          <w:rFonts w:ascii="Times New Roman" w:hAnsi="Times New Roman"/>
          <w:noProof/>
          <w:color w:val="000000" w:themeColor="text1"/>
          <w:sz w:val="24"/>
          <w:szCs w:val="24"/>
          <w:lang w:val="en-GB"/>
        </w:rPr>
        <w:t xml:space="preserve"> that may have an impact on security or public order;</w:t>
      </w:r>
    </w:p>
    <w:p w:rsidR="00DE03C3" w:rsidRDefault="007E1FD3">
      <w:pPr>
        <w:pStyle w:val="BodyA"/>
        <w:numPr>
          <w:ilvl w:val="1"/>
          <w:numId w:val="4"/>
        </w:numPr>
        <w:spacing w:after="0" w:line="240" w:lineRule="auto"/>
        <w:jc w:val="both"/>
        <w:rPr>
          <w:rStyle w:val="None"/>
          <w:rFonts w:ascii="Times New Roman" w:eastAsia="Times New Roman" w:hAnsi="Times New Roman" w:cs="Times New Roman"/>
          <w:noProof/>
          <w:color w:val="000000" w:themeColor="text1"/>
          <w:sz w:val="24"/>
          <w:szCs w:val="24"/>
          <w:u w:color="FF0000"/>
          <w:lang w:val="en-GB"/>
        </w:rPr>
      </w:pPr>
      <w:r>
        <w:rPr>
          <w:rFonts w:ascii="Times New Roman" w:hAnsi="Times New Roman"/>
          <w:noProof/>
          <w:color w:val="000000" w:themeColor="text1"/>
          <w:sz w:val="24"/>
          <w:szCs w:val="24"/>
          <w:lang w:val="en-GB"/>
        </w:rPr>
        <w:t xml:space="preserve">effectively </w:t>
      </w:r>
      <w:r>
        <w:rPr>
          <w:rStyle w:val="None"/>
          <w:rFonts w:ascii="Times New Roman" w:hAnsi="Times New Roman"/>
          <w:noProof/>
          <w:color w:val="000000" w:themeColor="text1"/>
          <w:sz w:val="24"/>
          <w:szCs w:val="24"/>
          <w:u w:color="FF0000"/>
          <w:lang w:val="en-GB"/>
        </w:rPr>
        <w:t xml:space="preserve">address cases </w:t>
      </w:r>
      <w:r>
        <w:rPr>
          <w:rStyle w:val="None"/>
          <w:rFonts w:ascii="Times New Roman" w:hAnsi="Times New Roman"/>
          <w:noProof/>
          <w:color w:val="000000" w:themeColor="text1"/>
          <w:sz w:val="24"/>
          <w:szCs w:val="24"/>
          <w:u w:color="FF0000"/>
          <w:lang w:val="en-GB"/>
        </w:rPr>
        <w:t>of foreign direct investment raising security or public order concerns in relation to projects or programmes of Union interest;</w:t>
      </w:r>
    </w:p>
    <w:p w:rsidR="00DE03C3" w:rsidRDefault="007E1FD3">
      <w:pPr>
        <w:pStyle w:val="BodyA"/>
        <w:numPr>
          <w:ilvl w:val="1"/>
          <w:numId w:val="4"/>
        </w:numPr>
        <w:spacing w:after="0" w:line="240" w:lineRule="auto"/>
        <w:jc w:val="both"/>
        <w:rPr>
          <w:rStyle w:val="None"/>
          <w:rFonts w:ascii="Times New Roman" w:eastAsia="Times New Roman" w:hAnsi="Times New Roman" w:cs="Times New Roman"/>
          <w:noProof/>
          <w:color w:val="000000" w:themeColor="text1"/>
          <w:sz w:val="24"/>
          <w:szCs w:val="24"/>
          <w:u w:color="1F487D"/>
          <w:lang w:val="en-GB"/>
        </w:rPr>
      </w:pPr>
      <w:r>
        <w:rPr>
          <w:rStyle w:val="None"/>
          <w:rFonts w:ascii="Times New Roman" w:hAnsi="Times New Roman"/>
          <w:noProof/>
          <w:color w:val="000000" w:themeColor="text1"/>
          <w:sz w:val="24"/>
          <w:szCs w:val="24"/>
          <w:u w:color="FF0000"/>
          <w:lang w:val="en-GB"/>
        </w:rPr>
        <w:t>prevent circumvention of national foreign direct investment screening mechanisms.</w:t>
      </w:r>
    </w:p>
    <w:p w:rsidR="00DE03C3" w:rsidRDefault="007E1FD3">
      <w:pPr>
        <w:pStyle w:val="BodyA"/>
        <w:spacing w:before="195" w:after="0" w:line="240" w:lineRule="auto"/>
        <w:jc w:val="both"/>
        <w:rPr>
          <w:rStyle w:val="None"/>
          <w:rFonts w:ascii="Times New Roman" w:eastAsia="Times New Roman" w:hAnsi="Times New Roman" w:cs="Times New Roman"/>
          <w:noProof/>
          <w:color w:val="000000" w:themeColor="text1"/>
          <w:sz w:val="24"/>
          <w:szCs w:val="24"/>
          <w:u w:color="FF0000"/>
          <w:lang w:val="en-GB"/>
        </w:rPr>
      </w:pPr>
      <w:r>
        <w:rPr>
          <w:rStyle w:val="None"/>
          <w:rFonts w:ascii="Times New Roman" w:hAnsi="Times New Roman"/>
          <w:noProof/>
          <w:color w:val="000000" w:themeColor="text1"/>
          <w:sz w:val="24"/>
          <w:szCs w:val="24"/>
          <w:u w:color="1F487D"/>
          <w:lang w:val="en-GB"/>
        </w:rPr>
        <w:t xml:space="preserve">Such action will be taken in full </w:t>
      </w:r>
      <w:r>
        <w:rPr>
          <w:rStyle w:val="None"/>
          <w:rFonts w:ascii="Times New Roman" w:hAnsi="Times New Roman"/>
          <w:noProof/>
          <w:color w:val="000000" w:themeColor="text1"/>
          <w:sz w:val="24"/>
          <w:szCs w:val="24"/>
          <w:u w:color="FF0000"/>
          <w:lang w:val="en-GB"/>
        </w:rPr>
        <w:t xml:space="preserve">respect of </w:t>
      </w:r>
      <w:r>
        <w:rPr>
          <w:rStyle w:val="None"/>
          <w:rFonts w:ascii="Times New Roman" w:hAnsi="Times New Roman"/>
          <w:noProof/>
          <w:color w:val="000000" w:themeColor="text1"/>
          <w:sz w:val="24"/>
          <w:szCs w:val="24"/>
          <w:u w:color="FF0000"/>
          <w:lang w:val="en-GB"/>
        </w:rPr>
        <w:t xml:space="preserve">obligations arising from the EU Treaties and international agreements and arrangements to which the EU and Member States are party. In this regard, where the EU or Member States have assumed international commitments on investment, the scope for action is </w:t>
      </w:r>
      <w:r>
        <w:rPr>
          <w:rStyle w:val="None"/>
          <w:rFonts w:ascii="Times New Roman" w:hAnsi="Times New Roman"/>
          <w:noProof/>
          <w:color w:val="000000" w:themeColor="text1"/>
          <w:sz w:val="24"/>
          <w:szCs w:val="24"/>
          <w:u w:color="FF0000"/>
          <w:lang w:val="en-GB"/>
        </w:rPr>
        <w:t>already framed by the corresponding security and public order exceptions.</w:t>
      </w:r>
    </w:p>
    <w:p w:rsidR="00DE03C3" w:rsidRDefault="007E1FD3">
      <w:pPr>
        <w:pStyle w:val="BodyA"/>
        <w:spacing w:before="195" w:after="0" w:line="240" w:lineRule="auto"/>
        <w:jc w:val="both"/>
        <w:rPr>
          <w:rStyle w:val="None"/>
          <w:rFonts w:ascii="Times New Roman" w:eastAsia="Times New Roman" w:hAnsi="Times New Roman" w:cs="Times New Roman"/>
          <w:noProof/>
          <w:color w:val="000000" w:themeColor="text1"/>
          <w:sz w:val="24"/>
          <w:szCs w:val="24"/>
          <w:u w:color="FF0000"/>
          <w:lang w:val="en-GB"/>
        </w:rPr>
      </w:pPr>
      <w:r>
        <w:rPr>
          <w:rStyle w:val="None"/>
          <w:rFonts w:ascii="Times New Roman" w:hAnsi="Times New Roman"/>
          <w:noProof/>
          <w:color w:val="000000" w:themeColor="text1"/>
          <w:sz w:val="24"/>
          <w:szCs w:val="24"/>
          <w:u w:color="FF0000"/>
          <w:lang w:val="en-GB"/>
        </w:rPr>
        <w:t>Furthermore, the Commission proposes measures that are proportionate and transparent while minimising the administrative burden on governments and investors. The proposal also ensure</w:t>
      </w:r>
      <w:r>
        <w:rPr>
          <w:rStyle w:val="None"/>
          <w:rFonts w:ascii="Times New Roman" w:hAnsi="Times New Roman"/>
          <w:noProof/>
          <w:color w:val="000000" w:themeColor="text1"/>
          <w:sz w:val="24"/>
          <w:szCs w:val="24"/>
          <w:u w:color="FF0000"/>
          <w:lang w:val="en-GB"/>
        </w:rPr>
        <w:t xml:space="preserve">s a rules-based, predictable, non-discriminatory investment regime between different third countries </w:t>
      </w:r>
      <w:r>
        <w:rPr>
          <w:rStyle w:val="None"/>
          <w:rFonts w:ascii="Times New Roman" w:hAnsi="Times New Roman" w:cs="Times New Roman"/>
          <w:noProof/>
          <w:color w:val="000000" w:themeColor="text1"/>
          <w:sz w:val="24"/>
          <w:szCs w:val="24"/>
          <w:u w:color="FF0000"/>
          <w:lang w:val="en-GB"/>
        </w:rPr>
        <w:t>in l</w:t>
      </w:r>
      <w:r>
        <w:rPr>
          <w:rFonts w:ascii="Times New Roman" w:hAnsi="Times New Roman" w:cs="Times New Roman"/>
          <w:noProof/>
          <w:sz w:val="24"/>
          <w:szCs w:val="24"/>
          <w:lang w:val="en-GB"/>
        </w:rPr>
        <w:t xml:space="preserve">ine with </w:t>
      </w:r>
      <w:r>
        <w:rPr>
          <w:rStyle w:val="None"/>
          <w:rFonts w:ascii="Times New Roman" w:hAnsi="Times New Roman" w:cs="Times New Roman"/>
          <w:noProof/>
          <w:sz w:val="24"/>
          <w:szCs w:val="24"/>
          <w:u w:color="FF0000"/>
          <w:lang w:val="en-GB"/>
        </w:rPr>
        <w:t>the principles set out in the relevant case law of the Court of Justice of the European Union.</w:t>
      </w:r>
      <w:r>
        <w:rPr>
          <w:rStyle w:val="FootnoteReference"/>
          <w:rFonts w:ascii="Times New Roman" w:hAnsi="Times New Roman"/>
          <w:noProof/>
          <w:color w:val="000000" w:themeColor="text1"/>
          <w:sz w:val="24"/>
          <w:szCs w:val="24"/>
          <w:u w:color="FF0000"/>
          <w:lang w:val="en-GB"/>
        </w:rPr>
        <w:footnoteReference w:id="30"/>
      </w:r>
    </w:p>
    <w:p w:rsidR="00DE03C3" w:rsidRDefault="00DE03C3">
      <w:pPr>
        <w:jc w:val="both"/>
        <w:rPr>
          <w:b/>
          <w:noProof/>
          <w:color w:val="000000" w:themeColor="text1"/>
          <w:lang w:val="en-GB"/>
        </w:rPr>
      </w:pPr>
    </w:p>
    <w:p w:rsidR="00DE03C3" w:rsidRDefault="007E1FD3">
      <w:pPr>
        <w:pStyle w:val="ListParagraph"/>
        <w:numPr>
          <w:ilvl w:val="1"/>
          <w:numId w:val="20"/>
        </w:numPr>
        <w:jc w:val="both"/>
        <w:rPr>
          <w:rStyle w:val="None"/>
          <w:rFonts w:ascii="Times New Roman" w:hAnsi="Times New Roman" w:cs="Times New Roman"/>
          <w:b/>
          <w:noProof/>
          <w:sz w:val="24"/>
          <w:szCs w:val="24"/>
          <w:u w:color="FF0000"/>
          <w:lang w:val="en-GB"/>
        </w:rPr>
      </w:pPr>
      <w:r>
        <w:rPr>
          <w:rStyle w:val="None"/>
          <w:rFonts w:ascii="Times New Roman" w:hAnsi="Times New Roman" w:cs="Times New Roman"/>
          <w:b/>
          <w:noProof/>
          <w:sz w:val="24"/>
          <w:szCs w:val="24"/>
          <w:u w:color="FF0000"/>
          <w:lang w:val="en-GB"/>
        </w:rPr>
        <w:t xml:space="preserve"> Proposed measures</w:t>
      </w:r>
    </w:p>
    <w:p w:rsidR="00DE03C3" w:rsidRDefault="007E1FD3">
      <w:pPr>
        <w:pStyle w:val="ListParagraph"/>
        <w:numPr>
          <w:ilvl w:val="1"/>
          <w:numId w:val="21"/>
        </w:numPr>
        <w:ind w:left="851"/>
        <w:jc w:val="both"/>
        <w:rPr>
          <w:rStyle w:val="None"/>
          <w:rFonts w:ascii="Times New Roman" w:hAnsi="Times New Roman" w:cs="Times New Roman"/>
          <w:b/>
          <w:bCs/>
          <w:noProof/>
          <w:color w:val="000000" w:themeColor="text1"/>
          <w:sz w:val="24"/>
          <w:szCs w:val="24"/>
          <w:u w:color="FF0000"/>
          <w:lang w:val="en-GB"/>
        </w:rPr>
      </w:pPr>
      <w:r>
        <w:rPr>
          <w:rStyle w:val="None"/>
          <w:rFonts w:ascii="Times New Roman" w:hAnsi="Times New Roman" w:cs="Times New Roman"/>
          <w:b/>
          <w:bCs/>
          <w:noProof/>
          <w:color w:val="000000" w:themeColor="text1"/>
          <w:sz w:val="24"/>
          <w:szCs w:val="24"/>
          <w:u w:color="FF0000"/>
          <w:lang w:val="en-GB"/>
        </w:rPr>
        <w:t>Proposal for a Regulation</w:t>
      </w:r>
    </w:p>
    <w:p w:rsidR="00DE03C3" w:rsidRDefault="007E1FD3">
      <w:pPr>
        <w:pStyle w:val="BodyA"/>
        <w:spacing w:after="0" w:line="240" w:lineRule="auto"/>
        <w:jc w:val="both"/>
        <w:rPr>
          <w:rFonts w:ascii="Times New Roman" w:hAnsi="Times New Roman" w:cs="Times New Roman"/>
          <w:noProof/>
          <w:color w:val="000000" w:themeColor="text1"/>
          <w:sz w:val="24"/>
          <w:szCs w:val="24"/>
          <w:u w:color="FF0000"/>
          <w:lang w:val="en-GB"/>
        </w:rPr>
      </w:pPr>
      <w:r>
        <w:rPr>
          <w:rStyle w:val="None"/>
          <w:rFonts w:ascii="Times New Roman" w:hAnsi="Times New Roman" w:cs="Times New Roman"/>
          <w:noProof/>
          <w:color w:val="000000" w:themeColor="text1"/>
          <w:sz w:val="24"/>
          <w:szCs w:val="24"/>
          <w:u w:color="FF0000"/>
          <w:lang w:val="en-GB"/>
        </w:rPr>
        <w:t xml:space="preserve">In parallel to this Communication, the Commission, in light of the above and acting on the basis of Article 207 TFEU, is putting forward </w:t>
      </w:r>
      <w:r>
        <w:rPr>
          <w:rStyle w:val="None"/>
          <w:rFonts w:ascii="Times New Roman" w:hAnsi="Times New Roman" w:cs="Times New Roman"/>
          <w:b/>
          <w:noProof/>
          <w:color w:val="000000" w:themeColor="text1"/>
          <w:sz w:val="24"/>
          <w:szCs w:val="24"/>
          <w:u w:color="FF0000"/>
          <w:lang w:val="en-GB"/>
        </w:rPr>
        <w:t xml:space="preserve">a proposal for a Regulation </w:t>
      </w:r>
      <w:r>
        <w:rPr>
          <w:rFonts w:ascii="Times New Roman" w:hAnsi="Times New Roman" w:cs="Times New Roman"/>
          <w:b/>
          <w:noProof/>
          <w:color w:val="000000" w:themeColor="text1"/>
          <w:sz w:val="24"/>
          <w:szCs w:val="24"/>
          <w:lang w:val="en-GB"/>
        </w:rPr>
        <w:t>establishing a framework to screen foreign direct investments in the EU</w:t>
      </w:r>
      <w:r>
        <w:rPr>
          <w:rFonts w:ascii="Times New Roman" w:hAnsi="Times New Roman" w:cs="Times New Roman"/>
          <w:noProof/>
          <w:color w:val="000000" w:themeColor="text1"/>
          <w:sz w:val="24"/>
          <w:szCs w:val="24"/>
          <w:u w:color="FF2600"/>
          <w:lang w:val="en-GB"/>
        </w:rPr>
        <w:t>.</w:t>
      </w:r>
    </w:p>
    <w:p w:rsidR="00DE03C3" w:rsidRDefault="00DE03C3">
      <w:pPr>
        <w:pStyle w:val="BodyA"/>
        <w:spacing w:after="0" w:line="240" w:lineRule="auto"/>
        <w:jc w:val="both"/>
        <w:rPr>
          <w:rFonts w:ascii="Times New Roman" w:hAnsi="Times New Roman" w:cs="Times New Roman"/>
          <w:noProof/>
          <w:color w:val="000000" w:themeColor="text1"/>
          <w:sz w:val="24"/>
          <w:szCs w:val="24"/>
          <w:u w:color="FF0000"/>
          <w:lang w:val="en-GB"/>
        </w:rPr>
      </w:pPr>
    </w:p>
    <w:p w:rsidR="00DE03C3" w:rsidRDefault="007E1FD3">
      <w:pPr>
        <w:pStyle w:val="BodyA"/>
        <w:spacing w:after="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proposal esta</w:t>
      </w:r>
      <w:r>
        <w:rPr>
          <w:rFonts w:ascii="Times New Roman" w:hAnsi="Times New Roman" w:cs="Times New Roman"/>
          <w:noProof/>
          <w:color w:val="000000" w:themeColor="text1"/>
          <w:sz w:val="24"/>
          <w:szCs w:val="24"/>
          <w:lang w:val="en-GB"/>
        </w:rPr>
        <w:t xml:space="preserve">blishes a </w:t>
      </w:r>
      <w:r>
        <w:rPr>
          <w:rFonts w:ascii="Times New Roman" w:hAnsi="Times New Roman" w:cs="Times New Roman"/>
          <w:b/>
          <w:noProof/>
          <w:color w:val="000000" w:themeColor="text1"/>
          <w:sz w:val="24"/>
          <w:szCs w:val="24"/>
          <w:lang w:val="en-GB"/>
        </w:rPr>
        <w:t xml:space="preserve">framework for the screening of </w:t>
      </w:r>
      <w:r>
        <w:rPr>
          <w:rStyle w:val="None"/>
          <w:rFonts w:ascii="Times New Roman" w:hAnsi="Times New Roman"/>
          <w:b/>
          <w:noProof/>
          <w:color w:val="000000" w:themeColor="text1"/>
          <w:sz w:val="24"/>
          <w:szCs w:val="24"/>
          <w:u w:color="FF0000"/>
          <w:lang w:val="en-GB"/>
        </w:rPr>
        <w:t>foreign direct investments</w:t>
      </w:r>
      <w:r>
        <w:rPr>
          <w:rFonts w:ascii="Times New Roman" w:hAnsi="Times New Roman" w:cs="Times New Roman"/>
          <w:b/>
          <w:noProof/>
          <w:color w:val="000000" w:themeColor="text1"/>
          <w:sz w:val="24"/>
          <w:szCs w:val="24"/>
          <w:lang w:val="en-GB"/>
        </w:rPr>
        <w:t xml:space="preserve"> into the EU on grounds of security or public order</w:t>
      </w:r>
      <w:r>
        <w:rPr>
          <w:rFonts w:ascii="Times New Roman" w:hAnsi="Times New Roman" w:cs="Times New Roman"/>
          <w:noProof/>
          <w:color w:val="000000" w:themeColor="text1"/>
          <w:sz w:val="24"/>
          <w:szCs w:val="24"/>
          <w:lang w:val="en-GB"/>
        </w:rPr>
        <w:t xml:space="preserve">, while </w:t>
      </w:r>
      <w:r>
        <w:rPr>
          <w:rFonts w:ascii="Times New Roman" w:eastAsia="Times New Roman" w:hAnsi="Times New Roman" w:cs="Times New Roman"/>
          <w:noProof/>
          <w:color w:val="000000" w:themeColor="text1"/>
          <w:sz w:val="24"/>
          <w:szCs w:val="24"/>
          <w:lang w:val="en-GB"/>
        </w:rPr>
        <w:t xml:space="preserve">providing a non-exhaustive list of factors that may be taken into account in determining whether a </w:t>
      </w:r>
      <w:r>
        <w:rPr>
          <w:rStyle w:val="None"/>
          <w:rFonts w:ascii="Times New Roman" w:hAnsi="Times New Roman"/>
          <w:noProof/>
          <w:color w:val="000000" w:themeColor="text1"/>
          <w:sz w:val="24"/>
          <w:szCs w:val="24"/>
          <w:u w:color="FF0000"/>
          <w:lang w:val="en-GB"/>
        </w:rPr>
        <w:t>foreign direct investment</w:t>
      </w:r>
      <w:r>
        <w:rPr>
          <w:rFonts w:ascii="Times New Roman" w:eastAsia="Times New Roman" w:hAnsi="Times New Roman" w:cs="Times New Roman"/>
          <w:noProof/>
          <w:color w:val="000000" w:themeColor="text1"/>
          <w:sz w:val="24"/>
          <w:szCs w:val="24"/>
          <w:lang w:val="en-GB"/>
        </w:rPr>
        <w:t xml:space="preserve"> may impact security or public order</w:t>
      </w:r>
      <w:r>
        <w:rPr>
          <w:rFonts w:ascii="Times New Roman" w:hAnsi="Times New Roman" w:cs="Times New Roman"/>
          <w:noProof/>
          <w:color w:val="000000" w:themeColor="text1"/>
          <w:sz w:val="24"/>
          <w:szCs w:val="24"/>
          <w:lang w:val="en-GB"/>
        </w:rPr>
        <w:t>. It establishes essential elements of the procedural framework for the screening of such foreign direct investments by Member States, including transparency obligations and the obligation to ensure adequate redress poss</w:t>
      </w:r>
      <w:r>
        <w:rPr>
          <w:rFonts w:ascii="Times New Roman" w:hAnsi="Times New Roman" w:cs="Times New Roman"/>
          <w:noProof/>
          <w:color w:val="000000" w:themeColor="text1"/>
          <w:sz w:val="24"/>
          <w:szCs w:val="24"/>
          <w:lang w:val="en-GB"/>
        </w:rPr>
        <w:t xml:space="preserve">ibilities with regard to decisions adopted under these screening mechanisms. At the same time, the proposal maintains the necessary flexibility for Member States in screening foreign direct investments, allowing them to adapt to changing circumstances and </w:t>
      </w:r>
      <w:r>
        <w:rPr>
          <w:rFonts w:ascii="Times New Roman" w:hAnsi="Times New Roman" w:cs="Times New Roman"/>
          <w:noProof/>
          <w:color w:val="000000" w:themeColor="text1"/>
          <w:sz w:val="24"/>
          <w:szCs w:val="24"/>
          <w:lang w:val="en-GB"/>
        </w:rPr>
        <w:t>their national specific context.</w:t>
      </w:r>
    </w:p>
    <w:p w:rsidR="00DE03C3" w:rsidRDefault="00DE03C3">
      <w:pPr>
        <w:pStyle w:val="BodyA"/>
        <w:spacing w:after="0" w:line="240" w:lineRule="auto"/>
        <w:jc w:val="both"/>
        <w:rPr>
          <w:rFonts w:ascii="Times New Roman" w:hAnsi="Times New Roman" w:cs="Times New Roman"/>
          <w:noProof/>
          <w:color w:val="000000" w:themeColor="text1"/>
          <w:sz w:val="24"/>
          <w:szCs w:val="24"/>
          <w:u w:color="FF0000"/>
          <w:lang w:val="en-GB"/>
        </w:rPr>
      </w:pPr>
    </w:p>
    <w:p w:rsidR="00DE03C3" w:rsidRDefault="007E1FD3">
      <w:pPr>
        <w:pStyle w:val="BodyA"/>
        <w:spacing w:after="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draft Regulation also establishes a mechanism for cooperation between Member States, notably for the cases where foreign direct investment in one or more Member States may affect the security or public order of another</w:t>
      </w:r>
      <w:r>
        <w:rPr>
          <w:rFonts w:ascii="Times New Roman" w:hAnsi="Times New Roman" w:cs="Times New Roman"/>
          <w:noProof/>
          <w:color w:val="000000" w:themeColor="text1"/>
          <w:sz w:val="24"/>
          <w:szCs w:val="24"/>
          <w:lang w:val="en-GB"/>
        </w:rPr>
        <w:t xml:space="preserve"> Member State.</w:t>
      </w:r>
    </w:p>
    <w:p w:rsidR="00DE03C3" w:rsidRDefault="007E1FD3">
      <w:pPr>
        <w:pStyle w:val="BodyA"/>
        <w:spacing w:after="0" w:line="240" w:lineRule="auto"/>
        <w:jc w:val="both"/>
        <w:rPr>
          <w:rFonts w:ascii="Times New Roman" w:hAnsi="Times New Roman" w:cs="Times New Roman"/>
          <w:bCs/>
          <w:noProof/>
          <w:color w:val="000000" w:themeColor="text1"/>
          <w:sz w:val="24"/>
          <w:szCs w:val="24"/>
          <w:lang w:val="en-GB"/>
        </w:rPr>
      </w:pPr>
      <w:r>
        <w:rPr>
          <w:rFonts w:ascii="Times New Roman" w:hAnsi="Times New Roman" w:cs="Times New Roman"/>
          <w:noProof/>
          <w:color w:val="000000" w:themeColor="text1"/>
          <w:sz w:val="24"/>
          <w:szCs w:val="24"/>
          <w:lang w:val="en-GB"/>
        </w:rPr>
        <w:t>Finally, the draft Regulation provides the Commission with the means to screen foreign direct investments that may affect projects or programmes of Union interest on grounds of security and public order. The proposed Regulation sets out crit</w:t>
      </w:r>
      <w:r>
        <w:rPr>
          <w:rFonts w:ascii="Times New Roman" w:hAnsi="Times New Roman" w:cs="Times New Roman"/>
          <w:noProof/>
          <w:color w:val="000000" w:themeColor="text1"/>
          <w:sz w:val="24"/>
          <w:szCs w:val="24"/>
          <w:lang w:val="en-GB"/>
        </w:rPr>
        <w:t xml:space="preserve">eria for the identification of such projects or programmes, examples of which include Horizon 2020, Galileo and </w:t>
      </w:r>
      <w:r>
        <w:rPr>
          <w:rFonts w:ascii="Times New Roman" w:hAnsi="Times New Roman" w:cs="Times New Roman"/>
          <w:bCs/>
          <w:noProof/>
          <w:color w:val="000000" w:themeColor="text1"/>
          <w:sz w:val="24"/>
          <w:szCs w:val="24"/>
          <w:lang w:val="en-GB"/>
        </w:rPr>
        <w:t>European Geostationary Navigation Overlay Service (EGNOS)</w:t>
      </w:r>
      <w:r>
        <w:rPr>
          <w:rFonts w:ascii="Times New Roman" w:hAnsi="Times New Roman" w:cs="Times New Roman"/>
          <w:noProof/>
          <w:color w:val="000000" w:themeColor="text1"/>
          <w:sz w:val="24"/>
          <w:szCs w:val="24"/>
          <w:lang w:val="en-GB"/>
        </w:rPr>
        <w:t>,  Copernicus,</w:t>
      </w:r>
      <w:r>
        <w:rPr>
          <w:noProof/>
          <w:lang w:val="en-GB"/>
        </w:rPr>
        <w:t xml:space="preserve"> </w:t>
      </w:r>
      <w:r>
        <w:rPr>
          <w:rFonts w:ascii="Times New Roman" w:hAnsi="Times New Roman" w:cs="Times New Roman"/>
          <w:noProof/>
          <w:color w:val="000000" w:themeColor="text1"/>
          <w:sz w:val="24"/>
          <w:szCs w:val="24"/>
          <w:lang w:val="en-GB"/>
        </w:rPr>
        <w:t>and the Trans-European Networks for Transport (TEN-T)</w:t>
      </w:r>
      <w:r>
        <w:rPr>
          <w:noProof/>
          <w:lang w:val="en-GB"/>
        </w:rPr>
        <w:t xml:space="preserve">, </w:t>
      </w:r>
      <w:r>
        <w:rPr>
          <w:rFonts w:ascii="Times New Roman" w:hAnsi="Times New Roman" w:cs="Times New Roman"/>
          <w:noProof/>
          <w:color w:val="000000" w:themeColor="text1"/>
          <w:sz w:val="24"/>
          <w:szCs w:val="24"/>
          <w:lang w:val="en-GB"/>
        </w:rPr>
        <w:t xml:space="preserve">Energy (TEN-E) and Telecommunications. </w:t>
      </w:r>
    </w:p>
    <w:p w:rsidR="00DE03C3" w:rsidRDefault="00DE03C3">
      <w:pPr>
        <w:pStyle w:val="BodyA"/>
        <w:spacing w:after="0" w:line="240" w:lineRule="auto"/>
        <w:jc w:val="both"/>
        <w:rPr>
          <w:noProof/>
          <w:color w:val="000000" w:themeColor="text1"/>
          <w:lang w:val="en-GB"/>
        </w:rPr>
      </w:pPr>
    </w:p>
    <w:p w:rsidR="00DE03C3" w:rsidRDefault="007E1FD3">
      <w:pPr>
        <w:pStyle w:val="ListParagraph"/>
        <w:numPr>
          <w:ilvl w:val="1"/>
          <w:numId w:val="21"/>
        </w:numPr>
        <w:ind w:left="851"/>
        <w:jc w:val="both"/>
        <w:rPr>
          <w:rStyle w:val="None"/>
          <w:rFonts w:ascii="Times New Roman" w:hAnsi="Times New Roman" w:cs="Times New Roman"/>
          <w:b/>
          <w:bCs/>
          <w:noProof/>
          <w:color w:val="000000" w:themeColor="text1"/>
          <w:sz w:val="24"/>
          <w:szCs w:val="24"/>
          <w:u w:color="FF0000"/>
          <w:lang w:val="en-GB"/>
        </w:rPr>
      </w:pPr>
      <w:r>
        <w:rPr>
          <w:rStyle w:val="None"/>
          <w:rFonts w:ascii="Times New Roman" w:hAnsi="Times New Roman" w:cs="Times New Roman"/>
          <w:b/>
          <w:bCs/>
          <w:noProof/>
          <w:color w:val="000000" w:themeColor="text1"/>
          <w:sz w:val="24"/>
          <w:szCs w:val="24"/>
          <w:u w:color="FF0000"/>
          <w:lang w:val="en-GB"/>
        </w:rPr>
        <w:t>Complementary measures</w:t>
      </w:r>
    </w:p>
    <w:p w:rsidR="00DE03C3" w:rsidRDefault="007E1FD3">
      <w:pPr>
        <w:pStyle w:val="BodyA"/>
        <w:spacing w:after="0" w:line="240" w:lineRule="auto"/>
        <w:jc w:val="both"/>
        <w:rPr>
          <w:rStyle w:val="None"/>
          <w:rFonts w:ascii="Arial" w:eastAsia="Arial" w:hAnsi="Arial" w:cs="Arial"/>
          <w:noProof/>
          <w:color w:val="000000" w:themeColor="text1"/>
          <w:lang w:val="en-GB"/>
        </w:rPr>
      </w:pPr>
      <w:r>
        <w:rPr>
          <w:rStyle w:val="None"/>
          <w:rFonts w:ascii="Times New Roman" w:hAnsi="Times New Roman"/>
          <w:noProof/>
          <w:color w:val="000000" w:themeColor="text1"/>
          <w:sz w:val="24"/>
          <w:szCs w:val="24"/>
          <w:lang w:val="en-GB"/>
        </w:rPr>
        <w:t xml:space="preserve">In parallel to the adoption of the proposal for a Regulation </w:t>
      </w:r>
      <w:r>
        <w:rPr>
          <w:rFonts w:ascii="Times New Roman" w:hAnsi="Times New Roman" w:cs="Times New Roman"/>
          <w:noProof/>
          <w:color w:val="000000" w:themeColor="text1"/>
          <w:sz w:val="24"/>
          <w:szCs w:val="24"/>
          <w:lang w:val="en-GB"/>
        </w:rPr>
        <w:t>establishing a framework to screen foreign direct investments in the EU</w:t>
      </w:r>
      <w:r>
        <w:rPr>
          <w:rStyle w:val="None"/>
          <w:rFonts w:ascii="Times New Roman" w:hAnsi="Times New Roman"/>
          <w:noProof/>
          <w:color w:val="000000" w:themeColor="text1"/>
          <w:sz w:val="24"/>
          <w:szCs w:val="24"/>
          <w:lang w:val="en-GB"/>
        </w:rPr>
        <w:t xml:space="preserve">, which is subject to </w:t>
      </w:r>
      <w:r>
        <w:rPr>
          <w:rStyle w:val="None"/>
          <w:rFonts w:ascii="Times New Roman" w:hAnsi="Times New Roman"/>
          <w:noProof/>
          <w:color w:val="000000" w:themeColor="text1"/>
          <w:sz w:val="24"/>
          <w:szCs w:val="24"/>
          <w:u w:color="FF0000"/>
          <w:lang w:val="en-GB"/>
        </w:rPr>
        <w:t>the ordinary legislative procedure</w:t>
      </w:r>
      <w:r>
        <w:rPr>
          <w:rStyle w:val="None"/>
          <w:rFonts w:ascii="Times New Roman" w:hAnsi="Times New Roman"/>
          <w:noProof/>
          <w:color w:val="000000" w:themeColor="text1"/>
          <w:sz w:val="24"/>
          <w:szCs w:val="24"/>
          <w:lang w:val="en-GB"/>
        </w:rPr>
        <w:t>, th</w:t>
      </w:r>
      <w:r>
        <w:rPr>
          <w:rStyle w:val="None"/>
          <w:rFonts w:ascii="Times New Roman" w:hAnsi="Times New Roman"/>
          <w:noProof/>
          <w:color w:val="000000" w:themeColor="text1"/>
          <w:sz w:val="24"/>
          <w:szCs w:val="24"/>
          <w:lang w:val="en-GB"/>
        </w:rPr>
        <w:t xml:space="preserve">e Commission will </w:t>
      </w:r>
      <w:r>
        <w:rPr>
          <w:rStyle w:val="None"/>
          <w:rFonts w:ascii="Times New Roman" w:hAnsi="Times New Roman"/>
          <w:b/>
          <w:noProof/>
          <w:color w:val="000000" w:themeColor="text1"/>
          <w:sz w:val="24"/>
          <w:szCs w:val="24"/>
          <w:lang w:val="en-GB"/>
        </w:rPr>
        <w:t>immediately proceed with the following measures</w:t>
      </w:r>
      <w:r>
        <w:rPr>
          <w:rStyle w:val="None"/>
          <w:rFonts w:ascii="Times New Roman" w:hAnsi="Times New Roman"/>
          <w:noProof/>
          <w:color w:val="000000" w:themeColor="text1"/>
          <w:sz w:val="24"/>
          <w:szCs w:val="24"/>
          <w:lang w:val="en-GB"/>
        </w:rPr>
        <w:t>:</w:t>
      </w:r>
    </w:p>
    <w:p w:rsidR="00DE03C3" w:rsidRDefault="00DE03C3">
      <w:pPr>
        <w:pStyle w:val="ListParagraph"/>
        <w:spacing w:after="0" w:line="240" w:lineRule="auto"/>
        <w:ind w:left="0"/>
        <w:rPr>
          <w:rStyle w:val="None"/>
          <w:rFonts w:ascii="Times New Roman" w:eastAsia="Times New Roman" w:hAnsi="Times New Roman" w:cs="Times New Roman"/>
          <w:noProof/>
          <w:color w:val="000000" w:themeColor="text1"/>
          <w:sz w:val="24"/>
          <w:szCs w:val="24"/>
          <w:lang w:val="en-GB"/>
        </w:rPr>
      </w:pPr>
    </w:p>
    <w:p w:rsidR="00DE03C3" w:rsidRDefault="007E1FD3">
      <w:pPr>
        <w:pStyle w:val="BodyA"/>
        <w:numPr>
          <w:ilvl w:val="1"/>
          <w:numId w:val="6"/>
        </w:numPr>
        <w:spacing w:after="0" w:line="240" w:lineRule="auto"/>
        <w:jc w:val="both"/>
        <w:rPr>
          <w:rStyle w:val="None"/>
          <w:rFonts w:ascii="Times New Roman" w:eastAsia="Times New Roman" w:hAnsi="Times New Roman" w:cs="Times New Roman"/>
          <w:noProof/>
          <w:color w:val="000000" w:themeColor="text1"/>
          <w:sz w:val="24"/>
          <w:szCs w:val="24"/>
          <w:lang w:val="en-GB"/>
        </w:rPr>
      </w:pPr>
      <w:r>
        <w:rPr>
          <w:rStyle w:val="None"/>
          <w:rFonts w:ascii="Times New Roman" w:hAnsi="Times New Roman"/>
          <w:noProof/>
          <w:color w:val="000000" w:themeColor="text1"/>
          <w:sz w:val="24"/>
          <w:szCs w:val="24"/>
          <w:lang w:val="en-GB"/>
        </w:rPr>
        <w:t xml:space="preserve">Carry out by the end of 2018 further </w:t>
      </w:r>
      <w:r>
        <w:rPr>
          <w:rStyle w:val="None"/>
          <w:rFonts w:ascii="Times New Roman" w:hAnsi="Times New Roman"/>
          <w:b/>
          <w:bCs/>
          <w:noProof/>
          <w:color w:val="000000" w:themeColor="text1"/>
          <w:sz w:val="24"/>
          <w:szCs w:val="24"/>
          <w:lang w:val="en-GB"/>
        </w:rPr>
        <w:t>in-depth analysis</w:t>
      </w:r>
      <w:r>
        <w:rPr>
          <w:rStyle w:val="None"/>
          <w:rFonts w:ascii="Times New Roman" w:hAnsi="Times New Roman"/>
          <w:noProof/>
          <w:color w:val="000000" w:themeColor="text1"/>
          <w:sz w:val="24"/>
          <w:szCs w:val="24"/>
          <w:lang w:val="en-GB"/>
        </w:rPr>
        <w:t xml:space="preserve"> </w:t>
      </w:r>
      <w:r>
        <w:rPr>
          <w:rStyle w:val="None"/>
          <w:rFonts w:ascii="Times New Roman" w:hAnsi="Times New Roman"/>
          <w:b/>
          <w:noProof/>
          <w:color w:val="000000" w:themeColor="text1"/>
          <w:sz w:val="24"/>
          <w:szCs w:val="24"/>
          <w:lang w:val="en-GB"/>
        </w:rPr>
        <w:t>of foreign direct investment flows into the EU</w:t>
      </w:r>
      <w:r>
        <w:rPr>
          <w:rStyle w:val="None"/>
          <w:rFonts w:ascii="Times New Roman" w:hAnsi="Times New Roman"/>
          <w:noProof/>
          <w:color w:val="000000" w:themeColor="text1"/>
          <w:sz w:val="24"/>
          <w:szCs w:val="24"/>
          <w:lang w:val="en-GB"/>
        </w:rPr>
        <w:t xml:space="preserve">, especially in strategic sectors (e.g. energy, space, transport) or assets </w:t>
      </w:r>
      <w:r>
        <w:rPr>
          <w:rStyle w:val="None"/>
          <w:rFonts w:ascii="Times New Roman" w:hAnsi="Times New Roman"/>
          <w:noProof/>
          <w:color w:val="000000" w:themeColor="text1"/>
          <w:sz w:val="24"/>
          <w:szCs w:val="24"/>
          <w:lang w:val="en-GB"/>
        </w:rPr>
        <w:t>(technologies and inputs linked to strategic sectors, critical infrastructures across sectors, sensitive data) that may raise concerns in the areas of security, public order and/or control of critical assets, in particular when the investor is owned or con</w:t>
      </w:r>
      <w:r>
        <w:rPr>
          <w:rStyle w:val="None"/>
          <w:rFonts w:ascii="Times New Roman" w:hAnsi="Times New Roman"/>
          <w:noProof/>
          <w:color w:val="000000" w:themeColor="text1"/>
          <w:sz w:val="24"/>
          <w:szCs w:val="24"/>
          <w:lang w:val="en-GB"/>
        </w:rPr>
        <w:t>trolled by a third country, or benefits from significant state subsidies. This will include, in cooperation with Member States, data collection at the most granular level available, analysis of trends, and assessment of impact, including through case studi</w:t>
      </w:r>
      <w:r>
        <w:rPr>
          <w:rStyle w:val="None"/>
          <w:rFonts w:ascii="Times New Roman" w:hAnsi="Times New Roman"/>
          <w:noProof/>
          <w:color w:val="000000" w:themeColor="text1"/>
          <w:sz w:val="24"/>
          <w:szCs w:val="24"/>
          <w:lang w:val="en-GB"/>
        </w:rPr>
        <w:t>es. As necessary, it will encompass a further study to identifycritical assets. The role of state support in facilitating acquisitions will also be assessed.</w:t>
      </w:r>
    </w:p>
    <w:p w:rsidR="00DE03C3" w:rsidRDefault="00DE03C3">
      <w:pPr>
        <w:pStyle w:val="BodyA"/>
        <w:spacing w:after="0" w:line="240" w:lineRule="auto"/>
        <w:ind w:left="536"/>
        <w:jc w:val="both"/>
        <w:rPr>
          <w:rStyle w:val="None"/>
          <w:rFonts w:ascii="Times New Roman" w:eastAsia="Times New Roman" w:hAnsi="Times New Roman" w:cs="Times New Roman"/>
          <w:b/>
          <w:bCs/>
          <w:noProof/>
          <w:color w:val="000000" w:themeColor="text1"/>
          <w:sz w:val="24"/>
          <w:szCs w:val="24"/>
          <w:u w:color="FF2600"/>
          <w:lang w:val="en-GB"/>
        </w:rPr>
      </w:pPr>
    </w:p>
    <w:p w:rsidR="00DE03C3" w:rsidRDefault="007E1FD3">
      <w:pPr>
        <w:pStyle w:val="BodyA"/>
        <w:numPr>
          <w:ilvl w:val="1"/>
          <w:numId w:val="6"/>
        </w:numPr>
        <w:spacing w:after="0" w:line="240" w:lineRule="auto"/>
        <w:jc w:val="both"/>
        <w:rPr>
          <w:rStyle w:val="None"/>
          <w:rFonts w:ascii="Times New Roman" w:hAnsi="Times New Roman"/>
          <w:noProof/>
          <w:color w:val="000000" w:themeColor="text1"/>
          <w:sz w:val="24"/>
          <w:szCs w:val="24"/>
          <w:lang w:val="en-GB"/>
        </w:rPr>
      </w:pPr>
      <w:r>
        <w:rPr>
          <w:rStyle w:val="None"/>
          <w:rFonts w:ascii="Times New Roman" w:hAnsi="Times New Roman"/>
          <w:noProof/>
          <w:color w:val="000000" w:themeColor="text1"/>
          <w:sz w:val="24"/>
          <w:szCs w:val="24"/>
          <w:lang w:val="en-GB"/>
        </w:rPr>
        <w:t xml:space="preserve">Set up a </w:t>
      </w:r>
      <w:r>
        <w:rPr>
          <w:rStyle w:val="None"/>
          <w:rFonts w:ascii="Times New Roman" w:hAnsi="Times New Roman"/>
          <w:b/>
          <w:noProof/>
          <w:color w:val="000000" w:themeColor="text1"/>
          <w:sz w:val="24"/>
          <w:szCs w:val="24"/>
          <w:lang w:val="en-GB"/>
        </w:rPr>
        <w:t>coordination group</w:t>
      </w:r>
      <w:r>
        <w:rPr>
          <w:rStyle w:val="None"/>
          <w:rFonts w:ascii="Times New Roman" w:hAnsi="Times New Roman"/>
          <w:noProof/>
          <w:color w:val="000000" w:themeColor="text1"/>
          <w:sz w:val="24"/>
          <w:szCs w:val="24"/>
          <w:lang w:val="en-GB"/>
        </w:rPr>
        <w:t xml:space="preserve"> dedicated to inward foreign direct investment, including all issues w</w:t>
      </w:r>
      <w:r>
        <w:rPr>
          <w:rStyle w:val="None"/>
          <w:rFonts w:ascii="Times New Roman" w:hAnsi="Times New Roman"/>
          <w:noProof/>
          <w:color w:val="000000" w:themeColor="text1"/>
          <w:sz w:val="24"/>
          <w:szCs w:val="24"/>
          <w:lang w:val="en-GB"/>
        </w:rPr>
        <w:t>ithin the scope of the proposed Regulation. The group will be chaired by the Commission and composed of representatives of Member States. It could be active in particular in the following areas:</w:t>
      </w:r>
    </w:p>
    <w:p w:rsidR="00DE03C3" w:rsidRDefault="007E1FD3">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en-GB"/>
        </w:rPr>
      </w:pPr>
      <w:r>
        <w:rPr>
          <w:rStyle w:val="None"/>
          <w:rFonts w:ascii="Times New Roman" w:hAnsi="Times New Roman"/>
          <w:noProof/>
          <w:color w:val="000000" w:themeColor="text1"/>
          <w:sz w:val="24"/>
          <w:szCs w:val="24"/>
          <w:lang w:val="en-GB"/>
        </w:rPr>
        <w:t xml:space="preserve">identify sectors and assets that have strategic implications </w:t>
      </w:r>
      <w:r>
        <w:rPr>
          <w:rStyle w:val="None"/>
          <w:rFonts w:ascii="Times New Roman" w:hAnsi="Times New Roman"/>
          <w:noProof/>
          <w:color w:val="000000" w:themeColor="text1"/>
          <w:sz w:val="24"/>
          <w:szCs w:val="24"/>
          <w:lang w:val="en-GB"/>
        </w:rPr>
        <w:t>from a security, public order and/or control of critical assets point of view at national level, cross-border level (e.g. assets situated in one Member State that may have strategic implications on another Member State) or at EU level (building on the list</w:t>
      </w:r>
      <w:r>
        <w:rPr>
          <w:rStyle w:val="None"/>
          <w:rFonts w:ascii="Times New Roman" w:hAnsi="Times New Roman"/>
          <w:noProof/>
          <w:color w:val="000000" w:themeColor="text1"/>
          <w:sz w:val="24"/>
          <w:szCs w:val="24"/>
          <w:lang w:val="en-GB"/>
        </w:rPr>
        <w:t xml:space="preserve"> of projects or programmes of Union interest);</w:t>
      </w:r>
    </w:p>
    <w:p w:rsidR="00DE03C3" w:rsidRDefault="007E1FD3">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en-GB"/>
        </w:rPr>
      </w:pPr>
      <w:r>
        <w:rPr>
          <w:rStyle w:val="None"/>
          <w:rFonts w:ascii="Times New Roman" w:hAnsi="Times New Roman"/>
          <w:noProof/>
          <w:color w:val="000000" w:themeColor="text1"/>
          <w:sz w:val="24"/>
          <w:szCs w:val="24"/>
          <w:lang w:val="en-GB"/>
        </w:rPr>
        <w:t xml:space="preserve">exchange information and analysis on foreign direct investments, including motives for investment, geographic origin and sources of financing (public or private); </w:t>
      </w:r>
    </w:p>
    <w:p w:rsidR="00DE03C3" w:rsidRDefault="007E1FD3">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en-GB"/>
        </w:rPr>
      </w:pPr>
      <w:r>
        <w:rPr>
          <w:rStyle w:val="None"/>
          <w:rFonts w:ascii="Times New Roman" w:hAnsi="Times New Roman"/>
          <w:noProof/>
          <w:color w:val="000000" w:themeColor="text1"/>
          <w:sz w:val="24"/>
          <w:szCs w:val="24"/>
          <w:lang w:val="en-GB"/>
        </w:rPr>
        <w:t>discuss issues of common concern, including l</w:t>
      </w:r>
      <w:r>
        <w:rPr>
          <w:rStyle w:val="None"/>
          <w:rFonts w:ascii="Times New Roman" w:hAnsi="Times New Roman"/>
          <w:noProof/>
          <w:color w:val="000000" w:themeColor="text1"/>
          <w:sz w:val="24"/>
          <w:szCs w:val="24"/>
          <w:lang w:val="en-GB"/>
        </w:rPr>
        <w:t>evel playing field issues such as subsidies and other practices by third countries facilitating strategic acquisitions, and reasons preventing European investors from acquiring and maintaining critical European technologies and inputs;</w:t>
      </w:r>
    </w:p>
    <w:p w:rsidR="00DE03C3" w:rsidRDefault="007E1FD3">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en-GB"/>
        </w:rPr>
      </w:pPr>
      <w:r>
        <w:rPr>
          <w:rStyle w:val="None"/>
          <w:rFonts w:ascii="Times New Roman" w:hAnsi="Times New Roman"/>
          <w:noProof/>
          <w:color w:val="000000" w:themeColor="text1"/>
          <w:sz w:val="24"/>
          <w:szCs w:val="24"/>
          <w:lang w:val="en-GB"/>
        </w:rPr>
        <w:t>share best practices</w:t>
      </w:r>
      <w:r>
        <w:rPr>
          <w:rStyle w:val="None"/>
          <w:rFonts w:ascii="Times New Roman" w:hAnsi="Times New Roman"/>
          <w:noProof/>
          <w:color w:val="000000" w:themeColor="text1"/>
          <w:sz w:val="24"/>
          <w:szCs w:val="24"/>
          <w:lang w:val="en-GB"/>
        </w:rPr>
        <w:t xml:space="preserve"> and lessons learned among Member States for screening foreign direct investment;</w:t>
      </w:r>
    </w:p>
    <w:p w:rsidR="00DE03C3" w:rsidRDefault="007E1FD3">
      <w:pPr>
        <w:pStyle w:val="ListParagraph"/>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en-GB"/>
        </w:rPr>
      </w:pPr>
      <w:r>
        <w:rPr>
          <w:rStyle w:val="None"/>
          <w:rFonts w:ascii="Times New Roman" w:eastAsia="Times New Roman" w:hAnsi="Times New Roman" w:cs="Times New Roman"/>
          <w:noProof/>
          <w:color w:val="000000" w:themeColor="text1"/>
          <w:sz w:val="24"/>
          <w:szCs w:val="24"/>
          <w:lang w:val="en-GB"/>
        </w:rPr>
        <w:t xml:space="preserve">discuss the opportunity of cooperation with third countries with shared interests and shared challenges in respect of the impact of foreign direct investment on security and </w:t>
      </w:r>
      <w:r>
        <w:rPr>
          <w:rStyle w:val="None"/>
          <w:rFonts w:ascii="Times New Roman" w:eastAsia="Times New Roman" w:hAnsi="Times New Roman" w:cs="Times New Roman"/>
          <w:noProof/>
          <w:color w:val="000000" w:themeColor="text1"/>
          <w:sz w:val="24"/>
          <w:szCs w:val="24"/>
          <w:lang w:val="en-GB"/>
        </w:rPr>
        <w:t>public order;</w:t>
      </w:r>
    </w:p>
    <w:p w:rsidR="00DE03C3" w:rsidRDefault="007E1FD3">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en-GB"/>
        </w:rPr>
      </w:pPr>
      <w:r>
        <w:rPr>
          <w:rStyle w:val="None"/>
          <w:rFonts w:ascii="Times New Roman" w:hAnsi="Times New Roman"/>
          <w:noProof/>
          <w:color w:val="000000" w:themeColor="text1"/>
          <w:sz w:val="24"/>
          <w:szCs w:val="24"/>
          <w:lang w:val="en-GB"/>
        </w:rPr>
        <w:t xml:space="preserve">promote convergence in policies, while respecting Member States' autonomy in choosing whether to screen foreign direct investment or not; </w:t>
      </w:r>
    </w:p>
    <w:p w:rsidR="00DE03C3" w:rsidRDefault="007E1FD3">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en-GB"/>
        </w:rPr>
      </w:pPr>
      <w:r>
        <w:rPr>
          <w:rStyle w:val="None"/>
          <w:rFonts w:ascii="Times New Roman" w:hAnsi="Times New Roman"/>
          <w:noProof/>
          <w:color w:val="000000" w:themeColor="text1"/>
          <w:sz w:val="24"/>
          <w:szCs w:val="24"/>
          <w:lang w:val="en-GB"/>
        </w:rPr>
        <w:t>further reflect on the means to protect European strategic assets, including through an EU-level screen</w:t>
      </w:r>
      <w:r>
        <w:rPr>
          <w:rStyle w:val="None"/>
          <w:rFonts w:ascii="Times New Roman" w:hAnsi="Times New Roman"/>
          <w:noProof/>
          <w:color w:val="000000" w:themeColor="text1"/>
          <w:sz w:val="24"/>
          <w:szCs w:val="24"/>
          <w:lang w:val="en-GB"/>
        </w:rPr>
        <w:t>ing mechanism;</w:t>
      </w:r>
    </w:p>
    <w:p w:rsidR="00DE03C3" w:rsidRDefault="007E1FD3">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en-GB"/>
        </w:rPr>
      </w:pPr>
      <w:r>
        <w:rPr>
          <w:rStyle w:val="None"/>
          <w:rFonts w:ascii="Times New Roman" w:hAnsi="Times New Roman"/>
          <w:noProof/>
          <w:color w:val="000000" w:themeColor="text1"/>
          <w:sz w:val="24"/>
          <w:szCs w:val="24"/>
          <w:lang w:val="en-GB"/>
        </w:rPr>
        <w:t>following the entry into force of the proposed Regulation, consider any question relating to its application.</w:t>
      </w:r>
    </w:p>
    <w:p w:rsidR="00DE03C3" w:rsidRDefault="00DE03C3">
      <w:pPr>
        <w:pStyle w:val="BodyA"/>
        <w:spacing w:after="0" w:line="240" w:lineRule="auto"/>
        <w:ind w:left="360"/>
        <w:jc w:val="both"/>
        <w:rPr>
          <w:rStyle w:val="None"/>
          <w:noProof/>
          <w:color w:val="000000" w:themeColor="text1"/>
          <w:lang w:val="en-GB"/>
        </w:rPr>
      </w:pPr>
    </w:p>
    <w:p w:rsidR="00DE03C3" w:rsidRDefault="007E1FD3">
      <w:pPr>
        <w:jc w:val="both"/>
        <w:rPr>
          <w:rStyle w:val="None"/>
          <w:rFonts w:eastAsia="Times New Roman"/>
          <w:bCs/>
          <w:noProof/>
          <w:color w:val="000000" w:themeColor="text1"/>
          <w:u w:color="FF0000"/>
          <w:lang w:val="en-GB"/>
        </w:rPr>
      </w:pPr>
      <w:r>
        <w:rPr>
          <w:rStyle w:val="None"/>
          <w:b/>
          <w:bCs/>
          <w:noProof/>
          <w:color w:val="000000" w:themeColor="text1"/>
          <w:u w:color="FF0000"/>
          <w:lang w:val="en-GB"/>
        </w:rPr>
        <w:t>7.</w:t>
      </w:r>
      <w:r>
        <w:rPr>
          <w:rStyle w:val="None"/>
          <w:b/>
          <w:bCs/>
          <w:noProof/>
          <w:color w:val="000000" w:themeColor="text1"/>
          <w:u w:color="FF0000"/>
          <w:lang w:val="en-GB"/>
        </w:rPr>
        <w:tab/>
        <w:t>Conclusion</w:t>
      </w:r>
    </w:p>
    <w:p w:rsidR="00DE03C3" w:rsidRDefault="00DE03C3">
      <w:pPr>
        <w:jc w:val="both"/>
        <w:rPr>
          <w:rStyle w:val="None"/>
          <w:bCs/>
          <w:noProof/>
          <w:color w:val="000000" w:themeColor="text1"/>
          <w:u w:color="FF0000"/>
          <w:lang w:val="en-GB"/>
        </w:rPr>
      </w:pPr>
    </w:p>
    <w:p w:rsidR="00DE03C3" w:rsidRDefault="007E1FD3">
      <w:pPr>
        <w:jc w:val="both"/>
        <w:rPr>
          <w:rStyle w:val="None"/>
          <w:bCs/>
          <w:noProof/>
          <w:color w:val="000000" w:themeColor="text1"/>
          <w:u w:color="FF0000"/>
          <w:lang w:val="en-GB"/>
        </w:rPr>
      </w:pPr>
      <w:r>
        <w:rPr>
          <w:rStyle w:val="None"/>
          <w:bCs/>
          <w:noProof/>
          <w:color w:val="000000" w:themeColor="text1"/>
          <w:u w:color="FF0000"/>
          <w:lang w:val="en-GB"/>
        </w:rPr>
        <w:t>The Commission remains convinced of the benefits of foreign direct investment and the decisive contribution such investments have made to higher growth levels and creation of quality jobs in the EU. The Commission also believes that an open investment envi</w:t>
      </w:r>
      <w:r>
        <w:rPr>
          <w:rStyle w:val="None"/>
          <w:bCs/>
          <w:noProof/>
          <w:color w:val="000000" w:themeColor="text1"/>
          <w:u w:color="FF0000"/>
          <w:lang w:val="en-GB"/>
        </w:rPr>
        <w:t>ronment contributes to sustainable development worldwide. The EU will therefore remain the staunchest defender and promoter of an open and rules-based international investment environment. Through its trade and investment policy, the EU will continue to in</w:t>
      </w:r>
      <w:r>
        <w:rPr>
          <w:rStyle w:val="None"/>
          <w:bCs/>
          <w:noProof/>
          <w:color w:val="000000" w:themeColor="text1"/>
          <w:u w:color="FF0000"/>
          <w:lang w:val="en-GB"/>
        </w:rPr>
        <w:t xml:space="preserve">sist that </w:t>
      </w:r>
      <w:r>
        <w:rPr>
          <w:rStyle w:val="None"/>
          <w:noProof/>
          <w:color w:val="000000" w:themeColor="text1"/>
          <w:lang w:val="en-GB"/>
        </w:rPr>
        <w:t xml:space="preserve">third countries offer a level of openness for foreign investment equivalent to that of the EU and maintain a level playing field for EU operators. </w:t>
      </w:r>
    </w:p>
    <w:p w:rsidR="00DE03C3" w:rsidRDefault="00DE03C3">
      <w:pPr>
        <w:jc w:val="both"/>
        <w:rPr>
          <w:rStyle w:val="None"/>
          <w:bCs/>
          <w:noProof/>
          <w:color w:val="000000" w:themeColor="text1"/>
          <w:u w:color="FF0000"/>
          <w:lang w:val="en-GB"/>
        </w:rPr>
      </w:pPr>
    </w:p>
    <w:p w:rsidR="00DE03C3" w:rsidRDefault="007E1FD3">
      <w:pPr>
        <w:jc w:val="both"/>
        <w:rPr>
          <w:noProof/>
          <w:color w:val="000000" w:themeColor="text1"/>
          <w:lang w:val="en-GB"/>
        </w:rPr>
      </w:pPr>
      <w:r>
        <w:rPr>
          <w:rStyle w:val="None"/>
          <w:bCs/>
          <w:noProof/>
          <w:color w:val="000000" w:themeColor="text1"/>
          <w:u w:color="FF0000"/>
          <w:lang w:val="en-GB"/>
        </w:rPr>
        <w:t>However, it is also clear that the EU and its Member States must be in a position to take determi</w:t>
      </w:r>
      <w:r>
        <w:rPr>
          <w:rStyle w:val="None"/>
          <w:bCs/>
          <w:noProof/>
          <w:color w:val="000000" w:themeColor="text1"/>
          <w:u w:color="FF0000"/>
          <w:lang w:val="en-GB"/>
        </w:rPr>
        <w:t xml:space="preserve">ned and swift action where foreign direct investment may affect </w:t>
      </w:r>
      <w:r>
        <w:rPr>
          <w:rStyle w:val="None"/>
          <w:noProof/>
          <w:color w:val="000000" w:themeColor="text1"/>
          <w:u w:color="FF0000"/>
          <w:lang w:val="en-GB"/>
        </w:rPr>
        <w:t>security or public order. For this reason, the Commission is presenting a legislative proposal alongside this Communication</w:t>
      </w:r>
      <w:r>
        <w:rPr>
          <w:noProof/>
          <w:color w:val="000000" w:themeColor="text1"/>
          <w:lang w:val="en-GB"/>
        </w:rPr>
        <w:t>. The evolving international context calls for action by the European</w:t>
      </w:r>
      <w:r>
        <w:rPr>
          <w:noProof/>
          <w:color w:val="000000" w:themeColor="text1"/>
          <w:lang w:val="en-GB"/>
        </w:rPr>
        <w:t xml:space="preserve"> Parliament and the Council in order to ensure a rapid legislative process. </w:t>
      </w:r>
    </w:p>
    <w:p w:rsidR="00DE03C3" w:rsidRDefault="00DE03C3">
      <w:pPr>
        <w:rPr>
          <w:noProof/>
          <w:color w:val="000000" w:themeColor="text1"/>
          <w:lang w:val="en-GB"/>
        </w:rPr>
      </w:pPr>
    </w:p>
    <w:p w:rsidR="00DE03C3" w:rsidRDefault="007E1FD3">
      <w:pPr>
        <w:jc w:val="both"/>
        <w:rPr>
          <w:b/>
          <w:bCs/>
          <w:noProof/>
          <w:color w:val="FF0000"/>
          <w:lang w:val="en-GB"/>
        </w:rPr>
      </w:pPr>
      <w:r>
        <w:rPr>
          <w:noProof/>
          <w:color w:val="000000" w:themeColor="text1"/>
          <w:lang w:val="en-GB"/>
        </w:rPr>
        <w:t>In parallel to the negotiation of the Regulation, the Commission will, within the existing framework and in line with section 6.2.b of this Communication, pay particular attentio</w:t>
      </w:r>
      <w:r>
        <w:rPr>
          <w:noProof/>
          <w:color w:val="000000" w:themeColor="text1"/>
          <w:lang w:val="en-GB"/>
        </w:rPr>
        <w:t>n to foreign direct investments that may threaten security or public order and examine the situation in close cooperation with the Member States. Member States are invited to contribute actively to this cooperation and to the tasks of the coordination grou</w:t>
      </w:r>
      <w:r>
        <w:rPr>
          <w:noProof/>
          <w:color w:val="000000" w:themeColor="text1"/>
          <w:lang w:val="en-GB"/>
        </w:rPr>
        <w:t>p that the Commission will establish in this respect.</w:t>
      </w:r>
    </w:p>
    <w:sectPr w:rsidR="00DE03C3">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C3" w:rsidRDefault="007E1FD3">
      <w:r>
        <w:separator/>
      </w:r>
    </w:p>
  </w:endnote>
  <w:endnote w:type="continuationSeparator" w:id="0">
    <w:p w:rsidR="00DE03C3" w:rsidRDefault="007E1FD3">
      <w:r>
        <w:continuationSeparator/>
      </w:r>
    </w:p>
  </w:endnote>
  <w:endnote w:type="continuationNotice" w:id="1">
    <w:p w:rsidR="00DE03C3" w:rsidRDefault="00DE03C3"/>
    <w:p w:rsidR="00DE03C3" w:rsidRDefault="00DE03C3"/>
    <w:p w:rsidR="00DE03C3" w:rsidRDefault="007E1FD3">
      <w:pPr>
        <w:pStyle w:val="Header"/>
        <w:tabs>
          <w:tab w:val="clear" w:pos="9072"/>
          <w:tab w:val="right" w:pos="9046"/>
        </w:tabs>
      </w:pPr>
      <w:r>
        <w:t>CONFIDENTIAL</w:t>
      </w:r>
      <w:r>
        <w:tab/>
      </w:r>
      <w:r>
        <w:tab/>
        <w:t>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D3" w:rsidRPr="007E1FD3" w:rsidRDefault="007E1FD3" w:rsidP="007E1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D3" w:rsidRPr="007E1FD3" w:rsidRDefault="007E1FD3" w:rsidP="007E1FD3">
    <w:pPr>
      <w:pStyle w:val="FooterCoverPage"/>
      <w:rPr>
        <w:rFonts w:ascii="Arial" w:hAnsi="Arial" w:cs="Arial"/>
        <w:b/>
        <w:sz w:val="48"/>
      </w:rPr>
    </w:pPr>
    <w:r w:rsidRPr="007E1FD3">
      <w:rPr>
        <w:rFonts w:ascii="Arial" w:hAnsi="Arial" w:cs="Arial"/>
        <w:b/>
        <w:sz w:val="48"/>
      </w:rPr>
      <w:t>EN</w:t>
    </w:r>
    <w:r w:rsidRPr="007E1FD3">
      <w:rPr>
        <w:rFonts w:ascii="Arial" w:hAnsi="Arial" w:cs="Arial"/>
        <w:b/>
        <w:sz w:val="48"/>
      </w:rPr>
      <w:tab/>
    </w:r>
    <w:r w:rsidRPr="007E1FD3">
      <w:rPr>
        <w:rFonts w:ascii="Arial" w:hAnsi="Arial" w:cs="Arial"/>
        <w:b/>
        <w:sz w:val="48"/>
      </w:rPr>
      <w:tab/>
    </w:r>
    <w:fldSimple w:instr=" DOCVARIABLE &quot;LW_Confidence&quot; \* MERGEFORMAT ">
      <w:r>
        <w:t xml:space="preserve"> </w:t>
      </w:r>
    </w:fldSimple>
    <w:r w:rsidRPr="007E1FD3">
      <w:tab/>
    </w:r>
    <w:proofErr w:type="spellStart"/>
    <w:r w:rsidRPr="007E1FD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D3" w:rsidRPr="007E1FD3" w:rsidRDefault="007E1FD3" w:rsidP="007E1FD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C3" w:rsidRDefault="00DE03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842991"/>
      <w:docPartObj>
        <w:docPartGallery w:val="Page Numbers (Bottom of Page)"/>
        <w:docPartUnique/>
      </w:docPartObj>
    </w:sdtPr>
    <w:sdtEndPr>
      <w:rPr>
        <w:noProof/>
      </w:rPr>
    </w:sdtEndPr>
    <w:sdtContent>
      <w:p w:rsidR="00DE03C3" w:rsidRDefault="007E1FD3">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DE03C3" w:rsidRDefault="00DE03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C3" w:rsidRDefault="00DE0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C3" w:rsidRDefault="007E1FD3">
      <w:r>
        <w:separator/>
      </w:r>
    </w:p>
  </w:footnote>
  <w:footnote w:type="continuationSeparator" w:id="0">
    <w:p w:rsidR="00DE03C3" w:rsidRDefault="007E1FD3">
      <w:r>
        <w:continuationSeparator/>
      </w:r>
    </w:p>
  </w:footnote>
  <w:footnote w:type="continuationNotice" w:id="1">
    <w:p w:rsidR="00DE03C3" w:rsidRDefault="00DE03C3"/>
  </w:footnote>
  <w:footnote w:id="2">
    <w:p w:rsidR="00DE03C3" w:rsidRDefault="007E1FD3">
      <w:pPr>
        <w:pStyle w:val="FootnoteText"/>
      </w:pPr>
      <w:r>
        <w:rPr>
          <w:rFonts w:eastAsia="Times New Roman" w:cs="Times New Roman"/>
          <w:vertAlign w:val="superscript"/>
        </w:rPr>
        <w:footnoteRef/>
      </w:r>
      <w:r>
        <w:t xml:space="preserve"> </w:t>
      </w:r>
      <w:r>
        <w:rPr>
          <w:lang w:val="en-GB"/>
        </w:rPr>
        <w:t>COM(2017) 240 of 10 May 2017 "Reflection Paper on Harnessing Globalisation"</w:t>
      </w:r>
    </w:p>
  </w:footnote>
  <w:footnote w:id="3">
    <w:p w:rsidR="00DE03C3" w:rsidRDefault="007E1FD3">
      <w:pPr>
        <w:pStyle w:val="FootnoteText"/>
        <w:rPr>
          <w:color w:val="000000" w:themeColor="text1"/>
        </w:rPr>
      </w:pPr>
      <w:r>
        <w:rPr>
          <w:rStyle w:val="FootnoteReference"/>
          <w:color w:val="000000" w:themeColor="text1"/>
        </w:rPr>
        <w:footnoteRef/>
      </w:r>
      <w:r>
        <w:rPr>
          <w:color w:val="000000" w:themeColor="text1"/>
        </w:rPr>
        <w:t xml:space="preserve"> </w:t>
      </w:r>
      <w:r>
        <w:rPr>
          <w:color w:val="000000" w:themeColor="text1"/>
          <w:u w:color="FF0000"/>
        </w:rPr>
        <w:t>June 2017 European Council Conclusions</w:t>
      </w:r>
    </w:p>
  </w:footnote>
  <w:footnote w:id="4">
    <w:p w:rsidR="00DE03C3" w:rsidRDefault="007E1FD3">
      <w:pPr>
        <w:pStyle w:val="FootnoteText"/>
        <w:rPr>
          <w:color w:val="000000" w:themeColor="text1"/>
          <w:lang w:val="en-GB"/>
        </w:rPr>
      </w:pPr>
      <w:r>
        <w:rPr>
          <w:rStyle w:val="FootnoteReference"/>
          <w:color w:val="000000" w:themeColor="text1"/>
        </w:rPr>
        <w:footnoteRef/>
      </w:r>
      <w:r>
        <w:rPr>
          <w:color w:val="000000" w:themeColor="text1"/>
        </w:rPr>
        <w:t xml:space="preserve"> </w:t>
      </w:r>
      <w:r>
        <w:rPr>
          <w:color w:val="000000" w:themeColor="text1"/>
          <w:lang w:val="en-GB"/>
        </w:rPr>
        <w:t xml:space="preserve">European Parliament Resolution of 5 </w:t>
      </w:r>
      <w:r>
        <w:rPr>
          <w:color w:val="000000" w:themeColor="text1"/>
          <w:lang w:val="en-GB"/>
        </w:rPr>
        <w:t>July 2017 on building an ambitious EU industrial strategy as a strategic priority for growth, employment and innovation in the EU. Moreover, a proposal for a Union Act on the Screening of Foreign Investment in Strategic Sectors is currently under discussio</w:t>
      </w:r>
      <w:r>
        <w:rPr>
          <w:color w:val="000000" w:themeColor="text1"/>
          <w:lang w:val="en-GB"/>
        </w:rPr>
        <w:t xml:space="preserve">n in the European Parliament's Committee International Trade (European Parliament 2014-2019, </w:t>
      </w:r>
      <w:proofErr w:type="gramStart"/>
      <w:r>
        <w:rPr>
          <w:color w:val="000000" w:themeColor="text1"/>
          <w:lang w:val="en-GB"/>
        </w:rPr>
        <w:t>B[</w:t>
      </w:r>
      <w:proofErr w:type="gramEnd"/>
      <w:r>
        <w:rPr>
          <w:color w:val="000000" w:themeColor="text1"/>
          <w:lang w:val="en-GB"/>
        </w:rPr>
        <w:t>8-0000/2017] of 20.03.2017).</w:t>
      </w:r>
    </w:p>
  </w:footnote>
  <w:footnote w:id="5">
    <w:p w:rsidR="00DE03C3" w:rsidRDefault="007E1FD3">
      <w:pPr>
        <w:pStyle w:val="FootnoteText"/>
        <w:rPr>
          <w:color w:val="000000" w:themeColor="text1"/>
        </w:rPr>
      </w:pPr>
      <w:r>
        <w:rPr>
          <w:rFonts w:eastAsia="Times New Roman" w:cs="Times New Roman"/>
          <w:color w:val="000000" w:themeColor="text1"/>
          <w:vertAlign w:val="superscript"/>
        </w:rPr>
        <w:footnoteRef/>
      </w:r>
      <w:r>
        <w:rPr>
          <w:color w:val="000000" w:themeColor="text1"/>
          <w:u w:color="FF0000"/>
        </w:rPr>
        <w:t>This Communication concerns only foreign direct investment from non-EU countries and does not cover portfolio investment.</w:t>
      </w:r>
    </w:p>
  </w:footnote>
  <w:footnote w:id="6">
    <w:p w:rsidR="00DE03C3" w:rsidRDefault="007E1FD3">
      <w:pPr>
        <w:pStyle w:val="FootnoteText"/>
        <w:rPr>
          <w:lang w:val="en-GB"/>
        </w:rPr>
      </w:pPr>
      <w:r>
        <w:rPr>
          <w:rFonts w:eastAsia="Times New Roman" w:cs="Times New Roman"/>
          <w:vertAlign w:val="superscript"/>
          <w:lang w:val="en-GB"/>
        </w:rPr>
        <w:footnoteRef/>
      </w:r>
      <w:r>
        <w:rPr>
          <w:lang w:val="en-GB"/>
        </w:rPr>
        <w:t xml:space="preserve"> See for</w:t>
      </w:r>
      <w:r>
        <w:rPr>
          <w:lang w:val="en-GB"/>
        </w:rPr>
        <w:t xml:space="preserve"> instance the OECD FDI regulatory restrictiveness index: </w:t>
      </w:r>
      <w:hyperlink r:id="rId1" w:history="1">
        <w:r>
          <w:rPr>
            <w:rStyle w:val="Hyperlink0"/>
            <w:lang w:val="en-GB"/>
          </w:rPr>
          <w:t>http://www.oecd.org/investment/fdiindex.htm</w:t>
        </w:r>
      </w:hyperlink>
    </w:p>
  </w:footnote>
  <w:footnote w:id="7">
    <w:p w:rsidR="00DE03C3" w:rsidRDefault="007E1FD3">
      <w:pPr>
        <w:pStyle w:val="FootnoteText"/>
        <w:rPr>
          <w:color w:val="auto"/>
          <w:lang w:val="fr-BE"/>
        </w:rPr>
      </w:pPr>
      <w:r>
        <w:rPr>
          <w:rStyle w:val="FootnoteReference"/>
          <w:lang w:val="en-GB"/>
        </w:rPr>
        <w:footnoteRef/>
      </w:r>
      <w:r>
        <w:rPr>
          <w:lang w:val="fr-BE"/>
        </w:rPr>
        <w:t xml:space="preserve"> </w:t>
      </w:r>
      <w:r>
        <w:rPr>
          <w:color w:val="auto"/>
          <w:lang w:val="fr-BE"/>
        </w:rPr>
        <w:t>Articles 63 and 206 TFEU.</w:t>
      </w:r>
    </w:p>
  </w:footnote>
  <w:footnote w:id="8">
    <w:p w:rsidR="00DE03C3" w:rsidRDefault="007E1FD3">
      <w:pPr>
        <w:pStyle w:val="FootnoteText"/>
        <w:rPr>
          <w:color w:val="auto"/>
          <w:lang w:val="fr-BE"/>
        </w:rPr>
      </w:pPr>
      <w:r>
        <w:rPr>
          <w:rStyle w:val="FootnoteReference"/>
          <w:color w:val="auto"/>
          <w:lang w:val="en-GB"/>
        </w:rPr>
        <w:footnoteRef/>
      </w:r>
      <w:r>
        <w:rPr>
          <w:color w:val="auto"/>
          <w:lang w:val="fr-BE"/>
        </w:rPr>
        <w:t xml:space="preserve"> Eurostat</w:t>
      </w:r>
    </w:p>
  </w:footnote>
  <w:footnote w:id="9">
    <w:p w:rsidR="00DE03C3" w:rsidRDefault="007E1FD3">
      <w:pPr>
        <w:pStyle w:val="FootnoteText"/>
        <w:rPr>
          <w:lang w:val="fr-BE"/>
        </w:rPr>
      </w:pPr>
      <w:r>
        <w:rPr>
          <w:rStyle w:val="FootnoteReference"/>
          <w:color w:val="auto"/>
          <w:lang w:val="en-GB"/>
        </w:rPr>
        <w:footnoteRef/>
      </w:r>
      <w:r>
        <w:rPr>
          <w:color w:val="auto"/>
          <w:lang w:val="fr-BE"/>
        </w:rPr>
        <w:t xml:space="preserve"> Eurostat</w:t>
      </w:r>
    </w:p>
  </w:footnote>
  <w:footnote w:id="10">
    <w:p w:rsidR="00DE03C3" w:rsidRDefault="007E1FD3">
      <w:pPr>
        <w:pStyle w:val="FootnoteText"/>
        <w:rPr>
          <w:lang w:val="fr-BE"/>
        </w:rPr>
      </w:pPr>
      <w:r>
        <w:rPr>
          <w:rStyle w:val="FootnoteReference"/>
        </w:rPr>
        <w:footnoteRef/>
      </w:r>
      <w:r>
        <w:rPr>
          <w:lang w:val="fr-BE"/>
        </w:rPr>
        <w:t xml:space="preserve"> Eurostat</w:t>
      </w:r>
    </w:p>
  </w:footnote>
  <w:footnote w:id="11">
    <w:p w:rsidR="00DE03C3" w:rsidRDefault="007E1FD3">
      <w:pPr>
        <w:pStyle w:val="BodyA"/>
        <w:spacing w:after="0" w:line="240" w:lineRule="auto"/>
        <w:jc w:val="both"/>
        <w:rPr>
          <w:lang w:val="en-GB"/>
        </w:rPr>
      </w:pPr>
      <w:r>
        <w:rPr>
          <w:rStyle w:val="FootnoteReference"/>
        </w:rPr>
        <w:footnoteRef/>
      </w:r>
      <w:r>
        <w:t xml:space="preserve"> </w:t>
      </w:r>
      <w:r>
        <w:rPr>
          <w:color w:val="auto"/>
          <w:sz w:val="20"/>
          <w:szCs w:val="20"/>
          <w:lang w:val="en-GB"/>
        </w:rPr>
        <w:t>Data excludes investment through</w:t>
      </w:r>
      <w:r>
        <w:rPr>
          <w:color w:val="auto"/>
          <w:sz w:val="20"/>
          <w:szCs w:val="20"/>
          <w:lang w:val="en-GB"/>
        </w:rPr>
        <w:t xml:space="preserve"> Special Purpose Entities.</w:t>
      </w:r>
    </w:p>
  </w:footnote>
  <w:footnote w:id="12">
    <w:p w:rsidR="00DE03C3" w:rsidRDefault="007E1FD3">
      <w:pPr>
        <w:pStyle w:val="FootnoteText"/>
        <w:rPr>
          <w:color w:val="auto"/>
          <w:lang w:val="en-GB"/>
        </w:rPr>
      </w:pPr>
      <w:r>
        <w:rPr>
          <w:rStyle w:val="FootnoteReference"/>
          <w:color w:val="auto"/>
        </w:rPr>
        <w:footnoteRef/>
      </w:r>
      <w:r>
        <w:rPr>
          <w:color w:val="auto"/>
          <w:lang w:val="en-GB"/>
        </w:rPr>
        <w:t xml:space="preserve"> Eurostat</w:t>
      </w:r>
    </w:p>
  </w:footnote>
  <w:footnote w:id="13">
    <w:p w:rsidR="00DE03C3" w:rsidRDefault="007E1FD3">
      <w:pPr>
        <w:pStyle w:val="FootnoteText"/>
        <w:rPr>
          <w:lang w:val="en-GB"/>
        </w:rPr>
      </w:pPr>
      <w:r>
        <w:rPr>
          <w:rStyle w:val="FootnoteReference"/>
        </w:rPr>
        <w:footnoteRef/>
      </w:r>
      <w:r>
        <w:rPr>
          <w:lang w:val="en-GB"/>
        </w:rPr>
        <w:t xml:space="preserve"> UNCTAD "World Investment Report 2017: Investment and the Digital Economy"</w:t>
      </w:r>
    </w:p>
  </w:footnote>
  <w:footnote w:id="14">
    <w:p w:rsidR="00DE03C3" w:rsidRDefault="007E1FD3">
      <w:pPr>
        <w:pStyle w:val="FootnoteText"/>
        <w:rPr>
          <w:lang w:val="en-GB"/>
        </w:rPr>
      </w:pPr>
      <w:r>
        <w:rPr>
          <w:rStyle w:val="FootnoteReference"/>
        </w:rPr>
        <w:footnoteRef/>
      </w:r>
      <w:r>
        <w:rPr>
          <w:lang w:val="en-GB"/>
        </w:rPr>
        <w:t xml:space="preserve"> </w:t>
      </w:r>
      <w:proofErr w:type="gramStart"/>
      <w:r>
        <w:rPr>
          <w:lang w:val="en-GB"/>
        </w:rPr>
        <w:t>Idem.</w:t>
      </w:r>
      <w:proofErr w:type="gramEnd"/>
    </w:p>
  </w:footnote>
  <w:footnote w:id="15">
    <w:p w:rsidR="00DE03C3" w:rsidRDefault="007E1FD3">
      <w:pPr>
        <w:pStyle w:val="Body"/>
        <w:rPr>
          <w:rStyle w:val="None"/>
          <w:rFonts w:ascii="Calibri" w:eastAsia="Calibri" w:hAnsi="Calibri" w:cs="Calibri"/>
          <w:sz w:val="20"/>
          <w:szCs w:val="20"/>
        </w:rPr>
      </w:pPr>
      <w:r>
        <w:rPr>
          <w:rStyle w:val="None"/>
          <w:rFonts w:ascii="Calibri" w:hAnsi="Calibri"/>
          <w:sz w:val="20"/>
          <w:szCs w:val="20"/>
          <w:vertAlign w:val="superscript"/>
          <w:lang w:val="en-US"/>
        </w:rPr>
        <w:footnoteRef/>
      </w:r>
      <w:r>
        <w:rPr>
          <w:rFonts w:ascii="Calibri" w:eastAsia="Arial Unicode MS" w:hAnsi="Calibri" w:cs="Arial Unicode MS"/>
          <w:sz w:val="20"/>
          <w:szCs w:val="20"/>
        </w:rPr>
        <w:t xml:space="preserve"> </w:t>
      </w:r>
      <w:r>
        <w:rPr>
          <w:rStyle w:val="None"/>
          <w:rFonts w:ascii="Calibri" w:eastAsia="Calibri" w:hAnsi="Calibri" w:cs="Calibri"/>
          <w:sz w:val="20"/>
          <w:szCs w:val="20"/>
        </w:rPr>
        <w:t>COM(2017) 338 final "</w:t>
      </w:r>
      <w:r>
        <w:rPr>
          <w:rStyle w:val="None"/>
          <w:rFonts w:ascii="Calibri" w:eastAsia="Calibri" w:hAnsi="Calibri" w:cs="Calibri"/>
          <w:sz w:val="20"/>
          <w:szCs w:val="20"/>
          <w:lang w:val="en-US"/>
        </w:rPr>
        <w:t xml:space="preserve"> REPORT FROM THE COMMISSION TO THE EUROPEAN PARLIAMENT AND</w:t>
      </w:r>
    </w:p>
    <w:p w:rsidR="00DE03C3" w:rsidRDefault="007E1FD3">
      <w:pPr>
        <w:pStyle w:val="Body"/>
        <w:rPr>
          <w:rFonts w:ascii="Calibri" w:hAnsi="Calibri"/>
          <w:sz w:val="20"/>
          <w:szCs w:val="20"/>
        </w:rPr>
      </w:pPr>
      <w:r>
        <w:rPr>
          <w:rStyle w:val="None"/>
          <w:rFonts w:ascii="Calibri" w:eastAsia="Calibri" w:hAnsi="Calibri" w:cs="Calibri"/>
          <w:sz w:val="20"/>
          <w:szCs w:val="20"/>
          <w:lang w:val="en-US"/>
        </w:rPr>
        <w:t>THE COUNCIL on Trade and Investment Barriers, 1 Janu</w:t>
      </w:r>
      <w:r>
        <w:rPr>
          <w:rStyle w:val="None"/>
          <w:rFonts w:ascii="Calibri" w:eastAsia="Calibri" w:hAnsi="Calibri" w:cs="Calibri"/>
          <w:sz w:val="20"/>
          <w:szCs w:val="20"/>
          <w:lang w:val="en-US"/>
        </w:rPr>
        <w:t>ary 2016 - 31 December 2016"</w:t>
      </w:r>
    </w:p>
  </w:footnote>
  <w:footnote w:id="16">
    <w:p w:rsidR="00DE03C3" w:rsidRDefault="007E1FD3">
      <w:pPr>
        <w:pStyle w:val="FootnoteText"/>
      </w:pPr>
      <w:r>
        <w:rPr>
          <w:rStyle w:val="None"/>
          <w:rFonts w:eastAsia="Times New Roman" w:cs="Times New Roman"/>
          <w:vertAlign w:val="superscript"/>
        </w:rPr>
        <w:footnoteRef/>
      </w:r>
      <w:r>
        <w:t>Communication COM(2015)497 of 14 October 2015 "Trade for All: Towards a more responsible trade and investment policy"</w:t>
      </w:r>
    </w:p>
  </w:footnote>
  <w:footnote w:id="17">
    <w:p w:rsidR="00DE03C3" w:rsidRDefault="007E1FD3">
      <w:pPr>
        <w:pStyle w:val="FootnoteText"/>
        <w:rPr>
          <w:lang w:val="en-GB"/>
        </w:rPr>
      </w:pPr>
      <w:r>
        <w:rPr>
          <w:rStyle w:val="FootnoteReference"/>
        </w:rPr>
        <w:footnoteRef/>
      </w:r>
      <w:r>
        <w:t xml:space="preserve"> </w:t>
      </w:r>
      <w:r>
        <w:rPr>
          <w:rStyle w:val="None"/>
          <w:rFonts w:ascii="Times New Roman" w:hAnsi="Times New Roman"/>
          <w:sz w:val="24"/>
          <w:szCs w:val="24"/>
          <w:lang w:val="en-GB"/>
        </w:rPr>
        <w:t xml:space="preserve"> </w:t>
      </w:r>
      <w:r>
        <w:rPr>
          <w:rStyle w:val="None"/>
          <w:lang w:val="en-GB"/>
        </w:rPr>
        <w:t>Free trade agreements are at various stages of discussions with Australia, Canada, Chile, India, Indonesi</w:t>
      </w:r>
      <w:r>
        <w:rPr>
          <w:rStyle w:val="None"/>
          <w:lang w:val="en-GB"/>
        </w:rPr>
        <w:t>a, Japan, Mercosur, Mexico, Morocco, New Zealand, Philippines, Singapore, Vietnam, and Turkey. The EU is also negotiating stand-alone investment agreements with China and Myanmar.</w:t>
      </w:r>
      <w:r>
        <w:rPr>
          <w:rStyle w:val="None"/>
          <w:rFonts w:ascii="Times New Roman" w:hAnsi="Times New Roman"/>
          <w:sz w:val="24"/>
          <w:szCs w:val="24"/>
          <w:lang w:val="en-GB"/>
        </w:rPr>
        <w:t xml:space="preserve"> </w:t>
      </w:r>
    </w:p>
  </w:footnote>
  <w:footnote w:id="18">
    <w:p w:rsidR="00DE03C3" w:rsidRDefault="007E1FD3">
      <w:pPr>
        <w:pStyle w:val="FootnoteText"/>
        <w:rPr>
          <w:lang w:val="en-GB"/>
        </w:rPr>
      </w:pPr>
      <w:r>
        <w:rPr>
          <w:rStyle w:val="FootnoteReference"/>
        </w:rPr>
        <w:footnoteRef/>
      </w:r>
      <w:r>
        <w:t xml:space="preserve"> </w:t>
      </w:r>
      <w:r>
        <w:rPr>
          <w:rStyle w:val="None"/>
        </w:rPr>
        <w:t xml:space="preserve">G20 Trade Ministers Meeting Statement, Annex III, 9-10 July 2016, Shanghai </w:t>
      </w:r>
    </w:p>
  </w:footnote>
  <w:footnote w:id="19">
    <w:p w:rsidR="00DE03C3" w:rsidRDefault="007E1FD3">
      <w:pPr>
        <w:pStyle w:val="FootnoteText"/>
      </w:pPr>
      <w:r>
        <w:rPr>
          <w:rStyle w:val="FootnoteReference"/>
        </w:rPr>
        <w:footnoteRef/>
      </w:r>
      <w:r>
        <w:t xml:space="preserve"> </w:t>
      </w:r>
      <w:proofErr w:type="gramStart"/>
      <w:r>
        <w:t>Articles 63 and 49 TFEU.</w:t>
      </w:r>
      <w:proofErr w:type="gramEnd"/>
    </w:p>
  </w:footnote>
  <w:footnote w:id="20">
    <w:p w:rsidR="00DE03C3" w:rsidRDefault="007E1FD3">
      <w:pPr>
        <w:pStyle w:val="FootnoteText"/>
        <w:rPr>
          <w:lang w:val="en-GB"/>
        </w:rPr>
      </w:pPr>
      <w:r>
        <w:rPr>
          <w:rStyle w:val="FootnoteReference"/>
        </w:rPr>
        <w:footnoteRef/>
      </w:r>
      <w:r>
        <w:t xml:space="preserve"> Council Regulation (EC) No 139/2004 of 20 January 2004 on the control of concentrations between undertakings (OJ L 24, 29.1.2004, p. 1). </w:t>
      </w:r>
    </w:p>
  </w:footnote>
  <w:footnote w:id="21">
    <w:p w:rsidR="00DE03C3" w:rsidRDefault="007E1FD3">
      <w:pPr>
        <w:pStyle w:val="FootnoteText"/>
        <w:rPr>
          <w:lang w:val="en-GB"/>
        </w:rPr>
      </w:pPr>
      <w:r>
        <w:rPr>
          <w:rStyle w:val="FootnoteReference"/>
        </w:rPr>
        <w:footnoteRef/>
      </w:r>
      <w:r>
        <w:t xml:space="preserve"> </w:t>
      </w:r>
      <w:r>
        <w:rPr>
          <w:lang w:val="en-GB"/>
        </w:rPr>
        <w:t xml:space="preserve">Commission </w:t>
      </w:r>
      <w:r>
        <w:rPr>
          <w:lang w:val="en-GB"/>
        </w:rPr>
        <w:t xml:space="preserve">Staff Working Document (2013)318 </w:t>
      </w:r>
    </w:p>
  </w:footnote>
  <w:footnote w:id="22">
    <w:p w:rsidR="00DE03C3" w:rsidRDefault="007E1FD3">
      <w:pPr>
        <w:pStyle w:val="FootnoteText"/>
        <w:rPr>
          <w:color w:val="FF0000"/>
        </w:rPr>
      </w:pPr>
      <w:r>
        <w:rPr>
          <w:rStyle w:val="None"/>
          <w:vertAlign w:val="superscript"/>
        </w:rPr>
        <w:footnoteRef/>
      </w:r>
      <w:r>
        <w:t xml:space="preserve"> </w:t>
      </w:r>
      <w:r>
        <w:rPr>
          <w:color w:val="auto"/>
        </w:rPr>
        <w:t>Directive (EU) 2016/1148 of the European Parliament and of the Council of 6 July 2016 concerning measures for a high common level of security of network and information systems across the Union</w:t>
      </w:r>
    </w:p>
  </w:footnote>
  <w:footnote w:id="23">
    <w:p w:rsidR="00DE03C3" w:rsidRDefault="007E1FD3">
      <w:pPr>
        <w:pStyle w:val="FootnoteText"/>
        <w:rPr>
          <w:lang w:val="en-GB"/>
        </w:rPr>
      </w:pPr>
      <w:r>
        <w:rPr>
          <w:rStyle w:val="FootnoteReference"/>
        </w:rPr>
        <w:footnoteRef/>
      </w:r>
      <w:r>
        <w:t xml:space="preserve"> These sectors are energy</w:t>
      </w:r>
      <w:r>
        <w:t>, transport, banking and financial markets infrastructure, health sector, drinking water supply, and digital infrastructure and service providers.</w:t>
      </w:r>
    </w:p>
  </w:footnote>
  <w:footnote w:id="24">
    <w:p w:rsidR="00DE03C3" w:rsidRDefault="007E1FD3">
      <w:pPr>
        <w:pStyle w:val="FootnoteText"/>
        <w:rPr>
          <w:color w:val="000000" w:themeColor="text1"/>
        </w:rPr>
      </w:pPr>
      <w:r>
        <w:rPr>
          <w:rStyle w:val="None"/>
          <w:color w:val="000000" w:themeColor="text1"/>
          <w:vertAlign w:val="superscript"/>
        </w:rPr>
        <w:footnoteRef/>
      </w:r>
      <w:r>
        <w:rPr>
          <w:rStyle w:val="None"/>
          <w:color w:val="000000" w:themeColor="text1"/>
          <w:u w:color="FF0000"/>
        </w:rPr>
        <w:t xml:space="preserve"> Regulation (EC) No 1008/2008  on common rules for the operation of air services in the Community</w:t>
      </w:r>
    </w:p>
  </w:footnote>
  <w:footnote w:id="25">
    <w:p w:rsidR="00DE03C3" w:rsidRDefault="007E1FD3">
      <w:pPr>
        <w:pStyle w:val="FootnoteText"/>
        <w:rPr>
          <w:color w:val="000000" w:themeColor="text1"/>
        </w:rPr>
      </w:pPr>
      <w:r>
        <w:rPr>
          <w:rStyle w:val="None"/>
          <w:color w:val="000000" w:themeColor="text1"/>
          <w:vertAlign w:val="superscript"/>
        </w:rPr>
        <w:footnoteRef/>
      </w:r>
      <w:r>
        <w:rPr>
          <w:rStyle w:val="None"/>
          <w:color w:val="000000" w:themeColor="text1"/>
          <w:u w:color="FF0000"/>
        </w:rPr>
        <w:t xml:space="preserve"> Directiv</w:t>
      </w:r>
      <w:r>
        <w:rPr>
          <w:rStyle w:val="None"/>
          <w:color w:val="000000" w:themeColor="text1"/>
          <w:u w:color="FF0000"/>
        </w:rPr>
        <w:t xml:space="preserve">e 2009/73 </w:t>
      </w:r>
      <w:r>
        <w:t>on common rules for the internal market in natural gas and Directive 2009/72 on common rules for the internal market in electricity</w:t>
      </w:r>
      <w:r>
        <w:rPr>
          <w:rStyle w:val="CommentTextChar"/>
          <w:color w:val="000000" w:themeColor="text1"/>
          <w:u w:color="FF0000"/>
        </w:rPr>
        <w:t xml:space="preserve"> </w:t>
      </w:r>
      <w:r>
        <w:rPr>
          <w:rStyle w:val="None"/>
          <w:color w:val="000000" w:themeColor="text1"/>
          <w:u w:color="FF0000"/>
        </w:rPr>
        <w:t>(</w:t>
      </w:r>
    </w:p>
  </w:footnote>
  <w:footnote w:id="26">
    <w:p w:rsidR="00DE03C3" w:rsidRDefault="007E1FD3">
      <w:pPr>
        <w:pStyle w:val="FootnoteText"/>
        <w:rPr>
          <w:lang w:val="en-GB"/>
        </w:rPr>
      </w:pPr>
      <w:r>
        <w:rPr>
          <w:rStyle w:val="FootnoteReference"/>
        </w:rPr>
        <w:footnoteRef/>
      </w:r>
      <w:r>
        <w:t xml:space="preserve"> </w:t>
      </w:r>
      <w:r>
        <w:rPr>
          <w:lang w:val="en-GB"/>
        </w:rPr>
        <w:t xml:space="preserve">Directive 94/22/EC of 30 May 1994 on the conditions for granting and using authorization for the prospection, </w:t>
      </w:r>
      <w:r>
        <w:rPr>
          <w:lang w:val="en-GB"/>
        </w:rPr>
        <w:t>exploration and production of hydrocarbons</w:t>
      </w:r>
    </w:p>
  </w:footnote>
  <w:footnote w:id="27">
    <w:p w:rsidR="00DE03C3" w:rsidRDefault="007E1FD3">
      <w:pPr>
        <w:pStyle w:val="FootnoteText"/>
      </w:pPr>
      <w:r>
        <w:rPr>
          <w:rStyle w:val="FootnoteReference"/>
        </w:rPr>
        <w:footnoteRef/>
      </w:r>
      <w:r>
        <w:t xml:space="preserve"> COM(2014) 330</w:t>
      </w:r>
    </w:p>
  </w:footnote>
  <w:footnote w:id="28">
    <w:p w:rsidR="00DE03C3" w:rsidRDefault="007E1FD3">
      <w:pPr>
        <w:pStyle w:val="FootnoteText"/>
      </w:pPr>
      <w:r>
        <w:rPr>
          <w:rStyle w:val="None"/>
          <w:vertAlign w:val="superscript"/>
        </w:rPr>
        <w:footnoteRef/>
      </w:r>
      <w:r>
        <w:t xml:space="preserve"> The new Regulation repealing Regulation (EU°) No 994/2010 is currently in the adoption process and is expected to enter into force in autumn 2017. For electricity, COM (2016)862 Proposal for a Regulation of the European Parliament and the </w:t>
      </w:r>
      <w:proofErr w:type="gramStart"/>
      <w:r>
        <w:t>Council  on</w:t>
      </w:r>
      <w:proofErr w:type="gramEnd"/>
      <w:r>
        <w:t xml:space="preserve"> risk</w:t>
      </w:r>
      <w:r>
        <w:t>-preparedness in the electricity sector repealing Directive 2005/89).</w:t>
      </w:r>
    </w:p>
  </w:footnote>
  <w:footnote w:id="29">
    <w:p w:rsidR="00DE03C3" w:rsidRDefault="007E1FD3">
      <w:pPr>
        <w:pStyle w:val="FootnoteText"/>
        <w:rPr>
          <w:lang w:val="en-GB"/>
        </w:rPr>
      </w:pPr>
      <w:r>
        <w:rPr>
          <w:rStyle w:val="FootnoteReference"/>
          <w:color w:val="000000" w:themeColor="text1"/>
        </w:rPr>
        <w:footnoteRef/>
      </w:r>
      <w:r>
        <w:rPr>
          <w:color w:val="000000" w:themeColor="text1"/>
        </w:rPr>
        <w:t xml:space="preserve"> </w:t>
      </w:r>
      <w:r>
        <w:rPr>
          <w:color w:val="000000" w:themeColor="text1"/>
          <w:lang w:val="en-GB"/>
        </w:rPr>
        <w:t xml:space="preserve">Art. </w:t>
      </w:r>
      <w:proofErr w:type="gramStart"/>
      <w:r>
        <w:rPr>
          <w:color w:val="000000" w:themeColor="text1"/>
          <w:lang w:val="en-GB"/>
        </w:rPr>
        <w:t>207 TFEU</w:t>
      </w:r>
      <w:r>
        <w:rPr>
          <w:color w:val="FF0000"/>
          <w:lang w:val="en-GB"/>
        </w:rPr>
        <w:t>.</w:t>
      </w:r>
      <w:proofErr w:type="gramEnd"/>
    </w:p>
  </w:footnote>
  <w:footnote w:id="30">
    <w:p w:rsidR="00DE03C3" w:rsidRDefault="007E1FD3">
      <w:pPr>
        <w:pStyle w:val="NormalWeb"/>
        <w:spacing w:before="0" w:beforeAutospacing="0" w:after="0" w:afterAutospacing="0"/>
        <w:jc w:val="both"/>
        <w:rPr>
          <w:rFonts w:ascii="Calibri" w:hAnsi="Calibri"/>
          <w:color w:val="000000"/>
          <w:sz w:val="20"/>
          <w:szCs w:val="20"/>
        </w:rPr>
      </w:pPr>
      <w:r>
        <w:rPr>
          <w:rStyle w:val="FootnoteReference"/>
          <w:rFonts w:ascii="Calibri" w:hAnsi="Calibri"/>
          <w:sz w:val="20"/>
          <w:szCs w:val="20"/>
        </w:rPr>
        <w:footnoteRef/>
      </w:r>
      <w:r>
        <w:rPr>
          <w:rFonts w:ascii="Calibri" w:hAnsi="Calibri"/>
          <w:sz w:val="20"/>
          <w:szCs w:val="20"/>
        </w:rPr>
        <w:t xml:space="preserve"> l</w:t>
      </w:r>
      <w:proofErr w:type="spellStart"/>
      <w:r>
        <w:rPr>
          <w:rStyle w:val="None"/>
          <w:rFonts w:ascii="Calibri" w:hAnsi="Calibri" w:cs="Calibri"/>
          <w:sz w:val="20"/>
          <w:szCs w:val="20"/>
          <w:u w:color="FF0000"/>
          <w:bdr w:val="nil"/>
          <w:lang w:val="en-US"/>
        </w:rPr>
        <w:t>n</w:t>
      </w:r>
      <w:proofErr w:type="spellEnd"/>
      <w:r>
        <w:rPr>
          <w:rStyle w:val="None"/>
          <w:rFonts w:ascii="Calibri" w:hAnsi="Calibri" w:cs="Calibri"/>
          <w:sz w:val="20"/>
          <w:szCs w:val="20"/>
          <w:u w:color="FF0000"/>
          <w:bdr w:val="nil"/>
          <w:lang w:val="en-US"/>
        </w:rPr>
        <w:t xml:space="preserve"> particular </w:t>
      </w:r>
      <w:r>
        <w:rPr>
          <w:rStyle w:val="None"/>
          <w:rFonts w:ascii="Calibri" w:hAnsi="Calibri" w:cs="Calibri"/>
          <w:color w:val="000000"/>
          <w:sz w:val="20"/>
          <w:szCs w:val="20"/>
          <w:u w:color="FF0000"/>
          <w:bdr w:val="nil"/>
          <w:lang w:val="en-US"/>
        </w:rPr>
        <w:t xml:space="preserve">Case C-483/99, Commission v France, Case C-463/00, Commission v Spain, Case C-326/07, Commission v Italy,  Case C-212/09 Commission v Portugal, and Case </w:t>
      </w:r>
      <w:r>
        <w:rPr>
          <w:rStyle w:val="None"/>
          <w:rFonts w:ascii="Calibri" w:hAnsi="Calibri" w:cs="Calibri"/>
          <w:color w:val="000000"/>
          <w:sz w:val="20"/>
          <w:szCs w:val="20"/>
          <w:u w:color="FF0000"/>
          <w:bdr w:val="nil"/>
          <w:lang w:val="en-US"/>
        </w:rPr>
        <w:t>C-244/11 Commission v Greece</w:t>
      </w:r>
      <w:r>
        <w:rPr>
          <w:rStyle w:val="None"/>
          <w:rFonts w:ascii="Calibri" w:hAnsi="Calibri" w:cs="Calibri"/>
          <w:sz w:val="20"/>
          <w:szCs w:val="20"/>
          <w:u w:color="FF0000"/>
          <w:bdr w:val="nil"/>
          <w:lang w:val="en-US"/>
        </w:rPr>
        <w:t>.</w:t>
      </w:r>
    </w:p>
    <w:p w:rsidR="00DE03C3" w:rsidRDefault="00DE03C3">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D3" w:rsidRPr="007E1FD3" w:rsidRDefault="007E1FD3" w:rsidP="007E1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D3" w:rsidRPr="007E1FD3" w:rsidRDefault="007E1FD3" w:rsidP="007E1FD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D3" w:rsidRPr="007E1FD3" w:rsidRDefault="007E1FD3" w:rsidP="007E1FD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C3" w:rsidRDefault="00DE03C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C3" w:rsidRDefault="00DE03C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C3" w:rsidRDefault="00DE0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C07"/>
    <w:multiLevelType w:val="hybridMultilevel"/>
    <w:tmpl w:val="09762E0E"/>
    <w:numStyleLink w:val="Bullets"/>
  </w:abstractNum>
  <w:abstractNum w:abstractNumId="1">
    <w:nsid w:val="115F15EE"/>
    <w:multiLevelType w:val="hybridMultilevel"/>
    <w:tmpl w:val="8508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845EE"/>
    <w:multiLevelType w:val="hybridMultilevel"/>
    <w:tmpl w:val="09762E0E"/>
    <w:styleLink w:val="Bullets"/>
    <w:lvl w:ilvl="0" w:tplc="5EE4B8B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2FE0062">
      <w:start w:val="1"/>
      <w:numFmt w:val="bullet"/>
      <w:lvlText w:val="•"/>
      <w:lvlJc w:val="left"/>
      <w:pPr>
        <w:ind w:left="788"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A8192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C2C47B2">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CE15D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20E6B20">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086686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B7471B2">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9C058E">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85D607F"/>
    <w:multiLevelType w:val="hybridMultilevel"/>
    <w:tmpl w:val="8632C28A"/>
    <w:styleLink w:val="ImportedStyle1"/>
    <w:lvl w:ilvl="0" w:tplc="AFC22F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C82B9C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287A5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6CAC5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7C2A8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B0473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A0433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7E4DE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0439B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155003C"/>
    <w:multiLevelType w:val="multilevel"/>
    <w:tmpl w:val="2062B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7A598C"/>
    <w:multiLevelType w:val="hybridMultilevel"/>
    <w:tmpl w:val="2FC4C3F0"/>
    <w:lvl w:ilvl="0" w:tplc="AAC03D0C">
      <w:start w:val="4"/>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3040523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7067D9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7827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14F39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5CBC64">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E2904E5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DD4E1B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FA8C6D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330E4CCC"/>
    <w:multiLevelType w:val="multilevel"/>
    <w:tmpl w:val="DB2CC67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C29334D"/>
    <w:multiLevelType w:val="hybridMultilevel"/>
    <w:tmpl w:val="9B06AF7E"/>
    <w:numStyleLink w:val="Numbered"/>
  </w:abstractNum>
  <w:abstractNum w:abstractNumId="8">
    <w:nsid w:val="3E103F26"/>
    <w:multiLevelType w:val="multilevel"/>
    <w:tmpl w:val="04AC7A2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6F8691A"/>
    <w:multiLevelType w:val="hybridMultilevel"/>
    <w:tmpl w:val="9B06AF7E"/>
    <w:styleLink w:val="Numbered"/>
    <w:lvl w:ilvl="0" w:tplc="ECA4F65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3023BF2">
      <w:start w:val="1"/>
      <w:numFmt w:val="decimal"/>
      <w:lvlText w:val="%2."/>
      <w:lvlJc w:val="left"/>
      <w:pPr>
        <w:ind w:left="536"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068939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6DC18E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1D252C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F123CA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EA64BD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F6EEA9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0006B0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B956450"/>
    <w:multiLevelType w:val="hybridMultilevel"/>
    <w:tmpl w:val="3AA0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2A3116"/>
    <w:multiLevelType w:val="hybridMultilevel"/>
    <w:tmpl w:val="C8B0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805C99"/>
    <w:multiLevelType w:val="hybridMultilevel"/>
    <w:tmpl w:val="8632C28A"/>
    <w:numStyleLink w:val="ImportedStyle1"/>
  </w:abstractNum>
  <w:abstractNum w:abstractNumId="13">
    <w:nsid w:val="642F24C3"/>
    <w:multiLevelType w:val="hybridMultilevel"/>
    <w:tmpl w:val="F35CC8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5451C2"/>
    <w:multiLevelType w:val="hybridMultilevel"/>
    <w:tmpl w:val="8632C28A"/>
    <w:numStyleLink w:val="ImportedStyle1"/>
  </w:abstractNum>
  <w:abstractNum w:abstractNumId="1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12"/>
  </w:num>
  <w:num w:numId="3">
    <w:abstractNumId w:val="2"/>
  </w:num>
  <w:num w:numId="4">
    <w:abstractNumId w:val="0"/>
  </w:num>
  <w:num w:numId="5">
    <w:abstractNumId w:val="9"/>
  </w:num>
  <w:num w:numId="6">
    <w:abstractNumId w:val="7"/>
  </w:num>
  <w:num w:numId="7">
    <w:abstractNumId w:val="12"/>
    <w:lvlOverride w:ilvl="0">
      <w:startOverride w:val="5"/>
    </w:lvlOverride>
  </w:num>
  <w:num w:numId="8">
    <w:abstractNumId w:val="14"/>
  </w:num>
  <w:num w:numId="9">
    <w:abstractNumId w:val="4"/>
  </w:num>
  <w:num w:numId="10">
    <w:abstractNumId w:val="6"/>
  </w:num>
  <w:num w:numId="11">
    <w:abstractNumId w:val="6"/>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6"/>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5"/>
  </w:num>
  <w:num w:numId="14">
    <w:abstractNumId w:val="5"/>
  </w:num>
  <w:num w:numId="15">
    <w:abstractNumId w:val="1"/>
  </w:num>
  <w:num w:numId="16">
    <w:abstractNumId w:val="10"/>
  </w:num>
  <w:num w:numId="17">
    <w:abstractNumId w:val="11"/>
  </w:num>
  <w:num w:numId="18">
    <w:abstractNumId w:val="8"/>
  </w:num>
  <w:num w:numId="19">
    <w:abstractNumId w:val="8"/>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8"/>
    <w:lvlOverride w:ilvl="0">
      <w:lvl w:ilvl="0">
        <w:start w:val="1"/>
        <w:numFmt w:val="decimal"/>
        <w:lvlText w:val="%1."/>
        <w:lvlJc w:val="left"/>
        <w:pPr>
          <w:ind w:left="360" w:hanging="360"/>
        </w:pPr>
        <w:rPr>
          <w:rFonts w:hint="default"/>
        </w:rPr>
      </w:lvl>
    </w:lvlOverride>
    <w:lvlOverride w:ilvl="1">
      <w:lvl w:ilvl="1">
        <w:start w:val="1"/>
        <w:numFmt w:val="none"/>
        <w:lvlText w:val="6.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EU RESTRICTED"/>
    <w:docVar w:name="LW_CORRIGENDUM" w:val="&lt;UNUSED&gt;"/>
    <w:docVar w:name="LW_COVERPAGE_GUID" w:val="776BE3FC00AF417B99A824C4F7EB78AE"/>
    <w:docVar w:name="LW_CROSSREFERENCE" w:val="&lt;UNUSED&gt;"/>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94"/>
    <w:docVar w:name="LW_REF.INTERNE" w:val="&lt;UNUSED&gt;"/>
    <w:docVar w:name="LW_SOUS.TITRE.OBJ.CP" w:val="&lt;UNUSED&gt;"/>
    <w:docVar w:name="LW_SUPERTITRE" w:val="&lt;UNUSED&gt;"/>
    <w:docVar w:name="LW_TITRE.OBJ.CP" w:val="Welcoming Foreign Direct Investment while Protecting Essential Interests"/>
    <w:docVar w:name="LW_TYPE.DOC.CP" w:val="COMMUNICATION FROM THE COMMISSION"/>
    <w:docVar w:name="LW_TYPE.DOC.CP.USERTEXT" w:val="TO THE EUROPEAN PARLIAMENT, THE EUROPEAN COUNCIL, THE COUNCIL, THE EUROPEAN ECONOMIC AND SOCIAL COMMITTEE AND THE COMMITTEE OF THE REGIONS"/>
  </w:docVars>
  <w:rsids>
    <w:rsidRoot w:val="00DE03C3"/>
    <w:rsid w:val="007E1FD3"/>
    <w:rsid w:val="00DE0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36"/>
        <w:tab w:val="right" w:pos="9072"/>
      </w:tabs>
    </w:pPr>
    <w:rPr>
      <w:rFonts w:eastAsia="Times New Roman"/>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FootnoteText">
    <w:name w:val="footnote text"/>
    <w:link w:val="FootnoteTextChar"/>
    <w:uiPriority w:val="99"/>
    <w:rPr>
      <w:rFonts w:ascii="Calibri" w:eastAsia="Calibri" w:hAnsi="Calibri" w:cs="Calibri"/>
      <w:color w:val="000000"/>
      <w:u w:color="000000"/>
      <w:lang w:val="en-US"/>
    </w:rPr>
  </w:style>
  <w:style w:type="paragraph" w:customStyle="1" w:styleId="BodyB">
    <w:name w:val="Body B"/>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rPr>
  </w:style>
  <w:style w:type="paragraph" w:customStyle="1" w:styleId="Default">
    <w:name w:val="Default"/>
    <w:rPr>
      <w:rFonts w:eastAsia="Times New Roman"/>
      <w:color w:val="000000"/>
      <w:sz w:val="24"/>
      <w:szCs w:val="24"/>
      <w:u w:color="000000"/>
      <w:lang w:val="en-US"/>
    </w:rPr>
  </w:style>
  <w:style w:type="paragraph" w:customStyle="1" w:styleId="Body">
    <w:name w:val="Body"/>
    <w:link w:val="BodyChar"/>
    <w:qFormat/>
    <w:rPr>
      <w:rFonts w:eastAsia="Times New Roman"/>
      <w:color w:val="000000"/>
      <w:sz w:val="24"/>
      <w:szCs w:val="24"/>
      <w:u w:color="000000"/>
    </w:rPr>
  </w:style>
  <w:style w:type="character" w:styleId="FootnoteReference">
    <w:name w:val="footnote reference"/>
    <w:uiPriority w:val="99"/>
    <w:rPr>
      <w:vertAlign w:val="superscript"/>
    </w:rPr>
  </w:style>
  <w:style w:type="paragraph" w:customStyle="1" w:styleId="BodyBA">
    <w:name w:val="Body B A"/>
    <w:rPr>
      <w:rFonts w:cs="Arial Unicode MS"/>
      <w:color w:val="000000"/>
      <w:sz w:val="24"/>
      <w:szCs w:val="24"/>
      <w:u w:color="000000"/>
      <w:lang w:val="en-US"/>
    </w:rPr>
  </w:style>
  <w:style w:type="numbering" w:customStyle="1" w:styleId="Bullets">
    <w:name w:val="Bullets"/>
    <w:pPr>
      <w:numPr>
        <w:numId w:val="3"/>
      </w:numPr>
    </w:pPr>
  </w:style>
  <w:style w:type="numbering" w:customStyle="1" w:styleId="Numbered">
    <w:name w:val="Numbered"/>
    <w:pPr>
      <w:numPr>
        <w:numId w:val="5"/>
      </w:numPr>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Considrant">
    <w:name w:val="Considérant"/>
    <w:basedOn w:val="Normal"/>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szCs w:val="22"/>
      <w:bdr w:val="none" w:sz="0" w:space="0" w:color="auto"/>
      <w:lang w:val="en-GB"/>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en-U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rPr>
      <w:rFonts w:eastAsia="Times New Roman"/>
      <w:color w:val="000000"/>
      <w:sz w:val="24"/>
      <w:szCs w:val="24"/>
      <w:u w:color="000000"/>
    </w:rPr>
  </w:style>
  <w:style w:type="character" w:customStyle="1" w:styleId="FooterChar">
    <w:name w:val="Footer Char"/>
    <w:basedOn w:val="DefaultParagraphFont"/>
    <w:link w:val="Footer"/>
    <w:uiPriority w:val="99"/>
    <w:rPr>
      <w:rFonts w:eastAsia="Times New Roman"/>
      <w:color w:val="000000"/>
      <w:sz w:val="24"/>
      <w:szCs w:val="24"/>
      <w:u w:color="000000"/>
      <w:lang w:val="en-US"/>
    </w:rPr>
  </w:style>
  <w:style w:type="character" w:styleId="Emphasis">
    <w:name w:val="Emphasis"/>
    <w:basedOn w:val="DefaultParagraphFont"/>
    <w:uiPriority w:val="20"/>
    <w:qFormat/>
    <w:rPr>
      <w:b/>
      <w:bCs/>
      <w:i w:val="0"/>
      <w:iCs w:val="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imes New Roman"/>
      <w:bCs/>
      <w:color w:val="000000"/>
      <w:u w:color="000000"/>
    </w:rPr>
  </w:style>
  <w:style w:type="character" w:customStyle="1" w:styleId="FooterCoverPageChar">
    <w:name w:val="Footer Cover Page Char"/>
    <w:basedOn w:val="BodyChar"/>
    <w:link w:val="FooterCoverPage"/>
    <w:rPr>
      <w:rFonts w:eastAsia="Times New Roman"/>
      <w:bCs/>
      <w:color w:val="000000"/>
      <w:sz w:val="24"/>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HeaderCoverPageChar">
    <w:name w:val="Header Cover Page Char"/>
    <w:basedOn w:val="BodyChar"/>
    <w:link w:val="HeaderCoverPage"/>
    <w:rPr>
      <w:rFonts w:eastAsia="Times New Roman"/>
      <w:bCs/>
      <w:color w:val="000000"/>
      <w:sz w:val="24"/>
      <w:szCs w:val="24"/>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36"/>
        <w:tab w:val="right" w:pos="9072"/>
      </w:tabs>
    </w:pPr>
    <w:rPr>
      <w:rFonts w:eastAsia="Times New Roman"/>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FootnoteText">
    <w:name w:val="footnote text"/>
    <w:link w:val="FootnoteTextChar"/>
    <w:uiPriority w:val="99"/>
    <w:rPr>
      <w:rFonts w:ascii="Calibri" w:eastAsia="Calibri" w:hAnsi="Calibri" w:cs="Calibri"/>
      <w:color w:val="000000"/>
      <w:u w:color="000000"/>
      <w:lang w:val="en-US"/>
    </w:rPr>
  </w:style>
  <w:style w:type="paragraph" w:customStyle="1" w:styleId="BodyB">
    <w:name w:val="Body B"/>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rPr>
  </w:style>
  <w:style w:type="paragraph" w:customStyle="1" w:styleId="Default">
    <w:name w:val="Default"/>
    <w:rPr>
      <w:rFonts w:eastAsia="Times New Roman"/>
      <w:color w:val="000000"/>
      <w:sz w:val="24"/>
      <w:szCs w:val="24"/>
      <w:u w:color="000000"/>
      <w:lang w:val="en-US"/>
    </w:rPr>
  </w:style>
  <w:style w:type="paragraph" w:customStyle="1" w:styleId="Body">
    <w:name w:val="Body"/>
    <w:link w:val="BodyChar"/>
    <w:qFormat/>
    <w:rPr>
      <w:rFonts w:eastAsia="Times New Roman"/>
      <w:color w:val="000000"/>
      <w:sz w:val="24"/>
      <w:szCs w:val="24"/>
      <w:u w:color="000000"/>
    </w:rPr>
  </w:style>
  <w:style w:type="character" w:styleId="FootnoteReference">
    <w:name w:val="footnote reference"/>
    <w:uiPriority w:val="99"/>
    <w:rPr>
      <w:vertAlign w:val="superscript"/>
    </w:rPr>
  </w:style>
  <w:style w:type="paragraph" w:customStyle="1" w:styleId="BodyBA">
    <w:name w:val="Body B A"/>
    <w:rPr>
      <w:rFonts w:cs="Arial Unicode MS"/>
      <w:color w:val="000000"/>
      <w:sz w:val="24"/>
      <w:szCs w:val="24"/>
      <w:u w:color="000000"/>
      <w:lang w:val="en-US"/>
    </w:rPr>
  </w:style>
  <w:style w:type="numbering" w:customStyle="1" w:styleId="Bullets">
    <w:name w:val="Bullets"/>
    <w:pPr>
      <w:numPr>
        <w:numId w:val="3"/>
      </w:numPr>
    </w:pPr>
  </w:style>
  <w:style w:type="numbering" w:customStyle="1" w:styleId="Numbered">
    <w:name w:val="Numbered"/>
    <w:pPr>
      <w:numPr>
        <w:numId w:val="5"/>
      </w:numPr>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Considrant">
    <w:name w:val="Considérant"/>
    <w:basedOn w:val="Normal"/>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szCs w:val="22"/>
      <w:bdr w:val="none" w:sz="0" w:space="0" w:color="auto"/>
      <w:lang w:val="en-GB"/>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en-U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rPr>
      <w:rFonts w:eastAsia="Times New Roman"/>
      <w:color w:val="000000"/>
      <w:sz w:val="24"/>
      <w:szCs w:val="24"/>
      <w:u w:color="000000"/>
    </w:rPr>
  </w:style>
  <w:style w:type="character" w:customStyle="1" w:styleId="FooterChar">
    <w:name w:val="Footer Char"/>
    <w:basedOn w:val="DefaultParagraphFont"/>
    <w:link w:val="Footer"/>
    <w:uiPriority w:val="99"/>
    <w:rPr>
      <w:rFonts w:eastAsia="Times New Roman"/>
      <w:color w:val="000000"/>
      <w:sz w:val="24"/>
      <w:szCs w:val="24"/>
      <w:u w:color="000000"/>
      <w:lang w:val="en-US"/>
    </w:rPr>
  </w:style>
  <w:style w:type="character" w:styleId="Emphasis">
    <w:name w:val="Emphasis"/>
    <w:basedOn w:val="DefaultParagraphFont"/>
    <w:uiPriority w:val="20"/>
    <w:qFormat/>
    <w:rPr>
      <w:b/>
      <w:bCs/>
      <w:i w:val="0"/>
      <w:iCs w:val="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imes New Roman"/>
      <w:bCs/>
      <w:color w:val="000000"/>
      <w:u w:color="000000"/>
    </w:rPr>
  </w:style>
  <w:style w:type="character" w:customStyle="1" w:styleId="FooterCoverPageChar">
    <w:name w:val="Footer Cover Page Char"/>
    <w:basedOn w:val="BodyChar"/>
    <w:link w:val="FooterCoverPage"/>
    <w:rPr>
      <w:rFonts w:eastAsia="Times New Roman"/>
      <w:bCs/>
      <w:color w:val="000000"/>
      <w:sz w:val="24"/>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HeaderCoverPageChar">
    <w:name w:val="Header Cover Page Char"/>
    <w:basedOn w:val="BodyChar"/>
    <w:link w:val="HeaderCoverPage"/>
    <w:rPr>
      <w:rFonts w:eastAsia="Times New Roman"/>
      <w:bC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914">
      <w:bodyDiv w:val="1"/>
      <w:marLeft w:val="0"/>
      <w:marRight w:val="0"/>
      <w:marTop w:val="0"/>
      <w:marBottom w:val="0"/>
      <w:divBdr>
        <w:top w:val="none" w:sz="0" w:space="0" w:color="auto"/>
        <w:left w:val="none" w:sz="0" w:space="0" w:color="auto"/>
        <w:bottom w:val="none" w:sz="0" w:space="0" w:color="auto"/>
        <w:right w:val="none" w:sz="0" w:space="0" w:color="auto"/>
      </w:divBdr>
    </w:div>
    <w:div w:id="366414843">
      <w:bodyDiv w:val="1"/>
      <w:marLeft w:val="0"/>
      <w:marRight w:val="0"/>
      <w:marTop w:val="0"/>
      <w:marBottom w:val="0"/>
      <w:divBdr>
        <w:top w:val="none" w:sz="0" w:space="0" w:color="auto"/>
        <w:left w:val="none" w:sz="0" w:space="0" w:color="auto"/>
        <w:bottom w:val="none" w:sz="0" w:space="0" w:color="auto"/>
        <w:right w:val="none" w:sz="0" w:space="0" w:color="auto"/>
      </w:divBdr>
    </w:div>
    <w:div w:id="424419548">
      <w:bodyDiv w:val="1"/>
      <w:marLeft w:val="0"/>
      <w:marRight w:val="0"/>
      <w:marTop w:val="0"/>
      <w:marBottom w:val="0"/>
      <w:divBdr>
        <w:top w:val="none" w:sz="0" w:space="0" w:color="auto"/>
        <w:left w:val="none" w:sz="0" w:space="0" w:color="auto"/>
        <w:bottom w:val="none" w:sz="0" w:space="0" w:color="auto"/>
        <w:right w:val="none" w:sz="0" w:space="0" w:color="auto"/>
      </w:divBdr>
    </w:div>
    <w:div w:id="584218638">
      <w:bodyDiv w:val="1"/>
      <w:marLeft w:val="0"/>
      <w:marRight w:val="0"/>
      <w:marTop w:val="0"/>
      <w:marBottom w:val="0"/>
      <w:divBdr>
        <w:top w:val="none" w:sz="0" w:space="0" w:color="auto"/>
        <w:left w:val="none" w:sz="0" w:space="0" w:color="auto"/>
        <w:bottom w:val="none" w:sz="0" w:space="0" w:color="auto"/>
        <w:right w:val="none" w:sz="0" w:space="0" w:color="auto"/>
      </w:divBdr>
    </w:div>
    <w:div w:id="1328433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treasury.gov/resource-center/international/Pages/Committee-on-Foreign-Investment-in-U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investment/fdiindex.h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400"/>
              <a:t>Shares of EU inward FDI stock</a:t>
            </a:r>
          </a:p>
          <a:p>
            <a:pPr>
              <a:defRPr/>
            </a:pPr>
            <a:r>
              <a:rPr lang="en-GB" sz="1100"/>
              <a:t>(1995 = 100)</a:t>
            </a:r>
          </a:p>
        </c:rich>
      </c:tx>
      <c:overlay val="0"/>
    </c:title>
    <c:autoTitleDeleted val="0"/>
    <c:plotArea>
      <c:layout/>
      <c:lineChart>
        <c:grouping val="standard"/>
        <c:varyColors val="0"/>
        <c:ser>
          <c:idx val="0"/>
          <c:order val="0"/>
          <c:tx>
            <c:strRef>
              <c:f>Sheet1!$B$30</c:f>
              <c:strCache>
                <c:ptCount val="1"/>
                <c:pt idx="0">
                  <c:v>United States</c:v>
                </c:pt>
              </c:strCache>
            </c:strRef>
          </c:tx>
          <c:spPr>
            <a:ln>
              <a:solidFill>
                <a:srgbClr val="0070C0"/>
              </a:solidFill>
            </a:ln>
          </c:spPr>
          <c:marker>
            <c:symbol val="none"/>
          </c:marker>
          <c:cat>
            <c:numRef>
              <c:f>Sheet1!$C$29:$E$29</c:f>
              <c:numCache>
                <c:formatCode>General</c:formatCode>
                <c:ptCount val="3"/>
                <c:pt idx="0">
                  <c:v>1995</c:v>
                </c:pt>
                <c:pt idx="1">
                  <c:v>2005</c:v>
                </c:pt>
                <c:pt idx="2">
                  <c:v>2015</c:v>
                </c:pt>
              </c:numCache>
            </c:numRef>
          </c:cat>
          <c:val>
            <c:numRef>
              <c:f>Sheet1!$C$30:$E$30</c:f>
              <c:numCache>
                <c:formatCode>0.0%</c:formatCode>
                <c:ptCount val="3"/>
                <c:pt idx="0">
                  <c:v>1</c:v>
                </c:pt>
                <c:pt idx="1">
                  <c:v>0.92982456140350866</c:v>
                </c:pt>
                <c:pt idx="2">
                  <c:v>0.80701754385964908</c:v>
                </c:pt>
              </c:numCache>
            </c:numRef>
          </c:val>
          <c:smooth val="0"/>
        </c:ser>
        <c:ser>
          <c:idx val="1"/>
          <c:order val="1"/>
          <c:tx>
            <c:strRef>
              <c:f>Sheet1!$B$31</c:f>
              <c:strCache>
                <c:ptCount val="1"/>
                <c:pt idx="0">
                  <c:v>Switzerland</c:v>
                </c:pt>
              </c:strCache>
            </c:strRef>
          </c:tx>
          <c:spPr>
            <a:ln>
              <a:solidFill>
                <a:srgbClr val="FF3300"/>
              </a:solidFill>
            </a:ln>
          </c:spPr>
          <c:marker>
            <c:symbol val="none"/>
          </c:marker>
          <c:cat>
            <c:numRef>
              <c:f>Sheet1!$C$29:$E$29</c:f>
              <c:numCache>
                <c:formatCode>General</c:formatCode>
                <c:ptCount val="3"/>
                <c:pt idx="0">
                  <c:v>1995</c:v>
                </c:pt>
                <c:pt idx="1">
                  <c:v>2005</c:v>
                </c:pt>
                <c:pt idx="2">
                  <c:v>2015</c:v>
                </c:pt>
              </c:numCache>
            </c:numRef>
          </c:cat>
          <c:val>
            <c:numRef>
              <c:f>Sheet1!$C$31:$E$31</c:f>
              <c:numCache>
                <c:formatCode>0.0%</c:formatCode>
                <c:ptCount val="3"/>
                <c:pt idx="0">
                  <c:v>1</c:v>
                </c:pt>
                <c:pt idx="1">
                  <c:v>0.67512690355329952</c:v>
                </c:pt>
                <c:pt idx="2">
                  <c:v>0.54822335025380708</c:v>
                </c:pt>
              </c:numCache>
            </c:numRef>
          </c:val>
          <c:smooth val="0"/>
        </c:ser>
        <c:ser>
          <c:idx val="2"/>
          <c:order val="2"/>
          <c:tx>
            <c:strRef>
              <c:f>Sheet1!$B$32</c:f>
              <c:strCache>
                <c:ptCount val="1"/>
                <c:pt idx="0">
                  <c:v>Canada</c:v>
                </c:pt>
              </c:strCache>
            </c:strRef>
          </c:tx>
          <c:spPr>
            <a:ln>
              <a:solidFill>
                <a:srgbClr val="00CC99"/>
              </a:solidFill>
            </a:ln>
          </c:spPr>
          <c:marker>
            <c:symbol val="none"/>
          </c:marker>
          <c:cat>
            <c:numRef>
              <c:f>Sheet1!$C$29:$E$29</c:f>
              <c:numCache>
                <c:formatCode>General</c:formatCode>
                <c:ptCount val="3"/>
                <c:pt idx="0">
                  <c:v>1995</c:v>
                </c:pt>
                <c:pt idx="1">
                  <c:v>2005</c:v>
                </c:pt>
                <c:pt idx="2">
                  <c:v>2015</c:v>
                </c:pt>
              </c:numCache>
            </c:numRef>
          </c:cat>
          <c:val>
            <c:numRef>
              <c:f>Sheet1!$C$32:$E$32</c:f>
              <c:numCache>
                <c:formatCode>0.0%</c:formatCode>
                <c:ptCount val="3"/>
                <c:pt idx="0">
                  <c:v>1</c:v>
                </c:pt>
                <c:pt idx="1">
                  <c:v>1.4000000000000001</c:v>
                </c:pt>
                <c:pt idx="2">
                  <c:v>1.2666666666666666</c:v>
                </c:pt>
              </c:numCache>
            </c:numRef>
          </c:val>
          <c:smooth val="0"/>
        </c:ser>
        <c:ser>
          <c:idx val="3"/>
          <c:order val="3"/>
          <c:tx>
            <c:strRef>
              <c:f>Sheet1!$B$33</c:f>
              <c:strCache>
                <c:ptCount val="1"/>
                <c:pt idx="0">
                  <c:v>Japan</c:v>
                </c:pt>
              </c:strCache>
            </c:strRef>
          </c:tx>
          <c:spPr>
            <a:ln>
              <a:solidFill>
                <a:srgbClr val="660066"/>
              </a:solidFill>
            </a:ln>
          </c:spPr>
          <c:marker>
            <c:symbol val="none"/>
          </c:marker>
          <c:cat>
            <c:numRef>
              <c:f>Sheet1!$C$29:$E$29</c:f>
              <c:numCache>
                <c:formatCode>General</c:formatCode>
                <c:ptCount val="3"/>
                <c:pt idx="0">
                  <c:v>1995</c:v>
                </c:pt>
                <c:pt idx="1">
                  <c:v>2005</c:v>
                </c:pt>
                <c:pt idx="2">
                  <c:v>2015</c:v>
                </c:pt>
              </c:numCache>
            </c:numRef>
          </c:cat>
          <c:val>
            <c:numRef>
              <c:f>Sheet1!$C$33:$E$33</c:f>
              <c:numCache>
                <c:formatCode>0.0%</c:formatCode>
                <c:ptCount val="3"/>
                <c:pt idx="0">
                  <c:v>1</c:v>
                </c:pt>
                <c:pt idx="1">
                  <c:v>0.55844155844155841</c:v>
                </c:pt>
                <c:pt idx="2">
                  <c:v>0.37662337662337658</c:v>
                </c:pt>
              </c:numCache>
            </c:numRef>
          </c:val>
          <c:smooth val="0"/>
        </c:ser>
        <c:ser>
          <c:idx val="4"/>
          <c:order val="4"/>
          <c:tx>
            <c:strRef>
              <c:f>Sheet1!$B$34</c:f>
              <c:strCache>
                <c:ptCount val="1"/>
                <c:pt idx="0">
                  <c:v>Brazil</c:v>
                </c:pt>
              </c:strCache>
            </c:strRef>
          </c:tx>
          <c:spPr>
            <a:ln>
              <a:solidFill>
                <a:srgbClr val="00B050"/>
              </a:solidFill>
            </a:ln>
          </c:spPr>
          <c:marker>
            <c:symbol val="none"/>
          </c:marker>
          <c:cat>
            <c:numRef>
              <c:f>Sheet1!$C$29:$E$29</c:f>
              <c:numCache>
                <c:formatCode>General</c:formatCode>
                <c:ptCount val="3"/>
                <c:pt idx="0">
                  <c:v>1995</c:v>
                </c:pt>
                <c:pt idx="1">
                  <c:v>2005</c:v>
                </c:pt>
                <c:pt idx="2">
                  <c:v>2015</c:v>
                </c:pt>
              </c:numCache>
            </c:numRef>
          </c:cat>
          <c:val>
            <c:numRef>
              <c:f>Sheet1!$C$34:$E$34</c:f>
              <c:numCache>
                <c:formatCode>0.0%</c:formatCode>
                <c:ptCount val="3"/>
                <c:pt idx="0">
                  <c:v>1</c:v>
                </c:pt>
                <c:pt idx="1">
                  <c:v>2</c:v>
                </c:pt>
                <c:pt idx="2">
                  <c:v>11</c:v>
                </c:pt>
              </c:numCache>
            </c:numRef>
          </c:val>
          <c:smooth val="0"/>
        </c:ser>
        <c:ser>
          <c:idx val="5"/>
          <c:order val="5"/>
          <c:tx>
            <c:strRef>
              <c:f>Sheet1!$B$35</c:f>
              <c:strCache>
                <c:ptCount val="1"/>
                <c:pt idx="0">
                  <c:v>China, incl. Hong Kong</c:v>
                </c:pt>
              </c:strCache>
            </c:strRef>
          </c:tx>
          <c:spPr>
            <a:ln>
              <a:solidFill>
                <a:schemeClr val="accent2">
                  <a:lumMod val="50000"/>
                </a:schemeClr>
              </a:solidFill>
            </a:ln>
          </c:spPr>
          <c:marker>
            <c:symbol val="none"/>
          </c:marker>
          <c:cat>
            <c:numRef>
              <c:f>Sheet1!$C$29:$E$29</c:f>
              <c:numCache>
                <c:formatCode>General</c:formatCode>
                <c:ptCount val="3"/>
                <c:pt idx="0">
                  <c:v>1995</c:v>
                </c:pt>
                <c:pt idx="1">
                  <c:v>2005</c:v>
                </c:pt>
                <c:pt idx="2">
                  <c:v>2015</c:v>
                </c:pt>
              </c:numCache>
            </c:numRef>
          </c:cat>
          <c:val>
            <c:numRef>
              <c:f>Sheet1!$C$35:$E$35</c:f>
              <c:numCache>
                <c:formatCode>0.0%</c:formatCode>
                <c:ptCount val="3"/>
                <c:pt idx="0">
                  <c:v>1</c:v>
                </c:pt>
                <c:pt idx="1">
                  <c:v>3.3333333333333335</c:v>
                </c:pt>
                <c:pt idx="2">
                  <c:v>6.666666666666667</c:v>
                </c:pt>
              </c:numCache>
            </c:numRef>
          </c:val>
          <c:smooth val="0"/>
        </c:ser>
        <c:ser>
          <c:idx val="6"/>
          <c:order val="6"/>
          <c:tx>
            <c:strRef>
              <c:f>Sheet1!$B$36</c:f>
              <c:strCache>
                <c:ptCount val="1"/>
                <c:pt idx="0">
                  <c:v>Norway</c:v>
                </c:pt>
              </c:strCache>
            </c:strRef>
          </c:tx>
          <c:spPr>
            <a:ln>
              <a:solidFill>
                <a:srgbClr val="00FFFF"/>
              </a:solidFill>
            </a:ln>
          </c:spPr>
          <c:marker>
            <c:symbol val="none"/>
          </c:marker>
          <c:cat>
            <c:numRef>
              <c:f>Sheet1!$C$29:$E$29</c:f>
              <c:numCache>
                <c:formatCode>General</c:formatCode>
                <c:ptCount val="3"/>
                <c:pt idx="0">
                  <c:v>1995</c:v>
                </c:pt>
                <c:pt idx="1">
                  <c:v>2005</c:v>
                </c:pt>
                <c:pt idx="2">
                  <c:v>2015</c:v>
                </c:pt>
              </c:numCache>
            </c:numRef>
          </c:cat>
          <c:val>
            <c:numRef>
              <c:f>Sheet1!$C$36:$E$36</c:f>
              <c:numCache>
                <c:formatCode>0.0%</c:formatCode>
                <c:ptCount val="3"/>
                <c:pt idx="0">
                  <c:v>1</c:v>
                </c:pt>
                <c:pt idx="1">
                  <c:v>1.1363636363636365</c:v>
                </c:pt>
                <c:pt idx="2">
                  <c:v>0.59090909090909094</c:v>
                </c:pt>
              </c:numCache>
            </c:numRef>
          </c:val>
          <c:smooth val="0"/>
        </c:ser>
        <c:ser>
          <c:idx val="7"/>
          <c:order val="7"/>
          <c:tx>
            <c:strRef>
              <c:f>Sheet1!$B$37</c:f>
              <c:strCache>
                <c:ptCount val="1"/>
                <c:pt idx="0">
                  <c:v>Russia </c:v>
                </c:pt>
              </c:strCache>
            </c:strRef>
          </c:tx>
          <c:spPr>
            <a:ln>
              <a:solidFill>
                <a:srgbClr val="9966FF"/>
              </a:solidFill>
            </a:ln>
          </c:spPr>
          <c:marker>
            <c:symbol val="none"/>
          </c:marker>
          <c:cat>
            <c:numRef>
              <c:f>Sheet1!$C$29:$E$29</c:f>
              <c:numCache>
                <c:formatCode>General</c:formatCode>
                <c:ptCount val="3"/>
                <c:pt idx="0">
                  <c:v>1995</c:v>
                </c:pt>
                <c:pt idx="1">
                  <c:v>2005</c:v>
                </c:pt>
                <c:pt idx="2">
                  <c:v>2015</c:v>
                </c:pt>
              </c:numCache>
            </c:numRef>
          </c:cat>
          <c:val>
            <c:numRef>
              <c:f>Sheet1!$C$37:$E$37</c:f>
              <c:numCache>
                <c:formatCode>0.0%</c:formatCode>
                <c:ptCount val="3"/>
                <c:pt idx="0">
                  <c:v>1</c:v>
                </c:pt>
                <c:pt idx="1">
                  <c:v>1.5</c:v>
                </c:pt>
                <c:pt idx="2">
                  <c:v>2.75</c:v>
                </c:pt>
              </c:numCache>
            </c:numRef>
          </c:val>
          <c:smooth val="0"/>
        </c:ser>
        <c:ser>
          <c:idx val="8"/>
          <c:order val="8"/>
          <c:tx>
            <c:strRef>
              <c:f>Sheet1!$B$38</c:f>
              <c:strCache>
                <c:ptCount val="1"/>
                <c:pt idx="0">
                  <c:v>Singapore</c:v>
                </c:pt>
              </c:strCache>
            </c:strRef>
          </c:tx>
          <c:spPr>
            <a:ln>
              <a:solidFill>
                <a:srgbClr val="FF6600"/>
              </a:solidFill>
            </a:ln>
          </c:spPr>
          <c:marker>
            <c:symbol val="none"/>
          </c:marker>
          <c:cat>
            <c:numRef>
              <c:f>Sheet1!$C$29:$E$29</c:f>
              <c:numCache>
                <c:formatCode>General</c:formatCode>
                <c:ptCount val="3"/>
                <c:pt idx="0">
                  <c:v>1995</c:v>
                </c:pt>
                <c:pt idx="1">
                  <c:v>2005</c:v>
                </c:pt>
                <c:pt idx="2">
                  <c:v>2015</c:v>
                </c:pt>
              </c:numCache>
            </c:numRef>
          </c:cat>
          <c:val>
            <c:numRef>
              <c:f>Sheet1!$C$38:$E$38</c:f>
              <c:numCache>
                <c:formatCode>0.0%</c:formatCode>
                <c:ptCount val="3"/>
                <c:pt idx="0">
                  <c:v>1</c:v>
                </c:pt>
                <c:pt idx="1">
                  <c:v>4</c:v>
                </c:pt>
                <c:pt idx="2">
                  <c:v>2.5</c:v>
                </c:pt>
              </c:numCache>
            </c:numRef>
          </c:val>
          <c:smooth val="0"/>
        </c:ser>
        <c:ser>
          <c:idx val="9"/>
          <c:order val="9"/>
          <c:tx>
            <c:strRef>
              <c:f>Sheet1!$B$39</c:f>
              <c:strCache>
                <c:ptCount val="1"/>
                <c:pt idx="0">
                  <c:v>Israel</c:v>
                </c:pt>
              </c:strCache>
            </c:strRef>
          </c:tx>
          <c:spPr>
            <a:ln>
              <a:solidFill>
                <a:srgbClr val="FF33CC"/>
              </a:solidFill>
            </a:ln>
          </c:spPr>
          <c:marker>
            <c:symbol val="none"/>
          </c:marker>
          <c:cat>
            <c:numRef>
              <c:f>Sheet1!$C$29:$E$29</c:f>
              <c:numCache>
                <c:formatCode>General</c:formatCode>
                <c:ptCount val="3"/>
                <c:pt idx="0">
                  <c:v>1995</c:v>
                </c:pt>
                <c:pt idx="1">
                  <c:v>2005</c:v>
                </c:pt>
                <c:pt idx="2">
                  <c:v>2015</c:v>
                </c:pt>
              </c:numCache>
            </c:numRef>
          </c:cat>
          <c:val>
            <c:numRef>
              <c:f>Sheet1!$C$39:$E$39</c:f>
              <c:numCache>
                <c:formatCode>0.0%</c:formatCode>
                <c:ptCount val="3"/>
                <c:pt idx="0">
                  <c:v>1</c:v>
                </c:pt>
                <c:pt idx="1">
                  <c:v>3</c:v>
                </c:pt>
                <c:pt idx="2">
                  <c:v>8</c:v>
                </c:pt>
              </c:numCache>
            </c:numRef>
          </c:val>
          <c:smooth val="0"/>
        </c:ser>
        <c:dLbls>
          <c:showLegendKey val="0"/>
          <c:showVal val="0"/>
          <c:showCatName val="0"/>
          <c:showSerName val="0"/>
          <c:showPercent val="0"/>
          <c:showBubbleSize val="0"/>
        </c:dLbls>
        <c:marker val="1"/>
        <c:smooth val="0"/>
        <c:axId val="44010112"/>
        <c:axId val="44016000"/>
      </c:lineChart>
      <c:catAx>
        <c:axId val="44010112"/>
        <c:scaling>
          <c:orientation val="minMax"/>
        </c:scaling>
        <c:delete val="0"/>
        <c:axPos val="b"/>
        <c:numFmt formatCode="General" sourceLinked="1"/>
        <c:majorTickMark val="out"/>
        <c:minorTickMark val="none"/>
        <c:tickLblPos val="nextTo"/>
        <c:crossAx val="44016000"/>
        <c:crosses val="autoZero"/>
        <c:auto val="1"/>
        <c:lblAlgn val="ctr"/>
        <c:lblOffset val="100"/>
        <c:noMultiLvlLbl val="0"/>
      </c:catAx>
      <c:valAx>
        <c:axId val="44016000"/>
        <c:scaling>
          <c:orientation val="minMax"/>
        </c:scaling>
        <c:delete val="0"/>
        <c:axPos val="l"/>
        <c:majorGridlines/>
        <c:numFmt formatCode="0.0%" sourceLinked="1"/>
        <c:majorTickMark val="out"/>
        <c:minorTickMark val="none"/>
        <c:tickLblPos val="nextTo"/>
        <c:crossAx val="4401011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theme/themeOverride1.xml><?xml version="1.0" encoding="utf-8"?>
<a:themeOverride xmlns:a="http://schemas.openxmlformats.org/drawingml/2006/main">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8BFFC-7D61-4FCA-93C9-BDD04036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4342</Words>
  <Characters>24667</Characters>
  <Application>Microsoft Office Word</Application>
  <DocSecurity>0</DocSecurity>
  <Lines>406</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17</cp:revision>
  <cp:lastPrinted>2017-09-08T10:48:00Z</cp:lastPrinted>
  <dcterms:created xsi:type="dcterms:W3CDTF">2017-09-11T16:35:00Z</dcterms:created>
  <dcterms:modified xsi:type="dcterms:W3CDTF">2017-09-12T09:07:00Z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