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A3" w:rsidRPr="00612981" w:rsidRDefault="000C6176" w:rsidP="000C6176">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4F814CB87C44AE58782D4BBD996A169" style="width:450.85pt;height:352.3pt">
            <v:imagedata r:id="rId9" o:title=""/>
          </v:shape>
        </w:pict>
      </w:r>
    </w:p>
    <w:p w:rsidR="006C02A3" w:rsidRPr="00612981" w:rsidRDefault="006C02A3" w:rsidP="006C02A3">
      <w:pPr>
        <w:sectPr w:rsidR="006C02A3" w:rsidRPr="00612981" w:rsidSect="000C617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C69EB" w:rsidRPr="00612981" w:rsidRDefault="00EC69EB" w:rsidP="00ED50EC">
      <w:pPr>
        <w:pStyle w:val="Exposdesmotifstitre"/>
        <w:rPr>
          <w:noProof/>
          <w:bdr w:val="nil"/>
          <w:lang w:val="en-US" w:eastAsia="en-GB"/>
        </w:rPr>
      </w:pPr>
      <w:r w:rsidRPr="00612981">
        <w:rPr>
          <w:noProof/>
          <w:bdr w:val="nil"/>
          <w:lang w:val="en-US" w:eastAsia="en-GB"/>
        </w:rPr>
        <w:lastRenderedPageBreak/>
        <w:t>EXPLANATORY MEMORANDUM</w:t>
      </w:r>
    </w:p>
    <w:p w:rsidR="002B1B13" w:rsidRPr="00612981" w:rsidRDefault="002B1B13" w:rsidP="00113637">
      <w:pPr>
        <w:pStyle w:val="ManualHeading1"/>
        <w:rPr>
          <w:noProof/>
          <w:u w:color="000000"/>
          <w:bdr w:val="nil"/>
          <w:lang w:val="en-US" w:eastAsia="en-GB"/>
        </w:rPr>
      </w:pPr>
      <w:r w:rsidRPr="00612981">
        <w:rPr>
          <w:noProof/>
          <w:u w:color="000000"/>
          <w:bdr w:val="nil"/>
          <w:lang w:val="en-US" w:eastAsia="en-GB"/>
        </w:rPr>
        <w:t>1.</w:t>
      </w:r>
      <w:r w:rsidRPr="00612981">
        <w:rPr>
          <w:noProof/>
          <w:u w:color="000000"/>
          <w:bdr w:val="nil"/>
          <w:lang w:val="en-US" w:eastAsia="en-GB"/>
        </w:rPr>
        <w:tab/>
        <w:t xml:space="preserve">CONTEXT OF </w:t>
      </w:r>
      <w:r w:rsidRPr="00612981">
        <w:rPr>
          <w:rFonts w:eastAsia="Arial Unicode MS"/>
          <w:noProof/>
          <w:color w:val="000000"/>
          <w:szCs w:val="24"/>
          <w:u w:color="000000"/>
          <w:bdr w:val="nil"/>
          <w:lang w:val="en-US" w:eastAsia="en-GB"/>
        </w:rPr>
        <w:t>THE</w:t>
      </w:r>
      <w:r w:rsidRPr="00612981">
        <w:rPr>
          <w:noProof/>
          <w:u w:color="000000"/>
          <w:bdr w:val="nil"/>
          <w:lang w:val="en-US" w:eastAsia="en-GB"/>
        </w:rPr>
        <w:t xml:space="preserve"> PROPOSAL</w:t>
      </w:r>
    </w:p>
    <w:p w:rsidR="002B1B13" w:rsidRPr="00612981" w:rsidRDefault="00113637" w:rsidP="00DE1262">
      <w:pPr>
        <w:pStyle w:val="Bullet0"/>
        <w:numPr>
          <w:ilvl w:val="0"/>
          <w:numId w:val="10"/>
        </w:numPr>
        <w:rPr>
          <w:b/>
          <w:noProof/>
          <w:u w:color="000000"/>
          <w:bdr w:val="nil"/>
          <w:lang w:val="en-US" w:eastAsia="en-GB"/>
        </w:rPr>
      </w:pPr>
      <w:r w:rsidRPr="00612981">
        <w:rPr>
          <w:b/>
          <w:noProof/>
          <w:u w:color="000000"/>
          <w:bdr w:val="nil"/>
          <w:lang w:val="en-US" w:eastAsia="en-GB"/>
        </w:rPr>
        <w:t>R</w:t>
      </w:r>
      <w:r w:rsidR="002B1B13" w:rsidRPr="00612981">
        <w:rPr>
          <w:b/>
          <w:noProof/>
          <w:u w:color="000000"/>
          <w:bdr w:val="nil"/>
          <w:lang w:val="en-US" w:eastAsia="en-GB"/>
        </w:rPr>
        <w:t>easons for and objectives of the proposal</w:t>
      </w:r>
    </w:p>
    <w:p w:rsidR="002B1B13" w:rsidRPr="00612981" w:rsidRDefault="002B1B13" w:rsidP="002B1B13">
      <w:pPr>
        <w:snapToGrid w:val="0"/>
        <w:rPr>
          <w:szCs w:val="24"/>
        </w:rPr>
      </w:pPr>
      <w:r w:rsidRPr="00612981">
        <w:rPr>
          <w:szCs w:val="24"/>
        </w:rPr>
        <w:t xml:space="preserve">The </w:t>
      </w:r>
      <w:r w:rsidR="00A37A49" w:rsidRPr="00612981">
        <w:rPr>
          <w:szCs w:val="24"/>
        </w:rPr>
        <w:t>European Union (</w:t>
      </w:r>
      <w:r w:rsidRPr="00612981">
        <w:rPr>
          <w:szCs w:val="24"/>
        </w:rPr>
        <w:t>EU</w:t>
      </w:r>
      <w:r w:rsidR="00A37A49" w:rsidRPr="00612981">
        <w:rPr>
          <w:szCs w:val="24"/>
        </w:rPr>
        <w:t>)</w:t>
      </w:r>
      <w:r w:rsidRPr="00612981">
        <w:rPr>
          <w:szCs w:val="24"/>
        </w:rPr>
        <w:t xml:space="preserve"> has excellent political relations and mature trade and investment relations with Australia based on shared values of democracy and human rights. Australia has concluded numerous free trade agreements </w:t>
      </w:r>
      <w:r w:rsidR="00A37A49" w:rsidRPr="00612981">
        <w:rPr>
          <w:szCs w:val="24"/>
        </w:rPr>
        <w:t xml:space="preserve">(FTA) </w:t>
      </w:r>
      <w:r w:rsidRPr="00612981">
        <w:rPr>
          <w:szCs w:val="24"/>
        </w:rPr>
        <w:t>with other countries. The EU does</w:t>
      </w:r>
      <w:r w:rsidR="00A37A49" w:rsidRPr="00612981">
        <w:rPr>
          <w:szCs w:val="24"/>
        </w:rPr>
        <w:t xml:space="preserve"> </w:t>
      </w:r>
      <w:r w:rsidRPr="00612981">
        <w:rPr>
          <w:szCs w:val="24"/>
        </w:rPr>
        <w:t>n</w:t>
      </w:r>
      <w:r w:rsidR="00A37A49" w:rsidRPr="00612981">
        <w:rPr>
          <w:szCs w:val="24"/>
        </w:rPr>
        <w:t>o</w:t>
      </w:r>
      <w:r w:rsidRPr="00612981">
        <w:rPr>
          <w:szCs w:val="24"/>
        </w:rPr>
        <w:t xml:space="preserve">t have a bilateral </w:t>
      </w:r>
      <w:r w:rsidR="00AC489B" w:rsidRPr="00612981">
        <w:rPr>
          <w:szCs w:val="24"/>
        </w:rPr>
        <w:t>FTA</w:t>
      </w:r>
      <w:r w:rsidRPr="00612981">
        <w:rPr>
          <w:szCs w:val="24"/>
        </w:rPr>
        <w:t xml:space="preserve"> with Australia and that leaves the EU</w:t>
      </w:r>
      <w:r w:rsidR="00A37A49" w:rsidRPr="00612981">
        <w:rPr>
          <w:szCs w:val="24"/>
        </w:rPr>
        <w:t xml:space="preserve"> businesses</w:t>
      </w:r>
      <w:r w:rsidRPr="00612981">
        <w:rPr>
          <w:szCs w:val="24"/>
        </w:rPr>
        <w:t xml:space="preserve"> with comparably less favourable conditions to access the Australian market.</w:t>
      </w:r>
    </w:p>
    <w:p w:rsidR="002B1B13" w:rsidRPr="00612981" w:rsidRDefault="002B1B13" w:rsidP="002B1B13">
      <w:pPr>
        <w:snapToGrid w:val="0"/>
        <w:rPr>
          <w:szCs w:val="24"/>
        </w:rPr>
      </w:pPr>
      <w:r w:rsidRPr="00612981">
        <w:rPr>
          <w:szCs w:val="24"/>
        </w:rPr>
        <w:t>The Joint Statement of 22 April 2015</w:t>
      </w:r>
      <w:r w:rsidRPr="00612981">
        <w:rPr>
          <w:rStyle w:val="FootnoteReference"/>
        </w:rPr>
        <w:footnoteReference w:id="1"/>
      </w:r>
      <w:r w:rsidRPr="00612981">
        <w:rPr>
          <w:szCs w:val="24"/>
        </w:rPr>
        <w:t xml:space="preserve"> by the H</w:t>
      </w:r>
      <w:r w:rsidR="00FE5B4B" w:rsidRPr="00612981">
        <w:rPr>
          <w:szCs w:val="24"/>
        </w:rPr>
        <w:t xml:space="preserve">igh </w:t>
      </w:r>
      <w:r w:rsidRPr="00612981">
        <w:rPr>
          <w:szCs w:val="24"/>
        </w:rPr>
        <w:t>R</w:t>
      </w:r>
      <w:r w:rsidR="00FE5B4B" w:rsidRPr="00612981">
        <w:rPr>
          <w:szCs w:val="24"/>
        </w:rPr>
        <w:t xml:space="preserve">epresentative </w:t>
      </w:r>
      <w:r w:rsidR="00A37A49" w:rsidRPr="00612981">
        <w:rPr>
          <w:szCs w:val="24"/>
        </w:rPr>
        <w:t xml:space="preserve">of the European Union for Foreign Affairs and Security Policy </w:t>
      </w:r>
      <w:r w:rsidR="00FE5B4B" w:rsidRPr="00612981">
        <w:rPr>
          <w:szCs w:val="24"/>
        </w:rPr>
        <w:t xml:space="preserve">and </w:t>
      </w:r>
      <w:r w:rsidRPr="00612981">
        <w:rPr>
          <w:szCs w:val="24"/>
        </w:rPr>
        <w:t>V</w:t>
      </w:r>
      <w:r w:rsidR="00FE5B4B" w:rsidRPr="00612981">
        <w:rPr>
          <w:szCs w:val="24"/>
        </w:rPr>
        <w:t xml:space="preserve">ice </w:t>
      </w:r>
      <w:r w:rsidRPr="00612981">
        <w:rPr>
          <w:szCs w:val="24"/>
        </w:rPr>
        <w:t>P</w:t>
      </w:r>
      <w:r w:rsidR="00FE5B4B" w:rsidRPr="00612981">
        <w:rPr>
          <w:szCs w:val="24"/>
        </w:rPr>
        <w:t>resident</w:t>
      </w:r>
      <w:r w:rsidRPr="00612981">
        <w:rPr>
          <w:szCs w:val="24"/>
        </w:rPr>
        <w:t xml:space="preserve"> </w:t>
      </w:r>
      <w:r w:rsidR="00A37A49" w:rsidRPr="00612981">
        <w:rPr>
          <w:szCs w:val="24"/>
        </w:rPr>
        <w:t xml:space="preserve">of the European Commission (HRVP) </w:t>
      </w:r>
      <w:r w:rsidRPr="00612981">
        <w:rPr>
          <w:szCs w:val="24"/>
        </w:rPr>
        <w:t>and the Australian Foreign Minister highlighted the need to further strengthen the bilateral trade and investment relationship. This was followed by the Joint Statement of 15 November 2015</w:t>
      </w:r>
      <w:r w:rsidRPr="00612981">
        <w:rPr>
          <w:rStyle w:val="FootnoteReference"/>
        </w:rPr>
        <w:footnoteReference w:id="2"/>
      </w:r>
      <w:r w:rsidRPr="00612981">
        <w:rPr>
          <w:szCs w:val="24"/>
        </w:rPr>
        <w:t xml:space="preserve"> by the leaders of the EU and Australia agreeing to commence work toward the launch of negotiations for a</w:t>
      </w:r>
      <w:r w:rsidR="00A37A49" w:rsidRPr="00612981">
        <w:rPr>
          <w:szCs w:val="24"/>
        </w:rPr>
        <w:t>n FTA</w:t>
      </w:r>
      <w:r w:rsidRPr="00612981">
        <w:rPr>
          <w:szCs w:val="24"/>
        </w:rPr>
        <w:t>.</w:t>
      </w:r>
    </w:p>
    <w:p w:rsidR="002B1B13" w:rsidRPr="00612981" w:rsidRDefault="002B1B13" w:rsidP="002B1B13">
      <w:pPr>
        <w:pBdr>
          <w:top w:val="nil"/>
          <w:left w:val="nil"/>
          <w:bottom w:val="nil"/>
          <w:right w:val="nil"/>
          <w:between w:val="nil"/>
          <w:bar w:val="nil"/>
        </w:pBdr>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 xml:space="preserve">The main </w:t>
      </w:r>
      <w:r w:rsidR="00A37A49" w:rsidRPr="00612981">
        <w:rPr>
          <w:rFonts w:eastAsia="Arial Unicode MS"/>
          <w:noProof/>
          <w:color w:val="000000"/>
          <w:szCs w:val="24"/>
          <w:u w:color="000000"/>
          <w:bdr w:val="nil"/>
          <w:lang w:val="en-US" w:eastAsia="en-GB"/>
        </w:rPr>
        <w:t>reason for</w:t>
      </w:r>
      <w:r w:rsidRPr="00612981">
        <w:rPr>
          <w:rFonts w:eastAsia="Arial Unicode MS"/>
          <w:noProof/>
          <w:color w:val="000000"/>
          <w:szCs w:val="24"/>
          <w:u w:color="000000"/>
          <w:bdr w:val="nil"/>
          <w:lang w:val="en-US" w:eastAsia="en-GB"/>
        </w:rPr>
        <w:t xml:space="preserve"> the proposal is to create more favourable conditions for further increasing trade and investment between the EU and </w:t>
      </w:r>
      <w:r w:rsidRPr="00612981">
        <w:rPr>
          <w:szCs w:val="24"/>
        </w:rPr>
        <w:t>Australia</w:t>
      </w:r>
      <w:r w:rsidR="00AC489B" w:rsidRPr="00612981">
        <w:rPr>
          <w:rFonts w:eastAsia="Arial Unicode MS"/>
          <w:noProof/>
          <w:color w:val="000000"/>
          <w:szCs w:val="24"/>
          <w:u w:color="000000"/>
          <w:bdr w:val="nil"/>
          <w:lang w:val="en-US" w:eastAsia="en-GB"/>
        </w:rPr>
        <w:t xml:space="preserve">. </w:t>
      </w:r>
      <w:r w:rsidRPr="00612981">
        <w:rPr>
          <w:rFonts w:eastAsia="Arial Unicode MS"/>
          <w:noProof/>
          <w:color w:val="000000"/>
          <w:szCs w:val="24"/>
          <w:u w:color="000000"/>
          <w:bdr w:val="nil"/>
          <w:lang w:val="en-US" w:eastAsia="en-GB"/>
        </w:rPr>
        <w:t xml:space="preserve">The general objectives of this </w:t>
      </w:r>
      <w:r w:rsidR="00A37A49" w:rsidRPr="00612981">
        <w:rPr>
          <w:rFonts w:eastAsia="Arial Unicode MS"/>
          <w:noProof/>
          <w:color w:val="000000"/>
          <w:szCs w:val="24"/>
          <w:u w:color="000000"/>
          <w:bdr w:val="nil"/>
          <w:lang w:val="en-US" w:eastAsia="en-GB"/>
        </w:rPr>
        <w:t>proposal</w:t>
      </w:r>
      <w:r w:rsidRPr="00612981">
        <w:rPr>
          <w:rFonts w:eastAsia="Arial Unicode MS"/>
          <w:noProof/>
          <w:color w:val="000000"/>
          <w:szCs w:val="24"/>
          <w:u w:color="000000"/>
          <w:bdr w:val="nil"/>
          <w:lang w:val="en-US" w:eastAsia="en-GB"/>
        </w:rPr>
        <w:t xml:space="preserve"> include:</w:t>
      </w:r>
    </w:p>
    <w:p w:rsidR="002B1B13" w:rsidRPr="00612981" w:rsidRDefault="002B1B13" w:rsidP="007A5CD9">
      <w:pPr>
        <w:pStyle w:val="Bullet0"/>
        <w:numPr>
          <w:ilvl w:val="0"/>
          <w:numId w:val="9"/>
        </w:numPr>
        <w:rPr>
          <w:noProof/>
          <w:u w:color="000000"/>
          <w:bdr w:val="nil"/>
          <w:lang w:val="en-US" w:eastAsia="en-GB"/>
        </w:rPr>
      </w:pPr>
      <w:r w:rsidRPr="00612981">
        <w:rPr>
          <w:noProof/>
          <w:u w:color="000000"/>
          <w:bdr w:val="nil"/>
          <w:lang w:val="en-US" w:eastAsia="en-GB"/>
        </w:rPr>
        <w:t>promoting smart, sustainable and inclusive growth through the expansion of trade</w:t>
      </w:r>
      <w:r w:rsidR="00A37A49" w:rsidRPr="00612981">
        <w:rPr>
          <w:noProof/>
          <w:u w:color="000000"/>
          <w:bdr w:val="nil"/>
          <w:lang w:val="en-US" w:eastAsia="en-GB"/>
        </w:rPr>
        <w:t>;</w:t>
      </w:r>
    </w:p>
    <w:p w:rsidR="002B1B13" w:rsidRPr="00612981" w:rsidRDefault="002B1B13" w:rsidP="005A5F25">
      <w:pPr>
        <w:pStyle w:val="Bullet0"/>
        <w:rPr>
          <w:noProof/>
          <w:u w:color="000000"/>
          <w:bdr w:val="nil"/>
          <w:lang w:val="en-US" w:eastAsia="en-GB"/>
        </w:rPr>
      </w:pPr>
      <w:r w:rsidRPr="00612981">
        <w:rPr>
          <w:noProof/>
          <w:u w:color="000000"/>
          <w:bdr w:val="nil"/>
          <w:lang w:val="en-US" w:eastAsia="en-GB"/>
        </w:rPr>
        <w:t>creati</w:t>
      </w:r>
      <w:r w:rsidR="00CC4F32" w:rsidRPr="00612981">
        <w:rPr>
          <w:noProof/>
          <w:u w:color="000000"/>
          <w:bdr w:val="nil"/>
          <w:lang w:val="en-US" w:eastAsia="en-GB"/>
        </w:rPr>
        <w:t>ng</w:t>
      </w:r>
      <w:r w:rsidRPr="00612981">
        <w:rPr>
          <w:noProof/>
          <w:u w:color="000000"/>
          <w:bdr w:val="nil"/>
          <w:lang w:val="en-US" w:eastAsia="en-GB"/>
        </w:rPr>
        <w:t xml:space="preserve"> job and labour opportunities and welfare gains</w:t>
      </w:r>
      <w:r w:rsidR="00A37A49" w:rsidRPr="00612981">
        <w:rPr>
          <w:noProof/>
          <w:u w:color="000000"/>
          <w:bdr w:val="nil"/>
          <w:lang w:val="en-US" w:eastAsia="en-GB"/>
        </w:rPr>
        <w:t>;</w:t>
      </w:r>
      <w:bookmarkStart w:id="0" w:name="_GoBack"/>
      <w:bookmarkEnd w:id="0"/>
    </w:p>
    <w:p w:rsidR="002B1B13" w:rsidRPr="00612981" w:rsidRDefault="002B1B13" w:rsidP="005A5F25">
      <w:pPr>
        <w:pStyle w:val="Bullet0"/>
        <w:rPr>
          <w:noProof/>
          <w:u w:color="000000"/>
          <w:bdr w:val="nil"/>
          <w:lang w:val="en-US" w:eastAsia="en-GB"/>
        </w:rPr>
      </w:pPr>
      <w:r w:rsidRPr="00612981">
        <w:rPr>
          <w:noProof/>
          <w:u w:color="000000"/>
          <w:bdr w:val="nil"/>
          <w:lang w:val="en-US" w:eastAsia="en-GB"/>
        </w:rPr>
        <w:t>increas</w:t>
      </w:r>
      <w:r w:rsidR="00CC4F32" w:rsidRPr="00612981">
        <w:rPr>
          <w:noProof/>
          <w:u w:color="000000"/>
          <w:bdr w:val="nil"/>
          <w:lang w:val="en-US" w:eastAsia="en-GB"/>
        </w:rPr>
        <w:t>ing</w:t>
      </w:r>
      <w:r w:rsidR="00336F77" w:rsidRPr="00612981">
        <w:rPr>
          <w:noProof/>
          <w:u w:color="000000"/>
          <w:bdr w:val="nil"/>
          <w:lang w:val="en-US" w:eastAsia="en-GB"/>
        </w:rPr>
        <w:t xml:space="preserve"> benefits to</w:t>
      </w:r>
      <w:r w:rsidRPr="00612981">
        <w:rPr>
          <w:noProof/>
          <w:u w:color="000000"/>
          <w:bdr w:val="nil"/>
          <w:lang w:val="en-US" w:eastAsia="en-GB"/>
        </w:rPr>
        <w:t xml:space="preserve"> consumer</w:t>
      </w:r>
      <w:r w:rsidR="00A37A49" w:rsidRPr="00612981">
        <w:rPr>
          <w:noProof/>
          <w:u w:color="000000"/>
          <w:bdr w:val="nil"/>
          <w:lang w:val="en-US" w:eastAsia="en-GB"/>
        </w:rPr>
        <w:t>;</w:t>
      </w:r>
      <w:r w:rsidRPr="00612981">
        <w:rPr>
          <w:noProof/>
          <w:u w:color="000000"/>
          <w:bdr w:val="nil"/>
          <w:lang w:val="en-US" w:eastAsia="en-GB"/>
        </w:rPr>
        <w:t xml:space="preserve"> </w:t>
      </w:r>
    </w:p>
    <w:p w:rsidR="002B1B13" w:rsidRPr="00612981" w:rsidRDefault="002B1B13" w:rsidP="005A5F25">
      <w:pPr>
        <w:pStyle w:val="Bullet0"/>
        <w:rPr>
          <w:noProof/>
          <w:u w:color="000000"/>
          <w:bdr w:val="nil"/>
          <w:lang w:val="en-US" w:eastAsia="en-GB"/>
        </w:rPr>
      </w:pPr>
      <w:r w:rsidRPr="00612981">
        <w:rPr>
          <w:noProof/>
          <w:u w:color="000000"/>
          <w:bdr w:val="nil"/>
          <w:lang w:val="en-US" w:eastAsia="en-GB"/>
        </w:rPr>
        <w:t>improving Europe’s competitiveness in global markets</w:t>
      </w:r>
      <w:r w:rsidR="00A37A49" w:rsidRPr="00612981">
        <w:rPr>
          <w:noProof/>
          <w:u w:color="000000"/>
          <w:bdr w:val="nil"/>
          <w:lang w:val="en-US" w:eastAsia="en-GB"/>
        </w:rPr>
        <w:t xml:space="preserve">; </w:t>
      </w:r>
      <w:r w:rsidRPr="00612981">
        <w:rPr>
          <w:noProof/>
          <w:u w:color="000000"/>
          <w:bdr w:val="nil"/>
          <w:lang w:val="en-US" w:eastAsia="en-GB"/>
        </w:rPr>
        <w:t>and</w:t>
      </w:r>
    </w:p>
    <w:p w:rsidR="002B1B13" w:rsidRPr="00612981" w:rsidRDefault="00A37A49" w:rsidP="005A5F25">
      <w:pPr>
        <w:pStyle w:val="Bullet0"/>
        <w:rPr>
          <w:noProof/>
          <w:u w:color="000000"/>
          <w:bdr w:val="nil"/>
          <w:lang w:val="en-US" w:eastAsia="en-GB"/>
        </w:rPr>
      </w:pPr>
      <w:r w:rsidRPr="00612981">
        <w:rPr>
          <w:noProof/>
          <w:u w:color="000000"/>
          <w:bdr w:val="nil"/>
          <w:lang w:val="en-US" w:eastAsia="en-GB"/>
        </w:rPr>
        <w:t>strengthening</w:t>
      </w:r>
      <w:r w:rsidR="002B1B13" w:rsidRPr="00612981">
        <w:rPr>
          <w:noProof/>
          <w:u w:color="000000"/>
          <w:bdr w:val="nil"/>
          <w:lang w:val="en-US" w:eastAsia="en-GB"/>
        </w:rPr>
        <w:t xml:space="preserve"> cooperation on trade-related issues with a like-minded partner.</w:t>
      </w:r>
    </w:p>
    <w:p w:rsidR="00A37A49"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 xml:space="preserve">This is in line with the </w:t>
      </w:r>
      <w:r w:rsidR="00A37A49" w:rsidRPr="00612981">
        <w:rPr>
          <w:rFonts w:eastAsia="Arial Unicode MS"/>
          <w:noProof/>
          <w:color w:val="000000"/>
          <w:szCs w:val="24"/>
          <w:u w:color="000000"/>
          <w:bdr w:val="nil"/>
          <w:lang w:val="en-US" w:eastAsia="en-GB"/>
        </w:rPr>
        <w:t xml:space="preserve">Commission's </w:t>
      </w:r>
      <w:r w:rsidRPr="00612981">
        <w:rPr>
          <w:rFonts w:eastAsia="Arial Unicode MS"/>
          <w:noProof/>
          <w:color w:val="000000"/>
          <w:szCs w:val="24"/>
          <w:u w:color="000000"/>
          <w:bdr w:val="nil"/>
          <w:lang w:val="en-US" w:eastAsia="en-GB"/>
        </w:rPr>
        <w:t>Communication ‘Trade for All - Towards a More Effective, Transparent and Responsible Trade and Investment Policy’</w:t>
      </w:r>
      <w:r w:rsidR="00FE5B4B" w:rsidRPr="00612981">
        <w:rPr>
          <w:rStyle w:val="FootnoteReference"/>
          <w:rFonts w:eastAsia="Arial Unicode MS"/>
          <w:noProof/>
          <w:color w:val="000000"/>
          <w:szCs w:val="24"/>
          <w:u w:color="000000"/>
          <w:bdr w:val="nil"/>
          <w:lang w:val="en-US" w:eastAsia="en-GB"/>
        </w:rPr>
        <w:footnoteReference w:id="3"/>
      </w:r>
      <w:r w:rsidR="00A37A49" w:rsidRPr="00612981">
        <w:rPr>
          <w:rFonts w:eastAsia="Arial Unicode MS"/>
          <w:noProof/>
          <w:color w:val="000000"/>
          <w:szCs w:val="24"/>
          <w:u w:color="000000"/>
          <w:bdr w:val="nil"/>
          <w:lang w:val="en-US" w:eastAsia="en-GB"/>
        </w:rPr>
        <w:t>. The Communication</w:t>
      </w:r>
      <w:r w:rsidR="00AC489B" w:rsidRPr="00612981">
        <w:rPr>
          <w:rFonts w:eastAsia="Arial Unicode MS"/>
          <w:noProof/>
          <w:color w:val="000000"/>
          <w:szCs w:val="24"/>
          <w:u w:color="000000"/>
          <w:bdr w:val="nil"/>
          <w:lang w:val="en-US" w:eastAsia="en-GB"/>
        </w:rPr>
        <w:t xml:space="preserve"> </w:t>
      </w:r>
      <w:r w:rsidRPr="00612981">
        <w:rPr>
          <w:rFonts w:eastAsia="Arial Unicode MS"/>
          <w:noProof/>
          <w:color w:val="000000"/>
          <w:szCs w:val="24"/>
          <w:u w:color="000000"/>
          <w:bdr w:val="nil"/>
          <w:lang w:val="en-US" w:eastAsia="en-GB"/>
        </w:rPr>
        <w:t>highlights the need to move forward our bilateral relationships in order to deliver jobs and growth by tackling trade and investment barriers in a comprehensive way</w:t>
      </w:r>
      <w:r w:rsidR="00A37A49" w:rsidRPr="00612981">
        <w:rPr>
          <w:rFonts w:eastAsia="Arial Unicode MS"/>
          <w:noProof/>
          <w:color w:val="000000"/>
          <w:szCs w:val="24"/>
          <w:u w:color="000000"/>
          <w:bdr w:val="nil"/>
          <w:lang w:val="en-US" w:eastAsia="en-GB"/>
        </w:rPr>
        <w:t xml:space="preserve">. At the same time, there is also a need to </w:t>
      </w:r>
      <w:r w:rsidRPr="00612981">
        <w:rPr>
          <w:rFonts w:eastAsia="Arial Unicode MS"/>
          <w:noProof/>
          <w:color w:val="000000"/>
          <w:szCs w:val="24"/>
          <w:u w:color="000000"/>
          <w:bdr w:val="nil"/>
          <w:lang w:val="en-US" w:eastAsia="en-GB"/>
        </w:rPr>
        <w:t>secur</w:t>
      </w:r>
      <w:r w:rsidR="00A37A49" w:rsidRPr="00612981">
        <w:rPr>
          <w:rFonts w:eastAsia="Arial Unicode MS"/>
          <w:noProof/>
          <w:color w:val="000000"/>
          <w:szCs w:val="24"/>
          <w:u w:color="000000"/>
          <w:bdr w:val="nil"/>
          <w:lang w:val="en-US" w:eastAsia="en-GB"/>
        </w:rPr>
        <w:t>e</w:t>
      </w:r>
      <w:r w:rsidRPr="00612981">
        <w:rPr>
          <w:rFonts w:eastAsia="Arial Unicode MS"/>
          <w:noProof/>
          <w:color w:val="000000"/>
          <w:szCs w:val="24"/>
          <w:u w:color="000000"/>
          <w:bdr w:val="nil"/>
          <w:lang w:val="en-US" w:eastAsia="en-GB"/>
        </w:rPr>
        <w:t xml:space="preserve"> the EU's high level of social and environmental protection and contribut</w:t>
      </w:r>
      <w:r w:rsidR="00A37A49" w:rsidRPr="00612981">
        <w:rPr>
          <w:rFonts w:eastAsia="Arial Unicode MS"/>
          <w:noProof/>
          <w:color w:val="000000"/>
          <w:szCs w:val="24"/>
          <w:u w:color="000000"/>
          <w:bdr w:val="nil"/>
          <w:lang w:val="en-US" w:eastAsia="en-GB"/>
        </w:rPr>
        <w:t>e</w:t>
      </w:r>
      <w:r w:rsidRPr="00612981">
        <w:rPr>
          <w:rFonts w:eastAsia="Arial Unicode MS"/>
          <w:noProof/>
          <w:color w:val="000000"/>
          <w:szCs w:val="24"/>
          <w:u w:color="000000"/>
          <w:bdr w:val="nil"/>
          <w:lang w:val="en-US" w:eastAsia="en-GB"/>
        </w:rPr>
        <w:t xml:space="preserve"> to other </w:t>
      </w:r>
      <w:r w:rsidR="008669D1" w:rsidRPr="00612981">
        <w:rPr>
          <w:rFonts w:eastAsia="Arial Unicode MS"/>
          <w:noProof/>
          <w:color w:val="000000"/>
          <w:szCs w:val="24"/>
          <w:u w:color="000000"/>
          <w:bdr w:val="nil"/>
          <w:lang w:val="en-US" w:eastAsia="en-GB"/>
        </w:rPr>
        <w:t xml:space="preserve">trade-related </w:t>
      </w:r>
      <w:r w:rsidRPr="00612981">
        <w:rPr>
          <w:rFonts w:eastAsia="Arial Unicode MS"/>
          <w:noProof/>
          <w:color w:val="000000"/>
          <w:szCs w:val="24"/>
          <w:u w:color="000000"/>
          <w:bdr w:val="nil"/>
          <w:lang w:val="en-US" w:eastAsia="en-GB"/>
        </w:rPr>
        <w:t xml:space="preserve">policy objectives, including sustainable development and the </w:t>
      </w:r>
      <w:r w:rsidR="008669D1" w:rsidRPr="00612981">
        <w:rPr>
          <w:rFonts w:eastAsia="Arial Unicode MS"/>
          <w:noProof/>
          <w:color w:val="000000"/>
          <w:szCs w:val="24"/>
          <w:u w:color="000000"/>
          <w:bdr w:val="nil"/>
          <w:lang w:val="en-US" w:eastAsia="en-GB"/>
        </w:rPr>
        <w:t xml:space="preserve">special </w:t>
      </w:r>
      <w:r w:rsidRPr="00612981">
        <w:rPr>
          <w:rFonts w:eastAsia="Arial Unicode MS"/>
          <w:noProof/>
          <w:color w:val="000000"/>
          <w:szCs w:val="24"/>
          <w:u w:color="000000"/>
          <w:bdr w:val="nil"/>
          <w:lang w:val="en-US" w:eastAsia="en-GB"/>
        </w:rPr>
        <w:t xml:space="preserve">needs of </w:t>
      </w:r>
      <w:r w:rsidR="00FE5B4B" w:rsidRPr="00612981">
        <w:rPr>
          <w:rFonts w:eastAsia="Arial Unicode MS"/>
          <w:noProof/>
          <w:color w:val="000000"/>
          <w:szCs w:val="24"/>
          <w:u w:color="000000"/>
          <w:bdr w:val="nil"/>
          <w:lang w:val="en-US" w:eastAsia="en-GB"/>
        </w:rPr>
        <w:t>Small and Medium-sized Enterprises (</w:t>
      </w:r>
      <w:r w:rsidRPr="00612981">
        <w:rPr>
          <w:rFonts w:eastAsia="Arial Unicode MS"/>
          <w:noProof/>
          <w:color w:val="000000"/>
          <w:szCs w:val="24"/>
          <w:u w:color="000000"/>
          <w:bdr w:val="nil"/>
          <w:lang w:val="en-US" w:eastAsia="en-GB"/>
        </w:rPr>
        <w:t>SME</w:t>
      </w:r>
      <w:r w:rsidR="00FE5B4B" w:rsidRPr="00612981">
        <w:rPr>
          <w:rFonts w:eastAsia="Arial Unicode MS"/>
          <w:noProof/>
          <w:color w:val="000000"/>
          <w:szCs w:val="24"/>
          <w:u w:color="000000"/>
          <w:bdr w:val="nil"/>
          <w:lang w:val="en-US" w:eastAsia="en-GB"/>
        </w:rPr>
        <w:t>)</w:t>
      </w:r>
      <w:r w:rsidRPr="00612981">
        <w:rPr>
          <w:rFonts w:eastAsia="Arial Unicode MS"/>
          <w:noProof/>
          <w:color w:val="000000"/>
          <w:szCs w:val="24"/>
          <w:u w:color="000000"/>
          <w:bdr w:val="nil"/>
          <w:lang w:val="en-US" w:eastAsia="en-GB"/>
        </w:rPr>
        <w:t xml:space="preserve">. </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In particular</w:t>
      </w:r>
      <w:r w:rsidR="00AC489B" w:rsidRPr="00612981">
        <w:rPr>
          <w:rFonts w:eastAsia="Arial Unicode MS"/>
          <w:noProof/>
          <w:color w:val="000000"/>
          <w:szCs w:val="24"/>
          <w:u w:color="000000"/>
          <w:bdr w:val="nil"/>
          <w:lang w:val="en-US" w:eastAsia="en-GB"/>
        </w:rPr>
        <w:t>,</w:t>
      </w:r>
      <w:r w:rsidRPr="00612981">
        <w:rPr>
          <w:rFonts w:eastAsia="Arial Unicode MS"/>
          <w:noProof/>
          <w:color w:val="000000"/>
          <w:szCs w:val="24"/>
          <w:u w:color="000000"/>
          <w:bdr w:val="nil"/>
          <w:lang w:val="en-US" w:eastAsia="en-GB"/>
        </w:rPr>
        <w:t xml:space="preserve"> the </w:t>
      </w:r>
      <w:r w:rsidR="00336F77" w:rsidRPr="00612981">
        <w:rPr>
          <w:rFonts w:eastAsia="Arial Unicode MS"/>
          <w:noProof/>
          <w:color w:val="000000"/>
          <w:szCs w:val="24"/>
          <w:u w:color="000000"/>
          <w:bdr w:val="nil"/>
          <w:lang w:val="en-US" w:eastAsia="en-GB"/>
        </w:rPr>
        <w:t>'</w:t>
      </w:r>
      <w:r w:rsidRPr="00612981">
        <w:rPr>
          <w:rFonts w:eastAsia="Arial Unicode MS"/>
          <w:noProof/>
          <w:color w:val="000000"/>
          <w:szCs w:val="24"/>
          <w:u w:color="000000"/>
          <w:bdr w:val="nil"/>
          <w:lang w:val="en-US" w:eastAsia="en-GB"/>
        </w:rPr>
        <w:t>Trade for All</w:t>
      </w:r>
      <w:r w:rsidR="00336F77" w:rsidRPr="00612981">
        <w:rPr>
          <w:rFonts w:eastAsia="Arial Unicode MS"/>
          <w:noProof/>
          <w:color w:val="000000"/>
          <w:szCs w:val="24"/>
          <w:u w:color="000000"/>
          <w:bdr w:val="nil"/>
          <w:lang w:val="en-US" w:eastAsia="en-GB"/>
        </w:rPr>
        <w:t>'</w:t>
      </w:r>
      <w:r w:rsidRPr="00612981">
        <w:rPr>
          <w:rFonts w:eastAsia="Arial Unicode MS"/>
          <w:noProof/>
          <w:color w:val="000000"/>
          <w:szCs w:val="24"/>
          <w:u w:color="000000"/>
          <w:bdr w:val="nil"/>
          <w:lang w:val="en-US" w:eastAsia="en-GB"/>
        </w:rPr>
        <w:t xml:space="preserve"> </w:t>
      </w:r>
      <w:r w:rsidR="00FE5B4B" w:rsidRPr="00612981">
        <w:rPr>
          <w:rFonts w:eastAsia="Arial Unicode MS"/>
          <w:noProof/>
          <w:color w:val="000000"/>
          <w:szCs w:val="24"/>
          <w:u w:color="000000"/>
          <w:bdr w:val="nil"/>
          <w:lang w:val="en-US" w:eastAsia="en-GB"/>
        </w:rPr>
        <w:t xml:space="preserve">Communication </w:t>
      </w:r>
      <w:r w:rsidRPr="00612981">
        <w:rPr>
          <w:rFonts w:eastAsia="Arial Unicode MS"/>
          <w:noProof/>
          <w:color w:val="000000"/>
          <w:szCs w:val="24"/>
          <w:u w:color="000000"/>
          <w:bdr w:val="nil"/>
          <w:lang w:val="en-US" w:eastAsia="en-GB"/>
        </w:rPr>
        <w:t>highlighted that "Australia and New Zealand are Europe’s close partners, share Europe’s values and views on many issues, and play an important role in the Asia-Pacific region and in multilateral settings. Stronger economic ties with these countries will also provide a solid platform for deeper integration with wider Asia-Pacific value chains. Strengthening these relationships should be a priority."</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Furthermore</w:t>
      </w:r>
      <w:r w:rsidR="00AC489B" w:rsidRPr="00612981">
        <w:rPr>
          <w:rFonts w:eastAsia="Arial Unicode MS"/>
          <w:noProof/>
          <w:color w:val="000000"/>
          <w:szCs w:val="24"/>
          <w:u w:color="000000"/>
          <w:bdr w:val="nil"/>
          <w:lang w:val="en-US" w:eastAsia="en-GB"/>
        </w:rPr>
        <w:t>,</w:t>
      </w:r>
      <w:r w:rsidRPr="00612981">
        <w:rPr>
          <w:rFonts w:eastAsia="Arial Unicode MS"/>
          <w:noProof/>
          <w:color w:val="000000"/>
          <w:szCs w:val="24"/>
          <w:u w:color="000000"/>
          <w:bdr w:val="nil"/>
          <w:lang w:val="en-US" w:eastAsia="en-GB"/>
        </w:rPr>
        <w:t xml:space="preserve"> the objectives are in line with the Council conclusions on trade of 21 November 2014</w:t>
      </w:r>
      <w:r w:rsidR="00FE5B4B" w:rsidRPr="00612981">
        <w:rPr>
          <w:rStyle w:val="FootnoteReference"/>
          <w:rFonts w:eastAsia="Arial Unicode MS"/>
          <w:noProof/>
          <w:color w:val="000000"/>
          <w:szCs w:val="24"/>
          <w:u w:color="000000"/>
          <w:bdr w:val="nil"/>
          <w:lang w:val="en-US" w:eastAsia="en-GB"/>
        </w:rPr>
        <w:footnoteReference w:id="4"/>
      </w:r>
      <w:r w:rsidRPr="00612981">
        <w:rPr>
          <w:rFonts w:eastAsia="Arial Unicode MS"/>
          <w:noProof/>
          <w:color w:val="000000"/>
          <w:szCs w:val="24"/>
          <w:u w:color="000000"/>
          <w:bdr w:val="nil"/>
          <w:lang w:val="en-US" w:eastAsia="en-GB"/>
        </w:rPr>
        <w:t xml:space="preserve"> which underlined that trade in goods, services and investment can make a significant contribution to achieve the aims at the core of the ‘Strategic Agenda for the Union in times of change’</w:t>
      </w:r>
      <w:r w:rsidR="00A37A49" w:rsidRPr="00612981">
        <w:rPr>
          <w:rFonts w:eastAsia="Arial Unicode MS"/>
          <w:noProof/>
          <w:color w:val="000000"/>
          <w:szCs w:val="24"/>
          <w:u w:color="000000"/>
          <w:bdr w:val="nil"/>
          <w:lang w:val="en-US" w:eastAsia="en-GB"/>
        </w:rPr>
        <w:t>. The conclusions also stated</w:t>
      </w:r>
      <w:r w:rsidRPr="00612981">
        <w:rPr>
          <w:rFonts w:eastAsia="Arial Unicode MS"/>
          <w:noProof/>
          <w:color w:val="000000"/>
          <w:szCs w:val="24"/>
          <w:u w:color="000000"/>
          <w:bdr w:val="nil"/>
          <w:lang w:val="en-US" w:eastAsia="en-GB"/>
        </w:rPr>
        <w:t xml:space="preserve"> that building on the tangible progress made in the EU's </w:t>
      </w:r>
      <w:r w:rsidRPr="00612981">
        <w:rPr>
          <w:rFonts w:eastAsia="Arial Unicode MS"/>
          <w:noProof/>
          <w:color w:val="000000"/>
          <w:szCs w:val="24"/>
          <w:u w:color="000000"/>
          <w:bdr w:val="nil"/>
          <w:lang w:val="en-US" w:eastAsia="en-GB"/>
        </w:rPr>
        <w:lastRenderedPageBreak/>
        <w:t>bilateral trade agenda, efforts should be devoted to pursuing agreements with key partners. Similarly, this objective is also in line with the Council conclusion on trade and investment of 27 November 2015</w:t>
      </w:r>
      <w:r w:rsidR="00FE5B4B" w:rsidRPr="00612981">
        <w:rPr>
          <w:rStyle w:val="FootnoteReference"/>
          <w:rFonts w:eastAsia="Arial Unicode MS"/>
          <w:noProof/>
          <w:color w:val="000000"/>
          <w:szCs w:val="24"/>
          <w:u w:color="000000"/>
          <w:bdr w:val="nil"/>
          <w:lang w:val="en-US" w:eastAsia="en-GB"/>
        </w:rPr>
        <w:footnoteReference w:id="5"/>
      </w:r>
      <w:r w:rsidRPr="00612981">
        <w:rPr>
          <w:rFonts w:eastAsia="Arial Unicode MS"/>
          <w:noProof/>
          <w:color w:val="000000"/>
          <w:szCs w:val="24"/>
          <w:u w:color="000000"/>
          <w:bdr w:val="nil"/>
          <w:lang w:val="en-US" w:eastAsia="en-GB"/>
        </w:rPr>
        <w:t xml:space="preserve"> that supported the conclusion of ambitious, comprehensive and mutually beneficial bilateral trade and investment agreements and calls on the Commission to advance negotiations in the Asia-Pacific region. </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Consistency with existing provisions in the policy area</w:t>
      </w:r>
    </w:p>
    <w:p w:rsidR="002B1B13" w:rsidRPr="00612981" w:rsidRDefault="002B1B13" w:rsidP="002B1B13">
      <w:pPr>
        <w:rPr>
          <w:bCs/>
          <w:szCs w:val="24"/>
        </w:rPr>
      </w:pPr>
      <w:r w:rsidRPr="00612981">
        <w:rPr>
          <w:bCs/>
          <w:szCs w:val="24"/>
        </w:rPr>
        <w:t xml:space="preserve">The objectives described above are fully consistent with the </w:t>
      </w:r>
      <w:r w:rsidR="00A37A49" w:rsidRPr="00612981">
        <w:rPr>
          <w:bCs/>
          <w:szCs w:val="24"/>
        </w:rPr>
        <w:t xml:space="preserve">Treaty </w:t>
      </w:r>
      <w:r w:rsidR="00AC489B" w:rsidRPr="00612981">
        <w:rPr>
          <w:bCs/>
          <w:szCs w:val="24"/>
        </w:rPr>
        <w:t xml:space="preserve">on European Union (TEU) which </w:t>
      </w:r>
      <w:r w:rsidR="00A37A49" w:rsidRPr="00612981">
        <w:rPr>
          <w:bCs/>
          <w:szCs w:val="24"/>
        </w:rPr>
        <w:t>enshrine</w:t>
      </w:r>
      <w:r w:rsidR="00AC489B" w:rsidRPr="00612981">
        <w:rPr>
          <w:bCs/>
          <w:szCs w:val="24"/>
        </w:rPr>
        <w:t xml:space="preserve">s </w:t>
      </w:r>
      <w:r w:rsidRPr="00612981">
        <w:rPr>
          <w:bCs/>
          <w:szCs w:val="24"/>
        </w:rPr>
        <w:t xml:space="preserve">that the </w:t>
      </w:r>
      <w:r w:rsidR="00A37A49" w:rsidRPr="00612981">
        <w:rPr>
          <w:bCs/>
          <w:szCs w:val="24"/>
        </w:rPr>
        <w:t>EU</w:t>
      </w:r>
      <w:r w:rsidRPr="00612981">
        <w:rPr>
          <w:bCs/>
          <w:szCs w:val="24"/>
        </w:rPr>
        <w:t xml:space="preserve"> should </w:t>
      </w:r>
      <w:r w:rsidRPr="00A27060">
        <w:rPr>
          <w:bCs/>
          <w:i/>
          <w:szCs w:val="24"/>
        </w:rPr>
        <w:t>encourage the integration of all countries into the world economy, including through the progressive abolition of restrictions on international trade</w:t>
      </w:r>
      <w:r w:rsidRPr="00612981">
        <w:rPr>
          <w:rStyle w:val="FootnoteReference"/>
          <w:bCs/>
          <w:szCs w:val="24"/>
        </w:rPr>
        <w:footnoteReference w:id="6"/>
      </w:r>
      <w:r w:rsidRPr="00612981">
        <w:rPr>
          <w:bCs/>
          <w:szCs w:val="24"/>
        </w:rPr>
        <w:t>.</w:t>
      </w:r>
    </w:p>
    <w:p w:rsidR="002B1B13" w:rsidRPr="00612981" w:rsidRDefault="002B1B13" w:rsidP="002B1B13">
      <w:pPr>
        <w:rPr>
          <w:bCs/>
          <w:szCs w:val="24"/>
        </w:rPr>
      </w:pPr>
      <w:r w:rsidRPr="00612981">
        <w:rPr>
          <w:bCs/>
          <w:szCs w:val="24"/>
        </w:rPr>
        <w:t>The</w:t>
      </w:r>
      <w:r w:rsidR="00AC489B" w:rsidRPr="00612981">
        <w:rPr>
          <w:bCs/>
          <w:szCs w:val="24"/>
        </w:rPr>
        <w:t>se</w:t>
      </w:r>
      <w:r w:rsidRPr="00612981">
        <w:rPr>
          <w:bCs/>
          <w:szCs w:val="24"/>
        </w:rPr>
        <w:t xml:space="preserve"> objectives are also in line with the Communication </w:t>
      </w:r>
      <w:r w:rsidR="002A6766" w:rsidRPr="00612981">
        <w:rPr>
          <w:bCs/>
          <w:szCs w:val="24"/>
        </w:rPr>
        <w:t>'Europe 2020 – A European strategy for smart, sustainable and inclusive growth'</w:t>
      </w:r>
      <w:r w:rsidR="002A6766" w:rsidRPr="00612981">
        <w:rPr>
          <w:rStyle w:val="FootnoteReference"/>
          <w:bCs/>
          <w:szCs w:val="24"/>
        </w:rPr>
        <w:footnoteReference w:id="7"/>
      </w:r>
      <w:r w:rsidR="002A6766" w:rsidRPr="00612981">
        <w:rPr>
          <w:bCs/>
          <w:szCs w:val="24"/>
        </w:rPr>
        <w:t xml:space="preserve"> </w:t>
      </w:r>
      <w:r w:rsidRPr="00612981">
        <w:rPr>
          <w:bCs/>
          <w:szCs w:val="24"/>
        </w:rPr>
        <w:t xml:space="preserve">which </w:t>
      </w:r>
      <w:r w:rsidR="00AC489B" w:rsidRPr="00612981">
        <w:rPr>
          <w:bCs/>
          <w:szCs w:val="24"/>
        </w:rPr>
        <w:t xml:space="preserve">sets out </w:t>
      </w:r>
      <w:r w:rsidRPr="00612981">
        <w:rPr>
          <w:bCs/>
          <w:szCs w:val="24"/>
        </w:rPr>
        <w:t xml:space="preserve">that the European trade strategy </w:t>
      </w:r>
      <w:r w:rsidR="002A6766" w:rsidRPr="00612981">
        <w:rPr>
          <w:bCs/>
          <w:szCs w:val="24"/>
        </w:rPr>
        <w:t>will</w:t>
      </w:r>
      <w:r w:rsidRPr="00612981">
        <w:rPr>
          <w:bCs/>
          <w:szCs w:val="24"/>
        </w:rPr>
        <w:t xml:space="preserve"> includ</w:t>
      </w:r>
      <w:r w:rsidR="002A6766" w:rsidRPr="00612981">
        <w:rPr>
          <w:bCs/>
          <w:szCs w:val="24"/>
        </w:rPr>
        <w:t>e</w:t>
      </w:r>
      <w:r w:rsidRPr="00612981">
        <w:rPr>
          <w:bCs/>
          <w:szCs w:val="24"/>
        </w:rPr>
        <w:t xml:space="preserve"> </w:t>
      </w:r>
      <w:r w:rsidR="002A6766" w:rsidRPr="00A27060">
        <w:rPr>
          <w:bCs/>
          <w:i/>
          <w:szCs w:val="24"/>
        </w:rPr>
        <w:t>"</w:t>
      </w:r>
      <w:r w:rsidRPr="00A27060">
        <w:rPr>
          <w:bCs/>
          <w:i/>
          <w:szCs w:val="24"/>
        </w:rPr>
        <w:t>proposals for high-level strategic dialogues with key partners, to discuss strategic issues ranging from market access, regulatory framework, global imbalances, energy and climate change, access to raw materials, to global poverty, education and development</w:t>
      </w:r>
      <w:r w:rsidR="002A6766" w:rsidRPr="00A27060">
        <w:rPr>
          <w:bCs/>
          <w:i/>
          <w:szCs w:val="24"/>
        </w:rPr>
        <w:t>"</w:t>
      </w:r>
      <w:r w:rsidRPr="00612981">
        <w:rPr>
          <w:bCs/>
          <w:szCs w:val="24"/>
        </w:rPr>
        <w:t>.</w:t>
      </w:r>
    </w:p>
    <w:p w:rsidR="002B1B13" w:rsidRPr="00612981" w:rsidRDefault="002B1B13" w:rsidP="002B1B13">
      <w:pPr>
        <w:rPr>
          <w:bCs/>
          <w:szCs w:val="24"/>
        </w:rPr>
      </w:pPr>
      <w:r w:rsidRPr="00612981">
        <w:rPr>
          <w:bCs/>
          <w:szCs w:val="24"/>
        </w:rPr>
        <w:t xml:space="preserve">The objectives are </w:t>
      </w:r>
      <w:r w:rsidR="00AC489B" w:rsidRPr="00612981">
        <w:rPr>
          <w:bCs/>
          <w:szCs w:val="24"/>
        </w:rPr>
        <w:t>furthe</w:t>
      </w:r>
      <w:r w:rsidR="0081366C" w:rsidRPr="00612981">
        <w:rPr>
          <w:bCs/>
          <w:szCs w:val="24"/>
        </w:rPr>
        <w:t>r</w:t>
      </w:r>
      <w:r w:rsidR="00AC489B" w:rsidRPr="00612981">
        <w:rPr>
          <w:bCs/>
          <w:szCs w:val="24"/>
        </w:rPr>
        <w:t xml:space="preserve">more </w:t>
      </w:r>
      <w:r w:rsidRPr="00612981">
        <w:rPr>
          <w:bCs/>
          <w:szCs w:val="24"/>
        </w:rPr>
        <w:t>fully consistent with the objectives set out by the European Commission's Communication ‘Small Business Act for Europe’</w:t>
      </w:r>
      <w:r w:rsidR="002A6766" w:rsidRPr="00612981">
        <w:rPr>
          <w:rStyle w:val="FootnoteReference"/>
          <w:bCs/>
          <w:szCs w:val="24"/>
        </w:rPr>
        <w:footnoteReference w:id="8"/>
      </w:r>
      <w:r w:rsidRPr="00612981">
        <w:rPr>
          <w:bCs/>
          <w:szCs w:val="24"/>
        </w:rPr>
        <w:t xml:space="preserve"> (2008) and ‘Small Business, Big World’</w:t>
      </w:r>
      <w:r w:rsidR="002A6766" w:rsidRPr="00612981">
        <w:rPr>
          <w:rStyle w:val="FootnoteReference"/>
          <w:bCs/>
          <w:szCs w:val="24"/>
        </w:rPr>
        <w:footnoteReference w:id="9"/>
      </w:r>
      <w:r w:rsidRPr="00612981">
        <w:rPr>
          <w:bCs/>
          <w:szCs w:val="24"/>
        </w:rPr>
        <w:t xml:space="preserve"> (2011). Supporting SME's economic activities outside the EU is also embedded in the Union's overall competitiveness strategy as outlined in the Communication </w:t>
      </w:r>
      <w:r w:rsidR="002A6766" w:rsidRPr="00612981">
        <w:rPr>
          <w:bCs/>
          <w:szCs w:val="24"/>
        </w:rPr>
        <w:t>'For a European Industrial Renaissance'</w:t>
      </w:r>
      <w:r w:rsidR="002A6766" w:rsidRPr="00612981">
        <w:rPr>
          <w:rStyle w:val="FootnoteReference"/>
          <w:bCs/>
          <w:szCs w:val="24"/>
        </w:rPr>
        <w:footnoteReference w:id="10"/>
      </w:r>
      <w:r w:rsidR="002A6766" w:rsidRPr="00612981">
        <w:rPr>
          <w:bCs/>
          <w:szCs w:val="24"/>
        </w:rPr>
        <w:t xml:space="preserve"> (2014)</w:t>
      </w:r>
      <w:r w:rsidRPr="00612981">
        <w:rPr>
          <w:bCs/>
          <w:szCs w:val="24"/>
        </w:rPr>
        <w:t>.</w:t>
      </w:r>
    </w:p>
    <w:p w:rsidR="002B1B13" w:rsidRPr="00612981" w:rsidRDefault="002B1B13" w:rsidP="002B1B13">
      <w:pPr>
        <w:rPr>
          <w:bCs/>
          <w:szCs w:val="24"/>
        </w:rPr>
      </w:pPr>
      <w:r w:rsidRPr="00612981">
        <w:rPr>
          <w:bCs/>
          <w:szCs w:val="24"/>
        </w:rPr>
        <w:t xml:space="preserve">The objectives also comply with the principles established in the </w:t>
      </w:r>
      <w:r w:rsidR="00AC489B" w:rsidRPr="00612981">
        <w:rPr>
          <w:bCs/>
          <w:szCs w:val="24"/>
        </w:rPr>
        <w:t>TEU</w:t>
      </w:r>
      <w:r w:rsidRPr="00612981">
        <w:rPr>
          <w:bCs/>
          <w:szCs w:val="24"/>
        </w:rPr>
        <w:t xml:space="preserve"> stipulating that the </w:t>
      </w:r>
      <w:r w:rsidR="00A37A49" w:rsidRPr="00612981">
        <w:rPr>
          <w:bCs/>
          <w:szCs w:val="24"/>
        </w:rPr>
        <w:t>EU</w:t>
      </w:r>
      <w:r w:rsidRPr="00612981">
        <w:rPr>
          <w:bCs/>
          <w:szCs w:val="24"/>
        </w:rPr>
        <w:t xml:space="preserve">'s policies and actions should aim to </w:t>
      </w:r>
      <w:r w:rsidRPr="00A27060">
        <w:rPr>
          <w:bCs/>
          <w:i/>
          <w:szCs w:val="24"/>
        </w:rPr>
        <w:t>consolidate and support human rights</w:t>
      </w:r>
      <w:r w:rsidRPr="00612981">
        <w:rPr>
          <w:rStyle w:val="FootnoteReference"/>
          <w:bCs/>
          <w:szCs w:val="24"/>
        </w:rPr>
        <w:footnoteReference w:id="11"/>
      </w:r>
      <w:r w:rsidRPr="00612981">
        <w:rPr>
          <w:bCs/>
          <w:szCs w:val="24"/>
        </w:rPr>
        <w:t xml:space="preserve"> and to </w:t>
      </w:r>
      <w:r w:rsidR="002A6766" w:rsidRPr="00A27060">
        <w:rPr>
          <w:bCs/>
          <w:i/>
          <w:szCs w:val="24"/>
        </w:rPr>
        <w:t>"</w:t>
      </w:r>
      <w:r w:rsidRPr="00A27060">
        <w:rPr>
          <w:bCs/>
          <w:i/>
          <w:szCs w:val="24"/>
        </w:rPr>
        <w:t>help develop international measures to preserve and improve the quality of the environment and the sustainable management of global natural resources</w:t>
      </w:r>
      <w:r w:rsidR="002A6766" w:rsidRPr="00A27060">
        <w:rPr>
          <w:bCs/>
          <w:i/>
          <w:szCs w:val="24"/>
        </w:rPr>
        <w:t>"</w:t>
      </w:r>
      <w:r w:rsidRPr="00612981">
        <w:rPr>
          <w:rStyle w:val="FootnoteReference"/>
          <w:bCs/>
          <w:szCs w:val="24"/>
        </w:rPr>
        <w:footnoteReference w:id="12"/>
      </w:r>
      <w:r w:rsidRPr="00612981">
        <w:rPr>
          <w:bCs/>
          <w:szCs w:val="24"/>
        </w:rPr>
        <w:t>.</w:t>
      </w:r>
    </w:p>
    <w:p w:rsidR="002B1B13" w:rsidRPr="00612981" w:rsidRDefault="002B1B13" w:rsidP="002B1B13">
      <w:pPr>
        <w:tabs>
          <w:tab w:val="left" w:pos="1425"/>
        </w:tabs>
        <w:rPr>
          <w:bCs/>
          <w:szCs w:val="24"/>
        </w:rPr>
      </w:pPr>
      <w:r w:rsidRPr="00612981">
        <w:rPr>
          <w:bCs/>
          <w:szCs w:val="24"/>
        </w:rPr>
        <w:t xml:space="preserve">The objectives are consistent with other EU policies and with the Charter </w:t>
      </w:r>
      <w:r w:rsidR="002A6766" w:rsidRPr="00612981">
        <w:rPr>
          <w:bCs/>
          <w:szCs w:val="24"/>
        </w:rPr>
        <w:t xml:space="preserve">of </w:t>
      </w:r>
      <w:r w:rsidR="00A37A49" w:rsidRPr="00612981">
        <w:rPr>
          <w:bCs/>
          <w:szCs w:val="24"/>
        </w:rPr>
        <w:t xml:space="preserve">Fundamental Rights </w:t>
      </w:r>
      <w:r w:rsidR="002A6766" w:rsidRPr="00612981">
        <w:rPr>
          <w:bCs/>
          <w:szCs w:val="24"/>
        </w:rPr>
        <w:t>of the European Union</w:t>
      </w:r>
      <w:r w:rsidRPr="00612981">
        <w:rPr>
          <w:bCs/>
          <w:szCs w:val="24"/>
        </w:rPr>
        <w:t>.</w:t>
      </w:r>
    </w:p>
    <w:p w:rsidR="002B1B13" w:rsidRDefault="00AC489B" w:rsidP="002B1B13">
      <w:pPr>
        <w:tabs>
          <w:tab w:val="left" w:pos="1425"/>
        </w:tabs>
        <w:rPr>
          <w:bCs/>
          <w:szCs w:val="24"/>
        </w:rPr>
      </w:pPr>
      <w:r w:rsidRPr="00612981">
        <w:rPr>
          <w:bCs/>
          <w:szCs w:val="24"/>
        </w:rPr>
        <w:t>Finally, t</w:t>
      </w:r>
      <w:r w:rsidR="008351EC" w:rsidRPr="00612981">
        <w:rPr>
          <w:bCs/>
          <w:szCs w:val="24"/>
        </w:rPr>
        <w:t xml:space="preserve">he objectives are consistent with the </w:t>
      </w:r>
      <w:proofErr w:type="spellStart"/>
      <w:r w:rsidR="008351EC" w:rsidRPr="00612981">
        <w:rPr>
          <w:bCs/>
          <w:szCs w:val="24"/>
        </w:rPr>
        <w:t>Juncker</w:t>
      </w:r>
      <w:proofErr w:type="spellEnd"/>
      <w:r w:rsidR="008351EC" w:rsidRPr="00612981">
        <w:rPr>
          <w:bCs/>
          <w:szCs w:val="24"/>
        </w:rPr>
        <w:t xml:space="preserve"> Commission’s priority to get Europe growing again and to increase the number of jobs without creating new debt, the </w:t>
      </w:r>
      <w:r w:rsidR="005D3BCD" w:rsidRPr="00612981">
        <w:rPr>
          <w:bCs/>
          <w:szCs w:val="24"/>
        </w:rPr>
        <w:t>'</w:t>
      </w:r>
      <w:r w:rsidR="008351EC" w:rsidRPr="00612981">
        <w:rPr>
          <w:bCs/>
          <w:szCs w:val="24"/>
        </w:rPr>
        <w:t>Investment Plan</w:t>
      </w:r>
      <w:r w:rsidR="005D3BCD" w:rsidRPr="00612981">
        <w:rPr>
          <w:bCs/>
          <w:szCs w:val="24"/>
        </w:rPr>
        <w:t xml:space="preserve">' </w:t>
      </w:r>
      <w:r w:rsidR="008351EC" w:rsidRPr="00612981">
        <w:rPr>
          <w:bCs/>
          <w:szCs w:val="24"/>
        </w:rPr>
        <w:t xml:space="preserve">(or </w:t>
      </w:r>
      <w:r w:rsidR="005D3BCD" w:rsidRPr="00612981">
        <w:rPr>
          <w:bCs/>
          <w:szCs w:val="24"/>
        </w:rPr>
        <w:t>'</w:t>
      </w:r>
      <w:r w:rsidR="008351EC" w:rsidRPr="00612981">
        <w:rPr>
          <w:bCs/>
          <w:szCs w:val="24"/>
        </w:rPr>
        <w:t>European Fund for Strategic Investments</w:t>
      </w:r>
      <w:r w:rsidR="005D3BCD" w:rsidRPr="00612981">
        <w:rPr>
          <w:bCs/>
          <w:szCs w:val="24"/>
        </w:rPr>
        <w:t>'</w:t>
      </w:r>
      <w:r w:rsidR="008351EC" w:rsidRPr="00612981">
        <w:rPr>
          <w:bCs/>
          <w:szCs w:val="24"/>
        </w:rPr>
        <w:t>)</w:t>
      </w:r>
      <w:r w:rsidR="008351EC" w:rsidRPr="00612981">
        <w:rPr>
          <w:rStyle w:val="FootnoteReference"/>
          <w:bCs/>
          <w:szCs w:val="24"/>
        </w:rPr>
        <w:footnoteReference w:id="13"/>
      </w:r>
      <w:r w:rsidR="008351EC" w:rsidRPr="00612981">
        <w:rPr>
          <w:bCs/>
          <w:szCs w:val="24"/>
        </w:rPr>
        <w:t xml:space="preserve"> as well as </w:t>
      </w:r>
      <w:r w:rsidR="002B1B13" w:rsidRPr="00612981">
        <w:rPr>
          <w:bCs/>
          <w:szCs w:val="24"/>
        </w:rPr>
        <w:t xml:space="preserve">the specific priorities set out by the Commission </w:t>
      </w:r>
      <w:r w:rsidR="006F5D0C">
        <w:rPr>
          <w:bCs/>
          <w:szCs w:val="24"/>
        </w:rPr>
        <w:t>W</w:t>
      </w:r>
      <w:r w:rsidR="00A37A49" w:rsidRPr="00612981">
        <w:rPr>
          <w:bCs/>
          <w:szCs w:val="24"/>
        </w:rPr>
        <w:t xml:space="preserve">ork </w:t>
      </w:r>
      <w:r w:rsidR="006F5D0C">
        <w:rPr>
          <w:bCs/>
          <w:szCs w:val="24"/>
        </w:rPr>
        <w:t>P</w:t>
      </w:r>
      <w:r w:rsidR="00A37A49" w:rsidRPr="00612981">
        <w:rPr>
          <w:bCs/>
          <w:szCs w:val="24"/>
        </w:rPr>
        <w:t xml:space="preserve">rogramme </w:t>
      </w:r>
      <w:r w:rsidR="002B1B13" w:rsidRPr="00612981">
        <w:rPr>
          <w:bCs/>
          <w:szCs w:val="24"/>
        </w:rPr>
        <w:t>2017</w:t>
      </w:r>
      <w:r w:rsidR="008351EC" w:rsidRPr="00612981">
        <w:rPr>
          <w:rStyle w:val="FootnoteReference"/>
          <w:bCs/>
          <w:szCs w:val="24"/>
        </w:rPr>
        <w:footnoteReference w:id="14"/>
      </w:r>
      <w:r w:rsidR="002B1B13" w:rsidRPr="00612981">
        <w:rPr>
          <w:bCs/>
          <w:szCs w:val="24"/>
        </w:rPr>
        <w:t>.</w:t>
      </w:r>
    </w:p>
    <w:p w:rsidR="00D14B26" w:rsidRPr="00612981" w:rsidRDefault="00D14B26" w:rsidP="00D14B26">
      <w:pPr>
        <w:tabs>
          <w:tab w:val="left" w:pos="1425"/>
        </w:tabs>
        <w:rPr>
          <w:bCs/>
          <w:szCs w:val="24"/>
        </w:rPr>
      </w:pPr>
      <w:r>
        <w:rPr>
          <w:bCs/>
          <w:szCs w:val="24"/>
        </w:rPr>
        <w:t xml:space="preserve">This recommendation concerns an agreement which would cover liberalisation of trade in goods, services, public procurement </w:t>
      </w:r>
      <w:r w:rsidRPr="00FC5C72">
        <w:rPr>
          <w:bCs/>
          <w:szCs w:val="24"/>
        </w:rPr>
        <w:t xml:space="preserve">and </w:t>
      </w:r>
      <w:r>
        <w:rPr>
          <w:bCs/>
          <w:szCs w:val="24"/>
        </w:rPr>
        <w:t>f</w:t>
      </w:r>
      <w:r w:rsidRPr="00FC5C72">
        <w:rPr>
          <w:bCs/>
          <w:szCs w:val="24"/>
        </w:rPr>
        <w:t xml:space="preserve">oreign </w:t>
      </w:r>
      <w:r>
        <w:rPr>
          <w:bCs/>
          <w:szCs w:val="24"/>
        </w:rPr>
        <w:t>d</w:t>
      </w:r>
      <w:r w:rsidRPr="00FC5C72">
        <w:rPr>
          <w:bCs/>
          <w:szCs w:val="24"/>
        </w:rPr>
        <w:t xml:space="preserve">irect </w:t>
      </w:r>
      <w:r>
        <w:rPr>
          <w:bCs/>
          <w:szCs w:val="24"/>
        </w:rPr>
        <w:t>i</w:t>
      </w:r>
      <w:r w:rsidRPr="00FC5C72">
        <w:rPr>
          <w:bCs/>
          <w:szCs w:val="24"/>
        </w:rPr>
        <w:t>nvestment, together with flanking rules dealing, for example, with intellectual property rights.</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Consistency with other Union policies</w:t>
      </w:r>
    </w:p>
    <w:p w:rsidR="002B1B13" w:rsidRPr="00612981" w:rsidRDefault="002B1B13" w:rsidP="002B1B13">
      <w:pPr>
        <w:tabs>
          <w:tab w:val="left" w:pos="1425"/>
        </w:tabs>
        <w:rPr>
          <w:bCs/>
          <w:szCs w:val="24"/>
        </w:rPr>
      </w:pPr>
      <w:r w:rsidRPr="00612981">
        <w:rPr>
          <w:bCs/>
          <w:szCs w:val="24"/>
        </w:rPr>
        <w:lastRenderedPageBreak/>
        <w:t>Description of the issue of consistency with existing provis</w:t>
      </w:r>
      <w:r w:rsidR="001D69B8" w:rsidRPr="00612981">
        <w:rPr>
          <w:bCs/>
          <w:szCs w:val="24"/>
        </w:rPr>
        <w:t>i</w:t>
      </w:r>
      <w:r w:rsidRPr="00612981">
        <w:rPr>
          <w:bCs/>
          <w:szCs w:val="24"/>
        </w:rPr>
        <w:t xml:space="preserve">ons in the policy area is found in the section above on </w:t>
      </w:r>
      <w:r w:rsidR="00A37A49" w:rsidRPr="00612981">
        <w:rPr>
          <w:bCs/>
          <w:szCs w:val="24"/>
        </w:rPr>
        <w:t>'</w:t>
      </w:r>
      <w:r w:rsidRPr="00612981">
        <w:rPr>
          <w:bCs/>
          <w:szCs w:val="24"/>
        </w:rPr>
        <w:t>Consistency with existing provisions in the policy area</w:t>
      </w:r>
      <w:r w:rsidR="00A37A49" w:rsidRPr="00612981">
        <w:rPr>
          <w:bCs/>
          <w:szCs w:val="24"/>
        </w:rPr>
        <w:t>'.</w:t>
      </w:r>
    </w:p>
    <w:p w:rsidR="002B1B13" w:rsidRPr="00612981" w:rsidRDefault="002B1B13" w:rsidP="00113637">
      <w:pPr>
        <w:pStyle w:val="ManualHeading1"/>
        <w:rPr>
          <w:rFonts w:eastAsia="Arial Unicode MS"/>
          <w:b w:val="0"/>
          <w:noProof/>
          <w:color w:val="000000"/>
          <w:szCs w:val="24"/>
          <w:u w:color="000000"/>
          <w:bdr w:val="nil"/>
          <w:lang w:val="en-US" w:eastAsia="en-GB"/>
        </w:rPr>
      </w:pPr>
      <w:r w:rsidRPr="00612981">
        <w:rPr>
          <w:rFonts w:eastAsia="Arial Unicode MS"/>
          <w:noProof/>
          <w:color w:val="000000"/>
          <w:szCs w:val="24"/>
          <w:u w:color="000000"/>
          <w:bdr w:val="nil"/>
          <w:lang w:val="en-US" w:eastAsia="en-GB"/>
        </w:rPr>
        <w:t>2.</w:t>
      </w:r>
      <w:r w:rsidRPr="00612981">
        <w:rPr>
          <w:rFonts w:eastAsia="Arial Unicode MS"/>
          <w:noProof/>
          <w:color w:val="000000"/>
          <w:szCs w:val="24"/>
          <w:u w:color="000000"/>
          <w:bdr w:val="nil"/>
          <w:lang w:val="en-US" w:eastAsia="en-GB"/>
        </w:rPr>
        <w:tab/>
        <w:t xml:space="preserve">LEGAL BASIS, </w:t>
      </w:r>
      <w:r w:rsidRPr="00612981">
        <w:rPr>
          <w:noProof/>
          <w:u w:color="000000"/>
          <w:bdr w:val="nil"/>
          <w:lang w:val="en-US" w:eastAsia="en-GB"/>
        </w:rPr>
        <w:t>SUBSIDIARITY</w:t>
      </w:r>
      <w:r w:rsidRPr="00612981">
        <w:rPr>
          <w:rFonts w:eastAsia="Arial Unicode MS"/>
          <w:noProof/>
          <w:color w:val="000000"/>
          <w:szCs w:val="24"/>
          <w:u w:color="000000"/>
          <w:bdr w:val="nil"/>
          <w:lang w:val="en-US" w:eastAsia="en-GB"/>
        </w:rPr>
        <w:t xml:space="preserve"> AND PROPORTIONALITY</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Legal basis</w:t>
      </w:r>
    </w:p>
    <w:p w:rsidR="002B1B13" w:rsidRPr="00612981" w:rsidRDefault="002B1B13" w:rsidP="002B1B13">
      <w:pPr>
        <w:spacing w:after="240"/>
        <w:rPr>
          <w:rFonts w:eastAsia="Calibri"/>
          <w:noProof/>
          <w:szCs w:val="24"/>
          <w:lang w:eastAsia="en-GB"/>
        </w:rPr>
      </w:pPr>
      <w:r w:rsidRPr="00612981">
        <w:rPr>
          <w:rFonts w:eastAsia="Calibri"/>
          <w:noProof/>
          <w:szCs w:val="24"/>
          <w:lang w:eastAsia="en-GB"/>
        </w:rPr>
        <w:t>Article 218(3) and (4) of the Treaty on the Functioning of the European Union</w:t>
      </w:r>
      <w:r w:rsidR="00986712" w:rsidRPr="00612981">
        <w:rPr>
          <w:rFonts w:eastAsia="Calibri"/>
          <w:noProof/>
          <w:szCs w:val="24"/>
          <w:lang w:eastAsia="en-GB"/>
        </w:rPr>
        <w:t xml:space="preserve"> (TFEU)</w:t>
      </w:r>
      <w:r w:rsidRPr="00612981">
        <w:rPr>
          <w:rFonts w:eastAsia="Calibri"/>
          <w:noProof/>
          <w:szCs w:val="24"/>
          <w:lang w:eastAsia="en-GB"/>
        </w:rPr>
        <w:t>.</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 xml:space="preserve">Subsidiarity (for non-exclusive competence) </w:t>
      </w:r>
    </w:p>
    <w:p w:rsidR="002B1B13" w:rsidRPr="00612981" w:rsidRDefault="002B1B13" w:rsidP="002B1B13">
      <w:pPr>
        <w:spacing w:after="240"/>
        <w:rPr>
          <w:szCs w:val="24"/>
        </w:rPr>
      </w:pPr>
      <w:r w:rsidRPr="00612981">
        <w:rPr>
          <w:bCs/>
          <w:szCs w:val="24"/>
        </w:rPr>
        <w:t>According to Article 5(3) of the T</w:t>
      </w:r>
      <w:r w:rsidR="008351EC" w:rsidRPr="00612981">
        <w:rPr>
          <w:bCs/>
          <w:szCs w:val="24"/>
        </w:rPr>
        <w:t>EU</w:t>
      </w:r>
      <w:r w:rsidRPr="00612981">
        <w:rPr>
          <w:bCs/>
          <w:szCs w:val="24"/>
        </w:rPr>
        <w:t>, the subsidiarity principle</w:t>
      </w:r>
      <w:r w:rsidRPr="00612981">
        <w:rPr>
          <w:szCs w:val="24"/>
        </w:rPr>
        <w:t xml:space="preserve"> does not apply in areas of exclusive EU competence. The common commercial policy is listed among the areas of exclusive competence of the Union in Article 3 of the TFEU. This policy includes the negotiation of trade agreements pursuant to</w:t>
      </w:r>
      <w:r w:rsidR="008669D1" w:rsidRPr="00612981">
        <w:rPr>
          <w:szCs w:val="24"/>
        </w:rPr>
        <w:t xml:space="preserve">, </w:t>
      </w:r>
      <w:r w:rsidR="008669D1" w:rsidRPr="00612981">
        <w:rPr>
          <w:i/>
          <w:szCs w:val="24"/>
        </w:rPr>
        <w:t>inter alia</w:t>
      </w:r>
      <w:r w:rsidR="008669D1" w:rsidRPr="00612981">
        <w:rPr>
          <w:szCs w:val="24"/>
        </w:rPr>
        <w:t>,</w:t>
      </w:r>
      <w:r w:rsidRPr="00612981">
        <w:rPr>
          <w:szCs w:val="24"/>
        </w:rPr>
        <w:t xml:space="preserve"> Article 207 TFEU.</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Proportionality</w:t>
      </w:r>
    </w:p>
    <w:p w:rsidR="002B1B13" w:rsidRPr="00612981" w:rsidRDefault="002B1B13" w:rsidP="002B1B13">
      <w:pPr>
        <w:spacing w:after="240"/>
        <w:rPr>
          <w:bCs/>
          <w:szCs w:val="24"/>
        </w:rPr>
      </w:pPr>
      <w:r w:rsidRPr="00612981">
        <w:rPr>
          <w:bCs/>
          <w:szCs w:val="24"/>
        </w:rPr>
        <w:t xml:space="preserve">In line with the principle of proportionality, all reasonable policy options were considered in order to assess the likely effectiveness of such policy interventions, as described in detail in the </w:t>
      </w:r>
      <w:r w:rsidR="00E62991">
        <w:rPr>
          <w:bCs/>
          <w:szCs w:val="24"/>
        </w:rPr>
        <w:t>I</w:t>
      </w:r>
      <w:r w:rsidR="00986712" w:rsidRPr="00612981">
        <w:rPr>
          <w:bCs/>
          <w:szCs w:val="24"/>
        </w:rPr>
        <w:t xml:space="preserve">mpact </w:t>
      </w:r>
      <w:r w:rsidR="00E62991">
        <w:rPr>
          <w:bCs/>
          <w:szCs w:val="24"/>
        </w:rPr>
        <w:t>A</w:t>
      </w:r>
      <w:r w:rsidR="00986712" w:rsidRPr="00612981">
        <w:rPr>
          <w:bCs/>
          <w:szCs w:val="24"/>
        </w:rPr>
        <w:t xml:space="preserve">ssessment </w:t>
      </w:r>
      <w:r w:rsidR="00E62991">
        <w:rPr>
          <w:bCs/>
          <w:szCs w:val="24"/>
        </w:rPr>
        <w:t>R</w:t>
      </w:r>
      <w:r w:rsidR="00986712" w:rsidRPr="00612981">
        <w:rPr>
          <w:bCs/>
          <w:szCs w:val="24"/>
        </w:rPr>
        <w:t>eport</w:t>
      </w:r>
      <w:r w:rsidRPr="00612981">
        <w:rPr>
          <w:bCs/>
          <w:szCs w:val="24"/>
        </w:rPr>
        <w:t>.</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Choice of the instrument</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Decision of the Council of the European Union.</w:t>
      </w:r>
    </w:p>
    <w:p w:rsidR="002B1B13" w:rsidRPr="00612981" w:rsidRDefault="002B1B13" w:rsidP="00113637">
      <w:pPr>
        <w:pStyle w:val="ManualHeading1"/>
        <w:rPr>
          <w:rFonts w:eastAsia="Arial Unicode MS"/>
          <w:b w:val="0"/>
          <w:noProof/>
          <w:color w:val="000000"/>
          <w:szCs w:val="24"/>
          <w:u w:color="000000"/>
          <w:bdr w:val="nil"/>
          <w:lang w:val="en-US" w:eastAsia="en-GB"/>
        </w:rPr>
      </w:pPr>
      <w:r w:rsidRPr="00612981">
        <w:rPr>
          <w:rFonts w:eastAsia="Arial Unicode MS"/>
          <w:noProof/>
          <w:color w:val="000000"/>
          <w:szCs w:val="24"/>
          <w:u w:color="000000"/>
          <w:bdr w:val="nil"/>
          <w:lang w:val="en-US" w:eastAsia="en-GB"/>
        </w:rPr>
        <w:t>3.</w:t>
      </w:r>
      <w:r w:rsidRPr="00612981">
        <w:rPr>
          <w:rFonts w:eastAsia="Arial Unicode MS"/>
          <w:noProof/>
          <w:color w:val="000000"/>
          <w:szCs w:val="24"/>
          <w:u w:color="000000"/>
          <w:bdr w:val="nil"/>
          <w:lang w:val="en-US" w:eastAsia="en-GB"/>
        </w:rPr>
        <w:tab/>
        <w:t>RESULTS OF EX-POST EVALUATIONS, STAKEHOLDER CONSULTATIONS AND IMPACT ASSESSMENTS</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Ex-post evaluations/fitness checks of existing legislation</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Not applicable.</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Stakeholder consultations</w:t>
      </w:r>
    </w:p>
    <w:p w:rsidR="002B1B13" w:rsidRPr="00612981" w:rsidRDefault="002B1B13" w:rsidP="002B1B13">
      <w:pPr>
        <w:spacing w:after="240"/>
        <w:rPr>
          <w:rFonts w:eastAsia="Calibri"/>
          <w:color w:val="000000"/>
          <w:szCs w:val="24"/>
          <w:lang w:val="en-US"/>
        </w:rPr>
      </w:pPr>
      <w:r w:rsidRPr="00612981">
        <w:rPr>
          <w:rFonts w:eastAsia="Calibri"/>
          <w:color w:val="000000"/>
          <w:szCs w:val="24"/>
          <w:lang w:val="en-US"/>
        </w:rPr>
        <w:t xml:space="preserve">The Commission actively engaged with </w:t>
      </w:r>
      <w:r w:rsidR="00986712" w:rsidRPr="00612981">
        <w:rPr>
          <w:rFonts w:eastAsia="Calibri"/>
          <w:color w:val="000000"/>
          <w:szCs w:val="24"/>
          <w:lang w:val="en-US"/>
        </w:rPr>
        <w:t>interested partners</w:t>
      </w:r>
      <w:r w:rsidRPr="00612981">
        <w:rPr>
          <w:rFonts w:eastAsia="Calibri"/>
          <w:color w:val="000000"/>
          <w:szCs w:val="24"/>
          <w:lang w:val="en-US"/>
        </w:rPr>
        <w:t xml:space="preserve"> and conducted a comprehensive </w:t>
      </w:r>
      <w:r w:rsidRPr="00612981">
        <w:rPr>
          <w:rFonts w:eastAsia="Calibri"/>
          <w:color w:val="000000"/>
          <w:szCs w:val="24"/>
        </w:rPr>
        <w:t xml:space="preserve">online public </w:t>
      </w:r>
      <w:r w:rsidRPr="00612981">
        <w:rPr>
          <w:rFonts w:eastAsia="Calibri"/>
          <w:color w:val="000000"/>
          <w:szCs w:val="24"/>
          <w:lang w:val="en-US"/>
        </w:rPr>
        <w:t>consultation</w:t>
      </w:r>
      <w:r w:rsidR="008351EC" w:rsidRPr="00612981">
        <w:rPr>
          <w:rStyle w:val="FootnoteReference"/>
          <w:rFonts w:eastAsia="Calibri"/>
          <w:color w:val="000000"/>
          <w:szCs w:val="24"/>
          <w:lang w:val="en-US"/>
        </w:rPr>
        <w:footnoteReference w:id="15"/>
      </w:r>
      <w:r w:rsidRPr="00612981">
        <w:rPr>
          <w:rFonts w:eastAsia="Calibri"/>
          <w:color w:val="000000"/>
          <w:szCs w:val="24"/>
          <w:lang w:val="en-US"/>
        </w:rPr>
        <w:t xml:space="preserve"> to gather detailed views relating to the future trade and economic relationship between the EU and </w:t>
      </w:r>
      <w:r w:rsidRPr="00612981">
        <w:rPr>
          <w:szCs w:val="24"/>
        </w:rPr>
        <w:t>Australia</w:t>
      </w:r>
      <w:r w:rsidR="008351EC" w:rsidRPr="00612981">
        <w:rPr>
          <w:rStyle w:val="FootnoteReference"/>
          <w:szCs w:val="24"/>
        </w:rPr>
        <w:footnoteReference w:id="16"/>
      </w:r>
      <w:r w:rsidRPr="00612981">
        <w:rPr>
          <w:rFonts w:eastAsia="Calibri"/>
          <w:color w:val="000000"/>
          <w:szCs w:val="24"/>
          <w:lang w:val="en-US"/>
        </w:rPr>
        <w:t xml:space="preserve">. </w:t>
      </w:r>
    </w:p>
    <w:p w:rsidR="00986712" w:rsidRPr="00612981" w:rsidRDefault="00986712" w:rsidP="002B1B13">
      <w:pPr>
        <w:spacing w:after="240"/>
        <w:rPr>
          <w:rFonts w:eastAsia="Calibri"/>
          <w:color w:val="000000"/>
          <w:szCs w:val="24"/>
          <w:lang w:val="en-US"/>
        </w:rPr>
      </w:pPr>
      <w:r w:rsidRPr="00612981">
        <w:rPr>
          <w:rFonts w:eastAsia="Calibri"/>
          <w:color w:val="000000"/>
          <w:szCs w:val="24"/>
          <w:lang w:val="en-US"/>
        </w:rPr>
        <w:t xml:space="preserve">The online public consultation was open </w:t>
      </w:r>
      <w:r w:rsidR="00AC489B" w:rsidRPr="00612981">
        <w:rPr>
          <w:rFonts w:eastAsia="Calibri"/>
          <w:color w:val="000000"/>
          <w:szCs w:val="24"/>
          <w:lang w:val="en-US"/>
        </w:rPr>
        <w:t xml:space="preserve">from </w:t>
      </w:r>
      <w:r w:rsidR="002B1B13" w:rsidRPr="00612981">
        <w:rPr>
          <w:rFonts w:eastAsia="Calibri"/>
          <w:color w:val="000000"/>
          <w:szCs w:val="24"/>
          <w:lang w:val="en-US"/>
        </w:rPr>
        <w:t xml:space="preserve">11 March </w:t>
      </w:r>
      <w:r w:rsidRPr="00612981">
        <w:rPr>
          <w:rFonts w:eastAsia="Calibri"/>
          <w:color w:val="000000"/>
          <w:szCs w:val="24"/>
          <w:lang w:val="en-US"/>
        </w:rPr>
        <w:t xml:space="preserve">to </w:t>
      </w:r>
      <w:r w:rsidR="002B1B13" w:rsidRPr="00612981">
        <w:rPr>
          <w:rFonts w:eastAsia="Calibri"/>
          <w:color w:val="000000"/>
          <w:szCs w:val="24"/>
          <w:lang w:val="en-US"/>
        </w:rPr>
        <w:t>3 June 2016</w:t>
      </w:r>
      <w:r w:rsidRPr="00612981">
        <w:rPr>
          <w:rFonts w:eastAsia="Calibri"/>
          <w:color w:val="000000"/>
          <w:szCs w:val="24"/>
          <w:lang w:val="en-US"/>
        </w:rPr>
        <w:t>. It</w:t>
      </w:r>
      <w:r w:rsidR="002B1B13" w:rsidRPr="00612981">
        <w:rPr>
          <w:rFonts w:eastAsia="Calibri"/>
          <w:color w:val="000000"/>
          <w:szCs w:val="24"/>
          <w:lang w:val="en-US"/>
        </w:rPr>
        <w:t xml:space="preserve"> was launched on the website </w:t>
      </w:r>
      <w:r w:rsidRPr="00612981">
        <w:rPr>
          <w:rFonts w:eastAsia="Calibri"/>
          <w:color w:val="000000"/>
          <w:szCs w:val="24"/>
          <w:lang w:val="en-US"/>
        </w:rPr>
        <w:t xml:space="preserve">of the Directorate-General for Trade </w:t>
      </w:r>
      <w:r w:rsidR="002B1B13" w:rsidRPr="00612981">
        <w:rPr>
          <w:rFonts w:eastAsia="Calibri"/>
          <w:color w:val="000000"/>
          <w:szCs w:val="24"/>
          <w:lang w:val="en-US"/>
        </w:rPr>
        <w:t xml:space="preserve">and </w:t>
      </w:r>
      <w:r w:rsidRPr="00612981">
        <w:rPr>
          <w:rFonts w:eastAsia="Calibri"/>
          <w:color w:val="000000"/>
          <w:szCs w:val="24"/>
          <w:lang w:val="en-US"/>
        </w:rPr>
        <w:t xml:space="preserve">was </w:t>
      </w:r>
      <w:r w:rsidR="002B1B13" w:rsidRPr="00612981">
        <w:rPr>
          <w:rFonts w:eastAsia="Calibri"/>
          <w:color w:val="000000"/>
          <w:szCs w:val="24"/>
          <w:lang w:val="en-US"/>
        </w:rPr>
        <w:t xml:space="preserve">posted on ‘EU Survey’ (the Commission's on-line </w:t>
      </w:r>
      <w:r w:rsidRPr="00612981">
        <w:rPr>
          <w:rFonts w:eastAsia="Calibri"/>
          <w:color w:val="000000"/>
          <w:szCs w:val="24"/>
          <w:lang w:val="en-US"/>
        </w:rPr>
        <w:t xml:space="preserve">public consultations </w:t>
      </w:r>
      <w:r w:rsidR="00AC489B" w:rsidRPr="00612981">
        <w:rPr>
          <w:rFonts w:eastAsia="Calibri"/>
          <w:color w:val="000000"/>
          <w:szCs w:val="24"/>
          <w:lang w:val="en-US"/>
        </w:rPr>
        <w:t>portal</w:t>
      </w:r>
      <w:r w:rsidR="002B1B13" w:rsidRPr="00612981">
        <w:rPr>
          <w:rFonts w:eastAsia="Calibri"/>
          <w:color w:val="000000"/>
          <w:szCs w:val="24"/>
          <w:lang w:val="en-US"/>
        </w:rPr>
        <w:t xml:space="preserve">). </w:t>
      </w:r>
      <w:r w:rsidRPr="00612981">
        <w:rPr>
          <w:rFonts w:eastAsia="Calibri"/>
          <w:color w:val="000000"/>
          <w:szCs w:val="24"/>
          <w:lang w:val="en-US"/>
        </w:rPr>
        <w:t>I</w:t>
      </w:r>
      <w:r w:rsidR="002B1B13" w:rsidRPr="00612981">
        <w:rPr>
          <w:rFonts w:eastAsia="Calibri"/>
          <w:color w:val="000000"/>
          <w:szCs w:val="24"/>
          <w:lang w:val="en-US"/>
        </w:rPr>
        <w:t xml:space="preserve">nterested parties </w:t>
      </w:r>
      <w:r w:rsidRPr="00612981">
        <w:rPr>
          <w:rFonts w:eastAsia="Calibri"/>
          <w:color w:val="000000"/>
          <w:szCs w:val="24"/>
          <w:lang w:val="en-US"/>
        </w:rPr>
        <w:t xml:space="preserve">from </w:t>
      </w:r>
      <w:r w:rsidR="002B1B13" w:rsidRPr="00612981">
        <w:rPr>
          <w:rFonts w:eastAsia="Calibri"/>
          <w:color w:val="000000"/>
          <w:szCs w:val="24"/>
          <w:lang w:val="en-US"/>
        </w:rPr>
        <w:t xml:space="preserve">within </w:t>
      </w:r>
      <w:r w:rsidR="00AC489B" w:rsidRPr="00612981">
        <w:rPr>
          <w:rFonts w:eastAsia="Calibri"/>
          <w:color w:val="000000"/>
          <w:szCs w:val="24"/>
          <w:lang w:val="en-US"/>
        </w:rPr>
        <w:t>and</w:t>
      </w:r>
      <w:r w:rsidRPr="00612981">
        <w:rPr>
          <w:rFonts w:eastAsia="Calibri"/>
          <w:color w:val="000000"/>
          <w:szCs w:val="24"/>
          <w:lang w:val="en-US"/>
        </w:rPr>
        <w:t xml:space="preserve"> outside the EU </w:t>
      </w:r>
      <w:r w:rsidR="002B1B13" w:rsidRPr="00612981">
        <w:rPr>
          <w:rFonts w:eastAsia="Calibri"/>
          <w:color w:val="000000"/>
          <w:szCs w:val="24"/>
          <w:lang w:val="en-US"/>
        </w:rPr>
        <w:t xml:space="preserve">were invited to answer questions covering a wide range of themes </w:t>
      </w:r>
      <w:r w:rsidRPr="00612981">
        <w:rPr>
          <w:rFonts w:eastAsia="Calibri"/>
          <w:color w:val="000000"/>
          <w:szCs w:val="24"/>
          <w:lang w:val="en-US"/>
        </w:rPr>
        <w:t>on</w:t>
      </w:r>
      <w:r w:rsidR="002B1B13" w:rsidRPr="00612981">
        <w:rPr>
          <w:rFonts w:eastAsia="Calibri"/>
          <w:color w:val="000000"/>
          <w:szCs w:val="24"/>
          <w:lang w:val="en-US"/>
        </w:rPr>
        <w:t xml:space="preserve"> trade and investment between the EU and </w:t>
      </w:r>
      <w:r w:rsidR="002B1B13" w:rsidRPr="00612981">
        <w:rPr>
          <w:szCs w:val="24"/>
        </w:rPr>
        <w:t>Australia</w:t>
      </w:r>
      <w:r w:rsidRPr="00612981">
        <w:rPr>
          <w:szCs w:val="24"/>
        </w:rPr>
        <w:t xml:space="preserve">. </w:t>
      </w:r>
    </w:p>
    <w:p w:rsidR="002B1B13" w:rsidRPr="00612981" w:rsidRDefault="002B1B13" w:rsidP="002B1B13">
      <w:pPr>
        <w:spacing w:after="240"/>
        <w:rPr>
          <w:rFonts w:eastAsia="Calibri"/>
          <w:color w:val="000000"/>
          <w:szCs w:val="24"/>
          <w:lang w:val="en-US"/>
        </w:rPr>
      </w:pPr>
      <w:r w:rsidRPr="00612981">
        <w:rPr>
          <w:rFonts w:eastAsia="Calibri"/>
          <w:color w:val="000000"/>
          <w:szCs w:val="24"/>
          <w:lang w:val="en-US"/>
        </w:rPr>
        <w:t xml:space="preserve">The Commission received 108 </w:t>
      </w:r>
      <w:r w:rsidR="00986712" w:rsidRPr="00612981">
        <w:rPr>
          <w:rFonts w:eastAsia="Calibri"/>
          <w:color w:val="000000"/>
          <w:szCs w:val="24"/>
          <w:lang w:val="en-US"/>
        </w:rPr>
        <w:t xml:space="preserve">replies </w:t>
      </w:r>
      <w:r w:rsidRPr="00612981">
        <w:rPr>
          <w:rFonts w:eastAsia="Calibri"/>
          <w:color w:val="000000"/>
          <w:szCs w:val="24"/>
          <w:lang w:val="en-US"/>
        </w:rPr>
        <w:t xml:space="preserve">from a wide range of respondents. </w:t>
      </w:r>
      <w:r w:rsidR="00986712" w:rsidRPr="00612981">
        <w:rPr>
          <w:rFonts w:eastAsia="Calibri"/>
          <w:color w:val="000000"/>
          <w:szCs w:val="24"/>
          <w:lang w:val="en-US"/>
        </w:rPr>
        <w:t>A</w:t>
      </w:r>
      <w:r w:rsidRPr="00612981">
        <w:rPr>
          <w:rFonts w:eastAsia="Calibri"/>
          <w:color w:val="000000"/>
          <w:szCs w:val="24"/>
          <w:lang w:val="en-US"/>
        </w:rPr>
        <w:t xml:space="preserve"> summary of the</w:t>
      </w:r>
      <w:r w:rsidR="001D69B8" w:rsidRPr="00612981">
        <w:rPr>
          <w:rFonts w:eastAsia="Calibri"/>
          <w:color w:val="000000"/>
          <w:szCs w:val="24"/>
          <w:lang w:val="en-US"/>
        </w:rPr>
        <w:t xml:space="preserve"> responses </w:t>
      </w:r>
      <w:r w:rsidR="00986712" w:rsidRPr="00612981">
        <w:rPr>
          <w:rFonts w:eastAsia="Calibri"/>
          <w:color w:val="000000"/>
          <w:szCs w:val="24"/>
          <w:lang w:val="en-US"/>
        </w:rPr>
        <w:t>is included in</w:t>
      </w:r>
      <w:r w:rsidRPr="00612981">
        <w:rPr>
          <w:rFonts w:eastAsia="Calibri"/>
          <w:color w:val="000000"/>
          <w:szCs w:val="24"/>
          <w:lang w:val="en-US"/>
        </w:rPr>
        <w:t xml:space="preserve"> the </w:t>
      </w:r>
      <w:r w:rsidR="00E62991">
        <w:rPr>
          <w:rFonts w:eastAsia="Calibri"/>
          <w:color w:val="000000"/>
          <w:szCs w:val="24"/>
          <w:lang w:val="en-US"/>
        </w:rPr>
        <w:t>I</w:t>
      </w:r>
      <w:r w:rsidRPr="00612981">
        <w:rPr>
          <w:rFonts w:eastAsia="Calibri"/>
          <w:color w:val="000000"/>
          <w:szCs w:val="24"/>
          <w:lang w:val="en-US"/>
        </w:rPr>
        <w:t xml:space="preserve">mpact </w:t>
      </w:r>
      <w:r w:rsidR="00E62991">
        <w:rPr>
          <w:rFonts w:eastAsia="Calibri"/>
          <w:color w:val="000000"/>
          <w:szCs w:val="24"/>
          <w:lang w:val="en-US"/>
        </w:rPr>
        <w:t>A</w:t>
      </w:r>
      <w:r w:rsidRPr="00612981">
        <w:rPr>
          <w:rFonts w:eastAsia="Calibri"/>
          <w:color w:val="000000"/>
          <w:szCs w:val="24"/>
          <w:lang w:val="en-US"/>
        </w:rPr>
        <w:t xml:space="preserve">ssessment </w:t>
      </w:r>
      <w:r w:rsidR="00E62991">
        <w:rPr>
          <w:rFonts w:eastAsia="Calibri"/>
          <w:color w:val="000000"/>
          <w:szCs w:val="24"/>
          <w:lang w:val="en-US"/>
        </w:rPr>
        <w:t>R</w:t>
      </w:r>
      <w:r w:rsidRPr="00612981">
        <w:rPr>
          <w:rFonts w:eastAsia="Calibri"/>
          <w:color w:val="000000"/>
          <w:szCs w:val="24"/>
          <w:lang w:val="en-US"/>
        </w:rPr>
        <w:t xml:space="preserve">eport and </w:t>
      </w:r>
      <w:r w:rsidR="00986712" w:rsidRPr="00612981">
        <w:rPr>
          <w:rFonts w:eastAsia="Calibri"/>
          <w:color w:val="000000"/>
          <w:szCs w:val="24"/>
          <w:lang w:val="en-US"/>
        </w:rPr>
        <w:t>the individual</w:t>
      </w:r>
      <w:r w:rsidRPr="00612981">
        <w:rPr>
          <w:rFonts w:eastAsia="Calibri"/>
          <w:color w:val="000000"/>
          <w:szCs w:val="24"/>
          <w:lang w:val="en-US"/>
        </w:rPr>
        <w:t xml:space="preserve"> responses </w:t>
      </w:r>
      <w:r w:rsidR="00986712" w:rsidRPr="00612981">
        <w:rPr>
          <w:rFonts w:eastAsia="Calibri"/>
          <w:color w:val="000000"/>
          <w:szCs w:val="24"/>
          <w:lang w:val="en-US"/>
        </w:rPr>
        <w:t>were</w:t>
      </w:r>
      <w:r w:rsidRPr="00612981">
        <w:rPr>
          <w:rFonts w:eastAsia="Calibri"/>
          <w:color w:val="000000"/>
          <w:szCs w:val="24"/>
          <w:lang w:val="en-US"/>
        </w:rPr>
        <w:t xml:space="preserve"> published unless the respondent</w:t>
      </w:r>
      <w:r w:rsidR="00986712" w:rsidRPr="00612981">
        <w:rPr>
          <w:rFonts w:eastAsia="Calibri"/>
          <w:color w:val="000000"/>
          <w:szCs w:val="24"/>
          <w:lang w:val="en-US"/>
        </w:rPr>
        <w:t xml:space="preserve"> has indicated otherwise</w:t>
      </w:r>
      <w:r w:rsidRPr="00612981">
        <w:rPr>
          <w:rFonts w:eastAsia="Calibri"/>
          <w:color w:val="000000"/>
          <w:szCs w:val="24"/>
          <w:lang w:val="en-US"/>
        </w:rPr>
        <w:t>.</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 xml:space="preserve">Collection and use of expertise </w:t>
      </w:r>
    </w:p>
    <w:p w:rsidR="002B1B13" w:rsidRPr="00612981" w:rsidRDefault="00986712"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 xml:space="preserve">An </w:t>
      </w:r>
      <w:r w:rsidR="002B1B13" w:rsidRPr="00612981">
        <w:rPr>
          <w:rFonts w:eastAsia="Arial Unicode MS"/>
          <w:noProof/>
          <w:color w:val="000000"/>
          <w:szCs w:val="24"/>
          <w:u w:color="000000"/>
          <w:bdr w:val="nil"/>
          <w:lang w:val="en-US" w:eastAsia="en-GB"/>
        </w:rPr>
        <w:t xml:space="preserve">external consultant was commissioned to carry out an </w:t>
      </w:r>
      <w:r w:rsidR="002B1B13" w:rsidRPr="00612981">
        <w:rPr>
          <w:rFonts w:eastAsia="Arial Unicode MS"/>
          <w:i/>
          <w:noProof/>
          <w:color w:val="000000"/>
          <w:szCs w:val="24"/>
          <w:u w:color="000000"/>
          <w:bdr w:val="nil"/>
          <w:lang w:val="en-US" w:eastAsia="en-GB"/>
        </w:rPr>
        <w:t>ex-ante</w:t>
      </w:r>
      <w:r w:rsidR="002B1B13" w:rsidRPr="00612981">
        <w:rPr>
          <w:rFonts w:eastAsia="Arial Unicode MS"/>
          <w:noProof/>
          <w:color w:val="000000"/>
          <w:szCs w:val="24"/>
          <w:u w:color="000000"/>
          <w:bdr w:val="nil"/>
          <w:lang w:val="en-US" w:eastAsia="en-GB"/>
        </w:rPr>
        <w:t xml:space="preserve"> analysis on the potential impacts of envisaged scenarios for the FTA. </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 xml:space="preserve">The Commission has also been in contact with various </w:t>
      </w:r>
      <w:r w:rsidR="00986712" w:rsidRPr="00612981">
        <w:rPr>
          <w:rFonts w:eastAsia="Arial Unicode MS"/>
          <w:noProof/>
          <w:color w:val="000000"/>
          <w:szCs w:val="24"/>
          <w:u w:color="000000"/>
          <w:bdr w:val="nil"/>
          <w:lang w:val="en-US" w:eastAsia="en-GB"/>
        </w:rPr>
        <w:t xml:space="preserve">interested parties </w:t>
      </w:r>
      <w:r w:rsidRPr="00612981">
        <w:rPr>
          <w:rFonts w:eastAsia="Arial Unicode MS"/>
          <w:noProof/>
          <w:color w:val="000000"/>
          <w:szCs w:val="24"/>
          <w:u w:color="000000"/>
          <w:bdr w:val="nil"/>
          <w:lang w:val="en-US" w:eastAsia="en-GB"/>
        </w:rPr>
        <w:t>who provided their views on specific market access and other trade barriers they face in</w:t>
      </w:r>
      <w:r w:rsidR="00986712" w:rsidRPr="00612981">
        <w:rPr>
          <w:rFonts w:eastAsia="Arial Unicode MS"/>
          <w:noProof/>
          <w:color w:val="000000"/>
          <w:szCs w:val="24"/>
          <w:u w:color="000000"/>
          <w:bdr w:val="nil"/>
          <w:lang w:val="en-US" w:eastAsia="en-GB"/>
        </w:rPr>
        <w:t xml:space="preserve"> their</w:t>
      </w:r>
      <w:r w:rsidRPr="00612981">
        <w:rPr>
          <w:rFonts w:eastAsia="Arial Unicode MS"/>
          <w:noProof/>
          <w:color w:val="000000"/>
          <w:szCs w:val="24"/>
          <w:u w:color="000000"/>
          <w:bdr w:val="nil"/>
          <w:lang w:val="en-US" w:eastAsia="en-GB"/>
        </w:rPr>
        <w:t xml:space="preserve"> trade and investment relationship with </w:t>
      </w:r>
      <w:r w:rsidRPr="00612981">
        <w:rPr>
          <w:szCs w:val="24"/>
        </w:rPr>
        <w:t>Australia</w:t>
      </w:r>
      <w:r w:rsidRPr="00612981">
        <w:rPr>
          <w:rFonts w:eastAsia="Arial Unicode MS"/>
          <w:noProof/>
          <w:color w:val="000000"/>
          <w:szCs w:val="24"/>
          <w:u w:color="000000"/>
          <w:bdr w:val="nil"/>
          <w:lang w:val="en-US" w:eastAsia="en-GB"/>
        </w:rPr>
        <w:t>.</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Impact assessments</w:t>
      </w:r>
    </w:p>
    <w:p w:rsidR="00ED6ACE" w:rsidRPr="00612981" w:rsidRDefault="00684B86"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Though the</w:t>
      </w:r>
      <w:r w:rsidR="0084162F" w:rsidRPr="00612981">
        <w:rPr>
          <w:rFonts w:eastAsia="Arial Unicode MS"/>
          <w:noProof/>
          <w:color w:val="000000"/>
          <w:szCs w:val="24"/>
          <w:u w:color="000000"/>
          <w:bdr w:val="nil"/>
          <w:lang w:val="en-US" w:eastAsia="en-GB"/>
        </w:rPr>
        <w:t xml:space="preserve"> scope of the </w:t>
      </w:r>
      <w:r w:rsidR="00ED6ACE" w:rsidRPr="00612981">
        <w:rPr>
          <w:rFonts w:eastAsia="Arial Unicode MS"/>
          <w:noProof/>
          <w:color w:val="000000"/>
          <w:szCs w:val="24"/>
          <w:u w:color="000000"/>
          <w:bdr w:val="nil"/>
          <w:lang w:val="en-US" w:eastAsia="en-GB"/>
        </w:rPr>
        <w:t>i</w:t>
      </w:r>
      <w:r w:rsidR="0084162F" w:rsidRPr="00612981">
        <w:rPr>
          <w:rFonts w:eastAsia="Arial Unicode MS"/>
          <w:noProof/>
          <w:color w:val="000000"/>
          <w:szCs w:val="24"/>
          <w:u w:color="000000"/>
          <w:bdr w:val="nil"/>
          <w:lang w:val="en-US" w:eastAsia="en-GB"/>
        </w:rPr>
        <w:t>mpact assessment, covering trade, investment and other issues, was broader than th</w:t>
      </w:r>
      <w:r w:rsidR="00ED6ACE" w:rsidRPr="00612981">
        <w:rPr>
          <w:rFonts w:eastAsia="Arial Unicode MS"/>
          <w:noProof/>
          <w:color w:val="000000"/>
          <w:szCs w:val="24"/>
          <w:u w:color="000000"/>
          <w:bdr w:val="nil"/>
          <w:lang w:val="en-US" w:eastAsia="en-GB"/>
        </w:rPr>
        <w:t>e present</w:t>
      </w:r>
      <w:r w:rsidR="0084162F" w:rsidRPr="00612981">
        <w:rPr>
          <w:rFonts w:eastAsia="Arial Unicode MS"/>
          <w:noProof/>
          <w:color w:val="000000"/>
          <w:szCs w:val="24"/>
          <w:u w:color="000000"/>
          <w:bdr w:val="nil"/>
          <w:lang w:val="en-US" w:eastAsia="en-GB"/>
        </w:rPr>
        <w:t xml:space="preserve"> </w:t>
      </w:r>
      <w:r w:rsidR="00ED6ACE" w:rsidRPr="00612981">
        <w:rPr>
          <w:rFonts w:eastAsia="Arial Unicode MS"/>
          <w:noProof/>
          <w:color w:val="000000"/>
          <w:szCs w:val="24"/>
          <w:u w:color="000000"/>
          <w:bdr w:val="nil"/>
          <w:lang w:val="en-US" w:eastAsia="en-GB"/>
        </w:rPr>
        <w:t>R</w:t>
      </w:r>
      <w:r w:rsidR="0084162F" w:rsidRPr="00612981">
        <w:rPr>
          <w:rFonts w:eastAsia="Arial Unicode MS"/>
          <w:noProof/>
          <w:color w:val="000000"/>
          <w:szCs w:val="24"/>
          <w:u w:color="000000"/>
          <w:bdr w:val="nil"/>
          <w:lang w:val="en-US" w:eastAsia="en-GB"/>
        </w:rPr>
        <w:t>ecommendation</w:t>
      </w:r>
      <w:r w:rsidRPr="00612981">
        <w:rPr>
          <w:rFonts w:eastAsia="Arial Unicode MS"/>
          <w:noProof/>
          <w:color w:val="000000"/>
          <w:szCs w:val="24"/>
          <w:u w:color="000000"/>
          <w:bdr w:val="nil"/>
          <w:lang w:val="en-US" w:eastAsia="en-GB"/>
        </w:rPr>
        <w:t>,</w:t>
      </w:r>
      <w:r w:rsidR="00ED6ACE" w:rsidRPr="00612981">
        <w:rPr>
          <w:rFonts w:eastAsia="Arial Unicode MS"/>
          <w:noProof/>
          <w:color w:val="000000"/>
          <w:szCs w:val="24"/>
          <w:u w:color="000000"/>
          <w:bdr w:val="nil"/>
          <w:lang w:val="en-US" w:eastAsia="en-GB"/>
        </w:rPr>
        <w:t xml:space="preserve"> </w:t>
      </w:r>
      <w:r w:rsidRPr="00612981">
        <w:rPr>
          <w:rFonts w:eastAsia="Arial Unicode MS"/>
          <w:noProof/>
          <w:color w:val="000000"/>
          <w:szCs w:val="24"/>
          <w:u w:color="000000"/>
          <w:bdr w:val="nil"/>
          <w:lang w:val="en-US" w:eastAsia="en-GB"/>
        </w:rPr>
        <w:t>i</w:t>
      </w:r>
      <w:r w:rsidR="00ED6ACE" w:rsidRPr="00612981">
        <w:rPr>
          <w:rFonts w:eastAsia="Arial Unicode MS"/>
          <w:noProof/>
          <w:color w:val="000000"/>
          <w:szCs w:val="24"/>
          <w:u w:color="000000"/>
          <w:bdr w:val="nil"/>
          <w:lang w:val="en-US" w:eastAsia="en-GB"/>
        </w:rPr>
        <w:t xml:space="preserve">ts </w:t>
      </w:r>
      <w:r w:rsidR="0084162F" w:rsidRPr="00612981">
        <w:rPr>
          <w:rFonts w:eastAsia="Arial Unicode MS"/>
          <w:noProof/>
          <w:color w:val="000000"/>
          <w:szCs w:val="24"/>
          <w:u w:color="000000"/>
          <w:bdr w:val="nil"/>
          <w:lang w:val="en-US" w:eastAsia="en-GB"/>
        </w:rPr>
        <w:t xml:space="preserve">conclusions remain valid </w:t>
      </w:r>
      <w:r w:rsidRPr="00612981">
        <w:rPr>
          <w:rFonts w:eastAsia="Arial Unicode MS"/>
          <w:noProof/>
          <w:color w:val="000000"/>
          <w:szCs w:val="24"/>
          <w:u w:color="000000"/>
          <w:bdr w:val="nil"/>
          <w:lang w:val="en-US" w:eastAsia="en-GB"/>
        </w:rPr>
        <w:t xml:space="preserve">with respect to this </w:t>
      </w:r>
      <w:r w:rsidR="0020610C" w:rsidRPr="00612981">
        <w:rPr>
          <w:rFonts w:eastAsia="Arial Unicode MS"/>
          <w:noProof/>
          <w:color w:val="000000"/>
          <w:szCs w:val="24"/>
          <w:u w:color="000000"/>
          <w:bdr w:val="nil"/>
          <w:lang w:val="en-US" w:eastAsia="en-GB"/>
        </w:rPr>
        <w:t>Recommendation</w:t>
      </w:r>
      <w:r w:rsidR="0084162F" w:rsidRPr="00612981">
        <w:rPr>
          <w:rFonts w:eastAsia="Arial Unicode MS"/>
          <w:noProof/>
          <w:color w:val="000000"/>
          <w:szCs w:val="24"/>
          <w:u w:color="000000"/>
          <w:bdr w:val="nil"/>
          <w:lang w:val="en-US" w:eastAsia="en-GB"/>
        </w:rPr>
        <w:t>.</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 xml:space="preserve">The </w:t>
      </w:r>
      <w:r w:rsidR="00E62991">
        <w:rPr>
          <w:rFonts w:eastAsia="Arial Unicode MS"/>
          <w:noProof/>
          <w:color w:val="000000"/>
          <w:szCs w:val="24"/>
          <w:u w:color="000000"/>
          <w:bdr w:val="nil"/>
          <w:lang w:val="en-US" w:eastAsia="en-GB"/>
        </w:rPr>
        <w:t>I</w:t>
      </w:r>
      <w:r w:rsidR="00986712" w:rsidRPr="00612981">
        <w:rPr>
          <w:rFonts w:eastAsia="Arial Unicode MS"/>
          <w:noProof/>
          <w:color w:val="000000"/>
          <w:szCs w:val="24"/>
          <w:u w:color="000000"/>
          <w:bdr w:val="nil"/>
          <w:lang w:val="en-US" w:eastAsia="en-GB"/>
        </w:rPr>
        <w:t xml:space="preserve">mpact </w:t>
      </w:r>
      <w:r w:rsidR="00E62991">
        <w:rPr>
          <w:rFonts w:eastAsia="Arial Unicode MS"/>
          <w:noProof/>
          <w:color w:val="000000"/>
          <w:szCs w:val="24"/>
          <w:u w:color="000000"/>
          <w:bdr w:val="nil"/>
          <w:lang w:val="en-US" w:eastAsia="en-GB"/>
        </w:rPr>
        <w:t>A</w:t>
      </w:r>
      <w:r w:rsidR="00986712" w:rsidRPr="00612981">
        <w:rPr>
          <w:rFonts w:eastAsia="Arial Unicode MS"/>
          <w:noProof/>
          <w:color w:val="000000"/>
          <w:szCs w:val="24"/>
          <w:u w:color="000000"/>
          <w:bdr w:val="nil"/>
          <w:lang w:val="en-US" w:eastAsia="en-GB"/>
        </w:rPr>
        <w:t xml:space="preserve">ssessment </w:t>
      </w:r>
      <w:r w:rsidR="00E62991">
        <w:rPr>
          <w:rFonts w:eastAsia="Arial Unicode MS"/>
          <w:noProof/>
          <w:color w:val="000000"/>
          <w:szCs w:val="24"/>
          <w:u w:color="000000"/>
          <w:bdr w:val="nil"/>
          <w:lang w:val="en-US" w:eastAsia="en-GB"/>
        </w:rPr>
        <w:t>R</w:t>
      </w:r>
      <w:r w:rsidR="00986712" w:rsidRPr="00612981">
        <w:rPr>
          <w:rFonts w:eastAsia="Arial Unicode MS"/>
          <w:noProof/>
          <w:color w:val="000000"/>
          <w:szCs w:val="24"/>
          <w:u w:color="000000"/>
          <w:bdr w:val="nil"/>
          <w:lang w:val="en-US" w:eastAsia="en-GB"/>
        </w:rPr>
        <w:t xml:space="preserve">eport </w:t>
      </w:r>
      <w:r w:rsidRPr="00612981">
        <w:rPr>
          <w:rFonts w:eastAsia="Arial Unicode MS"/>
          <w:noProof/>
          <w:color w:val="000000"/>
          <w:szCs w:val="24"/>
          <w:u w:color="000000"/>
          <w:bdr w:val="nil"/>
          <w:lang w:val="en-US" w:eastAsia="en-GB"/>
        </w:rPr>
        <w:t>and its</w:t>
      </w:r>
      <w:r w:rsidR="00986712" w:rsidRPr="00612981">
        <w:rPr>
          <w:rFonts w:eastAsia="Arial Unicode MS"/>
          <w:noProof/>
          <w:color w:val="000000"/>
          <w:szCs w:val="24"/>
          <w:u w:color="000000"/>
          <w:bdr w:val="nil"/>
          <w:lang w:val="en-US" w:eastAsia="en-GB"/>
        </w:rPr>
        <w:t xml:space="preserve"> acompanying</w:t>
      </w:r>
      <w:r w:rsidRPr="00612981">
        <w:rPr>
          <w:rFonts w:eastAsia="Arial Unicode MS"/>
          <w:noProof/>
          <w:color w:val="000000"/>
          <w:szCs w:val="24"/>
          <w:u w:color="000000"/>
          <w:bdr w:val="nil"/>
          <w:lang w:val="en-US" w:eastAsia="en-GB"/>
        </w:rPr>
        <w:t xml:space="preserve"> </w:t>
      </w:r>
      <w:r w:rsidR="00986712" w:rsidRPr="00612981">
        <w:rPr>
          <w:rFonts w:eastAsia="Arial Unicode MS"/>
          <w:noProof/>
          <w:color w:val="000000"/>
          <w:szCs w:val="24"/>
          <w:u w:color="000000"/>
          <w:bdr w:val="nil"/>
          <w:lang w:val="en-US" w:eastAsia="en-GB"/>
        </w:rPr>
        <w:t xml:space="preserve">executive summary and </w:t>
      </w:r>
      <w:r w:rsidRPr="00612981">
        <w:rPr>
          <w:rFonts w:eastAsia="Arial Unicode MS"/>
          <w:noProof/>
          <w:color w:val="000000"/>
          <w:szCs w:val="24"/>
          <w:u w:color="000000"/>
          <w:bdr w:val="nil"/>
          <w:lang w:val="en-US" w:eastAsia="en-GB"/>
        </w:rPr>
        <w:t xml:space="preserve">the positive opinion with reservations of the Regulatory Scrutiny Board </w:t>
      </w:r>
      <w:r w:rsidR="00382FAB" w:rsidRPr="00612981">
        <w:rPr>
          <w:rFonts w:eastAsia="Arial Unicode MS"/>
          <w:noProof/>
          <w:color w:val="000000"/>
          <w:szCs w:val="24"/>
          <w:u w:color="000000"/>
          <w:bdr w:val="nil"/>
          <w:lang w:val="en-US" w:eastAsia="en-GB"/>
        </w:rPr>
        <w:t>will be made public</w:t>
      </w:r>
      <w:r w:rsidRPr="00612981">
        <w:rPr>
          <w:rFonts w:eastAsia="Arial Unicode MS"/>
          <w:noProof/>
          <w:color w:val="000000"/>
          <w:szCs w:val="24"/>
          <w:u w:color="000000"/>
          <w:bdr w:val="nil"/>
          <w:lang w:val="en-US" w:eastAsia="en-GB"/>
        </w:rPr>
        <w:t>.</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 xml:space="preserve">In addition to the </w:t>
      </w:r>
      <w:r w:rsidR="00382FAB" w:rsidRPr="00612981">
        <w:rPr>
          <w:rFonts w:eastAsia="Arial Unicode MS"/>
          <w:noProof/>
          <w:color w:val="000000"/>
          <w:szCs w:val="24"/>
          <w:u w:color="000000"/>
          <w:bdr w:val="nil"/>
          <w:lang w:val="en-US" w:eastAsia="en-GB"/>
        </w:rPr>
        <w:t>impact assessment</w:t>
      </w:r>
      <w:r w:rsidRPr="00612981">
        <w:rPr>
          <w:rFonts w:eastAsia="Arial Unicode MS"/>
          <w:noProof/>
          <w:color w:val="000000"/>
          <w:szCs w:val="24"/>
          <w:u w:color="000000"/>
          <w:bdr w:val="nil"/>
          <w:lang w:val="en-US" w:eastAsia="en-GB"/>
        </w:rPr>
        <w:t xml:space="preserve">, the potential economic, social, human rights and environmental impacts of the FTA will be examined </w:t>
      </w:r>
      <w:r w:rsidR="00382FAB" w:rsidRPr="00612981">
        <w:rPr>
          <w:rFonts w:eastAsia="Arial Unicode MS"/>
          <w:noProof/>
          <w:color w:val="000000"/>
          <w:szCs w:val="24"/>
          <w:u w:color="000000"/>
          <w:bdr w:val="nil"/>
          <w:lang w:val="en-US" w:eastAsia="en-GB"/>
        </w:rPr>
        <w:t>in</w:t>
      </w:r>
      <w:r w:rsidRPr="00612981">
        <w:rPr>
          <w:rFonts w:eastAsia="Arial Unicode MS"/>
          <w:noProof/>
          <w:color w:val="000000"/>
          <w:szCs w:val="24"/>
          <w:u w:color="000000"/>
          <w:bdr w:val="nil"/>
          <w:lang w:val="en-US" w:eastAsia="en-GB"/>
        </w:rPr>
        <w:t xml:space="preserve"> an independent </w:t>
      </w:r>
      <w:r w:rsidR="00E62991">
        <w:rPr>
          <w:rFonts w:eastAsia="Arial Unicode MS"/>
          <w:noProof/>
          <w:color w:val="000000"/>
          <w:szCs w:val="24"/>
          <w:u w:color="000000"/>
          <w:bdr w:val="nil"/>
          <w:lang w:val="en-US" w:eastAsia="en-GB"/>
        </w:rPr>
        <w:t>S</w:t>
      </w:r>
      <w:r w:rsidR="00382FAB" w:rsidRPr="00612981">
        <w:rPr>
          <w:rFonts w:eastAsia="Arial Unicode MS"/>
          <w:noProof/>
          <w:color w:val="000000"/>
          <w:szCs w:val="24"/>
          <w:u w:color="000000"/>
          <w:bdr w:val="nil"/>
          <w:lang w:val="en-US" w:eastAsia="en-GB"/>
        </w:rPr>
        <w:t xml:space="preserve">ustainability </w:t>
      </w:r>
      <w:r w:rsidR="00E62991">
        <w:rPr>
          <w:rFonts w:eastAsia="Arial Unicode MS"/>
          <w:noProof/>
          <w:color w:val="000000"/>
          <w:szCs w:val="24"/>
          <w:u w:color="000000"/>
          <w:bdr w:val="nil"/>
          <w:lang w:val="en-US" w:eastAsia="en-GB"/>
        </w:rPr>
        <w:t>I</w:t>
      </w:r>
      <w:r w:rsidR="00382FAB" w:rsidRPr="00612981">
        <w:rPr>
          <w:rFonts w:eastAsia="Arial Unicode MS"/>
          <w:noProof/>
          <w:color w:val="000000"/>
          <w:szCs w:val="24"/>
          <w:u w:color="000000"/>
          <w:bdr w:val="nil"/>
          <w:lang w:val="en-US" w:eastAsia="en-GB"/>
        </w:rPr>
        <w:t xml:space="preserve">mpact </w:t>
      </w:r>
      <w:r w:rsidR="00E62991">
        <w:rPr>
          <w:rFonts w:eastAsia="Arial Unicode MS"/>
          <w:noProof/>
          <w:color w:val="000000"/>
          <w:szCs w:val="24"/>
          <w:u w:color="000000"/>
          <w:bdr w:val="nil"/>
          <w:lang w:val="en-US" w:eastAsia="en-GB"/>
        </w:rPr>
        <w:t>A</w:t>
      </w:r>
      <w:r w:rsidR="00382FAB" w:rsidRPr="00612981">
        <w:rPr>
          <w:rFonts w:eastAsia="Arial Unicode MS"/>
          <w:noProof/>
          <w:color w:val="000000"/>
          <w:szCs w:val="24"/>
          <w:u w:color="000000"/>
          <w:bdr w:val="nil"/>
          <w:lang w:val="en-US" w:eastAsia="en-GB"/>
        </w:rPr>
        <w:t>ssessment</w:t>
      </w:r>
      <w:r w:rsidRPr="00612981">
        <w:rPr>
          <w:rFonts w:eastAsia="Arial Unicode MS"/>
          <w:noProof/>
          <w:color w:val="000000"/>
          <w:szCs w:val="24"/>
          <w:u w:color="000000"/>
          <w:bdr w:val="nil"/>
          <w:lang w:val="en-US" w:eastAsia="en-GB"/>
        </w:rPr>
        <w:t>, which will be carried out by external consultants</w:t>
      </w:r>
      <w:r w:rsidR="00382FAB" w:rsidRPr="00612981">
        <w:rPr>
          <w:rFonts w:eastAsia="Arial Unicode MS"/>
          <w:noProof/>
          <w:color w:val="000000"/>
          <w:szCs w:val="24"/>
          <w:u w:color="000000"/>
          <w:bdr w:val="nil"/>
          <w:lang w:val="en-US" w:eastAsia="en-GB"/>
        </w:rPr>
        <w:t xml:space="preserve">. The </w:t>
      </w:r>
      <w:r w:rsidR="00E62991">
        <w:rPr>
          <w:rFonts w:eastAsia="Arial Unicode MS"/>
          <w:noProof/>
          <w:color w:val="000000"/>
          <w:szCs w:val="24"/>
          <w:u w:color="000000"/>
          <w:bdr w:val="nil"/>
          <w:lang w:val="en-US" w:eastAsia="en-GB"/>
        </w:rPr>
        <w:t>S</w:t>
      </w:r>
      <w:r w:rsidR="00382FAB" w:rsidRPr="00612981">
        <w:rPr>
          <w:rFonts w:eastAsia="Arial Unicode MS"/>
          <w:noProof/>
          <w:color w:val="000000"/>
          <w:szCs w:val="24"/>
          <w:u w:color="000000"/>
          <w:bdr w:val="nil"/>
          <w:lang w:val="en-US" w:eastAsia="en-GB"/>
        </w:rPr>
        <w:t xml:space="preserve">ustainability </w:t>
      </w:r>
      <w:r w:rsidR="00E62991">
        <w:rPr>
          <w:rFonts w:eastAsia="Arial Unicode MS"/>
          <w:noProof/>
          <w:color w:val="000000"/>
          <w:szCs w:val="24"/>
          <w:u w:color="000000"/>
          <w:bdr w:val="nil"/>
          <w:lang w:val="en-US" w:eastAsia="en-GB"/>
        </w:rPr>
        <w:t>I</w:t>
      </w:r>
      <w:r w:rsidR="00382FAB" w:rsidRPr="00612981">
        <w:rPr>
          <w:rFonts w:eastAsia="Arial Unicode MS"/>
          <w:noProof/>
          <w:color w:val="000000"/>
          <w:szCs w:val="24"/>
          <w:u w:color="000000"/>
          <w:bdr w:val="nil"/>
          <w:lang w:val="en-US" w:eastAsia="en-GB"/>
        </w:rPr>
        <w:t xml:space="preserve">mpact </w:t>
      </w:r>
      <w:r w:rsidR="00E62991">
        <w:rPr>
          <w:rFonts w:eastAsia="Arial Unicode MS"/>
          <w:noProof/>
          <w:color w:val="000000"/>
          <w:szCs w:val="24"/>
          <w:u w:color="000000"/>
          <w:bdr w:val="nil"/>
          <w:lang w:val="en-US" w:eastAsia="en-GB"/>
        </w:rPr>
        <w:t>A</w:t>
      </w:r>
      <w:r w:rsidR="00382FAB" w:rsidRPr="00612981">
        <w:rPr>
          <w:rFonts w:eastAsia="Arial Unicode MS"/>
          <w:noProof/>
          <w:color w:val="000000"/>
          <w:szCs w:val="24"/>
          <w:u w:color="000000"/>
          <w:bdr w:val="nil"/>
          <w:lang w:val="en-US" w:eastAsia="en-GB"/>
        </w:rPr>
        <w:t xml:space="preserve">ssessment will be carried out </w:t>
      </w:r>
      <w:r w:rsidR="0035628C" w:rsidRPr="00612981">
        <w:rPr>
          <w:rFonts w:eastAsia="Arial Unicode MS"/>
          <w:noProof/>
          <w:color w:val="000000"/>
          <w:szCs w:val="24"/>
          <w:u w:color="000000"/>
          <w:bdr w:val="nil"/>
          <w:lang w:val="en-US" w:eastAsia="en-GB"/>
        </w:rPr>
        <w:t>in parallel with</w:t>
      </w:r>
      <w:r w:rsidRPr="00612981">
        <w:rPr>
          <w:rFonts w:eastAsia="Arial Unicode MS"/>
          <w:noProof/>
          <w:color w:val="000000"/>
          <w:szCs w:val="24"/>
          <w:u w:color="000000"/>
          <w:bdr w:val="nil"/>
          <w:lang w:val="en-US" w:eastAsia="en-GB"/>
        </w:rPr>
        <w:t xml:space="preserve"> the </w:t>
      </w:r>
      <w:r w:rsidR="00382FAB" w:rsidRPr="00612981">
        <w:rPr>
          <w:rFonts w:eastAsia="Arial Unicode MS"/>
          <w:noProof/>
          <w:color w:val="000000"/>
          <w:szCs w:val="24"/>
          <w:u w:color="000000"/>
          <w:bdr w:val="nil"/>
          <w:lang w:val="en-US" w:eastAsia="en-GB"/>
        </w:rPr>
        <w:t xml:space="preserve">FTA </w:t>
      </w:r>
      <w:r w:rsidRPr="00612981">
        <w:rPr>
          <w:rFonts w:eastAsia="Arial Unicode MS"/>
          <w:noProof/>
          <w:color w:val="000000"/>
          <w:szCs w:val="24"/>
          <w:u w:color="000000"/>
          <w:bdr w:val="nil"/>
          <w:lang w:val="en-US" w:eastAsia="en-GB"/>
        </w:rPr>
        <w:t>negotiations and will rely on a wide-ranging</w:t>
      </w:r>
      <w:r w:rsidR="00382FAB" w:rsidRPr="00612981">
        <w:rPr>
          <w:rFonts w:eastAsia="Arial Unicode MS"/>
          <w:noProof/>
          <w:color w:val="000000"/>
          <w:szCs w:val="24"/>
          <w:u w:color="000000"/>
          <w:bdr w:val="nil"/>
          <w:lang w:val="en-US" w:eastAsia="en-GB"/>
        </w:rPr>
        <w:t xml:space="preserve"> </w:t>
      </w:r>
      <w:r w:rsidRPr="00612981">
        <w:rPr>
          <w:rFonts w:eastAsia="Arial Unicode MS"/>
          <w:noProof/>
          <w:color w:val="000000"/>
          <w:szCs w:val="24"/>
          <w:u w:color="000000"/>
          <w:bdr w:val="nil"/>
          <w:lang w:val="en-US" w:eastAsia="en-GB"/>
        </w:rPr>
        <w:t xml:space="preserve">consultation of </w:t>
      </w:r>
      <w:r w:rsidR="00382FAB" w:rsidRPr="00612981">
        <w:rPr>
          <w:rFonts w:eastAsia="Arial Unicode MS"/>
          <w:noProof/>
          <w:color w:val="000000"/>
          <w:szCs w:val="24"/>
          <w:u w:color="000000"/>
          <w:bdr w:val="nil"/>
          <w:lang w:val="en-US" w:eastAsia="en-GB"/>
        </w:rPr>
        <w:t>interested parties,</w:t>
      </w:r>
      <w:r w:rsidRPr="00612981">
        <w:rPr>
          <w:rFonts w:eastAsia="Arial Unicode MS"/>
          <w:noProof/>
          <w:color w:val="000000"/>
          <w:szCs w:val="24"/>
          <w:u w:color="000000"/>
          <w:bdr w:val="nil"/>
          <w:lang w:val="en-US" w:eastAsia="en-GB"/>
        </w:rPr>
        <w:t xml:space="preserve"> notably civil society. The </w:t>
      </w:r>
      <w:r w:rsidR="00E62991">
        <w:rPr>
          <w:rFonts w:eastAsia="Arial Unicode MS"/>
          <w:noProof/>
          <w:color w:val="000000"/>
          <w:szCs w:val="24"/>
          <w:u w:color="000000"/>
          <w:bdr w:val="nil"/>
          <w:lang w:val="en-US" w:eastAsia="en-GB"/>
        </w:rPr>
        <w:t>S</w:t>
      </w:r>
      <w:r w:rsidRPr="00612981">
        <w:rPr>
          <w:rFonts w:eastAsia="Arial Unicode MS"/>
          <w:noProof/>
          <w:color w:val="000000"/>
          <w:szCs w:val="24"/>
          <w:u w:color="000000"/>
          <w:bdr w:val="nil"/>
          <w:lang w:val="en-US" w:eastAsia="en-GB"/>
        </w:rPr>
        <w:t xml:space="preserve">ustainability </w:t>
      </w:r>
      <w:r w:rsidR="00E62991">
        <w:rPr>
          <w:rFonts w:eastAsia="Arial Unicode MS"/>
          <w:noProof/>
          <w:color w:val="000000"/>
          <w:szCs w:val="24"/>
          <w:u w:color="000000"/>
          <w:bdr w:val="nil"/>
          <w:lang w:val="en-US" w:eastAsia="en-GB"/>
        </w:rPr>
        <w:t>I</w:t>
      </w:r>
      <w:r w:rsidRPr="00612981">
        <w:rPr>
          <w:rFonts w:eastAsia="Arial Unicode MS"/>
          <w:noProof/>
          <w:color w:val="000000"/>
          <w:szCs w:val="24"/>
          <w:u w:color="000000"/>
          <w:bdr w:val="nil"/>
          <w:lang w:val="en-US" w:eastAsia="en-GB"/>
        </w:rPr>
        <w:t xml:space="preserve">mpact </w:t>
      </w:r>
      <w:r w:rsidR="00E62991">
        <w:rPr>
          <w:rFonts w:eastAsia="Arial Unicode MS"/>
          <w:noProof/>
          <w:color w:val="000000"/>
          <w:szCs w:val="24"/>
          <w:u w:color="000000"/>
          <w:bdr w:val="nil"/>
          <w:lang w:val="en-US" w:eastAsia="en-GB"/>
        </w:rPr>
        <w:t>A</w:t>
      </w:r>
      <w:r w:rsidRPr="00612981">
        <w:rPr>
          <w:rFonts w:eastAsia="Arial Unicode MS"/>
          <w:noProof/>
          <w:color w:val="000000"/>
          <w:szCs w:val="24"/>
          <w:u w:color="000000"/>
          <w:bdr w:val="nil"/>
          <w:lang w:val="en-US" w:eastAsia="en-GB"/>
        </w:rPr>
        <w:t>ssessment will be finalised ahead of the initialling of the FTA and its findings will feed into the negotiating process.</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Regulatory fitness and simplification</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eastAsia="en-GB"/>
        </w:rPr>
      </w:pPr>
      <w:r w:rsidRPr="00612981">
        <w:rPr>
          <w:rFonts w:eastAsia="Arial Unicode MS"/>
          <w:noProof/>
          <w:color w:val="000000"/>
          <w:szCs w:val="24"/>
          <w:u w:color="000000"/>
          <w:bdr w:val="nil"/>
          <w:lang w:val="en-US" w:eastAsia="en-GB"/>
        </w:rPr>
        <w:t>S</w:t>
      </w:r>
      <w:r w:rsidR="008351EC" w:rsidRPr="00612981">
        <w:rPr>
          <w:rFonts w:eastAsia="Arial Unicode MS"/>
          <w:noProof/>
          <w:color w:val="000000"/>
          <w:szCs w:val="24"/>
          <w:u w:color="000000"/>
          <w:bdr w:val="nil"/>
          <w:lang w:val="en-US" w:eastAsia="en-GB"/>
        </w:rPr>
        <w:t>MEs</w:t>
      </w:r>
      <w:r w:rsidRPr="00612981">
        <w:rPr>
          <w:rFonts w:eastAsia="Arial Unicode MS"/>
          <w:noProof/>
          <w:color w:val="000000"/>
          <w:szCs w:val="24"/>
          <w:u w:color="000000"/>
          <w:bdr w:val="nil"/>
          <w:lang w:val="en-US" w:eastAsia="en-GB"/>
        </w:rPr>
        <w:t xml:space="preserve"> should benefit from new </w:t>
      </w:r>
      <w:r w:rsidR="003D4495" w:rsidRPr="00612981">
        <w:rPr>
          <w:rFonts w:eastAsia="Arial Unicode MS"/>
          <w:noProof/>
          <w:color w:val="000000"/>
          <w:szCs w:val="24"/>
          <w:u w:color="000000"/>
          <w:bdr w:val="nil"/>
          <w:lang w:val="en-US" w:eastAsia="en-GB"/>
        </w:rPr>
        <w:t>business</w:t>
      </w:r>
      <w:r w:rsidRPr="00612981">
        <w:rPr>
          <w:rFonts w:eastAsia="Arial Unicode MS"/>
          <w:noProof/>
          <w:color w:val="000000"/>
          <w:szCs w:val="24"/>
          <w:u w:color="000000"/>
          <w:bdr w:val="nil"/>
          <w:lang w:val="en-US" w:eastAsia="en-GB"/>
        </w:rPr>
        <w:t xml:space="preserve"> opportunities and </w:t>
      </w:r>
      <w:r w:rsidR="00382FAB" w:rsidRPr="00612981">
        <w:rPr>
          <w:rFonts w:eastAsia="Arial Unicode MS"/>
          <w:noProof/>
          <w:color w:val="000000"/>
          <w:szCs w:val="24"/>
          <w:u w:color="000000"/>
          <w:bdr w:val="nil"/>
          <w:lang w:val="en-US" w:eastAsia="en-GB"/>
        </w:rPr>
        <w:t xml:space="preserve">see </w:t>
      </w:r>
      <w:r w:rsidRPr="00612981">
        <w:rPr>
          <w:rFonts w:eastAsia="Arial Unicode MS"/>
          <w:noProof/>
          <w:color w:val="000000"/>
          <w:szCs w:val="24"/>
          <w:u w:color="000000"/>
          <w:bdr w:val="nil"/>
          <w:lang w:val="en-US" w:eastAsia="en-GB"/>
        </w:rPr>
        <w:t xml:space="preserve">savings </w:t>
      </w:r>
      <w:r w:rsidR="00382FAB" w:rsidRPr="00612981">
        <w:rPr>
          <w:rFonts w:eastAsia="Arial Unicode MS"/>
          <w:noProof/>
          <w:color w:val="000000"/>
          <w:szCs w:val="24"/>
          <w:u w:color="000000"/>
          <w:bdr w:val="nil"/>
          <w:lang w:val="en-US" w:eastAsia="en-GB"/>
        </w:rPr>
        <w:t xml:space="preserve">under the FTA </w:t>
      </w:r>
      <w:r w:rsidRPr="00612981">
        <w:rPr>
          <w:rFonts w:eastAsia="Arial Unicode MS"/>
          <w:noProof/>
          <w:color w:val="000000"/>
          <w:szCs w:val="24"/>
          <w:u w:color="000000"/>
          <w:bdr w:val="nil"/>
          <w:lang w:val="en-US" w:eastAsia="en-GB"/>
        </w:rPr>
        <w:t>due to liberalisation</w:t>
      </w:r>
      <w:r w:rsidR="00382FAB" w:rsidRPr="00612981">
        <w:rPr>
          <w:rFonts w:eastAsia="Arial Unicode MS"/>
          <w:noProof/>
          <w:color w:val="000000"/>
          <w:szCs w:val="24"/>
          <w:u w:color="000000"/>
          <w:bdr w:val="nil"/>
          <w:lang w:val="en-US" w:eastAsia="en-GB"/>
        </w:rPr>
        <w:t xml:space="preserve">, </w:t>
      </w:r>
      <w:r w:rsidRPr="00612981">
        <w:rPr>
          <w:rFonts w:eastAsia="Arial Unicode MS"/>
          <w:noProof/>
          <w:color w:val="000000"/>
          <w:szCs w:val="24"/>
          <w:u w:color="000000"/>
          <w:bdr w:val="nil"/>
          <w:lang w:val="en-US" w:eastAsia="en-GB"/>
        </w:rPr>
        <w:t>enhanced legal framework, improv</w:t>
      </w:r>
      <w:r w:rsidR="00382FAB" w:rsidRPr="00612981">
        <w:rPr>
          <w:rFonts w:eastAsia="Arial Unicode MS"/>
          <w:noProof/>
          <w:color w:val="000000"/>
          <w:szCs w:val="24"/>
          <w:u w:color="000000"/>
          <w:bdr w:val="nil"/>
          <w:lang w:val="en-US" w:eastAsia="en-GB"/>
        </w:rPr>
        <w:t>ed</w:t>
      </w:r>
      <w:r w:rsidRPr="00612981">
        <w:rPr>
          <w:rFonts w:eastAsia="Arial Unicode MS"/>
          <w:noProof/>
          <w:color w:val="000000"/>
          <w:szCs w:val="24"/>
          <w:u w:color="000000"/>
          <w:bdr w:val="nil"/>
          <w:lang w:val="en-US" w:eastAsia="en-GB"/>
        </w:rPr>
        <w:t xml:space="preserve"> customs procedures, and increas</w:t>
      </w:r>
      <w:r w:rsidR="00382FAB" w:rsidRPr="00612981">
        <w:rPr>
          <w:rFonts w:eastAsia="Arial Unicode MS"/>
          <w:noProof/>
          <w:color w:val="000000"/>
          <w:szCs w:val="24"/>
          <w:u w:color="000000"/>
          <w:bdr w:val="nil"/>
          <w:lang w:val="en-US" w:eastAsia="en-GB"/>
        </w:rPr>
        <w:t>ed</w:t>
      </w:r>
      <w:r w:rsidRPr="00612981">
        <w:rPr>
          <w:rFonts w:eastAsia="Arial Unicode MS"/>
          <w:noProof/>
          <w:color w:val="000000"/>
          <w:szCs w:val="24"/>
          <w:u w:color="000000"/>
          <w:bdr w:val="nil"/>
          <w:lang w:val="en-US" w:eastAsia="en-GB"/>
        </w:rPr>
        <w:t xml:space="preserve"> regulatory transparency. The </w:t>
      </w:r>
      <w:r w:rsidR="00E62991">
        <w:rPr>
          <w:rFonts w:eastAsia="Arial Unicode MS"/>
          <w:noProof/>
          <w:color w:val="000000"/>
          <w:szCs w:val="24"/>
          <w:u w:color="000000"/>
          <w:bdr w:val="nil"/>
          <w:lang w:val="en-US" w:eastAsia="en-GB"/>
        </w:rPr>
        <w:t>I</w:t>
      </w:r>
      <w:r w:rsidR="00382FAB" w:rsidRPr="00612981">
        <w:rPr>
          <w:rFonts w:eastAsia="Arial Unicode MS"/>
          <w:noProof/>
          <w:color w:val="000000"/>
          <w:szCs w:val="24"/>
          <w:u w:color="000000"/>
          <w:bdr w:val="nil"/>
          <w:lang w:val="en-US" w:eastAsia="en-GB"/>
        </w:rPr>
        <w:t xml:space="preserve">mpact </w:t>
      </w:r>
      <w:r w:rsidR="00E62991">
        <w:rPr>
          <w:rFonts w:eastAsia="Arial Unicode MS"/>
          <w:noProof/>
          <w:color w:val="000000"/>
          <w:szCs w:val="24"/>
          <w:u w:color="000000"/>
          <w:bdr w:val="nil"/>
          <w:lang w:val="en-US" w:eastAsia="en-GB"/>
        </w:rPr>
        <w:t>A</w:t>
      </w:r>
      <w:r w:rsidR="00382FAB" w:rsidRPr="00612981">
        <w:rPr>
          <w:rFonts w:eastAsia="Arial Unicode MS"/>
          <w:noProof/>
          <w:color w:val="000000"/>
          <w:szCs w:val="24"/>
          <w:u w:color="000000"/>
          <w:bdr w:val="nil"/>
          <w:lang w:val="en-US" w:eastAsia="en-GB"/>
        </w:rPr>
        <w:t xml:space="preserve">ssessment </w:t>
      </w:r>
      <w:r w:rsidR="00E62991">
        <w:rPr>
          <w:rFonts w:eastAsia="Arial Unicode MS"/>
          <w:noProof/>
          <w:color w:val="000000"/>
          <w:szCs w:val="24"/>
          <w:u w:color="000000"/>
          <w:bdr w:val="nil"/>
          <w:lang w:val="en-US" w:eastAsia="en-GB"/>
        </w:rPr>
        <w:t>R</w:t>
      </w:r>
      <w:r w:rsidR="00382FAB" w:rsidRPr="00612981">
        <w:rPr>
          <w:rFonts w:eastAsia="Arial Unicode MS"/>
          <w:noProof/>
          <w:color w:val="000000"/>
          <w:szCs w:val="24"/>
          <w:u w:color="000000"/>
          <w:bdr w:val="nil"/>
          <w:lang w:val="en-US" w:eastAsia="en-GB"/>
        </w:rPr>
        <w:t xml:space="preserve">eport </w:t>
      </w:r>
      <w:r w:rsidRPr="00612981">
        <w:rPr>
          <w:rFonts w:eastAsia="Arial Unicode MS"/>
          <w:noProof/>
          <w:color w:val="000000"/>
          <w:szCs w:val="24"/>
          <w:u w:color="000000"/>
          <w:bdr w:val="nil"/>
          <w:lang w:val="en-US" w:eastAsia="en-GB"/>
        </w:rPr>
        <w:t>contains detailed information on the potential impacts on stakeholders and economic sectors.</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Fundamental rights</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 xml:space="preserve">The </w:t>
      </w:r>
      <w:r w:rsidR="00E62991">
        <w:rPr>
          <w:rFonts w:eastAsia="Arial Unicode MS"/>
          <w:noProof/>
          <w:color w:val="000000"/>
          <w:szCs w:val="24"/>
          <w:u w:color="000000"/>
          <w:bdr w:val="nil"/>
          <w:lang w:val="en-US" w:eastAsia="en-GB"/>
        </w:rPr>
        <w:t>I</w:t>
      </w:r>
      <w:r w:rsidR="00382FAB" w:rsidRPr="00612981">
        <w:rPr>
          <w:rFonts w:eastAsia="Arial Unicode MS"/>
          <w:noProof/>
          <w:color w:val="000000"/>
          <w:szCs w:val="24"/>
          <w:u w:color="000000"/>
          <w:bdr w:val="nil"/>
          <w:lang w:val="en-US" w:eastAsia="en-GB"/>
        </w:rPr>
        <w:t xml:space="preserve">mpact </w:t>
      </w:r>
      <w:r w:rsidR="00E62991">
        <w:rPr>
          <w:rFonts w:eastAsia="Arial Unicode MS"/>
          <w:noProof/>
          <w:color w:val="000000"/>
          <w:szCs w:val="24"/>
          <w:u w:color="000000"/>
          <w:bdr w:val="nil"/>
          <w:lang w:val="en-US" w:eastAsia="en-GB"/>
        </w:rPr>
        <w:t>A</w:t>
      </w:r>
      <w:r w:rsidR="00382FAB" w:rsidRPr="00612981">
        <w:rPr>
          <w:rFonts w:eastAsia="Arial Unicode MS"/>
          <w:noProof/>
          <w:color w:val="000000"/>
          <w:szCs w:val="24"/>
          <w:u w:color="000000"/>
          <w:bdr w:val="nil"/>
          <w:lang w:val="en-US" w:eastAsia="en-GB"/>
        </w:rPr>
        <w:t xml:space="preserve">ssessment </w:t>
      </w:r>
      <w:r w:rsidR="00E62991">
        <w:rPr>
          <w:rFonts w:eastAsia="Arial Unicode MS"/>
          <w:noProof/>
          <w:color w:val="000000"/>
          <w:szCs w:val="24"/>
          <w:u w:color="000000"/>
          <w:bdr w:val="nil"/>
          <w:lang w:val="en-US" w:eastAsia="en-GB"/>
        </w:rPr>
        <w:t>R</w:t>
      </w:r>
      <w:r w:rsidR="00382FAB" w:rsidRPr="00612981">
        <w:rPr>
          <w:rFonts w:eastAsia="Arial Unicode MS"/>
          <w:noProof/>
          <w:color w:val="000000"/>
          <w:szCs w:val="24"/>
          <w:u w:color="000000"/>
          <w:bdr w:val="nil"/>
          <w:lang w:val="en-US" w:eastAsia="en-GB"/>
        </w:rPr>
        <w:t xml:space="preserve">eport </w:t>
      </w:r>
      <w:r w:rsidRPr="00612981">
        <w:rPr>
          <w:rFonts w:eastAsia="Arial Unicode MS"/>
          <w:noProof/>
          <w:color w:val="000000"/>
          <w:szCs w:val="24"/>
          <w:u w:color="000000"/>
          <w:bdr w:val="nil"/>
          <w:lang w:val="en-US" w:eastAsia="en-GB"/>
        </w:rPr>
        <w:t xml:space="preserve">addresses the issues of fundamental rights under social, environmental and human rights aspects. </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 xml:space="preserve">The FTA should contain a chapter on Trade and Sustainable Development in line with established EU policy. </w:t>
      </w:r>
    </w:p>
    <w:p w:rsidR="002B1B13" w:rsidRPr="00612981" w:rsidRDefault="002B1B13" w:rsidP="00113637">
      <w:pPr>
        <w:pStyle w:val="ManualHeading1"/>
        <w:rPr>
          <w:rFonts w:eastAsia="Arial Unicode MS"/>
          <w:b w:val="0"/>
          <w:noProof/>
          <w:color w:val="000000"/>
          <w:szCs w:val="24"/>
          <w:u w:color="000000"/>
          <w:bdr w:val="nil"/>
          <w:lang w:val="en-US" w:eastAsia="en-GB"/>
        </w:rPr>
      </w:pPr>
      <w:r w:rsidRPr="00612981">
        <w:rPr>
          <w:rFonts w:eastAsia="Arial Unicode MS"/>
          <w:noProof/>
          <w:color w:val="000000"/>
          <w:szCs w:val="24"/>
          <w:u w:color="000000"/>
          <w:bdr w:val="nil"/>
          <w:lang w:val="en-US" w:eastAsia="en-GB"/>
        </w:rPr>
        <w:t>4.</w:t>
      </w:r>
      <w:r w:rsidRPr="00612981">
        <w:rPr>
          <w:rFonts w:eastAsia="Arial Unicode MS"/>
          <w:noProof/>
          <w:color w:val="000000"/>
          <w:szCs w:val="24"/>
          <w:u w:color="000000"/>
          <w:bdr w:val="nil"/>
          <w:lang w:val="en-US" w:eastAsia="en-GB"/>
        </w:rPr>
        <w:tab/>
        <w:t>BUDGETARY IMPLICATIONS</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The FTA will have limited negative impact on the budget of the EU in the form of customs duties due to tariff liberalisation. Indirect positive impacts are expected in terms of increases</w:t>
      </w:r>
      <w:r w:rsidR="008F29D7" w:rsidRPr="00612981">
        <w:rPr>
          <w:rFonts w:eastAsia="Arial Unicode MS"/>
          <w:noProof/>
          <w:color w:val="000000"/>
          <w:szCs w:val="24"/>
          <w:u w:color="000000"/>
          <w:bdr w:val="nil"/>
          <w:lang w:val="en-US" w:eastAsia="en-GB"/>
        </w:rPr>
        <w:t xml:space="preserve"> </w:t>
      </w:r>
      <w:r w:rsidR="00382FAB" w:rsidRPr="00612981">
        <w:rPr>
          <w:rFonts w:eastAsia="Arial Unicode MS"/>
          <w:noProof/>
          <w:color w:val="000000"/>
          <w:szCs w:val="24"/>
          <w:u w:color="000000"/>
          <w:bdr w:val="nil"/>
          <w:lang w:val="en-US" w:eastAsia="en-GB"/>
        </w:rPr>
        <w:t xml:space="preserve">in </w:t>
      </w:r>
      <w:r w:rsidRPr="00612981">
        <w:rPr>
          <w:rFonts w:eastAsia="Arial Unicode MS"/>
          <w:noProof/>
          <w:color w:val="000000"/>
          <w:szCs w:val="24"/>
          <w:u w:color="000000"/>
          <w:bdr w:val="nil"/>
          <w:lang w:val="en-US" w:eastAsia="en-GB"/>
        </w:rPr>
        <w:t>resources linked to value added tax and gross national income.</w:t>
      </w:r>
    </w:p>
    <w:p w:rsidR="002B1B13" w:rsidRPr="00612981" w:rsidRDefault="002B1B13" w:rsidP="00113637">
      <w:pPr>
        <w:pStyle w:val="ManualHeading1"/>
        <w:rPr>
          <w:rFonts w:eastAsia="Arial Unicode MS"/>
          <w:b w:val="0"/>
          <w:noProof/>
          <w:color w:val="000000"/>
          <w:szCs w:val="24"/>
          <w:u w:color="000000"/>
          <w:bdr w:val="nil"/>
          <w:lang w:val="en-US" w:eastAsia="en-GB"/>
        </w:rPr>
      </w:pPr>
      <w:r w:rsidRPr="00612981">
        <w:rPr>
          <w:rFonts w:eastAsia="Arial Unicode MS"/>
          <w:noProof/>
          <w:color w:val="000000"/>
          <w:szCs w:val="24"/>
          <w:u w:color="000000"/>
          <w:bdr w:val="nil"/>
          <w:lang w:val="en-US" w:eastAsia="en-GB"/>
        </w:rPr>
        <w:t>5.</w:t>
      </w:r>
      <w:r w:rsidRPr="00612981">
        <w:rPr>
          <w:rFonts w:eastAsia="Arial Unicode MS"/>
          <w:noProof/>
          <w:color w:val="000000"/>
          <w:szCs w:val="24"/>
          <w:u w:color="000000"/>
          <w:bdr w:val="nil"/>
          <w:lang w:val="en-US" w:eastAsia="en-GB"/>
        </w:rPr>
        <w:tab/>
        <w:t>OTHER ELEMENTS</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Implementation plans and monitoring, evaluation and reporting arrangements</w:t>
      </w:r>
    </w:p>
    <w:p w:rsidR="002B1B13" w:rsidRPr="00612981" w:rsidRDefault="002B1B13" w:rsidP="002B1B13">
      <w:pPr>
        <w:pBdr>
          <w:top w:val="nil"/>
          <w:left w:val="nil"/>
          <w:bottom w:val="nil"/>
          <w:right w:val="nil"/>
          <w:between w:val="nil"/>
          <w:bar w:val="nil"/>
        </w:pBdr>
        <w:spacing w:after="240"/>
        <w:rPr>
          <w:rFonts w:eastAsia="Arial Unicode MS"/>
          <w:szCs w:val="24"/>
        </w:rPr>
      </w:pPr>
      <w:r w:rsidRPr="00612981">
        <w:rPr>
          <w:szCs w:val="24"/>
        </w:rPr>
        <w:t xml:space="preserve">In line with the commitment made in the 2015 </w:t>
      </w:r>
      <w:r w:rsidR="00382FAB" w:rsidRPr="00612981">
        <w:rPr>
          <w:szCs w:val="24"/>
        </w:rPr>
        <w:t>'</w:t>
      </w:r>
      <w:r w:rsidRPr="00612981">
        <w:rPr>
          <w:szCs w:val="24"/>
        </w:rPr>
        <w:t>Trade for All</w:t>
      </w:r>
      <w:r w:rsidR="008351EC" w:rsidRPr="00612981">
        <w:rPr>
          <w:szCs w:val="24"/>
        </w:rPr>
        <w:t>'</w:t>
      </w:r>
      <w:r w:rsidRPr="00612981">
        <w:rPr>
          <w:i/>
          <w:szCs w:val="24"/>
        </w:rPr>
        <w:t xml:space="preserve"> </w:t>
      </w:r>
      <w:r w:rsidR="008351EC" w:rsidRPr="00612981">
        <w:rPr>
          <w:szCs w:val="24"/>
        </w:rPr>
        <w:t>Communication</w:t>
      </w:r>
      <w:r w:rsidRPr="00612981">
        <w:rPr>
          <w:szCs w:val="24"/>
        </w:rPr>
        <w:t xml:space="preserve">, there will be an in-depth </w:t>
      </w:r>
      <w:r w:rsidRPr="00612981">
        <w:rPr>
          <w:i/>
          <w:szCs w:val="24"/>
        </w:rPr>
        <w:t>ex-post</w:t>
      </w:r>
      <w:r w:rsidRPr="00612981">
        <w:rPr>
          <w:szCs w:val="24"/>
        </w:rPr>
        <w:t xml:space="preserve"> evaluation of the effects of the </w:t>
      </w:r>
      <w:r w:rsidRPr="00612981">
        <w:rPr>
          <w:rFonts w:eastAsia="Calibri"/>
          <w:color w:val="000000"/>
          <w:szCs w:val="24"/>
          <w:lang w:val="en-US"/>
        </w:rPr>
        <w:t xml:space="preserve">FTA to be </w:t>
      </w:r>
      <w:r w:rsidRPr="00612981">
        <w:rPr>
          <w:szCs w:val="24"/>
        </w:rPr>
        <w:t xml:space="preserve">concluded with Australia when it will have been in force for sufficient time to ensure availability of meaningful data. The </w:t>
      </w:r>
      <w:r w:rsidR="00E62991">
        <w:rPr>
          <w:szCs w:val="24"/>
        </w:rPr>
        <w:t>I</w:t>
      </w:r>
      <w:r w:rsidR="00382FAB" w:rsidRPr="00612981">
        <w:rPr>
          <w:szCs w:val="24"/>
        </w:rPr>
        <w:t xml:space="preserve">mpact </w:t>
      </w:r>
      <w:r w:rsidR="00E62991">
        <w:rPr>
          <w:szCs w:val="24"/>
        </w:rPr>
        <w:t>A</w:t>
      </w:r>
      <w:r w:rsidR="00382FAB" w:rsidRPr="00612981">
        <w:rPr>
          <w:szCs w:val="24"/>
        </w:rPr>
        <w:t xml:space="preserve">ssessment </w:t>
      </w:r>
      <w:r w:rsidR="00E62991">
        <w:rPr>
          <w:szCs w:val="24"/>
        </w:rPr>
        <w:t>R</w:t>
      </w:r>
      <w:r w:rsidR="00382FAB" w:rsidRPr="00612981">
        <w:rPr>
          <w:szCs w:val="24"/>
        </w:rPr>
        <w:t xml:space="preserve">eport </w:t>
      </w:r>
      <w:r w:rsidRPr="00612981">
        <w:rPr>
          <w:szCs w:val="24"/>
        </w:rPr>
        <w:t xml:space="preserve">contains detailed information on the envisaged monitoring and evaluation arrangements. </w:t>
      </w:r>
    </w:p>
    <w:p w:rsidR="002B1B13" w:rsidRPr="00612981" w:rsidRDefault="002B1B13" w:rsidP="00113637">
      <w:pPr>
        <w:pStyle w:val="Bullet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Explanatory documents (for directives)</w:t>
      </w:r>
    </w:p>
    <w:p w:rsidR="002B1B13" w:rsidRPr="00612981" w:rsidRDefault="002B1B13" w:rsidP="002B1B13">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Not applicable.</w:t>
      </w:r>
    </w:p>
    <w:p w:rsidR="002B1B13" w:rsidRPr="00612981" w:rsidRDefault="002B1B13" w:rsidP="002B1B13">
      <w:pPr>
        <w:pBdr>
          <w:top w:val="nil"/>
          <w:left w:val="nil"/>
          <w:bottom w:val="nil"/>
          <w:right w:val="nil"/>
          <w:between w:val="nil"/>
          <w:bar w:val="nil"/>
        </w:pBdr>
        <w:spacing w:after="240"/>
        <w:rPr>
          <w:rFonts w:eastAsia="Arial Unicode MS"/>
          <w:b/>
          <w:noProof/>
          <w:color w:val="000000"/>
          <w:szCs w:val="24"/>
          <w:u w:color="000000"/>
          <w:bdr w:val="nil"/>
          <w:lang w:val="en-US" w:eastAsia="en-GB"/>
        </w:rPr>
      </w:pPr>
      <w:r w:rsidRPr="00612981">
        <w:rPr>
          <w:rFonts w:eastAsia="Arial Unicode MS"/>
          <w:b/>
          <w:noProof/>
          <w:color w:val="000000"/>
          <w:szCs w:val="24"/>
          <w:u w:color="000000"/>
          <w:bdr w:val="nil"/>
          <w:lang w:val="en-US" w:eastAsia="en-GB"/>
        </w:rPr>
        <w:t>•</w:t>
      </w:r>
      <w:r w:rsidRPr="00612981">
        <w:rPr>
          <w:rFonts w:eastAsia="Arial Unicode MS"/>
          <w:b/>
          <w:noProof/>
          <w:color w:val="000000"/>
          <w:szCs w:val="24"/>
          <w:u w:color="000000"/>
          <w:bdr w:val="nil"/>
          <w:lang w:val="en-US" w:eastAsia="en-GB"/>
        </w:rPr>
        <w:tab/>
        <w:t>Detailed explanation of the specific provisions of the proposal</w:t>
      </w:r>
    </w:p>
    <w:p w:rsidR="002B1B13" w:rsidRPr="00612981" w:rsidRDefault="002B1B13" w:rsidP="002B1B13">
      <w:pPr>
        <w:spacing w:after="240"/>
        <w:rPr>
          <w:rFonts w:eastAsia="Arial Unicode MS"/>
          <w:noProof/>
          <w:color w:val="000000"/>
          <w:szCs w:val="24"/>
          <w:u w:color="000000"/>
          <w:bdr w:val="nil"/>
          <w:lang w:val="en-US" w:eastAsia="en-GB"/>
        </w:rPr>
      </w:pPr>
      <w:r w:rsidRPr="00612981">
        <w:rPr>
          <w:rFonts w:eastAsia="Arial Unicode MS"/>
          <w:noProof/>
          <w:color w:val="000000"/>
          <w:szCs w:val="24"/>
          <w:u w:color="000000"/>
          <w:bdr w:val="nil"/>
          <w:lang w:val="en-US" w:eastAsia="en-GB"/>
        </w:rPr>
        <w:t>Not applicable.</w:t>
      </w:r>
    </w:p>
    <w:p w:rsidR="002B1B13" w:rsidRPr="00612981" w:rsidRDefault="002B1B13" w:rsidP="00113637">
      <w:pPr>
        <w:pStyle w:val="Bullet0"/>
        <w:rPr>
          <w:noProof/>
          <w:szCs w:val="24"/>
          <w:lang w:val="en-US"/>
        </w:rPr>
      </w:pPr>
      <w:r w:rsidRPr="00612981">
        <w:rPr>
          <w:rFonts w:eastAsia="Arial Unicode MS"/>
          <w:b/>
          <w:noProof/>
          <w:color w:val="000000"/>
          <w:szCs w:val="24"/>
          <w:u w:color="000000"/>
          <w:bdr w:val="nil"/>
          <w:lang w:val="en-US" w:eastAsia="en-GB"/>
        </w:rPr>
        <w:t>Procedural aspects</w:t>
      </w:r>
    </w:p>
    <w:p w:rsidR="002B1B13" w:rsidRPr="00612981" w:rsidRDefault="002B1B13" w:rsidP="002B1B13">
      <w:pPr>
        <w:spacing w:after="240"/>
        <w:rPr>
          <w:noProof/>
          <w:szCs w:val="24"/>
        </w:rPr>
      </w:pPr>
      <w:r w:rsidRPr="00612981">
        <w:rPr>
          <w:noProof/>
          <w:szCs w:val="24"/>
        </w:rPr>
        <w:t xml:space="preserve">The Commission will negotiate for the </w:t>
      </w:r>
      <w:r w:rsidR="00382FAB" w:rsidRPr="00612981">
        <w:rPr>
          <w:noProof/>
          <w:szCs w:val="24"/>
        </w:rPr>
        <w:t>E</w:t>
      </w:r>
      <w:r w:rsidRPr="00612981">
        <w:rPr>
          <w:noProof/>
          <w:szCs w:val="24"/>
        </w:rPr>
        <w:t>U.</w:t>
      </w:r>
    </w:p>
    <w:p w:rsidR="002B1B13" w:rsidRPr="00612981" w:rsidRDefault="002B1B13" w:rsidP="003C328C">
      <w:pPr>
        <w:spacing w:after="240"/>
        <w:rPr>
          <w:noProof/>
          <w:szCs w:val="24"/>
        </w:rPr>
      </w:pPr>
      <w:r w:rsidRPr="00612981">
        <w:rPr>
          <w:noProof/>
          <w:szCs w:val="24"/>
        </w:rPr>
        <w:t>In accordance with Article 218(4) T</w:t>
      </w:r>
      <w:r w:rsidR="008351EC" w:rsidRPr="00612981">
        <w:rPr>
          <w:noProof/>
          <w:szCs w:val="24"/>
        </w:rPr>
        <w:t>FEU</w:t>
      </w:r>
      <w:r w:rsidRPr="00612981">
        <w:rPr>
          <w:noProof/>
          <w:szCs w:val="24"/>
        </w:rPr>
        <w:t xml:space="preserve">, it is suggested that the Council </w:t>
      </w:r>
      <w:r w:rsidR="0035628C" w:rsidRPr="00612981">
        <w:rPr>
          <w:noProof/>
          <w:szCs w:val="24"/>
        </w:rPr>
        <w:t xml:space="preserve">of the European Union </w:t>
      </w:r>
      <w:r w:rsidRPr="00612981">
        <w:rPr>
          <w:noProof/>
          <w:szCs w:val="24"/>
        </w:rPr>
        <w:t xml:space="preserve">designates the Trade Policy Committee as the committee in consultation with which the negotiations must be conducted. </w:t>
      </w:r>
    </w:p>
    <w:p w:rsidR="002B1B13" w:rsidRPr="00612981" w:rsidRDefault="002B1B13" w:rsidP="002B1B13">
      <w:pPr>
        <w:spacing w:after="240"/>
        <w:rPr>
          <w:noProof/>
          <w:szCs w:val="24"/>
        </w:rPr>
      </w:pPr>
      <w:r w:rsidRPr="00612981">
        <w:rPr>
          <w:noProof/>
          <w:szCs w:val="24"/>
        </w:rPr>
        <w:t>The European Parliament will be informed at all stages of the procedure, in line with Article 218(10) TFEU.</w:t>
      </w:r>
    </w:p>
    <w:p w:rsidR="002B1B13" w:rsidRPr="00612981" w:rsidRDefault="002B1B13" w:rsidP="00113637">
      <w:pPr>
        <w:rPr>
          <w:lang w:eastAsia="zh-CN"/>
        </w:rPr>
      </w:pPr>
      <w:r w:rsidRPr="00612981">
        <w:rPr>
          <w:lang w:eastAsia="zh-CN"/>
        </w:rPr>
        <w:t xml:space="preserve">The Commission welcomes the fact that the </w:t>
      </w:r>
      <w:r w:rsidR="006F5D0C">
        <w:rPr>
          <w:lang w:eastAsia="zh-CN"/>
        </w:rPr>
        <w:t>M</w:t>
      </w:r>
      <w:r w:rsidR="00382FAB" w:rsidRPr="00612981">
        <w:rPr>
          <w:lang w:eastAsia="zh-CN"/>
        </w:rPr>
        <w:t xml:space="preserve">embers </w:t>
      </w:r>
      <w:r w:rsidRPr="00612981">
        <w:rPr>
          <w:lang w:eastAsia="zh-CN"/>
        </w:rPr>
        <w:t xml:space="preserve">of the Council of the European Union are increasingly engaging at an early stage with their parliaments on trade negotiations in line with their institutional practices. It encourages the </w:t>
      </w:r>
      <w:r w:rsidR="006F5D0C">
        <w:rPr>
          <w:lang w:eastAsia="zh-CN"/>
        </w:rPr>
        <w:t>M</w:t>
      </w:r>
      <w:r w:rsidR="00382FAB" w:rsidRPr="00612981">
        <w:rPr>
          <w:lang w:eastAsia="zh-CN"/>
        </w:rPr>
        <w:t xml:space="preserve">embers </w:t>
      </w:r>
      <w:r w:rsidRPr="00612981">
        <w:rPr>
          <w:lang w:eastAsia="zh-CN"/>
        </w:rPr>
        <w:t>of the Council of the European Union to do the same with regard to this Recommendation for a Council decision having due regard to Council Decision 2013/488/EU</w:t>
      </w:r>
      <w:r w:rsidR="0035628C" w:rsidRPr="00612981">
        <w:rPr>
          <w:lang w:eastAsia="zh-CN"/>
        </w:rPr>
        <w:t xml:space="preserve"> on the security rules for protecting EU classified information</w:t>
      </w:r>
      <w:r w:rsidR="008351EC" w:rsidRPr="00612981">
        <w:rPr>
          <w:rStyle w:val="FootnoteReference"/>
          <w:rFonts w:eastAsia="SimSun"/>
          <w:iCs/>
          <w:lang w:eastAsia="zh-CN"/>
        </w:rPr>
        <w:footnoteReference w:id="17"/>
      </w:r>
      <w:r w:rsidRPr="00612981">
        <w:rPr>
          <w:lang w:eastAsia="zh-CN"/>
        </w:rPr>
        <w:t>.</w:t>
      </w:r>
    </w:p>
    <w:p w:rsidR="00052848" w:rsidRDefault="002B1B13" w:rsidP="002B1B13">
      <w:pPr>
        <w:spacing w:after="240"/>
        <w:rPr>
          <w:noProof/>
          <w:szCs w:val="24"/>
        </w:rPr>
      </w:pPr>
      <w:r w:rsidRPr="00612981">
        <w:rPr>
          <w:noProof/>
          <w:szCs w:val="24"/>
        </w:rPr>
        <w:t xml:space="preserve">The Commission will inform Australia of the EU's internal </w:t>
      </w:r>
      <w:r w:rsidR="00382FAB" w:rsidRPr="00612981">
        <w:rPr>
          <w:noProof/>
          <w:szCs w:val="24"/>
        </w:rPr>
        <w:t>rules on</w:t>
      </w:r>
      <w:r w:rsidRPr="00612981">
        <w:rPr>
          <w:noProof/>
          <w:szCs w:val="24"/>
        </w:rPr>
        <w:t xml:space="preserve"> transparency and access </w:t>
      </w:r>
      <w:r w:rsidR="00382FAB" w:rsidRPr="00612981">
        <w:rPr>
          <w:noProof/>
          <w:szCs w:val="24"/>
        </w:rPr>
        <w:t xml:space="preserve">by </w:t>
      </w:r>
      <w:r w:rsidRPr="00612981">
        <w:rPr>
          <w:noProof/>
          <w:szCs w:val="24"/>
        </w:rPr>
        <w:t xml:space="preserve">the Council </w:t>
      </w:r>
      <w:r w:rsidR="00382FAB" w:rsidRPr="00612981">
        <w:rPr>
          <w:noProof/>
          <w:szCs w:val="24"/>
        </w:rPr>
        <w:t xml:space="preserve">of the European Union </w:t>
      </w:r>
      <w:r w:rsidRPr="00612981">
        <w:rPr>
          <w:noProof/>
          <w:szCs w:val="24"/>
        </w:rPr>
        <w:t>and the European Parliament to negotiating documents.</w:t>
      </w:r>
    </w:p>
    <w:p w:rsidR="00052848" w:rsidRPr="00612981" w:rsidRDefault="00052848" w:rsidP="002B1B13">
      <w:pPr>
        <w:spacing w:after="240"/>
        <w:rPr>
          <w:noProof/>
          <w:szCs w:val="24"/>
        </w:rPr>
      </w:pPr>
      <w:r>
        <w:rPr>
          <w:noProof/>
          <w:szCs w:val="24"/>
        </w:rPr>
        <w:t xml:space="preserve">The Commission makes this Recommendation and its Attachment public immediately after its adoption. </w:t>
      </w:r>
    </w:p>
    <w:p w:rsidR="002B1B13" w:rsidRPr="00612981" w:rsidRDefault="002B1B13" w:rsidP="002B1B13">
      <w:pPr>
        <w:spacing w:after="240"/>
        <w:rPr>
          <w:noProof/>
          <w:szCs w:val="24"/>
        </w:rPr>
      </w:pPr>
      <w:r w:rsidRPr="00F61B1E">
        <w:rPr>
          <w:noProof/>
          <w:szCs w:val="24"/>
        </w:rPr>
        <w:t>The Commission recommends that the negotiating directives be made public immediately after their adoption.</w:t>
      </w:r>
    </w:p>
    <w:p w:rsidR="00EC69EB" w:rsidRPr="00612981" w:rsidRDefault="00EC69EB" w:rsidP="002B1B13">
      <w:pPr>
        <w:rPr>
          <w:noProof/>
        </w:rPr>
        <w:sectPr w:rsidR="00EC69EB" w:rsidRPr="00612981" w:rsidSect="000C6176">
          <w:footerReference w:type="default" r:id="rId16"/>
          <w:footerReference w:type="first" r:id="rId17"/>
          <w:pgSz w:w="11907" w:h="16839"/>
          <w:pgMar w:top="1134" w:right="1417" w:bottom="1134" w:left="1417" w:header="709" w:footer="709" w:gutter="0"/>
          <w:cols w:space="708"/>
          <w:docGrid w:linePitch="360"/>
        </w:sectPr>
      </w:pPr>
    </w:p>
    <w:p w:rsidR="00EC69EB" w:rsidRPr="00612981" w:rsidRDefault="000C6176" w:rsidP="000C6176">
      <w:pPr>
        <w:pStyle w:val="Statut"/>
        <w:rPr>
          <w:noProof/>
        </w:rPr>
      </w:pPr>
      <w:r w:rsidRPr="000C6176">
        <w:t>Recommendation for a</w:t>
      </w:r>
    </w:p>
    <w:p w:rsidR="00EC69EB" w:rsidRPr="00612981" w:rsidRDefault="000C6176" w:rsidP="000C6176">
      <w:pPr>
        <w:pStyle w:val="Typedudocument"/>
        <w:rPr>
          <w:noProof/>
        </w:rPr>
      </w:pPr>
      <w:r w:rsidRPr="000C6176">
        <w:t>COUNCIL DECISION</w:t>
      </w:r>
    </w:p>
    <w:p w:rsidR="00EC69EB" w:rsidRPr="00612981" w:rsidRDefault="000C6176" w:rsidP="000C6176">
      <w:pPr>
        <w:pStyle w:val="Titreobjet"/>
        <w:rPr>
          <w:noProof/>
        </w:rPr>
      </w:pPr>
      <w:r w:rsidRPr="000C6176">
        <w:t>authorising the opening of negotiations for a Free Trade Agreement with Australia</w:t>
      </w:r>
    </w:p>
    <w:p w:rsidR="00EC69EB" w:rsidRPr="00612981" w:rsidRDefault="00EC69EB" w:rsidP="00ED50EC">
      <w:pPr>
        <w:pStyle w:val="Institutionquiagit"/>
        <w:rPr>
          <w:noProof/>
        </w:rPr>
      </w:pPr>
      <w:r w:rsidRPr="00612981">
        <w:rPr>
          <w:noProof/>
        </w:rPr>
        <w:t>THE COUNCIL OF THE EUROPEAN UNION,</w:t>
      </w:r>
    </w:p>
    <w:p w:rsidR="00EC69EB" w:rsidRPr="00612981" w:rsidRDefault="00EC69EB" w:rsidP="00EC69EB">
      <w:pPr>
        <w:rPr>
          <w:rFonts w:eastAsia="Calibri"/>
          <w:noProof/>
          <w:szCs w:val="24"/>
          <w:lang w:eastAsia="en-GB"/>
        </w:rPr>
      </w:pPr>
      <w:r w:rsidRPr="00612981">
        <w:rPr>
          <w:rFonts w:eastAsia="Calibri"/>
          <w:noProof/>
          <w:szCs w:val="24"/>
          <w:lang w:eastAsia="en-GB"/>
        </w:rPr>
        <w:t>Having regard to the Treaty on the Functioning of the European Union, and in particular Article 218(3) and (4) thereof,</w:t>
      </w:r>
    </w:p>
    <w:p w:rsidR="00EC69EB" w:rsidRPr="00612981" w:rsidRDefault="00EC69EB" w:rsidP="00EC69EB">
      <w:pPr>
        <w:rPr>
          <w:rFonts w:eastAsia="Calibri"/>
          <w:noProof/>
          <w:szCs w:val="24"/>
          <w:lang w:eastAsia="en-GB"/>
        </w:rPr>
      </w:pPr>
      <w:r w:rsidRPr="00612981">
        <w:rPr>
          <w:rFonts w:eastAsia="Calibri"/>
          <w:noProof/>
          <w:szCs w:val="24"/>
          <w:lang w:eastAsia="en-GB"/>
        </w:rPr>
        <w:t>Having regard to the recommendation from the European Commission,</w:t>
      </w:r>
    </w:p>
    <w:p w:rsidR="00EC69EB" w:rsidRPr="00612981" w:rsidRDefault="00EC69EB" w:rsidP="00EC69EB">
      <w:pPr>
        <w:spacing w:after="0"/>
        <w:rPr>
          <w:rFonts w:eastAsia="Calibri"/>
          <w:noProof/>
          <w:szCs w:val="24"/>
          <w:lang w:eastAsia="en-GB"/>
        </w:rPr>
      </w:pPr>
      <w:r w:rsidRPr="00612981">
        <w:rPr>
          <w:rFonts w:eastAsia="Calibri"/>
          <w:noProof/>
          <w:szCs w:val="24"/>
          <w:lang w:eastAsia="en-GB"/>
        </w:rPr>
        <w:t xml:space="preserve">WHEREAS negotiations should be opened with a view to concluding a Free Trade Agreement with </w:t>
      </w:r>
      <w:r w:rsidR="001D69B8" w:rsidRPr="00612981">
        <w:rPr>
          <w:szCs w:val="24"/>
        </w:rPr>
        <w:t>Australia</w:t>
      </w:r>
      <w:r w:rsidRPr="00612981">
        <w:rPr>
          <w:rFonts w:eastAsia="Calibri"/>
          <w:noProof/>
          <w:szCs w:val="24"/>
          <w:lang w:eastAsia="en-GB"/>
        </w:rPr>
        <w:t>,</w:t>
      </w:r>
    </w:p>
    <w:p w:rsidR="00EC69EB" w:rsidRPr="00612981" w:rsidRDefault="00EC69EB" w:rsidP="00ED50EC">
      <w:pPr>
        <w:pStyle w:val="Formuledadoption"/>
        <w:rPr>
          <w:noProof/>
        </w:rPr>
      </w:pPr>
      <w:r w:rsidRPr="00612981">
        <w:rPr>
          <w:noProof/>
        </w:rPr>
        <w:t xml:space="preserve">HAS ADOPTED THIS DECISION: </w:t>
      </w:r>
    </w:p>
    <w:p w:rsidR="00EC69EB" w:rsidRPr="00612981" w:rsidRDefault="00EC69EB" w:rsidP="00EC69EB">
      <w:pPr>
        <w:pStyle w:val="Titrearticle"/>
        <w:rPr>
          <w:noProof/>
          <w:szCs w:val="24"/>
          <w:lang w:eastAsia="en-GB"/>
        </w:rPr>
      </w:pPr>
      <w:r w:rsidRPr="00612981">
        <w:rPr>
          <w:noProof/>
          <w:szCs w:val="24"/>
          <w:lang w:eastAsia="en-GB"/>
        </w:rPr>
        <w:t>Article 1</w:t>
      </w:r>
    </w:p>
    <w:p w:rsidR="00EC69EB" w:rsidRPr="00612981" w:rsidRDefault="00EC69EB" w:rsidP="00EC69EB">
      <w:pPr>
        <w:rPr>
          <w:rFonts w:eastAsia="Calibri"/>
          <w:szCs w:val="24"/>
          <w:lang w:eastAsia="en-GB"/>
        </w:rPr>
      </w:pPr>
      <w:r w:rsidRPr="00612981">
        <w:rPr>
          <w:rFonts w:eastAsia="Calibri"/>
          <w:szCs w:val="24"/>
          <w:lang w:eastAsia="en-GB"/>
        </w:rPr>
        <w:t xml:space="preserve">The Commission is authorised to negotiate on behalf of the Union a Free Trade Agreement with </w:t>
      </w:r>
      <w:r w:rsidR="001D69B8" w:rsidRPr="00612981">
        <w:rPr>
          <w:rFonts w:eastAsia="Calibri"/>
          <w:szCs w:val="24"/>
          <w:lang w:eastAsia="en-GB"/>
        </w:rPr>
        <w:t>Australia</w:t>
      </w:r>
      <w:r w:rsidRPr="00612981">
        <w:rPr>
          <w:rFonts w:eastAsia="Calibri"/>
          <w:szCs w:val="24"/>
          <w:lang w:eastAsia="en-GB"/>
        </w:rPr>
        <w:t xml:space="preserve">. </w:t>
      </w:r>
    </w:p>
    <w:p w:rsidR="00EC69EB" w:rsidRPr="00612981" w:rsidRDefault="00EC69EB" w:rsidP="00EC69EB">
      <w:pPr>
        <w:pStyle w:val="Titrearticle"/>
        <w:rPr>
          <w:szCs w:val="24"/>
          <w:lang w:eastAsia="en-GB"/>
        </w:rPr>
      </w:pPr>
      <w:r w:rsidRPr="00612981">
        <w:rPr>
          <w:szCs w:val="24"/>
          <w:lang w:eastAsia="en-GB"/>
        </w:rPr>
        <w:t>Article 2</w:t>
      </w:r>
    </w:p>
    <w:p w:rsidR="00EC69EB" w:rsidRPr="00612981" w:rsidRDefault="00EC69EB" w:rsidP="00EC69EB">
      <w:pPr>
        <w:rPr>
          <w:rFonts w:eastAsia="Calibri"/>
          <w:szCs w:val="24"/>
          <w:lang w:eastAsia="en-GB"/>
        </w:rPr>
      </w:pPr>
      <w:r w:rsidRPr="00612981">
        <w:rPr>
          <w:rFonts w:eastAsia="Calibri"/>
          <w:szCs w:val="24"/>
          <w:lang w:eastAsia="en-GB"/>
        </w:rPr>
        <w:t>The negotiating</w:t>
      </w:r>
      <w:r w:rsidR="00DB20A8" w:rsidRPr="00612981">
        <w:rPr>
          <w:rFonts w:eastAsia="Calibri"/>
          <w:szCs w:val="24"/>
          <w:lang w:eastAsia="en-GB"/>
        </w:rPr>
        <w:t xml:space="preserve"> directives are set out in the </w:t>
      </w:r>
      <w:r w:rsidR="008351EC" w:rsidRPr="00612981">
        <w:rPr>
          <w:rFonts w:eastAsia="Calibri"/>
          <w:szCs w:val="24"/>
          <w:lang w:eastAsia="en-GB"/>
        </w:rPr>
        <w:t>Attachment</w:t>
      </w:r>
      <w:r w:rsidRPr="00612981">
        <w:rPr>
          <w:rFonts w:eastAsia="Calibri"/>
          <w:szCs w:val="24"/>
          <w:lang w:eastAsia="en-GB"/>
        </w:rPr>
        <w:t>.</w:t>
      </w:r>
      <w:r w:rsidR="00DB20A8" w:rsidRPr="00612981">
        <w:rPr>
          <w:noProof/>
          <w:szCs w:val="24"/>
        </w:rPr>
        <w:t xml:space="preserve"> </w:t>
      </w:r>
    </w:p>
    <w:p w:rsidR="00EC69EB" w:rsidRPr="00612981" w:rsidRDefault="00EC69EB" w:rsidP="00EC69EB">
      <w:pPr>
        <w:pStyle w:val="Titrearticle"/>
        <w:rPr>
          <w:szCs w:val="24"/>
          <w:lang w:eastAsia="en-GB"/>
        </w:rPr>
      </w:pPr>
      <w:r w:rsidRPr="00612981">
        <w:rPr>
          <w:szCs w:val="24"/>
          <w:lang w:eastAsia="en-GB"/>
        </w:rPr>
        <w:t>Article 3</w:t>
      </w:r>
    </w:p>
    <w:p w:rsidR="00EC69EB" w:rsidRPr="00612981" w:rsidRDefault="00EC69EB" w:rsidP="00EC69EB">
      <w:pPr>
        <w:rPr>
          <w:rFonts w:eastAsia="Calibri"/>
          <w:szCs w:val="24"/>
          <w:lang w:eastAsia="en-GB"/>
        </w:rPr>
      </w:pPr>
      <w:r w:rsidRPr="00612981">
        <w:rPr>
          <w:rFonts w:eastAsia="Calibri"/>
          <w:szCs w:val="24"/>
          <w:lang w:eastAsia="en-GB"/>
        </w:rPr>
        <w:t xml:space="preserve">The negotiations shall be conducted in consultation with the Trade Policy Committee. </w:t>
      </w:r>
    </w:p>
    <w:p w:rsidR="00EC69EB" w:rsidRPr="00612981" w:rsidRDefault="00EC69EB" w:rsidP="00EC69EB">
      <w:pPr>
        <w:pStyle w:val="Titrearticle"/>
        <w:rPr>
          <w:szCs w:val="24"/>
          <w:lang w:eastAsia="en-GB"/>
        </w:rPr>
      </w:pPr>
      <w:r w:rsidRPr="00612981">
        <w:rPr>
          <w:szCs w:val="24"/>
          <w:lang w:eastAsia="en-GB"/>
        </w:rPr>
        <w:t>Article 4</w:t>
      </w:r>
    </w:p>
    <w:p w:rsidR="00EC69EB" w:rsidRPr="00612981" w:rsidRDefault="00EC69EB" w:rsidP="00EC69EB">
      <w:pPr>
        <w:rPr>
          <w:rFonts w:eastAsia="Calibri"/>
          <w:szCs w:val="24"/>
          <w:lang w:eastAsia="en-GB"/>
        </w:rPr>
      </w:pPr>
      <w:r w:rsidRPr="00612981">
        <w:rPr>
          <w:rFonts w:eastAsia="Calibri"/>
          <w:szCs w:val="24"/>
          <w:lang w:eastAsia="en-GB"/>
        </w:rPr>
        <w:t>This Decision and its attachment will be made public immediately after their adoption.</w:t>
      </w:r>
    </w:p>
    <w:p w:rsidR="00EC69EB" w:rsidRPr="00612981" w:rsidRDefault="00EC69EB" w:rsidP="00EC69EB">
      <w:pPr>
        <w:pStyle w:val="Titrearticle"/>
        <w:rPr>
          <w:szCs w:val="24"/>
          <w:lang w:eastAsia="en-GB"/>
        </w:rPr>
      </w:pPr>
      <w:r w:rsidRPr="00612981">
        <w:rPr>
          <w:szCs w:val="24"/>
          <w:lang w:eastAsia="en-GB"/>
        </w:rPr>
        <w:t>Article 5</w:t>
      </w:r>
    </w:p>
    <w:p w:rsidR="00EC69EB" w:rsidRPr="00612981" w:rsidRDefault="00EC69EB" w:rsidP="00EC69EB">
      <w:pPr>
        <w:rPr>
          <w:rFonts w:eastAsia="Calibri"/>
          <w:szCs w:val="24"/>
          <w:lang w:eastAsia="en-GB"/>
        </w:rPr>
      </w:pPr>
      <w:r w:rsidRPr="00612981">
        <w:rPr>
          <w:rFonts w:eastAsia="Calibri"/>
          <w:szCs w:val="24"/>
          <w:lang w:eastAsia="en-GB"/>
        </w:rPr>
        <w:t>This Decision is addressed to the Commission.</w:t>
      </w:r>
    </w:p>
    <w:p w:rsidR="00EC69EB" w:rsidRPr="00612981" w:rsidRDefault="000C6176" w:rsidP="000C6176">
      <w:pPr>
        <w:pStyle w:val="Fait"/>
      </w:pPr>
      <w:r w:rsidRPr="000C6176">
        <w:t>Done at Brussels,</w:t>
      </w:r>
    </w:p>
    <w:p w:rsidR="00EC69EB" w:rsidRPr="00612981" w:rsidRDefault="00EC69EB" w:rsidP="00EC69EB">
      <w:pPr>
        <w:pStyle w:val="Institutionquisigne"/>
        <w:rPr>
          <w:szCs w:val="24"/>
        </w:rPr>
      </w:pPr>
      <w:r w:rsidRPr="00612981">
        <w:rPr>
          <w:szCs w:val="24"/>
        </w:rPr>
        <w:tab/>
        <w:t>For the Council</w:t>
      </w:r>
    </w:p>
    <w:p w:rsidR="006C02A3" w:rsidRPr="00EC69EB" w:rsidRDefault="00EC69EB" w:rsidP="00EC69EB">
      <w:pPr>
        <w:pStyle w:val="Personnequisigne"/>
        <w:rPr>
          <w:szCs w:val="24"/>
        </w:rPr>
      </w:pPr>
      <w:r w:rsidRPr="00612981">
        <w:rPr>
          <w:szCs w:val="24"/>
        </w:rPr>
        <w:tab/>
        <w:t>The President</w:t>
      </w:r>
    </w:p>
    <w:sectPr w:rsidR="006C02A3" w:rsidRPr="00EC69EB" w:rsidSect="000C617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76" w:rsidRDefault="000C6176" w:rsidP="006C02A3">
      <w:pPr>
        <w:spacing w:before="0" w:after="0"/>
      </w:pPr>
      <w:r>
        <w:separator/>
      </w:r>
    </w:p>
  </w:endnote>
  <w:endnote w:type="continuationSeparator" w:id="0">
    <w:p w:rsidR="000C6176" w:rsidRDefault="000C6176" w:rsidP="006C02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76" w:rsidRPr="000C6176" w:rsidRDefault="000C6176" w:rsidP="000C6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76" w:rsidRPr="000C6176" w:rsidRDefault="000C6176" w:rsidP="000C6176">
    <w:pPr>
      <w:pStyle w:val="Footer"/>
      <w:rPr>
        <w:rFonts w:ascii="Arial" w:hAnsi="Arial" w:cs="Arial"/>
        <w:b/>
        <w:sz w:val="48"/>
      </w:rPr>
    </w:pPr>
    <w:r w:rsidRPr="000C6176">
      <w:rPr>
        <w:rFonts w:ascii="Arial" w:hAnsi="Arial" w:cs="Arial"/>
        <w:b/>
        <w:sz w:val="48"/>
      </w:rPr>
      <w:t>EN</w:t>
    </w:r>
    <w:r w:rsidRPr="000C6176">
      <w:rPr>
        <w:rFonts w:ascii="Arial" w:hAnsi="Arial" w:cs="Arial"/>
        <w:b/>
        <w:sz w:val="48"/>
      </w:rPr>
      <w:tab/>
    </w:r>
    <w:r w:rsidRPr="000C6176">
      <w:rPr>
        <w:rFonts w:ascii="Arial" w:hAnsi="Arial" w:cs="Arial"/>
        <w:b/>
        <w:sz w:val="48"/>
      </w:rPr>
      <w:tab/>
    </w:r>
    <w:fldSimple w:instr=" DOCVARIABLE &quot;LW_Confidence&quot; \* MERGEFORMAT ">
      <w:r>
        <w:t xml:space="preserve"> </w:t>
      </w:r>
    </w:fldSimple>
    <w:r w:rsidRPr="000C6176">
      <w:tab/>
    </w:r>
    <w:proofErr w:type="spellStart"/>
    <w:r w:rsidRPr="000C6176">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76" w:rsidRPr="000C6176" w:rsidRDefault="000C6176" w:rsidP="000C61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76" w:rsidRPr="000C6176" w:rsidRDefault="000C6176" w:rsidP="000C6176">
    <w:pPr>
      <w:pStyle w:val="Footer"/>
      <w:rPr>
        <w:rFonts w:ascii="Arial" w:hAnsi="Arial" w:cs="Arial"/>
        <w:b/>
        <w:sz w:val="48"/>
      </w:rPr>
    </w:pPr>
    <w:r w:rsidRPr="000C6176">
      <w:rPr>
        <w:rFonts w:ascii="Arial" w:hAnsi="Arial" w:cs="Arial"/>
        <w:b/>
        <w:sz w:val="48"/>
      </w:rPr>
      <w:t>EN</w:t>
    </w:r>
    <w:r w:rsidRPr="000C6176">
      <w:rPr>
        <w:rFonts w:ascii="Arial" w:hAnsi="Arial" w:cs="Arial"/>
        <w:b/>
        <w:sz w:val="48"/>
      </w:rPr>
      <w:tab/>
    </w:r>
    <w:r>
      <w:fldChar w:fldCharType="begin"/>
    </w:r>
    <w:r>
      <w:instrText xml:space="preserve"> PAGE  \* MERGEFORMAT </w:instrText>
    </w:r>
    <w:r>
      <w:fldChar w:fldCharType="separate"/>
    </w:r>
    <w:r w:rsidR="003C37CD">
      <w:rPr>
        <w:noProof/>
      </w:rPr>
      <w:t>2</w:t>
    </w:r>
    <w:r>
      <w:fldChar w:fldCharType="end"/>
    </w:r>
    <w:r>
      <w:tab/>
    </w:r>
    <w:fldSimple w:instr=" DOCVARIABLE &quot;LW_Confidence&quot; \* MERGEFORMAT ">
      <w:r>
        <w:t xml:space="preserve"> </w:t>
      </w:r>
    </w:fldSimple>
    <w:r w:rsidRPr="000C6176">
      <w:tab/>
    </w:r>
    <w:r w:rsidRPr="000C6176">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76" w:rsidRPr="000C6176" w:rsidRDefault="000C6176" w:rsidP="000C6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76" w:rsidRDefault="000C6176" w:rsidP="006C02A3">
      <w:pPr>
        <w:spacing w:before="0" w:after="0"/>
      </w:pPr>
      <w:r>
        <w:separator/>
      </w:r>
    </w:p>
  </w:footnote>
  <w:footnote w:type="continuationSeparator" w:id="0">
    <w:p w:rsidR="000C6176" w:rsidRDefault="000C6176" w:rsidP="006C02A3">
      <w:pPr>
        <w:spacing w:before="0" w:after="0"/>
      </w:pPr>
      <w:r>
        <w:continuationSeparator/>
      </w:r>
    </w:p>
  </w:footnote>
  <w:footnote w:id="1">
    <w:p w:rsidR="000C6176" w:rsidRPr="00D03DE7" w:rsidRDefault="000C6176" w:rsidP="002B1B13">
      <w:pPr>
        <w:pStyle w:val="FootnoteText"/>
        <w:rPr>
          <w:rFonts w:cstheme="minorHAnsi"/>
        </w:rPr>
      </w:pPr>
      <w:r w:rsidRPr="005A5F25">
        <w:rPr>
          <w:rStyle w:val="FootnoteReference"/>
        </w:rPr>
        <w:footnoteRef/>
      </w:r>
      <w:r>
        <w:tab/>
      </w:r>
      <w:hyperlink r:id="rId1" w:history="1">
        <w:r w:rsidRPr="00D03DE7">
          <w:rPr>
            <w:rStyle w:val="Hyperlink"/>
            <w:rFonts w:cstheme="minorHAnsi"/>
          </w:rPr>
          <w:t>http://eeas.europa.eu/statements-eeas/2015/150422_04_en.htm</w:t>
        </w:r>
      </w:hyperlink>
    </w:p>
  </w:footnote>
  <w:footnote w:id="2">
    <w:p w:rsidR="000C6176" w:rsidRPr="00D03DE7" w:rsidRDefault="000C6176" w:rsidP="002B1B13">
      <w:pPr>
        <w:pStyle w:val="FootnoteText"/>
        <w:rPr>
          <w:rFonts w:cstheme="minorHAnsi"/>
        </w:rPr>
      </w:pPr>
      <w:r w:rsidRPr="005A5F25">
        <w:rPr>
          <w:rStyle w:val="FootnoteReference"/>
        </w:rPr>
        <w:footnoteRef/>
      </w:r>
      <w:r>
        <w:rPr>
          <w:rFonts w:cstheme="minorHAnsi"/>
        </w:rPr>
        <w:tab/>
      </w:r>
      <w:hyperlink r:id="rId2" w:history="1">
        <w:r w:rsidRPr="00D03DE7">
          <w:rPr>
            <w:rStyle w:val="Hyperlink"/>
            <w:rFonts w:cstheme="minorHAnsi"/>
          </w:rPr>
          <w:t>http://europa.eu/rapid/press-release_STATEMENT-15-6088_en.htm</w:t>
        </w:r>
      </w:hyperlink>
    </w:p>
  </w:footnote>
  <w:footnote w:id="3">
    <w:p w:rsidR="000C6176" w:rsidRDefault="000C6176">
      <w:pPr>
        <w:pStyle w:val="FootnoteText"/>
      </w:pPr>
      <w:r w:rsidRPr="00113637">
        <w:rPr>
          <w:rStyle w:val="FootnoteReference"/>
        </w:rPr>
        <w:footnoteRef/>
      </w:r>
      <w:r>
        <w:tab/>
      </w:r>
      <w:hyperlink r:id="rId3" w:history="1">
        <w:r w:rsidRPr="006C238B">
          <w:rPr>
            <w:rStyle w:val="Hyperlink"/>
          </w:rPr>
          <w:t>http://trade.ec.europa.eu/doclib/docs/2015/october/tradoc_153846.pdf</w:t>
        </w:r>
      </w:hyperlink>
      <w:r>
        <w:t xml:space="preserve"> </w:t>
      </w:r>
    </w:p>
  </w:footnote>
  <w:footnote w:id="4">
    <w:p w:rsidR="000C6176" w:rsidRDefault="000C6176">
      <w:pPr>
        <w:pStyle w:val="FootnoteText"/>
      </w:pPr>
      <w:r w:rsidRPr="00113637">
        <w:rPr>
          <w:rStyle w:val="FootnoteReference"/>
        </w:rPr>
        <w:footnoteRef/>
      </w:r>
      <w:r>
        <w:tab/>
      </w:r>
      <w:hyperlink r:id="rId4" w:history="1">
        <w:r w:rsidRPr="006C238B">
          <w:rPr>
            <w:rStyle w:val="Hyperlink"/>
          </w:rPr>
          <w:t>http://www.consilium.europa.eu/uedocs/cms_data/docs/pressdata/EN/foraff/145908.pdf</w:t>
        </w:r>
      </w:hyperlink>
      <w:r>
        <w:t xml:space="preserve"> </w:t>
      </w:r>
    </w:p>
  </w:footnote>
  <w:footnote w:id="5">
    <w:p w:rsidR="000C6176" w:rsidRDefault="000C6176">
      <w:pPr>
        <w:pStyle w:val="FootnoteText"/>
      </w:pPr>
      <w:r w:rsidRPr="00113637">
        <w:rPr>
          <w:rStyle w:val="FootnoteReference"/>
        </w:rPr>
        <w:footnoteRef/>
      </w:r>
      <w:r>
        <w:tab/>
      </w:r>
      <w:r w:rsidRPr="00FE5B4B">
        <w:t>http://www.consilium.europa.eu/en/meetings/fac/2015/11/st14688_en15_pdf/</w:t>
      </w:r>
    </w:p>
  </w:footnote>
  <w:footnote w:id="6">
    <w:p w:rsidR="000C6176" w:rsidRPr="004E2360" w:rsidRDefault="000C6176" w:rsidP="002B1B13">
      <w:pPr>
        <w:pStyle w:val="FootnoteText"/>
        <w:rPr>
          <w:lang w:val="pt-PT"/>
        </w:rPr>
      </w:pPr>
      <w:r w:rsidRPr="005A5F25">
        <w:rPr>
          <w:rStyle w:val="FootnoteReference"/>
        </w:rPr>
        <w:footnoteRef/>
      </w:r>
      <w:r>
        <w:rPr>
          <w:lang w:val="pt-PT"/>
        </w:rPr>
        <w:tab/>
      </w:r>
      <w:proofErr w:type="spellStart"/>
      <w:r w:rsidRPr="004E2360">
        <w:rPr>
          <w:lang w:val="pt-PT"/>
        </w:rPr>
        <w:t>Article</w:t>
      </w:r>
      <w:proofErr w:type="spellEnd"/>
      <w:r w:rsidRPr="004E2360">
        <w:rPr>
          <w:lang w:val="pt-PT"/>
        </w:rPr>
        <w:t xml:space="preserve"> 21 para 2 (e) TEU.</w:t>
      </w:r>
    </w:p>
  </w:footnote>
  <w:footnote w:id="7">
    <w:p w:rsidR="000C6176" w:rsidRPr="003260B8" w:rsidRDefault="000C6176">
      <w:pPr>
        <w:pStyle w:val="FootnoteText"/>
        <w:rPr>
          <w:lang w:val="pt-PT"/>
        </w:rPr>
      </w:pPr>
      <w:r w:rsidRPr="00113637">
        <w:rPr>
          <w:rStyle w:val="FootnoteReference"/>
        </w:rPr>
        <w:footnoteRef/>
      </w:r>
      <w:r>
        <w:rPr>
          <w:lang w:val="pt-PT"/>
        </w:rPr>
        <w:tab/>
      </w:r>
      <w:hyperlink r:id="rId5" w:history="1">
        <w:r w:rsidRPr="003260B8">
          <w:rPr>
            <w:rStyle w:val="Hyperlink"/>
            <w:lang w:val="pt-PT"/>
          </w:rPr>
          <w:t>http://ec.europa.eu/eu2020/pdf/COMPLET%20EN%20BARROSO%20%20%20007%20-%20Europe%202020%20-%20EN%20version.pdf</w:t>
        </w:r>
      </w:hyperlink>
      <w:r>
        <w:rPr>
          <w:lang w:val="pt-PT"/>
        </w:rPr>
        <w:t xml:space="preserve"> </w:t>
      </w:r>
    </w:p>
  </w:footnote>
  <w:footnote w:id="8">
    <w:p w:rsidR="000C6176" w:rsidRPr="003260B8" w:rsidRDefault="000C6176">
      <w:pPr>
        <w:pStyle w:val="FootnoteText"/>
        <w:rPr>
          <w:lang w:val="pt-PT"/>
        </w:rPr>
      </w:pPr>
      <w:r w:rsidRPr="00113637">
        <w:rPr>
          <w:rStyle w:val="FootnoteReference"/>
        </w:rPr>
        <w:footnoteRef/>
      </w:r>
      <w:r>
        <w:rPr>
          <w:lang w:val="pt-PT"/>
        </w:rPr>
        <w:tab/>
      </w:r>
      <w:r w:rsidRPr="003260B8">
        <w:rPr>
          <w:lang w:val="pt-PT"/>
        </w:rPr>
        <w:t>http://eur-lex.europa.eu/legal-content/EN/TXT/?uri=CELEX:52008DC0394</w:t>
      </w:r>
    </w:p>
  </w:footnote>
  <w:footnote w:id="9">
    <w:p w:rsidR="000C6176" w:rsidRPr="003260B8" w:rsidRDefault="000C6176">
      <w:pPr>
        <w:pStyle w:val="FootnoteText"/>
        <w:rPr>
          <w:lang w:val="pt-PT"/>
        </w:rPr>
      </w:pPr>
      <w:r w:rsidRPr="00113637">
        <w:rPr>
          <w:rStyle w:val="FootnoteReference"/>
        </w:rPr>
        <w:footnoteRef/>
      </w:r>
      <w:r>
        <w:rPr>
          <w:lang w:val="pt-PT"/>
        </w:rPr>
        <w:tab/>
      </w:r>
      <w:r w:rsidRPr="003260B8">
        <w:rPr>
          <w:lang w:val="pt-PT"/>
        </w:rPr>
        <w:t>http://eur-lex.europa.eu/legal-content/en/ALL/?uri=CELEX:52011DC0702</w:t>
      </w:r>
    </w:p>
  </w:footnote>
  <w:footnote w:id="10">
    <w:p w:rsidR="000C6176" w:rsidRPr="003260B8" w:rsidRDefault="000C6176">
      <w:pPr>
        <w:pStyle w:val="FootnoteText"/>
        <w:rPr>
          <w:lang w:val="pt-PT"/>
        </w:rPr>
      </w:pPr>
      <w:r w:rsidRPr="00113637">
        <w:rPr>
          <w:rStyle w:val="FootnoteReference"/>
        </w:rPr>
        <w:footnoteRef/>
      </w:r>
      <w:r>
        <w:rPr>
          <w:lang w:val="pt-PT"/>
        </w:rPr>
        <w:tab/>
      </w:r>
      <w:r w:rsidRPr="003260B8">
        <w:rPr>
          <w:lang w:val="pt-PT"/>
        </w:rPr>
        <w:t>http://eur-lex.europa.eu/legal-content/EN/TXT/?uri=CELEX:52014DC0014</w:t>
      </w:r>
    </w:p>
  </w:footnote>
  <w:footnote w:id="11">
    <w:p w:rsidR="000C6176" w:rsidRPr="002B1AB7" w:rsidRDefault="000C6176" w:rsidP="002B1B13">
      <w:pPr>
        <w:pStyle w:val="FootnoteText"/>
        <w:rPr>
          <w:lang w:val="pt-PT"/>
        </w:rPr>
      </w:pPr>
      <w:r w:rsidRPr="005A5F25">
        <w:rPr>
          <w:rStyle w:val="FootnoteReference"/>
        </w:rPr>
        <w:footnoteRef/>
      </w:r>
      <w:r>
        <w:rPr>
          <w:lang w:val="pt-PT"/>
        </w:rPr>
        <w:tab/>
      </w:r>
      <w:proofErr w:type="spellStart"/>
      <w:r w:rsidRPr="002B1AB7">
        <w:rPr>
          <w:lang w:val="pt-PT"/>
        </w:rPr>
        <w:t>Article</w:t>
      </w:r>
      <w:proofErr w:type="spellEnd"/>
      <w:r w:rsidRPr="002B1AB7">
        <w:rPr>
          <w:lang w:val="pt-PT"/>
        </w:rPr>
        <w:t xml:space="preserve"> 21 para 2 (b) TEU</w:t>
      </w:r>
      <w:r>
        <w:rPr>
          <w:lang w:val="pt-PT"/>
        </w:rPr>
        <w:t>.</w:t>
      </w:r>
    </w:p>
  </w:footnote>
  <w:footnote w:id="12">
    <w:p w:rsidR="000C6176" w:rsidRPr="00127CC8" w:rsidRDefault="000C6176" w:rsidP="002B1B13">
      <w:pPr>
        <w:pStyle w:val="FootnoteText"/>
        <w:rPr>
          <w:lang w:val="pt-PT"/>
        </w:rPr>
      </w:pPr>
      <w:r w:rsidRPr="005A5F25">
        <w:rPr>
          <w:rStyle w:val="FootnoteReference"/>
        </w:rPr>
        <w:footnoteRef/>
      </w:r>
      <w:r>
        <w:rPr>
          <w:lang w:val="pt-PT"/>
        </w:rPr>
        <w:tab/>
      </w:r>
      <w:proofErr w:type="spellStart"/>
      <w:r w:rsidRPr="00127CC8">
        <w:rPr>
          <w:lang w:val="pt-PT"/>
        </w:rPr>
        <w:t>Article</w:t>
      </w:r>
      <w:proofErr w:type="spellEnd"/>
      <w:r w:rsidRPr="00127CC8">
        <w:rPr>
          <w:lang w:val="pt-PT"/>
        </w:rPr>
        <w:t xml:space="preserve"> 21 para 2 (f) TEU.</w:t>
      </w:r>
    </w:p>
  </w:footnote>
  <w:footnote w:id="13">
    <w:p w:rsidR="000C6176" w:rsidRPr="003260B8" w:rsidRDefault="000C6176">
      <w:pPr>
        <w:pStyle w:val="FootnoteText"/>
        <w:rPr>
          <w:lang w:val="pt-PT"/>
        </w:rPr>
      </w:pPr>
      <w:r w:rsidRPr="00113637">
        <w:rPr>
          <w:rStyle w:val="FootnoteReference"/>
        </w:rPr>
        <w:footnoteRef/>
      </w:r>
      <w:r>
        <w:rPr>
          <w:lang w:val="pt-PT"/>
        </w:rPr>
        <w:tab/>
      </w:r>
      <w:hyperlink r:id="rId6" w:history="1">
        <w:r w:rsidRPr="0049119E">
          <w:rPr>
            <w:rStyle w:val="Hyperlink"/>
            <w:lang w:val="pt-PT"/>
          </w:rPr>
          <w:t>http://ec.europa.eu/priorities/jobs-growth-investment/plan/index_en.htm</w:t>
        </w:r>
      </w:hyperlink>
    </w:p>
  </w:footnote>
  <w:footnote w:id="14">
    <w:p w:rsidR="000C6176" w:rsidRPr="003260B8" w:rsidRDefault="000C6176">
      <w:pPr>
        <w:pStyle w:val="FootnoteText"/>
        <w:rPr>
          <w:lang w:val="pt-PT"/>
        </w:rPr>
      </w:pPr>
      <w:r w:rsidRPr="00113637">
        <w:rPr>
          <w:rStyle w:val="FootnoteReference"/>
        </w:rPr>
        <w:footnoteRef/>
      </w:r>
      <w:r>
        <w:rPr>
          <w:lang w:val="pt-PT"/>
        </w:rPr>
        <w:tab/>
      </w:r>
      <w:r w:rsidRPr="003260B8">
        <w:rPr>
          <w:lang w:val="pt-PT"/>
        </w:rPr>
        <w:t>https://ec.europa.eu/info/publications/work-programme-commission-key-documents-2017_en</w:t>
      </w:r>
    </w:p>
  </w:footnote>
  <w:footnote w:id="15">
    <w:p w:rsidR="000C6176" w:rsidRPr="00AE4732" w:rsidRDefault="000C6176">
      <w:pPr>
        <w:pStyle w:val="FootnoteText"/>
        <w:rPr>
          <w:lang w:val="pt-PT"/>
        </w:rPr>
      </w:pPr>
      <w:r w:rsidRPr="00113637">
        <w:rPr>
          <w:rStyle w:val="FootnoteReference"/>
        </w:rPr>
        <w:footnoteRef/>
      </w:r>
      <w:r w:rsidRPr="00AE4732">
        <w:rPr>
          <w:lang w:val="pt-PT"/>
        </w:rPr>
        <w:tab/>
        <w:t>http://trade.ec.europa.eu/consultations/index.cfm?consul_id=195</w:t>
      </w:r>
    </w:p>
  </w:footnote>
  <w:footnote w:id="16">
    <w:p w:rsidR="000C6176" w:rsidRDefault="000C6176">
      <w:pPr>
        <w:pStyle w:val="FootnoteText"/>
      </w:pPr>
      <w:r w:rsidRPr="00113637">
        <w:rPr>
          <w:rStyle w:val="FootnoteReference"/>
        </w:rPr>
        <w:footnoteRef/>
      </w:r>
      <w:r>
        <w:tab/>
        <w:t xml:space="preserve">The public online consultation also covered the future trade and economic relationship between the EU and New Zealand </w:t>
      </w:r>
    </w:p>
  </w:footnote>
  <w:footnote w:id="17">
    <w:p w:rsidR="000C6176" w:rsidRDefault="000C6176">
      <w:pPr>
        <w:pStyle w:val="FootnoteText"/>
      </w:pPr>
      <w:r w:rsidRPr="00113637">
        <w:rPr>
          <w:rStyle w:val="FootnoteReference"/>
        </w:rPr>
        <w:footnoteRef/>
      </w:r>
      <w:r>
        <w:tab/>
      </w:r>
      <w:hyperlink r:id="rId7" w:history="1">
        <w:r w:rsidRPr="006C238B">
          <w:rPr>
            <w:rStyle w:val="Hyperlink"/>
          </w:rPr>
          <w:t>http://eur-lex.europa.eu/legal-content/EN/TXT/?uri=CELEX:32013D0488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76" w:rsidRPr="000C6176" w:rsidRDefault="000C6176" w:rsidP="000C6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76" w:rsidRPr="000C6176" w:rsidRDefault="000C6176" w:rsidP="000C6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76" w:rsidRPr="000C6176" w:rsidRDefault="000C6176" w:rsidP="000C6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5292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D87E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8AE7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9A30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1CC3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1400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B26C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A6C21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isplayBackgroundShape/>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2 08:08: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E4F814CB87C44AE58782D4BBD996A169"/>
    <w:docVar w:name="LW_CROSSREFERENCE" w:val="{SWD(2017) 292}_x000a_{SWD(2017) 293}"/>
    <w:docVar w:name="LW_DocType" w:val="COM"/>
    <w:docVar w:name="LW_EMISSION" w:val="13.9.2017"/>
    <w:docVar w:name="LW_EMISSION_ISODATE" w:val="2017-09-13"/>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lt;EMPTY&gt;"/>
    <w:docVar w:name="LW_REF.INST.NEW_TEXT" w:val="(2017) 472 final"/>
    <w:docVar w:name="LW_REF.INTERNE" w:val="&lt;UNUSED&gt;"/>
    <w:docVar w:name="LW_SOUS.TITRE.OBJ.CP" w:val="&lt;UNUSED&gt;"/>
    <w:docVar w:name="LW_STATUT.CP" w:val="Recommendation for a"/>
    <w:docVar w:name="LW_SUPERTITRE" w:val="&lt;UNUSED&gt;"/>
    <w:docVar w:name="LW_TITRE.OBJ.CP" w:val="authorising the opening of negotiations for a Free Trade Agreement with Australia"/>
    <w:docVar w:name="LW_TYPE.DOC.CP" w:val="COUNCIL DECISION"/>
  </w:docVars>
  <w:rsids>
    <w:rsidRoot w:val="006C02A3"/>
    <w:rsid w:val="00035FBD"/>
    <w:rsid w:val="00052848"/>
    <w:rsid w:val="00060078"/>
    <w:rsid w:val="00061FB3"/>
    <w:rsid w:val="000624BF"/>
    <w:rsid w:val="00082049"/>
    <w:rsid w:val="00096D18"/>
    <w:rsid w:val="000C26F6"/>
    <w:rsid w:val="000C6176"/>
    <w:rsid w:val="000D3B73"/>
    <w:rsid w:val="0011001D"/>
    <w:rsid w:val="00113637"/>
    <w:rsid w:val="001447AE"/>
    <w:rsid w:val="00147586"/>
    <w:rsid w:val="00164CB2"/>
    <w:rsid w:val="001667DB"/>
    <w:rsid w:val="00170447"/>
    <w:rsid w:val="00171635"/>
    <w:rsid w:val="00172375"/>
    <w:rsid w:val="001762E0"/>
    <w:rsid w:val="001817B3"/>
    <w:rsid w:val="00194737"/>
    <w:rsid w:val="001A3F78"/>
    <w:rsid w:val="001B0AB7"/>
    <w:rsid w:val="001D69B8"/>
    <w:rsid w:val="001F06C8"/>
    <w:rsid w:val="0020610C"/>
    <w:rsid w:val="002062CD"/>
    <w:rsid w:val="00237BA8"/>
    <w:rsid w:val="00243E0E"/>
    <w:rsid w:val="00253230"/>
    <w:rsid w:val="00276122"/>
    <w:rsid w:val="0028517B"/>
    <w:rsid w:val="002A1613"/>
    <w:rsid w:val="002A2B63"/>
    <w:rsid w:val="002A6766"/>
    <w:rsid w:val="002B1B13"/>
    <w:rsid w:val="002C2165"/>
    <w:rsid w:val="002C4C3E"/>
    <w:rsid w:val="002C777C"/>
    <w:rsid w:val="002D2491"/>
    <w:rsid w:val="002F6EC0"/>
    <w:rsid w:val="00302933"/>
    <w:rsid w:val="003121EE"/>
    <w:rsid w:val="003260B8"/>
    <w:rsid w:val="00336F77"/>
    <w:rsid w:val="0034445E"/>
    <w:rsid w:val="00350228"/>
    <w:rsid w:val="0035628C"/>
    <w:rsid w:val="00362D79"/>
    <w:rsid w:val="00382FAB"/>
    <w:rsid w:val="00385299"/>
    <w:rsid w:val="00385AEE"/>
    <w:rsid w:val="003A1A33"/>
    <w:rsid w:val="003C2513"/>
    <w:rsid w:val="003C328C"/>
    <w:rsid w:val="003C33DE"/>
    <w:rsid w:val="003C37CD"/>
    <w:rsid w:val="003D4495"/>
    <w:rsid w:val="0040116C"/>
    <w:rsid w:val="00402E19"/>
    <w:rsid w:val="00404EF1"/>
    <w:rsid w:val="00407563"/>
    <w:rsid w:val="004137CF"/>
    <w:rsid w:val="00420AB8"/>
    <w:rsid w:val="00425F09"/>
    <w:rsid w:val="0045111F"/>
    <w:rsid w:val="00470D23"/>
    <w:rsid w:val="004744E5"/>
    <w:rsid w:val="004C1525"/>
    <w:rsid w:val="004C51FA"/>
    <w:rsid w:val="004C6AEA"/>
    <w:rsid w:val="004D74E9"/>
    <w:rsid w:val="004F3751"/>
    <w:rsid w:val="0054154C"/>
    <w:rsid w:val="0056735A"/>
    <w:rsid w:val="005A11F6"/>
    <w:rsid w:val="005A5F25"/>
    <w:rsid w:val="005A7A2F"/>
    <w:rsid w:val="005D3BCD"/>
    <w:rsid w:val="005F132D"/>
    <w:rsid w:val="0060477A"/>
    <w:rsid w:val="00612981"/>
    <w:rsid w:val="006138BA"/>
    <w:rsid w:val="00623FA0"/>
    <w:rsid w:val="006512E4"/>
    <w:rsid w:val="00671E4E"/>
    <w:rsid w:val="00673264"/>
    <w:rsid w:val="0067340D"/>
    <w:rsid w:val="00684B86"/>
    <w:rsid w:val="006B4410"/>
    <w:rsid w:val="006C02A3"/>
    <w:rsid w:val="006C1C4E"/>
    <w:rsid w:val="006C3046"/>
    <w:rsid w:val="006D5BA1"/>
    <w:rsid w:val="006F5D0C"/>
    <w:rsid w:val="00715D61"/>
    <w:rsid w:val="007A5CD9"/>
    <w:rsid w:val="007A7D70"/>
    <w:rsid w:val="007D53B6"/>
    <w:rsid w:val="008054A5"/>
    <w:rsid w:val="0081366C"/>
    <w:rsid w:val="0083436C"/>
    <w:rsid w:val="008351EC"/>
    <w:rsid w:val="0084162F"/>
    <w:rsid w:val="00857292"/>
    <w:rsid w:val="008669D1"/>
    <w:rsid w:val="00882A06"/>
    <w:rsid w:val="0088439F"/>
    <w:rsid w:val="00897EB6"/>
    <w:rsid w:val="008A3AF2"/>
    <w:rsid w:val="008B4EB6"/>
    <w:rsid w:val="008D7853"/>
    <w:rsid w:val="008F29D7"/>
    <w:rsid w:val="009310CC"/>
    <w:rsid w:val="009614B3"/>
    <w:rsid w:val="00985103"/>
    <w:rsid w:val="00986712"/>
    <w:rsid w:val="009B4124"/>
    <w:rsid w:val="009B70B2"/>
    <w:rsid w:val="009F68A1"/>
    <w:rsid w:val="00A2075E"/>
    <w:rsid w:val="00A27060"/>
    <w:rsid w:val="00A27FA9"/>
    <w:rsid w:val="00A34653"/>
    <w:rsid w:val="00A37A49"/>
    <w:rsid w:val="00A407BB"/>
    <w:rsid w:val="00A652C9"/>
    <w:rsid w:val="00A75A64"/>
    <w:rsid w:val="00A96DD2"/>
    <w:rsid w:val="00AA1CC0"/>
    <w:rsid w:val="00AB17D9"/>
    <w:rsid w:val="00AC489B"/>
    <w:rsid w:val="00AC5F4A"/>
    <w:rsid w:val="00AE4732"/>
    <w:rsid w:val="00B04DCA"/>
    <w:rsid w:val="00B44CFD"/>
    <w:rsid w:val="00B93A1E"/>
    <w:rsid w:val="00BC1D61"/>
    <w:rsid w:val="00BD1347"/>
    <w:rsid w:val="00BE4C65"/>
    <w:rsid w:val="00BE54BF"/>
    <w:rsid w:val="00C021EA"/>
    <w:rsid w:val="00C037BC"/>
    <w:rsid w:val="00C1011E"/>
    <w:rsid w:val="00C120E1"/>
    <w:rsid w:val="00C23FAA"/>
    <w:rsid w:val="00C3189E"/>
    <w:rsid w:val="00C36149"/>
    <w:rsid w:val="00C667E3"/>
    <w:rsid w:val="00C72E67"/>
    <w:rsid w:val="00CB28BD"/>
    <w:rsid w:val="00CC4F32"/>
    <w:rsid w:val="00CC7A1C"/>
    <w:rsid w:val="00CD4126"/>
    <w:rsid w:val="00CD7993"/>
    <w:rsid w:val="00D12043"/>
    <w:rsid w:val="00D12720"/>
    <w:rsid w:val="00D14B26"/>
    <w:rsid w:val="00D61D73"/>
    <w:rsid w:val="00D67978"/>
    <w:rsid w:val="00D84045"/>
    <w:rsid w:val="00DA0A91"/>
    <w:rsid w:val="00DB20A8"/>
    <w:rsid w:val="00DB53AE"/>
    <w:rsid w:val="00DC2633"/>
    <w:rsid w:val="00DD464A"/>
    <w:rsid w:val="00DE1262"/>
    <w:rsid w:val="00DF6D23"/>
    <w:rsid w:val="00E4036B"/>
    <w:rsid w:val="00E51F60"/>
    <w:rsid w:val="00E62991"/>
    <w:rsid w:val="00EB5380"/>
    <w:rsid w:val="00EB5921"/>
    <w:rsid w:val="00EC69EB"/>
    <w:rsid w:val="00ED50EC"/>
    <w:rsid w:val="00ED6ACE"/>
    <w:rsid w:val="00EF0FCF"/>
    <w:rsid w:val="00F07D40"/>
    <w:rsid w:val="00F11F3D"/>
    <w:rsid w:val="00F164CB"/>
    <w:rsid w:val="00F55F6B"/>
    <w:rsid w:val="00F61B1E"/>
    <w:rsid w:val="00F65E51"/>
    <w:rsid w:val="00F729BC"/>
    <w:rsid w:val="00F87183"/>
    <w:rsid w:val="00FA7363"/>
    <w:rsid w:val="00FB21D1"/>
    <w:rsid w:val="00FB3252"/>
    <w:rsid w:val="00FE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C69EB"/>
    <w:pPr>
      <w:numPr>
        <w:numId w:val="1"/>
      </w:numPr>
      <w:contextualSpacing/>
    </w:pPr>
  </w:style>
  <w:style w:type="paragraph" w:styleId="ListBullet2">
    <w:name w:val="List Bullet 2"/>
    <w:basedOn w:val="Normal"/>
    <w:uiPriority w:val="99"/>
    <w:semiHidden/>
    <w:unhideWhenUsed/>
    <w:rsid w:val="00EC69EB"/>
    <w:pPr>
      <w:numPr>
        <w:numId w:val="2"/>
      </w:numPr>
      <w:tabs>
        <w:tab w:val="clear" w:pos="643"/>
        <w:tab w:val="num" w:pos="360"/>
      </w:tabs>
      <w:ind w:left="0" w:firstLine="0"/>
      <w:contextualSpacing/>
    </w:pPr>
  </w:style>
  <w:style w:type="paragraph" w:styleId="ListBullet3">
    <w:name w:val="List Bullet 3"/>
    <w:basedOn w:val="Normal"/>
    <w:uiPriority w:val="99"/>
    <w:semiHidden/>
    <w:unhideWhenUsed/>
    <w:rsid w:val="00EC69EB"/>
    <w:pPr>
      <w:numPr>
        <w:numId w:val="3"/>
      </w:numPr>
      <w:tabs>
        <w:tab w:val="clear" w:pos="926"/>
        <w:tab w:val="num" w:pos="360"/>
      </w:tabs>
      <w:ind w:left="0" w:firstLine="0"/>
      <w:contextualSpacing/>
    </w:pPr>
  </w:style>
  <w:style w:type="paragraph" w:styleId="ListBullet4">
    <w:name w:val="List Bullet 4"/>
    <w:basedOn w:val="Normal"/>
    <w:uiPriority w:val="99"/>
    <w:semiHidden/>
    <w:unhideWhenUsed/>
    <w:rsid w:val="00EC69EB"/>
    <w:pPr>
      <w:numPr>
        <w:numId w:val="4"/>
      </w:numPr>
      <w:contextualSpacing/>
    </w:pPr>
  </w:style>
  <w:style w:type="paragraph" w:styleId="ListParagraph">
    <w:name w:val="List Paragraph"/>
    <w:basedOn w:val="Normal"/>
    <w:uiPriority w:val="34"/>
    <w:qFormat/>
    <w:rsid w:val="00EC69EB"/>
    <w:pPr>
      <w:spacing w:before="0" w:after="200" w:line="276" w:lineRule="auto"/>
      <w:ind w:left="720"/>
      <w:contextualSpacing/>
      <w:jc w:val="left"/>
    </w:pPr>
    <w:rPr>
      <w:rFonts w:asciiTheme="minorHAnsi" w:hAnsiTheme="minorHAnsi" w:cstheme="minorBidi"/>
      <w:sz w:val="22"/>
    </w:rPr>
  </w:style>
  <w:style w:type="character" w:styleId="Hyperlink">
    <w:name w:val="Hyperlink"/>
    <w:basedOn w:val="DefaultParagraphFont"/>
    <w:uiPriority w:val="99"/>
    <w:unhideWhenUsed/>
    <w:rsid w:val="00EC69EB"/>
    <w:rPr>
      <w:color w:val="0000FF" w:themeColor="hyperlink"/>
      <w:u w:val="single"/>
    </w:rPr>
  </w:style>
  <w:style w:type="paragraph" w:customStyle="1" w:styleId="RUE">
    <w:name w:val="RUE"/>
    <w:basedOn w:val="Normal"/>
    <w:rsid w:val="00EC69EB"/>
    <w:pPr>
      <w:spacing w:before="0" w:after="0"/>
      <w:jc w:val="center"/>
    </w:pPr>
    <w:rPr>
      <w:rFonts w:eastAsia="Times New Roman"/>
      <w:b/>
      <w:caps/>
      <w:sz w:val="32"/>
      <w:szCs w:val="20"/>
      <w:bdr w:val="single" w:sz="18" w:space="0" w:color="auto"/>
      <w:lang w:val="de-DE"/>
    </w:rPr>
  </w:style>
  <w:style w:type="paragraph" w:styleId="Caption">
    <w:name w:val="caption"/>
    <w:basedOn w:val="Normal"/>
    <w:next w:val="Normal"/>
    <w:uiPriority w:val="35"/>
    <w:semiHidden/>
    <w:unhideWhenUsed/>
    <w:qFormat/>
    <w:rsid w:val="006C1C4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C1C4E"/>
    <w:pPr>
      <w:spacing w:after="0"/>
    </w:pPr>
  </w:style>
  <w:style w:type="paragraph" w:styleId="ListNumber">
    <w:name w:val="List Number"/>
    <w:basedOn w:val="Normal"/>
    <w:uiPriority w:val="99"/>
    <w:semiHidden/>
    <w:unhideWhenUsed/>
    <w:rsid w:val="006C1C4E"/>
    <w:pPr>
      <w:numPr>
        <w:numId w:val="5"/>
      </w:numPr>
      <w:contextualSpacing/>
    </w:pPr>
  </w:style>
  <w:style w:type="paragraph" w:styleId="ListNumber2">
    <w:name w:val="List Number 2"/>
    <w:basedOn w:val="Normal"/>
    <w:uiPriority w:val="99"/>
    <w:semiHidden/>
    <w:unhideWhenUsed/>
    <w:rsid w:val="006C1C4E"/>
    <w:pPr>
      <w:numPr>
        <w:numId w:val="6"/>
      </w:numPr>
      <w:contextualSpacing/>
    </w:pPr>
  </w:style>
  <w:style w:type="paragraph" w:styleId="ListNumber3">
    <w:name w:val="List Number 3"/>
    <w:basedOn w:val="Normal"/>
    <w:uiPriority w:val="99"/>
    <w:semiHidden/>
    <w:unhideWhenUsed/>
    <w:rsid w:val="006C1C4E"/>
    <w:pPr>
      <w:numPr>
        <w:numId w:val="7"/>
      </w:numPr>
      <w:contextualSpacing/>
    </w:pPr>
  </w:style>
  <w:style w:type="paragraph" w:styleId="ListNumber4">
    <w:name w:val="List Number 4"/>
    <w:basedOn w:val="Normal"/>
    <w:uiPriority w:val="99"/>
    <w:semiHidden/>
    <w:unhideWhenUsed/>
    <w:rsid w:val="006C1C4E"/>
    <w:pPr>
      <w:numPr>
        <w:numId w:val="8"/>
      </w:numPr>
      <w:contextualSpacing/>
    </w:pPr>
  </w:style>
  <w:style w:type="character" w:styleId="CommentReference">
    <w:name w:val="annotation reference"/>
    <w:basedOn w:val="DefaultParagraphFont"/>
    <w:uiPriority w:val="99"/>
    <w:semiHidden/>
    <w:unhideWhenUsed/>
    <w:rsid w:val="006512E4"/>
    <w:rPr>
      <w:sz w:val="16"/>
      <w:szCs w:val="16"/>
    </w:rPr>
  </w:style>
  <w:style w:type="paragraph" w:styleId="CommentText">
    <w:name w:val="annotation text"/>
    <w:basedOn w:val="Normal"/>
    <w:link w:val="CommentTextChar"/>
    <w:uiPriority w:val="99"/>
    <w:semiHidden/>
    <w:unhideWhenUsed/>
    <w:rsid w:val="006512E4"/>
    <w:rPr>
      <w:sz w:val="20"/>
      <w:szCs w:val="20"/>
    </w:rPr>
  </w:style>
  <w:style w:type="character" w:customStyle="1" w:styleId="CommentTextChar">
    <w:name w:val="Comment Text Char"/>
    <w:basedOn w:val="DefaultParagraphFont"/>
    <w:link w:val="CommentText"/>
    <w:uiPriority w:val="99"/>
    <w:semiHidden/>
    <w:rsid w:val="006512E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512E4"/>
    <w:rPr>
      <w:b/>
      <w:bCs/>
    </w:rPr>
  </w:style>
  <w:style w:type="character" w:customStyle="1" w:styleId="CommentSubjectChar">
    <w:name w:val="Comment Subject Char"/>
    <w:basedOn w:val="CommentTextChar"/>
    <w:link w:val="CommentSubject"/>
    <w:uiPriority w:val="99"/>
    <w:semiHidden/>
    <w:rsid w:val="006512E4"/>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512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E4"/>
    <w:rPr>
      <w:rFonts w:ascii="Tahoma" w:hAnsi="Tahoma" w:cs="Tahoma"/>
      <w:sz w:val="16"/>
      <w:szCs w:val="16"/>
      <w:lang w:val="en-GB"/>
    </w:rPr>
  </w:style>
  <w:style w:type="paragraph" w:customStyle="1" w:styleId="Default">
    <w:name w:val="Default"/>
    <w:rsid w:val="0035628C"/>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sid w:val="0035628C"/>
    <w:rPr>
      <w:rFonts w:cstheme="minorBidi"/>
      <w:color w:val="auto"/>
    </w:rPr>
  </w:style>
  <w:style w:type="paragraph" w:customStyle="1" w:styleId="CM3">
    <w:name w:val="CM3"/>
    <w:basedOn w:val="Default"/>
    <w:next w:val="Default"/>
    <w:uiPriority w:val="99"/>
    <w:rsid w:val="0035628C"/>
    <w:rPr>
      <w:rFonts w:cstheme="minorBidi"/>
      <w:color w:val="auto"/>
    </w:rPr>
  </w:style>
  <w:style w:type="paragraph" w:styleId="Header">
    <w:name w:val="header"/>
    <w:basedOn w:val="Normal"/>
    <w:link w:val="HeaderChar"/>
    <w:uiPriority w:val="99"/>
    <w:unhideWhenUsed/>
    <w:rsid w:val="000C6176"/>
    <w:pPr>
      <w:tabs>
        <w:tab w:val="center" w:pos="4535"/>
        <w:tab w:val="right" w:pos="9071"/>
      </w:tabs>
      <w:spacing w:before="0"/>
    </w:pPr>
  </w:style>
  <w:style w:type="character" w:customStyle="1" w:styleId="HeaderChar">
    <w:name w:val="Header Char"/>
    <w:basedOn w:val="DefaultParagraphFont"/>
    <w:link w:val="Header"/>
    <w:uiPriority w:val="99"/>
    <w:rsid w:val="000C6176"/>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0C617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C69EB"/>
    <w:pPr>
      <w:numPr>
        <w:numId w:val="1"/>
      </w:numPr>
      <w:contextualSpacing/>
    </w:pPr>
  </w:style>
  <w:style w:type="paragraph" w:styleId="ListBullet2">
    <w:name w:val="List Bullet 2"/>
    <w:basedOn w:val="Normal"/>
    <w:uiPriority w:val="99"/>
    <w:semiHidden/>
    <w:unhideWhenUsed/>
    <w:rsid w:val="00EC69EB"/>
    <w:pPr>
      <w:numPr>
        <w:numId w:val="2"/>
      </w:numPr>
      <w:tabs>
        <w:tab w:val="clear" w:pos="643"/>
        <w:tab w:val="num" w:pos="360"/>
      </w:tabs>
      <w:ind w:left="0" w:firstLine="0"/>
      <w:contextualSpacing/>
    </w:pPr>
  </w:style>
  <w:style w:type="paragraph" w:styleId="ListBullet3">
    <w:name w:val="List Bullet 3"/>
    <w:basedOn w:val="Normal"/>
    <w:uiPriority w:val="99"/>
    <w:semiHidden/>
    <w:unhideWhenUsed/>
    <w:rsid w:val="00EC69EB"/>
    <w:pPr>
      <w:numPr>
        <w:numId w:val="3"/>
      </w:numPr>
      <w:tabs>
        <w:tab w:val="clear" w:pos="926"/>
        <w:tab w:val="num" w:pos="360"/>
      </w:tabs>
      <w:ind w:left="0" w:firstLine="0"/>
      <w:contextualSpacing/>
    </w:pPr>
  </w:style>
  <w:style w:type="paragraph" w:styleId="ListBullet4">
    <w:name w:val="List Bullet 4"/>
    <w:basedOn w:val="Normal"/>
    <w:uiPriority w:val="99"/>
    <w:semiHidden/>
    <w:unhideWhenUsed/>
    <w:rsid w:val="00EC69EB"/>
    <w:pPr>
      <w:numPr>
        <w:numId w:val="4"/>
      </w:numPr>
      <w:contextualSpacing/>
    </w:pPr>
  </w:style>
  <w:style w:type="paragraph" w:styleId="ListParagraph">
    <w:name w:val="List Paragraph"/>
    <w:basedOn w:val="Normal"/>
    <w:uiPriority w:val="34"/>
    <w:qFormat/>
    <w:rsid w:val="00EC69EB"/>
    <w:pPr>
      <w:spacing w:before="0" w:after="200" w:line="276" w:lineRule="auto"/>
      <w:ind w:left="720"/>
      <w:contextualSpacing/>
      <w:jc w:val="left"/>
    </w:pPr>
    <w:rPr>
      <w:rFonts w:asciiTheme="minorHAnsi" w:hAnsiTheme="minorHAnsi" w:cstheme="minorBidi"/>
      <w:sz w:val="22"/>
    </w:rPr>
  </w:style>
  <w:style w:type="character" w:styleId="Hyperlink">
    <w:name w:val="Hyperlink"/>
    <w:basedOn w:val="DefaultParagraphFont"/>
    <w:uiPriority w:val="99"/>
    <w:unhideWhenUsed/>
    <w:rsid w:val="00EC69EB"/>
    <w:rPr>
      <w:color w:val="0000FF" w:themeColor="hyperlink"/>
      <w:u w:val="single"/>
    </w:rPr>
  </w:style>
  <w:style w:type="paragraph" w:customStyle="1" w:styleId="RUE">
    <w:name w:val="RUE"/>
    <w:basedOn w:val="Normal"/>
    <w:rsid w:val="00EC69EB"/>
    <w:pPr>
      <w:spacing w:before="0" w:after="0"/>
      <w:jc w:val="center"/>
    </w:pPr>
    <w:rPr>
      <w:rFonts w:eastAsia="Times New Roman"/>
      <w:b/>
      <w:caps/>
      <w:sz w:val="32"/>
      <w:szCs w:val="20"/>
      <w:bdr w:val="single" w:sz="18" w:space="0" w:color="auto"/>
      <w:lang w:val="de-DE"/>
    </w:rPr>
  </w:style>
  <w:style w:type="paragraph" w:styleId="Caption">
    <w:name w:val="caption"/>
    <w:basedOn w:val="Normal"/>
    <w:next w:val="Normal"/>
    <w:uiPriority w:val="35"/>
    <w:semiHidden/>
    <w:unhideWhenUsed/>
    <w:qFormat/>
    <w:rsid w:val="006C1C4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C1C4E"/>
    <w:pPr>
      <w:spacing w:after="0"/>
    </w:pPr>
  </w:style>
  <w:style w:type="paragraph" w:styleId="ListNumber">
    <w:name w:val="List Number"/>
    <w:basedOn w:val="Normal"/>
    <w:uiPriority w:val="99"/>
    <w:semiHidden/>
    <w:unhideWhenUsed/>
    <w:rsid w:val="006C1C4E"/>
    <w:pPr>
      <w:numPr>
        <w:numId w:val="5"/>
      </w:numPr>
      <w:contextualSpacing/>
    </w:pPr>
  </w:style>
  <w:style w:type="paragraph" w:styleId="ListNumber2">
    <w:name w:val="List Number 2"/>
    <w:basedOn w:val="Normal"/>
    <w:uiPriority w:val="99"/>
    <w:semiHidden/>
    <w:unhideWhenUsed/>
    <w:rsid w:val="006C1C4E"/>
    <w:pPr>
      <w:numPr>
        <w:numId w:val="6"/>
      </w:numPr>
      <w:contextualSpacing/>
    </w:pPr>
  </w:style>
  <w:style w:type="paragraph" w:styleId="ListNumber3">
    <w:name w:val="List Number 3"/>
    <w:basedOn w:val="Normal"/>
    <w:uiPriority w:val="99"/>
    <w:semiHidden/>
    <w:unhideWhenUsed/>
    <w:rsid w:val="006C1C4E"/>
    <w:pPr>
      <w:numPr>
        <w:numId w:val="7"/>
      </w:numPr>
      <w:contextualSpacing/>
    </w:pPr>
  </w:style>
  <w:style w:type="paragraph" w:styleId="ListNumber4">
    <w:name w:val="List Number 4"/>
    <w:basedOn w:val="Normal"/>
    <w:uiPriority w:val="99"/>
    <w:semiHidden/>
    <w:unhideWhenUsed/>
    <w:rsid w:val="006C1C4E"/>
    <w:pPr>
      <w:numPr>
        <w:numId w:val="8"/>
      </w:numPr>
      <w:contextualSpacing/>
    </w:pPr>
  </w:style>
  <w:style w:type="character" w:styleId="CommentReference">
    <w:name w:val="annotation reference"/>
    <w:basedOn w:val="DefaultParagraphFont"/>
    <w:uiPriority w:val="99"/>
    <w:semiHidden/>
    <w:unhideWhenUsed/>
    <w:rsid w:val="006512E4"/>
    <w:rPr>
      <w:sz w:val="16"/>
      <w:szCs w:val="16"/>
    </w:rPr>
  </w:style>
  <w:style w:type="paragraph" w:styleId="CommentText">
    <w:name w:val="annotation text"/>
    <w:basedOn w:val="Normal"/>
    <w:link w:val="CommentTextChar"/>
    <w:uiPriority w:val="99"/>
    <w:semiHidden/>
    <w:unhideWhenUsed/>
    <w:rsid w:val="006512E4"/>
    <w:rPr>
      <w:sz w:val="20"/>
      <w:szCs w:val="20"/>
    </w:rPr>
  </w:style>
  <w:style w:type="character" w:customStyle="1" w:styleId="CommentTextChar">
    <w:name w:val="Comment Text Char"/>
    <w:basedOn w:val="DefaultParagraphFont"/>
    <w:link w:val="CommentText"/>
    <w:uiPriority w:val="99"/>
    <w:semiHidden/>
    <w:rsid w:val="006512E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512E4"/>
    <w:rPr>
      <w:b/>
      <w:bCs/>
    </w:rPr>
  </w:style>
  <w:style w:type="character" w:customStyle="1" w:styleId="CommentSubjectChar">
    <w:name w:val="Comment Subject Char"/>
    <w:basedOn w:val="CommentTextChar"/>
    <w:link w:val="CommentSubject"/>
    <w:uiPriority w:val="99"/>
    <w:semiHidden/>
    <w:rsid w:val="006512E4"/>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512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E4"/>
    <w:rPr>
      <w:rFonts w:ascii="Tahoma" w:hAnsi="Tahoma" w:cs="Tahoma"/>
      <w:sz w:val="16"/>
      <w:szCs w:val="16"/>
      <w:lang w:val="en-GB"/>
    </w:rPr>
  </w:style>
  <w:style w:type="paragraph" w:customStyle="1" w:styleId="Default">
    <w:name w:val="Default"/>
    <w:rsid w:val="0035628C"/>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sid w:val="0035628C"/>
    <w:rPr>
      <w:rFonts w:cstheme="minorBidi"/>
      <w:color w:val="auto"/>
    </w:rPr>
  </w:style>
  <w:style w:type="paragraph" w:customStyle="1" w:styleId="CM3">
    <w:name w:val="CM3"/>
    <w:basedOn w:val="Default"/>
    <w:next w:val="Default"/>
    <w:uiPriority w:val="99"/>
    <w:rsid w:val="0035628C"/>
    <w:rPr>
      <w:rFonts w:cstheme="minorBidi"/>
      <w:color w:val="auto"/>
    </w:rPr>
  </w:style>
  <w:style w:type="paragraph" w:styleId="Header">
    <w:name w:val="header"/>
    <w:basedOn w:val="Normal"/>
    <w:link w:val="HeaderChar"/>
    <w:uiPriority w:val="99"/>
    <w:unhideWhenUsed/>
    <w:rsid w:val="000C6176"/>
    <w:pPr>
      <w:tabs>
        <w:tab w:val="center" w:pos="4535"/>
        <w:tab w:val="right" w:pos="9071"/>
      </w:tabs>
      <w:spacing w:before="0"/>
    </w:pPr>
  </w:style>
  <w:style w:type="character" w:customStyle="1" w:styleId="HeaderChar">
    <w:name w:val="Header Char"/>
    <w:basedOn w:val="DefaultParagraphFont"/>
    <w:link w:val="Header"/>
    <w:uiPriority w:val="99"/>
    <w:rsid w:val="000C6176"/>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0C617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6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docs/2015/october/tradoc_153846.pdf" TargetMode="External"/><Relationship Id="rId7" Type="http://schemas.openxmlformats.org/officeDocument/2006/relationships/hyperlink" Target="http://eur-lex.europa.eu/legal-content/EN/TXT/?uri=CELEX:32013D0488" TargetMode="External"/><Relationship Id="rId2" Type="http://schemas.openxmlformats.org/officeDocument/2006/relationships/hyperlink" Target="http://europa.eu/rapid/press-release_STATEMENT-15-6088_en.htm" TargetMode="External"/><Relationship Id="rId1" Type="http://schemas.openxmlformats.org/officeDocument/2006/relationships/hyperlink" Target="http://eeas.europa.eu/statements-eeas/2015/150422_04_en.htm" TargetMode="External"/><Relationship Id="rId6" Type="http://schemas.openxmlformats.org/officeDocument/2006/relationships/hyperlink" Target="http://ec.europa.eu/priorities/jobs-growth-investment/plan/index_en.htm" TargetMode="External"/><Relationship Id="rId5" Type="http://schemas.openxmlformats.org/officeDocument/2006/relationships/hyperlink" Target="http://ec.europa.eu/eu2020/pdf/COMPLET%20EN%20BARROSO%20%20%20007%20-%20Europe%202020%20-%20EN%20version.pdf" TargetMode="External"/><Relationship Id="rId4" Type="http://schemas.openxmlformats.org/officeDocument/2006/relationships/hyperlink" Target="http://www.consilium.europa.eu/uedocs/cms_data/docs/pressdata/EN/foraff/1459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9698-4C00-49F1-ACA8-C54412AA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9</TotalTime>
  <Pages>7</Pages>
  <Words>1883</Words>
  <Characters>10801</Characters>
  <Application>Microsoft Office Word</Application>
  <DocSecurity>0</DocSecurity>
  <Lines>194</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KUDRYK Katarzyna (SG)</cp:lastModifiedBy>
  <cp:revision>4</cp:revision>
  <cp:lastPrinted>2017-09-04T09:11:00Z</cp:lastPrinted>
  <dcterms:created xsi:type="dcterms:W3CDTF">2017-09-12T08:22:00Z</dcterms:created>
  <dcterms:modified xsi:type="dcterms:W3CDTF">2017-09-12T10:50:00Z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