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F09F94EC18EF4802992A59547D7C00EB" style="width:450.8pt;height:365.6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  <w:u w:color="000000"/>
          <w:bdr w:val="nil"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Bullet0"/>
        <w:numPr>
          <w:ilvl w:val="0"/>
          <w:numId w:val="2"/>
        </w:numPr>
        <w:rPr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Основания и цели на предложението</w:t>
      </w:r>
    </w:p>
    <w:p>
      <w:pPr>
        <w:snapToGrid w:val="0"/>
        <w:rPr>
          <w:noProof/>
          <w:szCs w:val="24"/>
        </w:rPr>
      </w:pPr>
      <w:r>
        <w:rPr>
          <w:noProof/>
        </w:rPr>
        <w:t>Европейският съюз (ЕС) поддържа с Нова Зеландия отлични политически връзки и добре развити връзки в областта на търговията и инвестициите, основаващи се на общи ценности, каквито са демокрацията и правата на човека. Нова Зеландия има сключени голям брой споразумения за свободна търговия (ССТ) с трети държави. ЕС няма двустранно ССТ с Нова Зеландия, поради което са сравнително по-малко благоприятни условията за достъп на предприятията от ЕС до новозеландския пазар.</w:t>
      </w:r>
    </w:p>
    <w:p>
      <w:pPr>
        <w:snapToGrid w:val="0"/>
        <w:rPr>
          <w:noProof/>
          <w:szCs w:val="24"/>
        </w:rPr>
      </w:pPr>
      <w:r>
        <w:rPr>
          <w:noProof/>
        </w:rPr>
        <w:t>В съвместното си изявление от 29 октомври 2015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ръководителите на ЕС и Нова Зеландия поеха ангажимента да дадат начало на преговорния процес с цел сключване в кратък срок на изчерпателно и всеобхватно ССТ с високо качество.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</w:rPr>
        <w:t>Главната цел на предложението е да се създадат по-благоприятни условия за по</w:t>
      </w:r>
      <w:r>
        <w:rPr>
          <w:noProof/>
        </w:rPr>
        <w:noBreakHyphen/>
        <w:t>нататъшно увеличаване на търговския обмен и инвестициите между ЕС и Нова Зеландия.</w:t>
      </w:r>
      <w:r>
        <w:rPr>
          <w:noProof/>
          <w:color w:val="000000"/>
          <w:u w:color="000000"/>
          <w:bdr w:val="nil"/>
        </w:rPr>
        <w:t xml:space="preserve"> Общите цели на настоящото предложение включват, както следва:</w:t>
      </w:r>
    </w:p>
    <w:p>
      <w:pPr>
        <w:pStyle w:val="Bullet0"/>
        <w:numPr>
          <w:ilvl w:val="0"/>
          <w:numId w:val="1"/>
        </w:numPr>
        <w:rPr>
          <w:noProof/>
          <w:u w:color="000000"/>
          <w:bdr w:val="nil"/>
        </w:rPr>
      </w:pPr>
      <w:r>
        <w:rPr>
          <w:noProof/>
        </w:rPr>
        <w:t>насърчаването на интелигентен, устойчив и приобщаващ растеж чрез разширяване на търговията;</w:t>
      </w:r>
    </w:p>
    <w:p>
      <w:pPr>
        <w:pStyle w:val="Bullet0"/>
        <w:numPr>
          <w:ilvl w:val="0"/>
          <w:numId w:val="1"/>
        </w:numPr>
        <w:rPr>
          <w:noProof/>
          <w:bdr w:val="none" w:sz="0" w:space="0" w:color="auto" w:frame="1"/>
        </w:rPr>
      </w:pPr>
      <w:r>
        <w:rPr>
          <w:noProof/>
        </w:rPr>
        <w:t>създаването на работни места и на възможности за трудова заетост, както и повишаването на благосъстоянието;</w:t>
      </w:r>
    </w:p>
    <w:p>
      <w:pPr>
        <w:pStyle w:val="Bullet0"/>
        <w:numPr>
          <w:ilvl w:val="0"/>
          <w:numId w:val="1"/>
        </w:numPr>
        <w:rPr>
          <w:noProof/>
          <w:bdr w:val="none" w:sz="0" w:space="0" w:color="auto" w:frame="1"/>
        </w:rPr>
      </w:pPr>
      <w:r>
        <w:rPr>
          <w:noProof/>
        </w:rPr>
        <w:t xml:space="preserve">увеличаването на ползите за потребителите; </w:t>
      </w:r>
    </w:p>
    <w:p>
      <w:pPr>
        <w:pStyle w:val="Bullet0"/>
        <w:rPr>
          <w:noProof/>
          <w:u w:color="000000"/>
          <w:bdr w:val="nil"/>
        </w:rPr>
      </w:pPr>
      <w:r>
        <w:rPr>
          <w:noProof/>
        </w:rPr>
        <w:t>повишаването на конкурентоспособността на Европа на световните пазари, както и</w:t>
      </w:r>
    </w:p>
    <w:p>
      <w:pPr>
        <w:pStyle w:val="Bullet0"/>
        <w:rPr>
          <w:noProof/>
          <w:u w:color="000000"/>
          <w:bdr w:val="nil"/>
        </w:rPr>
      </w:pPr>
      <w:r>
        <w:rPr>
          <w:noProof/>
        </w:rPr>
        <w:t>укрепването на сътрудничеството по свързани с търговията въпроси с партньор, който споделя същите ценности.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Тези цели са в духа на съобщението на Комисията, озаглавено „Търговията — за всички. Към една по-отговорна търговска и инвестиционна политика“</w:t>
      </w:r>
      <w:r>
        <w:rPr>
          <w:rStyle w:val="FootnoteReference"/>
          <w:noProof/>
          <w:color w:val="000000"/>
          <w:u w:color="000000"/>
          <w:bdr w:val="nil"/>
        </w:rPr>
        <w:footnoteReference w:id="2"/>
      </w:r>
      <w:r>
        <w:rPr>
          <w:noProof/>
          <w:color w:val="000000"/>
          <w:u w:color="000000"/>
          <w:bdr w:val="nil"/>
        </w:rPr>
        <w:t>. В</w:t>
      </w:r>
      <w:r>
        <w:rPr>
          <w:noProof/>
          <w:color w:val="000000"/>
          <w:u w:color="000000"/>
          <w:bdr w:val="nil"/>
          <w:lang w:val="fr-CA"/>
        </w:rPr>
        <w:t> </w:t>
      </w:r>
      <w:r>
        <w:rPr>
          <w:noProof/>
          <w:color w:val="000000"/>
          <w:u w:color="000000"/>
          <w:bdr w:val="nil"/>
        </w:rPr>
        <w:t xml:space="preserve">съобщението се подчертава необходимостта да се даде нов тласък на двустранните ни връзки, за да се осигурят работни места и растеж, като се премахнат като цяло пречките пред търговията и инвестициите. Същевременно е необходимо да се съхрани високото равнище на социална и екологична защита в ЕС и да се допринесе за постигането и на други свързани с търговията цели на политиката, в т.ч. устойчивото развитие и специалните нужди на малките и средните предприятия (МСП).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 xml:space="preserve">По-специално, в съобщението „Търговията — за всички“ се подчертава, че „Австралия и Нова Зеландия са близки партньори на Европа, които споделят европейските ценности и мнения по много въпроси и играят важна роля в азиатско-тихоокеанския регион и в многостранните форуми. По-здравите икономически връзки с тези държави ще осигурят и солидна основа за по-задълбочена интеграция с по-широк кръг от вериги </w:t>
      </w:r>
      <w:r>
        <w:rPr>
          <w:noProof/>
          <w:color w:val="000000"/>
          <w:u w:color="000000"/>
          <w:bdr w:val="nil"/>
        </w:rPr>
        <w:lastRenderedPageBreak/>
        <w:t>за създаване на стойност в азиатско-тихоокеанския регион. Укрепването на тези връзки следва да бъде приоритет.“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Освен това целите са в съответствие със заключенията на Съвета относно търговията от 21 ноември 2014 г.</w:t>
      </w:r>
      <w:r>
        <w:rPr>
          <w:rStyle w:val="FootnoteReference"/>
          <w:noProof/>
          <w:color w:val="000000"/>
          <w:u w:color="000000"/>
          <w:bdr w:val="nil"/>
        </w:rPr>
        <w:footnoteReference w:id="3"/>
      </w:r>
      <w:r>
        <w:rPr>
          <w:noProof/>
          <w:color w:val="000000"/>
          <w:u w:color="000000"/>
          <w:bdr w:val="nil"/>
        </w:rPr>
        <w:t>, в които се подчертава, че търговията със стоки, услуги и инвестициите могат да дадат значителен принос към постигането на целите, залегнали в основата на „Стратегическата програма за Съюза в период на промени“. В заключенията се заявява и че въз основа на постигнатия осезателен напредък по двустранната търговска програма на ЕС усилията следва да се посветят на постигане на споразумения с особено важни партньори. По същия начин тази цел съответства и на заключенията на Съвета относно търговията и инвестициите от 27 ноември 2015 г.</w:t>
      </w:r>
      <w:r>
        <w:rPr>
          <w:rStyle w:val="FootnoteReference"/>
          <w:noProof/>
          <w:color w:val="000000"/>
          <w:u w:color="000000"/>
          <w:bdr w:val="nil"/>
        </w:rPr>
        <w:footnoteReference w:id="4"/>
      </w:r>
      <w:r>
        <w:rPr>
          <w:noProof/>
          <w:color w:val="000000"/>
          <w:u w:color="000000"/>
          <w:bdr w:val="nil"/>
        </w:rPr>
        <w:t xml:space="preserve">, в които той подкрепя сключването на амбициозни, всеобхватни и взаимноизгодни двустранни споразумения за търговия и инвестиции и призовава Комисията да работи за постигане на напредък в преговорите в азиатско-тихоокеанския регион. 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Съгласуваност със съществуващите разпоредби в тази област на политиката</w:t>
      </w:r>
    </w:p>
    <w:p>
      <w:pPr>
        <w:rPr>
          <w:bCs/>
          <w:noProof/>
          <w:szCs w:val="24"/>
        </w:rPr>
      </w:pPr>
      <w:r>
        <w:rPr>
          <w:noProof/>
        </w:rPr>
        <w:t>Описаните по-горе цели са напълно съвместими с Договора за Европейския съюз (ДЕС), според който Европейският съюз следва да насърчава интеграцията на всички страни в световната икономика, включително чрез постепенно премахване на пречките пред международната търговия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>
      <w:pPr>
        <w:rPr>
          <w:bCs/>
          <w:noProof/>
          <w:szCs w:val="24"/>
        </w:rPr>
      </w:pPr>
      <w:r>
        <w:rPr>
          <w:noProof/>
        </w:rPr>
        <w:t>Тези цели са в съответствие и със съобщението „Европа 2020 — Стратегия за интелигентен, устойчив и приобщаващ растеж“</w:t>
      </w:r>
      <w:r>
        <w:rPr>
          <w:rStyle w:val="FootnoteReference"/>
          <w:noProof/>
        </w:rPr>
        <w:footnoteReference w:id="6"/>
      </w:r>
      <w:r>
        <w:rPr>
          <w:noProof/>
        </w:rPr>
        <w:t>, в което се посочва, че търговската стратегия на Европа ще включва „предложения за стратегически диалози на високо равнище с основни партньори за дискусии по въпроси, вариращи от пазарния достъп, регулаторната рамка, световните дисбаланси, енергетиката и измененията на климата и достъпа до суровини, до бедността, образованието и развитието в света“.</w:t>
      </w:r>
    </w:p>
    <w:p>
      <w:pPr>
        <w:rPr>
          <w:bCs/>
          <w:noProof/>
          <w:szCs w:val="24"/>
        </w:rPr>
      </w:pPr>
      <w:r>
        <w:rPr>
          <w:noProof/>
        </w:rPr>
        <w:t>Наред с това целите са в пълно съответствие с целите, формулирани в съобщенията на Европейската комисия, озаглавени „Small Business Act“ за Европа“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(2008 г.) и „Малък бизнес, голям свят“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(2011 г.). Подкрепата за икономическите дейности на МСП извън ЕС също е част от общата стратегия на Съюза във връзка с конкурентоспособността, както се изтъква в съобщението „За възраждане на европейската промишленост“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(2014 г.).</w:t>
      </w:r>
    </w:p>
    <w:p>
      <w:pPr>
        <w:rPr>
          <w:bCs/>
          <w:noProof/>
          <w:szCs w:val="24"/>
        </w:rPr>
      </w:pPr>
      <w:r>
        <w:rPr>
          <w:noProof/>
        </w:rPr>
        <w:t xml:space="preserve">Целите отговарят също така на принципите, установени в ДЕС, които гласят, че политиките и действията на ЕС следва да бъдат насочени към </w:t>
      </w:r>
      <w:r>
        <w:rPr>
          <w:i/>
          <w:noProof/>
        </w:rPr>
        <w:t>утвърждаване и укрепване на правата на човека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и към </w:t>
      </w:r>
      <w:r>
        <w:rPr>
          <w:i/>
          <w:noProof/>
        </w:rPr>
        <w:t xml:space="preserve">допринасяне за разработването на международни мерки за опазване и подобряване на качеството на околната среда и </w:t>
      </w:r>
      <w:r>
        <w:rPr>
          <w:i/>
          <w:noProof/>
        </w:rPr>
        <w:lastRenderedPageBreak/>
        <w:t>устойчивото управление на световните природни ресурси, с цел осигуряване на устойчиво развитие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>
      <w:pPr>
        <w:tabs>
          <w:tab w:val="left" w:pos="1425"/>
        </w:tabs>
        <w:rPr>
          <w:bCs/>
          <w:noProof/>
          <w:szCs w:val="24"/>
        </w:rPr>
      </w:pPr>
      <w:r>
        <w:rPr>
          <w:noProof/>
        </w:rPr>
        <w:t>Целите са в съответствие с другите политики на ЕС и с Хартата на основните права на Европейския съюз.</w:t>
      </w:r>
    </w:p>
    <w:p>
      <w:pPr>
        <w:tabs>
          <w:tab w:val="left" w:pos="1425"/>
        </w:tabs>
        <w:rPr>
          <w:bCs/>
          <w:noProof/>
          <w:szCs w:val="24"/>
        </w:rPr>
      </w:pPr>
      <w:r>
        <w:rPr>
          <w:noProof/>
        </w:rPr>
        <w:t>И накрая, целите са съобразени с приоритета на Комисията „Юнкер“ за възстановяване на растежа в Европа и увеличаване на работните места, без да се генерират нови дългове, с Инвестиционния план (или Европейския фонд за стратегически инвестиции)</w:t>
      </w:r>
      <w:r>
        <w:rPr>
          <w:rStyle w:val="FootnoteReference"/>
          <w:noProof/>
        </w:rPr>
        <w:footnoteReference w:id="12"/>
      </w:r>
      <w:r>
        <w:rPr>
          <w:noProof/>
        </w:rPr>
        <w:t>, както и със специфичните приоритети, набелязани в Работната програма на Комисията за 2017 г.</w:t>
      </w:r>
      <w:r>
        <w:rPr>
          <w:rStyle w:val="FootnoteReference"/>
          <w:noProof/>
        </w:rPr>
        <w:footnoteReference w:id="13"/>
      </w:r>
    </w:p>
    <w:p>
      <w:pPr>
        <w:tabs>
          <w:tab w:val="left" w:pos="1425"/>
        </w:tabs>
        <w:rPr>
          <w:bCs/>
          <w:noProof/>
          <w:szCs w:val="24"/>
        </w:rPr>
      </w:pPr>
      <w:r>
        <w:rPr>
          <w:noProof/>
        </w:rPr>
        <w:t>Настоящата препоръка се отнася до споразумение, което да обхване либерализирането на търговията със стоки, услугите, обществените поръчки и преките чуждестранни инвестиции, заедно със свързаните с тях правила, например по отношение на правата върху интелектуална собственост.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Съгласуваност с другите политики на Съюза</w:t>
      </w:r>
    </w:p>
    <w:p>
      <w:pPr>
        <w:tabs>
          <w:tab w:val="left" w:pos="1425"/>
        </w:tabs>
        <w:rPr>
          <w:bCs/>
          <w:noProof/>
          <w:szCs w:val="24"/>
        </w:rPr>
      </w:pPr>
      <w:r>
        <w:rPr>
          <w:noProof/>
        </w:rPr>
        <w:t>Въпросът за съгласуваността със съществуващите разпоредби в тази област на политиката е разгледан по-горе в раздела „Съгласуваност със съществуващите разпоредби в тази област на политиката“.</w:t>
      </w:r>
    </w:p>
    <w:p>
      <w:pPr>
        <w:pStyle w:val="ManualHeading1"/>
        <w:rPr>
          <w:rFonts w:eastAsia="Arial Unicode MS"/>
          <w:b w:val="0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2.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ПРАВНО ОСНОВАНИЕ, СУБСИДИАРНОСТ И ПРОПОРЦИОНАЛНОСТ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Правно основание</w:t>
      </w:r>
    </w:p>
    <w:p>
      <w:pPr>
        <w:spacing w:after="240"/>
        <w:rPr>
          <w:rFonts w:eastAsia="Calibri"/>
          <w:noProof/>
          <w:szCs w:val="24"/>
        </w:rPr>
      </w:pPr>
      <w:r>
        <w:rPr>
          <w:noProof/>
        </w:rPr>
        <w:t>Член 218, параграфи 3 и 4 от Договора за функционирането на Европейския съюз (ДФЕС).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Субсидиарност (при неизключителна компетентност)</w:t>
      </w:r>
    </w:p>
    <w:p>
      <w:pPr>
        <w:spacing w:after="240"/>
        <w:rPr>
          <w:noProof/>
          <w:szCs w:val="24"/>
        </w:rPr>
      </w:pPr>
      <w:r>
        <w:rPr>
          <w:noProof/>
        </w:rPr>
        <w:t xml:space="preserve">Съгласно член 5, параграф 3 от ДЕС принципът на субсидиарност не се прилага в областите, които попадат в изключителната компетентност на ЕС. Общата търговска политика е сред областите, изброени в член 3 от ДФЕС, в които Съюзът разполага с изключителна компетентност. Тази политика включва договарянето на търговски споразумения по реда на, </w:t>
      </w:r>
      <w:r>
        <w:rPr>
          <w:i/>
          <w:noProof/>
        </w:rPr>
        <w:t>inter alia</w:t>
      </w:r>
      <w:r>
        <w:rPr>
          <w:noProof/>
        </w:rPr>
        <w:t>, член 207 от ДФЕС.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Пропорционалност</w:t>
      </w:r>
    </w:p>
    <w:p>
      <w:pPr>
        <w:spacing w:after="240"/>
        <w:rPr>
          <w:bCs/>
          <w:noProof/>
          <w:szCs w:val="24"/>
        </w:rPr>
      </w:pPr>
      <w:r>
        <w:rPr>
          <w:noProof/>
        </w:rPr>
        <w:t>В съответствие с принципа на пропорционалност бяха разгледани всички възможни варианти на политиката, за да се оцени вероятната ефективност на тези политически намеси, както е подробно описано в Доклада за оценка на въздействието.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Решение на Съвета на Европейския съюз</w:t>
      </w:r>
    </w:p>
    <w:p>
      <w:pPr>
        <w:pStyle w:val="ManualHeading1"/>
        <w:rPr>
          <w:rFonts w:eastAsia="Arial Unicode MS"/>
          <w:b w:val="0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3.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Последващи оценки/проверки за пригодност на съществуващото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Не е приложимо.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Консултации със заинтересованите страни</w:t>
      </w:r>
    </w:p>
    <w:p>
      <w:pPr>
        <w:spacing w:after="240"/>
        <w:rPr>
          <w:rFonts w:eastAsia="Calibri"/>
          <w:noProof/>
          <w:color w:val="000000"/>
          <w:szCs w:val="24"/>
        </w:rPr>
      </w:pPr>
      <w:r>
        <w:rPr>
          <w:noProof/>
          <w:color w:val="000000"/>
        </w:rPr>
        <w:t>Комисията активно си взаимодейства със заинтересованите партньори и проведе обширна обществена онлайн консултация</w:t>
      </w:r>
      <w:r>
        <w:rPr>
          <w:rStyle w:val="FootnoteReference"/>
          <w:noProof/>
          <w:color w:val="000000"/>
        </w:rPr>
        <w:footnoteReference w:id="14"/>
      </w:r>
      <w:r>
        <w:rPr>
          <w:noProof/>
          <w:color w:val="000000"/>
        </w:rPr>
        <w:t>, за да почерпи подробни мнения, що се отнася до бъдещето на търговските и икономическите връзки между ЕС и Нова Зеландия</w:t>
      </w:r>
      <w:r>
        <w:rPr>
          <w:rStyle w:val="FootnoteReference"/>
          <w:noProof/>
        </w:rPr>
        <w:footnoteReference w:id="15"/>
      </w:r>
      <w:r>
        <w:rPr>
          <w:noProof/>
          <w:color w:val="000000"/>
        </w:rPr>
        <w:t xml:space="preserve">. </w:t>
      </w:r>
    </w:p>
    <w:p>
      <w:pPr>
        <w:spacing w:after="240"/>
        <w:rPr>
          <w:rFonts w:eastAsia="Calibri"/>
          <w:noProof/>
          <w:color w:val="000000"/>
          <w:szCs w:val="24"/>
        </w:rPr>
      </w:pPr>
      <w:r>
        <w:rPr>
          <w:noProof/>
          <w:color w:val="000000"/>
        </w:rPr>
        <w:t xml:space="preserve">Въпросната консултация беше проведена от 11 май до 3 юни 2016 г. Началото ѝ беше обявено на уебсайта на генерална дирекция „Търговия“ и бе публикувана на портала „EU Survey“ (портала на Комисията за обществени онлайн консултации). </w:t>
      </w:r>
      <w:r>
        <w:rPr>
          <w:noProof/>
        </w:rPr>
        <w:t xml:space="preserve">Заинтересованите страни от и извън ЕС бяха поканени да отговорят на въпроси, обхващащи широк кръг от теми, касаещи търговията и инвестициите между ЕС и Нова Зеландия. </w:t>
      </w:r>
    </w:p>
    <w:p>
      <w:pPr>
        <w:spacing w:after="240"/>
        <w:rPr>
          <w:rFonts w:eastAsia="Calibri"/>
          <w:noProof/>
          <w:color w:val="000000"/>
          <w:szCs w:val="24"/>
        </w:rPr>
      </w:pPr>
      <w:r>
        <w:rPr>
          <w:noProof/>
          <w:color w:val="000000"/>
        </w:rPr>
        <w:t>Комисията получи 108</w:t>
      </w:r>
      <w:r>
        <w:rPr>
          <w:noProof/>
          <w:color w:val="000000"/>
          <w:lang w:val="fr-CA"/>
        </w:rPr>
        <w:t> </w:t>
      </w:r>
      <w:r>
        <w:rPr>
          <w:noProof/>
          <w:color w:val="000000"/>
        </w:rPr>
        <w:t>отговора от широк кръг от респонденти. Обобщение на отговорите е включено в Доклада за оценка на въздействието, а отделните отговори бяха публикувани, стига конкретният респондент да е нямал възражения срещу това.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 xml:space="preserve">Събиране и използване на експертни становища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 xml:space="preserve">Възложено беше на външен консултант извършването на предварителен анализ на потенциалното въздействие на разглежданите варианти във връзка със ССТ.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</w:rPr>
        <w:t>Комисията също така поддържаше контакт с различни заинтересовани страни, които споделиха становището си по специфични въпроси, свързани с достъпа до пазара и с други пречки пред търговията, с които се сблъскват в търговските и инвестиционните си отношения с Нова Зеландия.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Оценки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u w:color="000000"/>
          <w:bdr w:val="nil"/>
        </w:rPr>
      </w:pPr>
      <w:r>
        <w:rPr>
          <w:noProof/>
        </w:rPr>
        <w:t>При все че обхватът на оценката на въздействието, обхванала търговски, инвестиционни и други въпроси, беше по-широк от настоящата препоръка, заключенията от нея остават валидни по отношение на тази препоръка.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Докладът за оценка на въздействието и неговото резюме, както и положителното становище с резерви на Комитета за регулаторен контрол, ще бъдат оповестени публично.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В допълнение към оценката на въздействието, в рамките на независима Оценка на въздействието върху устойчивото развитие, която ще бъде извършена от външни консултанти, ще бъде разгледано потенциалното икономическо и социално въздействие на ССТ, както и потенциалното му въздействие върху правата на човека и околната среда. Оценката на въздействието върху устойчивото развитие ще бъде извършена успоредно с преговорите по ССТ и ще се опре на обширна консултация със заинтересованите страни, и по-специално с гражданското общество. Оценката на въздействието върху устойчивото развитие ще приключи преди парафирането на ССТ, а констатациите от нея ще бъдат взети предвид при преговорния процес.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Регулаторна пригодност и опростяване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СТТ следва да разкрие пред МСП нови възможности за бизнес, както и за постигане на икономии в резултат на либерализацията, подобрената правна рамка, подобрените митнически процедури и повишената регулаторна прозрачност. Докладът за оценка на въздействието съдържа подробна информация за потенциалното въздействие върху заинтересованите страни и различните икономически сектори.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 xml:space="preserve">В Доклада за оценка на въздействието е разгледан въпросът за основните права от гледна точка на социалните, екологичните и свързаните с правата на човека аспекти.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 xml:space="preserve">В съответствие с установената политика на ЕС, ССТ следва да съдържа отделна глава, посветена на търговията и устойчивото развитие. </w:t>
      </w:r>
    </w:p>
    <w:p>
      <w:pPr>
        <w:pStyle w:val="ManualHeading1"/>
        <w:rPr>
          <w:rFonts w:eastAsia="Arial Unicode MS"/>
          <w:b w:val="0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4.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ССТ ще има ограничено отрицателно въздействие върху бюджета на ЕС под формата на дължими мита в резултат на либерализирането на митническите тарифи. Очакванията са непрякото положително въздействие да се изрази в увеличаване на ресурсите, свързани с данъка върху добавената стойност и брутния национален доход.</w:t>
      </w:r>
    </w:p>
    <w:p>
      <w:pPr>
        <w:pStyle w:val="ManualHeading1"/>
        <w:rPr>
          <w:rFonts w:eastAsia="Arial Unicode MS"/>
          <w:b w:val="0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5.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ДРУГИ ЕЛЕМЕНТИ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szCs w:val="24"/>
        </w:rPr>
      </w:pPr>
      <w:r>
        <w:rPr>
          <w:noProof/>
        </w:rPr>
        <w:t xml:space="preserve">В съответствие с поетия ангажимент в съобщението от 2015 г., озаглавено „Търговията — за всички“, ще бъде извършена задълбочена последваща оценка на въздействието на ССТ, което се предвижда да бъде сключено с Нова Зеландия, след като то бъде в сила достатъчно дълго време, за да се осигури наличието на необходимите данни. Докладът за оценка на въздействието съдържа подробна информация за планирания механизъм за мониторинг и оценка.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b/>
          <w:noProof/>
          <w:color w:val="000000"/>
          <w:u w:color="000000"/>
          <w:bdr w:val="nil"/>
        </w:rPr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Не е приложимо.</w:t>
      </w:r>
    </w:p>
    <w:p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Подробно разяснение на конкретните разпоредби на предложението</w:t>
      </w:r>
    </w:p>
    <w:p>
      <w:pP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Не е приложимо.</w:t>
      </w:r>
    </w:p>
    <w:p>
      <w:pPr>
        <w:pStyle w:val="Bullet0"/>
        <w:rPr>
          <w:noProof/>
          <w:szCs w:val="24"/>
        </w:rPr>
      </w:pPr>
      <w:r>
        <w:rPr>
          <w:b/>
          <w:noProof/>
          <w:color w:val="000000"/>
          <w:u w:color="000000"/>
          <w:bdr w:val="nil"/>
        </w:rPr>
        <w:t>Процедурни аспекти</w:t>
      </w:r>
    </w:p>
    <w:p>
      <w:pPr>
        <w:spacing w:after="240"/>
        <w:rPr>
          <w:noProof/>
          <w:szCs w:val="24"/>
        </w:rPr>
      </w:pPr>
      <w:r>
        <w:rPr>
          <w:noProof/>
        </w:rPr>
        <w:t>Комисията ще води преговорите от името на Съюза.</w:t>
      </w:r>
    </w:p>
    <w:p>
      <w:pPr>
        <w:spacing w:after="240"/>
        <w:rPr>
          <w:noProof/>
          <w:szCs w:val="24"/>
        </w:rPr>
      </w:pPr>
      <w:r>
        <w:rPr>
          <w:noProof/>
        </w:rPr>
        <w:t xml:space="preserve">В съответствие с член 218, параграф 4 от ДФЕС се предлага Съветът на Европейския съюз да посочи комитета „Търговска политика“ като комитета, с който да се провеждат задължителни консултации в хода на преговорите. </w:t>
      </w:r>
    </w:p>
    <w:p>
      <w:pPr>
        <w:spacing w:after="240"/>
        <w:rPr>
          <w:noProof/>
          <w:szCs w:val="24"/>
        </w:rPr>
      </w:pPr>
      <w:r>
        <w:rPr>
          <w:noProof/>
        </w:rPr>
        <w:t>Европейският парламент ще бъде информиран на всички етапи от процедурата в съответствие с член 218, параграф 10 от ДФЕС.</w:t>
      </w:r>
    </w:p>
    <w:p>
      <w:pPr>
        <w:spacing w:after="0"/>
        <w:rPr>
          <w:rFonts w:eastAsia="SimSun"/>
          <w:iCs/>
          <w:noProof/>
          <w:szCs w:val="24"/>
        </w:rPr>
      </w:pPr>
      <w:r>
        <w:rPr>
          <w:noProof/>
        </w:rPr>
        <w:t>Комисията приветства факта, че членовете на Съвета на Европейския съюз все повече информират на ранен етап националните си парламенти за търговските преговори в съответствие с техните институционални практики. Тя насърчава членовете на Съвета на Европейския съюз да сторят същото по отношение на настоящата препоръка за решение на Съвета, като надлежно вземат предвид Решение 2013/488/ЕС на Съвета относно правилата за сигурност за защита на класифицирана информация на ЕС</w:t>
      </w:r>
      <w:r>
        <w:rPr>
          <w:rStyle w:val="FootnoteReference"/>
          <w:noProof/>
        </w:rPr>
        <w:footnoteReference w:id="16"/>
      </w:r>
      <w:r>
        <w:rPr>
          <w:noProof/>
        </w:rPr>
        <w:t>.</w:t>
      </w:r>
    </w:p>
    <w:p>
      <w:pPr>
        <w:spacing w:after="240"/>
        <w:rPr>
          <w:noProof/>
          <w:szCs w:val="24"/>
        </w:rPr>
      </w:pPr>
      <w:r>
        <w:rPr>
          <w:noProof/>
        </w:rPr>
        <w:t>Комисията ще информира Нова Зеландия за вътрешните правила на ЕС по отношение на прозрачността и достъпа на Съвета на Европейския съюз и Европейския парламент до преговорните документи.</w:t>
      </w:r>
    </w:p>
    <w:p>
      <w:pPr>
        <w:spacing w:after="240"/>
        <w:rPr>
          <w:noProof/>
          <w:szCs w:val="24"/>
        </w:rPr>
      </w:pPr>
      <w:r>
        <w:rPr>
          <w:noProof/>
        </w:rPr>
        <w:t xml:space="preserve">Комисията публикува настоящата препоръка и притурката към нея непосредствено след тяхното приемане. </w:t>
      </w:r>
    </w:p>
    <w:p>
      <w:pPr>
        <w:spacing w:after="240"/>
        <w:rPr>
          <w:noProof/>
          <w:szCs w:val="24"/>
        </w:rPr>
      </w:pPr>
      <w:r>
        <w:rPr>
          <w:noProof/>
        </w:rPr>
        <w:t>Комисията препоръчва указанията за водене на преговори да бъдат публикувани непосредствено след тяхното приемане.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разрешаване на започването на преговори за споразумение за свободна търговия с Нова Зеландия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>като взе предвид Договора за функционирането на Европейския съюз, и по-специално член 218, параграфи 3 и 4 от него,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>като взе предвид препоръката на Европейската комисия,</w:t>
      </w:r>
    </w:p>
    <w:p>
      <w:pPr>
        <w:spacing w:after="0"/>
        <w:rPr>
          <w:rFonts w:eastAsia="Calibri"/>
          <w:noProof/>
          <w:szCs w:val="24"/>
        </w:rPr>
      </w:pPr>
      <w:r>
        <w:rPr>
          <w:noProof/>
        </w:rPr>
        <w:t>КАТО ИМА ПРЕДВИД, че следва да започнат преговори с цел сключване на споразумение за свободна търговия с Нова Зеландия,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  <w:szCs w:val="24"/>
        </w:rPr>
      </w:pPr>
      <w:r>
        <w:rPr>
          <w:noProof/>
        </w:rPr>
        <w:t>Член 1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 xml:space="preserve">Комисията се упълномощава да договори от името на Съюза споразумение за свободна търговия с Нова Зеландия. </w:t>
      </w:r>
    </w:p>
    <w:p>
      <w:pPr>
        <w:pStyle w:val="Titrearticle"/>
        <w:rPr>
          <w:noProof/>
          <w:szCs w:val="24"/>
        </w:rPr>
      </w:pPr>
      <w:r>
        <w:rPr>
          <w:noProof/>
        </w:rPr>
        <w:t>Член 2</w:t>
      </w:r>
    </w:p>
    <w:p>
      <w:pPr>
        <w:spacing w:after="240"/>
        <w:rPr>
          <w:noProof/>
          <w:szCs w:val="24"/>
        </w:rPr>
      </w:pPr>
      <w:r>
        <w:rPr>
          <w:noProof/>
        </w:rPr>
        <w:t xml:space="preserve">Указанията за водене на преговорите се съдържат в притурката. </w:t>
      </w:r>
    </w:p>
    <w:p>
      <w:pPr>
        <w:pStyle w:val="Titrearticle"/>
        <w:rPr>
          <w:noProof/>
          <w:szCs w:val="24"/>
        </w:rPr>
      </w:pPr>
      <w:r>
        <w:rPr>
          <w:noProof/>
        </w:rPr>
        <w:t>Член 3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 xml:space="preserve">Преговорите се водят при консултиране с комитета „Търговска политика“. </w:t>
      </w:r>
    </w:p>
    <w:p>
      <w:pPr>
        <w:pStyle w:val="Titrearticle"/>
        <w:rPr>
          <w:noProof/>
          <w:szCs w:val="24"/>
        </w:rPr>
      </w:pPr>
      <w:r>
        <w:rPr>
          <w:noProof/>
        </w:rPr>
        <w:t>Член 4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>Настоящото решение и притурката към него се публикуват непосредствено след тяхното приемане.</w:t>
      </w:r>
    </w:p>
    <w:p>
      <w:pPr>
        <w:pStyle w:val="Titrearticle"/>
        <w:rPr>
          <w:noProof/>
          <w:szCs w:val="24"/>
        </w:rPr>
      </w:pPr>
      <w:r>
        <w:rPr>
          <w:noProof/>
        </w:rPr>
        <w:t>Член 5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  <w:szCs w:val="24"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http://europa.eu/rapid/press-release_STATEMENT-15-5947_en.htm</w:t>
        </w:r>
      </w:hyperlink>
      <w:r>
        <w:t xml:space="preserve">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2">
        <w:r>
          <w:rPr>
            <w:rStyle w:val="Hyperlink"/>
          </w:rPr>
          <w:t>http://publications.europa.eu/bg/publication-detail/-/publication/d90eda7c-7299-11e5-9317-01aa75ed71a1/language-bg</w:t>
        </w:r>
      </w:hyperlink>
      <w:r>
        <w:t xml:space="preserve">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</w:rPr>
          <w:t>http://www.consilium.europa.eu/uedocs/cms_data/docs/pressdata/EN/foraff/145908.pdf</w:t>
        </w:r>
      </w:hyperlink>
      <w:r>
        <w:t xml:space="preserve"> 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4" w:history="1">
        <w:r>
          <w:rPr>
            <w:rStyle w:val="Hyperlink"/>
          </w:rPr>
          <w:t>http://www.consilium.europa.eu/en/meetings/fac/2015/11/st14688_en15_pdf/</w:t>
        </w:r>
      </w:hyperlink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Член 21, параграф 2, буква д) от ДЕС.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5">
        <w:r>
          <w:rPr>
            <w:rStyle w:val="Hyperlink"/>
          </w:rPr>
          <w:t>http://eur-lex.europa.eu/legal-content/BG/TXT/PDF/?uri=CELEX:52010DC2020&amp;rid=2</w:t>
        </w:r>
      </w:hyperlink>
      <w:r>
        <w:t xml:space="preserve"> 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6" w:history="1">
        <w:r>
          <w:rPr>
            <w:rStyle w:val="Hyperlink"/>
          </w:rPr>
          <w:t>http://eur-lex.europa.eu/legal-content/BG/TXT/?uri=CELEX:52008DC0394</w:t>
        </w:r>
      </w:hyperlink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7" w:history="1">
        <w:r>
          <w:rPr>
            <w:rStyle w:val="Hyperlink"/>
          </w:rPr>
          <w:t>http://eur-lex.europa.eu/legal-content/bg/ALL/?uri=CELEX:52011DC0702</w:t>
        </w:r>
      </w:hyperlink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8" w:history="1">
        <w:r>
          <w:rPr>
            <w:rStyle w:val="Hyperlink"/>
          </w:rPr>
          <w:t>http://eur-lex.europa.eu/legal-content/BG/TXT/?uri=CELEX:52014DC0014</w:t>
        </w:r>
      </w:hyperlink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Член 21, параграф 2, буква б) от ДЕС.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Член 21, параграф 2, буква е) от ДЕС.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9">
        <w:r>
          <w:rPr>
            <w:rStyle w:val="Hyperlink"/>
          </w:rPr>
          <w:t>https://ec.europa.eu/commission/priorities/jobs-growth-and-investment/investment-plan_bg</w:t>
        </w:r>
      </w:hyperlink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0" w:history="1">
        <w:r>
          <w:rPr>
            <w:rStyle w:val="Hyperlink"/>
          </w:rPr>
          <w:t>https://ec.europa.eu/info/publications/work-programme-commission-key-documents-2017_bg</w:t>
        </w:r>
      </w:hyperlink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1" w:history="1">
        <w:r>
          <w:rPr>
            <w:rStyle w:val="Hyperlink"/>
          </w:rPr>
          <w:t>http://trade.ec.europa.eu/consultations/index.cfm?consul_id=195</w:t>
        </w:r>
      </w:hyperlink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В рамките на същата обществена онлайн консултация беше разгледан и въпросът за бъдещето на търговските и икономическите връзки между ЕС и Австралия.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2">
        <w:r>
          <w:rPr>
            <w:rStyle w:val="Hyperlink"/>
          </w:rPr>
          <w:t>http://eur-lex.europa.eu/legal-content/BG/TXT/?uri=CELEX:32013D0488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168AB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B1059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01E27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0F03B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95692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134E5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EB894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E0E13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4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9-13 12:49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F09F94EC18EF4802992A59547D7C00EB"/>
    <w:docVar w:name="LW_CROSSREFERENCE" w:val="{SWD(2017) 289 final}_x000b_{SWD(2017) 290 final}"/>
    <w:docVar w:name="LW_DocType" w:val="COM"/>
    <w:docVar w:name="LW_EMISSION" w:val="13.9.2017"/>
    <w:docVar w:name="LW_EMISSION_ISODATE" w:val="2017-09-13"/>
    <w:docVar w:name="LW_EMISSION_LOCATION" w:val="BRX"/>
    <w:docVar w:name="LW_EMISSION_PREFIX" w:val="Брюксел, "/>
    <w:docVar w:name="LW_EMISSION_SUFFIX" w:val=" \u1075?."/>
    <w:docVar w:name="LW_ID_DOCMODEL" w:val="SG-001"/>
    <w:docVar w:name="LW_ID_DOCSIGNATURE" w:val="SG-001"/>
    <w:docVar w:name="LW_ID_DOCSTRUCTURE" w:val="COM/PL/ORG"/>
    <w:docVar w:name="LW_ID_DOCTYPE" w:val="SG-001"/>
    <w:docVar w:name="LW_ID_STATUT" w:val="SG-001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469"/>
    <w:docVar w:name="LW_REF.INTERNE" w:val="&lt;UNUSED&gt;"/>
    <w:docVar w:name="LW_SOUS.TITRE.OBJ.CP" w:val="&lt;UNUSED&gt;"/>
    <w:docVar w:name="LW_STATUT.CP" w:val="\u1055?\u1088?\u1077?\u1087?\u1086?\u1088?\u1098?\u1082?\u1072? \u1079?\u1072?"/>
    <w:docVar w:name="LW_SUPERTITRE" w:val="&lt;UNUSED&gt;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87?\u1086?\u1088?\u1072?\u1079?\u1091?\u1084?\u1077?\u1085?\u1080?\u1077? \u1079?\u1072? \u1089?\u1074?\u1086?\u1073?\u1086?\u1076?\u1085?\u1072? \u1090?\u1098?\u1088?\u1075?\u1086?\u1074?\u1080?\u1103? \u1089? \u1053?\u1086?\u1074?\u1072? \u1047?\u1077?\u1083?\u1072?\u1085?\u1076?\u1080?\u1103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BG/TXT/?uri=CELEX:52014DC0014" TargetMode="External"/><Relationship Id="rId3" Type="http://schemas.openxmlformats.org/officeDocument/2006/relationships/hyperlink" Target="http://www.consilium.europa.eu/uedocs/cms_data/docs/pressdata/EN/foraff/145908.pdf" TargetMode="External"/><Relationship Id="rId7" Type="http://schemas.openxmlformats.org/officeDocument/2006/relationships/hyperlink" Target="http://eur-lex.europa.eu/legal-content/bg/ALL/?uri=CELEX:52011DC0702" TargetMode="External"/><Relationship Id="rId12" Type="http://schemas.openxmlformats.org/officeDocument/2006/relationships/hyperlink" Target="http://eur-lex.europa.eu/legal-content/BG/TXT/?uri=CELEX:32013D0488" TargetMode="External"/><Relationship Id="rId2" Type="http://schemas.openxmlformats.org/officeDocument/2006/relationships/hyperlink" Target="http://publications.europa.eu/bg/publication-detail/-/publication/d90eda7c-7299-11e5-9317-01aa75ed71a1/language-bg" TargetMode="External"/><Relationship Id="rId1" Type="http://schemas.openxmlformats.org/officeDocument/2006/relationships/hyperlink" Target="http://europa.eu/rapid/press-release_STATEMENT-15-5947_en.htm" TargetMode="External"/><Relationship Id="rId6" Type="http://schemas.openxmlformats.org/officeDocument/2006/relationships/hyperlink" Target="http://eur-lex.europa.eu/legal-content/BG/TXT/?uri=CELEX:52008DC0394" TargetMode="External"/><Relationship Id="rId11" Type="http://schemas.openxmlformats.org/officeDocument/2006/relationships/hyperlink" Target="http://trade.ec.europa.eu/consultations/index.cfm?consul_id=195" TargetMode="External"/><Relationship Id="rId5" Type="http://schemas.openxmlformats.org/officeDocument/2006/relationships/hyperlink" Target="http://eur-lex.europa.eu/legal-content/BG/TXT/PDF/?uri=CELEX:52010DC2020&amp;rid=2" TargetMode="External"/><Relationship Id="rId10" Type="http://schemas.openxmlformats.org/officeDocument/2006/relationships/hyperlink" Target="https://ec.europa.eu/info/publications/work-programme-commission-key-documents-2017_bg" TargetMode="External"/><Relationship Id="rId4" Type="http://schemas.openxmlformats.org/officeDocument/2006/relationships/hyperlink" Target="http://www.consilium.europa.eu/en/meetings/fac/2015/11/st14688_en15_pdf/" TargetMode="External"/><Relationship Id="rId9" Type="http://schemas.openxmlformats.org/officeDocument/2006/relationships/hyperlink" Target="https://ec.europa.eu/commission/priorities/jobs-growth-and-investment/investment-plan_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40E5-09A7-4AB0-8071-E195207A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8</Pages>
  <Words>1939</Words>
  <Characters>11580</Characters>
  <Application>Microsoft Office Word</Application>
  <DocSecurity>0</DocSecurity>
  <Lines>227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2017-07-27T09:06:00Z</cp:lastPrinted>
  <dcterms:created xsi:type="dcterms:W3CDTF">2017-08-24T11:49:00Z</dcterms:created>
  <dcterms:modified xsi:type="dcterms:W3CDTF">2017-09-13T10:49:00Z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