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5BF7005E168D4E109E2E81FCAADFA27F" style="width:450.75pt;height:408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tbl>
      <w:tblPr>
        <w:tblStyle w:val="TableGrid"/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</w:rPr>
              <w:lastRenderedPageBreak/>
              <w:t>Обобщена оценка на въздействието</w:t>
            </w:r>
          </w:p>
        </w:tc>
      </w:tr>
      <w:t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 xml:space="preserve">Оценка на въздействието във връзка с препоръки за решения на Съвета </w:t>
            </w:r>
            <w:r>
              <w:rPr>
                <w:rFonts w:ascii="Times New Roman" w:hAnsi="Times New Roman"/>
                <w:b/>
                <w:noProof/>
                <w:sz w:val="24"/>
              </w:rPr>
              <w:t>за разрешаване на започването на преговори за споразумения за свободна търговия съответно с Австралия и Нова Зеландия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A. Необходимост от действие</w:t>
            </w:r>
          </w:p>
        </w:tc>
      </w:tr>
      <w:tr>
        <w:trPr>
          <w:trHeight w:val="393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Новата търговска политика на ЕС, описана в съобщението на Комисията „Търговията — за всички“, предвижда да се повиши ефективността на подхода на ЕС към търговската политика по отношение на постиганите икономически резултати, той да стане по-прозрачен и да защитава не само интереси, но и ценности. Тези основни цели включват търговията и устойчивото развитие, утвърждаването на ценностите и нормите на ЕС (такива като правата на човека, трудовите права, опазването на околната среда и здравето, и защитата на потребителите) и улесняването на търговския обмен и инвестициите за МСП.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noProof/>
              </w:rPr>
              <w:t>За да може да се оползотвори пълният потенциал на търговията е необходима амбициозна програма за многостранни и двустранни преговори.</w:t>
            </w:r>
            <w:r>
              <w:rPr>
                <w:rFonts w:ascii="Arial" w:hAnsi="Arial"/>
                <w:noProof/>
                <w:sz w:val="20"/>
              </w:rPr>
              <w:t xml:space="preserve"> Това е залегнало в основата на инициативата за започване на преговори за споразумения за свободна търговия (ССТ) с Австралия и Нова Зеландия, която е една от конкретните инициативи, изброени в съобщението „Търговията — за всички“.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Предприятията от ЕС се ползват от сравнително по-малко благоприятни условия за достъп до австралийския и новозеландския пазари в сравнение с държавите извън ЕС, които имат сключени ССТ с Австралия и Нова Зеландия. При все че равнището на прилаганите от Австралия и Нова Зеландия вносни мита е ниско, за някои продукти и двете държави начисляват сравнително високи мита, като положението се утежнява от съществуващите нетарифни пречки, включващи различни правила.</w:t>
            </w:r>
          </w:p>
          <w:p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Ограниченият обхват на съществуващите секторни споразумения, които са в сила, както с Австралия, така и с Нова Зеландия, също означава, че не могат да бъдат постигнати свързаните с търговията основни цели на ЕС, тъй като съществуват малко на брой относими двустранни материални правила, които подлежат на изпълнение, а двустранните рамки за търговията и инвестициите не съдържат изобщо общи инструменти за обезпечаване на изпълнението.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създадат условия на равнопоставеност с другите държави, които вече се ползват с преференциално третиране благодарение на своите ССТ с Австралия и Нова Зеландия.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оползотвори неусвоеният потенциал, който крие увеличаването на търговския обмен и на потока от инвестиции съответно между ЕС и Австралия и между ЕС и Нова Зеландия. Това може да се постигне чрез намаляване на съществуващите пречки пред търговията и инвестициите, като същевременно се държи сметка за чувствителните аспекти на сектора на селското стопанство в ЕС и се проучат възможностите за ориентирано към бъдещето регулаторно сътрудничество в избрани области, в зависимост от нуждите.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Да се създаде нова рамка, включваща изчерпателни, напредничави и осъвременени набори от правила за отношенията в областта на търговията и инвестициите между ЕС и Австралия и между ЕС и Нова Зеландия. При това ще бъдат взети предвид и наскоро сключените политически рамкови споразумения съответно с Австралия и Нова Зеландия.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Политическата намеса преследва двояка цел: да се подобрят конкретните условия, позволяващи да се стимулират търговският обмен и инвестициите между ЕС и, съответно, Австралия и Нова Зеландия, успоредно с осъществяването на общите цели на търговската политика на ЕС, набелязани в съобщението „Търговията — за всички“. По силата на член 3 във връзка с член 207 от Договора за функционирането на Европейския съюз (ДФЕС) само ЕС може да договаря търговски споразумения. По силата на член 5, параграф 3 от Договора за Европейския съюз (ДЕС) принципът на субсидиарност не се прилага в областите, в които ЕС разполага с изключителна компетентност.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Б. Възможни решения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политиката са разгледани? Има ли предпочитан вариант или няма такъв?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Бяха анализирани три варианти на политиката.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А („базисен сценарий“) означава запазване на съществуващата рамка, което обаче може да доведе до сравнително влошаване на двустранните търговски връзки, без при това да се постигнат набелязаните цели.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Б включва базисния сценарий и предвижда подобрено прилагане на съществуващите секторни двустранни споразумения или сключването на нови секторни споразумения, опирайки се на съществуващите двустранни секторни споразумения. Вариант Б не претърпя по-нататъшно развитие поради политическата си нежизнеспособност както за Австралия, така и за Нова Зеландия.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Вариант В предвижда паралелното изготвяне на две съвременни и всеобхватни споразумения — едното с Австралия, а другото с Нова Зеландия. Това предполага сериозни усилия за отстраняване на тарифните и нетарифните пречки, либерализиране и улесняване на услугите и инвестициите, закрила на инвестициите, а също укрепване на регулаторното сътрудничество, като същевременно се държи сметка за съществуващите чувствителни аспекти и изключения. Този вариант се подразделя на подварианти в зависимост от амбициозността на преследваните с него цели: подвариант В1 е консервативен сценарий, предвиждащ частично либерализиране, докато подвариант В2 предвижда по-мащабно либерализиране, в т.ч. пълно либерализиране на вносните мита за различните стоки. Вариант В бе подкрепен в хода на паралелно протичащите обсъждания с Австралия и Нова Зеландия във връзка с определянето на обхвата на бъдещите ССТ.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от ЕС вариант е вариант В2, съответно изменен, като се вземат под внимание особено чувствителните аспекти на определени селскостопански подсектори, които извади наяве направеният анализ в рамките на оценката на въздействието.</w:t>
            </w:r>
          </w:p>
        </w:tc>
      </w:tr>
      <w:tr>
        <w:tc>
          <w:tcPr>
            <w:tcW w:w="9782" w:type="dxa"/>
            <w:shd w:val="clear" w:color="auto" w:fill="CCCCCC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Европейската комисия, както и австралийските и новозеландските власти подкрепят вариант В като най-изгоден за всяка една от страните. Преобладаващата част от заинтересованите страни от предприемаческия сектор също подкрепят идеята за нови ССТ съответно с Австралия и Нова Зеландия с цел по-нататъшно заздравяване на икономическите връзки. По-съществено изключение правят заинтересовани страни от някои селскостопански подсектори в ЕС, които не желаят пълно либерализиране за определени продукти. Заинтересованите страни от нестопанския сектор подчертаха колко важно е да се поддържат високи стандарти в социалната сфера, както и в областта на околната среда, потреблението и други области, и да се запази правото на правителствата да извършват регулаторна дейност. Това е в съответствие с целите на политиката на ЕС в областта на ССТ.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В. Въздействие на предпочитания вариант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вариант?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на политика има положително целокупно икономическо въздействие върху ЕС, Австралия и Нова Зеландия. По отношение на ЕС се очаква този вариант да доведе до увеличение с близо 0,02 % на БВП, който ефект се счита за значителен (4,9 милиарда евро) в дългосрочен план, предвид мащабите на икономиката на ЕС. Икономическото благосъстояние ще отбележи ръст от 4,8 милиарда евро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Що се отнася до Австралия, очаква се увеличение с 0,20 % (4,2 милиарда евро) на реалния БВП и увеличение с 1,8 милиарда евро на икономическото благосъстояние в дългосрочен план. По отношение на Нова Зеландия се очаква увеличение с 0,52 % (1,3 милиарда евро) на реалния БВП и увеличение с 0,6 милиарда евро на икономическото благосъстояние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Този вариант ще донесе значителна целокупна икономическа изгода, като същевременно ще бъдат взети предвид чувствителните аспекти на определени селскостопански подсектори.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Има вероятност отделни социални последици (по-специално що се отнася до трудовите възнаграждения и заетостта) да са слабо положителни в ЕС, Австралия и Нова Зеландия. Очаква се да бъде положително съвкупното въздействие върху икономическите и социалните права на човека (адекватен жизнен стандарт, право на труд, социална закрила), както и върху други права, произтичащи от подобряването на благосъстоянието.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разходите, свързани с предпочитания вариант?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Като обичайна последица от намаляването на пречките пред търговията, очакванията са разгръщането в по-голям мащаб на икономическата дейност да доведе до слабо повишаване на емисиите на парникови газове (CO</w:t>
            </w:r>
            <w:r>
              <w:rPr>
                <w:rFonts w:ascii="Arial" w:hAnsi="Arial"/>
                <w:noProof/>
                <w:sz w:val="20"/>
                <w:vertAlign w:val="subscript"/>
              </w:rPr>
              <w:t>2</w:t>
            </w:r>
            <w:r>
              <w:rPr>
                <w:rFonts w:ascii="Arial" w:hAnsi="Arial"/>
                <w:noProof/>
                <w:sz w:val="20"/>
              </w:rPr>
              <w:t>) (увеличение с 0,38 % в Австралия, с 0,64 % — в Нова Зеландия и с 0,04 % — в ЕС) и до намаляване в останалата част от света, което би довело до незначително увеличение в световен мащаб в дългосрочен план.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ЕС предвижда да включи в споразумението разпоредби относно принципите за опазване на околната среда в отделна глава, посветена на търговията и устойчивото развитие.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Либерализирането на търговията може да доведе до безработица с преходен характер (преразпределение на работната ръка) в малко на брой сектори. По-специално увеличеният достъп до пазара в сектора на основните селскостопански продукти може да се отрази неблагоприятно на заетостта на дребните земеделски производители в ЕС.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Предпочитаният вариант на политика предполага цялостно намаляване на пречките пред износа на стоки и услуги и инвестициите на ЕС в Австралия и Нова Зеландия.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Евентуални разпоредби за опростяване на митническите процедури и управление биха донесли определени предимства за дребните износители и поради това са много важни за малките и средните предприятия (МСП). Наред с това, евентуални разпоредби относно двустранното сътрудничество, целящи да се подобри достъпът на МСП до информация, ще позволят да се увеличи прозрачността.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отражение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 xml:space="preserve"> върху националните бюджети и администрации?</w:t>
            </w:r>
          </w:p>
        </w:tc>
      </w:tr>
      <w:t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 се очаква ССТ да имат значително отражение върху националните бюджети и администрации.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(Прякото отражение върху бюджета на ЕС се очаква да бъде отрицателно поради намаляване на постъпленията от мита.)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Не.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Г. Последващи действия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След сключването, влизането в сила и започването на прилагането им, новите ССТ подлежат на мониторинг, при използване на показатели за тази цел. Редовните консултации със заинтересованите страни ще дадат възможност за ефективни последващи действия във връзка с прилагането им. ССТ ще бъдат подложени на оценка, след като бъдат в сила достатъчно дълго време, за да се осигури наличието на необходимите данни.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622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5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5BF7005E168D4E109E2E81FCAADFA27F"/>
    <w:docVar w:name="LW_CROSSREFERENCE" w:val="{COM(2017) 472 final}_x000b_{SWD(2017) 293 final}"/>
    <w:docVar w:name="LW_DocType" w:val="NOT"/>
    <w:docVar w:name="LW_EMISSION" w:val="13.9.2017"/>
    <w:docVar w:name="LW_EMISSION_ISODATE" w:val="2017-09-13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79?\u1072? \u1089?\u1074?\u1086?\u1073?\u1086?\u1076?\u1085?\u1072? \u1090?\u1098?\u1088?\u1075?\u1086?\u1074?\u1080?\u1103? \u1089? \u1040?\u1074?\u1089?\u1090?\u1088?\u1072?\u1083?\u1080?\u1103?"/>
    <w:docVar w:name="LW_PART_NBR" w:val="1"/>
    <w:docVar w:name="LW_PART_NBR_TOTAL" w:val="1"/>
    <w:docVar w:name="LW_REF.INST.NEW" w:val="SWD"/>
    <w:docVar w:name="LW_REF.INST.NEW_ADOPTED" w:val="final"/>
    <w:docVar w:name="LW_REF.INST.NEW_TEXT" w:val="(2017) 292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87?\u1086?\u1088?\u1098?\u1082?\u1072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ind w:left="3332" w:hanging="7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ind w:left="4040" w:hanging="708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qFormat/>
    <w:pPr>
      <w:spacing w:before="240" w:after="60" w:line="240" w:lineRule="auto"/>
      <w:ind w:left="4748" w:hanging="708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ind w:left="5456" w:hanging="708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240" w:lineRule="auto"/>
      <w:ind w:left="6164" w:hanging="708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after="240"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/>
    </w:pPr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</w:pPr>
  </w:style>
  <w:style w:type="paragraph" w:styleId="EndnoteText">
    <w:name w:val="endnote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</w:pPr>
  </w:style>
  <w:style w:type="paragraph" w:customStyle="1" w:styleId="DisclaimerNotice">
    <w:name w:val="Disclaimer Notice"/>
    <w:basedOn w:val="Normal"/>
    <w:next w:val="AddressTR"/>
    <w:pPr>
      <w:ind w:left="5103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eastAsia="bg-BG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ind w:left="3332" w:hanging="708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qFormat/>
    <w:pPr>
      <w:spacing w:before="240" w:after="60" w:line="240" w:lineRule="auto"/>
      <w:ind w:left="4040" w:hanging="708"/>
      <w:jc w:val="both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qFormat/>
    <w:pPr>
      <w:spacing w:before="240" w:after="60" w:line="240" w:lineRule="auto"/>
      <w:ind w:left="4748" w:hanging="708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ind w:left="5456" w:hanging="708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240" w:lineRule="auto"/>
      <w:ind w:left="6164" w:hanging="708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pacing w:after="240" w:line="240" w:lineRule="auto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pPr>
      <w:spacing w:after="240" w:line="240" w:lineRule="auto"/>
      <w:ind w:left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">
    <w:name w:val="Address"/>
    <w:basedOn w:val="Normal"/>
    <w:pPr>
      <w:spacing w:after="0"/>
    </w:pPr>
  </w:style>
  <w:style w:type="paragraph" w:customStyle="1" w:styleId="AddressTL">
    <w:name w:val="AddressTL"/>
    <w:basedOn w:val="Normal"/>
    <w:next w:val="Normal"/>
    <w:pPr>
      <w:spacing w:after="720"/>
    </w:pPr>
  </w:style>
  <w:style w:type="paragraph" w:customStyle="1" w:styleId="AddressTR">
    <w:name w:val="AddressTR"/>
    <w:basedOn w:val="Normal"/>
    <w:next w:val="Normal"/>
    <w:pPr>
      <w:spacing w:after="720"/>
      <w:ind w:left="5103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</w:pPr>
  </w:style>
  <w:style w:type="paragraph" w:styleId="EndnoteText">
    <w:name w:val="endnote text"/>
    <w:basedOn w:val="Normal"/>
    <w:semiHidden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nvelopeReturn">
    <w:name w:val="envelope retur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semiHidden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List">
    <w:name w:val="List"/>
    <w:basedOn w:val="Normal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6">
    <w:name w:val="toc 6"/>
    <w:basedOn w:val="Normal"/>
    <w:next w:val="Normal"/>
    <w:autoRedefine/>
    <w:semiHidden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</w:pPr>
  </w:style>
  <w:style w:type="paragraph" w:customStyle="1" w:styleId="DisclaimerNotice">
    <w:name w:val="Disclaimer Notice"/>
    <w:basedOn w:val="Normal"/>
    <w:next w:val="AddressTR"/>
    <w:pPr>
      <w:ind w:left="5103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27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27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27"/>
      </w:numPr>
      <w:spacing w:line="36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eastAsia="bg-BG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9</TotalTime>
  <Pages>4</Pages>
  <Words>1504</Words>
  <Characters>8955</Characters>
  <Application>Microsoft Office Word</Application>
  <DocSecurity>0</DocSecurity>
  <PresentationFormat>Microsoft Word 14.0</PresentationFormat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EL4</cp:keywords>
  <cp:lastModifiedBy>DIGIT/A3</cp:lastModifiedBy>
  <cp:revision>18</cp:revision>
  <dcterms:created xsi:type="dcterms:W3CDTF">2017-04-25T09:01:00Z</dcterms:created>
  <dcterms:modified xsi:type="dcterms:W3CDTF">2017-09-13T12:14:00Z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Helena KÖNIG 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DocStatus">
    <vt:lpwstr>Green</vt:lpwstr>
  </property>
  <property fmtid="{D5CDD505-2E9C-101B-9397-08002B2CF9AE}" pid="16" name="Classification">
    <vt:lpwstr> </vt:lpwstr>
  </property>
</Properties>
</file>