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AB3E5E4F1584891BB292DDF7FE5605B"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Въз основа на съответните указания за водене на преговори</w:t>
      </w:r>
      <w:r>
        <w:rPr>
          <w:rStyle w:val="FootnoteReference"/>
          <w:noProof/>
        </w:rPr>
        <w:footnoteReference w:id="1"/>
      </w:r>
      <w:r>
        <w:rPr>
          <w:noProof/>
        </w:rPr>
        <w:t xml:space="preserve"> Комисията проведе преговори с правителството на Мавриций с оглед на сключването на нов протокол към Споразумението за партньорство в областта на рибарството между Европейската общност и Република Мавриций</w:t>
      </w:r>
      <w:r>
        <w:rPr>
          <w:rStyle w:val="FootnoteReference"/>
          <w:rFonts w:eastAsia="Arial Unicode MS"/>
          <w:noProof/>
        </w:rPr>
        <w:footnoteReference w:id="2"/>
      </w:r>
      <w:r>
        <w:rPr>
          <w:noProof/>
        </w:rPr>
        <w:t>. След приключване на тези преговори на 26 април 2017 г. бе парафиран нов протокол. Протоколът обхваща период от четири години, считано от датата на временното му прилагане, т.е. датата на подписването му, както е посочено в член 15 от него.</w:t>
      </w:r>
    </w:p>
    <w:p>
      <w:pPr>
        <w:pBdr>
          <w:top w:val="nil"/>
          <w:left w:val="nil"/>
          <w:bottom w:val="nil"/>
          <w:right w:val="nil"/>
          <w:between w:val="nil"/>
          <w:bar w:val="nil"/>
        </w:pBdr>
        <w:spacing w:before="0" w:after="240"/>
        <w:rPr>
          <w:rFonts w:eastAsia="Arial Unicode MS"/>
          <w:noProof/>
        </w:rPr>
      </w:pPr>
      <w:r>
        <w:rPr>
          <w:noProof/>
        </w:rPr>
        <w:t>Основната цел на новия протокол е да се предоставят възможности за риболов на кораби на Съюза във водите на Мавриций въз основа на най-добрите налични научни становища, като се спазват препоръките на Комисията по рибата тон в Индийския океан (IOTC) и, когато това е целесъобразно, в рамките на наличните допълнителни рибни ресурси. Позицията на Комисията се основава, наред с другото, на резултатите от оценката на предишния протокол (2014—2017 г.) и на прогнозна оценка на възможността да се сключи нов протокол. И двете оценки са извършени от външни експерти. С протокола ще се създаде възможност за Европейския съюз и Република Мавриций да си сътрудничат по-тясно при насърчаването на политика на устойчиво рибарство и отговорното използване на рибните ресурси във водите на Мавриций и ще се подкрепят усилията на Мавриций тази държава да развива устойчива океанска икономика в интерес и на двете страни.</w:t>
      </w:r>
    </w:p>
    <w:p>
      <w:pPr>
        <w:pBdr>
          <w:top w:val="nil"/>
          <w:left w:val="nil"/>
          <w:bottom w:val="nil"/>
          <w:right w:val="nil"/>
          <w:between w:val="nil"/>
          <w:bar w:val="nil"/>
        </w:pBdr>
        <w:spacing w:before="0" w:after="240"/>
        <w:rPr>
          <w:rFonts w:eastAsia="Arial Unicode MS"/>
          <w:noProof/>
        </w:rPr>
      </w:pPr>
      <w:r>
        <w:rPr>
          <w:noProof/>
        </w:rPr>
        <w:t>Протоколът предвижда възможности за риболов в следните категории:</w:t>
      </w:r>
    </w:p>
    <w:p>
      <w:pPr>
        <w:pBdr>
          <w:top w:val="nil"/>
          <w:left w:val="nil"/>
          <w:bottom w:val="nil"/>
          <w:right w:val="nil"/>
          <w:between w:val="nil"/>
          <w:bar w:val="nil"/>
        </w:pBdr>
        <w:spacing w:before="0" w:after="240"/>
        <w:rPr>
          <w:rFonts w:eastAsia="Arial Unicode MS"/>
          <w:noProof/>
        </w:rPr>
      </w:pPr>
      <w:r>
        <w:rPr>
          <w:noProof/>
        </w:rPr>
        <w:t>–</w:t>
      </w:r>
      <w:r>
        <w:rPr>
          <w:noProof/>
        </w:rPr>
        <w:tab/>
        <w:t>40 кораба с мрежи гъргър за улов на риба тон;</w:t>
      </w:r>
    </w:p>
    <w:p>
      <w:pPr>
        <w:pBdr>
          <w:top w:val="nil"/>
          <w:left w:val="nil"/>
          <w:bottom w:val="nil"/>
          <w:right w:val="nil"/>
          <w:between w:val="nil"/>
          <w:bar w:val="nil"/>
        </w:pBdr>
        <w:spacing w:before="0" w:after="240"/>
        <w:rPr>
          <w:rFonts w:eastAsia="Arial Unicode MS"/>
          <w:noProof/>
        </w:rPr>
      </w:pPr>
      <w:r>
        <w:rPr>
          <w:noProof/>
        </w:rPr>
        <w:t>–</w:t>
      </w:r>
      <w:r>
        <w:rPr>
          <w:noProof/>
        </w:rPr>
        <w:tab/>
        <w:t xml:space="preserve">45 кораба с парагади за улов на повърхността. </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Новият протокол предоставя рамка за извършването на риболовни дейности във водите на Мавриций от страна на кораби на Съюза и за по-тясно сътрудничество между Съюза и Мавриций, като се вземат предвид приоритетите на реформираната обща политика в областта на рибарството и на нейното външно измерение. Целта е да се установи стратегическо партньорство с Мавриций.</w:t>
      </w:r>
    </w:p>
    <w:p>
      <w:pPr>
        <w:pBdr>
          <w:top w:val="nil"/>
          <w:left w:val="nil"/>
          <w:bottom w:val="nil"/>
          <w:right w:val="nil"/>
          <w:between w:val="nil"/>
          <w:bar w:val="nil"/>
        </w:pBdr>
        <w:spacing w:before="0" w:after="240"/>
        <w:rPr>
          <w:rFonts w:eastAsia="Arial Unicode MS"/>
          <w:noProof/>
        </w:rPr>
      </w:pPr>
      <w:r>
        <w:rPr>
          <w:noProof/>
        </w:rPr>
        <w:t>Поради това Комисията предлага Съветът да разреши подписването и временното прилагане на новия протокол.</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съгласувано с външната дейност на ЕС, насочена към държавите от Африка, Карибите и Тихоокеанския басейн.</w:t>
      </w:r>
    </w:p>
    <w:p>
      <w:pPr>
        <w:pStyle w:val="ManualHeading1"/>
        <w:rPr>
          <w:noProof/>
        </w:rPr>
      </w:pPr>
      <w:r>
        <w:rPr>
          <w:noProof/>
        </w:rPr>
        <w:t>2.</w:t>
      </w:r>
      <w:r>
        <w:rPr>
          <w:noProof/>
        </w:rPr>
        <w:tab/>
        <w:t>РЕЗУЛТАТИ ОТ ПОСЛЕДВАЩИТЕ ОЦЕНКИ, КОНСУЛТАЦИИТЕ СЪС ЗАИНТЕРЕСОВАНИТЕ СТРАНИ И ОЦЕНКИТЕ НА ВЪЗДЕЙСТВИЕТО</w:t>
      </w:r>
    </w:p>
    <w:p>
      <w:pPr>
        <w:pBdr>
          <w:top w:val="nil"/>
          <w:left w:val="nil"/>
          <w:bottom w:val="nil"/>
          <w:right w:val="nil"/>
          <w:between w:val="nil"/>
          <w:bar w:val="nil"/>
        </w:pBdr>
        <w:spacing w:before="0" w:after="240"/>
        <w:rPr>
          <w:rFonts w:eastAsia="Arial Unicode MS"/>
          <w:noProof/>
        </w:rPr>
      </w:pPr>
      <w:r>
        <w:rPr>
          <w:noProof/>
        </w:rPr>
        <w:t>Консултации със заинтересованите страни бяха проведени в рамките на последващите и предварителните оценки за евентуален нов протокол между Европейския съюз и Република Мавриций. По време на техническите срещи бяха извършени консултации и с експерти от държавите членки и от сектора. Тези консултации доведоха до заключението, че би било от полза за ЕС и Република Мавриций да сключат нов протокол към Споразумението за партньорство в областта на рибарството.</w:t>
      </w: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Годишното финансово участие възлиза на 575 000 EUR и е въз основа на:</w:t>
      </w:r>
    </w:p>
    <w:p>
      <w:pPr>
        <w:pBdr>
          <w:top w:val="nil"/>
          <w:left w:val="nil"/>
          <w:bottom w:val="nil"/>
          <w:right w:val="nil"/>
          <w:between w:val="nil"/>
          <w:bar w:val="nil"/>
        </w:pBdr>
        <w:spacing w:before="0" w:after="240"/>
        <w:rPr>
          <w:rFonts w:eastAsia="Arial Unicode MS"/>
          <w:noProof/>
        </w:rPr>
      </w:pPr>
      <w:r>
        <w:rPr>
          <w:noProof/>
        </w:rPr>
        <w:t xml:space="preserve">а) референтен тонаж от 4 000 тона, за който е определена годишна сума за достъп в размер на 220 000 EUR; </w:t>
      </w:r>
    </w:p>
    <w:p>
      <w:pPr>
        <w:pBdr>
          <w:top w:val="nil"/>
          <w:left w:val="nil"/>
          <w:bottom w:val="nil"/>
          <w:right w:val="nil"/>
          <w:between w:val="nil"/>
          <w:bar w:val="nil"/>
        </w:pBdr>
        <w:spacing w:before="0" w:after="240"/>
        <w:rPr>
          <w:rFonts w:eastAsia="Arial Unicode MS"/>
          <w:noProof/>
        </w:rPr>
      </w:pPr>
      <w:r>
        <w:rPr>
          <w:noProof/>
        </w:rPr>
        <w:t>б) подкрепа за развитието на секторната политика на Република Мавриций в областта на рибарството в размер на 220 000 EUR годишно; и</w:t>
      </w:r>
    </w:p>
    <w:p>
      <w:pPr>
        <w:pBdr>
          <w:top w:val="nil"/>
          <w:left w:val="nil"/>
          <w:bottom w:val="nil"/>
          <w:right w:val="nil"/>
          <w:between w:val="nil"/>
          <w:bar w:val="nil"/>
        </w:pBdr>
        <w:spacing w:before="0" w:after="240"/>
        <w:rPr>
          <w:rFonts w:eastAsia="Arial Unicode MS"/>
          <w:noProof/>
        </w:rPr>
      </w:pPr>
      <w:r>
        <w:rPr>
          <w:noProof/>
        </w:rPr>
        <w:t>в) подкрепа за развитието в областта на океанската икономика в размер на 135 000 EUR годишно.</w:t>
      </w:r>
    </w:p>
    <w:p>
      <w:pPr>
        <w:pBdr>
          <w:top w:val="nil"/>
          <w:left w:val="nil"/>
          <w:bottom w:val="nil"/>
          <w:right w:val="nil"/>
          <w:between w:val="nil"/>
          <w:bar w:val="nil"/>
        </w:pBdr>
        <w:spacing w:before="0" w:after="240"/>
        <w:rPr>
          <w:rFonts w:eastAsia="Arial Unicode MS"/>
          <w:noProof/>
        </w:rPr>
      </w:pPr>
      <w:r>
        <w:rPr>
          <w:noProof/>
        </w:rPr>
        <w:t>Тази подкрепа отговаря на целите на националната политика в областта на рибарството, морската политика и океанската икономика, и по-специално на нуждите на Мавриций по отношение на научните изследвания, непромишления риболов, провеждането на мониторинг, контрол и надзор на риболовните дейности и борбата с незаконния риболов.</w:t>
      </w:r>
    </w:p>
    <w:p>
      <w:pPr>
        <w:pStyle w:val="Statu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2017/0221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разпределяне на възможностите за риболов съгласно Протокола за определяне на възможностите за риболов и на финансовото участие, предвидени в Споразумението за партньорство в областта на рибарството между Европейския съюз и Република Мавриций</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На 28 януари 2014 г. Съветът прие Решение 2014/146/ЕС</w:t>
      </w:r>
      <w:r>
        <w:rPr>
          <w:rStyle w:val="FootnoteReference"/>
          <w:noProof/>
        </w:rPr>
        <w:footnoteReference w:id="3"/>
      </w:r>
      <w:r>
        <w:rPr>
          <w:noProof/>
        </w:rPr>
        <w:t xml:space="preserve"> за сключване на Споразумение за партньорство в областта на рибарството между Европейския съюз и Република Мавриций (наричано по-нататък „споразумението“).</w:t>
      </w:r>
    </w:p>
    <w:p>
      <w:pPr>
        <w:pStyle w:val="ManualConsidrant"/>
        <w:rPr>
          <w:i/>
          <w:noProof/>
        </w:rPr>
      </w:pPr>
      <w:r>
        <w:rPr>
          <w:noProof/>
        </w:rPr>
        <w:t>(2)</w:t>
      </w:r>
      <w:r>
        <w:rPr>
          <w:noProof/>
        </w:rPr>
        <w:tab/>
        <w:t>В първия протокол към споразумението бяха определени за срок от три години възможностите за риболов, предоставени на корабите на Съюза в риболовната зона под суверенитета или юрисдикцията на Мавриций, както и предоставеното от Съюза финансово участие. Срокът на прилагане на посочения протокол изтече на 27 януари 2017 г.</w:t>
      </w:r>
    </w:p>
    <w:p>
      <w:pPr>
        <w:pStyle w:val="ManualConsidrant"/>
        <w:rPr>
          <w:noProof/>
        </w:rPr>
      </w:pPr>
      <w:r>
        <w:rPr>
          <w:noProof/>
        </w:rPr>
        <w:t>(3)</w:t>
      </w:r>
      <w:r>
        <w:rPr>
          <w:noProof/>
        </w:rPr>
        <w:tab/>
        <w:t>В съответствие с Решение 2017/.../ЕС на Съвета</w:t>
      </w:r>
      <w:r>
        <w:rPr>
          <w:rStyle w:val="FootnoteReference"/>
          <w:noProof/>
        </w:rPr>
        <w:footnoteReference w:id="4"/>
      </w:r>
      <w:r>
        <w:rPr>
          <w:noProof/>
        </w:rPr>
        <w:t xml:space="preserve"> на ...  [</w:t>
      </w:r>
      <w:r>
        <w:rPr>
          <w:i/>
          <w:noProof/>
        </w:rPr>
        <w:t>please insert the date]</w:t>
      </w:r>
      <w:r>
        <w:rPr>
          <w:noProof/>
        </w:rPr>
        <w:t xml:space="preserve"> бе подписан нов протокол за определяне на възможностите за риболов и финансовото участие, предвидени в Споразумението за партньорство в областта на рибарството между Европейския съюз и Република Мавриций (наричан по-нататък „протоколът“).</w:t>
      </w:r>
    </w:p>
    <w:p>
      <w:pPr>
        <w:pStyle w:val="ManualConsidrant"/>
        <w:rPr>
          <w:noProof/>
        </w:rPr>
      </w:pPr>
      <w:r>
        <w:rPr>
          <w:noProof/>
        </w:rPr>
        <w:t>(5)</w:t>
      </w:r>
      <w:r>
        <w:rPr>
          <w:noProof/>
        </w:rPr>
        <w:tab/>
        <w:t>Следва да се определи методът за разпределяне на възможностите за риболов между държавите членки за целия период на прилагане на протокола.</w:t>
      </w:r>
    </w:p>
    <w:p>
      <w:pPr>
        <w:pStyle w:val="ManualConsidrant"/>
        <w:rPr>
          <w:noProof/>
        </w:rPr>
      </w:pPr>
      <w:r>
        <w:rPr>
          <w:noProof/>
        </w:rPr>
        <w:t>(6)</w:t>
      </w:r>
      <w:r>
        <w:rPr>
          <w:noProof/>
        </w:rPr>
        <w:tab/>
        <w:t>В съответствие с член 10, параграф 1 от Регламент (ЕО) № 1006/2008 на Съвета</w:t>
      </w:r>
      <w:r>
        <w:rPr>
          <w:rStyle w:val="FootnoteReference"/>
          <w:noProof/>
        </w:rPr>
        <w:footnoteReference w:id="5"/>
      </w:r>
      <w:r>
        <w:rPr>
          <w:noProof/>
        </w:rPr>
        <w:t xml:space="preserve"> Комисията е длъжна да уведоми засегнатите държави членки, ако се установи, че с броя на разрешенията за риболов не се изчерпват възможностите за риболов, предоставени на Съюза по силата на протокола, и да изиска от тях да потвърдят, че не използват тези възможности за риболов. Липсата на отговор в рамките на определен срок се счита за потвърждение, че корабите на съответната държава членка не използват напълно възможностите си за риболов през съответния период.</w:t>
      </w:r>
    </w:p>
    <w:p>
      <w:pPr>
        <w:pStyle w:val="ManualConsidrant"/>
        <w:rPr>
          <w:noProof/>
        </w:rPr>
      </w:pPr>
      <w:r>
        <w:rPr>
          <w:noProof/>
        </w:rPr>
        <w:t>(7)</w:t>
      </w:r>
      <w:r>
        <w:rPr>
          <w:noProof/>
        </w:rPr>
        <w:tab/>
        <w:t>Следва да се определи срок за получаването на отговор със съответното потвърждение.</w:t>
      </w:r>
    </w:p>
    <w:p>
      <w:pPr>
        <w:pStyle w:val="ManualConsidrant"/>
        <w:rPr>
          <w:noProof/>
        </w:rPr>
      </w:pPr>
      <w:r>
        <w:rPr>
          <w:noProof/>
        </w:rPr>
        <w:t>(8)</w:t>
      </w:r>
      <w:r>
        <w:rPr>
          <w:noProof/>
        </w:rPr>
        <w:tab/>
        <w:t>Протоколът се прилага временно от датата на подписването му, за да се осигури скорошно започване на риболовните дейности на корабите на Съюза. Следователно следва да се определи и прилагането на настоящия регламент от същата дата,</w:t>
      </w:r>
    </w:p>
    <w:p>
      <w:pPr>
        <w:pStyle w:val="Formuledadoption"/>
        <w:rPr>
          <w:noProof/>
        </w:rPr>
      </w:pPr>
      <w:r>
        <w:rPr>
          <w:noProof/>
        </w:rPr>
        <w:t>ПРИЕ НАСТОЯЩИЯ РЕГЛАМЕНТ:</w:t>
      </w:r>
    </w:p>
    <w:p>
      <w:pPr>
        <w:pStyle w:val="Titrearticle"/>
        <w:rPr>
          <w:noProof/>
        </w:rPr>
      </w:pPr>
      <w:r>
        <w:rPr>
          <w:noProof/>
        </w:rPr>
        <w:t>Член 1</w:t>
      </w:r>
    </w:p>
    <w:p>
      <w:pPr>
        <w:pStyle w:val="Point0number"/>
        <w:numPr>
          <w:ilvl w:val="0"/>
          <w:numId w:val="1"/>
        </w:numPr>
        <w:rPr>
          <w:noProof/>
        </w:rPr>
      </w:pPr>
      <w:r>
        <w:rPr>
          <w:noProof/>
        </w:rPr>
        <w:t>Възможностите за риболов, установени съгласно Протокола за определяне на възможностите за риболов и на финансовото участие, предвидени в Споразумението за партньорство в областта на рибарството между Европейския съюз и Република Мавриций, се разпределят между държавите членки, както следва:</w:t>
      </w:r>
    </w:p>
    <w:p>
      <w:pPr>
        <w:pStyle w:val="Point1"/>
        <w:rPr>
          <w:noProof/>
        </w:rPr>
      </w:pPr>
      <w:r>
        <w:rPr>
          <w:noProof/>
        </w:rPr>
        <w:t>а)</w:t>
      </w:r>
      <w:r>
        <w:rPr>
          <w:noProof/>
        </w:rPr>
        <w:tab/>
        <w:t>кораби с мрежи гъргър за улов на риба тон:</w:t>
      </w:r>
    </w:p>
    <w:tbl>
      <w:tblPr>
        <w:tblW w:w="0" w:type="auto"/>
        <w:jc w:val="center"/>
        <w:tblInd w:w="959" w:type="dxa"/>
        <w:tblLayout w:type="fixed"/>
        <w:tblLook w:val="0000" w:firstRow="0" w:lastRow="0" w:firstColumn="0" w:lastColumn="0" w:noHBand="0" w:noVBand="0"/>
      </w:tblPr>
      <w:tblGrid>
        <w:gridCol w:w="2693"/>
        <w:gridCol w:w="2410"/>
      </w:tblGrid>
      <w:tr>
        <w:trPr>
          <w:jc w:val="center"/>
        </w:trPr>
        <w:tc>
          <w:tcPr>
            <w:tcW w:w="2693" w:type="dxa"/>
          </w:tcPr>
          <w:p>
            <w:pPr>
              <w:rPr>
                <w:noProof/>
              </w:rPr>
            </w:pPr>
            <w:r>
              <w:rPr>
                <w:noProof/>
              </w:rPr>
              <w:t>Испания:</w:t>
            </w:r>
          </w:p>
        </w:tc>
        <w:tc>
          <w:tcPr>
            <w:tcW w:w="2410" w:type="dxa"/>
          </w:tcPr>
          <w:p>
            <w:pPr>
              <w:rPr>
                <w:noProof/>
              </w:rPr>
            </w:pPr>
            <w:r>
              <w:rPr>
                <w:noProof/>
              </w:rPr>
              <w:tab/>
              <w:t>22</w:t>
            </w:r>
            <w:r>
              <w:rPr>
                <w:noProof/>
              </w:rPr>
              <w:tab/>
              <w:t>кораба</w:t>
            </w:r>
          </w:p>
        </w:tc>
      </w:tr>
      <w:tr>
        <w:trPr>
          <w:trHeight w:val="589"/>
          <w:jc w:val="center"/>
        </w:trPr>
        <w:tc>
          <w:tcPr>
            <w:tcW w:w="2693" w:type="dxa"/>
            <w:tcBorders>
              <w:bottom w:val="nil"/>
            </w:tcBorders>
          </w:tcPr>
          <w:p>
            <w:pPr>
              <w:rPr>
                <w:noProof/>
              </w:rPr>
            </w:pPr>
            <w:r>
              <w:rPr>
                <w:noProof/>
              </w:rPr>
              <w:t>Франция:</w:t>
            </w:r>
          </w:p>
        </w:tc>
        <w:tc>
          <w:tcPr>
            <w:tcW w:w="2410" w:type="dxa"/>
          </w:tcPr>
          <w:p>
            <w:pPr>
              <w:rPr>
                <w:noProof/>
              </w:rPr>
            </w:pPr>
            <w:r>
              <w:rPr>
                <w:noProof/>
              </w:rPr>
              <w:tab/>
              <w:t>16</w:t>
            </w:r>
            <w:r>
              <w:rPr>
                <w:noProof/>
              </w:rPr>
              <w:tab/>
              <w:t>кораба</w:t>
            </w:r>
          </w:p>
        </w:tc>
      </w:tr>
      <w:tr>
        <w:trPr>
          <w:trHeight w:val="589"/>
          <w:jc w:val="center"/>
        </w:trPr>
        <w:tc>
          <w:tcPr>
            <w:tcW w:w="2693" w:type="dxa"/>
            <w:tcBorders>
              <w:bottom w:val="nil"/>
            </w:tcBorders>
          </w:tcPr>
          <w:p>
            <w:pPr>
              <w:rPr>
                <w:noProof/>
              </w:rPr>
            </w:pPr>
            <w:r>
              <w:rPr>
                <w:noProof/>
              </w:rPr>
              <w:t>Италия:</w:t>
            </w:r>
          </w:p>
        </w:tc>
        <w:tc>
          <w:tcPr>
            <w:tcW w:w="2410" w:type="dxa"/>
          </w:tcPr>
          <w:p>
            <w:pPr>
              <w:rPr>
                <w:noProof/>
              </w:rPr>
            </w:pPr>
            <w:r>
              <w:rPr>
                <w:noProof/>
              </w:rPr>
              <w:tab/>
              <w:t xml:space="preserve"> 2</w:t>
            </w:r>
            <w:r>
              <w:rPr>
                <w:noProof/>
              </w:rPr>
              <w:tab/>
              <w:t>кораба</w:t>
            </w:r>
          </w:p>
        </w:tc>
      </w:tr>
    </w:tbl>
    <w:p>
      <w:pPr>
        <w:pStyle w:val="Point1"/>
        <w:rPr>
          <w:noProof/>
        </w:rPr>
      </w:pPr>
      <w:r>
        <w:rPr>
          <w:noProof/>
        </w:rPr>
        <w:t>б)</w:t>
      </w:r>
      <w:r>
        <w:rPr>
          <w:noProof/>
        </w:rPr>
        <w:tab/>
        <w:t>кораби с парагади за улов на повърхността:</w:t>
      </w:r>
    </w:p>
    <w:tbl>
      <w:tblPr>
        <w:tblW w:w="0" w:type="auto"/>
        <w:jc w:val="center"/>
        <w:tblInd w:w="959" w:type="dxa"/>
        <w:tblLayout w:type="fixed"/>
        <w:tblLook w:val="0000" w:firstRow="0" w:lastRow="0" w:firstColumn="0" w:lastColumn="0" w:noHBand="0" w:noVBand="0"/>
      </w:tblPr>
      <w:tblGrid>
        <w:gridCol w:w="2693"/>
        <w:gridCol w:w="2410"/>
      </w:tblGrid>
      <w:tr>
        <w:trPr>
          <w:jc w:val="center"/>
        </w:trPr>
        <w:tc>
          <w:tcPr>
            <w:tcW w:w="2693" w:type="dxa"/>
          </w:tcPr>
          <w:p>
            <w:pPr>
              <w:rPr>
                <w:noProof/>
              </w:rPr>
            </w:pPr>
            <w:r>
              <w:rPr>
                <w:noProof/>
              </w:rPr>
              <w:t>Испания:</w:t>
            </w:r>
          </w:p>
        </w:tc>
        <w:tc>
          <w:tcPr>
            <w:tcW w:w="2410" w:type="dxa"/>
          </w:tcPr>
          <w:p>
            <w:pPr>
              <w:rPr>
                <w:noProof/>
              </w:rPr>
            </w:pPr>
            <w:r>
              <w:rPr>
                <w:noProof/>
              </w:rPr>
              <w:tab/>
              <w:t>12</w:t>
            </w:r>
            <w:r>
              <w:rPr>
                <w:noProof/>
              </w:rPr>
              <w:tab/>
              <w:t>кораба</w:t>
            </w:r>
          </w:p>
        </w:tc>
      </w:tr>
      <w:tr>
        <w:trPr>
          <w:trHeight w:val="589"/>
          <w:jc w:val="center"/>
        </w:trPr>
        <w:tc>
          <w:tcPr>
            <w:tcW w:w="2693" w:type="dxa"/>
            <w:tcBorders>
              <w:bottom w:val="nil"/>
            </w:tcBorders>
          </w:tcPr>
          <w:p>
            <w:pPr>
              <w:rPr>
                <w:noProof/>
              </w:rPr>
            </w:pPr>
            <w:r>
              <w:rPr>
                <w:noProof/>
              </w:rPr>
              <w:t>Франция:</w:t>
            </w:r>
          </w:p>
        </w:tc>
        <w:tc>
          <w:tcPr>
            <w:tcW w:w="2410" w:type="dxa"/>
          </w:tcPr>
          <w:p>
            <w:pPr>
              <w:rPr>
                <w:noProof/>
              </w:rPr>
            </w:pPr>
            <w:r>
              <w:rPr>
                <w:noProof/>
              </w:rPr>
              <w:tab/>
              <w:t>29</w:t>
            </w:r>
            <w:r>
              <w:rPr>
                <w:noProof/>
              </w:rPr>
              <w:tab/>
              <w:t>кораба</w:t>
            </w:r>
          </w:p>
        </w:tc>
      </w:tr>
      <w:tr>
        <w:trPr>
          <w:jc w:val="center"/>
        </w:trPr>
        <w:tc>
          <w:tcPr>
            <w:tcW w:w="2693" w:type="dxa"/>
          </w:tcPr>
          <w:p>
            <w:pPr>
              <w:rPr>
                <w:noProof/>
              </w:rPr>
            </w:pPr>
            <w:r>
              <w:rPr>
                <w:noProof/>
              </w:rPr>
              <w:t>Португалия:</w:t>
            </w:r>
          </w:p>
        </w:tc>
        <w:tc>
          <w:tcPr>
            <w:tcW w:w="2410" w:type="dxa"/>
          </w:tcPr>
          <w:p>
            <w:pPr>
              <w:rPr>
                <w:noProof/>
              </w:rPr>
            </w:pPr>
            <w:r>
              <w:rPr>
                <w:noProof/>
              </w:rPr>
              <w:tab/>
              <w:t xml:space="preserve"> 4</w:t>
            </w:r>
            <w:r>
              <w:rPr>
                <w:noProof/>
              </w:rPr>
              <w:tab/>
              <w:t>кораба</w:t>
            </w:r>
          </w:p>
        </w:tc>
      </w:tr>
    </w:tbl>
    <w:p>
      <w:pPr>
        <w:pStyle w:val="Point0number"/>
        <w:rPr>
          <w:noProof/>
        </w:rPr>
      </w:pPr>
      <w:r>
        <w:rPr>
          <w:noProof/>
        </w:rPr>
        <w:t>Регламент (ЕО) № 1006/2008 се прилага, без да се засяга споразумението.</w:t>
      </w:r>
    </w:p>
    <w:p>
      <w:pPr>
        <w:pStyle w:val="Point0number"/>
        <w:rPr>
          <w:noProof/>
        </w:rPr>
      </w:pPr>
      <w:r>
        <w:rPr>
          <w:noProof/>
        </w:rPr>
        <w:t>Ако заявленията за разрешения за риболов от посочените в параграф 1 държави членки не изчерпват всички възможности за риболов, определени в протокола, Комисията разглежда заявления за разрешения за риболов от всяка друга държава членка в съответствие с член 10 от Регламент (ЕО) № 1006/2008.</w:t>
      </w:r>
    </w:p>
    <w:p>
      <w:pPr>
        <w:pStyle w:val="Point0number"/>
        <w:rPr>
          <w:noProof/>
        </w:rPr>
      </w:pPr>
      <w:r>
        <w:rPr>
          <w:noProof/>
        </w:rPr>
        <w:t>Посоченият в член 10, параграф 1 от Регламент (ЕО) № 1006/2008 срок, в който държавите членки по искане на Комисията трябва да потвърдят, че не използват напълно предоставените съгласно протокола възможности за риболов, се определя на десет работни дни, считано от датата, на която Комисията е подала искането си.</w:t>
      </w:r>
    </w:p>
    <w:p>
      <w:pPr>
        <w:pStyle w:val="Titrearticle"/>
        <w:rPr>
          <w:noProof/>
        </w:rPr>
      </w:pPr>
      <w:r>
        <w:rPr>
          <w:noProof/>
        </w:rPr>
        <w:t>Член 2</w:t>
      </w:r>
    </w:p>
    <w:p>
      <w:pPr>
        <w:rPr>
          <w:noProof/>
        </w:rPr>
      </w:pPr>
      <w:r>
        <w:rPr>
          <w:noProof/>
        </w:rPr>
        <w:t xml:space="preserve">Настоящият регламент влиза в сила на третия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Той се прилага от датата на подписване на протокола.</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Приети на 3459-ото заседание на Съвета по селско стопанство и рибарство на 11.4.2016 г.</w:t>
      </w:r>
    </w:p>
  </w:footnote>
  <w:footnote w:id="2">
    <w:p>
      <w:pPr>
        <w:pStyle w:val="FootnoteText"/>
      </w:pPr>
      <w:r>
        <w:rPr>
          <w:rStyle w:val="FootnoteReference"/>
        </w:rPr>
        <w:footnoteRef/>
      </w:r>
      <w:r>
        <w:tab/>
        <w:t>ОВ L 79, 18.3.2014 г., стр. 3.</w:t>
      </w:r>
    </w:p>
  </w:footnote>
  <w:footnote w:id="3">
    <w:p>
      <w:pPr>
        <w:pStyle w:val="FootnoteText"/>
      </w:pPr>
      <w:r>
        <w:rPr>
          <w:rStyle w:val="FootnoteReference"/>
        </w:rPr>
        <w:footnoteRef/>
      </w:r>
      <w:r>
        <w:tab/>
        <w:t>Решение 2014/146/ЕС на Съвета от 28 януари 2014 г. за сключване на Споразумение за партньорство в областта на рибарството между Европейския съюз и Република Мавриций (ОВ L 79, 18.3.2014 г., стр. 2).</w:t>
      </w:r>
    </w:p>
  </w:footnote>
  <w:footnote w:id="4">
    <w:p>
      <w:pPr>
        <w:pStyle w:val="FootnoteText"/>
      </w:pPr>
      <w:r>
        <w:rPr>
          <w:rStyle w:val="FootnoteReference"/>
        </w:rPr>
        <w:footnoteRef/>
      </w:r>
      <w:r>
        <w:tab/>
        <w:t>ОВ L ..., ... г., стр. ....</w:t>
      </w:r>
    </w:p>
  </w:footnote>
  <w:footnote w:id="5">
    <w:p>
      <w:pPr>
        <w:pStyle w:val="FootnoteText"/>
      </w:pPr>
      <w:r>
        <w:rPr>
          <w:rStyle w:val="FootnoteReference"/>
        </w:rPr>
        <w:footnoteRef/>
      </w:r>
      <w:r>
        <w:tab/>
        <w:t>Регламент (ЕО) № 1006/2008 на Съвета от 29 септември 2008 г. относно разрешения за риболовни дейности на риболовните кораби на Общността извън водите на Общността и достъпа на кораби на трети държави до водите на Общността, изменящ регламенти (ЕИО) № 2847/93 и (ЕО) № 1627/94 и отменящ Регламент (ЕО) № 3317/94 (ОВ L 286, 29.10.2008 г., стр.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88A3A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AC7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C84BE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A8E2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7A628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8426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885948"/>
    <w:lvl w:ilvl="0">
      <w:start w:val="1"/>
      <w:numFmt w:val="decimal"/>
      <w:pStyle w:val="ListNumber"/>
      <w:lvlText w:val="%1."/>
      <w:lvlJc w:val="left"/>
      <w:pPr>
        <w:tabs>
          <w:tab w:val="num" w:pos="360"/>
        </w:tabs>
        <w:ind w:left="360" w:hanging="360"/>
      </w:pPr>
    </w:lvl>
  </w:abstractNum>
  <w:abstractNum w:abstractNumId="7">
    <w:nsid w:val="FFFFFF89"/>
    <w:multiLevelType w:val="singleLevel"/>
    <w:tmpl w:val="8AD0E6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787F75"/>
    <w:multiLevelType w:val="multilevel"/>
    <w:tmpl w:val="E51606D0"/>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mc:AlternateContent>
        <mc:Choice Requires="w14">
          <w:numFmt w:val="custom" w:format="а, й, к, ..."/>
        </mc:Choice>
        <mc:Fallback>
          <w:numFmt w:val="decimal"/>
        </mc:Fallback>
      </mc:AlternateContent>
      <w:lvlRestart w:val="0"/>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0263D33"/>
    <w:multiLevelType w:val="multilevel"/>
    <w:tmpl w:val="23468136"/>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mc:AlternateContent>
        <mc:Choice Requires="w14">
          <w:numFmt w:val="custom" w:format="а, й, к, ..."/>
        </mc:Choice>
        <mc:Fallback>
          <w:numFmt w:val="decimal"/>
        </mc:Fallback>
      </mc:AlternateContent>
      <w:lvlRestart w:val="0"/>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9"/>
  </w:num>
  <w:num w:numId="11">
    <w:abstractNumId w:val="13"/>
  </w:num>
  <w:num w:numId="12">
    <w:abstractNumId w:val="21"/>
  </w:num>
  <w:num w:numId="13">
    <w:abstractNumId w:val="12"/>
  </w:num>
  <w:num w:numId="14">
    <w:abstractNumId w:val="14"/>
  </w:num>
  <w:num w:numId="15">
    <w:abstractNumId w:val="10"/>
  </w:num>
  <w:num w:numId="16">
    <w:abstractNumId w:val="20"/>
  </w:num>
  <w:num w:numId="17">
    <w:abstractNumId w:val="9"/>
  </w:num>
  <w:num w:numId="18">
    <w:abstractNumId w:val="15"/>
  </w:num>
  <w:num w:numId="19">
    <w:abstractNumId w:val="17"/>
  </w:num>
  <w:num w:numId="20">
    <w:abstractNumId w:val="18"/>
  </w:num>
  <w:num w:numId="21">
    <w:abstractNumId w:val="11"/>
  </w:num>
  <w:num w:numId="22">
    <w:abstractNumId w:val="16"/>
  </w:num>
  <w:num w:numId="23">
    <w:abstractNumId w:val="23"/>
  </w:num>
  <w:num w:numId="24">
    <w:abstractNumId w:val="8"/>
  </w:num>
  <w:num w:numId="25">
    <w:abstractNumId w:val="22"/>
  </w:num>
  <w:num w:numId="26">
    <w:abstractNumId w:val="19"/>
  </w:num>
  <w:num w:numId="27">
    <w:abstractNumId w:val="13"/>
  </w:num>
  <w:num w:numId="28">
    <w:abstractNumId w:val="21"/>
  </w:num>
  <w:num w:numId="29">
    <w:abstractNumId w:val="12"/>
  </w:num>
  <w:num w:numId="30">
    <w:abstractNumId w:val="14"/>
  </w:num>
  <w:num w:numId="31">
    <w:abstractNumId w:val="10"/>
  </w:num>
  <w:num w:numId="32">
    <w:abstractNumId w:val="20"/>
  </w:num>
  <w:num w:numId="33">
    <w:abstractNumId w:val="9"/>
  </w:num>
  <w:num w:numId="34">
    <w:abstractNumId w:val="15"/>
  </w:num>
  <w:num w:numId="35">
    <w:abstractNumId w:val="17"/>
  </w:num>
  <w:num w:numId="36">
    <w:abstractNumId w:val="18"/>
  </w:num>
  <w:num w:numId="37">
    <w:abstractNumId w:val="11"/>
  </w:num>
  <w:num w:numId="38">
    <w:abstractNumId w:val="16"/>
  </w:num>
  <w:num w:numId="3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08 07:44: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AB3E5E4F1584891BB292DDF7FE5605B"/>
    <w:docVar w:name="LW_CROSSREFERENCE" w:val="&lt;UNUSED&gt;"/>
    <w:docVar w:name="LW_DocType" w:val="COM"/>
    <w:docVar w:name="LW_EMISSION" w:val="15.9.2017"/>
    <w:docVar w:name="LW_EMISSION_ISODATE" w:val="2017-09-15"/>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1"/>
    <w:docVar w:name="LW_REF.II.NEW.CP_YEAR" w:val="2017"/>
    <w:docVar w:name="LW_REF.INST.NEW" w:val="COM"/>
    <w:docVar w:name="LW_REF.INST.NEW_ADOPTED" w:val="final"/>
    <w:docVar w:name="LW_REF.INST.NEW_TEXT" w:val="(2017) 483"/>
    <w:docVar w:name="LW_REF.INTERNE" w:val="&lt;UNUSED&gt;"/>
    <w:docVar w:name="LW_SOUS.TITRE.OBJ.CP" w:val="&lt;UNUSED&gt;"/>
    <w:docVar w:name="LW_STATUT.CP" w:val="\u1055?\u1088?\u1077?\u1076?\u1083?\u1086?\u1078?\u1077?\u1085?\u1080?\u1077? \u1079?\u1072?"/>
    <w:docVar w:name="LW_SUPERTITRE" w:val="&lt;UNUSED&gt;"/>
    <w:docVar w:name="LW_TITRE.OBJ.CP" w:val="\u1079?\u1072? \u1088?\u1072?\u1079?\u1087?\u1088?\u1077?\u1076?\u1077?\u1083?\u1103?\u1085?\u1077? \u1085?\u1072? \u1074?\u1098?\u1079?\u1084?\u1086?\u1078?\u1085?\u1086?\u1089?\u1090?\u1080?\u1090?\u1077? \u1079?\u1072? \u1088?\u1080?\u1073?\u1086?\u1083?\u1086?\u1074? \u1089?\u1098?\u1075?\u1083?\u1072?\u1089?\u1085?\u1086? \u1055?\u1088?\u1086?\u1090?\u1086?\u1082?\u1086?\u1083?\u1072? \u1079?\u1072? \u1086?\u1087?\u1088?\u1077?\u1076?\u1077?\u1083?\u1103?\u1085?\u1077? \u1085?\u1072? \u1074?\u1098?\u1079?\u1084?\u1086?\u1078?\u1085?\u1086?\u1089?\u1090?\u1080?\u1090?\u1077? \u1079?\u1072? \u1088?\u1080?\u1073?\u1086?\u1083?\u1086?\u1074? \u1080? \u1085?\u1072? \u1092?\u1080?\u1085?\u1072?\u1085?\u1089?\u1086?\u1074?\u1086?\u1090?\u1086? \u1091?\u1095?\u1072?\u1089?\u1090?\u1080?\u1077?, \u1087?\u1088?\u1077?\u1076?\u1074?\u1080?\u1076?\u1077?\u1085?\u1080? \u1074? \u1057?\u1087?\u1086?\u1088?\u1072?\u1079?\u1091?\u1084?\u1077?\u1085?\u1080?\u1077?\u1090?\u1086? \u1079?\u1072? \u1087?\u1072?\u1088?\u1090?\u1085?\u1100?\u1086?\u1088?\u1089?\u1090?\u1074?\u1086? \u1074? \u1086?\u1073?\u1083?\u1072?\u1089?\u1090?\u1090?\u1072? \u1085?\u1072? \u1088?\u1080?\u1073?\u1072?\u1088?\u1089?\u1090?\u1074?\u1086?\u1090?\u1086? \u1084?\u1077?\u1078?\u1076?\u1091? \u1045?\u1074?\u1088?\u1086?\u1087?\u1077?\u1081?\u1089?\u1082?\u1080?\u1103? \u1089?\u1098?\u1102?\u1079? \u1080? \u1056?\u1077?\u1087?\u1091?\u1073?\u1083?\u1080?\u1082?\u1072? \u1052?\u1072?\u1074?\u1088?\u1080?\u1094?\u1080?\u1081?_x000b_"/>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46872-3E90-45F9-9D2A-E266A878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1153</Words>
  <Characters>6493</Characters>
  <Application>Microsoft Office Word</Application>
  <DocSecurity>0</DocSecurity>
  <Lines>144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2017-05-17T09:57:00Z</cp:lastPrinted>
  <dcterms:created xsi:type="dcterms:W3CDTF">2017-09-07T08:31:00Z</dcterms:created>
  <dcterms:modified xsi:type="dcterms:W3CDTF">2017-09-08T05:44:00Z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