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EA7379B35DF4D21A4EA4264FF489837" style="width:450.75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after="120"/>
        <w:jc w:val="both"/>
        <w:rPr>
          <w:rFonts w:ascii="Times New Roman" w:hAnsi="Times New Roman"/>
          <w:noProof/>
          <w:sz w:val="24"/>
          <w:szCs w:val="24"/>
        </w:rPr>
      </w:pPr>
      <w:bookmarkStart w:id="1" w:name="_GoBack"/>
      <w:bookmarkEnd w:id="1"/>
      <w:r>
        <w:rPr>
          <w:rFonts w:ascii="Times New Roman" w:hAnsi="Times New Roman"/>
          <w:noProof/>
          <w:sz w:val="24"/>
        </w:rPr>
        <w:lastRenderedPageBreak/>
        <w:t>Отчитайки трайната стратегическа значимост на суровините за промишлеността в ЕС</w:t>
      </w:r>
      <w:r>
        <w:rPr>
          <w:rStyle w:val="FootnoteReference"/>
          <w:noProof/>
        </w:rPr>
        <w:footnoteReference w:id="1"/>
      </w:r>
      <w:r>
        <w:rPr>
          <w:rFonts w:ascii="Times New Roman" w:hAnsi="Times New Roman"/>
          <w:noProof/>
          <w:sz w:val="24"/>
        </w:rPr>
        <w:t xml:space="preserve">, Комисията въвежда широк набор от действия в рамките на инициативата на ЕС за суровините с цел да се гарантира тяхното сигурно, устойчиво и достъпно доставяне. Основен елемент от тази инициатива е списъкът на суровините от изключителна важност за ЕС. </w:t>
      </w:r>
    </w:p>
    <w:p>
      <w:pPr>
        <w:spacing w:after="120"/>
        <w:jc w:val="both"/>
        <w:rPr>
          <w:rFonts w:ascii="Times New Roman" w:hAnsi="Times New Roman"/>
          <w:noProof/>
          <w:sz w:val="24"/>
          <w:szCs w:val="24"/>
        </w:rPr>
      </w:pPr>
      <w:r>
        <w:rPr>
          <w:rFonts w:ascii="Times New Roman" w:hAnsi="Times New Roman"/>
          <w:noProof/>
          <w:sz w:val="24"/>
        </w:rPr>
        <w:t>Инициативата за суровините беше предложена през 2008 г. за преодоляване на предизвикателствата, свързани с достъпа до суровини. С настоящото съобщение се актуализира списъкът от 2014 г. на суровините от изключителна важност. Основната цел на списъка е да бъдат определени суровините с високорисково снабдяване и важно икономическо значение, надеждният и безпрепятствен достъп до които дава повод за безпокойство на европейската промишленост и веригите за създаване на стойност. На базата на обективна методология списъкът осигурява фактологичен инструмент за набелязване на мерки в областта на търговията, иновациите и производството с цел укрепване на конкурентоспособността на европейските предприятия в съответствие с обновената индустриална стратегия за Европа</w:t>
      </w:r>
      <w:r>
        <w:rPr>
          <w:rStyle w:val="FootnoteReference"/>
          <w:rFonts w:ascii="Times New Roman" w:hAnsi="Times New Roman"/>
          <w:noProof/>
          <w:sz w:val="24"/>
        </w:rPr>
        <w:footnoteReference w:id="2"/>
      </w:r>
      <w:r>
        <w:rPr>
          <w:rFonts w:ascii="Times New Roman" w:hAnsi="Times New Roman"/>
          <w:noProof/>
          <w:sz w:val="24"/>
        </w:rPr>
        <w:t xml:space="preserve">, например чрез: </w:t>
      </w:r>
    </w:p>
    <w:p>
      <w:pPr>
        <w:pStyle w:val="ListParagraph"/>
        <w:numPr>
          <w:ilvl w:val="0"/>
          <w:numId w:val="3"/>
        </w:numPr>
        <w:spacing w:after="120"/>
        <w:jc w:val="both"/>
        <w:rPr>
          <w:rFonts w:ascii="Times New Roman" w:hAnsi="Times New Roman"/>
          <w:noProof/>
          <w:sz w:val="24"/>
          <w:szCs w:val="24"/>
        </w:rPr>
      </w:pPr>
      <w:r>
        <w:rPr>
          <w:rFonts w:ascii="Times New Roman" w:hAnsi="Times New Roman"/>
          <w:noProof/>
          <w:sz w:val="24"/>
        </w:rPr>
        <w:t>набелязване на нуждите от инвестиции, които могат да допринесат за намаляване на зависимостта на Европа от внос на суровини;</w:t>
      </w:r>
    </w:p>
    <w:p>
      <w:pPr>
        <w:pStyle w:val="ListParagraph"/>
        <w:numPr>
          <w:ilvl w:val="0"/>
          <w:numId w:val="3"/>
        </w:numPr>
        <w:spacing w:after="120"/>
        <w:jc w:val="both"/>
        <w:rPr>
          <w:rFonts w:ascii="Times New Roman" w:hAnsi="Times New Roman"/>
          <w:noProof/>
          <w:sz w:val="24"/>
          <w:szCs w:val="24"/>
        </w:rPr>
      </w:pPr>
      <w:r>
        <w:rPr>
          <w:rFonts w:ascii="Times New Roman" w:hAnsi="Times New Roman"/>
          <w:noProof/>
          <w:sz w:val="24"/>
        </w:rPr>
        <w:t>насочване на средства за иновации в областта на снабдяването със суровини в рамките на програмата на ЕС за научни изследвания и иновации „Хоризонт 2020“;</w:t>
      </w:r>
    </w:p>
    <w:p>
      <w:pPr>
        <w:pStyle w:val="ListParagraph"/>
        <w:numPr>
          <w:ilvl w:val="0"/>
          <w:numId w:val="3"/>
        </w:numPr>
        <w:spacing w:after="120"/>
        <w:jc w:val="both"/>
        <w:rPr>
          <w:rFonts w:ascii="Times New Roman" w:hAnsi="Times New Roman"/>
          <w:noProof/>
          <w:sz w:val="24"/>
          <w:szCs w:val="24"/>
        </w:rPr>
      </w:pPr>
      <w:r>
        <w:rPr>
          <w:rFonts w:ascii="Times New Roman" w:hAnsi="Times New Roman"/>
          <w:noProof/>
          <w:sz w:val="24"/>
        </w:rPr>
        <w:t xml:space="preserve">привличане на вниманието към значимостта на суровините от изключителна важност за прехода към нисковъглеродна кръгова икономика с ефективно използване на ресурсите. </w:t>
      </w:r>
    </w:p>
    <w:p>
      <w:pPr>
        <w:spacing w:after="120"/>
        <w:jc w:val="both"/>
        <w:rPr>
          <w:rFonts w:ascii="Times New Roman" w:hAnsi="Times New Roman"/>
          <w:noProof/>
          <w:sz w:val="24"/>
          <w:szCs w:val="24"/>
        </w:rPr>
      </w:pPr>
      <w:r>
        <w:rPr>
          <w:rFonts w:ascii="Times New Roman" w:hAnsi="Times New Roman"/>
          <w:noProof/>
          <w:sz w:val="24"/>
        </w:rPr>
        <w:t xml:space="preserve">Списъкът следва да насърчи европейското производство на суровини от изключителна важност чрез по-активно рециклиране и при необходимост — да улесни започването на нови дейности за добив на суровини. С негова помощ може да се разбере по-добре как да се постигне сигурност на снабдяването със суровини чрез диверсификация, от различни географски източници, чрез извличане, рециклиране или заместване. </w:t>
      </w:r>
    </w:p>
    <w:p>
      <w:pPr>
        <w:spacing w:after="120"/>
        <w:jc w:val="both"/>
        <w:rPr>
          <w:rFonts w:ascii="Times New Roman" w:hAnsi="Times New Roman"/>
          <w:noProof/>
          <w:sz w:val="24"/>
          <w:szCs w:val="24"/>
        </w:rPr>
      </w:pPr>
      <w:r>
        <w:rPr>
          <w:rFonts w:ascii="Times New Roman" w:hAnsi="Times New Roman"/>
          <w:noProof/>
          <w:sz w:val="24"/>
        </w:rPr>
        <w:t>Списъкът се използва от Комисията като помощно средство при договарянето на търговски споразумения, при оспорването на мерки, които изкривяват търговията, при разработването на научноизследователски и иновационни дейности и при прилагането на Програмата за устойчиво развитие до 2030 г. със заложените в нея цели за устойчиво развитие. Суровините от изключителна важност за ЕС са сред приоритетите на Плана за действие на ЕС за кръговата икономика</w:t>
      </w:r>
      <w:r>
        <w:rPr>
          <w:rStyle w:val="FootnoteReference"/>
          <w:rFonts w:ascii="Times New Roman" w:hAnsi="Times New Roman"/>
          <w:noProof/>
          <w:sz w:val="24"/>
        </w:rPr>
        <w:footnoteReference w:id="3"/>
      </w:r>
      <w:r>
        <w:rPr>
          <w:rFonts w:ascii="Times New Roman" w:hAnsi="Times New Roman"/>
          <w:noProof/>
          <w:sz w:val="24"/>
        </w:rPr>
        <w:t>, с оглед насърчаване на тяхното ефективно използване и рециклиране. Списъкът може да бъде от значение и за преразглеждане на преките чуждестранни инвестиции в ЕС</w:t>
      </w:r>
      <w:r>
        <w:rPr>
          <w:rStyle w:val="FootnoteReference"/>
          <w:rFonts w:ascii="Times New Roman" w:hAnsi="Times New Roman"/>
          <w:noProof/>
          <w:sz w:val="24"/>
        </w:rPr>
        <w:footnoteReference w:id="4"/>
      </w:r>
      <w:r>
        <w:rPr>
          <w:rFonts w:ascii="Times New Roman" w:hAnsi="Times New Roman"/>
          <w:noProof/>
          <w:sz w:val="24"/>
        </w:rPr>
        <w:t xml:space="preserve"> — предложение, представено успоредно с настоящото съобщение. Той може също така да се използва доброволно от държавите членки, дружествата и инвеститорите с цел да се информират за потенциалните рискове по отношение на доставките на суровини и свързаните с това възможности.</w:t>
      </w:r>
    </w:p>
    <w:p>
      <w:pPr>
        <w:spacing w:after="120"/>
        <w:jc w:val="both"/>
        <w:rPr>
          <w:rFonts w:ascii="Times New Roman" w:hAnsi="Times New Roman"/>
          <w:noProof/>
          <w:sz w:val="24"/>
          <w:szCs w:val="24"/>
        </w:rPr>
      </w:pPr>
      <w:r>
        <w:rPr>
          <w:rFonts w:ascii="Times New Roman" w:hAnsi="Times New Roman"/>
          <w:noProof/>
          <w:sz w:val="24"/>
        </w:rPr>
        <w:t>В настоящото съобщение е представен актуализираният в резултат на третата оценка списък на 27 суровини от изключителна важност за ЕС. То допълва двете последователни съобщения относно суровините, с които през 2011 г.</w:t>
      </w:r>
      <w:r>
        <w:rPr>
          <w:rStyle w:val="FootnoteReference"/>
          <w:rFonts w:ascii="Times New Roman" w:hAnsi="Times New Roman"/>
          <w:noProof/>
          <w:sz w:val="24"/>
        </w:rPr>
        <w:footnoteReference w:id="5"/>
      </w:r>
      <w:r>
        <w:rPr>
          <w:rFonts w:ascii="Times New Roman" w:hAnsi="Times New Roman"/>
          <w:noProof/>
          <w:sz w:val="24"/>
        </w:rPr>
        <w:t xml:space="preserve"> беше представен списък от 14 суровини от изключителна важност за ЕС, а през 2014 г.</w:t>
      </w:r>
      <w:r>
        <w:rPr>
          <w:rStyle w:val="FootnoteReference"/>
          <w:rFonts w:ascii="Times New Roman" w:hAnsi="Times New Roman"/>
          <w:noProof/>
          <w:sz w:val="24"/>
        </w:rPr>
        <w:footnoteReference w:id="6"/>
      </w:r>
      <w:r>
        <w:rPr>
          <w:rFonts w:ascii="Times New Roman" w:hAnsi="Times New Roman"/>
          <w:noProof/>
          <w:sz w:val="24"/>
        </w:rPr>
        <w:t xml:space="preserve"> — преразгледан списък от 20 суровини от изключителна важност за ЕС. Списъкът на суровините от изключителна важност за ЕС се актуализира редовно — поне веднъж на всеки три години, за да бъдат отразени тенденциите в областта на производството, пазарите и технологиите, като броят на оценените суровини нараства с всяка актуализация.</w:t>
      </w:r>
    </w:p>
    <w:p>
      <w:pPr>
        <w:spacing w:after="120"/>
        <w:jc w:val="both"/>
        <w:rPr>
          <w:rFonts w:ascii="Times New Roman" w:hAnsi="Times New Roman"/>
          <w:noProof/>
          <w:sz w:val="24"/>
          <w:szCs w:val="24"/>
        </w:rPr>
      </w:pPr>
      <w:r>
        <w:rPr>
          <w:rFonts w:ascii="Times New Roman" w:hAnsi="Times New Roman"/>
          <w:noProof/>
          <w:sz w:val="24"/>
        </w:rPr>
        <w:t xml:space="preserve">В съответствие с препоръките от доклада за 2014 г. на </w:t>
      </w:r>
      <w:r>
        <w:rPr>
          <w:rFonts w:ascii="Times New Roman" w:hAnsi="Times New Roman"/>
          <w:i/>
          <w:noProof/>
          <w:sz w:val="24"/>
        </w:rPr>
        <w:t>ad hoc</w:t>
      </w:r>
      <w:r>
        <w:rPr>
          <w:rFonts w:ascii="Times New Roman" w:hAnsi="Times New Roman"/>
          <w:noProof/>
          <w:sz w:val="24"/>
        </w:rPr>
        <w:t xml:space="preserve"> работната група за определяне на суровините от изключителна важност за ЕС</w:t>
      </w:r>
      <w:r>
        <w:rPr>
          <w:rStyle w:val="FootnoteReference"/>
          <w:rFonts w:ascii="Times New Roman" w:hAnsi="Times New Roman"/>
          <w:noProof/>
          <w:sz w:val="24"/>
        </w:rPr>
        <w:footnoteReference w:id="7"/>
      </w:r>
      <w:r>
        <w:rPr>
          <w:rFonts w:ascii="Times New Roman" w:hAnsi="Times New Roman"/>
          <w:noProof/>
          <w:sz w:val="24"/>
        </w:rPr>
        <w:t>, настоящата трета оценка беше извършена въз основа на разработена от Комисията прецизирана методика</w:t>
      </w:r>
      <w:r>
        <w:rPr>
          <w:rStyle w:val="FootnoteReference"/>
          <w:rFonts w:ascii="Times New Roman" w:hAnsi="Times New Roman"/>
          <w:noProof/>
          <w:sz w:val="24"/>
        </w:rPr>
        <w:footnoteReference w:id="8"/>
      </w:r>
      <w:r>
        <w:rPr>
          <w:rFonts w:ascii="Times New Roman" w:hAnsi="Times New Roman"/>
          <w:noProof/>
          <w:sz w:val="24"/>
        </w:rPr>
        <w:t xml:space="preserve">, която гарантира съпоставимост с предишните методологични подходи (от 2011 и 2014 г.). Икономическото значение и рискът за снабдяването са двата основни параметъра, използвани за определяне на степента на важност на суровината. Основните подобрения в преразгледаната методика се отнасят до търговията (зависимост от вноса и ограничения на износа при изчисляването на риска за снабдяването), заместването като фактор за коригиране на икономическото значение и риска за снабдяването, както и подробно разпределяне на крайните приложения на суровините въз основа на промишлените приложения, за да се определи икономическото значение. </w:t>
      </w:r>
    </w:p>
    <w:p>
      <w:pPr>
        <w:spacing w:after="120"/>
        <w:jc w:val="both"/>
        <w:rPr>
          <w:rFonts w:ascii="Times New Roman" w:hAnsi="Times New Roman"/>
          <w:noProof/>
          <w:sz w:val="24"/>
          <w:szCs w:val="24"/>
        </w:rPr>
      </w:pPr>
      <w:r>
        <w:rPr>
          <w:rFonts w:ascii="Times New Roman" w:hAnsi="Times New Roman"/>
          <w:noProof/>
          <w:sz w:val="24"/>
        </w:rPr>
        <w:t>Дори да не са класифицирани като суровини от изключителна важност, суровините са важни за европейската икономика, тъй като стоят в началото на производствените вериги за създаване на стойност. Тяхната наличност може да се променя бързо в съответствие с търговските потоци или тенденциите в търговската политика, което подчертава цялостната необходимост от диверсификация на доставките и по-мащабно рециклиране на всички суровини.</w:t>
      </w:r>
    </w:p>
    <w:p>
      <w:pPr>
        <w:rPr>
          <w:rFonts w:ascii="Times New Roman" w:hAnsi="Times New Roman"/>
          <w:b/>
          <w:noProof/>
          <w:sz w:val="24"/>
        </w:rPr>
      </w:pPr>
      <w:r>
        <w:rPr>
          <w:noProof/>
        </w:rPr>
        <w:br w:type="page"/>
      </w:r>
    </w:p>
    <w:p>
      <w:pPr>
        <w:spacing w:before="120" w:after="120" w:line="240" w:lineRule="auto"/>
        <w:jc w:val="center"/>
        <w:rPr>
          <w:rFonts w:ascii="Times New Roman" w:hAnsi="Times New Roman"/>
          <w:b/>
          <w:noProof/>
          <w:sz w:val="24"/>
        </w:rPr>
      </w:pPr>
      <w:r>
        <w:rPr>
          <w:rFonts w:ascii="Times New Roman" w:hAnsi="Times New Roman"/>
          <w:b/>
          <w:noProof/>
          <w:sz w:val="24"/>
        </w:rPr>
        <w:t>Приложение 1</w:t>
      </w:r>
    </w:p>
    <w:p>
      <w:pPr>
        <w:spacing w:before="120" w:after="120" w:line="240" w:lineRule="auto"/>
        <w:jc w:val="both"/>
        <w:rPr>
          <w:rFonts w:ascii="Times New Roman" w:hAnsi="Times New Roman"/>
          <w:noProof/>
          <w:sz w:val="24"/>
        </w:rPr>
      </w:pPr>
    </w:p>
    <w:p>
      <w:pPr>
        <w:spacing w:before="120" w:after="120" w:line="240" w:lineRule="auto"/>
        <w:jc w:val="both"/>
        <w:rPr>
          <w:rFonts w:ascii="Times New Roman" w:hAnsi="Times New Roman"/>
          <w:b/>
          <w:noProof/>
          <w:sz w:val="24"/>
        </w:rPr>
      </w:pPr>
      <w:r>
        <w:rPr>
          <w:rFonts w:ascii="Times New Roman" w:hAnsi="Times New Roman"/>
          <w:b/>
          <w:noProof/>
          <w:sz w:val="24"/>
        </w:rPr>
        <w:t>Списък на суровините от изключителна важност за ЕС</w:t>
      </w:r>
    </w:p>
    <w:p>
      <w:pPr>
        <w:spacing w:before="120" w:after="120" w:line="240" w:lineRule="auto"/>
        <w:jc w:val="both"/>
        <w:rPr>
          <w:rFonts w:ascii="Times New Roman" w:hAnsi="Times New Roman"/>
          <w:noProof/>
          <w:sz w:val="24"/>
        </w:rPr>
      </w:pPr>
      <w:r>
        <w:rPr>
          <w:rFonts w:ascii="Times New Roman" w:hAnsi="Times New Roman"/>
          <w:noProof/>
          <w:sz w:val="24"/>
        </w:rPr>
        <w:t xml:space="preserve">Изброените по-долу 27 суровини са от изключителна важност за ЕС, тъй като рискът от недостиг при снабдяването с тях и ефектът им върху икономиката са по-големи в сравнение с повечето от останалите суровини. В таблицата е отразено наличието на местно производство на някои суровини от изключителна важност за ЕС, по-специално на хафний. В световен мащаб обаче Китай е най-влиятелната държава за снабдяването с повечето суровини от изключителна важност, като например редкоземни елементи, магнезий, волфрам, антимон, галий и германий, наред с другото. Няколко други държави доминират при доставките на конкретни суровини, например Бразилия (ниобий) и САЩ (берилий и хелий). Снабдяването с метали от групата на платината е концентрирано в Русия (паладий) и Южна Африка (иридий, платина, родий и рутений). Към рисковете, свързани с тази концентрация на производството, в много случаи се прибавят и ниската степен на заместимост и на рециклиране. </w:t>
      </w:r>
    </w:p>
    <w:p>
      <w:pPr>
        <w:spacing w:before="120" w:after="120" w:line="240" w:lineRule="auto"/>
        <w:jc w:val="both"/>
        <w:rPr>
          <w:rFonts w:ascii="Times New Roman" w:hAnsi="Times New Roman"/>
          <w:noProof/>
          <w:sz w:val="24"/>
          <w:szCs w:val="24"/>
        </w:rPr>
      </w:pPr>
      <w:r>
        <w:rPr>
          <w:rFonts w:ascii="Times New Roman" w:hAnsi="Times New Roman"/>
          <w:noProof/>
          <w:sz w:val="24"/>
        </w:rPr>
        <w:t>През 2017 г. беше извършена оценка на важността на 78 суровини. В сравнение с оценката от 2014 г., сегашният разширен обхват включва девет нови материала</w:t>
      </w:r>
      <w:r>
        <w:rPr>
          <w:rStyle w:val="FootnoteReference"/>
          <w:rFonts w:ascii="Times New Roman" w:hAnsi="Times New Roman"/>
          <w:noProof/>
          <w:sz w:val="24"/>
        </w:rPr>
        <w:footnoteReference w:id="9"/>
      </w:r>
      <w:r>
        <w:rPr>
          <w:rFonts w:ascii="Times New Roman" w:hAnsi="Times New Roman"/>
          <w:noProof/>
          <w:sz w:val="24"/>
        </w:rPr>
        <w:t xml:space="preserve">.  </w:t>
      </w:r>
    </w:p>
    <w:p>
      <w:pPr>
        <w:spacing w:before="120" w:after="0" w:line="240" w:lineRule="auto"/>
        <w:jc w:val="both"/>
        <w:rPr>
          <w:rFonts w:ascii="Times New Roman" w:hAnsi="Times New Roman"/>
          <w:noProof/>
          <w:sz w:val="24"/>
        </w:rPr>
      </w:pPr>
      <w:r>
        <w:rPr>
          <w:rFonts w:ascii="Times New Roman" w:hAnsi="Times New Roman"/>
          <w:noProof/>
          <w:sz w:val="24"/>
        </w:rPr>
        <w:t>За сравнение със списъка от 2014 г. в таблицата по-долу деветте нови суровини от изключителна важност за ЕС са оцветени в тъмносиво. Въз основа на оценката от 2017 г. три суровини (хром, коксови въглища и магнезит)</w:t>
      </w:r>
      <w:r>
        <w:rPr>
          <w:rStyle w:val="FootnoteReference"/>
          <w:rFonts w:ascii="Times New Roman" w:hAnsi="Times New Roman"/>
          <w:noProof/>
          <w:sz w:val="24"/>
        </w:rPr>
        <w:footnoteReference w:id="10"/>
      </w:r>
      <w:r>
        <w:rPr>
          <w:rFonts w:ascii="Times New Roman" w:hAnsi="Times New Roman"/>
          <w:noProof/>
          <w:sz w:val="24"/>
        </w:rPr>
        <w:t xml:space="preserve"> не се считат за изключително важни. Въпреки че тежките редкоземни елементи</w:t>
      </w:r>
      <w:r>
        <w:rPr>
          <w:rStyle w:val="FootnoteReference"/>
          <w:rFonts w:ascii="Times New Roman" w:hAnsi="Times New Roman"/>
          <w:noProof/>
          <w:sz w:val="24"/>
        </w:rPr>
        <w:footnoteReference w:id="11"/>
      </w:r>
      <w:r>
        <w:rPr>
          <w:rFonts w:ascii="Times New Roman" w:hAnsi="Times New Roman"/>
          <w:noProof/>
          <w:sz w:val="24"/>
        </w:rPr>
        <w:t>, леките редкоземни елементи</w:t>
      </w:r>
      <w:r>
        <w:rPr>
          <w:rStyle w:val="FootnoteReference"/>
          <w:rFonts w:ascii="Times New Roman" w:hAnsi="Times New Roman"/>
          <w:noProof/>
          <w:sz w:val="24"/>
        </w:rPr>
        <w:footnoteReference w:id="12"/>
      </w:r>
      <w:r>
        <w:rPr>
          <w:rFonts w:ascii="Times New Roman" w:hAnsi="Times New Roman"/>
          <w:noProof/>
          <w:sz w:val="24"/>
        </w:rPr>
        <w:t xml:space="preserve"> и металите от групата на платината</w:t>
      </w:r>
      <w:r>
        <w:rPr>
          <w:rStyle w:val="FootnoteReference"/>
          <w:rFonts w:ascii="Times New Roman" w:hAnsi="Times New Roman"/>
          <w:noProof/>
          <w:sz w:val="24"/>
        </w:rPr>
        <w:footnoteReference w:id="13"/>
      </w:r>
      <w:r>
        <w:rPr>
          <w:rFonts w:ascii="Times New Roman" w:hAnsi="Times New Roman"/>
          <w:noProof/>
          <w:sz w:val="24"/>
        </w:rPr>
        <w:t xml:space="preserve"> бяха оценени поотделно, те остават групирани в списъка за важността (средноаритметична стойност, показана в таблицата), за да се гарантира съпоставимостта с предишните оценки.</w:t>
      </w:r>
    </w:p>
    <w:p>
      <w:pPr>
        <w:spacing w:before="120" w:after="120" w:line="240" w:lineRule="auto"/>
        <w:jc w:val="both"/>
        <w:rPr>
          <w:rFonts w:ascii="Times New Roman" w:hAnsi="Times New Roman"/>
          <w:noProof/>
          <w:sz w:val="24"/>
        </w:rPr>
      </w:pPr>
    </w:p>
    <w:tbl>
      <w:tblPr>
        <w:tblW w:w="5944" w:type="pct"/>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198"/>
        <w:gridCol w:w="2043"/>
        <w:gridCol w:w="2041"/>
        <w:gridCol w:w="2043"/>
        <w:gridCol w:w="961"/>
        <w:gridCol w:w="1318"/>
        <w:gridCol w:w="1438"/>
      </w:tblGrid>
      <w:tr>
        <w:trPr>
          <w:cantSplit/>
          <w:trHeight w:val="765"/>
          <w:tblHeader/>
        </w:trPr>
        <w:tc>
          <w:tcPr>
            <w:tcW w:w="542" w:type="pct"/>
            <w:shd w:val="clear" w:color="auto" w:fill="auto"/>
            <w:vAlign w:val="center"/>
            <w:hideMark/>
          </w:tcPr>
          <w:p>
            <w:pPr>
              <w:spacing w:after="0" w:line="240" w:lineRule="auto"/>
              <w:ind w:left="34"/>
              <w:rPr>
                <w:rFonts w:ascii="Times New Roman" w:eastAsia="Times New Roman" w:hAnsi="Times New Roman"/>
                <w:b/>
                <w:bCs/>
                <w:noProof/>
                <w:color w:val="000000"/>
                <w:sz w:val="20"/>
                <w:szCs w:val="20"/>
              </w:rPr>
            </w:pPr>
            <w:r>
              <w:rPr>
                <w:rFonts w:ascii="Times New Roman" w:hAnsi="Times New Roman"/>
                <w:b/>
                <w:noProof/>
                <w:color w:val="000000"/>
                <w:sz w:val="20"/>
              </w:rPr>
              <w:t>Суровини</w:t>
            </w:r>
          </w:p>
        </w:tc>
        <w:tc>
          <w:tcPr>
            <w:tcW w:w="925" w:type="pct"/>
            <w:shd w:val="clear" w:color="auto" w:fill="auto"/>
            <w:vAlign w:val="center"/>
            <w:hideMark/>
          </w:tcPr>
          <w:p>
            <w:pPr>
              <w:spacing w:after="0" w:line="240" w:lineRule="auto"/>
              <w:ind w:left="32"/>
              <w:rPr>
                <w:rFonts w:ascii="Times New Roman" w:eastAsia="Times New Roman" w:hAnsi="Times New Roman"/>
                <w:b/>
                <w:bCs/>
                <w:noProof/>
                <w:color w:val="000000"/>
                <w:sz w:val="20"/>
                <w:szCs w:val="20"/>
              </w:rPr>
            </w:pPr>
            <w:r>
              <w:rPr>
                <w:rFonts w:ascii="Times New Roman" w:hAnsi="Times New Roman"/>
                <w:b/>
                <w:noProof/>
                <w:color w:val="000000"/>
                <w:sz w:val="20"/>
              </w:rPr>
              <w:t xml:space="preserve">Основни световни производители </w:t>
            </w:r>
          </w:p>
          <w:p>
            <w:pPr>
              <w:spacing w:after="0" w:line="240" w:lineRule="auto"/>
              <w:ind w:left="32"/>
              <w:rPr>
                <w:rFonts w:ascii="Times New Roman" w:eastAsia="Times New Roman" w:hAnsi="Times New Roman"/>
                <w:b/>
                <w:bCs/>
                <w:noProof/>
                <w:color w:val="000000"/>
                <w:sz w:val="20"/>
                <w:szCs w:val="20"/>
              </w:rPr>
            </w:pPr>
            <w:r>
              <w:rPr>
                <w:rFonts w:ascii="Times New Roman" w:hAnsi="Times New Roman"/>
                <w:b/>
                <w:noProof/>
                <w:color w:val="000000"/>
                <w:sz w:val="20"/>
              </w:rPr>
              <w:t>(средна стойност за периода 2010 — 2014 г.)</w:t>
            </w:r>
          </w:p>
        </w:tc>
        <w:tc>
          <w:tcPr>
            <w:tcW w:w="924" w:type="pct"/>
            <w:shd w:val="clear" w:color="auto" w:fill="auto"/>
            <w:vAlign w:val="center"/>
            <w:hideMark/>
          </w:tcPr>
          <w:p>
            <w:pPr>
              <w:spacing w:after="0" w:line="240" w:lineRule="auto"/>
              <w:ind w:left="34"/>
              <w:rPr>
                <w:rFonts w:ascii="Times New Roman" w:eastAsia="Times New Roman" w:hAnsi="Times New Roman"/>
                <w:b/>
                <w:bCs/>
                <w:noProof/>
                <w:color w:val="000000"/>
                <w:sz w:val="20"/>
                <w:szCs w:val="20"/>
              </w:rPr>
            </w:pPr>
            <w:r>
              <w:rPr>
                <w:rFonts w:ascii="Times New Roman" w:hAnsi="Times New Roman"/>
                <w:b/>
                <w:noProof/>
                <w:color w:val="000000"/>
                <w:sz w:val="20"/>
              </w:rPr>
              <w:t xml:space="preserve">Основни вносители </w:t>
            </w:r>
            <w:r>
              <w:rPr>
                <w:rFonts w:ascii="Times New Roman" w:eastAsia="Times New Roman" w:hAnsi="Times New Roman"/>
                <w:b/>
                <w:bCs/>
                <w:noProof/>
                <w:color w:val="000000"/>
                <w:sz w:val="20"/>
                <w:szCs w:val="20"/>
              </w:rPr>
              <w:br/>
            </w:r>
            <w:r>
              <w:rPr>
                <w:rFonts w:ascii="Times New Roman" w:hAnsi="Times New Roman"/>
                <w:b/>
                <w:noProof/>
                <w:color w:val="000000"/>
                <w:sz w:val="20"/>
              </w:rPr>
              <w:t xml:space="preserve">в ЕС </w:t>
            </w:r>
          </w:p>
          <w:p>
            <w:pPr>
              <w:spacing w:after="0" w:line="240" w:lineRule="auto"/>
              <w:ind w:left="34"/>
              <w:rPr>
                <w:rFonts w:ascii="Times New Roman" w:eastAsia="Times New Roman" w:hAnsi="Times New Roman"/>
                <w:b/>
                <w:bCs/>
                <w:noProof/>
                <w:color w:val="000000"/>
                <w:sz w:val="20"/>
                <w:szCs w:val="20"/>
              </w:rPr>
            </w:pPr>
            <w:r>
              <w:rPr>
                <w:rFonts w:ascii="Times New Roman" w:hAnsi="Times New Roman"/>
                <w:b/>
                <w:noProof/>
                <w:color w:val="000000"/>
                <w:sz w:val="20"/>
              </w:rPr>
              <w:t>(средна стойност за периода 2010 — 2014 г.)</w:t>
            </w:r>
          </w:p>
        </w:tc>
        <w:tc>
          <w:tcPr>
            <w:tcW w:w="925" w:type="pct"/>
            <w:vAlign w:val="center"/>
          </w:tcPr>
          <w:p>
            <w:pPr>
              <w:spacing w:after="0" w:line="240" w:lineRule="auto"/>
              <w:ind w:left="34"/>
              <w:rPr>
                <w:rFonts w:ascii="Times New Roman" w:eastAsia="Times New Roman" w:hAnsi="Times New Roman"/>
                <w:b/>
                <w:bCs/>
                <w:noProof/>
                <w:color w:val="000000"/>
                <w:sz w:val="20"/>
                <w:szCs w:val="20"/>
              </w:rPr>
            </w:pPr>
            <w:r>
              <w:rPr>
                <w:rFonts w:ascii="Times New Roman" w:hAnsi="Times New Roman"/>
                <w:b/>
                <w:noProof/>
                <w:color w:val="000000"/>
                <w:sz w:val="20"/>
              </w:rPr>
              <w:t xml:space="preserve">Източници </w:t>
            </w:r>
          </w:p>
          <w:p>
            <w:pPr>
              <w:spacing w:after="0" w:line="240" w:lineRule="auto"/>
              <w:ind w:left="34"/>
              <w:rPr>
                <w:rFonts w:ascii="Times New Roman" w:eastAsia="Times New Roman" w:hAnsi="Times New Roman"/>
                <w:b/>
                <w:bCs/>
                <w:noProof/>
                <w:color w:val="000000"/>
                <w:sz w:val="20"/>
                <w:szCs w:val="20"/>
              </w:rPr>
            </w:pPr>
            <w:r>
              <w:rPr>
                <w:rFonts w:ascii="Times New Roman" w:hAnsi="Times New Roman"/>
                <w:b/>
                <w:noProof/>
                <w:color w:val="000000"/>
                <w:sz w:val="20"/>
              </w:rPr>
              <w:t>на доставки за ЕС</w:t>
            </w:r>
          </w:p>
          <w:p>
            <w:pPr>
              <w:spacing w:after="0" w:line="240" w:lineRule="auto"/>
              <w:ind w:left="34"/>
              <w:rPr>
                <w:rFonts w:ascii="Times New Roman" w:eastAsia="Times New Roman" w:hAnsi="Times New Roman"/>
                <w:b/>
                <w:bCs/>
                <w:noProof/>
                <w:color w:val="000000"/>
                <w:sz w:val="20"/>
                <w:szCs w:val="20"/>
              </w:rPr>
            </w:pPr>
            <w:r>
              <w:rPr>
                <w:rFonts w:ascii="Times New Roman" w:hAnsi="Times New Roman"/>
                <w:b/>
                <w:noProof/>
                <w:color w:val="000000"/>
                <w:sz w:val="20"/>
              </w:rPr>
              <w:t>(средна стойност за периода 2010 — 2014 г.)</w:t>
            </w:r>
          </w:p>
        </w:tc>
        <w:tc>
          <w:tcPr>
            <w:tcW w:w="435" w:type="pct"/>
            <w:vAlign w:val="center"/>
          </w:tcPr>
          <w:p>
            <w:pPr>
              <w:spacing w:after="0" w:line="240" w:lineRule="auto"/>
              <w:ind w:left="34"/>
              <w:rPr>
                <w:rFonts w:ascii="Times New Roman" w:eastAsia="Times New Roman" w:hAnsi="Times New Roman"/>
                <w:b/>
                <w:bCs/>
                <w:noProof/>
                <w:color w:val="000000"/>
                <w:sz w:val="20"/>
                <w:szCs w:val="20"/>
              </w:rPr>
            </w:pPr>
            <w:r>
              <w:rPr>
                <w:rFonts w:ascii="Times New Roman" w:hAnsi="Times New Roman"/>
                <w:b/>
                <w:noProof/>
                <w:color w:val="000000"/>
                <w:sz w:val="20"/>
              </w:rPr>
              <w:t>Процент на зависимостта от внос*</w:t>
            </w:r>
          </w:p>
        </w:tc>
        <w:tc>
          <w:tcPr>
            <w:tcW w:w="597" w:type="pct"/>
            <w:shd w:val="clear" w:color="auto" w:fill="auto"/>
            <w:vAlign w:val="center"/>
            <w:hideMark/>
          </w:tcPr>
          <w:p>
            <w:pPr>
              <w:spacing w:after="0" w:line="240" w:lineRule="auto"/>
              <w:ind w:left="34"/>
              <w:rPr>
                <w:rFonts w:ascii="Times New Roman" w:eastAsia="Times New Roman" w:hAnsi="Times New Roman"/>
                <w:b/>
                <w:bCs/>
                <w:noProof/>
                <w:color w:val="000000"/>
                <w:sz w:val="20"/>
                <w:szCs w:val="20"/>
              </w:rPr>
            </w:pPr>
            <w:r>
              <w:rPr>
                <w:rFonts w:ascii="Times New Roman" w:hAnsi="Times New Roman"/>
                <w:b/>
                <w:noProof/>
                <w:color w:val="000000"/>
                <w:sz w:val="20"/>
              </w:rPr>
              <w:t>Индекси на заместимост EI/SR**</w:t>
            </w:r>
          </w:p>
        </w:tc>
        <w:tc>
          <w:tcPr>
            <w:tcW w:w="651" w:type="pct"/>
            <w:shd w:val="clear" w:color="auto" w:fill="auto"/>
            <w:vAlign w:val="center"/>
            <w:hideMark/>
          </w:tcPr>
          <w:p>
            <w:pPr>
              <w:spacing w:after="0" w:line="240" w:lineRule="auto"/>
              <w:ind w:left="34"/>
              <w:rPr>
                <w:rFonts w:ascii="Times New Roman" w:eastAsia="Times New Roman" w:hAnsi="Times New Roman"/>
                <w:b/>
                <w:bCs/>
                <w:noProof/>
                <w:color w:val="000000"/>
                <w:sz w:val="20"/>
                <w:szCs w:val="20"/>
              </w:rPr>
            </w:pPr>
            <w:r>
              <w:rPr>
                <w:rFonts w:ascii="Times New Roman" w:hAnsi="Times New Roman"/>
                <w:b/>
                <w:noProof/>
                <w:color w:val="000000"/>
                <w:sz w:val="20"/>
              </w:rPr>
              <w:t>Рециклиране след излизане от употреба***</w:t>
            </w:r>
          </w:p>
        </w:tc>
      </w:tr>
      <w:tr>
        <w:trPr>
          <w:cantSplit/>
          <w:trHeight w:val="625"/>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Антимон </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(87 %)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Виетнам (11 %)</w:t>
            </w:r>
          </w:p>
        </w:tc>
        <w:tc>
          <w:tcPr>
            <w:tcW w:w="924"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(90 %)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Виетнам (4 %)</w:t>
            </w:r>
          </w:p>
        </w:tc>
        <w:tc>
          <w:tcPr>
            <w:tcW w:w="925"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(90 %)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Виетнам (4 %)</w:t>
            </w:r>
          </w:p>
        </w:tc>
        <w:tc>
          <w:tcPr>
            <w:tcW w:w="435" w:type="pct"/>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0,91/0,93</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28 %</w:t>
            </w:r>
          </w:p>
        </w:tc>
      </w:tr>
      <w:tr>
        <w:trPr>
          <w:cantSplit/>
          <w:trHeight w:val="1630"/>
          <w:tblHeader/>
        </w:trPr>
        <w:tc>
          <w:tcPr>
            <w:tcW w:w="542"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Барит</w:t>
            </w:r>
          </w:p>
        </w:tc>
        <w:tc>
          <w:tcPr>
            <w:tcW w:w="925"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(44 %)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Индия (18 %)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Мароко (10 %)</w:t>
            </w:r>
          </w:p>
        </w:tc>
        <w:tc>
          <w:tcPr>
            <w:tcW w:w="924" w:type="pct"/>
            <w:shd w:val="clear" w:color="auto" w:fill="D9D9D9" w:themeFill="background1" w:themeFillShade="D9"/>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Китай (53 %)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Мароко (37 %)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Турция (7 %)</w:t>
            </w:r>
          </w:p>
        </w:tc>
        <w:tc>
          <w:tcPr>
            <w:tcW w:w="925" w:type="pct"/>
            <w:shd w:val="clear" w:color="auto" w:fill="D9D9D9" w:themeFill="background1" w:themeFillShade="D9"/>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(34 %)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Мароко (30 %)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Германия (8 %)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Турция (6 %)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Обединено кралство (5 %)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Други — ЕС (4 %)</w:t>
            </w:r>
          </w:p>
        </w:tc>
        <w:tc>
          <w:tcPr>
            <w:tcW w:w="435"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80 %</w:t>
            </w:r>
          </w:p>
        </w:tc>
        <w:tc>
          <w:tcPr>
            <w:tcW w:w="597"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0,93/0,94</w:t>
            </w:r>
          </w:p>
        </w:tc>
        <w:tc>
          <w:tcPr>
            <w:tcW w:w="651"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1 %</w:t>
            </w:r>
          </w:p>
        </w:tc>
      </w:tr>
      <w:tr>
        <w:trPr>
          <w:cantSplit/>
          <w:trHeight w:val="565"/>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Берилий</w:t>
            </w:r>
          </w:p>
        </w:tc>
        <w:tc>
          <w:tcPr>
            <w:tcW w:w="925" w:type="pct"/>
            <w:shd w:val="clear" w:color="auto" w:fill="auto"/>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САЩ (90 %)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Китай (8 %)</w:t>
            </w:r>
          </w:p>
        </w:tc>
        <w:tc>
          <w:tcPr>
            <w:tcW w:w="924" w:type="pct"/>
            <w:shd w:val="clear" w:color="auto" w:fill="auto"/>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няма данни</w:t>
            </w:r>
          </w:p>
        </w:tc>
        <w:tc>
          <w:tcPr>
            <w:tcW w:w="925"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няма данни</w:t>
            </w:r>
          </w:p>
        </w:tc>
        <w:tc>
          <w:tcPr>
            <w:tcW w:w="435"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няма данни</w:t>
            </w:r>
            <w:r>
              <w:rPr>
                <w:rStyle w:val="FootnoteReference"/>
                <w:rFonts w:ascii="Times New Roman" w:hAnsi="Times New Roman"/>
                <w:noProof/>
                <w:color w:val="000000"/>
                <w:sz w:val="20"/>
              </w:rPr>
              <w:footnoteReference w:id="14"/>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0,99/0,99</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0 %</w:t>
            </w:r>
          </w:p>
        </w:tc>
      </w:tr>
      <w:tr>
        <w:trPr>
          <w:cantSplit/>
          <w:trHeight w:val="420"/>
          <w:tblHeader/>
        </w:trPr>
        <w:tc>
          <w:tcPr>
            <w:tcW w:w="542"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Бисмут</w:t>
            </w:r>
          </w:p>
        </w:tc>
        <w:tc>
          <w:tcPr>
            <w:tcW w:w="925" w:type="pct"/>
            <w:shd w:val="clear" w:color="auto" w:fill="D9D9D9" w:themeFill="background1" w:themeFillShade="D9"/>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Китай (82 %)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Мексико (11 %)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Япония (7 %)</w:t>
            </w:r>
          </w:p>
        </w:tc>
        <w:tc>
          <w:tcPr>
            <w:tcW w:w="924" w:type="pct"/>
            <w:shd w:val="clear" w:color="auto" w:fill="D9D9D9" w:themeFill="background1" w:themeFillShade="D9"/>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Китай (84 %)</w:t>
            </w:r>
          </w:p>
        </w:tc>
        <w:tc>
          <w:tcPr>
            <w:tcW w:w="925" w:type="pct"/>
            <w:shd w:val="clear" w:color="auto" w:fill="D9D9D9" w:themeFill="background1" w:themeFillShade="D9"/>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(84 %)</w:t>
            </w:r>
          </w:p>
        </w:tc>
        <w:tc>
          <w:tcPr>
            <w:tcW w:w="435"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0,96/0,94</w:t>
            </w:r>
          </w:p>
        </w:tc>
        <w:tc>
          <w:tcPr>
            <w:tcW w:w="651"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1 %</w:t>
            </w:r>
          </w:p>
        </w:tc>
      </w:tr>
      <w:tr>
        <w:trPr>
          <w:cantSplit/>
          <w:trHeight w:val="661"/>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Борат</w:t>
            </w:r>
          </w:p>
        </w:tc>
        <w:tc>
          <w:tcPr>
            <w:tcW w:w="925" w:type="pct"/>
            <w:shd w:val="clear" w:color="auto" w:fill="auto"/>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Турция (38 %)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САЩ (23 %)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Аржентина (12 %)</w:t>
            </w:r>
          </w:p>
        </w:tc>
        <w:tc>
          <w:tcPr>
            <w:tcW w:w="924" w:type="pct"/>
            <w:shd w:val="clear" w:color="auto" w:fill="auto"/>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Турция (98 %)</w:t>
            </w:r>
          </w:p>
        </w:tc>
        <w:tc>
          <w:tcPr>
            <w:tcW w:w="925"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Турция (98 %)</w:t>
            </w:r>
          </w:p>
        </w:tc>
        <w:tc>
          <w:tcPr>
            <w:tcW w:w="435"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1,0/1,0</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0 %</w:t>
            </w:r>
          </w:p>
        </w:tc>
      </w:tr>
      <w:tr>
        <w:trPr>
          <w:cantSplit/>
          <w:trHeight w:val="1045"/>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Кобалт </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Демократична република Конго (64 %)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(5 %)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Канада (5 %)</w:t>
            </w:r>
          </w:p>
        </w:tc>
        <w:tc>
          <w:tcPr>
            <w:tcW w:w="924" w:type="pct"/>
            <w:shd w:val="clear" w:color="auto" w:fill="auto"/>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Русия (91 %)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Демократична република Конго (7 %)</w:t>
            </w:r>
          </w:p>
        </w:tc>
        <w:tc>
          <w:tcPr>
            <w:tcW w:w="925"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Финландия (66 %)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(31 %)</w:t>
            </w:r>
          </w:p>
        </w:tc>
        <w:tc>
          <w:tcPr>
            <w:tcW w:w="435"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32 %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1,0/1,0</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0 %</w:t>
            </w:r>
          </w:p>
        </w:tc>
      </w:tr>
      <w:tr>
        <w:trPr>
          <w:cantSplit/>
          <w:trHeight w:val="1045"/>
          <w:tblHeader/>
        </w:trPr>
        <w:tc>
          <w:tcPr>
            <w:tcW w:w="542"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Коксови въглища</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(54 %)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Австралия (15 %)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САЩ (7 %)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(7 %)</w:t>
            </w:r>
          </w:p>
        </w:tc>
        <w:tc>
          <w:tcPr>
            <w:tcW w:w="924" w:type="pct"/>
            <w:shd w:val="clear" w:color="auto" w:fill="auto"/>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САЩ (39 %)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Австралия (36 %)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Русия (9 %)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Канада (8 %)</w:t>
            </w:r>
          </w:p>
        </w:tc>
        <w:tc>
          <w:tcPr>
            <w:tcW w:w="925"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САЩ (38 %)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Австралия (34 %)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Канада (7 %)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Полша (1 %)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Германия (1 %)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Чешка република (1 %)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Обединено кралство (1 %)</w:t>
            </w:r>
          </w:p>
        </w:tc>
        <w:tc>
          <w:tcPr>
            <w:tcW w:w="435"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63 %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0,92/0,92</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0 %</w:t>
            </w:r>
          </w:p>
        </w:tc>
      </w:tr>
      <w:tr>
        <w:trPr>
          <w:cantSplit/>
          <w:trHeight w:val="70"/>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Флуорит (флусшпат) </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(64 %)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Мексико (16 %)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Монголия (5 %)</w:t>
            </w:r>
          </w:p>
        </w:tc>
        <w:tc>
          <w:tcPr>
            <w:tcW w:w="924" w:type="pct"/>
            <w:shd w:val="clear" w:color="auto" w:fill="auto"/>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Мексико (38 %)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Китай (17 %)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Южна Африка (15 %)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Намибия (12 %)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Кения (9 %)</w:t>
            </w:r>
          </w:p>
        </w:tc>
        <w:tc>
          <w:tcPr>
            <w:tcW w:w="925" w:type="pct"/>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Мексико (27 %)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Испания (13 %)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(12 %)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Южна Африка (11 %)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Намибия (9 %)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Кения (7 %)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Германия (5 %)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България (4 %)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Обединено кралство (4 %)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Други — ЕС (1 %)</w:t>
            </w:r>
          </w:p>
        </w:tc>
        <w:tc>
          <w:tcPr>
            <w:tcW w:w="435"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70 %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0,98/0,97</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1 %</w:t>
            </w:r>
          </w:p>
        </w:tc>
      </w:tr>
      <w:tr>
        <w:trPr>
          <w:cantSplit/>
          <w:trHeight w:val="661"/>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Галий</w:t>
            </w:r>
            <w:r>
              <w:rPr>
                <w:rFonts w:ascii="Times New Roman" w:hAnsi="Times New Roman"/>
                <w:noProof/>
                <w:color w:val="000000"/>
                <w:sz w:val="20"/>
                <w:vertAlign w:val="superscript"/>
              </w:rPr>
              <w:footnoteReference w:id="15"/>
            </w:r>
          </w:p>
        </w:tc>
        <w:tc>
          <w:tcPr>
            <w:tcW w:w="925" w:type="pct"/>
            <w:shd w:val="clear" w:color="auto" w:fill="auto"/>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Китай (85 %)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Германия (7 %)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Казахстан (5 %)</w:t>
            </w:r>
          </w:p>
        </w:tc>
        <w:tc>
          <w:tcPr>
            <w:tcW w:w="924" w:type="pct"/>
            <w:shd w:val="clear" w:color="auto" w:fill="auto"/>
            <w:noWrap/>
            <w:vAlign w:val="center"/>
          </w:tcPr>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Китай (53 %)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САЩ (11 %)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Украйна (9 %)</w:t>
            </w:r>
          </w:p>
          <w:p>
            <w:pPr>
              <w:spacing w:before="60" w:after="60" w:line="240" w:lineRule="auto"/>
              <w:ind w:left="32"/>
              <w:rPr>
                <w:rFonts w:ascii="Times New Roman" w:eastAsia="Times New Roman" w:hAnsi="Times New Roman"/>
                <w:noProof/>
                <w:color w:val="000000"/>
                <w:sz w:val="20"/>
                <w:szCs w:val="20"/>
              </w:rPr>
            </w:pPr>
            <w:r>
              <w:rPr>
                <w:rFonts w:ascii="Times New Roman" w:hAnsi="Times New Roman"/>
                <w:noProof/>
                <w:color w:val="000000"/>
                <w:sz w:val="20"/>
              </w:rPr>
              <w:t>Южна Корея (8 %)</w:t>
            </w:r>
          </w:p>
        </w:tc>
        <w:tc>
          <w:tcPr>
            <w:tcW w:w="925"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(36 %)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Германия (27 %)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САЩ (8 %)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Украйна (6 %)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Южна Корея (5 %)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Унгария (5 %)</w:t>
            </w:r>
          </w:p>
        </w:tc>
        <w:tc>
          <w:tcPr>
            <w:tcW w:w="435"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34 %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0,95/0,96</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0 %</w:t>
            </w:r>
          </w:p>
        </w:tc>
      </w:tr>
      <w:tr>
        <w:trPr>
          <w:cantSplit/>
          <w:trHeight w:val="1105"/>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Германий</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Китай (67 %)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Финландия (11 %)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Канада (9 %)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САЩ (9 %)</w:t>
            </w:r>
          </w:p>
        </w:tc>
        <w:tc>
          <w:tcPr>
            <w:tcW w:w="924"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(60 %)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(17 %)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САЩ (16 %)</w:t>
            </w:r>
          </w:p>
        </w:tc>
        <w:tc>
          <w:tcPr>
            <w:tcW w:w="925" w:type="pct"/>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(43 %)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Финландия (28 %)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(12 %)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САЩ (12 %)</w:t>
            </w:r>
          </w:p>
        </w:tc>
        <w:tc>
          <w:tcPr>
            <w:tcW w:w="435"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64 %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1,0/1,0</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2 %</w:t>
            </w:r>
          </w:p>
        </w:tc>
      </w:tr>
      <w:tr>
        <w:trPr>
          <w:cantSplit/>
          <w:trHeight w:val="420"/>
          <w:tblHeader/>
        </w:trPr>
        <w:tc>
          <w:tcPr>
            <w:tcW w:w="542"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Хафний</w:t>
            </w:r>
          </w:p>
        </w:tc>
        <w:tc>
          <w:tcPr>
            <w:tcW w:w="925"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Франция (43 %)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САЩ (41 %)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Украйна (8 %)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(8 %)</w:t>
            </w:r>
          </w:p>
        </w:tc>
        <w:tc>
          <w:tcPr>
            <w:tcW w:w="924"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Канада (67 %)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(33 %)</w:t>
            </w:r>
          </w:p>
        </w:tc>
        <w:tc>
          <w:tcPr>
            <w:tcW w:w="925" w:type="pct"/>
            <w:shd w:val="clear" w:color="auto" w:fill="D9D9D9" w:themeFill="background1" w:themeFillShade="D9"/>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Франция (71 %)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Канада (19 %)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(10 %)</w:t>
            </w:r>
          </w:p>
        </w:tc>
        <w:tc>
          <w:tcPr>
            <w:tcW w:w="435"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9 %</w:t>
            </w:r>
          </w:p>
        </w:tc>
        <w:tc>
          <w:tcPr>
            <w:tcW w:w="597"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0,93/0,97</w:t>
            </w:r>
          </w:p>
        </w:tc>
        <w:tc>
          <w:tcPr>
            <w:tcW w:w="651"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1 %</w:t>
            </w:r>
          </w:p>
        </w:tc>
      </w:tr>
      <w:tr>
        <w:trPr>
          <w:cantSplit/>
          <w:trHeight w:val="420"/>
          <w:tblHeader/>
        </w:trPr>
        <w:tc>
          <w:tcPr>
            <w:tcW w:w="542"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Хелий</w:t>
            </w:r>
          </w:p>
        </w:tc>
        <w:tc>
          <w:tcPr>
            <w:tcW w:w="925"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САЩ (73 %)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Катар (12 %)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Алжир (10 %)</w:t>
            </w:r>
          </w:p>
        </w:tc>
        <w:tc>
          <w:tcPr>
            <w:tcW w:w="924"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САЩ (53 %)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Алжир (29 %)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Катар (8 %)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(8 %)</w:t>
            </w:r>
          </w:p>
        </w:tc>
        <w:tc>
          <w:tcPr>
            <w:tcW w:w="925" w:type="pct"/>
            <w:shd w:val="clear" w:color="auto" w:fill="D9D9D9" w:themeFill="background1" w:themeFillShade="D9"/>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САЩ (51 %)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Алжир (29 %)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Катар (8 %)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Полша (3 %)</w:t>
            </w:r>
          </w:p>
        </w:tc>
        <w:tc>
          <w:tcPr>
            <w:tcW w:w="435"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96 %</w:t>
            </w:r>
          </w:p>
        </w:tc>
        <w:tc>
          <w:tcPr>
            <w:tcW w:w="597"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0,94/0,96</w:t>
            </w:r>
          </w:p>
        </w:tc>
        <w:tc>
          <w:tcPr>
            <w:tcW w:w="651"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1 %</w:t>
            </w:r>
          </w:p>
        </w:tc>
      </w:tr>
      <w:tr>
        <w:trPr>
          <w:cantSplit/>
          <w:trHeight w:val="1285"/>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Индий</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(57 %)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Южна Корея (15 %)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Япония (10 %)</w:t>
            </w:r>
          </w:p>
        </w:tc>
        <w:tc>
          <w:tcPr>
            <w:tcW w:w="924"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(41 %)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Казахстан (19 %)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Южна Корея (11 %)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Хонконг (8 %)</w:t>
            </w:r>
          </w:p>
        </w:tc>
        <w:tc>
          <w:tcPr>
            <w:tcW w:w="925" w:type="pct"/>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(28 %)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Белгия (19 %)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Казахстан (13 %)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Франция (11 %)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Южна Корея (8 %)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Хонконг (6 %)</w:t>
            </w:r>
          </w:p>
        </w:tc>
        <w:tc>
          <w:tcPr>
            <w:tcW w:w="435"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0,94/0,97</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0 %</w:t>
            </w:r>
          </w:p>
        </w:tc>
      </w:tr>
      <w:tr>
        <w:trPr>
          <w:cantSplit/>
          <w:trHeight w:val="625"/>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Магнезий</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(87 %)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САЩ (5 %)</w:t>
            </w:r>
          </w:p>
        </w:tc>
        <w:tc>
          <w:tcPr>
            <w:tcW w:w="924"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(94 %)</w:t>
            </w:r>
          </w:p>
        </w:tc>
        <w:tc>
          <w:tcPr>
            <w:tcW w:w="925"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(94 %)</w:t>
            </w:r>
          </w:p>
        </w:tc>
        <w:tc>
          <w:tcPr>
            <w:tcW w:w="435"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0,91/0,91</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9 %</w:t>
            </w:r>
          </w:p>
        </w:tc>
      </w:tr>
      <w:tr>
        <w:trPr>
          <w:cantSplit/>
          <w:trHeight w:val="1280"/>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Естествен графит</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(69 %)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Индия (12 %)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Бразилия (8 %)</w:t>
            </w:r>
          </w:p>
        </w:tc>
        <w:tc>
          <w:tcPr>
            <w:tcW w:w="924"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(63 %)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Бразилия (13 %)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Норвегия (7 %)</w:t>
            </w:r>
          </w:p>
        </w:tc>
        <w:tc>
          <w:tcPr>
            <w:tcW w:w="925"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(63 %)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Бразилия (13 %)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Норвегия (7 %)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ЕС (&lt; 1 %)</w:t>
            </w:r>
          </w:p>
        </w:tc>
        <w:tc>
          <w:tcPr>
            <w:tcW w:w="435"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99 %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0,95/0,97</w:t>
            </w:r>
          </w:p>
        </w:tc>
        <w:tc>
          <w:tcPr>
            <w:tcW w:w="651"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3 %</w:t>
            </w:r>
          </w:p>
        </w:tc>
      </w:tr>
      <w:tr>
        <w:trPr>
          <w:cantSplit/>
          <w:trHeight w:val="420"/>
          <w:tblHeader/>
        </w:trPr>
        <w:tc>
          <w:tcPr>
            <w:tcW w:w="542"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Естествен каучук</w:t>
            </w:r>
          </w:p>
        </w:tc>
        <w:tc>
          <w:tcPr>
            <w:tcW w:w="925"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Тайланд (32 %)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Индонезия (26 %)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Виетнам (8 %)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Индия (8 %)</w:t>
            </w:r>
          </w:p>
        </w:tc>
        <w:tc>
          <w:tcPr>
            <w:tcW w:w="924"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Индонезия (32 %)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Малайзия (20 %)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Тайланд (17 %)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Кот д’Ивоар (12 %)</w:t>
            </w:r>
          </w:p>
        </w:tc>
        <w:tc>
          <w:tcPr>
            <w:tcW w:w="925" w:type="pct"/>
            <w:shd w:val="clear" w:color="auto" w:fill="D9D9D9" w:themeFill="background1" w:themeFillShade="D9"/>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Индонезия (32 %)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Малайзия (20 %)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Тайланд (17 %)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Кот д’Ивоар (12 %)</w:t>
            </w:r>
          </w:p>
        </w:tc>
        <w:tc>
          <w:tcPr>
            <w:tcW w:w="435"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0,92/0,92</w:t>
            </w:r>
          </w:p>
        </w:tc>
        <w:tc>
          <w:tcPr>
            <w:tcW w:w="651"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1 %</w:t>
            </w:r>
          </w:p>
        </w:tc>
      </w:tr>
      <w:tr>
        <w:trPr>
          <w:cantSplit/>
          <w:trHeight w:val="601"/>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Ниобий</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Бразилия (90 %)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Канада (10 %)</w:t>
            </w:r>
          </w:p>
        </w:tc>
        <w:tc>
          <w:tcPr>
            <w:tcW w:w="924"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Бразилия (71 %)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Канада (13 %)</w:t>
            </w:r>
          </w:p>
        </w:tc>
        <w:tc>
          <w:tcPr>
            <w:tcW w:w="925" w:type="pct"/>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Бразилия (71 %)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Канада (13 %)</w:t>
            </w:r>
          </w:p>
        </w:tc>
        <w:tc>
          <w:tcPr>
            <w:tcW w:w="435"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0,91/0,94</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0,3 %</w:t>
            </w:r>
          </w:p>
        </w:tc>
      </w:tr>
      <w:tr>
        <w:trPr>
          <w:cantSplit/>
          <w:trHeight w:val="841"/>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Фосфорит</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(44 %)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Мароко (13 %)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САЩ (13 %)</w:t>
            </w:r>
          </w:p>
        </w:tc>
        <w:tc>
          <w:tcPr>
            <w:tcW w:w="924"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Мароко (31 %)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(18 %)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Сирия (12 %)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Алжир (12 %)</w:t>
            </w:r>
          </w:p>
        </w:tc>
        <w:tc>
          <w:tcPr>
            <w:tcW w:w="925" w:type="pct"/>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Мароко (28 %)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(16 %)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Сирия (11 %)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Алжир (10 %)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ЕС — Финландия (12 %)</w:t>
            </w:r>
          </w:p>
        </w:tc>
        <w:tc>
          <w:tcPr>
            <w:tcW w:w="435"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88 %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1,0/1,0</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17 %</w:t>
            </w:r>
          </w:p>
        </w:tc>
      </w:tr>
      <w:tr>
        <w:trPr>
          <w:cantSplit/>
          <w:trHeight w:val="420"/>
          <w:tblHeader/>
        </w:trPr>
        <w:tc>
          <w:tcPr>
            <w:tcW w:w="542"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Фосфор</w:t>
            </w:r>
          </w:p>
        </w:tc>
        <w:tc>
          <w:tcPr>
            <w:tcW w:w="925"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(58 %)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Виетнам (19 %)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Казахстан (13 %)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САЩ (11 %)</w:t>
            </w:r>
          </w:p>
        </w:tc>
        <w:tc>
          <w:tcPr>
            <w:tcW w:w="924"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Казахстан (77 %)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(14 %)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Виетнам (8 %)</w:t>
            </w:r>
          </w:p>
        </w:tc>
        <w:tc>
          <w:tcPr>
            <w:tcW w:w="925" w:type="pct"/>
            <w:shd w:val="clear" w:color="auto" w:fill="D9D9D9" w:themeFill="background1" w:themeFillShade="D9"/>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Казахстан (77 %)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(14 %)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Виетнам (8 %)</w:t>
            </w:r>
          </w:p>
        </w:tc>
        <w:tc>
          <w:tcPr>
            <w:tcW w:w="435"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0,91/0,91</w:t>
            </w:r>
          </w:p>
        </w:tc>
        <w:tc>
          <w:tcPr>
            <w:tcW w:w="651"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0 %</w:t>
            </w:r>
          </w:p>
        </w:tc>
      </w:tr>
      <w:tr>
        <w:trPr>
          <w:cantSplit/>
          <w:trHeight w:val="721"/>
          <w:tblHeader/>
        </w:trPr>
        <w:tc>
          <w:tcPr>
            <w:tcW w:w="542"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Скандий</w:t>
            </w:r>
          </w:p>
        </w:tc>
        <w:tc>
          <w:tcPr>
            <w:tcW w:w="925"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(66 %)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(26 %)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Украйна (7 %)</w:t>
            </w:r>
          </w:p>
        </w:tc>
        <w:tc>
          <w:tcPr>
            <w:tcW w:w="924"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(67 %)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Казахстан (33 %)</w:t>
            </w:r>
          </w:p>
        </w:tc>
        <w:tc>
          <w:tcPr>
            <w:tcW w:w="925" w:type="pct"/>
            <w:shd w:val="clear" w:color="auto" w:fill="D9D9D9" w:themeFill="background1" w:themeFillShade="D9"/>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(67 %)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Казахстан (33 %)</w:t>
            </w:r>
          </w:p>
        </w:tc>
        <w:tc>
          <w:tcPr>
            <w:tcW w:w="435"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0,91/0,95</w:t>
            </w:r>
          </w:p>
        </w:tc>
        <w:tc>
          <w:tcPr>
            <w:tcW w:w="651"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0 %</w:t>
            </w:r>
          </w:p>
        </w:tc>
      </w:tr>
      <w:tr>
        <w:trPr>
          <w:cantSplit/>
          <w:trHeight w:val="1141"/>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Силициев метал </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(61 %)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Бразилия (9 %)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Норвегия (7 %)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САЩ (6 %)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Франция (5 %)</w:t>
            </w:r>
          </w:p>
        </w:tc>
        <w:tc>
          <w:tcPr>
            <w:tcW w:w="924"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Норвегия (35 %)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Бразилия (18 %)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(18 %)</w:t>
            </w:r>
          </w:p>
        </w:tc>
        <w:tc>
          <w:tcPr>
            <w:tcW w:w="925" w:type="pct"/>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Норвегия (23 %)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Франция (19 %)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Бразилия (12 %)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(12 %)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Испания (9 %)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Германия (5 %)</w:t>
            </w:r>
          </w:p>
        </w:tc>
        <w:tc>
          <w:tcPr>
            <w:tcW w:w="435"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64 %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0,99/0,99</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0 %</w:t>
            </w:r>
          </w:p>
        </w:tc>
      </w:tr>
      <w:tr>
        <w:trPr>
          <w:cantSplit/>
          <w:trHeight w:val="420"/>
          <w:tblHeader/>
        </w:trPr>
        <w:tc>
          <w:tcPr>
            <w:tcW w:w="542"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Тантал</w:t>
            </w:r>
            <w:r>
              <w:rPr>
                <w:rStyle w:val="FootnoteReference"/>
                <w:rFonts w:ascii="Times New Roman" w:hAnsi="Times New Roman"/>
                <w:noProof/>
                <w:color w:val="000000"/>
                <w:sz w:val="20"/>
              </w:rPr>
              <w:footnoteReference w:id="16"/>
            </w:r>
          </w:p>
        </w:tc>
        <w:tc>
          <w:tcPr>
            <w:tcW w:w="925"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Руанда (31 %)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Демократична република Конго (19 %)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Бразилия (14 %)</w:t>
            </w:r>
          </w:p>
        </w:tc>
        <w:tc>
          <w:tcPr>
            <w:tcW w:w="924" w:type="pct"/>
            <w:shd w:val="clear" w:color="auto" w:fill="D9D9D9" w:themeFill="background1" w:themeFillShade="D9"/>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Нигерия (81 %)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Руанда (14 %)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(5 %)</w:t>
            </w:r>
          </w:p>
        </w:tc>
        <w:tc>
          <w:tcPr>
            <w:tcW w:w="925" w:type="pct"/>
            <w:shd w:val="clear" w:color="auto" w:fill="D9D9D9" w:themeFill="background1" w:themeFillShade="D9"/>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Нигерия (81 %)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Руанда (14 %)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(5 %)</w:t>
            </w:r>
          </w:p>
        </w:tc>
        <w:tc>
          <w:tcPr>
            <w:tcW w:w="435"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0,94/0,95</w:t>
            </w:r>
          </w:p>
        </w:tc>
        <w:tc>
          <w:tcPr>
            <w:tcW w:w="651" w:type="pct"/>
            <w:shd w:val="clear" w:color="auto" w:fill="D9D9D9" w:themeFill="background1" w:themeFillShade="D9"/>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1 %</w:t>
            </w:r>
          </w:p>
        </w:tc>
      </w:tr>
      <w:tr>
        <w:trPr>
          <w:cantSplit/>
          <w:trHeight w:val="1280"/>
          <w:tblHeader/>
        </w:trPr>
        <w:tc>
          <w:tcPr>
            <w:tcW w:w="542" w:type="pct"/>
            <w:shd w:val="clear" w:color="auto" w:fill="auto"/>
            <w:noWrap/>
            <w:vAlign w:val="center"/>
            <w:hideMark/>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Волфрам</w:t>
            </w:r>
            <w:r>
              <w:rPr>
                <w:rStyle w:val="FootnoteReference"/>
                <w:rFonts w:ascii="Times New Roman" w:hAnsi="Times New Roman"/>
                <w:noProof/>
                <w:color w:val="000000"/>
                <w:sz w:val="20"/>
              </w:rPr>
              <w:footnoteReference w:id="17"/>
            </w:r>
            <w:r>
              <w:rPr>
                <w:rFonts w:ascii="Times New Roman" w:hAnsi="Times New Roman"/>
                <w:noProof/>
                <w:color w:val="000000"/>
                <w:sz w:val="20"/>
              </w:rPr>
              <w:t xml:space="preserve"> </w:t>
            </w:r>
          </w:p>
        </w:tc>
        <w:tc>
          <w:tcPr>
            <w:tcW w:w="925"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(84 %)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(4 %)</w:t>
            </w:r>
          </w:p>
        </w:tc>
        <w:tc>
          <w:tcPr>
            <w:tcW w:w="924" w:type="pct"/>
            <w:shd w:val="clear" w:color="auto" w:fill="auto"/>
            <w:noWrap/>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(84 %)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Боливия (5 %)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Виетнам (5 %)</w:t>
            </w:r>
          </w:p>
        </w:tc>
        <w:tc>
          <w:tcPr>
            <w:tcW w:w="925"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(50 %)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Португалия (17 %)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Испания (15 %)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Австрия (8 %)</w:t>
            </w:r>
          </w:p>
        </w:tc>
        <w:tc>
          <w:tcPr>
            <w:tcW w:w="435" w:type="pct"/>
            <w:shd w:val="clear" w:color="auto" w:fill="auto"/>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44 %</w:t>
            </w:r>
          </w:p>
        </w:tc>
        <w:tc>
          <w:tcPr>
            <w:tcW w:w="597"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0,94/0,97</w:t>
            </w:r>
          </w:p>
        </w:tc>
        <w:tc>
          <w:tcPr>
            <w:tcW w:w="651" w:type="pct"/>
            <w:shd w:val="clear" w:color="auto" w:fill="auto"/>
            <w:noWrap/>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42 %</w:t>
            </w:r>
          </w:p>
        </w:tc>
      </w:tr>
      <w:tr>
        <w:trPr>
          <w:cantSplit/>
          <w:trHeight w:val="420"/>
          <w:tblHeader/>
        </w:trPr>
        <w:tc>
          <w:tcPr>
            <w:tcW w:w="542" w:type="pct"/>
            <w:shd w:val="clear" w:color="auto" w:fill="D9D9D9" w:themeFill="background1" w:themeFillShade="D9"/>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Ванадий</w:t>
            </w:r>
          </w:p>
        </w:tc>
        <w:tc>
          <w:tcPr>
            <w:tcW w:w="925" w:type="pct"/>
            <w:shd w:val="clear" w:color="auto" w:fill="D9D9D9" w:themeFill="background1" w:themeFillShade="D9"/>
            <w:noWrap/>
            <w:vAlign w:val="center"/>
          </w:tcPr>
          <w:p>
            <w:pPr>
              <w:spacing w:before="60" w:after="60" w:line="240" w:lineRule="auto"/>
              <w:jc w:val="both"/>
              <w:rPr>
                <w:rFonts w:ascii="Times New Roman" w:hAnsi="Times New Roman"/>
                <w:noProof/>
                <w:color w:val="000000"/>
                <w:sz w:val="20"/>
                <w:szCs w:val="20"/>
              </w:rPr>
            </w:pPr>
            <w:r>
              <w:rPr>
                <w:rFonts w:ascii="Times New Roman" w:hAnsi="Times New Roman"/>
                <w:noProof/>
                <w:color w:val="000000"/>
                <w:sz w:val="20"/>
              </w:rPr>
              <w:t>Китай (53 %)</w:t>
            </w:r>
          </w:p>
          <w:p>
            <w:pPr>
              <w:spacing w:before="60" w:after="60" w:line="240" w:lineRule="auto"/>
              <w:jc w:val="both"/>
              <w:rPr>
                <w:rFonts w:ascii="Times New Roman" w:hAnsi="Times New Roman"/>
                <w:noProof/>
                <w:color w:val="000000"/>
                <w:sz w:val="20"/>
                <w:szCs w:val="20"/>
              </w:rPr>
            </w:pPr>
            <w:r>
              <w:rPr>
                <w:rFonts w:ascii="Times New Roman" w:hAnsi="Times New Roman"/>
                <w:noProof/>
                <w:color w:val="000000"/>
                <w:sz w:val="20"/>
              </w:rPr>
              <w:t>Южна Африка (25 %)</w:t>
            </w:r>
          </w:p>
          <w:p>
            <w:pPr>
              <w:spacing w:before="60" w:after="60" w:line="240" w:lineRule="auto"/>
              <w:jc w:val="both"/>
              <w:rPr>
                <w:rFonts w:ascii="Times New Roman" w:hAnsi="Times New Roman"/>
                <w:noProof/>
                <w:color w:val="000000"/>
                <w:sz w:val="20"/>
                <w:szCs w:val="20"/>
              </w:rPr>
            </w:pPr>
            <w:r>
              <w:rPr>
                <w:rFonts w:ascii="Times New Roman" w:hAnsi="Times New Roman"/>
                <w:noProof/>
                <w:color w:val="000000"/>
                <w:sz w:val="20"/>
              </w:rPr>
              <w:t>Русия (20 %)</w:t>
            </w:r>
          </w:p>
        </w:tc>
        <w:tc>
          <w:tcPr>
            <w:tcW w:w="924" w:type="pct"/>
            <w:shd w:val="clear" w:color="auto" w:fill="D9D9D9" w:themeFill="background1" w:themeFillShade="D9"/>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(71 %)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(13 %)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Южна Африка (13 %)</w:t>
            </w:r>
          </w:p>
        </w:tc>
        <w:tc>
          <w:tcPr>
            <w:tcW w:w="925" w:type="pct"/>
            <w:shd w:val="clear" w:color="auto" w:fill="D9D9D9" w:themeFill="background1" w:themeFillShade="D9"/>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(60 %)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(11 %)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Южна Африка (10 %)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Белгия (9 %)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Обединено кралство (3 %)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Нидерландия (2 %)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Германия (2 %)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Други — ЕС (0,5 %)</w:t>
            </w:r>
          </w:p>
        </w:tc>
        <w:tc>
          <w:tcPr>
            <w:tcW w:w="435"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84 %</w:t>
            </w:r>
          </w:p>
        </w:tc>
        <w:tc>
          <w:tcPr>
            <w:tcW w:w="597"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0,91/0,94</w:t>
            </w:r>
          </w:p>
        </w:tc>
        <w:tc>
          <w:tcPr>
            <w:tcW w:w="651" w:type="pct"/>
            <w:shd w:val="clear" w:color="auto" w:fill="D9D9D9" w:themeFill="background1" w:themeFillShade="D9"/>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44 %</w:t>
            </w:r>
          </w:p>
        </w:tc>
      </w:tr>
      <w:tr>
        <w:trPr>
          <w:cantSplit/>
          <w:trHeight w:val="1165"/>
          <w:tblHeader/>
        </w:trPr>
        <w:tc>
          <w:tcPr>
            <w:tcW w:w="542"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Метали от групата на платината</w:t>
            </w:r>
          </w:p>
        </w:tc>
        <w:tc>
          <w:tcPr>
            <w:tcW w:w="925" w:type="pct"/>
            <w:shd w:val="clear" w:color="auto" w:fill="auto"/>
            <w:noWrap/>
            <w:vAlign w:val="center"/>
          </w:tcPr>
          <w:p>
            <w:pPr>
              <w:spacing w:before="60" w:after="0" w:line="240" w:lineRule="auto"/>
              <w:rPr>
                <w:rFonts w:ascii="Times New Roman" w:hAnsi="Times New Roman"/>
                <w:noProof/>
                <w:color w:val="000000"/>
                <w:sz w:val="20"/>
                <w:szCs w:val="20"/>
              </w:rPr>
            </w:pPr>
            <w:r>
              <w:rPr>
                <w:rFonts w:ascii="Times New Roman" w:hAnsi="Times New Roman"/>
                <w:noProof/>
                <w:color w:val="000000"/>
                <w:sz w:val="20"/>
              </w:rPr>
              <w:t>Южна Африка (83 %)</w:t>
            </w:r>
          </w:p>
          <w:p>
            <w:pPr>
              <w:spacing w:after="60" w:line="240" w:lineRule="auto"/>
              <w:rPr>
                <w:rFonts w:ascii="Times New Roman" w:hAnsi="Times New Roman"/>
                <w:noProof/>
                <w:color w:val="000000"/>
                <w:sz w:val="20"/>
                <w:szCs w:val="20"/>
              </w:rPr>
            </w:pPr>
            <w:r>
              <w:rPr>
                <w:rFonts w:ascii="Times New Roman" w:hAnsi="Times New Roman"/>
                <w:noProof/>
                <w:color w:val="000000"/>
                <w:sz w:val="20"/>
              </w:rPr>
              <w:t>—</w:t>
            </w:r>
            <w:r>
              <w:rPr>
                <w:noProof/>
              </w:rPr>
              <w:t xml:space="preserve"> </w:t>
            </w:r>
            <w:r>
              <w:rPr>
                <w:rFonts w:ascii="Times New Roman" w:hAnsi="Times New Roman"/>
                <w:noProof/>
                <w:color w:val="000000"/>
                <w:sz w:val="16"/>
              </w:rPr>
              <w:t>иридий, платина, родий, рутений</w:t>
            </w:r>
          </w:p>
          <w:p>
            <w:pPr>
              <w:spacing w:before="60" w:after="0" w:line="240" w:lineRule="auto"/>
              <w:jc w:val="both"/>
              <w:rPr>
                <w:rFonts w:ascii="Times New Roman" w:hAnsi="Times New Roman"/>
                <w:noProof/>
                <w:color w:val="000000"/>
                <w:sz w:val="20"/>
                <w:szCs w:val="20"/>
              </w:rPr>
            </w:pPr>
            <w:r>
              <w:rPr>
                <w:rFonts w:ascii="Times New Roman" w:hAnsi="Times New Roman"/>
                <w:noProof/>
                <w:color w:val="000000"/>
                <w:sz w:val="20"/>
              </w:rPr>
              <w:t>Русия (46 %)</w:t>
            </w:r>
          </w:p>
          <w:p>
            <w:pPr>
              <w:spacing w:after="60" w:line="240" w:lineRule="auto"/>
              <w:rPr>
                <w:rFonts w:ascii="Times New Roman" w:hAnsi="Times New Roman"/>
                <w:noProof/>
                <w:color w:val="000000"/>
                <w:sz w:val="20"/>
                <w:szCs w:val="20"/>
              </w:rPr>
            </w:pPr>
            <w:r>
              <w:rPr>
                <w:rFonts w:ascii="Times New Roman" w:hAnsi="Times New Roman"/>
                <w:noProof/>
                <w:color w:val="000000"/>
                <w:sz w:val="20"/>
              </w:rPr>
              <w:t>—</w:t>
            </w:r>
            <w:r>
              <w:rPr>
                <w:noProof/>
              </w:rPr>
              <w:t xml:space="preserve"> </w:t>
            </w:r>
            <w:r>
              <w:rPr>
                <w:rFonts w:ascii="Times New Roman" w:hAnsi="Times New Roman"/>
                <w:noProof/>
                <w:color w:val="000000"/>
                <w:sz w:val="16"/>
              </w:rPr>
              <w:t>паладий</w:t>
            </w:r>
          </w:p>
        </w:tc>
        <w:tc>
          <w:tcPr>
            <w:tcW w:w="924"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Швейцария (34 %)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Южна Африка (31 %)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САЩ (21 %)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(8 %)</w:t>
            </w:r>
          </w:p>
        </w:tc>
        <w:tc>
          <w:tcPr>
            <w:tcW w:w="925" w:type="pct"/>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Швейцария (34 %)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Южна Африка (31 %)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САЩ (21 %)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(8 %)</w:t>
            </w:r>
          </w:p>
        </w:tc>
        <w:tc>
          <w:tcPr>
            <w:tcW w:w="435" w:type="pct"/>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99,6 %</w:t>
            </w:r>
          </w:p>
        </w:tc>
        <w:tc>
          <w:tcPr>
            <w:tcW w:w="597" w:type="pct"/>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0,93/0,98</w:t>
            </w:r>
          </w:p>
        </w:tc>
        <w:tc>
          <w:tcPr>
            <w:tcW w:w="651" w:type="pct"/>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14 %</w:t>
            </w:r>
          </w:p>
        </w:tc>
      </w:tr>
      <w:tr>
        <w:trPr>
          <w:cantSplit/>
          <w:trHeight w:val="850"/>
          <w:tblHeader/>
        </w:trPr>
        <w:tc>
          <w:tcPr>
            <w:tcW w:w="542"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 xml:space="preserve">Тежки редкоземни елементи </w:t>
            </w:r>
          </w:p>
        </w:tc>
        <w:tc>
          <w:tcPr>
            <w:tcW w:w="925" w:type="pct"/>
            <w:shd w:val="clear" w:color="auto" w:fill="auto"/>
            <w:noWrap/>
            <w:vAlign w:val="center"/>
          </w:tcPr>
          <w:p>
            <w:pPr>
              <w:spacing w:before="60" w:after="60" w:line="240" w:lineRule="auto"/>
              <w:jc w:val="both"/>
              <w:rPr>
                <w:rFonts w:ascii="Times New Roman" w:hAnsi="Times New Roman"/>
                <w:noProof/>
                <w:color w:val="000000"/>
                <w:sz w:val="20"/>
                <w:szCs w:val="20"/>
              </w:rPr>
            </w:pPr>
            <w:r>
              <w:rPr>
                <w:rFonts w:ascii="Times New Roman" w:hAnsi="Times New Roman"/>
                <w:noProof/>
                <w:color w:val="000000"/>
                <w:sz w:val="20"/>
              </w:rPr>
              <w:t>Китай (95 %)</w:t>
            </w:r>
          </w:p>
        </w:tc>
        <w:tc>
          <w:tcPr>
            <w:tcW w:w="924"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(40 %)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САЩ (34 %)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(25 %)</w:t>
            </w:r>
          </w:p>
        </w:tc>
        <w:tc>
          <w:tcPr>
            <w:tcW w:w="925" w:type="pct"/>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(40 %)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САЩ (34 %)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(25 %)</w:t>
            </w:r>
          </w:p>
        </w:tc>
        <w:tc>
          <w:tcPr>
            <w:tcW w:w="435" w:type="pct"/>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0,96/0,89</w:t>
            </w:r>
          </w:p>
        </w:tc>
        <w:tc>
          <w:tcPr>
            <w:tcW w:w="651" w:type="pct"/>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8 %</w:t>
            </w:r>
          </w:p>
        </w:tc>
      </w:tr>
      <w:tr>
        <w:trPr>
          <w:cantSplit/>
          <w:trHeight w:val="493"/>
          <w:tblHeader/>
        </w:trPr>
        <w:tc>
          <w:tcPr>
            <w:tcW w:w="542"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Леки редкоземни елементи</w:t>
            </w:r>
          </w:p>
        </w:tc>
        <w:tc>
          <w:tcPr>
            <w:tcW w:w="925" w:type="pct"/>
            <w:shd w:val="clear" w:color="auto" w:fill="auto"/>
            <w:noWrap/>
            <w:vAlign w:val="center"/>
          </w:tcPr>
          <w:p>
            <w:pPr>
              <w:spacing w:before="60" w:after="60" w:line="240" w:lineRule="auto"/>
              <w:jc w:val="both"/>
              <w:rPr>
                <w:rFonts w:ascii="Times New Roman" w:hAnsi="Times New Roman"/>
                <w:noProof/>
                <w:color w:val="000000"/>
                <w:sz w:val="20"/>
                <w:szCs w:val="20"/>
              </w:rPr>
            </w:pPr>
            <w:r>
              <w:rPr>
                <w:rFonts w:ascii="Times New Roman" w:hAnsi="Times New Roman"/>
                <w:noProof/>
                <w:color w:val="000000"/>
                <w:sz w:val="20"/>
              </w:rPr>
              <w:t>Китай (95 %)</w:t>
            </w:r>
          </w:p>
        </w:tc>
        <w:tc>
          <w:tcPr>
            <w:tcW w:w="924" w:type="pct"/>
            <w:vAlign w:val="center"/>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(40 %)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САЩ (34 %)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(25 %)</w:t>
            </w:r>
          </w:p>
        </w:tc>
        <w:tc>
          <w:tcPr>
            <w:tcW w:w="925" w:type="pct"/>
          </w:tcPr>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Китай (40 %)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САЩ (34 %)</w:t>
            </w:r>
          </w:p>
          <w:p>
            <w:pPr>
              <w:spacing w:before="60" w:after="60" w:line="240" w:lineRule="auto"/>
              <w:rPr>
                <w:rFonts w:ascii="Times New Roman" w:eastAsia="Times New Roman" w:hAnsi="Times New Roman"/>
                <w:noProof/>
                <w:color w:val="000000"/>
                <w:sz w:val="20"/>
                <w:szCs w:val="20"/>
              </w:rPr>
            </w:pPr>
            <w:r>
              <w:rPr>
                <w:rFonts w:ascii="Times New Roman" w:hAnsi="Times New Roman"/>
                <w:noProof/>
                <w:color w:val="000000"/>
                <w:sz w:val="20"/>
              </w:rPr>
              <w:t>Русия (25 %)</w:t>
            </w:r>
          </w:p>
        </w:tc>
        <w:tc>
          <w:tcPr>
            <w:tcW w:w="435" w:type="pct"/>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100 %</w:t>
            </w:r>
          </w:p>
        </w:tc>
        <w:tc>
          <w:tcPr>
            <w:tcW w:w="597" w:type="pct"/>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0,90/0,93</w:t>
            </w:r>
          </w:p>
        </w:tc>
        <w:tc>
          <w:tcPr>
            <w:tcW w:w="651" w:type="pct"/>
            <w:vAlign w:val="center"/>
          </w:tcPr>
          <w:p>
            <w:pPr>
              <w:spacing w:before="60" w:after="6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3 %</w:t>
            </w:r>
          </w:p>
        </w:tc>
      </w:tr>
    </w:tbl>
    <w:p>
      <w:pPr>
        <w:spacing w:before="120" w:after="120" w:line="240" w:lineRule="auto"/>
        <w:jc w:val="both"/>
        <w:rPr>
          <w:rFonts w:ascii="Times New Roman" w:hAnsi="Times New Roman"/>
          <w:noProof/>
          <w:sz w:val="24"/>
        </w:rPr>
      </w:pPr>
      <w:r>
        <w:rPr>
          <w:rFonts w:ascii="Times New Roman" w:hAnsi="Times New Roman"/>
          <w:noProof/>
          <w:sz w:val="24"/>
        </w:rPr>
        <w:t xml:space="preserve"> </w:t>
      </w:r>
    </w:p>
    <w:p>
      <w:pPr>
        <w:spacing w:before="120" w:after="120" w:line="240" w:lineRule="auto"/>
        <w:jc w:val="both"/>
        <w:rPr>
          <w:rFonts w:ascii="Times New Roman" w:hAnsi="Times New Roman"/>
          <w:noProof/>
          <w:color w:val="000000"/>
          <w:sz w:val="24"/>
        </w:rPr>
      </w:pPr>
      <w:r>
        <w:rPr>
          <w:rFonts w:ascii="Times New Roman" w:hAnsi="Times New Roman"/>
          <w:noProof/>
          <w:color w:val="000000"/>
          <w:sz w:val="24"/>
        </w:rPr>
        <w:t>Забележки:</w:t>
      </w:r>
    </w:p>
    <w:p>
      <w:pPr>
        <w:spacing w:before="120" w:after="120" w:line="240" w:lineRule="auto"/>
        <w:jc w:val="both"/>
        <w:rPr>
          <w:rFonts w:ascii="Times New Roman" w:hAnsi="Times New Roman"/>
          <w:noProof/>
          <w:color w:val="000000"/>
          <w:sz w:val="24"/>
          <w:szCs w:val="24"/>
        </w:rPr>
      </w:pPr>
      <w:r>
        <w:rPr>
          <w:rFonts w:ascii="Times New Roman" w:hAnsi="Times New Roman"/>
          <w:noProof/>
          <w:color w:val="000000"/>
          <w:sz w:val="24"/>
        </w:rPr>
        <w:t>(*) При изчисляването на риска за снабдяването процентът на зависимостта от вноса отчита снабдяването в световен мащаб и действителните източници от ЕС; това се изчислява по следния начин: нетен внос на ЕС/(нетен внос на ЕС + местно производство на ЕС).</w:t>
      </w:r>
    </w:p>
    <w:p>
      <w:pPr>
        <w:spacing w:before="120" w:after="120" w:line="240" w:lineRule="auto"/>
        <w:jc w:val="both"/>
        <w:rPr>
          <w:rFonts w:ascii="Times New Roman" w:hAnsi="Times New Roman"/>
          <w:noProof/>
          <w:color w:val="000000"/>
          <w:sz w:val="24"/>
          <w:szCs w:val="24"/>
        </w:rPr>
      </w:pPr>
      <w:r>
        <w:rPr>
          <w:rFonts w:ascii="Times New Roman" w:hAnsi="Times New Roman"/>
          <w:noProof/>
          <w:color w:val="000000"/>
          <w:sz w:val="24"/>
        </w:rPr>
        <w:t xml:space="preserve">(**) Индексът на заместимост е мярка за трудността за заместване на материала, измерена и претеглена въз основа на всички негови приложения, изчислена поотделно за двата параметъра — икономическо значение и риск за снабдяването. Стойностите са от 0 до 1, като 1 означава най-малко заменим. </w:t>
      </w:r>
    </w:p>
    <w:p>
      <w:pPr>
        <w:spacing w:before="120" w:after="120" w:line="240" w:lineRule="auto"/>
        <w:jc w:val="both"/>
        <w:rPr>
          <w:rFonts w:ascii="Times New Roman" w:hAnsi="Times New Roman"/>
          <w:noProof/>
          <w:color w:val="000000"/>
          <w:sz w:val="24"/>
          <w:szCs w:val="24"/>
        </w:rPr>
      </w:pPr>
      <w:r>
        <w:rPr>
          <w:rFonts w:ascii="Times New Roman" w:hAnsi="Times New Roman"/>
          <w:noProof/>
          <w:sz w:val="24"/>
        </w:rPr>
        <w:t>Икономическото значение се коригира с индекса на заместимост (SI</w:t>
      </w:r>
      <w:r>
        <w:rPr>
          <w:rFonts w:ascii="Times New Roman" w:hAnsi="Times New Roman"/>
          <w:noProof/>
          <w:sz w:val="24"/>
          <w:vertAlign w:val="subscript"/>
        </w:rPr>
        <w:t>EI</w:t>
      </w:r>
      <w:r>
        <w:rPr>
          <w:rFonts w:ascii="Times New Roman" w:hAnsi="Times New Roman"/>
          <w:noProof/>
          <w:sz w:val="24"/>
        </w:rPr>
        <w:t>), свързан с техническите и икономическите резултати на заместителите за отделните приложения на всеки материал. Рискът за снабдяването се коригира с индекса на заместимост (SI</w:t>
      </w:r>
      <w:r>
        <w:rPr>
          <w:rFonts w:ascii="Times New Roman" w:hAnsi="Times New Roman"/>
          <w:noProof/>
          <w:sz w:val="24"/>
          <w:vertAlign w:val="subscript"/>
        </w:rPr>
        <w:t>SR</w:t>
      </w:r>
      <w:r>
        <w:rPr>
          <w:rFonts w:ascii="Times New Roman" w:hAnsi="Times New Roman"/>
          <w:noProof/>
          <w:sz w:val="24"/>
        </w:rPr>
        <w:t xml:space="preserve">), свързан с общото производство в света, важността и съпътстващите продукти на заместителите за отделните приложения на всеки материал. </w:t>
      </w:r>
    </w:p>
    <w:p>
      <w:pPr>
        <w:spacing w:before="120" w:after="120" w:line="240" w:lineRule="auto"/>
        <w:jc w:val="both"/>
        <w:rPr>
          <w:rFonts w:ascii="Times New Roman" w:hAnsi="Times New Roman"/>
          <w:noProof/>
          <w:sz w:val="24"/>
          <w:szCs w:val="24"/>
        </w:rPr>
      </w:pPr>
      <w:r>
        <w:rPr>
          <w:rFonts w:ascii="Times New Roman" w:hAnsi="Times New Roman"/>
          <w:noProof/>
          <w:color w:val="000000"/>
          <w:sz w:val="24"/>
        </w:rPr>
        <w:t>(***) Рециклирането след излизане от употреба е мярка</w:t>
      </w:r>
      <w:r>
        <w:rPr>
          <w:noProof/>
        </w:rPr>
        <w:t xml:space="preserve"> </w:t>
      </w:r>
      <w:r>
        <w:rPr>
          <w:rFonts w:ascii="Times New Roman" w:hAnsi="Times New Roman"/>
          <w:noProof/>
          <w:sz w:val="24"/>
        </w:rPr>
        <w:t>за съотношението на рециклирането на скрап спрямо търсенето на определена суровина в ЕС, като последното е равно на доставките на първични и вторични материали в ЕС.</w:t>
      </w:r>
    </w:p>
    <w:p>
      <w:pPr>
        <w:spacing w:before="120" w:after="120" w:line="240" w:lineRule="auto"/>
        <w:jc w:val="both"/>
        <w:rPr>
          <w:rFonts w:ascii="Times New Roman" w:hAnsi="Times New Roman"/>
          <w:noProof/>
          <w:color w:val="000000"/>
          <w:sz w:val="24"/>
        </w:rPr>
      </w:pPr>
      <w:r>
        <w:rPr>
          <w:rFonts w:ascii="Times New Roman" w:hAnsi="Times New Roman"/>
          <w:noProof/>
          <w:color w:val="000000"/>
          <w:sz w:val="24"/>
        </w:rPr>
        <w:t xml:space="preserve">Източник: съставено въз основа на окончателния доклад относно прегледа на списъка на суровините от изключителна важност за ЕС, 2017 г. </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57059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Според Центъра за ефективност на ресурсите към Германската асоциация на инженерите (VDI ZRE) материалите са основен ценови фактор в производството (44 % спрямо 18 % за труда, 3 % за данъци и 2 % за енергия). </w:t>
      </w:r>
    </w:p>
  </w:footnote>
  <w:footnote w:id="2">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Съобщение на Комисията „</w:t>
      </w:r>
      <w:r>
        <w:rPr>
          <w:rFonts w:ascii="Times New Roman" w:hAnsi="Times New Roman"/>
          <w:i/>
        </w:rPr>
        <w:t>Инвестиране в интелигентна, иновационна и устойчива промишленост</w:t>
      </w:r>
      <w:r>
        <w:rPr>
          <w:rFonts w:ascii="Times New Roman" w:hAnsi="Times New Roman"/>
        </w:rPr>
        <w:t>:</w:t>
      </w:r>
      <w:r>
        <w:rPr>
          <w:rFonts w:ascii="Times New Roman" w:hAnsi="Times New Roman"/>
          <w:i/>
        </w:rPr>
        <w:t xml:space="preserve"> обновена стратегия на ЕС за индустриалната политика</w:t>
      </w:r>
      <w:r>
        <w:rPr>
          <w:rFonts w:ascii="Times New Roman" w:hAnsi="Times New Roman"/>
        </w:rPr>
        <w:t>“ (COM(2017) 479).</w:t>
      </w:r>
    </w:p>
  </w:footnote>
  <w:footnote w:id="3">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Съобщение на Комисията „</w:t>
      </w:r>
      <w:r>
        <w:rPr>
          <w:rFonts w:ascii="Times New Roman" w:hAnsi="Times New Roman"/>
          <w:i/>
        </w:rPr>
        <w:t>Затваряне на цикъла — план за действие на ЕС за кръговата икономика</w:t>
      </w:r>
      <w:r>
        <w:rPr>
          <w:rFonts w:ascii="Times New Roman" w:hAnsi="Times New Roman"/>
        </w:rPr>
        <w:t>“, COM(2015) 614.</w:t>
      </w:r>
    </w:p>
  </w:footnote>
  <w:footnote w:id="4">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Предложение на Комисията за Регламент на Парламента и на Съвета за създаване на рамка за скрининг на преките чуждестранни инвестиции в Европейски съюз, COM(2017) 487.</w:t>
      </w:r>
    </w:p>
  </w:footnote>
  <w:footnote w:id="5">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Съобщение на Комисията</w:t>
      </w:r>
      <w:r>
        <w:rPr>
          <w:rFonts w:ascii="Times New Roman" w:hAnsi="Times New Roman"/>
          <w:i/>
        </w:rPr>
        <w:t xml:space="preserve"> </w:t>
      </w:r>
      <w:hyperlink r:id="rId1">
        <w:r>
          <w:rPr>
            <w:rFonts w:ascii="Times New Roman" w:hAnsi="Times New Roman"/>
            <w:i/>
          </w:rPr>
          <w:t>„Посрещане на предизвикателствата, свързани със стоковите пазари и суровините</w:t>
        </w:r>
      </w:hyperlink>
      <w:r>
        <w:rPr>
          <w:rFonts w:ascii="Times New Roman" w:hAnsi="Times New Roman"/>
          <w:i/>
        </w:rPr>
        <w:t>“</w:t>
      </w:r>
      <w:r>
        <w:rPr>
          <w:rFonts w:ascii="Times New Roman" w:hAnsi="Times New Roman"/>
        </w:rPr>
        <w:t xml:space="preserve"> (COM(2011) 25).</w:t>
      </w:r>
    </w:p>
  </w:footnote>
  <w:footnote w:id="6">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Съобщение на Комисията </w:t>
      </w:r>
      <w:r>
        <w:rPr>
          <w:rFonts w:ascii="Times New Roman" w:hAnsi="Times New Roman"/>
          <w:i/>
        </w:rPr>
        <w:t>„За прегледа на списъка на суровините от изключителна важност за ЕС и изпълнението на инициативата за суровините“</w:t>
      </w:r>
      <w:r>
        <w:rPr>
          <w:rFonts w:ascii="Times New Roman" w:hAnsi="Times New Roman"/>
        </w:rPr>
        <w:t>, COM(2014) 297.</w:t>
      </w:r>
    </w:p>
  </w:footnote>
  <w:footnote w:id="7">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eastAsiaTheme="minorHAnsi" w:hAnsi="Times New Roman"/>
          <w:i/>
        </w:rPr>
        <w:t>Доклад относно суровините от изключителна важност за ЕС</w:t>
      </w:r>
      <w:r>
        <w:rPr>
          <w:rFonts w:ascii="Times New Roman" w:hAnsi="Times New Roman"/>
        </w:rPr>
        <w:t xml:space="preserve">, доклад на </w:t>
      </w:r>
      <w:r>
        <w:rPr>
          <w:rFonts w:ascii="Times New Roman" w:hAnsi="Times New Roman"/>
          <w:i/>
        </w:rPr>
        <w:t>ad hoc</w:t>
      </w:r>
      <w:r>
        <w:rPr>
          <w:rFonts w:ascii="Times New Roman" w:hAnsi="Times New Roman"/>
        </w:rPr>
        <w:t xml:space="preserve"> работната група за определяне на суровините от изключителна важност за ЕС, май 2014 г.</w:t>
      </w:r>
    </w:p>
  </w:footnote>
  <w:footnote w:id="8">
    <w:p>
      <w:pPr>
        <w:pStyle w:val="DocumentTitle"/>
        <w:spacing w:after="120"/>
        <w:jc w:val="both"/>
        <w:rPr>
          <w:rFonts w:ascii="Times New Roman" w:hAnsi="Times New Roman"/>
          <w:b w:val="0"/>
          <w:sz w:val="20"/>
        </w:rPr>
      </w:pPr>
      <w:r>
        <w:rPr>
          <w:rStyle w:val="FootnoteReference"/>
          <w:rFonts w:ascii="Times New Roman" w:hAnsi="Times New Roman"/>
          <w:b w:val="0"/>
          <w:sz w:val="20"/>
        </w:rPr>
        <w:footnoteRef/>
      </w:r>
      <w:r>
        <w:rPr>
          <w:rFonts w:ascii="Times New Roman" w:hAnsi="Times New Roman"/>
          <w:b w:val="0"/>
          <w:sz w:val="20"/>
        </w:rPr>
        <w:t xml:space="preserve"> Вж.: </w:t>
      </w:r>
      <w:r>
        <w:rPr>
          <w:rFonts w:ascii="Times New Roman" w:hAnsi="Times New Roman"/>
          <w:b w:val="0"/>
          <w:i/>
          <w:sz w:val="20"/>
        </w:rPr>
        <w:t>Методология за определяне на списък на ЕС на суровините от изключителна важност за ЕС</w:t>
      </w:r>
      <w:r>
        <w:rPr>
          <w:rFonts w:ascii="Times New Roman" w:hAnsi="Times New Roman"/>
          <w:b w:val="0"/>
          <w:sz w:val="20"/>
        </w:rPr>
        <w:t>, 2017 г., ISBN 978-92-79-68051-9.</w:t>
      </w:r>
    </w:p>
  </w:footnote>
  <w:footnote w:id="9">
    <w:p>
      <w:pPr>
        <w:pStyle w:val="FootnoteText"/>
        <w:spacing w:after="0"/>
        <w:jc w:val="both"/>
        <w:rPr>
          <w:rFonts w:ascii="Times New Roman" w:hAnsi="Times New Roman"/>
        </w:rPr>
      </w:pPr>
      <w:r>
        <w:rPr>
          <w:rStyle w:val="FootnoteReference"/>
          <w:rFonts w:ascii="Times New Roman" w:hAnsi="Times New Roman"/>
        </w:rPr>
        <w:footnoteRef/>
      </w:r>
      <w:r>
        <w:rPr>
          <w:rFonts w:ascii="Times New Roman" w:hAnsi="Times New Roman"/>
        </w:rPr>
        <w:t xml:space="preserve"> Абиотични материали: агрегати, бисмут, хелий, олово, фосфор, сяра; Биотични материали: естествен корк, естествено тиково дърво, африкански махагон.</w:t>
      </w:r>
    </w:p>
  </w:footnote>
  <w:footnote w:id="10">
    <w:p>
      <w:pPr>
        <w:pStyle w:val="FootnoteText"/>
        <w:spacing w:after="0"/>
        <w:jc w:val="both"/>
        <w:rPr>
          <w:rFonts w:ascii="Times New Roman" w:hAnsi="Times New Roman"/>
        </w:rPr>
      </w:pPr>
      <w:r>
        <w:rPr>
          <w:rStyle w:val="FootnoteReference"/>
          <w:rFonts w:ascii="Times New Roman" w:hAnsi="Times New Roman"/>
        </w:rPr>
        <w:footnoteRef/>
      </w:r>
      <w:r>
        <w:rPr>
          <w:rFonts w:ascii="Times New Roman" w:hAnsi="Times New Roman"/>
        </w:rPr>
        <w:t xml:space="preserve"> Коксовите въглища обаче, които бяха включени през 2014 г. в списъка на суровините от изключителна важност за ЕС, се смятат за граничен случай. Въпреки че извънредно малко не им достига, за да преминат прага, определен за икономически значимите суровини, би било разумно коксовите въглища да останат в списъка на суровините от изключителна важност за ЕС, затова те са включени в таблицата. Ако обаче не изпълнят всички критерии, те ще бъдат изключени от следващия списък.</w:t>
      </w:r>
    </w:p>
  </w:footnote>
  <w:footnote w:id="11">
    <w:p>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Диспрозий, ербий, европий, гадолиний, холмий, лутеций, тербий, тулий, итербий, итрий.</w:t>
      </w:r>
    </w:p>
  </w:footnote>
  <w:footnote w:id="12">
    <w:p>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Лантан, церий, празеодим, неодим, самарий.</w:t>
      </w:r>
    </w:p>
  </w:footnote>
  <w:footnote w:id="13">
    <w:p>
      <w:pPr>
        <w:pStyle w:val="FootnoteText"/>
        <w:spacing w:after="0"/>
      </w:pPr>
      <w:r>
        <w:rPr>
          <w:rStyle w:val="FootnoteReference"/>
          <w:rFonts w:ascii="Times New Roman" w:hAnsi="Times New Roman"/>
        </w:rPr>
        <w:footnoteRef/>
      </w:r>
      <w:r>
        <w:rPr>
          <w:rFonts w:ascii="Times New Roman" w:hAnsi="Times New Roman"/>
        </w:rPr>
        <w:t xml:space="preserve"> Паладий, платина, родий, рутений, иридий.</w:t>
      </w:r>
    </w:p>
  </w:footnote>
  <w:footnote w:id="14">
    <w:p>
      <w:pPr>
        <w:pStyle w:val="FootnoteText"/>
        <w:spacing w:after="0"/>
        <w:jc w:val="both"/>
        <w:rPr>
          <w:rFonts w:ascii="Times New Roman" w:hAnsi="Times New Roman"/>
        </w:rPr>
      </w:pPr>
      <w:r>
        <w:rPr>
          <w:rStyle w:val="FootnoteReference"/>
          <w:rFonts w:ascii="Times New Roman" w:hAnsi="Times New Roman"/>
        </w:rPr>
        <w:footnoteRef/>
      </w:r>
      <w:r>
        <w:rPr>
          <w:rFonts w:ascii="Times New Roman" w:hAnsi="Times New Roman"/>
        </w:rPr>
        <w:t xml:space="preserve"> Зависимостта на ЕС по отношение на вноса на берилий не може да бъде изчислена, тъй като в ЕС няма производство и търговия с берилиеви руди и концентрати.</w:t>
      </w:r>
    </w:p>
  </w:footnote>
  <w:footnote w:id="15">
    <w:p>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Галият е съпътстващ продукт; най-надеждните налични данни се отнасят до производствения капацитет, а не до производството като такова.</w:t>
      </w:r>
    </w:p>
  </w:footnote>
  <w:footnote w:id="16">
    <w:p>
      <w:pPr>
        <w:pStyle w:val="FootnoteText"/>
        <w:spacing w:after="0"/>
        <w:jc w:val="both"/>
        <w:rPr>
          <w:rFonts w:ascii="Times New Roman" w:hAnsi="Times New Roman"/>
        </w:rPr>
      </w:pPr>
      <w:r>
        <w:rPr>
          <w:rStyle w:val="FootnoteReference"/>
          <w:rFonts w:ascii="Times New Roman" w:hAnsi="Times New Roman"/>
        </w:rPr>
        <w:footnoteRef/>
      </w:r>
      <w:r>
        <w:rPr>
          <w:rFonts w:ascii="Times New Roman" w:hAnsi="Times New Roman"/>
        </w:rPr>
        <w:t xml:space="preserve"> Танталът е обхванат от регламента за полезните изкопаеми от засегнати от конфликти зони (Регламент (ЕС) 2017/821) — за създаване на система на Съюза за надлежна проверка на веригата на доставки с цел ограничаване на възможностите въоръжени групировки и сили за сигурност да търгуват с калай, тантал и волфрам, рудите на тези метали и злато.</w:t>
      </w:r>
    </w:p>
  </w:footnote>
  <w:footnote w:id="17">
    <w:p>
      <w:pPr>
        <w:pStyle w:val="FootnoteText"/>
        <w:jc w:val="both"/>
      </w:pPr>
      <w:r>
        <w:rPr>
          <w:rStyle w:val="FootnoteReference"/>
        </w:rPr>
        <w:footnoteRef/>
      </w:r>
      <w:r>
        <w:t xml:space="preserve"> </w:t>
      </w:r>
      <w:r>
        <w:rPr>
          <w:rFonts w:ascii="Times New Roman" w:hAnsi="Times New Roman"/>
        </w:rPr>
        <w:t>Волфрамът е обхванат от регламента за полезните изкопаеми от засегнати от конфликти зони (Регламент (ЕС) 2017/821) — за създаване на система на Съюза за надлежна проверка на веригата на доставки с цел ограничаване на възможностите въоръжени групировки и сили за сигурност да търгуват с калай, тантал и волфрам, рудите на тези метали и злато.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02BAF"/>
    <w:multiLevelType w:val="hybridMultilevel"/>
    <w:tmpl w:val="244AAC4C"/>
    <w:lvl w:ilvl="0" w:tplc="08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5D3E5E06"/>
    <w:multiLevelType w:val="hybridMultilevel"/>
    <w:tmpl w:val="FE56B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5E244B34"/>
    <w:multiLevelType w:val="hybridMultilevel"/>
    <w:tmpl w:val="A6A4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3EA7379B35DF4D21A4EA4264FF489837"/>
    <w:docVar w:name="LW_CROSSREFERENCE" w:val="&lt;UNUSED&gt;"/>
    <w:docVar w:name="LW_DocType" w:val="NORMAL"/>
    <w:docVar w:name="LW_EMISSION" w:val="13.9.2017"/>
    <w:docVar w:name="LW_EMISSION_ISODATE" w:val="2017-09-13"/>
    <w:docVar w:name="LW_EMISSION_LOCATION" w:val="BRX"/>
    <w:docVar w:name="LW_EMISSION_PREFIX" w:val="Брюксел, "/>
    <w:docVar w:name="LW_EMISSION_SUFFIX" w:val=" \u1075?."/>
    <w:docVar w:name="LW_ID_DOCTYPE_NONLW" w:val="CP-014"/>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7) 490"/>
    <w:docVar w:name="LW_REF.INTERNE" w:val="&lt;UNUSED&gt;"/>
    <w:docVar w:name="LW_SOUS.TITRE.OBJ.CP" w:val="&lt;UNUSED&gt;"/>
    <w:docVar w:name="LW_SUPERTITRE" w:val="&lt;UNUSED&gt;"/>
    <w:docVar w:name="LW_TITRE.OBJ.CP" w:val="\u1086?\u1090?\u1085?\u1086?\u1089?\u1085?\u1086? \u1089?\u1087?\u1080?\u1089?\u1098?\u1082?\u1072? \u1085?\u1072? \u1089?\u1091?\u1088?\u1086?\u1074?\u1080?\u1085?\u1080?\u1090?\u1077? \u1086?\u1090? \u1080?\u1079?\u1082?\u1083?\u1102?\u1095?\u1080?\u1090?\u1077?\u1083?\u1085?\u1072? \u1074?\u1072?\u1078?\u1085?\u1086?\u1089?\u1090? \u1079?\u1072? \u1045?\u1057? \u8212? 2017 \u1075?."/>
    <w:docVar w:name="LW_TYPE.DOC.CP" w:val="\u1057?\u1066?\u1054?\u1041?\u1065?\u1045?\u1053?\u1048?\u1045?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ootnote Text Char3,Footnote Text Char2 Char,Footnote Text Char Char Char1 Char,Footnote Text Char1 Char1 Char,Footnote Text Char Char Char2,footnote text,Schriftart: 9 pt,Schriftart: 10 pt,Schriftart: 8 pt,Podrozdział"/>
    <w:basedOn w:val="Normal"/>
    <w:link w:val="FootnoteTextChar"/>
    <w:uiPriority w:val="99"/>
    <w:unhideWhenUsed/>
    <w:qFormat/>
    <w:rPr>
      <w:sz w:val="20"/>
      <w:szCs w:val="20"/>
    </w:rPr>
  </w:style>
  <w:style w:type="character" w:customStyle="1" w:styleId="FootnoteTextChar">
    <w:name w:val="Footnote Text Char"/>
    <w:aliases w:val="ALTS FOOTNOTE Char,Footnote Text Char3 Char,Footnote Text Char2 Char Char,Footnote Text Char Char Char1 Char Char,Footnote Text Char1 Char1 Char Char,Footnote Text Char Char Char2 Char,footnote text Char,Schriftart: 9 pt Char"/>
    <w:basedOn w:val="DefaultParagraphFont"/>
    <w:link w:val="FootnoteText"/>
    <w:uiPriority w:val="99"/>
    <w:qFormat/>
    <w:rPr>
      <w:rFonts w:ascii="Calibri" w:eastAsia="Calibri" w:hAnsi="Calibri" w:cs="Times New Roman"/>
      <w:sz w:val="20"/>
      <w:szCs w:val="20"/>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numbe,n,number"/>
    <w:link w:val="FootnotesymbolCarZchn"/>
    <w:uiPriority w:val="99"/>
    <w:unhideWhenUsed/>
    <w:qFormat/>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styleId="ListParagraph">
    <w:name w:val="List Paragraph"/>
    <w:aliases w:val="Normal bullet 2,Bullet list,List Paragraph1,Numbered List,1st level - Bullet List Paragraph,Lettre d'introduction,Paragrafo elenco,List Paragraph11,Normal bullet 21,List Paragraph111,Bullet list1,Listes,Resume Title,Citation List,Ha,Body"/>
    <w:basedOn w:val="Normal"/>
    <w:link w:val="ListParagraphChar"/>
    <w:uiPriority w:val="34"/>
    <w:qFormat/>
    <w:pPr>
      <w:spacing w:after="160" w:line="252" w:lineRule="auto"/>
      <w:ind w:left="720"/>
      <w:contextualSpacing/>
    </w:pPr>
    <w:rPr>
      <w:rFonts w:ascii="Verdana" w:eastAsiaTheme="minorHAnsi" w:hAnsi="Verdana"/>
    </w:rPr>
  </w:style>
  <w:style w:type="character" w:customStyle="1" w:styleId="ListParagraphChar">
    <w:name w:val="List Paragraph Char"/>
    <w:aliases w:val="Normal bullet 2 Char,Bullet list Char,List Paragraph1 Char,Numbered List Char,1st level - Bullet List Paragraph Char,Lettre d'introduction Char,Paragrafo elenco Char,List Paragraph11 Char,Normal bullet 21 Char,List Paragraph111 Char"/>
    <w:basedOn w:val="DefaultParagraphFont"/>
    <w:link w:val="ListParagraph"/>
    <w:uiPriority w:val="34"/>
    <w:qFormat/>
    <w:locked/>
    <w:rPr>
      <w:rFonts w:ascii="Verdana" w:hAnsi="Verdana" w:cs="Times New Roman"/>
    </w:rPr>
  </w:style>
  <w:style w:type="paragraph" w:customStyle="1" w:styleId="DocumentTitle">
    <w:name w:val="Document Title"/>
    <w:basedOn w:val="Normal"/>
    <w:link w:val="DocumentTitleChar"/>
    <w:qFormat/>
    <w:pPr>
      <w:spacing w:after="240" w:line="240" w:lineRule="auto"/>
      <w:jc w:val="center"/>
    </w:pPr>
    <w:rPr>
      <w:rFonts w:ascii="Verdana" w:eastAsia="Times New Roman" w:hAnsi="Verdana"/>
      <w:b/>
      <w:sz w:val="52"/>
      <w:szCs w:val="20"/>
    </w:rPr>
  </w:style>
  <w:style w:type="character" w:customStyle="1" w:styleId="DocumentTitleChar">
    <w:name w:val="Document Title Char"/>
    <w:link w:val="DocumentTitle"/>
    <w:rPr>
      <w:rFonts w:ascii="Verdana" w:eastAsia="Times New Roman" w:hAnsi="Verdana" w:cs="Times New Roman"/>
      <w:b/>
      <w:sz w:val="52"/>
      <w:szCs w:val="20"/>
      <w:lang w:val="bg-BG"/>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szCs w:val="24"/>
    </w:rPr>
  </w:style>
  <w:style w:type="paragraph" w:styleId="NoSpacing">
    <w:name w:val="No Spacing"/>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eastAsiaTheme="minorEastAsia"/>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rFonts w:asciiTheme="minorHAnsi" w:eastAsiaTheme="minorHAnsi" w:hAnsiTheme="minorHAnsi" w:cstheme="minorBidi"/>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ootnote Text Char3,Footnote Text Char2 Char,Footnote Text Char Char Char1 Char,Footnote Text Char1 Char1 Char,Footnote Text Char Char Char2,footnote text,Schriftart: 9 pt,Schriftart: 10 pt,Schriftart: 8 pt,Podrozdział"/>
    <w:basedOn w:val="Normal"/>
    <w:link w:val="FootnoteTextChar"/>
    <w:uiPriority w:val="99"/>
    <w:unhideWhenUsed/>
    <w:qFormat/>
    <w:rPr>
      <w:sz w:val="20"/>
      <w:szCs w:val="20"/>
    </w:rPr>
  </w:style>
  <w:style w:type="character" w:customStyle="1" w:styleId="FootnoteTextChar">
    <w:name w:val="Footnote Text Char"/>
    <w:aliases w:val="ALTS FOOTNOTE Char,Footnote Text Char3 Char,Footnote Text Char2 Char Char,Footnote Text Char Char Char1 Char Char,Footnote Text Char1 Char1 Char Char,Footnote Text Char Char Char2 Char,footnote text Char,Schriftart: 9 pt Char"/>
    <w:basedOn w:val="DefaultParagraphFont"/>
    <w:link w:val="FootnoteText"/>
    <w:uiPriority w:val="99"/>
    <w:qFormat/>
    <w:rPr>
      <w:rFonts w:ascii="Calibri" w:eastAsia="Calibri" w:hAnsi="Calibri" w:cs="Times New Roman"/>
      <w:sz w:val="20"/>
      <w:szCs w:val="20"/>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numbe,n,number"/>
    <w:link w:val="FootnotesymbolCarZchn"/>
    <w:uiPriority w:val="99"/>
    <w:unhideWhenUsed/>
    <w:qFormat/>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styleId="ListParagraph">
    <w:name w:val="List Paragraph"/>
    <w:aliases w:val="Normal bullet 2,Bullet list,List Paragraph1,Numbered List,1st level - Bullet List Paragraph,Lettre d'introduction,Paragrafo elenco,List Paragraph11,Normal bullet 21,List Paragraph111,Bullet list1,Listes,Resume Title,Citation List,Ha,Body"/>
    <w:basedOn w:val="Normal"/>
    <w:link w:val="ListParagraphChar"/>
    <w:uiPriority w:val="34"/>
    <w:qFormat/>
    <w:pPr>
      <w:spacing w:after="160" w:line="252" w:lineRule="auto"/>
      <w:ind w:left="720"/>
      <w:contextualSpacing/>
    </w:pPr>
    <w:rPr>
      <w:rFonts w:ascii="Verdana" w:eastAsiaTheme="minorHAnsi" w:hAnsi="Verdana"/>
    </w:rPr>
  </w:style>
  <w:style w:type="character" w:customStyle="1" w:styleId="ListParagraphChar">
    <w:name w:val="List Paragraph Char"/>
    <w:aliases w:val="Normal bullet 2 Char,Bullet list Char,List Paragraph1 Char,Numbered List Char,1st level - Bullet List Paragraph Char,Lettre d'introduction Char,Paragrafo elenco Char,List Paragraph11 Char,Normal bullet 21 Char,List Paragraph111 Char"/>
    <w:basedOn w:val="DefaultParagraphFont"/>
    <w:link w:val="ListParagraph"/>
    <w:uiPriority w:val="34"/>
    <w:qFormat/>
    <w:locked/>
    <w:rPr>
      <w:rFonts w:ascii="Verdana" w:hAnsi="Verdana" w:cs="Times New Roman"/>
    </w:rPr>
  </w:style>
  <w:style w:type="paragraph" w:customStyle="1" w:styleId="DocumentTitle">
    <w:name w:val="Document Title"/>
    <w:basedOn w:val="Normal"/>
    <w:link w:val="DocumentTitleChar"/>
    <w:qFormat/>
    <w:pPr>
      <w:spacing w:after="240" w:line="240" w:lineRule="auto"/>
      <w:jc w:val="center"/>
    </w:pPr>
    <w:rPr>
      <w:rFonts w:ascii="Verdana" w:eastAsia="Times New Roman" w:hAnsi="Verdana"/>
      <w:b/>
      <w:sz w:val="52"/>
      <w:szCs w:val="20"/>
    </w:rPr>
  </w:style>
  <w:style w:type="character" w:customStyle="1" w:styleId="DocumentTitleChar">
    <w:name w:val="Document Title Char"/>
    <w:link w:val="DocumentTitle"/>
    <w:rPr>
      <w:rFonts w:ascii="Verdana" w:eastAsia="Times New Roman" w:hAnsi="Verdana" w:cs="Times New Roman"/>
      <w:b/>
      <w:sz w:val="52"/>
      <w:szCs w:val="20"/>
      <w:lang w:val="bg-BG"/>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szCs w:val="24"/>
    </w:rPr>
  </w:style>
  <w:style w:type="paragraph" w:styleId="NoSpacing">
    <w:name w:val="No Spacing"/>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eastAsiaTheme="minorEastAsia"/>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rFonts w:asciiTheme="minorHAnsi" w:eastAsiaTheme="minorHAnsi" w:hAnsiTheme="minorHAnsi" w:cstheme="minorBidi"/>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BG/TXT/?uri=CELEX:52011DC0025&amp;locale=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819FA-4F98-4686-AAB0-7394C5AB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2180</Words>
  <Characters>10640</Characters>
  <Application>Microsoft Office Word</Application>
  <DocSecurity>0</DocSecurity>
  <Lines>560</Lines>
  <Paragraphs>474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2017-09-07T11:51:00Z</cp:lastPrinted>
  <dcterms:created xsi:type="dcterms:W3CDTF">2017-09-12T06:26:00Z</dcterms:created>
  <dcterms:modified xsi:type="dcterms:W3CDTF">2017-09-18T07:57:00Z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