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alt="63776D2D65934CC7AE71DC20DB9A213E" style="width:450.8pt;height:397.55pt">
            <v:imagedata r:id="rId9" o:title=""/>
          </v:shape>
        </w:pict>
      </w:r>
    </w:p>
    <w:p>
      <w:pPr>
        <w:rPr>
          <w:noProof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>
      <w:pPr>
        <w:pStyle w:val="Typedudocument"/>
        <w:rPr>
          <w:noProof/>
        </w:rPr>
      </w:pPr>
      <w:bookmarkStart w:id="0" w:name="_GoBack"/>
      <w:bookmarkEnd w:id="0"/>
      <w:r>
        <w:rPr>
          <w:noProof/>
        </w:rPr>
        <w:lastRenderedPageBreak/>
        <w:t>ПРИЛОЖЕНИЕ</w:t>
      </w:r>
    </w:p>
    <w:p>
      <w:pPr>
        <w:pStyle w:val="Accompagnant"/>
        <w:rPr>
          <w:noProof/>
        </w:rPr>
      </w:pPr>
      <w:r>
        <w:rPr>
          <w:noProof/>
        </w:rPr>
        <w:t>към</w:t>
      </w:r>
    </w:p>
    <w:p>
      <w:pPr>
        <w:pStyle w:val="Typeacteprincipal"/>
        <w:rPr>
          <w:noProof/>
        </w:rPr>
      </w:pPr>
      <w:r>
        <w:rPr>
          <w:noProof/>
        </w:rPr>
        <w:t>Предложение за РЕШЕНИЕ НА СЪВЕТА</w:t>
      </w:r>
    </w:p>
    <w:p>
      <w:pPr>
        <w:pStyle w:val="Objetacteprincipal"/>
        <w:rPr>
          <w:noProof/>
        </w:rPr>
      </w:pPr>
      <w:r>
        <w:rPr>
          <w:noProof/>
        </w:rPr>
        <w:t>относно позицията, която да бъде заета от името на Европейския съюз в Изпълнителния комитет на Програмата на върховния комисар на ООН за бежанците</w:t>
      </w:r>
    </w:p>
    <w:p>
      <w:pPr>
        <w:rPr>
          <w:noProof/>
        </w:rPr>
      </w:pPr>
      <w:r>
        <w:rPr>
          <w:noProof/>
        </w:rPr>
        <w:t>Подкрепя се приемането на следното заключение на Изпълнителния комитет относно машинночетимите документи за пътуване за бежанци и лица без гражданство.</w:t>
      </w:r>
    </w:p>
    <w:p>
      <w:pPr>
        <w:pStyle w:val="Titreobjet"/>
        <w:rPr>
          <w:noProof/>
        </w:rPr>
      </w:pPr>
      <w:r>
        <w:rPr>
          <w:noProof/>
        </w:rPr>
        <w:t>„Заключение на Изпълнителния комитет</w:t>
      </w:r>
    </w:p>
    <w:p>
      <w:pPr>
        <w:pStyle w:val="Titreobjet"/>
        <w:rPr>
          <w:noProof/>
        </w:rPr>
      </w:pPr>
      <w:r>
        <w:rPr>
          <w:noProof/>
        </w:rPr>
        <w:t>относно машинночетимите документи за пътуване за бежанци и лица без гражданство</w:t>
      </w:r>
    </w:p>
    <w:p>
      <w:pPr>
        <w:rPr>
          <w:noProof/>
        </w:rPr>
      </w:pPr>
      <w:r>
        <w:rPr>
          <w:noProof/>
        </w:rPr>
        <w:t xml:space="preserve">ПП1. </w:t>
      </w:r>
      <w:r>
        <w:rPr>
          <w:i/>
          <w:noProof/>
        </w:rPr>
        <w:t>Като припомня</w:t>
      </w:r>
      <w:r>
        <w:rPr>
          <w:noProof/>
        </w:rPr>
        <w:t xml:space="preserve"> Конвенцията за статута на бежанците от 1951 г. („Конвенцията от 1951 г.“) и Конвенцията за статута на лицата без гражданство от 1954 г. („Конвенцията от 1954 г.“), и по-специално член 28 и списъците и приложенията към тези конвенции.</w:t>
      </w:r>
    </w:p>
    <w:p>
      <w:pPr>
        <w:rPr>
          <w:noProof/>
        </w:rPr>
      </w:pPr>
      <w:r>
        <w:rPr>
          <w:noProof/>
        </w:rPr>
        <w:t xml:space="preserve">ПП1а </w:t>
      </w:r>
      <w:r>
        <w:rPr>
          <w:i/>
          <w:noProof/>
        </w:rPr>
        <w:t>Като подчертава</w:t>
      </w:r>
      <w:r>
        <w:rPr>
          <w:noProof/>
        </w:rPr>
        <w:t xml:space="preserve">, че закрилата на бежанците е преди всичко отговорност на всички държави, и </w:t>
      </w:r>
      <w:r>
        <w:rPr>
          <w:i/>
          <w:noProof/>
        </w:rPr>
        <w:t>като категорично подчертава</w:t>
      </w:r>
      <w:r>
        <w:rPr>
          <w:noProof/>
        </w:rPr>
        <w:t xml:space="preserve"> в този контекст значението на активната солидарност и споделяне на тежестта и отговорността на международно равнище.</w:t>
      </w:r>
    </w:p>
    <w:p>
      <w:pPr>
        <w:rPr>
          <w:noProof/>
        </w:rPr>
      </w:pPr>
      <w:r>
        <w:rPr>
          <w:noProof/>
        </w:rPr>
        <w:t xml:space="preserve">ПП2. </w:t>
      </w:r>
      <w:r>
        <w:rPr>
          <w:i/>
          <w:noProof/>
        </w:rPr>
        <w:t>Като припомня</w:t>
      </w:r>
      <w:r>
        <w:rPr>
          <w:noProof/>
        </w:rPr>
        <w:t xml:space="preserve"> допълнителните предходни заключения на Изпълнителния комитет относно документите за пътуване, по-специално Заключение № 13 (1978 г.), Заключение № 18 (1980 г.), точка i) и Заключение № 49 (1987 г.), както и Заключение № 112 (2016 г.) относно международното сътрудничество от гледна точка на закрилата и търсените решения.</w:t>
      </w:r>
    </w:p>
    <w:p>
      <w:pPr>
        <w:rPr>
          <w:noProof/>
        </w:rPr>
      </w:pPr>
      <w:r>
        <w:rPr>
          <w:noProof/>
        </w:rPr>
        <w:t xml:space="preserve">ПП3. </w:t>
      </w:r>
      <w:r>
        <w:rPr>
          <w:i/>
          <w:noProof/>
        </w:rPr>
        <w:t>Като признава</w:t>
      </w:r>
      <w:r>
        <w:rPr>
          <w:noProof/>
        </w:rPr>
        <w:t xml:space="preserve"> значението на ранното и ефективно регистриране и документиране на бежанците, съобразно нормативните уредби, при отчитане на спецификата на всяка ситуация.</w:t>
      </w:r>
    </w:p>
    <w:p>
      <w:pPr>
        <w:rPr>
          <w:noProof/>
        </w:rPr>
      </w:pPr>
      <w:r>
        <w:rPr>
          <w:noProof/>
        </w:rPr>
        <w:t xml:space="preserve">ПП4. </w:t>
      </w:r>
      <w:r>
        <w:rPr>
          <w:i/>
          <w:noProof/>
        </w:rPr>
        <w:t>Като съзнава</w:t>
      </w:r>
      <w:r>
        <w:rPr>
          <w:noProof/>
        </w:rPr>
        <w:t xml:space="preserve"> с признателност приноса на приемащите държави, изразяващ се в приемането и предоставянето на международна закрила на голям брой бежанци, включително при ситуации на продължително разселване и при наличието на ограничени ресурси.</w:t>
      </w:r>
    </w:p>
    <w:p>
      <w:pPr>
        <w:rPr>
          <w:noProof/>
        </w:rPr>
      </w:pPr>
      <w:r>
        <w:rPr>
          <w:noProof/>
        </w:rPr>
        <w:t xml:space="preserve">ПП5. </w:t>
      </w:r>
      <w:r>
        <w:rPr>
          <w:i/>
          <w:noProof/>
        </w:rPr>
        <w:t>Като признава</w:t>
      </w:r>
      <w:r>
        <w:rPr>
          <w:noProof/>
        </w:rPr>
        <w:t xml:space="preserve"> значението, което имат документите за пътуване за бежанци и лица без гражданство за улесняване на пътуването на тези лица, и значението на предоставянето на визи на притежателите на тези документи за пътуване, когато това е необходимо с цел осигуряване на трайни решения за бежанците и допълнителни пътища към закрила и намиране на решения, както и с цел друго пътуване за бежанците и лицата без гражданство, като по този начин се намалява рискът от незаконни движения, които могат да изложат бежанците и лицата без гражданство на експлоатация, малтретиране, насилие и трафик на хора.</w:t>
      </w:r>
    </w:p>
    <w:p>
      <w:pPr>
        <w:rPr>
          <w:noProof/>
        </w:rPr>
      </w:pPr>
      <w:r>
        <w:rPr>
          <w:noProof/>
        </w:rPr>
        <w:t xml:space="preserve">ПП6. </w:t>
      </w:r>
      <w:r>
        <w:rPr>
          <w:i/>
          <w:noProof/>
        </w:rPr>
        <w:t>Като отбелязва</w:t>
      </w:r>
      <w:r>
        <w:rPr>
          <w:noProof/>
        </w:rPr>
        <w:t>, че международните стандарти и спецификации за документите за пътуване са се променили съществено от изготвянето на конвенциите от 1951 г. и 1954 г. насам и че ефективното осъществяване на правото, посочено в член 28 от тези конвенции, може да бъде постигнато най-добре, ако бежанците и лицата без гражданство имат достъп до документи за пътуване, отговарящи на международните стандарти, приети от Международната организация за гражданско въздухоплаване (ИКАО), в приложение 9 („Облекчение“) към Конвенцията за международно гражданско въздухоплаване от 1944 г. („Чикагската конвенция“).</w:t>
      </w:r>
    </w:p>
    <w:p>
      <w:pPr>
        <w:rPr>
          <w:noProof/>
        </w:rPr>
      </w:pPr>
      <w:r>
        <w:rPr>
          <w:noProof/>
        </w:rPr>
        <w:t xml:space="preserve">ПП7. </w:t>
      </w:r>
      <w:r>
        <w:rPr>
          <w:i/>
          <w:noProof/>
        </w:rPr>
        <w:t>Като отбелязва</w:t>
      </w:r>
      <w:r>
        <w:rPr>
          <w:noProof/>
        </w:rPr>
        <w:t xml:space="preserve"> изменение 25 на приложение 9 към Чикагската конвенция от 1944 г., прието от Съвета на ИКАО през юни 2015 г., според което документите за пътуване за бежанци и лица без гражданство („документи за пътуване, издадени съгласно Конвенцията“) трябва да бъдат машинночетими в съответствие със спецификациите в Док. 9303</w:t>
      </w:r>
      <w:r>
        <w:rPr>
          <w:rStyle w:val="FootnoteReference"/>
          <w:noProof/>
        </w:rPr>
        <w:footnoteReference w:id="1"/>
      </w:r>
      <w:r>
        <w:rPr>
          <w:noProof/>
        </w:rPr>
        <w:t>.</w:t>
      </w:r>
    </w:p>
    <w:p>
      <w:pPr>
        <w:rPr>
          <w:noProof/>
        </w:rPr>
      </w:pPr>
      <w:r>
        <w:rPr>
          <w:noProof/>
        </w:rPr>
        <w:t xml:space="preserve">ПП8. </w:t>
      </w:r>
      <w:r>
        <w:rPr>
          <w:i/>
          <w:noProof/>
        </w:rPr>
        <w:t>Като изразява задоволство</w:t>
      </w:r>
      <w:r>
        <w:rPr>
          <w:noProof/>
        </w:rPr>
        <w:t xml:space="preserve"> от преработеното ръководство за издаване, съгласно Конвенцията, на машинночетими документи за пътуване за бежанци и лица без гражданство, изготвено съвместно от ВКБООН и ИКАО през февруари 2017 г. и съдържащо насоки относно прилагането на стандарт 3.12 на ИКАО.</w:t>
      </w:r>
    </w:p>
    <w:p>
      <w:pPr>
        <w:rPr>
          <w:noProof/>
        </w:rPr>
      </w:pPr>
      <w:r>
        <w:rPr>
          <w:noProof/>
        </w:rPr>
        <w:t xml:space="preserve">ПП8а. </w:t>
      </w:r>
      <w:r>
        <w:rPr>
          <w:i/>
          <w:noProof/>
        </w:rPr>
        <w:t>Като отбелязва</w:t>
      </w:r>
      <w:r>
        <w:rPr>
          <w:noProof/>
        </w:rPr>
        <w:t xml:space="preserve"> практиката на някои държави при издаването на електронни машинночетими документи за пътуване, издадени съгласно Конвенцията, с възможност за идентифициране по биометрични данни.</w:t>
      </w:r>
    </w:p>
    <w:p>
      <w:pPr>
        <w:rPr>
          <w:noProof/>
        </w:rPr>
      </w:pPr>
      <w:r>
        <w:rPr>
          <w:noProof/>
        </w:rPr>
        <w:t xml:space="preserve">ПП9. </w:t>
      </w:r>
      <w:r>
        <w:rPr>
          <w:i/>
          <w:noProof/>
        </w:rPr>
        <w:t>Като отбелязва също</w:t>
      </w:r>
      <w:r>
        <w:rPr>
          <w:noProof/>
        </w:rPr>
        <w:t xml:space="preserve"> ползите, свързани с увеличаването на отличителните знаци за сигурност на машинночетимите документи за пътуване, и значението на сигурността на документите за пътуване за насърчаването на ефективната идентификация на пътуващите, за намаляването на риска от документни измами и подправяне и фалшифициране на документи и за улесняването на глобалното и взаимно признаване на документи за пътуване.</w:t>
      </w:r>
    </w:p>
    <w:p>
      <w:pPr>
        <w:rPr>
          <w:noProof/>
        </w:rPr>
      </w:pPr>
      <w:r>
        <w:rPr>
          <w:noProof/>
        </w:rPr>
        <w:t xml:space="preserve">ПП10. Като подчертава значението на предпазните мерки за защита на личните данни, като тези, посочени в политиката на ВКБООН относно защитата на личните данни на лицата, чието положение буди загриженост. </w:t>
      </w:r>
    </w:p>
    <w:p>
      <w:pPr>
        <w:rPr>
          <w:noProof/>
        </w:rPr>
      </w:pPr>
      <w:r>
        <w:rPr>
          <w:noProof/>
        </w:rPr>
        <w:t xml:space="preserve">ОП1. </w:t>
      </w:r>
      <w:r>
        <w:rPr>
          <w:i/>
          <w:noProof/>
        </w:rPr>
        <w:t>Набляга</w:t>
      </w:r>
      <w:r>
        <w:rPr>
          <w:noProof/>
        </w:rPr>
        <w:t xml:space="preserve"> на необходимостта всички държави и другите съответни заинтересовани страни да повишат усилията си за създаване, разширяване или улесняване на достъпа до подходящи трайни решения и допълнителни пътища за бежанците и лицата без гражданство, по-специално за да се помогне на общностите и държавите, които приемат голям брой бежанци.</w:t>
      </w:r>
    </w:p>
    <w:p>
      <w:pPr>
        <w:rPr>
          <w:noProof/>
        </w:rPr>
      </w:pPr>
      <w:r>
        <w:rPr>
          <w:noProof/>
        </w:rPr>
        <w:t xml:space="preserve">ОП1а. </w:t>
      </w:r>
      <w:r>
        <w:rPr>
          <w:i/>
          <w:noProof/>
        </w:rPr>
        <w:t>Набляга</w:t>
      </w:r>
      <w:r>
        <w:rPr>
          <w:noProof/>
        </w:rPr>
        <w:t xml:space="preserve"> на необходимостта държавите на произход да допринасят за създаването на условия, подпомагащи доброволно репатриране и връщане, включително чрез преодоляване на първопричините за емиграцията и предоставяне на необходимите документи за пътуване.</w:t>
      </w:r>
    </w:p>
    <w:p>
      <w:pPr>
        <w:rPr>
          <w:noProof/>
        </w:rPr>
      </w:pPr>
      <w:r>
        <w:rPr>
          <w:noProof/>
        </w:rPr>
        <w:t xml:space="preserve">ОП2. </w:t>
      </w:r>
      <w:r>
        <w:rPr>
          <w:i/>
          <w:noProof/>
        </w:rPr>
        <w:t>Приветства</w:t>
      </w:r>
      <w:r>
        <w:rPr>
          <w:noProof/>
        </w:rPr>
        <w:t xml:space="preserve"> усилията на държавите, които вече са минали на машинночетими документи за пътуване, издадени съгласно Конвенцията при спазване на стандарт 3.12 и Док. 9303 на ИКАО, и </w:t>
      </w:r>
      <w:r>
        <w:rPr>
          <w:i/>
          <w:noProof/>
        </w:rPr>
        <w:t>призовава</w:t>
      </w:r>
      <w:r>
        <w:rPr>
          <w:noProof/>
        </w:rPr>
        <w:t xml:space="preserve"> държавите — страни по конвенциите от 1951 г. и 1954 г., да обмислят възможността за предприемане на всички необходими законодателни, административни и технически мерки, като вземат под внимание нормативните си уредби и националния си капацитет, за въвеждане на машинночетими документи за пътуване, издадени съгласно Конвенцията, за бежанците и лицата без гражданство, пребиваващи законно на тяхната територия.</w:t>
      </w:r>
    </w:p>
    <w:p>
      <w:pPr>
        <w:rPr>
          <w:noProof/>
        </w:rPr>
      </w:pPr>
      <w:r>
        <w:rPr>
          <w:noProof/>
        </w:rPr>
        <w:t>ОП2а.</w:t>
      </w:r>
      <w:r>
        <w:rPr>
          <w:i/>
          <w:noProof/>
        </w:rPr>
        <w:t xml:space="preserve"> Признава</w:t>
      </w:r>
      <w:r>
        <w:rPr>
          <w:noProof/>
        </w:rPr>
        <w:t xml:space="preserve"> добрите практики на държавите — страни по Конвенцията от 1951 г. и/или Протокола от 1967 г., и/или Конвенцията от 1954 г., във връзка с издаването на машинночетими документи за пътуване за бежанци и лица без гражданство, които осигуряват на тези лица достъп до тези документи за пътуване, като например опростяването и облекчаването на процедурите и другите административни изисквания, както и системите за създаване на машинночетими документи за пътуване, и </w:t>
      </w:r>
      <w:r>
        <w:rPr>
          <w:i/>
          <w:noProof/>
        </w:rPr>
        <w:t>приканва</w:t>
      </w:r>
      <w:r>
        <w:rPr>
          <w:noProof/>
        </w:rPr>
        <w:t xml:space="preserve"> държавите — страни по съответната конвенция и/или Протокола от 1967 г, да обменят добри практики със заинтересованите държави — страни по съответната конвенция и/или Протокола от 1967 г.</w:t>
      </w:r>
    </w:p>
    <w:p>
      <w:pPr>
        <w:rPr>
          <w:noProof/>
        </w:rPr>
      </w:pPr>
      <w:r>
        <w:rPr>
          <w:noProof/>
        </w:rPr>
        <w:t xml:space="preserve">ОП3. </w:t>
      </w:r>
      <w:r>
        <w:rPr>
          <w:i/>
          <w:noProof/>
        </w:rPr>
        <w:t>Признава</w:t>
      </w:r>
      <w:r>
        <w:rPr>
          <w:noProof/>
        </w:rPr>
        <w:t xml:space="preserve"> добрите и доброволни практики на държавите, които не са страни по Конвенцията от 1951 г. и/или Протокола от 1967 г., и/или Конвенцията от 1954 г., във връзка с издаването на машинночетими документи за пътуване за бежанци и лица без гражданство и ги </w:t>
      </w:r>
      <w:r>
        <w:rPr>
          <w:i/>
          <w:noProof/>
        </w:rPr>
        <w:t>приканва</w:t>
      </w:r>
      <w:r>
        <w:rPr>
          <w:noProof/>
        </w:rPr>
        <w:t xml:space="preserve"> да споделят тези практики, за да се насърчат други държави, които не са страни по посочените конвенции, да предоставят на бежанците и лицата без гражданство достъп до подходящи документи за пътуване в съответствие с нормативните си уредби и националния си капацитет, включително с цел намиране на трайни решения и допълващи се пътища.</w:t>
      </w:r>
    </w:p>
    <w:p>
      <w:pPr>
        <w:rPr>
          <w:noProof/>
        </w:rPr>
      </w:pPr>
      <w:r>
        <w:rPr>
          <w:noProof/>
        </w:rPr>
        <w:t xml:space="preserve">ОП7. </w:t>
      </w:r>
      <w:r>
        <w:rPr>
          <w:i/>
          <w:noProof/>
        </w:rPr>
        <w:t>Ангажира се</w:t>
      </w:r>
      <w:r>
        <w:rPr>
          <w:noProof/>
        </w:rPr>
        <w:t xml:space="preserve"> да продължи да укрепва солидарността и справедливото споделяне на отговорностите и тежестта на международно равнище, за да се намали натискът върху приемащите държави, включително за улесняване на преминаването към издаване на машинночетими документи за пътуване за бежанци и лица без гражданство и за улесняване на продължаването на издаването на такива документи. Това следва да бъде постигнато чрез мобилизиране на финансови ресурси и осигуряване на изграждане на капацитет и техническа подкрепа, по целесъобразност, в сътрудничество с ИКАО и ВКБООН.“</w:t>
      </w:r>
    </w:p>
    <w:sectPr>
      <w:footerReference w:type="default" r:id="rId16"/>
      <w:footerReference w:type="first" r:id="rId17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  <w: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  <w:footnote w:id="1">
    <w:p>
      <w:pPr>
        <w:pStyle w:val="FootnoteText"/>
      </w:pPr>
      <w:r>
        <w:rPr>
          <w:rStyle w:val="FootnoteReference"/>
        </w:rPr>
        <w:footnoteRef/>
      </w:r>
      <w:r>
        <w:tab/>
        <w:t>Бележка: С изключение на две държави (Светия престол и Тувалу) всички държави, които са страни по Конвенцията от 1951 г. и/или Протокола към нея и по Конвенцията от 1954 г., са също страни по Чикагската конвенция.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D468239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065C63E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398AE2E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A6209E3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49464EE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0F581CF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8F08D03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FA54312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18"/>
  </w:num>
  <w:num w:numId="10">
    <w:abstractNumId w:val="12"/>
  </w:num>
  <w:num w:numId="11">
    <w:abstractNumId w:val="20"/>
  </w:num>
  <w:num w:numId="12">
    <w:abstractNumId w:val="11"/>
  </w:num>
  <w:num w:numId="13">
    <w:abstractNumId w:val="13"/>
  </w:num>
  <w:num w:numId="14">
    <w:abstractNumId w:val="9"/>
  </w:num>
  <w:num w:numId="15">
    <w:abstractNumId w:val="19"/>
  </w:num>
  <w:num w:numId="16">
    <w:abstractNumId w:val="8"/>
  </w:num>
  <w:num w:numId="17">
    <w:abstractNumId w:val="14"/>
  </w:num>
  <w:num w:numId="18">
    <w:abstractNumId w:val="16"/>
  </w:num>
  <w:num w:numId="19">
    <w:abstractNumId w:val="17"/>
  </w:num>
  <w:num w:numId="20">
    <w:abstractNumId w:val="10"/>
  </w:num>
  <w:num w:numId="21">
    <w:abstractNumId w:val="15"/>
  </w:num>
  <w:num w:numId="22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hideGrammaticalErrors/>
  <w:attachedTemplate r:id="rId1"/>
  <w:revisionView w:markup="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QCDateTime" w:val="2017-09-19 16:52:28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0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ACCOMPAGNANT.CP" w:val="\u1082?\u1098?\u1084?"/>
    <w:docVar w:name="LW_ANNEX_NBR_FIRST" w:val="1"/>
    <w:docVar w:name="LW_ANNEX_NBR_LAST" w:val="1"/>
    <w:docVar w:name="LW_CONFIDENCE" w:val=" "/>
    <w:docVar w:name="LW_CONST_RESTREINT_UE" w:val="RESTREINT UE"/>
    <w:docVar w:name="LW_CORRIGENDUM" w:val="&lt;UNUSED&gt;"/>
    <w:docVar w:name="LW_COVERPAGE_GUID" w:val="63776D2D65934CC7AE71DC20DB9A213E"/>
    <w:docVar w:name="LW_CROSSREFERENCE" w:val="&lt;UNUSED&gt;"/>
    <w:docVar w:name="LW_DocType" w:val="ANNEX"/>
    <w:docVar w:name="LW_EMISSION" w:val="15.9.2017"/>
    <w:docVar w:name="LW_EMISSION_ISODATE" w:val="2017-09-15"/>
    <w:docVar w:name="LW_EMISSION_LOCATION" w:val="BRX"/>
    <w:docVar w:name="LW_EMISSION_PREFIX" w:val="\u1041?\u1088?\u1102?\u1082?\u1089?\u1077?\u1083?, "/>
    <w:docVar w:name="LW_EMISSION_SUFFIX" w:val=" \u1075?."/>
    <w:docVar w:name="LW_ID_DOCSTRUCTURE" w:val="COM/ANNEX"/>
    <w:docVar w:name="LW_ID_DOCTYPE" w:val="SG-017"/>
    <w:docVar w:name="LW_LANGUE" w:val="BG"/>
    <w:docVar w:name="LW_MARKING" w:val="&lt;UNUSED&gt;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.CP" w:val="\u1086?\u1090?\u1085?\u1086?\u1089?\u1085?\u1086? \u1087?\u1086?\u1079?\u1080?\u1094?\u1080?\u1103?\u1090?\u1072?, \u1082?\u1086?\u1103?\u1090?\u1086? \u1076?\u1072? \u1073?\u1098?\u1076?\u1077? \u1079?\u1072?\u1077?\u1090?\u1072? \u1086?\u1090? \u1080?\u1084?\u1077?\u1090?\u1086? \u1085?\u1072? \u1045?\u1074?\u1088?\u1086?\u1087?\u1077?\u1081?\u1089?\u1082?\u1080?\u1103? \u1089?\u1098?\u1102?\u1079? \u1074? \u1048?\u1079?\u1087?\u1098?\u1083?\u1085?\u1080?\u1090?\u1077?\u1083?\u1085?\u1080?\u1103? \u1082?\u1086?\u1084?\u1080?\u1090?\u1077?\u1090? \u1085?\u1072? \u1055?\u1088?\u1086?\u1075?\u1088?\u1072?\u1084?\u1072?\u1090?\u1072? \u1085?\u1072? \u1074?\u1098?\u1088?\u1093?\u1086?\u1074?\u1085?\u1080?\u1103? \u1082?\u1086?\u1084?\u1080?\u1089?\u1072?\u1088? \u1085?\u1072? \u1054?\u1054?\u1053? \u1079?\u1072? \u1073?\u1077?\u1078?\u1072?\u1085?\u1094?\u1080?\u1090?\u1077?"/>
    <w:docVar w:name="LW_PART_NBR" w:val="1"/>
    <w:docVar w:name="LW_PART_NBR_TOTAL" w:val="1"/>
    <w:docVar w:name="LW_REF.INST.NEW" w:val="COM"/>
    <w:docVar w:name="LW_REF.INST.NEW_ADOPTED" w:val="final"/>
    <w:docVar w:name="LW_REF.INST.NEW_TEXT" w:val="(2017) 544"/>
    <w:docVar w:name="LW_REF.INTERNE" w:val="&lt;UNUSED&gt;"/>
    <w:docVar w:name="LW_SUPERTITRE" w:val="&lt;UNUSED&gt;"/>
    <w:docVar w:name="LW_TITRE.OBJ.CP" w:val="&lt;UNUSED&gt;"/>
    <w:docVar w:name="LW_TYPE.DOC.CP" w:val="\u1055?\u1056?\u1048?\u1051?\u1054?\u1046?\u1045?\u1053?\u1048?\u1045?"/>
    <w:docVar w:name="LW_TYPEACTEPRINCIPAL.CP" w:val="\u1055?\u1088?\u1077?\u1076?\u1083?\u1086?\u1078?\u1077?\u1085?\u1080?\u1077? \u1079?\u1072? \u1056?\u1045?\u1064?\u1045?\u1053?\u1048?\u1045? \u1053?\u1040? \u1057?\u1066?\u1042?\u1045?\u1058?\u1040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5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5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5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5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9"/>
      </w:numPr>
    </w:pPr>
  </w:style>
  <w:style w:type="paragraph" w:customStyle="1" w:styleId="Tiret1">
    <w:name w:val="Tiret 1"/>
    <w:basedOn w:val="Point1"/>
    <w:pPr>
      <w:numPr>
        <w:numId w:val="10"/>
      </w:numPr>
    </w:pPr>
  </w:style>
  <w:style w:type="paragraph" w:customStyle="1" w:styleId="Tiret2">
    <w:name w:val="Tiret 2"/>
    <w:basedOn w:val="Point2"/>
    <w:pPr>
      <w:numPr>
        <w:numId w:val="11"/>
      </w:numPr>
    </w:pPr>
  </w:style>
  <w:style w:type="paragraph" w:customStyle="1" w:styleId="Tiret3">
    <w:name w:val="Tiret 3"/>
    <w:basedOn w:val="Point3"/>
    <w:pPr>
      <w:numPr>
        <w:numId w:val="12"/>
      </w:numPr>
    </w:pPr>
  </w:style>
  <w:style w:type="paragraph" w:customStyle="1" w:styleId="Tiret4">
    <w:name w:val="Tiret 4"/>
    <w:basedOn w:val="Point4"/>
    <w:pPr>
      <w:numPr>
        <w:numId w:val="13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4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4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4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4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6"/>
      </w:numPr>
    </w:pPr>
  </w:style>
  <w:style w:type="paragraph" w:customStyle="1" w:styleId="Point1number">
    <w:name w:val="Point 1 (number)"/>
    <w:basedOn w:val="Normal"/>
    <w:pPr>
      <w:numPr>
        <w:ilvl w:val="2"/>
        <w:numId w:val="16"/>
      </w:numPr>
    </w:pPr>
  </w:style>
  <w:style w:type="paragraph" w:customStyle="1" w:styleId="Point2number">
    <w:name w:val="Point 2 (number)"/>
    <w:basedOn w:val="Normal"/>
    <w:pPr>
      <w:numPr>
        <w:ilvl w:val="4"/>
        <w:numId w:val="16"/>
      </w:numPr>
    </w:pPr>
  </w:style>
  <w:style w:type="paragraph" w:customStyle="1" w:styleId="Point3number">
    <w:name w:val="Point 3 (number)"/>
    <w:basedOn w:val="Normal"/>
    <w:pPr>
      <w:numPr>
        <w:ilvl w:val="6"/>
        <w:numId w:val="16"/>
      </w:numPr>
    </w:pPr>
  </w:style>
  <w:style w:type="paragraph" w:customStyle="1" w:styleId="Point0letter">
    <w:name w:val="Point 0 (letter)"/>
    <w:basedOn w:val="Normal"/>
    <w:pPr>
      <w:numPr>
        <w:ilvl w:val="1"/>
        <w:numId w:val="16"/>
      </w:numPr>
    </w:pPr>
  </w:style>
  <w:style w:type="paragraph" w:customStyle="1" w:styleId="Point1letter">
    <w:name w:val="Point 1 (letter)"/>
    <w:basedOn w:val="Normal"/>
    <w:pPr>
      <w:numPr>
        <w:ilvl w:val="3"/>
        <w:numId w:val="16"/>
      </w:numPr>
    </w:pPr>
  </w:style>
  <w:style w:type="paragraph" w:customStyle="1" w:styleId="Point2letter">
    <w:name w:val="Point 2 (letter)"/>
    <w:basedOn w:val="Normal"/>
    <w:pPr>
      <w:numPr>
        <w:ilvl w:val="5"/>
        <w:numId w:val="16"/>
      </w:numPr>
    </w:pPr>
  </w:style>
  <w:style w:type="paragraph" w:customStyle="1" w:styleId="Point3letter">
    <w:name w:val="Point 3 (letter)"/>
    <w:basedOn w:val="Normal"/>
    <w:pPr>
      <w:numPr>
        <w:ilvl w:val="7"/>
        <w:numId w:val="16"/>
      </w:numPr>
    </w:pPr>
  </w:style>
  <w:style w:type="paragraph" w:customStyle="1" w:styleId="Point4letter">
    <w:name w:val="Point 4 (letter)"/>
    <w:basedOn w:val="Normal"/>
    <w:pPr>
      <w:numPr>
        <w:ilvl w:val="8"/>
        <w:numId w:val="16"/>
      </w:numPr>
    </w:pPr>
  </w:style>
  <w:style w:type="paragraph" w:customStyle="1" w:styleId="Bullet0">
    <w:name w:val="Bullet 0"/>
    <w:basedOn w:val="Normal"/>
    <w:pPr>
      <w:numPr>
        <w:numId w:val="17"/>
      </w:numPr>
    </w:pPr>
  </w:style>
  <w:style w:type="paragraph" w:customStyle="1" w:styleId="Bullet1">
    <w:name w:val="Bullet 1"/>
    <w:basedOn w:val="Normal"/>
    <w:pPr>
      <w:numPr>
        <w:numId w:val="18"/>
      </w:numPr>
    </w:pPr>
  </w:style>
  <w:style w:type="paragraph" w:customStyle="1" w:styleId="Bullet2">
    <w:name w:val="Bullet 2"/>
    <w:basedOn w:val="Normal"/>
    <w:pPr>
      <w:numPr>
        <w:numId w:val="19"/>
      </w:numPr>
    </w:pPr>
  </w:style>
  <w:style w:type="paragraph" w:customStyle="1" w:styleId="Bullet3">
    <w:name w:val="Bullet 3"/>
    <w:basedOn w:val="Normal"/>
    <w:pPr>
      <w:numPr>
        <w:numId w:val="20"/>
      </w:numPr>
    </w:pPr>
  </w:style>
  <w:style w:type="paragraph" w:customStyle="1" w:styleId="Bullet4">
    <w:name w:val="Bullet 4"/>
    <w:basedOn w:val="Normal"/>
    <w:pPr>
      <w:numPr>
        <w:numId w:val="21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2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5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5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5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5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9"/>
      </w:numPr>
    </w:pPr>
  </w:style>
  <w:style w:type="paragraph" w:customStyle="1" w:styleId="Tiret1">
    <w:name w:val="Tiret 1"/>
    <w:basedOn w:val="Point1"/>
    <w:pPr>
      <w:numPr>
        <w:numId w:val="10"/>
      </w:numPr>
    </w:pPr>
  </w:style>
  <w:style w:type="paragraph" w:customStyle="1" w:styleId="Tiret2">
    <w:name w:val="Tiret 2"/>
    <w:basedOn w:val="Point2"/>
    <w:pPr>
      <w:numPr>
        <w:numId w:val="11"/>
      </w:numPr>
    </w:pPr>
  </w:style>
  <w:style w:type="paragraph" w:customStyle="1" w:styleId="Tiret3">
    <w:name w:val="Tiret 3"/>
    <w:basedOn w:val="Point3"/>
    <w:pPr>
      <w:numPr>
        <w:numId w:val="12"/>
      </w:numPr>
    </w:pPr>
  </w:style>
  <w:style w:type="paragraph" w:customStyle="1" w:styleId="Tiret4">
    <w:name w:val="Tiret 4"/>
    <w:basedOn w:val="Point4"/>
    <w:pPr>
      <w:numPr>
        <w:numId w:val="13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4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4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4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4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6"/>
      </w:numPr>
    </w:pPr>
  </w:style>
  <w:style w:type="paragraph" w:customStyle="1" w:styleId="Point1number">
    <w:name w:val="Point 1 (number)"/>
    <w:basedOn w:val="Normal"/>
    <w:pPr>
      <w:numPr>
        <w:ilvl w:val="2"/>
        <w:numId w:val="16"/>
      </w:numPr>
    </w:pPr>
  </w:style>
  <w:style w:type="paragraph" w:customStyle="1" w:styleId="Point2number">
    <w:name w:val="Point 2 (number)"/>
    <w:basedOn w:val="Normal"/>
    <w:pPr>
      <w:numPr>
        <w:ilvl w:val="4"/>
        <w:numId w:val="16"/>
      </w:numPr>
    </w:pPr>
  </w:style>
  <w:style w:type="paragraph" w:customStyle="1" w:styleId="Point3number">
    <w:name w:val="Point 3 (number)"/>
    <w:basedOn w:val="Normal"/>
    <w:pPr>
      <w:numPr>
        <w:ilvl w:val="6"/>
        <w:numId w:val="16"/>
      </w:numPr>
    </w:pPr>
  </w:style>
  <w:style w:type="paragraph" w:customStyle="1" w:styleId="Point0letter">
    <w:name w:val="Point 0 (letter)"/>
    <w:basedOn w:val="Normal"/>
    <w:pPr>
      <w:numPr>
        <w:ilvl w:val="1"/>
        <w:numId w:val="16"/>
      </w:numPr>
    </w:pPr>
  </w:style>
  <w:style w:type="paragraph" w:customStyle="1" w:styleId="Point1letter">
    <w:name w:val="Point 1 (letter)"/>
    <w:basedOn w:val="Normal"/>
    <w:pPr>
      <w:numPr>
        <w:ilvl w:val="3"/>
        <w:numId w:val="16"/>
      </w:numPr>
    </w:pPr>
  </w:style>
  <w:style w:type="paragraph" w:customStyle="1" w:styleId="Point2letter">
    <w:name w:val="Point 2 (letter)"/>
    <w:basedOn w:val="Normal"/>
    <w:pPr>
      <w:numPr>
        <w:ilvl w:val="5"/>
        <w:numId w:val="16"/>
      </w:numPr>
    </w:pPr>
  </w:style>
  <w:style w:type="paragraph" w:customStyle="1" w:styleId="Point3letter">
    <w:name w:val="Point 3 (letter)"/>
    <w:basedOn w:val="Normal"/>
    <w:pPr>
      <w:numPr>
        <w:ilvl w:val="7"/>
        <w:numId w:val="16"/>
      </w:numPr>
    </w:pPr>
  </w:style>
  <w:style w:type="paragraph" w:customStyle="1" w:styleId="Point4letter">
    <w:name w:val="Point 4 (letter)"/>
    <w:basedOn w:val="Normal"/>
    <w:pPr>
      <w:numPr>
        <w:ilvl w:val="8"/>
        <w:numId w:val="16"/>
      </w:numPr>
    </w:pPr>
  </w:style>
  <w:style w:type="paragraph" w:customStyle="1" w:styleId="Bullet0">
    <w:name w:val="Bullet 0"/>
    <w:basedOn w:val="Normal"/>
    <w:pPr>
      <w:numPr>
        <w:numId w:val="17"/>
      </w:numPr>
    </w:pPr>
  </w:style>
  <w:style w:type="paragraph" w:customStyle="1" w:styleId="Bullet1">
    <w:name w:val="Bullet 1"/>
    <w:basedOn w:val="Normal"/>
    <w:pPr>
      <w:numPr>
        <w:numId w:val="18"/>
      </w:numPr>
    </w:pPr>
  </w:style>
  <w:style w:type="paragraph" w:customStyle="1" w:styleId="Bullet2">
    <w:name w:val="Bullet 2"/>
    <w:basedOn w:val="Normal"/>
    <w:pPr>
      <w:numPr>
        <w:numId w:val="19"/>
      </w:numPr>
    </w:pPr>
  </w:style>
  <w:style w:type="paragraph" w:customStyle="1" w:styleId="Bullet3">
    <w:name w:val="Bullet 3"/>
    <w:basedOn w:val="Normal"/>
    <w:pPr>
      <w:numPr>
        <w:numId w:val="20"/>
      </w:numPr>
    </w:pPr>
  </w:style>
  <w:style w:type="paragraph" w:customStyle="1" w:styleId="Bullet4">
    <w:name w:val="Bullet 4"/>
    <w:basedOn w:val="Normal"/>
    <w:pPr>
      <w:numPr>
        <w:numId w:val="21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2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36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634197-BF79-420F-88A4-D14152AD6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0</TotalTime>
  <Pages>4</Pages>
  <Words>1075</Words>
  <Characters>6364</Characters>
  <Application>Microsoft Office Word</Application>
  <DocSecurity>0</DocSecurity>
  <Lines>111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7410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DANULESCU Andreea (HOME)</dc:creator>
  <cp:lastModifiedBy>DIGIT/A3</cp:lastModifiedBy>
  <cp:revision>7</cp:revision>
  <dcterms:created xsi:type="dcterms:W3CDTF">2017-09-19T11:32:00Z</dcterms:created>
  <dcterms:modified xsi:type="dcterms:W3CDTF">2017-09-19T14:52:00Z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Classification">
    <vt:lpwstr> </vt:lpwstr>
  </property>
  <property fmtid="{D5CDD505-2E9C-101B-9397-08002B2CF9AE}" pid="4" name="Version">
    <vt:lpwstr>5.8.86.0</vt:lpwstr>
  </property>
  <property fmtid="{D5CDD505-2E9C-101B-9397-08002B2CF9AE}" pid="5" name="Last edited using">
    <vt:lpwstr>LW 5.8.4, Build 20141001</vt:lpwstr>
  </property>
  <property fmtid="{D5CDD505-2E9C-101B-9397-08002B2CF9AE}" pid="6" name="Created using">
    <vt:lpwstr>LW 5.8.4, Build 20150407</vt:lpwstr>
  </property>
  <property fmtid="{D5CDD505-2E9C-101B-9397-08002B2CF9AE}" pid="7" name="First annex">
    <vt:lpwstr>1</vt:lpwstr>
  </property>
  <property fmtid="{D5CDD505-2E9C-101B-9397-08002B2CF9AE}" pid="8" name="Last annex">
    <vt:lpwstr>1</vt:lpwstr>
  </property>
  <property fmtid="{D5CDD505-2E9C-101B-9397-08002B2CF9AE}" pid="9" name="Part">
    <vt:lpwstr>1</vt:lpwstr>
  </property>
  <property fmtid="{D5CDD505-2E9C-101B-9397-08002B2CF9AE}" pid="10" name="Total parts">
    <vt:lpwstr>1</vt:lpwstr>
  </property>
  <property fmtid="{D5CDD505-2E9C-101B-9397-08002B2CF9AE}" pid="11" name="LWTemplateID">
    <vt:lpwstr>SG-017</vt:lpwstr>
  </property>
  <property fmtid="{D5CDD505-2E9C-101B-9397-08002B2CF9AE}" pid="12" name="DQCStatus">
    <vt:lpwstr>Green (DQC version 03)</vt:lpwstr>
  </property>
</Properties>
</file>