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202CB4F925D4DCC9887952F80E5FE4D"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ПРИТУРКА</w:t>
      </w:r>
    </w:p>
    <w:p>
      <w:pPr>
        <w:rPr>
          <w:noProof/>
          <w:u w:val="single"/>
        </w:rPr>
      </w:pPr>
      <w:r>
        <w:rPr>
          <w:noProof/>
          <w:u w:val="single"/>
        </w:rPr>
        <w:t>Относно процеса на преговори:</w:t>
      </w:r>
    </w:p>
    <w:p>
      <w:pPr>
        <w:pStyle w:val="NumPar1"/>
        <w:numPr>
          <w:ilvl w:val="0"/>
          <w:numId w:val="1"/>
        </w:numPr>
        <w:rPr>
          <w:noProof/>
        </w:rPr>
      </w:pPr>
      <w:r>
        <w:rPr>
          <w:noProof/>
        </w:rPr>
        <w:t xml:space="preserve">Съюзът се стреми да гарантира, че процесът на преговори по конвенцията предоставя възможност на всички заинтересовани държави и международни организации да участват ефективно в преговорите и постигането на консенсус. </w:t>
      </w:r>
    </w:p>
    <w:p>
      <w:pPr>
        <w:pStyle w:val="NumPar1"/>
        <w:numPr>
          <w:ilvl w:val="0"/>
          <w:numId w:val="10"/>
        </w:numPr>
        <w:rPr>
          <w:noProof/>
        </w:rPr>
      </w:pPr>
      <w:r>
        <w:rPr>
          <w:noProof/>
        </w:rPr>
        <w:t xml:space="preserve">По време на преговорите Съюзът се представлява от Комисията. В съответствие с принципите на лоялно сътрудничество и единство на външното представителство, както е определено в Договорите, Съюзът и участващите в преговорите държави — членки на Съюза, по време на този процес трябва да осигуряват пълна координация и да предприемат съответни действия. </w:t>
      </w:r>
    </w:p>
    <w:p>
      <w:pPr>
        <w:pStyle w:val="NumPar1"/>
        <w:numPr>
          <w:ilvl w:val="0"/>
          <w:numId w:val="10"/>
        </w:numPr>
        <w:rPr>
          <w:noProof/>
        </w:rPr>
      </w:pPr>
      <w:r>
        <w:rPr>
          <w:noProof/>
        </w:rPr>
        <w:t>Преговорите се провеждат под егидата на Комисията на ООН по международно търговско право (UNCITRAL). В случай на гласуване държавите членки, които са членове на Комисията на ООН по международно търговско право, упражняват правото си на глас в съответствие с настоящите указания и предварително съгласуваните позиции на ЕС.</w:t>
      </w:r>
    </w:p>
    <w:p>
      <w:pPr>
        <w:pStyle w:val="NumPar1"/>
        <w:numPr>
          <w:ilvl w:val="0"/>
          <w:numId w:val="10"/>
        </w:numPr>
        <w:rPr>
          <w:noProof/>
        </w:rPr>
      </w:pPr>
      <w:r>
        <w:rPr>
          <w:noProof/>
        </w:rPr>
        <w:t xml:space="preserve">Съюзът се стреми да гарантира, че преговорите се провеждат по прозрачен начин, включително, когато е възможно, чрез аудиоизлъчване или пряко излъчване онлайн, и че представителите на организациите на гражданското общество имат възможност да участват в обсъжданията като акредитирани наблюдатели. </w:t>
      </w:r>
    </w:p>
    <w:p>
      <w:pPr>
        <w:rPr>
          <w:noProof/>
          <w:u w:val="single"/>
        </w:rPr>
      </w:pPr>
      <w:r>
        <w:rPr>
          <w:noProof/>
          <w:u w:val="single"/>
        </w:rPr>
        <w:t>Относно същността на преговорите:</w:t>
      </w:r>
    </w:p>
    <w:p>
      <w:pPr>
        <w:pStyle w:val="NumPar1"/>
        <w:numPr>
          <w:ilvl w:val="0"/>
          <w:numId w:val="10"/>
        </w:numPr>
        <w:rPr>
          <w:noProof/>
        </w:rPr>
      </w:pPr>
      <w:r>
        <w:rPr>
          <w:noProof/>
        </w:rPr>
        <w:t xml:space="preserve">Конвенцията следва да предоставя възможност на Съюза да отнася спорове, възникнали в рамките на споразумения, по които Съюзът е страна или ще бъде страна, за разглеждане пред многостранния съд. Поради това Съюзът следва да разполага с възможност да стане страна по конвенцията, а разпоредбите на конвенцията следва да се изготвят по начин, който позволява ефективното им използване от страна на Европейския съюз. </w:t>
      </w:r>
    </w:p>
    <w:p>
      <w:pPr>
        <w:pStyle w:val="NumPar1"/>
        <w:numPr>
          <w:ilvl w:val="0"/>
          <w:numId w:val="10"/>
        </w:numPr>
        <w:rPr>
          <w:noProof/>
        </w:rPr>
      </w:pPr>
      <w:r>
        <w:rPr>
          <w:noProof/>
        </w:rPr>
        <w:t>Конвенцията следва също така да предоставя възможност на държавите — членки на Съюза, и на трети държави да отнасят спорове, възникнали в рамките на споразумения, по които те са страни или ще бъдат страни, за разглеждане пред многостранния съд</w:t>
      </w:r>
      <w:r>
        <w:rPr>
          <w:rStyle w:val="FootnoteReference"/>
          <w:noProof/>
        </w:rPr>
        <w:footnoteReference w:id="1"/>
      </w:r>
      <w:r>
        <w:rPr>
          <w:noProof/>
        </w:rPr>
        <w:t xml:space="preserve">. </w:t>
      </w:r>
    </w:p>
    <w:p>
      <w:pPr>
        <w:pStyle w:val="NumPar1"/>
        <w:numPr>
          <w:ilvl w:val="0"/>
          <w:numId w:val="10"/>
        </w:numPr>
        <w:rPr>
          <w:noProof/>
        </w:rPr>
      </w:pPr>
      <w:r>
        <w:rPr>
          <w:noProof/>
        </w:rPr>
        <w:t xml:space="preserve">Главният механизъм на конвенцията следва да се изразява в това, че юрисдикцията на многостранния съд обхваща дадено двустранно споразумение, когато двете страни по него са се договорили да отнасят споровете, възникнали в рамките на споразумението, за разглеждане пред многостранния съд. При многостранните споразумения конвенцията следва да предоставя възможност две или повече страни по такова споразумение да се договорят да отнасят споровете, възникнали в рамките на многостранното споразумение, за разглеждане пред многостранния съд. </w:t>
      </w:r>
    </w:p>
    <w:p>
      <w:pPr>
        <w:pStyle w:val="NumPar1"/>
        <w:numPr>
          <w:ilvl w:val="0"/>
          <w:numId w:val="10"/>
        </w:numPr>
        <w:rPr>
          <w:noProof/>
        </w:rPr>
      </w:pPr>
      <w:r>
        <w:rPr>
          <w:noProof/>
        </w:rPr>
        <w:t xml:space="preserve">Многостранният съд следва да се състои от първоинстанционен съд и апелативен съд. Апелативният съд следва да има правомощия за преразглеждане на решения, издадени от първоинстанционния съд, на основание грешки при прилагането на правото или явни грешки в преценката на фактите. Апелативният съд следва да разполага с правомощия да връща дела на първоинстанционния съд за приключване на производството въз основа на констатациите на апелативния съд („връщане“). </w:t>
      </w:r>
    </w:p>
    <w:p>
      <w:pPr>
        <w:pStyle w:val="NumPar1"/>
        <w:numPr>
          <w:ilvl w:val="0"/>
          <w:numId w:val="10"/>
        </w:numPr>
        <w:rPr>
          <w:noProof/>
        </w:rPr>
      </w:pPr>
      <w:r>
        <w:rPr>
          <w:noProof/>
        </w:rPr>
        <w:t xml:space="preserve">Независимостта на Съда следва да бъде гарантирана. Спрямо членовете на съда (както на първоинстанционния съд, така и на апелативния съд) следва да се прилагат строги изисквания относно тяхната квалификация и безпристрастност. В конвенцията следва да бъдат предвидени правила относно професионалната етика и механизми за искане на отвод. Членовете на съда следва да получават постоянно възнаграждение. Те следва да се назначават за определен дълъг и неподлежащ на подновяване срок и да се ползват от гаранция за несменяемост, както и от всички необходими гаранции за независимост. Членовете на съда следва се назначават посредством обективна и прозрачна процедура. </w:t>
      </w:r>
    </w:p>
    <w:p>
      <w:pPr>
        <w:pStyle w:val="NumPar1"/>
        <w:numPr>
          <w:ilvl w:val="0"/>
          <w:numId w:val="10"/>
        </w:numPr>
        <w:rPr>
          <w:noProof/>
        </w:rPr>
      </w:pPr>
      <w:r>
        <w:rPr>
          <w:noProof/>
        </w:rPr>
        <w:t>В конвенцията следва да е включена необходимата гъвкавост за адаптиране към променящия се състав на държавите страни по нея, както и към възможните промени в естеството на споразуменията, които биха могли да се отнасят за разглеждане пред съда. В конвенцията не следва да се изключва възможността съдът да функционира с подкрепата на секретариат от съществуваща международна организация или пък да бъде интегриран към структурата на такава организация на по-късен етап.</w:t>
      </w:r>
    </w:p>
    <w:p>
      <w:pPr>
        <w:pStyle w:val="NumPar1"/>
        <w:numPr>
          <w:ilvl w:val="0"/>
          <w:numId w:val="10"/>
        </w:numPr>
        <w:rPr>
          <w:noProof/>
        </w:rPr>
      </w:pPr>
      <w:r>
        <w:rPr>
          <w:noProof/>
        </w:rPr>
        <w:t>Производството пред многостранния съд следва да се осъществява по прозрачен начин, като се включва възможността за представяне на становища от трети страни, като за тази цел се използват разпоредбите и стандартите, предвидени в Правилата на UNCITRAL за прозрачността при основаващ се на споразумение арбитраж между инвеститор и държава, или други, подобни на тях.</w:t>
      </w:r>
    </w:p>
    <w:p>
      <w:pPr>
        <w:pStyle w:val="NumPar1"/>
        <w:numPr>
          <w:ilvl w:val="0"/>
          <w:numId w:val="10"/>
        </w:numPr>
        <w:rPr>
          <w:noProof/>
        </w:rPr>
      </w:pPr>
      <w:r>
        <w:rPr>
          <w:noProof/>
        </w:rPr>
        <w:t xml:space="preserve">Спрямо решенията на многостранния съд следва да се прилага ефективен международен режим за привеждането им в изпълнение. </w:t>
      </w:r>
    </w:p>
    <w:p>
      <w:pPr>
        <w:pStyle w:val="NumPar1"/>
        <w:numPr>
          <w:ilvl w:val="0"/>
          <w:numId w:val="10"/>
        </w:numPr>
        <w:rPr>
          <w:noProof/>
        </w:rPr>
      </w:pPr>
      <w:r>
        <w:rPr>
          <w:noProof/>
        </w:rPr>
        <w:t>Една от целите на преговорите следва да бъде функционирането на многостранния съд по разходоефективен начин, като се гарантира неговата достъпност за малки и средни предприятия и физически лица. Постоянните разходи на съда, включително разходите за възнаграждението на членовете му и разходите за административни дейности и секретариат, следва по принцип да се поемат от договарящите се страни по конвенцията за създаването на многостранния съд. Решението за разпределение на тези разходи между договарящите се страни следва да се взема по справедливост, като може да се вземат предвид фактори като равнището на икономическо развитие на страните, броя на обхванатите споразумения за всяка страна и обема на международните инвестиционни потоци или наличности на съответните страни.</w:t>
      </w:r>
    </w:p>
    <w:p>
      <w:pPr>
        <w:pStyle w:val="NumPar1"/>
        <w:numPr>
          <w:ilvl w:val="0"/>
          <w:numId w:val="10"/>
        </w:numPr>
        <w:rPr>
          <w:noProof/>
        </w:rPr>
      </w:pPr>
      <w:r>
        <w:rPr>
          <w:noProof/>
        </w:rPr>
        <w:t xml:space="preserve">Съюзът следва да се стреми да осигури възможността за предоставяне на помощ, за да се гарантира, че развиващите се и най-слаборазвитите държави могат да работят ефективно в рамките на режима на уреждане на инвестиционни спорове. Подобна инициатива може да представлява част от процеса на създаване на многостранен инвестиционен съд или може да се провежда отделно. </w:t>
      </w:r>
    </w:p>
    <w:p>
      <w:pPr>
        <w:pStyle w:val="NumPar1"/>
        <w:rPr>
          <w:noProof/>
        </w:rPr>
      </w:pPr>
      <w:r>
        <w:rPr>
          <w:noProof/>
        </w:rPr>
        <w:t>Конвенцията за създаване на многостранен съд следва да бъде отворена за подписване и присъединяване за всяка заинтересована държава и регионална организация за икономическа интеграция, която е страна по инвестиционно споразумение. Тя следва да предоставя възможност за по-ранно влизане в сила, веднага след като бъде депозиран определен минимален брой ратификационни инструменти.</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Споровете, произтичащи от сключени между държавите членки двустранни инвестиционни споразумения (ДИС в рамките на ЕС), както и спорове между инвеститор от държава членка и държава членка съгласно Договора за Енергийната харта, са извън обхвата на настоящото решение.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50C6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6066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7889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B66A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1C13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76BE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A85DC4"/>
    <w:lvl w:ilvl="0">
      <w:start w:val="1"/>
      <w:numFmt w:val="decimal"/>
      <w:pStyle w:val="ListNumber"/>
      <w:lvlText w:val="%1."/>
      <w:lvlJc w:val="left"/>
      <w:pPr>
        <w:tabs>
          <w:tab w:val="num" w:pos="360"/>
        </w:tabs>
        <w:ind w:left="360" w:hanging="360"/>
      </w:pPr>
    </w:lvl>
  </w:abstractNum>
  <w:abstractNum w:abstractNumId="7">
    <w:nsid w:val="FFFFFF89"/>
    <w:multiLevelType w:val="singleLevel"/>
    <w:tmpl w:val="74DC8F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0 10:09: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1202CB4F925D4DCC9887952F80E5FE4D"/>
    <w:docVar w:name="LW_CROSSREFERENCE" w:val="{SWD(2017) 302 final}_x000b_{SWD(2017) 303 final}"/>
    <w:docVar w:name="LW_DocType" w:val="ANNEX"/>
    <w:docVar w:name="LW_EMISSION" w:val="13.9.2017"/>
    <w:docVar w:name="LW_EMISSION_ISODATE" w:val="2017-09-1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50?\u1086?\u1085?\u1074?\u1077?\u1085?\u1094?\u1080?\u1103? \u1079?\u1072? \u1089?\u1098?\u1079?\u1076?\u1072?\u1074?\u1072?\u1085?\u1077? \u1085?\u1072? \u1084?\u1085?\u1086?\u1075?\u1086?\u1089?\u1090?\u1088?\u1072?\u1085?\u1077?\u1085? \u1089?\u1098?\u1076? \u1079?\u1072? \u1091?\u1088?\u1077?\u1078?\u1076?\u1072?\u1085?\u1077? \u1085?\u1072? \u1080?\u1085?\u1074?\u1077?\u1089?\u1090?\u1080?\u1094?\u1080?\u1086?\u1085?\u1085?\u1080? \u1089?\u1087?\u1086?\u1088?\u1086?\u1074?\u1077?"/>
    <w:docVar w:name="LW_OBJETACTEPRINCIPAL.CP" w:val="\u1079?\u1072? \u1088?\u1072?\u1079?\u1088?\u1077?\u1096?\u1072?\u1074?\u1072?\u1085?\u1077? \u1085?\u1072? \u1079?\u1072?\u1087?\u1086?\u1095?\u1074?\u1072?\u1085?\u1077?\u1090?\u1086? \u1085?\u1072? \u1087?\u1088?\u1077?\u1075?\u1086?\u1074?\u1086?\u1088?\u1080? \u1079?\u1072? \u1050?\u1086?\u1085?\u1074?\u1077?\u1085?\u1094?\u1080?\u1103? \u1079?\u1072? \u1089?\u1098?\u1079?\u1076?\u1072?\u1074?\u1072?\u1085?\u1077? \u1085?\u1072? \u1084?\u1085?\u1086?\u1075?\u1086?\u1089?\u1090?\u1088?\u1072?\u1085?\u1077?\u1085? \u1089?\u1098?\u1076? \u1079?\u1072? \u1091?\u1088?\u1077?\u1078?\u1076?\u1072?\u1085?\u1077? \u1085?\u1072? \u1080?\u1085?\u1074?\u1077?\u1089?\u1090?\u1080?\u1094?\u1080?\u1086?\u1085?\u1085?\u1080? \u1089?\u1087?\u1086?\u1088?\u1086?\u1074?\u1077?"/>
    <w:docVar w:name="LW_PART_NBR" w:val="1"/>
    <w:docVar w:name="LW_PART_NBR_TOTAL" w:val="1"/>
    <w:docVar w:name="LW_REF.INST.NEW" w:val="COM"/>
    <w:docVar w:name="LW_REF.INST.NEW_ADOPTED" w:val="final"/>
    <w:docVar w:name="LW_REF.INST.NEW_TEXT" w:val="(2017) 493"/>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55?\u1088?\u1077?\u1087?\u1086?\u1088?\u1098?\u1082?\u1072? \u1079?\u1072? \u1088?\u1077?\u1096?\u1077?\u1085?\u1080?\u1077? \u1085?\u1072? \u1057?\u1098?\u1074?\u1077?\u1090?\u1072?"/>
    <w:docVar w:name="LW_TYPEACTEPRINCIPAL.CP" w:val="\u1055?\u1088?\u1077?\u1087?\u1086?\u1088?\u1098?\u1082?\u1072?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E52A-8BD4-4DE5-8B35-88D6FBC0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872</Words>
  <Characters>5203</Characters>
  <Application>Microsoft Office Word</Application>
  <DocSecurity>0</DocSecurity>
  <Lines>98</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DIGIT/A3</cp:lastModifiedBy>
  <cp:revision>8</cp:revision>
  <dcterms:created xsi:type="dcterms:W3CDTF">2017-09-19T13:54:00Z</dcterms:created>
  <dcterms:modified xsi:type="dcterms:W3CDTF">2017-09-20T08:09:00Z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