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u w:color="000000"/>
        </w:rPr>
      </w:pPr>
      <w:bookmarkStart w:id="0" w:name="LW_BM_COVERPAGE"/>
      <w:r>
        <w:rPr>
          <w:noProof/>
          <w:u w:color="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CB9C38D193E452780629D020E675161"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jc w:val="both"/>
        <w:rPr>
          <w:rFonts w:eastAsia="Times New Roman"/>
          <w:b/>
          <w:bCs/>
          <w:noProof/>
          <w:color w:val="000000" w:themeColor="text1"/>
        </w:rPr>
      </w:pPr>
      <w:bookmarkStart w:id="1" w:name="_GoBack"/>
      <w:bookmarkEnd w:id="1"/>
    </w:p>
    <w:p>
      <w:pPr>
        <w:pStyle w:val="ListParagraph"/>
        <w:numPr>
          <w:ilvl w:val="0"/>
          <w:numId w:val="2"/>
        </w:numPr>
        <w:jc w:val="both"/>
        <w:rPr>
          <w:rFonts w:ascii="Times New Roman" w:eastAsia="Times New Roman" w:hAnsi="Times New Roman" w:cs="Times New Roman"/>
          <w:b/>
          <w:bCs/>
          <w:noProof/>
          <w:color w:val="000000" w:themeColor="text1"/>
          <w:sz w:val="24"/>
          <w:szCs w:val="24"/>
        </w:rPr>
      </w:pPr>
      <w:r>
        <w:rPr>
          <w:rFonts w:ascii="Times New Roman" w:hAnsi="Times New Roman"/>
          <w:b/>
          <w:noProof/>
          <w:color w:val="000000" w:themeColor="text1"/>
          <w:sz w:val="24"/>
        </w:rPr>
        <w:t>Въведение</w:t>
      </w:r>
    </w:p>
    <w:p>
      <w:pPr>
        <w:pStyle w:val="BodyA"/>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На 10 май 2017 г. Европейската комисия публикува документ за размисъл относно извличането на ползите от глобализацията</w:t>
      </w:r>
      <w:r>
        <w:rPr>
          <w:rFonts w:ascii="Times New Roman" w:hAnsi="Times New Roman"/>
          <w:noProof/>
          <w:color w:val="000000" w:themeColor="text1"/>
          <w:sz w:val="24"/>
          <w:vertAlign w:val="superscript"/>
        </w:rPr>
        <w:footnoteReference w:id="2"/>
      </w:r>
      <w:r>
        <w:rPr>
          <w:rFonts w:ascii="Times New Roman" w:hAnsi="Times New Roman"/>
          <w:noProof/>
          <w:color w:val="000000" w:themeColor="text1"/>
          <w:sz w:val="24"/>
        </w:rPr>
        <w:t>, с което откри дискусия за това как да моделираме глобализацията така, че тя да бъде от полза за всички. В документа се подчертава твърдият ангажимент на Европейския съюз (ЕС) да изгради отворен, устойчив, справедлив и основан на правила световен търговски ред посредством международно сътрудничество. При все това ЕС не би се поколебал да предприеме действия в защита на своите граждани и промишленост, когато чужди държави или дружества използват нелоялни практики или пораждат опасения за сигурността и обществения ред.</w:t>
      </w:r>
    </w:p>
    <w:p>
      <w:pPr>
        <w:pStyle w:val="BodyA"/>
        <w:spacing w:after="0" w:line="240" w:lineRule="auto"/>
        <w:jc w:val="both"/>
        <w:rPr>
          <w:rFonts w:ascii="Times New Roman" w:eastAsia="Times New Roman" w:hAnsi="Times New Roman" w:cs="Times New Roman"/>
          <w:noProof/>
          <w:color w:val="000000" w:themeColor="text1"/>
          <w:sz w:val="24"/>
          <w:szCs w:val="24"/>
        </w:rPr>
      </w:pPr>
    </w:p>
    <w:p>
      <w:pPr>
        <w:pStyle w:val="BodyA"/>
        <w:spacing w:after="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rPr>
        <w:t>Тези принципи се прилагат напълно за преките чуждестранни инвестиции от трети държави, които са част от общата търговска политика на ЕС. Преките чуждестранни инвестиции са важен източник на растеж, работни места и иновации. Те носят значителни ползи както за ЕС, така и за останалата част от света. Ето защо ЕС желае да поддържа отворена инвестиционна среда. В същото време в документа за размисъл относно извличането на ползите от глобализацията се подчертава нарастващата загриженост по отношение на стратегическите придобивания от страна на чуждестранни инвеститори, особено държавни предприятия, на европейски дружества с жизненоважни технологии. Тази загриженост поставя под въпрос способността на действащата регулаторна рамка за справяне с това предизвикателство.</w:t>
      </w:r>
    </w:p>
    <w:p>
      <w:pPr>
        <w:pStyle w:val="BodyA"/>
        <w:spacing w:after="0" w:line="240" w:lineRule="auto"/>
        <w:jc w:val="both"/>
        <w:rPr>
          <w:rFonts w:ascii="Times New Roman" w:eastAsia="Times New Roman" w:hAnsi="Times New Roman" w:cs="Times New Roman"/>
          <w:noProof/>
          <w:color w:val="000000" w:themeColor="text1"/>
          <w:sz w:val="24"/>
          <w:szCs w:val="24"/>
        </w:rPr>
      </w:pPr>
    </w:p>
    <w:p>
      <w:pPr>
        <w:pStyle w:val="BodyA"/>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color="FF2600"/>
        </w:rPr>
        <w:t>Европейският съвет приветства инициативата</w:t>
      </w:r>
      <w:r>
        <w:rPr>
          <w:rFonts w:ascii="Times New Roman" w:hAnsi="Times New Roman"/>
          <w:noProof/>
          <w:color w:val="000000" w:themeColor="text1"/>
          <w:sz w:val="24"/>
        </w:rPr>
        <w:t xml:space="preserve"> на Комисията за извличане на ползите от глобализацията, и по-специално за анализ на инвестициите от трети държави в стратегически сектори</w:t>
      </w:r>
      <w:r>
        <w:rPr>
          <w:rStyle w:val="FootnoteReference"/>
          <w:rFonts w:ascii="Times New Roman" w:hAnsi="Times New Roman"/>
          <w:noProof/>
          <w:color w:val="000000" w:themeColor="text1"/>
          <w:sz w:val="24"/>
          <w:u w:color="FF2600"/>
        </w:rPr>
        <w:footnoteReference w:id="3"/>
      </w:r>
      <w:r>
        <w:rPr>
          <w:rFonts w:ascii="Times New Roman" w:hAnsi="Times New Roman"/>
          <w:noProof/>
          <w:color w:val="000000" w:themeColor="text1"/>
          <w:sz w:val="24"/>
        </w:rPr>
        <w:t>.</w:t>
      </w:r>
      <w:r>
        <w:rPr>
          <w:rFonts w:ascii="Times New Roman" w:hAnsi="Times New Roman"/>
          <w:noProof/>
          <w:color w:val="000000" w:themeColor="text1"/>
          <w:sz w:val="24"/>
          <w:u w:color="FF2600"/>
        </w:rPr>
        <w:t xml:space="preserve"> От своя страна Европейският парламент призова Комисията</w:t>
      </w:r>
      <w:r>
        <w:rPr>
          <w:rFonts w:ascii="Times New Roman" w:hAnsi="Times New Roman"/>
          <w:noProof/>
          <w:color w:val="000000" w:themeColor="text1"/>
          <w:sz w:val="24"/>
        </w:rPr>
        <w:t>, заедно с държавите членки, да</w:t>
      </w:r>
      <w:r>
        <w:rPr>
          <w:rStyle w:val="FootnoteReference"/>
          <w:rFonts w:ascii="Times New Roman" w:hAnsi="Times New Roman"/>
          <w:noProof/>
          <w:color w:val="000000" w:themeColor="text1"/>
          <w:sz w:val="24"/>
        </w:rPr>
        <w:t xml:space="preserve"> </w:t>
      </w:r>
      <w:r>
        <w:rPr>
          <w:rFonts w:ascii="Times New Roman" w:hAnsi="Times New Roman"/>
          <w:noProof/>
          <w:color w:val="000000" w:themeColor="text1"/>
          <w:sz w:val="24"/>
        </w:rPr>
        <w:t>„проучва преките чуждестранни инвестиции в ЕС от трети държави в стратегически отрасли, инфраструктурата и основните технологии на бъдещето или други активи, които са важни с оглед на сигурността и защитата на достъпа до тях“</w:t>
      </w:r>
      <w:r>
        <w:rPr>
          <w:rStyle w:val="FootnoteReference"/>
          <w:rFonts w:ascii="Times New Roman" w:hAnsi="Times New Roman"/>
          <w:noProof/>
          <w:color w:val="000000" w:themeColor="text1"/>
          <w:sz w:val="24"/>
        </w:rPr>
        <w:footnoteReference w:id="4"/>
      </w:r>
      <w:r>
        <w:rPr>
          <w:rFonts w:ascii="Times New Roman" w:hAnsi="Times New Roman"/>
          <w:noProof/>
          <w:color w:val="000000" w:themeColor="text1"/>
          <w:sz w:val="24"/>
        </w:rPr>
        <w:t xml:space="preserve">.  </w:t>
      </w:r>
    </w:p>
    <w:p>
      <w:pPr>
        <w:pStyle w:val="BodyA"/>
        <w:spacing w:after="0" w:line="240" w:lineRule="auto"/>
        <w:jc w:val="both"/>
        <w:rPr>
          <w:rFonts w:ascii="Times New Roman" w:hAnsi="Times New Roman"/>
          <w:noProof/>
          <w:color w:val="000000" w:themeColor="text1"/>
          <w:sz w:val="24"/>
          <w:szCs w:val="24"/>
          <w:u w:color="FF2600"/>
        </w:rPr>
      </w:pPr>
    </w:p>
    <w:p>
      <w:pPr>
        <w:pStyle w:val="BodyA"/>
        <w:spacing w:after="0" w:line="240" w:lineRule="auto"/>
        <w:jc w:val="both"/>
        <w:rPr>
          <w:rFonts w:ascii="Times New Roman" w:hAnsi="Times New Roman"/>
          <w:noProof/>
          <w:color w:val="000000" w:themeColor="text1"/>
          <w:sz w:val="24"/>
          <w:szCs w:val="24"/>
          <w:u w:color="FF0000"/>
        </w:rPr>
      </w:pPr>
      <w:r>
        <w:rPr>
          <w:rFonts w:ascii="Times New Roman" w:hAnsi="Times New Roman"/>
          <w:noProof/>
          <w:color w:val="000000" w:themeColor="text1"/>
          <w:sz w:val="24"/>
        </w:rPr>
        <w:t xml:space="preserve">С цел да се ограничи потенциалното въздействие на трансграничните поглъщания върху сигурността и обществения ред почти половината от държавите — членки на ЕС, понастоящем използват механизми за скрининг на преките чуждестранни инвестиции и си запазват правото да ограничават инвестициите, които представляват заплаха за техните основни интереси. При все това, въпреки ясното европейско измерение на преките чуждестранни инвестиции, няма нито системно сътрудничество между държавите членки, нито общоевропейски подход към тези въпроси. </w:t>
      </w:r>
    </w:p>
    <w:p>
      <w:pPr>
        <w:pStyle w:val="BodyA"/>
        <w:spacing w:after="0" w:line="240" w:lineRule="auto"/>
        <w:jc w:val="both"/>
        <w:rPr>
          <w:rFonts w:ascii="Times New Roman" w:hAnsi="Times New Roman"/>
          <w:noProof/>
          <w:color w:val="000000" w:themeColor="text1"/>
          <w:sz w:val="24"/>
          <w:szCs w:val="24"/>
        </w:rPr>
      </w:pPr>
    </w:p>
    <w:p>
      <w:pPr>
        <w:pStyle w:val="BodyA"/>
        <w:spacing w:after="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rPr>
        <w:t>Ето защо с настоящото съобщение се предлагат по-нататъшни конкретни мерки за скрининг на някои преки чуждестранни инвестиции в ЕС, който да се извършва от държавите членки и, когато е уместно, от Комисията</w:t>
      </w:r>
      <w:r>
        <w:rPr>
          <w:rFonts w:ascii="Times New Roman" w:hAnsi="Times New Roman"/>
          <w:noProof/>
          <w:color w:val="000000" w:themeColor="text1"/>
          <w:sz w:val="24"/>
          <w:vertAlign w:val="superscript"/>
        </w:rPr>
        <w:footnoteReference w:id="5"/>
      </w:r>
      <w:r>
        <w:rPr>
          <w:rFonts w:ascii="Times New Roman" w:hAnsi="Times New Roman"/>
          <w:noProof/>
          <w:color w:val="000000" w:themeColor="text1"/>
          <w:sz w:val="24"/>
        </w:rPr>
        <w:t>. То придружава предложение за регламент за създаване на рамка за скрининг на преките чуждестранни инвестиции от трети държави на основания, свързани със сигурността и обществения ред в ЕС, заедно с механизъм за сътрудничество между държавите членки и рамка за скрининг на равнището на ЕС.</w:t>
      </w:r>
    </w:p>
    <w:p>
      <w:pPr>
        <w:pStyle w:val="BodyA"/>
        <w:spacing w:after="0" w:line="240" w:lineRule="auto"/>
        <w:jc w:val="both"/>
        <w:rPr>
          <w:rFonts w:ascii="Times New Roman" w:eastAsia="Times New Roman" w:hAnsi="Times New Roman" w:cs="Times New Roman"/>
          <w:noProof/>
          <w:color w:val="000000" w:themeColor="text1"/>
          <w:sz w:val="24"/>
          <w:szCs w:val="24"/>
        </w:rPr>
      </w:pPr>
    </w:p>
    <w:p>
      <w:pPr>
        <w:pStyle w:val="ListParagraph"/>
        <w:numPr>
          <w:ilvl w:val="0"/>
          <w:numId w:val="2"/>
        </w:numPr>
        <w:jc w:val="both"/>
        <w:rPr>
          <w:rFonts w:ascii="Times New Roman" w:hAnsi="Times New Roman"/>
          <w:b/>
          <w:bCs/>
          <w:noProof/>
          <w:color w:val="000000" w:themeColor="text1"/>
          <w:sz w:val="24"/>
          <w:szCs w:val="24"/>
        </w:rPr>
      </w:pPr>
      <w:r>
        <w:rPr>
          <w:rFonts w:ascii="Times New Roman" w:hAnsi="Times New Roman"/>
          <w:b/>
          <w:noProof/>
          <w:color w:val="000000" w:themeColor="text1"/>
          <w:sz w:val="24"/>
        </w:rPr>
        <w:t>ЕС е отворен за чуждестранни инвестиции...</w:t>
      </w:r>
    </w:p>
    <w:p>
      <w:pPr>
        <w:pStyle w:val="BodyA"/>
        <w:spacing w:after="0" w:line="240" w:lineRule="auto"/>
        <w:jc w:val="both"/>
        <w:rPr>
          <w:rStyle w:val="None"/>
          <w:rFonts w:ascii="Times New Roman" w:hAnsi="Times New Roman"/>
          <w:noProof/>
          <w:color w:val="000000" w:themeColor="text1"/>
          <w:sz w:val="24"/>
          <w:szCs w:val="24"/>
        </w:rPr>
      </w:pPr>
      <w:r>
        <w:rPr>
          <w:rFonts w:ascii="Times New Roman" w:hAnsi="Times New Roman"/>
          <w:b/>
          <w:noProof/>
          <w:color w:val="000000" w:themeColor="text1"/>
          <w:sz w:val="24"/>
        </w:rPr>
        <w:t>ЕС има един от най-отворените инвестиционни режими в света</w:t>
      </w:r>
      <w:r>
        <w:rPr>
          <w:rFonts w:ascii="Times New Roman" w:hAnsi="Times New Roman"/>
          <w:noProof/>
          <w:color w:val="000000" w:themeColor="text1"/>
          <w:sz w:val="24"/>
          <w:vertAlign w:val="superscript"/>
        </w:rPr>
        <w:footnoteReference w:id="6"/>
      </w:r>
      <w:r>
        <w:rPr>
          <w:rFonts w:ascii="Times New Roman" w:hAnsi="Times New Roman"/>
          <w:noProof/>
          <w:color w:val="000000" w:themeColor="text1"/>
          <w:sz w:val="24"/>
        </w:rPr>
        <w:t xml:space="preserve">. </w:t>
      </w:r>
      <w:r>
        <w:rPr>
          <w:rStyle w:val="None"/>
          <w:rFonts w:ascii="Times New Roman" w:hAnsi="Times New Roman"/>
          <w:noProof/>
          <w:color w:val="000000" w:themeColor="text1"/>
          <w:sz w:val="24"/>
        </w:rPr>
        <w:t>Отвореността за чуждестранни инвестиции е залегнала в Договорите за ЕС</w:t>
      </w:r>
      <w:r>
        <w:rPr>
          <w:rStyle w:val="FootnoteReference"/>
          <w:rFonts w:ascii="Times New Roman" w:hAnsi="Times New Roman"/>
          <w:noProof/>
          <w:color w:val="000000" w:themeColor="text1"/>
          <w:sz w:val="24"/>
        </w:rPr>
        <w:footnoteReference w:id="7"/>
      </w:r>
      <w:r>
        <w:rPr>
          <w:rStyle w:val="None"/>
          <w:rFonts w:ascii="Times New Roman" w:hAnsi="Times New Roman"/>
          <w:noProof/>
          <w:color w:val="000000" w:themeColor="text1"/>
          <w:sz w:val="24"/>
        </w:rPr>
        <w:t>. ЕС е водещият световен източник и местоназначение за преки чуждестранни инвестиции. В края на 2015 г. размерът на преките чуждестранни инвестиции в ЕС надхвърли 5,7 трилиона евро, като към същата дата те са възлизали на 5,1 трилиона евро в САЩ и 1,1 трилиона евро в Китай. В същото време инвеститорите от ЕС са притежавали 6,9 трилиона евро в преки чуждестранни инвестиции в трети държави</w:t>
      </w:r>
      <w:r>
        <w:rPr>
          <w:rStyle w:val="FootnoteReference"/>
          <w:rFonts w:ascii="Times New Roman" w:hAnsi="Times New Roman"/>
          <w:noProof/>
          <w:color w:val="000000" w:themeColor="text1"/>
          <w:sz w:val="24"/>
        </w:rPr>
        <w:footnoteReference w:id="8"/>
      </w:r>
      <w:r>
        <w:rPr>
          <w:noProof/>
        </w:rPr>
        <w:t>.</w:t>
      </w:r>
      <w:r>
        <w:rPr>
          <w:rStyle w:val="None"/>
          <w:rFonts w:ascii="Times New Roman" w:hAnsi="Times New Roman"/>
          <w:noProof/>
          <w:color w:val="000000" w:themeColor="text1"/>
          <w:sz w:val="24"/>
        </w:rPr>
        <w:t xml:space="preserve"> </w:t>
      </w:r>
    </w:p>
    <w:p>
      <w:pPr>
        <w:pStyle w:val="BodyA"/>
        <w:spacing w:after="0" w:line="240" w:lineRule="auto"/>
        <w:jc w:val="both"/>
        <w:rPr>
          <w:rStyle w:val="None"/>
          <w:rFonts w:ascii="Times New Roman" w:hAnsi="Times New Roman"/>
          <w:noProof/>
          <w:color w:val="000000" w:themeColor="text1"/>
          <w:sz w:val="24"/>
          <w:szCs w:val="24"/>
        </w:rPr>
      </w:pPr>
    </w:p>
    <w:p>
      <w:pPr>
        <w:pStyle w:val="BodyA"/>
        <w:spacing w:after="0" w:line="240" w:lineRule="auto"/>
        <w:jc w:val="both"/>
        <w:rPr>
          <w:rStyle w:val="None"/>
          <w:rFonts w:ascii="open_sansregular" w:hAnsi="open_sansregular" w:cs="Helvetica"/>
          <w:noProof/>
          <w:color w:val="000000" w:themeColor="text1"/>
          <w:sz w:val="24"/>
          <w:szCs w:val="24"/>
        </w:rPr>
      </w:pPr>
      <w:r>
        <w:rPr>
          <w:rStyle w:val="None"/>
          <w:rFonts w:ascii="Times New Roman" w:hAnsi="Times New Roman"/>
          <w:noProof/>
          <w:color w:val="000000" w:themeColor="text1"/>
          <w:sz w:val="24"/>
          <w:u w:color="FF2600"/>
        </w:rPr>
        <w:t>Потоците от преки чуждестранни инвестиции</w:t>
      </w:r>
      <w:r>
        <w:rPr>
          <w:rStyle w:val="None"/>
          <w:rFonts w:ascii="Times New Roman" w:hAnsi="Times New Roman"/>
          <w:noProof/>
          <w:color w:val="000000" w:themeColor="text1"/>
          <w:sz w:val="24"/>
        </w:rPr>
        <w:t xml:space="preserve"> в ЕС отново нараснаха след спада, наблюдаван по време на финансовата криза и след това, по-специално в периода 2008—2010 г. През 2015 г.</w:t>
      </w:r>
      <w:r>
        <w:rPr>
          <w:noProof/>
        </w:rPr>
        <w:t xml:space="preserve"> </w:t>
      </w:r>
      <w:r>
        <w:rPr>
          <w:rStyle w:val="None"/>
          <w:rFonts w:ascii="Times New Roman" w:hAnsi="Times New Roman"/>
          <w:noProof/>
          <w:color w:val="000000" w:themeColor="text1"/>
          <w:sz w:val="24"/>
          <w:u w:color="FF2600"/>
        </w:rPr>
        <w:t>преките чуждестранни инвестиции в ЕС достигнаха почти 470 милиарда евро, надхвърляйки най-високата стойност отпреди кризата, регистрирана през 2007 г.</w:t>
      </w:r>
      <w:r>
        <w:rPr>
          <w:rStyle w:val="FootnoteReference"/>
          <w:rFonts w:ascii="open_sansregular" w:hAnsi="open_sansregular"/>
          <w:noProof/>
          <w:color w:val="000000" w:themeColor="text1"/>
          <w:sz w:val="24"/>
        </w:rPr>
        <w:footnoteReference w:id="9"/>
      </w:r>
      <w:r>
        <w:rPr>
          <w:rFonts w:ascii="open_sansregular" w:hAnsi="open_sansregular"/>
          <w:noProof/>
          <w:color w:val="000000" w:themeColor="text1"/>
          <w:sz w:val="24"/>
        </w:rPr>
        <w:t xml:space="preserve"> </w:t>
      </w:r>
      <w:r>
        <w:rPr>
          <w:rStyle w:val="None"/>
          <w:rFonts w:ascii="Times New Roman" w:hAnsi="Times New Roman"/>
          <w:noProof/>
          <w:color w:val="000000" w:themeColor="text1"/>
          <w:sz w:val="24"/>
          <w:u w:color="FF2600"/>
        </w:rPr>
        <w:t>Това нарастване е подкрепено от увеличение на броя и размерите на международните трансгранични сливания и придобивания, които продължават да представляват по-голямата част от притока на преки чуждестранни инвестиции.</w:t>
      </w:r>
    </w:p>
    <w:p>
      <w:pPr>
        <w:pStyle w:val="BodyA"/>
        <w:spacing w:after="0" w:line="240" w:lineRule="auto"/>
        <w:jc w:val="both"/>
        <w:rPr>
          <w:rStyle w:val="None"/>
          <w:rFonts w:ascii="Times New Roman" w:hAnsi="Times New Roman"/>
          <w:noProof/>
          <w:color w:val="000000" w:themeColor="text1"/>
          <w:sz w:val="24"/>
          <w:szCs w:val="24"/>
          <w:u w:color="FF2600"/>
        </w:rPr>
      </w:pPr>
    </w:p>
    <w:p>
      <w:pPr>
        <w:pStyle w:val="BodyA"/>
        <w:spacing w:line="240" w:lineRule="auto"/>
        <w:jc w:val="both"/>
        <w:rPr>
          <w:rStyle w:val="None"/>
          <w:rFonts w:ascii="Times New Roman" w:hAnsi="Times New Roman"/>
          <w:noProof/>
          <w:color w:val="000000" w:themeColor="text1"/>
          <w:sz w:val="24"/>
          <w:szCs w:val="24"/>
        </w:rPr>
      </w:pPr>
      <w:r>
        <w:rPr>
          <w:rStyle w:val="None"/>
          <w:rFonts w:ascii="Times New Roman" w:hAnsi="Times New Roman"/>
          <w:noProof/>
          <w:color w:val="000000" w:themeColor="text1"/>
          <w:sz w:val="24"/>
        </w:rPr>
        <w:t>В същото време се появяват нови инвестиционни тенденции,</w:t>
      </w:r>
      <w:r>
        <w:rPr>
          <w:rStyle w:val="None"/>
          <w:rFonts w:ascii="Times New Roman" w:hAnsi="Times New Roman"/>
          <w:b/>
          <w:noProof/>
          <w:color w:val="000000" w:themeColor="text1"/>
          <w:sz w:val="24"/>
        </w:rPr>
        <w:t xml:space="preserve"> като някои страни с бързо развиващи се икономики играят все по-важна роля като източник на преки чуждестранни инвестиции.</w:t>
      </w:r>
      <w:r>
        <w:rPr>
          <w:rStyle w:val="None"/>
          <w:rFonts w:ascii="Times New Roman" w:hAnsi="Times New Roman"/>
          <w:noProof/>
          <w:color w:val="000000" w:themeColor="text1"/>
          <w:sz w:val="24"/>
        </w:rPr>
        <w:t xml:space="preserve"> САЩ продължава да е най-големият чуждестранен инвеститор в ЕС, но неговият дял в преките чуждестранни инвестиции в ЕС спадна от 51,3 процента през 1995 г. на 41,4 процента през 2015 г. През същия период намаля и делът на Япония — от 7,7 процента на по-малко от 3 процента. Същевременно дяловете на Бразилия и Китай се увеличиха значително съответно от 0,2 и 0,3 процента през 1995 г. до 2,2 и 2 процента през 2015 г.</w:t>
      </w:r>
      <w:r>
        <w:rPr>
          <w:rStyle w:val="FootnoteReference"/>
          <w:rFonts w:ascii="Times New Roman" w:hAnsi="Times New Roman"/>
          <w:noProof/>
          <w:color w:val="000000" w:themeColor="text1"/>
          <w:sz w:val="24"/>
        </w:rPr>
        <w:footnoteReference w:id="10"/>
      </w:r>
      <w:r>
        <w:rPr>
          <w:rStyle w:val="None"/>
          <w:rFonts w:ascii="Times New Roman" w:hAnsi="Times New Roman"/>
          <w:noProof/>
          <w:color w:val="000000" w:themeColor="text1"/>
          <w:sz w:val="24"/>
        </w:rPr>
        <w:t>, което прави тези две страни петия и шестия по големина чуждестранен инвеститор в ЕС (вж. графиките по-долу).</w:t>
      </w:r>
    </w:p>
    <w:p>
      <w:pPr>
        <w:pStyle w:val="BodyA"/>
        <w:spacing w:line="240" w:lineRule="auto"/>
        <w:jc w:val="both"/>
        <w:rPr>
          <w:rStyle w:val="None"/>
          <w:rFonts w:ascii="Times New Roman" w:hAnsi="Times New Roman"/>
          <w:b/>
          <w:i/>
          <w:noProof/>
          <w:color w:val="000000" w:themeColor="text1"/>
          <w:sz w:val="24"/>
          <w:szCs w:val="24"/>
        </w:rPr>
      </w:pPr>
      <w:r>
        <w:rPr>
          <w:rStyle w:val="None"/>
          <w:rFonts w:ascii="Times New Roman" w:hAnsi="Times New Roman"/>
          <w:b/>
          <w:i/>
          <w:noProof/>
          <w:color w:val="000000" w:themeColor="text1"/>
          <w:sz w:val="24"/>
        </w:rPr>
        <w:t xml:space="preserve">Графика 1: Състав на входящите и изходящите преки чуждестранни инвестиции за ЕС по международни партньори в края на 2015 г. </w:t>
      </w:r>
    </w:p>
    <w:p>
      <w:pPr>
        <w:pStyle w:val="BodyA"/>
        <w:spacing w:line="240" w:lineRule="auto"/>
        <w:jc w:val="both"/>
        <w:rPr>
          <w:rStyle w:val="None"/>
          <w:rFonts w:ascii="Times New Roman" w:hAnsi="Times New Roman"/>
          <w:noProof/>
          <w:color w:val="000000" w:themeColor="text1"/>
          <w:sz w:val="20"/>
          <w:szCs w:val="20"/>
        </w:rPr>
      </w:pPr>
      <w:r>
        <w:rPr>
          <w:noProof/>
          <w:lang w:val="en-US" w:eastAsia="en-US" w:bidi="ar-SA"/>
        </w:rPr>
        <w:drawing>
          <wp:inline distT="0" distB="0" distL="0" distR="0">
            <wp:extent cx="3079382" cy="26289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82662" cy="2631700"/>
                    </a:xfrm>
                    <a:prstGeom prst="rect">
                      <a:avLst/>
                    </a:prstGeom>
                  </pic:spPr>
                </pic:pic>
              </a:graphicData>
            </a:graphic>
          </wp:inline>
        </w:drawing>
      </w:r>
    </w:p>
    <w:p>
      <w:pPr>
        <w:pStyle w:val="BodyA"/>
        <w:spacing w:line="240" w:lineRule="auto"/>
        <w:jc w:val="both"/>
        <w:rPr>
          <w:rStyle w:val="None"/>
          <w:rFonts w:ascii="Times New Roman" w:hAnsi="Times New Roman"/>
          <w:noProof/>
          <w:color w:val="000000" w:themeColor="text1"/>
          <w:sz w:val="20"/>
          <w:szCs w:val="20"/>
        </w:rPr>
      </w:pPr>
      <w:r>
        <w:rPr>
          <w:rStyle w:val="None"/>
          <w:rFonts w:ascii="Times New Roman" w:hAnsi="Times New Roman"/>
          <w:noProof/>
          <w:color w:val="000000" w:themeColor="text1"/>
          <w:sz w:val="20"/>
        </w:rPr>
        <w:t>Източник: Евростат</w:t>
      </w:r>
    </w:p>
    <w:p>
      <w:pPr>
        <w:pStyle w:val="BodyA"/>
        <w:spacing w:line="240" w:lineRule="auto"/>
        <w:jc w:val="both"/>
        <w:rPr>
          <w:rStyle w:val="None"/>
          <w:rFonts w:ascii="Times New Roman" w:hAnsi="Times New Roman"/>
          <w:b/>
          <w:i/>
          <w:noProof/>
          <w:color w:val="000000" w:themeColor="text1"/>
          <w:sz w:val="24"/>
          <w:szCs w:val="24"/>
        </w:rPr>
      </w:pPr>
      <w:r>
        <w:rPr>
          <w:rStyle w:val="None"/>
          <w:rFonts w:ascii="Times New Roman" w:hAnsi="Times New Roman"/>
          <w:b/>
          <w:i/>
          <w:noProof/>
          <w:color w:val="000000" w:themeColor="text1"/>
          <w:sz w:val="24"/>
        </w:rPr>
        <w:t>Графика 2: Еволюция на дяловете на десетте най-големи инвеститори в преките чуждестранни инвестиции в ЕС</w:t>
      </w:r>
      <w:r>
        <w:rPr>
          <w:rStyle w:val="FootnoteReference"/>
          <w:rFonts w:ascii="Times New Roman" w:hAnsi="Times New Roman"/>
          <w:b/>
          <w:i/>
          <w:noProof/>
          <w:color w:val="000000" w:themeColor="text1"/>
          <w:sz w:val="24"/>
        </w:rPr>
        <w:footnoteReference w:id="11"/>
      </w:r>
      <w:r>
        <w:rPr>
          <w:rStyle w:val="None"/>
          <w:rFonts w:ascii="Times New Roman" w:hAnsi="Times New Roman"/>
          <w:b/>
          <w:i/>
          <w:noProof/>
          <w:color w:val="000000" w:themeColor="text1"/>
          <w:sz w:val="24"/>
        </w:rPr>
        <w:t xml:space="preserve"> </w:t>
      </w:r>
    </w:p>
    <w:p>
      <w:pPr>
        <w:pStyle w:val="BodyA"/>
        <w:spacing w:line="240" w:lineRule="auto"/>
        <w:jc w:val="both"/>
        <w:rPr>
          <w:rStyle w:val="None"/>
          <w:rFonts w:ascii="Times New Roman" w:hAnsi="Times New Roman"/>
          <w:b/>
          <w:i/>
          <w:noProof/>
          <w:color w:val="000000" w:themeColor="text1"/>
          <w:sz w:val="24"/>
          <w:szCs w:val="24"/>
        </w:rPr>
      </w:pPr>
      <w:r>
        <w:rPr>
          <w:noProof/>
          <w:lang w:val="en-US" w:eastAsia="en-US" w:bidi="ar-SA"/>
        </w:rPr>
        <w:drawing>
          <wp:inline distT="0" distB="0" distL="0" distR="0">
            <wp:extent cx="5756910" cy="4526280"/>
            <wp:effectExtent l="0" t="0" r="1524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BodyA"/>
        <w:spacing w:line="240" w:lineRule="auto"/>
        <w:jc w:val="both"/>
        <w:rPr>
          <w:rStyle w:val="None"/>
          <w:rFonts w:ascii="Times New Roman" w:hAnsi="Times New Roman"/>
          <w:i/>
          <w:noProof/>
          <w:color w:val="auto"/>
          <w:sz w:val="20"/>
          <w:szCs w:val="20"/>
        </w:rPr>
      </w:pPr>
      <w:r>
        <w:rPr>
          <w:i/>
          <w:noProof/>
          <w:color w:val="auto"/>
          <w:sz w:val="20"/>
        </w:rPr>
        <w:t xml:space="preserve">Източник: Евростат </w:t>
      </w:r>
    </w:p>
    <w:p>
      <w:pPr>
        <w:pStyle w:val="BodyA"/>
        <w:spacing w:after="0" w:line="240" w:lineRule="auto"/>
        <w:jc w:val="both"/>
        <w:rPr>
          <w:rStyle w:val="None"/>
          <w:rFonts w:ascii="Times New Roman" w:hAnsi="Times New Roman"/>
          <w:noProof/>
          <w:color w:val="000000" w:themeColor="text1"/>
          <w:sz w:val="24"/>
          <w:szCs w:val="24"/>
        </w:rPr>
      </w:pPr>
      <w:r>
        <w:rPr>
          <w:rStyle w:val="None"/>
          <w:rFonts w:ascii="Times New Roman" w:hAnsi="Times New Roman"/>
          <w:b/>
          <w:noProof/>
          <w:color w:val="000000" w:themeColor="text1"/>
          <w:sz w:val="24"/>
        </w:rPr>
        <w:t>ЕС приветства чуждите инвестиции поради</w:t>
      </w:r>
      <w:r>
        <w:rPr>
          <w:noProof/>
        </w:rPr>
        <w:t xml:space="preserve"> </w:t>
      </w:r>
      <w:r>
        <w:rPr>
          <w:rStyle w:val="None"/>
          <w:rFonts w:ascii="Times New Roman" w:hAnsi="Times New Roman"/>
          <w:b/>
          <w:noProof/>
          <w:color w:val="auto"/>
          <w:sz w:val="24"/>
        </w:rPr>
        <w:t>значителните ползи, които те носят за икономиката и обществото като цяло</w:t>
      </w:r>
      <w:r>
        <w:rPr>
          <w:rStyle w:val="None"/>
          <w:rFonts w:ascii="Times New Roman" w:hAnsi="Times New Roman"/>
          <w:noProof/>
          <w:color w:val="auto"/>
          <w:sz w:val="24"/>
        </w:rPr>
        <w:t>. Преките</w:t>
      </w:r>
      <w:r>
        <w:rPr>
          <w:rStyle w:val="None"/>
          <w:rFonts w:ascii="Times New Roman" w:hAnsi="Times New Roman"/>
          <w:noProof/>
          <w:color w:val="000000" w:themeColor="text1"/>
          <w:sz w:val="24"/>
        </w:rPr>
        <w:t xml:space="preserve"> чуждестранни инвестиции</w:t>
      </w:r>
      <w:r>
        <w:rPr>
          <w:rStyle w:val="None"/>
          <w:rFonts w:ascii="Times New Roman" w:hAnsi="Times New Roman"/>
          <w:noProof/>
          <w:color w:val="auto"/>
          <w:sz w:val="24"/>
        </w:rPr>
        <w:t xml:space="preserve"> са източник на растеж и работни места. Те</w:t>
      </w:r>
      <w:r>
        <w:rPr>
          <w:rStyle w:val="None"/>
          <w:rFonts w:ascii="Times New Roman" w:hAnsi="Times New Roman"/>
          <w:noProof/>
          <w:color w:val="000000" w:themeColor="text1"/>
          <w:sz w:val="24"/>
        </w:rPr>
        <w:t xml:space="preserve"> свързват дружествата от ЕС със световните вериги за създаване на стойност, които са двигател на съвременната икономика. Те стимулират производителността и правят предприятията ни по-конкурентоспособни, като подобряват разпределението на ресурсите, внасят капитали, технологии и знания, увеличават конкуренцията, стимулират иновациите и откриват нови пазари за износа на ЕС. Освен това те подкрепят целите на Плана за инвестиции за Европа и тези на други проекти и програми на ЕС. Изходящите преки чуждестранни инвестиции генерират печалби, сравними с тези от входящите потоци, включително за изпълнението на Програмата за устойчиво развитие до 2030 г. Поради всички тези причини ЕС ще продължи да подкрепя либерализацията и защитата на инвестициите в световен мащаб.</w:t>
      </w:r>
    </w:p>
    <w:p>
      <w:pPr>
        <w:pStyle w:val="BodyA"/>
        <w:spacing w:after="0" w:line="240" w:lineRule="auto"/>
        <w:jc w:val="both"/>
        <w:rPr>
          <w:rStyle w:val="None"/>
          <w:rFonts w:ascii="Times New Roman" w:hAnsi="Times New Roman"/>
          <w:noProof/>
          <w:color w:val="000000" w:themeColor="text1"/>
          <w:sz w:val="24"/>
          <w:szCs w:val="24"/>
        </w:rPr>
      </w:pPr>
    </w:p>
    <w:p>
      <w:pPr>
        <w:jc w:val="both"/>
        <w:rPr>
          <w:rStyle w:val="None"/>
          <w:noProof/>
          <w:color w:val="000000" w:themeColor="text1"/>
        </w:rPr>
      </w:pPr>
      <w:r>
        <w:rPr>
          <w:rStyle w:val="None"/>
          <w:noProof/>
          <w:color w:val="000000" w:themeColor="text1"/>
        </w:rPr>
        <w:t>Въпреки че едва 0,4 процента от дружествата от ЕС са контролирани от инвеститори извън ЕС, тези дружества са средно много по-големи от дружествата, притежавани от инвеститори от ЕС. В резултат на това те представляват около 13 процента от общия оборот, 11 процента от добавената стойност и 6 процента от общата заетост в ЕС</w:t>
      </w:r>
      <w:r>
        <w:rPr>
          <w:rStyle w:val="FootnoteReference"/>
          <w:noProof/>
          <w:color w:val="000000" w:themeColor="text1"/>
        </w:rPr>
        <w:footnoteReference w:id="12"/>
      </w:r>
      <w:r>
        <w:rPr>
          <w:rStyle w:val="None"/>
          <w:noProof/>
          <w:color w:val="000000" w:themeColor="text1"/>
        </w:rPr>
        <w:t>.</w:t>
      </w:r>
    </w:p>
    <w:p>
      <w:pPr>
        <w:jc w:val="both"/>
        <w:rPr>
          <w:rFonts w:eastAsia="Calibri"/>
          <w:b/>
          <w:bCs/>
          <w:noProof/>
          <w:color w:val="000000" w:themeColor="text1"/>
          <w:u w:color="000000"/>
        </w:rPr>
      </w:pPr>
    </w:p>
    <w:p>
      <w:pPr>
        <w:pStyle w:val="ListParagraph"/>
        <w:numPr>
          <w:ilvl w:val="0"/>
          <w:numId w:val="2"/>
        </w:numPr>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 но тъй като моделите на чуждестранните инвестиции се променят, трябва да бъдат гарантирани сигурността и общественият ред</w:t>
      </w:r>
    </w:p>
    <w:p>
      <w:pPr>
        <w:pStyle w:val="BodyA"/>
        <w:spacing w:after="0" w:line="240" w:lineRule="auto"/>
        <w:jc w:val="both"/>
        <w:rPr>
          <w:rStyle w:val="None"/>
          <w:rFonts w:ascii="Times New Roman" w:hAnsi="Times New Roman"/>
          <w:noProof/>
          <w:color w:val="000000" w:themeColor="text1"/>
          <w:sz w:val="24"/>
          <w:szCs w:val="24"/>
        </w:rPr>
      </w:pPr>
      <w:r>
        <w:rPr>
          <w:rStyle w:val="None"/>
          <w:rFonts w:ascii="Times New Roman" w:hAnsi="Times New Roman"/>
          <w:b/>
          <w:noProof/>
          <w:color w:val="000000" w:themeColor="text1"/>
          <w:sz w:val="24"/>
        </w:rPr>
        <w:t>Отвореността на ЕС за чуждестранните инвестиции няма да се промени</w:t>
      </w:r>
      <w:r>
        <w:rPr>
          <w:rStyle w:val="None"/>
          <w:rFonts w:ascii="Times New Roman" w:hAnsi="Times New Roman"/>
          <w:noProof/>
          <w:color w:val="000000" w:themeColor="text1"/>
          <w:sz w:val="24"/>
        </w:rPr>
        <w:t>. Тя обаче трябва да бъде съпътствана от енергични и целесъобразни политики, които на първо място да отворят пазарите в трети държави за предприятията от ЕС, като гарантират еднакви правила за всички участници и защитават инвестициите от ЕС в трети държави, а от друга страна — да пазят активите в ЕС от поглъщания, които биха могли да бъдат в ущърб на основните интереси на ЕС или на неговите държави членки.</w:t>
      </w:r>
    </w:p>
    <w:p>
      <w:pPr>
        <w:pStyle w:val="BodyA"/>
        <w:spacing w:after="0" w:line="240" w:lineRule="auto"/>
        <w:jc w:val="both"/>
        <w:rPr>
          <w:rStyle w:val="None"/>
          <w:rFonts w:ascii="Times New Roman" w:hAnsi="Times New Roman"/>
          <w:noProof/>
          <w:color w:val="000000" w:themeColor="text1"/>
          <w:sz w:val="24"/>
          <w:szCs w:val="24"/>
        </w:rPr>
      </w:pPr>
    </w:p>
    <w:p>
      <w:pPr>
        <w:pStyle w:val="BodyA"/>
        <w:spacing w:after="0" w:line="240" w:lineRule="auto"/>
        <w:jc w:val="both"/>
        <w:rPr>
          <w:rStyle w:val="None"/>
          <w:rFonts w:ascii="Times New Roman" w:hAnsi="Times New Roman"/>
          <w:noProof/>
          <w:color w:val="000000" w:themeColor="text1"/>
          <w:sz w:val="24"/>
          <w:szCs w:val="24"/>
        </w:rPr>
      </w:pPr>
      <w:r>
        <w:rPr>
          <w:rStyle w:val="None"/>
          <w:rFonts w:ascii="Times New Roman" w:hAnsi="Times New Roman"/>
          <w:noProof/>
          <w:color w:val="000000" w:themeColor="text1"/>
          <w:sz w:val="24"/>
        </w:rPr>
        <w:t xml:space="preserve">Чуждестранните инвеститори се съсредоточават все по-често върху търсенето на нови пазари и стратегически активи, </w:t>
      </w:r>
      <w:r>
        <w:rPr>
          <w:rStyle w:val="None"/>
          <w:rFonts w:ascii="Times New Roman" w:hAnsi="Times New Roman"/>
          <w:b/>
          <w:noProof/>
          <w:color w:val="000000" w:themeColor="text1"/>
          <w:sz w:val="24"/>
        </w:rPr>
        <w:t>като държавните предприятия играят все по-голяма роля в световната икономика</w:t>
      </w:r>
      <w:r>
        <w:rPr>
          <w:rStyle w:val="FootnoteReference"/>
          <w:rFonts w:ascii="Times New Roman" w:hAnsi="Times New Roman"/>
          <w:noProof/>
          <w:color w:val="000000" w:themeColor="text1"/>
          <w:sz w:val="24"/>
        </w:rPr>
        <w:footnoteReference w:id="13"/>
      </w:r>
      <w:r>
        <w:rPr>
          <w:noProof/>
        </w:rPr>
        <w:t>.</w:t>
      </w:r>
      <w:r>
        <w:rPr>
          <w:rStyle w:val="None"/>
          <w:rFonts w:ascii="Times New Roman" w:hAnsi="Times New Roman"/>
          <w:noProof/>
          <w:color w:val="000000" w:themeColor="text1"/>
          <w:sz w:val="24"/>
        </w:rPr>
        <w:t xml:space="preserve"> В някои икономики държавните предприятия осъществяват значителен дял от изходящите преки чуждестранни инвестиции, като в определени случаи те са част от обявена стратегия на самото правителство</w:t>
      </w:r>
      <w:r>
        <w:rPr>
          <w:rStyle w:val="FootnoteReference"/>
          <w:rFonts w:ascii="Times New Roman" w:hAnsi="Times New Roman"/>
          <w:noProof/>
          <w:color w:val="000000" w:themeColor="text1"/>
          <w:sz w:val="24"/>
        </w:rPr>
        <w:footnoteReference w:id="14"/>
      </w:r>
      <w:r>
        <w:rPr>
          <w:rStyle w:val="None"/>
          <w:rFonts w:ascii="Times New Roman" w:hAnsi="Times New Roman"/>
          <w:noProof/>
          <w:color w:val="000000" w:themeColor="text1"/>
          <w:sz w:val="24"/>
        </w:rPr>
        <w:t xml:space="preserve">. Освен пряко притежаваните от държавата предприятия има и ситуации, в които определени предприятия са повлияни пряко или косвено от държавата чрез различни средства, или в които държавата улеснява чуждестранните поглъщания от национални дружества, по-специално чрез улесняване на достъпа им до финансиране под пазарните лихвени проценти. </w:t>
      </w:r>
    </w:p>
    <w:p>
      <w:pPr>
        <w:pStyle w:val="BodyA"/>
        <w:spacing w:after="0" w:line="240" w:lineRule="auto"/>
        <w:jc w:val="both"/>
        <w:rPr>
          <w:rStyle w:val="None"/>
          <w:rFonts w:ascii="Times New Roman" w:hAnsi="Times New Roman"/>
          <w:noProof/>
          <w:color w:val="000000" w:themeColor="text1"/>
          <w:sz w:val="24"/>
          <w:szCs w:val="24"/>
        </w:rPr>
      </w:pPr>
    </w:p>
    <w:p>
      <w:pPr>
        <w:pStyle w:val="BodyA"/>
        <w:spacing w:line="240" w:lineRule="auto"/>
        <w:jc w:val="both"/>
        <w:rPr>
          <w:rStyle w:val="None"/>
          <w:rFonts w:ascii="Times New Roman" w:hAnsi="Times New Roman"/>
          <w:noProof/>
          <w:color w:val="000000" w:themeColor="text1"/>
          <w:sz w:val="24"/>
          <w:szCs w:val="24"/>
        </w:rPr>
      </w:pPr>
      <w:r>
        <w:rPr>
          <w:rStyle w:val="None"/>
          <w:rFonts w:ascii="Times New Roman" w:hAnsi="Times New Roman"/>
          <w:noProof/>
          <w:color w:val="000000" w:themeColor="text1"/>
          <w:sz w:val="24"/>
        </w:rPr>
        <w:t xml:space="preserve">В този контекст съществува риск в отделни случаи </w:t>
      </w:r>
      <w:r>
        <w:rPr>
          <w:rStyle w:val="None"/>
          <w:rFonts w:ascii="Times New Roman" w:hAnsi="Times New Roman"/>
          <w:b/>
          <w:noProof/>
          <w:color w:val="000000" w:themeColor="text1"/>
          <w:sz w:val="24"/>
        </w:rPr>
        <w:t>чуждестранните инвеститори да търсят начини за придобиване на контрол или влияние върху европейски предприятия, чиито дейности имат отражение върху технологиите от първостепенно значение, инфраструктурата, суровините или чувствителната информация</w:t>
      </w:r>
      <w:r>
        <w:rPr>
          <w:rStyle w:val="None"/>
          <w:rFonts w:ascii="Times New Roman" w:hAnsi="Times New Roman"/>
          <w:noProof/>
          <w:color w:val="000000" w:themeColor="text1"/>
          <w:sz w:val="24"/>
        </w:rPr>
        <w:t>. Този риск възниква най-вече, но не само, когато чуждестранните инвеститори са притежавани или контролирани от дадена държава, включително чрез финансиране или други средства за управление.</w:t>
      </w:r>
      <w:r>
        <w:rPr>
          <w:rStyle w:val="None"/>
          <w:rFonts w:ascii="Times New Roman" w:hAnsi="Times New Roman"/>
          <w:b/>
          <w:noProof/>
          <w:color w:val="000000" w:themeColor="text1"/>
          <w:sz w:val="24"/>
        </w:rPr>
        <w:t xml:space="preserve"> </w:t>
      </w:r>
      <w:r>
        <w:rPr>
          <w:rStyle w:val="None"/>
          <w:rFonts w:ascii="Times New Roman" w:hAnsi="Times New Roman"/>
          <w:noProof/>
          <w:color w:val="000000" w:themeColor="text1"/>
          <w:sz w:val="24"/>
        </w:rPr>
        <w:t xml:space="preserve">Подобни придобивания могат да позволят на въпросните държави да използват тези активи в ущърб не само на технологичното превъзходство на ЕС, но също на неговата сигурност и обществен ред. </w:t>
      </w:r>
    </w:p>
    <w:p>
      <w:pPr>
        <w:pStyle w:val="BodyA"/>
        <w:spacing w:line="240" w:lineRule="auto"/>
        <w:jc w:val="both"/>
        <w:rPr>
          <w:rStyle w:val="None"/>
          <w:rFonts w:ascii="Times New Roman" w:hAnsi="Times New Roman"/>
          <w:noProof/>
          <w:color w:val="000000" w:themeColor="text1"/>
          <w:sz w:val="24"/>
          <w:szCs w:val="24"/>
        </w:rPr>
      </w:pPr>
      <w:r>
        <w:rPr>
          <w:rStyle w:val="None"/>
          <w:rFonts w:ascii="Times New Roman" w:hAnsi="Times New Roman"/>
          <w:noProof/>
          <w:color w:val="000000" w:themeColor="text1"/>
          <w:sz w:val="24"/>
        </w:rPr>
        <w:t xml:space="preserve">В отговор на опасения от такъв характер </w:t>
      </w:r>
      <w:r>
        <w:rPr>
          <w:rStyle w:val="None"/>
          <w:rFonts w:ascii="Times New Roman" w:hAnsi="Times New Roman"/>
          <w:b/>
          <w:noProof/>
          <w:color w:val="000000" w:themeColor="text1"/>
          <w:sz w:val="24"/>
        </w:rPr>
        <w:t>няколко от основните международни партньори на ЕС са въвели и използват механизми за скрининг на преките чуждестранни инвестиции.</w:t>
      </w:r>
      <w:r>
        <w:rPr>
          <w:rStyle w:val="None"/>
          <w:rFonts w:ascii="Times New Roman" w:hAnsi="Times New Roman"/>
          <w:noProof/>
          <w:color w:val="000000" w:themeColor="text1"/>
          <w:sz w:val="24"/>
        </w:rPr>
        <w:t xml:space="preserve"> Сред тях са Австралия, Индия, Канада,</w:t>
      </w:r>
      <w:r>
        <w:rPr>
          <w:noProof/>
        </w:rPr>
        <w:t xml:space="preserve"> </w:t>
      </w:r>
      <w:r>
        <w:rPr>
          <w:rStyle w:val="None"/>
          <w:rFonts w:ascii="Times New Roman" w:hAnsi="Times New Roman"/>
          <w:noProof/>
          <w:color w:val="auto"/>
          <w:sz w:val="24"/>
        </w:rPr>
        <w:t>Китай, САЩ и</w:t>
      </w:r>
      <w:r>
        <w:rPr>
          <w:rStyle w:val="None"/>
          <w:rFonts w:ascii="Times New Roman" w:hAnsi="Times New Roman"/>
          <w:noProof/>
          <w:color w:val="000000" w:themeColor="text1"/>
          <w:sz w:val="24"/>
        </w:rPr>
        <w:t xml:space="preserve"> Япония.</w:t>
      </w:r>
    </w:p>
    <w:tbl>
      <w:tblPr>
        <w:tblStyle w:val="TableGrid"/>
        <w:tblW w:w="0" w:type="auto"/>
        <w:tblLook w:val="04A0" w:firstRow="1" w:lastRow="0" w:firstColumn="1" w:lastColumn="0" w:noHBand="0" w:noVBand="1"/>
      </w:tblPr>
      <w:tblGrid>
        <w:gridCol w:w="9282"/>
      </w:tblGrid>
      <w:tr>
        <w:tc>
          <w:tcPr>
            <w:tcW w:w="9282" w:type="dxa"/>
          </w:tcPr>
          <w:p>
            <w:pPr>
              <w:pStyle w:val="BodyA"/>
              <w:spacing w:line="240" w:lineRule="auto"/>
              <w:jc w:val="both"/>
              <w:rPr>
                <w:rStyle w:val="None"/>
                <w:rFonts w:ascii="Times New Roman" w:hAnsi="Times New Roman"/>
                <w:b/>
                <w:noProof/>
                <w:color w:val="000000" w:themeColor="text1"/>
                <w:sz w:val="24"/>
                <w:szCs w:val="24"/>
              </w:rPr>
            </w:pPr>
            <w:r>
              <w:rPr>
                <w:rStyle w:val="None"/>
                <w:rFonts w:ascii="Times New Roman" w:hAnsi="Times New Roman"/>
                <w:b/>
                <w:noProof/>
                <w:color w:val="000000" w:themeColor="text1"/>
                <w:sz w:val="24"/>
              </w:rPr>
              <w:t xml:space="preserve">Примери за скрининг на преки чуждестранни инвестиции </w:t>
            </w:r>
          </w:p>
          <w:p>
            <w:pPr>
              <w:pStyle w:val="BodyA"/>
              <w:spacing w:after="0" w:line="240" w:lineRule="auto"/>
              <w:jc w:val="both"/>
              <w:rPr>
                <w:rStyle w:val="None"/>
                <w:rFonts w:ascii="Times New Roman" w:hAnsi="Times New Roman"/>
                <w:b/>
                <w:noProof/>
                <w:color w:val="000000" w:themeColor="text1"/>
                <w:sz w:val="24"/>
                <w:szCs w:val="24"/>
                <w:u w:val="single"/>
              </w:rPr>
            </w:pPr>
            <w:r>
              <w:rPr>
                <w:rStyle w:val="None"/>
                <w:rFonts w:ascii="Times New Roman" w:hAnsi="Times New Roman"/>
                <w:b/>
                <w:noProof/>
                <w:color w:val="000000" w:themeColor="text1"/>
                <w:sz w:val="24"/>
                <w:u w:val="single"/>
              </w:rPr>
              <w:t>САЩ</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rFonts w:ascii="Times New Roman" w:hAnsi="Times New Roman"/>
                <w:noProof/>
                <w:color w:val="000000" w:themeColor="text1"/>
                <w:sz w:val="24"/>
                <w:szCs w:val="24"/>
              </w:rPr>
            </w:pPr>
            <w:r>
              <w:rPr>
                <w:rStyle w:val="None"/>
                <w:rFonts w:ascii="Times New Roman" w:hAnsi="Times New Roman"/>
                <w:noProof/>
                <w:color w:val="000000" w:themeColor="text1"/>
                <w:sz w:val="24"/>
              </w:rPr>
              <w:t>От 1975 г. насам Комисията за чуждестранни инвестиции в САЩ (CFIUS) следи и извършва скрининг на сделките, които биха могли да предоставят контрол върху дадено предприятие в САЩ на чуждестранно лице, за да се установят последиците от такива сделки за националната сигурност. Като междуведомствена служба CFIUS има правомощието да прави официален преглед на преките чуждестранни инвестиции, а същевременно със Закона за чуждестранните инвестиции и националната сигурност от 2007 г. (Foreign Investment and National Security Act) се налага също засилен контрол на чуждестранните държавно контролирани сделки. Между 2009 г. и 2014 г. CFIUS е получил 627 уведомления за предложени придобивания на дружества от САЩ от страна на чуждестранни фирми и разследва официално около 40 % от тях: от тези 244 разследвани операции 47 (или около 7 % от сделките, предмет на скрининг) са анулирани от участващите дружества по време на периода на разследването, а една е отменена с президентски указ след разследването на CFIUS.</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i/>
                <w:noProof/>
                <w:color w:val="000000" w:themeColor="text1"/>
                <w:sz w:val="20"/>
                <w:szCs w:val="20"/>
              </w:rPr>
            </w:pPr>
            <w:r>
              <w:rPr>
                <w:rStyle w:val="None"/>
                <w:rFonts w:ascii="Times New Roman" w:hAnsi="Times New Roman"/>
                <w:i/>
                <w:noProof/>
                <w:color w:val="000000" w:themeColor="text1"/>
                <w:sz w:val="20"/>
              </w:rPr>
              <w:t xml:space="preserve">Източник: </w:t>
            </w:r>
            <w:hyperlink r:id="rId18">
              <w:r>
                <w:rPr>
                  <w:rStyle w:val="Hyperlink"/>
                  <w:rFonts w:ascii="Times New Roman" w:hAnsi="Times New Roman"/>
                  <w:i/>
                  <w:noProof/>
                  <w:sz w:val="20"/>
                </w:rPr>
                <w:t>www.treasury.gov/resource-center/international/Pages/Committee-on-Foreign-Investment-in-US.aspx</w:t>
              </w:r>
            </w:hyperlink>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i/>
                <w:noProof/>
                <w:color w:val="000000" w:themeColor="text1"/>
                <w:sz w:val="20"/>
                <w:szCs w:val="20"/>
              </w:rPr>
            </w:pPr>
            <w:r>
              <w:rPr>
                <w:noProof/>
              </w:rPr>
              <w:fldChar w:fldCharType="begin"/>
            </w:r>
            <w:r>
              <w:rPr>
                <w:noProof/>
              </w:rPr>
              <w:instrText xml:space="preserve">www.treasury.gov/resource-center/international/Pages/Committee-on-Foreign-Investment-in-US.aspx" </w:instrText>
            </w:r>
            <w:r>
              <w:rPr>
                <w:noProof/>
              </w:rPr>
              <w:fldChar w:fldCharType="separate"/>
            </w:r>
            <w:r>
              <w:rPr>
                <w:rStyle w:val="Hyperlink"/>
                <w:rFonts w:ascii="Times New Roman" w:hAnsi="Times New Roman"/>
                <w:i/>
                <w:noProof/>
                <w:sz w:val="20"/>
                <w:szCs w:val="20"/>
                <w:u w:val="none"/>
              </w:rPr>
              <w:t>www.treasury.gov/resource-center/international/Pages/Committee-on-Foreign-Investment-in-US.aspx</w:t>
            </w:r>
            <w:r>
              <w:rPr>
                <w:rStyle w:val="Hyperlink"/>
                <w:rFonts w:ascii="Times New Roman" w:hAnsi="Times New Roman"/>
                <w:i/>
                <w:noProof/>
                <w:sz w:val="20"/>
                <w:szCs w:val="20"/>
                <w:u w:val="none"/>
              </w:rPr>
              <w:fldChar w:fldCharType="end"/>
            </w:r>
          </w:p>
          <w:p>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340"/>
              </w:tabs>
              <w:spacing w:after="0" w:line="240" w:lineRule="auto"/>
              <w:jc w:val="both"/>
              <w:rPr>
                <w:rStyle w:val="None"/>
                <w:rFonts w:ascii="Times New Roman" w:hAnsi="Times New Roman"/>
                <w:b/>
                <w:noProof/>
                <w:color w:val="000000" w:themeColor="text1"/>
                <w:sz w:val="24"/>
                <w:szCs w:val="24"/>
                <w:u w:val="single"/>
              </w:rPr>
            </w:pPr>
            <w:r>
              <w:rPr>
                <w:rStyle w:val="None"/>
                <w:rFonts w:ascii="Times New Roman" w:hAnsi="Times New Roman"/>
                <w:b/>
                <w:noProof/>
                <w:color w:val="000000" w:themeColor="text1"/>
                <w:sz w:val="24"/>
                <w:u w:val="single"/>
              </w:rPr>
              <w:t>Австралия</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rFonts w:ascii="Times New Roman" w:hAnsi="Times New Roman"/>
                <w:noProof/>
                <w:color w:val="000000" w:themeColor="text1"/>
                <w:sz w:val="24"/>
                <w:szCs w:val="24"/>
              </w:rPr>
            </w:pPr>
            <w:r>
              <w:rPr>
                <w:rStyle w:val="None"/>
                <w:rFonts w:ascii="Times New Roman" w:hAnsi="Times New Roman"/>
                <w:noProof/>
                <w:color w:val="000000" w:themeColor="text1"/>
                <w:sz w:val="24"/>
              </w:rPr>
              <w:t xml:space="preserve">Съгласно Закона за чуждестранните придобивания и поглъщания от 1975 г. (Foreign Acquisitions and Take-Over Act) за някои предложения за чуждестранни инвестиции трябва да бъде изпратено уведомление и те трябва да получат одобрение (известие за липса на възражения), преди да бъдат осъществени. Скринингът, извършван от ковчежника (министъра, отговарящ за държавните разходи) в консултация със Съвета за контрол на чуждестранните инвестиции, се основава на тест за националния интерес. В този контекст определените като чувствителни сектори включват медиите, далекосъобщенията, транспорта, свързаните с отбраната отрасли, извличането на уран и плутоний, както и атомните съоръжения. Изисквания за уведомяване са различни в зависимост от, inter alia, сектора, вида и стойността на придобиването, споразуменията за свободна търговия и това дали инвеститорът е частен или държавен.  </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rFonts w:ascii="Times New Roman" w:hAnsi="Times New Roman"/>
                <w:noProof/>
                <w:color w:val="000000" w:themeColor="text1"/>
                <w:sz w:val="24"/>
                <w:szCs w:val="24"/>
              </w:rPr>
            </w:pPr>
            <w:r>
              <w:rPr>
                <w:rStyle w:val="None"/>
                <w:rFonts w:ascii="Times New Roman" w:hAnsi="Times New Roman"/>
                <w:i/>
                <w:noProof/>
                <w:color w:val="000000" w:themeColor="text1"/>
                <w:sz w:val="20"/>
              </w:rPr>
              <w:t>Източник: firb.gov.au</w:t>
            </w:r>
          </w:p>
        </w:tc>
      </w:tr>
    </w:tbl>
    <w:p>
      <w:pPr>
        <w:rPr>
          <w:rStyle w:val="None"/>
          <w:b/>
          <w:noProof/>
          <w:color w:val="000000" w:themeColor="text1"/>
        </w:rPr>
      </w:pPr>
    </w:p>
    <w:p>
      <w:pPr>
        <w:rPr>
          <w:rStyle w:val="None"/>
          <w:b/>
          <w:noProof/>
          <w:color w:val="000000" w:themeColor="text1"/>
        </w:rPr>
      </w:pPr>
    </w:p>
    <w:p>
      <w:pPr>
        <w:pStyle w:val="ListParagraph"/>
        <w:numPr>
          <w:ilvl w:val="0"/>
          <w:numId w:val="2"/>
        </w:numPr>
        <w:jc w:val="both"/>
        <w:rPr>
          <w:rFonts w:ascii="Times New Roman" w:hAnsi="Times New Roman"/>
          <w:b/>
          <w:bCs/>
          <w:noProof/>
          <w:color w:val="000000" w:themeColor="text1"/>
          <w:sz w:val="24"/>
          <w:szCs w:val="24"/>
        </w:rPr>
      </w:pPr>
      <w:r>
        <w:rPr>
          <w:rFonts w:ascii="Times New Roman" w:hAnsi="Times New Roman"/>
          <w:b/>
          <w:noProof/>
          <w:sz w:val="24"/>
        </w:rPr>
        <w:t xml:space="preserve">Търговската и инвестиционната политика на ЕС като двигател за </w:t>
      </w:r>
      <w:r>
        <w:rPr>
          <w:rFonts w:ascii="Times New Roman" w:hAnsi="Times New Roman"/>
          <w:b/>
          <w:noProof/>
          <w:color w:val="000000" w:themeColor="text1"/>
          <w:sz w:val="24"/>
        </w:rPr>
        <w:t>отворен и справедлив инвестиционен ред</w:t>
      </w:r>
    </w:p>
    <w:p>
      <w:pPr>
        <w:pStyle w:val="BodyA"/>
        <w:spacing w:line="240" w:lineRule="auto"/>
        <w:jc w:val="both"/>
        <w:rPr>
          <w:rStyle w:val="None"/>
          <w:rFonts w:ascii="Times New Roman" w:hAnsi="Times New Roman"/>
          <w:noProof/>
          <w:color w:val="000000" w:themeColor="text1"/>
          <w:sz w:val="24"/>
          <w:szCs w:val="24"/>
        </w:rPr>
      </w:pPr>
      <w:r>
        <w:rPr>
          <w:rStyle w:val="None"/>
          <w:rFonts w:ascii="Times New Roman" w:hAnsi="Times New Roman"/>
          <w:noProof/>
          <w:color w:val="000000" w:themeColor="text1"/>
          <w:sz w:val="24"/>
        </w:rPr>
        <w:t>Много държави все още поставят значителни пречки пред чуждестранните инвестиции и не предлагат сходни инвестиционни условия за субектите от ЕС. Въпреки че бе постигнат напредък в либерализирането на инвестициите, в последно време броят на новите ограничителни мерки нарасна отново</w:t>
      </w:r>
      <w:r>
        <w:rPr>
          <w:rStyle w:val="None"/>
          <w:rFonts w:ascii="Times New Roman" w:hAnsi="Times New Roman"/>
          <w:noProof/>
          <w:color w:val="000000" w:themeColor="text1"/>
          <w:sz w:val="24"/>
          <w:vertAlign w:val="superscript"/>
        </w:rPr>
        <w:footnoteReference w:id="15"/>
      </w:r>
      <w:r>
        <w:rPr>
          <w:rStyle w:val="None"/>
          <w:rFonts w:ascii="Times New Roman" w:hAnsi="Times New Roman"/>
          <w:noProof/>
          <w:color w:val="000000" w:themeColor="text1"/>
          <w:sz w:val="24"/>
        </w:rPr>
        <w:t xml:space="preserve">. </w:t>
      </w:r>
    </w:p>
    <w:p>
      <w:pPr>
        <w:pStyle w:val="BodyA"/>
        <w:spacing w:line="240" w:lineRule="auto"/>
        <w:jc w:val="both"/>
        <w:rPr>
          <w:rStyle w:val="None"/>
          <w:rFonts w:ascii="Times New Roman" w:hAnsi="Times New Roman"/>
          <w:noProof/>
          <w:color w:val="000000" w:themeColor="text1"/>
          <w:sz w:val="24"/>
          <w:szCs w:val="24"/>
        </w:rPr>
      </w:pPr>
      <w:r>
        <w:rPr>
          <w:rStyle w:val="None"/>
          <w:rFonts w:ascii="Times New Roman" w:hAnsi="Times New Roman"/>
          <w:noProof/>
          <w:color w:val="000000" w:themeColor="text1"/>
          <w:sz w:val="24"/>
        </w:rPr>
        <w:t xml:space="preserve">Установяването на еднакви условия на конкуренция с трети държави, що се отнася до условията за инвестиране, е от първостепенно значение. </w:t>
      </w:r>
      <w:r>
        <w:rPr>
          <w:rStyle w:val="None"/>
          <w:rFonts w:ascii="Times New Roman" w:hAnsi="Times New Roman"/>
          <w:b/>
          <w:noProof/>
          <w:color w:val="000000" w:themeColor="text1"/>
          <w:sz w:val="24"/>
        </w:rPr>
        <w:t>Търговската и инвестиционна политика на ЕС</w:t>
      </w:r>
      <w:r>
        <w:rPr>
          <w:rStyle w:val="None"/>
          <w:rFonts w:ascii="Times New Roman" w:hAnsi="Times New Roman"/>
          <w:b/>
          <w:noProof/>
          <w:color w:val="000000" w:themeColor="text1"/>
          <w:sz w:val="24"/>
          <w:vertAlign w:val="superscript"/>
        </w:rPr>
        <w:footnoteReference w:id="16"/>
      </w:r>
      <w:r>
        <w:rPr>
          <w:rStyle w:val="None"/>
          <w:rFonts w:ascii="Times New Roman" w:hAnsi="Times New Roman"/>
          <w:b/>
          <w:noProof/>
          <w:color w:val="000000" w:themeColor="text1"/>
          <w:sz w:val="24"/>
        </w:rPr>
        <w:t xml:space="preserve"> е най-подходящият инструмент, за да се гарантира, че третите държави осигуряват равностойна с тази на ЕС степен на отвореност за чуждестранни инвестиции</w:t>
      </w:r>
      <w:r>
        <w:rPr>
          <w:rStyle w:val="None"/>
          <w:rFonts w:ascii="Times New Roman" w:hAnsi="Times New Roman"/>
          <w:noProof/>
          <w:color w:val="000000" w:themeColor="text1"/>
          <w:sz w:val="24"/>
        </w:rPr>
        <w:t xml:space="preserve">, и за да се насърчават еднакви условия на конкуренция за субектите от ЕС. </w:t>
      </w:r>
    </w:p>
    <w:p>
      <w:pPr>
        <w:pStyle w:val="BodyA"/>
        <w:spacing w:after="120" w:line="240" w:lineRule="auto"/>
        <w:jc w:val="both"/>
        <w:rPr>
          <w:rStyle w:val="None"/>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rPr>
        <w:t xml:space="preserve">ЕС работи с широк кръг партньори за постигането на </w:t>
      </w:r>
      <w:r>
        <w:rPr>
          <w:rStyle w:val="None"/>
          <w:rFonts w:ascii="Times New Roman" w:hAnsi="Times New Roman"/>
          <w:b/>
          <w:noProof/>
          <w:color w:val="000000" w:themeColor="text1"/>
          <w:sz w:val="24"/>
        </w:rPr>
        <w:t>двустранни или регионални споразумения, включващи задължителни правила и ангажименти по отношение на чуждестранните инвестиции</w:t>
      </w:r>
      <w:r>
        <w:rPr>
          <w:rStyle w:val="None"/>
          <w:rFonts w:ascii="Times New Roman" w:hAnsi="Times New Roman"/>
          <w:noProof/>
          <w:color w:val="000000" w:themeColor="text1"/>
          <w:sz w:val="24"/>
        </w:rPr>
        <w:t>, по-специално на преките чуждестранни инвестиции</w:t>
      </w:r>
      <w:r>
        <w:rPr>
          <w:rStyle w:val="FootnoteReference"/>
          <w:rFonts w:ascii="Times New Roman" w:hAnsi="Times New Roman"/>
          <w:noProof/>
          <w:color w:val="000000" w:themeColor="text1"/>
          <w:sz w:val="24"/>
        </w:rPr>
        <w:footnoteReference w:id="17"/>
      </w:r>
      <w:r>
        <w:rPr>
          <w:noProof/>
        </w:rPr>
        <w:t>.</w:t>
      </w:r>
      <w:r>
        <w:rPr>
          <w:rStyle w:val="None"/>
          <w:rFonts w:ascii="Times New Roman" w:hAnsi="Times New Roman"/>
          <w:noProof/>
          <w:color w:val="000000" w:themeColor="text1"/>
          <w:sz w:val="24"/>
          <w:u w:color="FF2600"/>
        </w:rPr>
        <w:t xml:space="preserve"> В частност тези споразумения гарантират, че инвеститорите от ЕС могат да се възползват от по-ясна правна уредба и по-добър достъп до чуждестранните пазари. Освен това Комисията се стреми към разпоредби за защита на интелектуалната собственост, за увеличаване на прозрачността и ограничаване на субсидирането, което в особена степен изкривява търговията, както и за дисциплиниране на поведението на държавните предприятия. Основните постижения в осигуряването на по-отворена, справедлива и основана на правила търговска и инвестиционна среда са изтъкнати в Съобщението на Комисията „Съвременна търговска политика за извличане на ползите от глобализацията“ и Доклада относно изпълнението на търговската стратегия на ЕС „Търговията — за всички“, които бяха приети успоредно с настоящото съобщение. </w:t>
      </w:r>
    </w:p>
    <w:p>
      <w:pPr>
        <w:pStyle w:val="BodyA"/>
        <w:spacing w:after="0" w:line="240" w:lineRule="auto"/>
        <w:jc w:val="both"/>
        <w:rPr>
          <w:rStyle w:val="None"/>
          <w:rFonts w:ascii="Times New Roman" w:hAnsi="Times New Roman"/>
          <w:noProof/>
          <w:color w:val="000000" w:themeColor="text1"/>
          <w:sz w:val="24"/>
          <w:szCs w:val="24"/>
          <w:u w:color="FF0000"/>
        </w:rPr>
      </w:pPr>
      <w:r>
        <w:rPr>
          <w:rStyle w:val="None"/>
          <w:rFonts w:ascii="Times New Roman" w:hAnsi="Times New Roman"/>
          <w:noProof/>
          <w:color w:val="000000" w:themeColor="text1"/>
          <w:sz w:val="24"/>
          <w:u w:color="FF2600"/>
        </w:rPr>
        <w:t>В този контекст също така ЕС отдава първостепенно значение</w:t>
      </w:r>
      <w:r>
        <w:rPr>
          <w:rStyle w:val="None"/>
          <w:rFonts w:ascii="Times New Roman" w:hAnsi="Times New Roman"/>
          <w:b/>
          <w:noProof/>
          <w:color w:val="000000" w:themeColor="text1"/>
          <w:sz w:val="24"/>
        </w:rPr>
        <w:t xml:space="preserve"> на многостранното сътрудничество и изготвяне на правила</w:t>
      </w:r>
      <w:r>
        <w:rPr>
          <w:rStyle w:val="None"/>
          <w:rFonts w:ascii="Times New Roman" w:hAnsi="Times New Roman"/>
          <w:noProof/>
          <w:color w:val="000000" w:themeColor="text1"/>
          <w:sz w:val="24"/>
        </w:rPr>
        <w:t>. В Общото споразумение по търговията с услуги (ГАТС) на Световната търговска организация се съдържат подробни правила относно установяването на чуждестранните доставчици на услуги, които уреждат достъпа до пазара, както и ангажиментите за недискриминация, а по силата на Кодекса за либерализация на движенията на капитали на Организацията за икономическо сътрудничество и развитие (ОИСР) съществуват правила за либерализацията на движенията на капитали.</w:t>
      </w:r>
    </w:p>
    <w:p>
      <w:pPr>
        <w:pStyle w:val="BodyA"/>
        <w:spacing w:after="0" w:line="240" w:lineRule="auto"/>
        <w:jc w:val="both"/>
        <w:rPr>
          <w:rStyle w:val="None"/>
          <w:rFonts w:ascii="Times New Roman" w:hAnsi="Times New Roman"/>
          <w:noProof/>
          <w:color w:val="000000" w:themeColor="text1"/>
          <w:sz w:val="24"/>
          <w:szCs w:val="24"/>
          <w:u w:color="FF0000"/>
        </w:rPr>
      </w:pPr>
    </w:p>
    <w:p>
      <w:pPr>
        <w:pStyle w:val="BodyA"/>
        <w:spacing w:after="0" w:line="240" w:lineRule="auto"/>
        <w:jc w:val="both"/>
        <w:rPr>
          <w:rStyle w:val="None"/>
          <w:rFonts w:ascii="Times New Roman" w:hAnsi="Times New Roman"/>
          <w:noProof/>
          <w:color w:val="000000" w:themeColor="text1"/>
          <w:sz w:val="24"/>
          <w:szCs w:val="24"/>
          <w:u w:color="FF0000"/>
        </w:rPr>
      </w:pPr>
      <w:r>
        <w:rPr>
          <w:rFonts w:ascii="Times New Roman" w:hAnsi="Times New Roman"/>
          <w:noProof/>
          <w:color w:val="000000" w:themeColor="text1"/>
          <w:sz w:val="24"/>
          <w:u w:color="FF0000"/>
        </w:rPr>
        <w:t xml:space="preserve">Важно е да се отбележи, че тези международни споразумения за търговия и инвестиции, сключени от ЕС и неговите държави членки, предвиждат </w:t>
      </w:r>
      <w:r>
        <w:rPr>
          <w:rFonts w:ascii="Times New Roman" w:hAnsi="Times New Roman"/>
          <w:b/>
          <w:noProof/>
          <w:color w:val="000000" w:themeColor="text1"/>
          <w:sz w:val="24"/>
          <w:u w:color="FF0000"/>
        </w:rPr>
        <w:t>изключения от задълженията за национално третиране и достъп до пазара, които позволяват на подписалите страни да вземат мерки за защита на своите интереси в областта на сигурността или обществения ред</w:t>
      </w:r>
      <w:r>
        <w:rPr>
          <w:rFonts w:ascii="Times New Roman" w:hAnsi="Times New Roman"/>
          <w:noProof/>
          <w:color w:val="000000" w:themeColor="text1"/>
          <w:sz w:val="24"/>
          <w:u w:color="FF0000"/>
        </w:rPr>
        <w:t xml:space="preserve">, при условие че тези мерки не представляват произволна или неоправдана дискриминация или прикрито ограничение на търговията. </w:t>
      </w:r>
    </w:p>
    <w:p>
      <w:pPr>
        <w:pStyle w:val="BodyA"/>
        <w:spacing w:after="0" w:line="240" w:lineRule="auto"/>
        <w:jc w:val="both"/>
        <w:rPr>
          <w:rStyle w:val="None"/>
          <w:rFonts w:ascii="Times New Roman" w:hAnsi="Times New Roman"/>
          <w:noProof/>
          <w:color w:val="000000" w:themeColor="text1"/>
          <w:sz w:val="24"/>
          <w:szCs w:val="24"/>
        </w:rPr>
      </w:pPr>
    </w:p>
    <w:p>
      <w:pPr>
        <w:pStyle w:val="BodyA"/>
        <w:spacing w:after="0" w:line="240" w:lineRule="auto"/>
        <w:jc w:val="both"/>
        <w:rPr>
          <w:rStyle w:val="None"/>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rPr>
        <w:t>През 2016 г. Г-20 прие Ръководните принципи за глобална инвестиционна политика</w:t>
      </w:r>
      <w:r>
        <w:rPr>
          <w:rStyle w:val="FootnoteReference"/>
          <w:rFonts w:ascii="Times New Roman" w:hAnsi="Times New Roman"/>
          <w:noProof/>
          <w:color w:val="000000" w:themeColor="text1"/>
          <w:sz w:val="24"/>
        </w:rPr>
        <w:footnoteReference w:id="18"/>
      </w:r>
      <w:r>
        <w:rPr>
          <w:rStyle w:val="None"/>
          <w:rFonts w:ascii="Times New Roman" w:hAnsi="Times New Roman"/>
          <w:noProof/>
          <w:color w:val="000000" w:themeColor="text1"/>
          <w:sz w:val="24"/>
        </w:rPr>
        <w:t xml:space="preserve">, в които се призовава за установяването на отворени, недискриминационни, прозрачни и предсказуеми условия за инвестиране. През 2017 г. членовете на Г-20 отново подчертаха важността на взаимните рамки за търговия и инвестиции и своя ангажимент да работят за постигането на еднакви условия за конкуренция. </w:t>
      </w:r>
    </w:p>
    <w:p>
      <w:pPr>
        <w:pStyle w:val="BodyA"/>
        <w:spacing w:after="0" w:line="240" w:lineRule="auto"/>
        <w:jc w:val="both"/>
        <w:rPr>
          <w:rStyle w:val="None"/>
          <w:rFonts w:ascii="Times New Roman" w:hAnsi="Times New Roman"/>
          <w:noProof/>
          <w:color w:val="000000" w:themeColor="text1"/>
          <w:sz w:val="24"/>
          <w:szCs w:val="24"/>
          <w:u w:color="FF0000"/>
        </w:rPr>
      </w:pPr>
    </w:p>
    <w:p>
      <w:pPr>
        <w:pStyle w:val="BodyA"/>
        <w:spacing w:line="240" w:lineRule="auto"/>
        <w:jc w:val="both"/>
        <w:rPr>
          <w:rStyle w:val="None"/>
          <w:rFonts w:ascii="Times New Roman" w:hAnsi="Times New Roman"/>
          <w:noProof/>
          <w:color w:val="000000" w:themeColor="text1"/>
          <w:sz w:val="24"/>
          <w:szCs w:val="24"/>
        </w:rPr>
      </w:pPr>
      <w:r>
        <w:rPr>
          <w:rStyle w:val="None"/>
          <w:rFonts w:ascii="Times New Roman" w:hAnsi="Times New Roman"/>
          <w:noProof/>
          <w:color w:val="000000" w:themeColor="text1"/>
          <w:sz w:val="24"/>
          <w:u w:color="FF0000"/>
        </w:rPr>
        <w:t xml:space="preserve">ЕС ще продължи да полага усилия на двустранно и многостранно равнище, </w:t>
      </w:r>
      <w:r>
        <w:rPr>
          <w:rStyle w:val="None"/>
          <w:rFonts w:ascii="Times New Roman" w:hAnsi="Times New Roman"/>
          <w:noProof/>
          <w:color w:val="000000" w:themeColor="text1"/>
          <w:sz w:val="24"/>
        </w:rPr>
        <w:t xml:space="preserve">за да се гарантира, че третите държави осигуряват равностойна с тази на ЕС степен на отвореност за чуждестранни инвестиции и поддържат еднакви условия на конкуренция за субектите от ЕС. Освен това ЕС подкрепя дискусиите в Световната търговска организация относно улесняването на инвестициите. </w:t>
      </w:r>
    </w:p>
    <w:p>
      <w:pPr>
        <w:pStyle w:val="ListParagraph"/>
        <w:numPr>
          <w:ilvl w:val="0"/>
          <w:numId w:val="2"/>
        </w:numPr>
        <w:jc w:val="both"/>
        <w:rPr>
          <w:rFonts w:ascii="Times New Roman" w:hAnsi="Times New Roman"/>
          <w:b/>
          <w:bCs/>
          <w:noProof/>
          <w:sz w:val="24"/>
          <w:szCs w:val="24"/>
        </w:rPr>
      </w:pPr>
      <w:r>
        <w:rPr>
          <w:rFonts w:ascii="Times New Roman" w:hAnsi="Times New Roman"/>
          <w:b/>
          <w:noProof/>
          <w:sz w:val="24"/>
        </w:rPr>
        <w:t>Скрининг на преките чуждестранни инвестиции</w:t>
      </w:r>
    </w:p>
    <w:p>
      <w:pPr>
        <w:pStyle w:val="ListParagraph"/>
        <w:numPr>
          <w:ilvl w:val="1"/>
          <w:numId w:val="18"/>
        </w:numPr>
        <w:jc w:val="both"/>
        <w:rPr>
          <w:rStyle w:val="None"/>
          <w:rFonts w:ascii="Times New Roman" w:hAnsi="Times New Roman" w:cs="Times New Roman"/>
          <w:b/>
          <w:noProof/>
          <w:color w:val="000000" w:themeColor="text1"/>
          <w:sz w:val="24"/>
          <w:szCs w:val="24"/>
          <w:u w:color="FF0000"/>
        </w:rPr>
      </w:pPr>
      <w:r>
        <w:rPr>
          <w:rStyle w:val="None"/>
          <w:rFonts w:ascii="Times New Roman" w:hAnsi="Times New Roman"/>
          <w:b/>
          <w:noProof/>
          <w:color w:val="000000" w:themeColor="text1"/>
          <w:sz w:val="24"/>
          <w:u w:color="FF0000"/>
        </w:rPr>
        <w:t xml:space="preserve">Съществуващи механизми за скрининг в държавите — членки на ЕС </w:t>
      </w:r>
    </w:p>
    <w:p>
      <w:pPr>
        <w:jc w:val="both"/>
        <w:rPr>
          <w:rStyle w:val="None"/>
          <w:noProof/>
          <w:color w:val="000000" w:themeColor="text1"/>
          <w:u w:color="FF0000"/>
        </w:rPr>
      </w:pPr>
      <w:r>
        <w:rPr>
          <w:rStyle w:val="None"/>
          <w:b/>
          <w:noProof/>
          <w:color w:val="000000" w:themeColor="text1"/>
          <w:u w:color="FF0000"/>
        </w:rPr>
        <w:t>Почти половината от държавите — членки на ЕС,</w:t>
      </w:r>
      <w:r>
        <w:rPr>
          <w:rStyle w:val="None"/>
          <w:b/>
          <w:noProof/>
          <w:color w:val="000000" w:themeColor="text1"/>
          <w:u w:color="FF0000"/>
          <w:vertAlign w:val="superscript"/>
        </w:rPr>
        <w:t xml:space="preserve"> </w:t>
      </w:r>
      <w:r>
        <w:rPr>
          <w:rStyle w:val="None"/>
          <w:b/>
          <w:noProof/>
          <w:color w:val="000000" w:themeColor="text1"/>
          <w:u w:color="FF0000"/>
        </w:rPr>
        <w:t>разполагат с механизми за скрининг на преките чуждестранни инвестиции</w:t>
      </w:r>
      <w:r>
        <w:rPr>
          <w:rStyle w:val="None"/>
          <w:noProof/>
          <w:color w:val="000000" w:themeColor="text1"/>
          <w:u w:color="FF0000"/>
        </w:rPr>
        <w:t>. Това са</w:t>
      </w:r>
      <w:r>
        <w:rPr>
          <w:rStyle w:val="None"/>
          <w:noProof/>
          <w:u w:color="FF0000"/>
        </w:rPr>
        <w:t xml:space="preserve"> Австрия, Германия, Дания, Испания, Италия, Латвия, Литва, Полша, Португалия, Обединеното кралство, Финландия и Франция.</w:t>
      </w:r>
      <w:r>
        <w:rPr>
          <w:rStyle w:val="None"/>
          <w:noProof/>
          <w:color w:val="000000" w:themeColor="text1"/>
          <w:u w:color="FF0000"/>
        </w:rPr>
        <w:t xml:space="preserve">  </w:t>
      </w:r>
    </w:p>
    <w:p>
      <w:pPr>
        <w:jc w:val="both"/>
        <w:rPr>
          <w:rStyle w:val="None"/>
          <w:noProof/>
          <w:color w:val="000000" w:themeColor="text1"/>
          <w:u w:color="FF0000"/>
        </w:rPr>
      </w:pPr>
    </w:p>
    <w:p>
      <w:pPr>
        <w:jc w:val="both"/>
        <w:rPr>
          <w:rStyle w:val="None"/>
          <w:noProof/>
          <w:color w:val="000000" w:themeColor="text1"/>
          <w:u w:color="FF0000"/>
        </w:rPr>
      </w:pPr>
      <w:r>
        <w:rPr>
          <w:rStyle w:val="None"/>
          <w:b/>
          <w:noProof/>
          <w:u w:color="FF0000"/>
        </w:rPr>
        <w:t>Държавите членки следват различни подходи по отношение на</w:t>
      </w:r>
      <w:r>
        <w:rPr>
          <w:rStyle w:val="None"/>
          <w:noProof/>
          <w:u w:color="FF0000"/>
        </w:rPr>
        <w:t xml:space="preserve"> точния обхват и </w:t>
      </w:r>
      <w:r>
        <w:rPr>
          <w:rStyle w:val="None"/>
          <w:noProof/>
          <w:color w:val="000000" w:themeColor="text1"/>
          <w:u w:color="FF0000"/>
        </w:rPr>
        <w:t>организацията на процедурите за скрининг</w:t>
      </w:r>
      <w:r>
        <w:rPr>
          <w:rStyle w:val="None"/>
          <w:noProof/>
          <w:u w:color="FF0000"/>
        </w:rPr>
        <w:t>.</w:t>
      </w:r>
      <w:r>
        <w:rPr>
          <w:rStyle w:val="None"/>
          <w:noProof/>
          <w:color w:val="000000" w:themeColor="text1"/>
          <w:u w:color="FF0000"/>
        </w:rPr>
        <w:t xml:space="preserve"> </w:t>
      </w:r>
    </w:p>
    <w:p>
      <w:pPr>
        <w:pStyle w:val="BodyA"/>
        <w:spacing w:before="240" w:line="240" w:lineRule="auto"/>
        <w:jc w:val="both"/>
        <w:rPr>
          <w:rStyle w:val="None"/>
          <w:rFonts w:ascii="Times New Roman" w:eastAsia="Arial Unicode MS" w:hAnsi="Times New Roman" w:cs="Times New Roman"/>
          <w:noProof/>
          <w:color w:val="auto"/>
          <w:sz w:val="24"/>
          <w:szCs w:val="24"/>
        </w:rPr>
      </w:pPr>
      <w:r>
        <w:rPr>
          <w:rStyle w:val="None"/>
          <w:rFonts w:ascii="Times New Roman" w:hAnsi="Times New Roman"/>
          <w:noProof/>
          <w:color w:val="auto"/>
          <w:sz w:val="24"/>
        </w:rPr>
        <w:t>Що се отнася до обхвата им, повечето съществуващи механизми за скрининг се прилагат както за инвестиции от ЕС, така и за тези, идващи от държави извън ЕС, докато някои се отнасят единствено до инвестиции от трети държави, но могат да включват разпоредби за недопускане на заобикалянето на изискванията с цел предотвратяване на злоупотреби. В някои случаи механизмите за скрининг обхващат инвестициите в конкретни сектори, считани от стратегическо значение (например енергетиката, далекосъобщенията, транспорта), докато при други няма ограничаване до конкретни сектори. Инвестициите, попадащи в обхвана на механизмите за скрининг, обикновено се определят чрез качествени критерии (напр. придобиване на контрол върху целевото дружество) и/или количествени прагове (т.е. процент от дяловете или правата на глас). По отношение на основанията</w:t>
      </w:r>
      <w:r>
        <w:rPr>
          <w:rFonts w:ascii="Times New Roman" w:hAnsi="Times New Roman"/>
          <w:noProof/>
          <w:color w:val="auto"/>
          <w:sz w:val="24"/>
        </w:rPr>
        <w:t xml:space="preserve"> за скрининг някои механизми за скрининг са ограничени до защитата на основни интереси на националната сигурност, особено производството на оръжия, муниции, военно оборудване, военни материали и т.н. или търговията с тях.</w:t>
      </w:r>
      <w:r>
        <w:rPr>
          <w:noProof/>
        </w:rPr>
        <w:t xml:space="preserve"> </w:t>
      </w:r>
      <w:r>
        <w:rPr>
          <w:rFonts w:ascii="Times New Roman" w:hAnsi="Times New Roman"/>
          <w:noProof/>
          <w:color w:val="auto"/>
          <w:sz w:val="24"/>
        </w:rPr>
        <w:t>Повечето обаче не са ограничени само до сектора на отбраната и са свързани главно със защитата на обществената сигурност или обществения ред.</w:t>
      </w:r>
    </w:p>
    <w:p>
      <w:pPr>
        <w:pStyle w:val="BodyA"/>
        <w:spacing w:before="240" w:line="240" w:lineRule="auto"/>
        <w:jc w:val="both"/>
        <w:rPr>
          <w:rStyle w:val="None"/>
          <w:rFonts w:ascii="Times New Roman" w:eastAsia="Arial Unicode MS" w:hAnsi="Times New Roman" w:cs="Times New Roman"/>
          <w:noProof/>
          <w:color w:val="auto"/>
          <w:sz w:val="24"/>
          <w:szCs w:val="24"/>
        </w:rPr>
      </w:pPr>
      <w:r>
        <w:rPr>
          <w:rStyle w:val="None"/>
          <w:rFonts w:ascii="Times New Roman" w:hAnsi="Times New Roman"/>
          <w:noProof/>
          <w:color w:val="auto"/>
          <w:sz w:val="24"/>
        </w:rPr>
        <w:t xml:space="preserve">Що се отнася до това как са организирани процедурите за скрининг, два са основните видове механизми: тези, при които се изисква от инвеститорите да уведомяват за попадаща в обхвата на механизма инвестиция, преди тя да бъде направена, и при които се предвижда система за предварително разрешение, и тези, при които се предвижда последващ контрол на инвестициите, които вече са направени, с възможност за инвеститорите да представят на доброволни начала инвестицията с цел скрининг, преди тя да бъде финализирана.  </w:t>
      </w:r>
    </w:p>
    <w:p>
      <w:pPr>
        <w:pStyle w:val="BodyA"/>
        <w:spacing w:before="240" w:line="240" w:lineRule="auto"/>
        <w:jc w:val="both"/>
        <w:rPr>
          <w:noProof/>
        </w:rPr>
      </w:pPr>
      <w:r>
        <w:rPr>
          <w:rStyle w:val="None"/>
          <w:rFonts w:ascii="Times New Roman" w:hAnsi="Times New Roman"/>
          <w:noProof/>
          <w:color w:val="auto"/>
          <w:sz w:val="24"/>
        </w:rPr>
        <w:t>Националните механизми за скрининг</w:t>
      </w:r>
      <w:r>
        <w:rPr>
          <w:noProof/>
        </w:rPr>
        <w:t xml:space="preserve"> </w:t>
      </w:r>
      <w:r>
        <w:rPr>
          <w:rStyle w:val="None"/>
          <w:rFonts w:ascii="Times New Roman" w:hAnsi="Times New Roman"/>
          <w:noProof/>
          <w:sz w:val="24"/>
        </w:rPr>
        <w:t>представляват ограничение на свободното движение на капитали и на свободата на установяване, по-специално по отношение на инвестициите в рамките на ЕС</w:t>
      </w:r>
      <w:r>
        <w:rPr>
          <w:rStyle w:val="FootnoteReference"/>
          <w:rFonts w:ascii="Times New Roman" w:hAnsi="Times New Roman"/>
          <w:noProof/>
          <w:sz w:val="24"/>
        </w:rPr>
        <w:footnoteReference w:id="19"/>
      </w:r>
      <w:r>
        <w:rPr>
          <w:noProof/>
        </w:rPr>
        <w:t>.</w:t>
      </w:r>
      <w:r>
        <w:rPr>
          <w:rStyle w:val="None"/>
          <w:rFonts w:ascii="Times New Roman" w:hAnsi="Times New Roman"/>
          <w:noProof/>
          <w:sz w:val="24"/>
        </w:rPr>
        <w:t xml:space="preserve"> При все това Договорът позволява на държавите членки да приемат мерки, които ограничават тези свободи, при условие че те </w:t>
      </w:r>
      <w:r>
        <w:rPr>
          <w:rStyle w:val="None"/>
          <w:rFonts w:ascii="Times New Roman" w:hAnsi="Times New Roman"/>
          <w:noProof/>
          <w:color w:val="auto"/>
          <w:sz w:val="24"/>
          <w:u w:color="FF0000"/>
        </w:rPr>
        <w:t>не са дискриминационни въз основа на националността и могат да бъдат</w:t>
      </w:r>
      <w:r>
        <w:rPr>
          <w:rStyle w:val="None"/>
          <w:rFonts w:ascii="Times New Roman" w:hAnsi="Times New Roman"/>
          <w:noProof/>
          <w:sz w:val="24"/>
        </w:rPr>
        <w:t xml:space="preserve"> оправдани по-конкретно от съображения за обществената сигурност или обществения ред или от други императивни съображения от общ интерес, както са определени от Съда на Европейския съюз, и ако са в съответствие с принципите на пропорционалност и правна сигурност. </w:t>
      </w:r>
    </w:p>
    <w:p>
      <w:pPr>
        <w:pStyle w:val="ListParagraph"/>
        <w:numPr>
          <w:ilvl w:val="1"/>
          <w:numId w:val="18"/>
        </w:numPr>
        <w:jc w:val="both"/>
        <w:rPr>
          <w:rStyle w:val="None"/>
          <w:rFonts w:ascii="Times New Roman" w:hAnsi="Times New Roman" w:cs="Times New Roman"/>
          <w:b/>
          <w:noProof/>
          <w:sz w:val="24"/>
          <w:szCs w:val="24"/>
          <w:u w:color="FF0000"/>
        </w:rPr>
      </w:pPr>
      <w:r>
        <w:rPr>
          <w:rStyle w:val="None"/>
          <w:rFonts w:ascii="Times New Roman" w:hAnsi="Times New Roman"/>
          <w:b/>
          <w:noProof/>
          <w:sz w:val="24"/>
          <w:u w:color="FF0000"/>
        </w:rPr>
        <w:t>Релевантни съществуващи политики и инструменти на равнище ЕС</w:t>
      </w:r>
    </w:p>
    <w:p>
      <w:pPr>
        <w:pStyle w:val="BodyA"/>
        <w:spacing w:after="0" w:line="240" w:lineRule="auto"/>
        <w:jc w:val="both"/>
        <w:rPr>
          <w:rStyle w:val="None"/>
          <w:rFonts w:ascii="Times New Roman" w:hAnsi="Times New Roman" w:cs="Times New Roman"/>
          <w:noProof/>
          <w:color w:val="000000" w:themeColor="text1"/>
          <w:sz w:val="24"/>
          <w:szCs w:val="24"/>
        </w:rPr>
      </w:pPr>
      <w:r>
        <w:rPr>
          <w:rStyle w:val="None"/>
          <w:rFonts w:ascii="Times New Roman" w:hAnsi="Times New Roman"/>
          <w:noProof/>
          <w:color w:val="000000" w:themeColor="text1"/>
          <w:sz w:val="24"/>
        </w:rPr>
        <w:t xml:space="preserve">Редица политики на ЕС допринасят за гарантиране на ползите от чуждестранните инвестиции, като в същото време ограничават свързаните с тях рискове.  </w:t>
      </w:r>
    </w:p>
    <w:p>
      <w:pPr>
        <w:pStyle w:val="BodyA"/>
        <w:spacing w:after="0" w:line="240" w:lineRule="auto"/>
        <w:jc w:val="both"/>
        <w:rPr>
          <w:rStyle w:val="None"/>
          <w:rFonts w:ascii="Times New Roman" w:hAnsi="Times New Roman"/>
          <w:noProof/>
          <w:color w:val="000000" w:themeColor="text1"/>
          <w:sz w:val="24"/>
          <w:szCs w:val="24"/>
        </w:rPr>
      </w:pPr>
    </w:p>
    <w:p>
      <w:pPr>
        <w:pStyle w:val="BodyA"/>
        <w:spacing w:after="0" w:line="240" w:lineRule="auto"/>
        <w:jc w:val="both"/>
        <w:rPr>
          <w:rStyle w:val="None"/>
          <w:rFonts w:ascii="Times New Roman" w:hAnsi="Times New Roman"/>
          <w:bCs/>
          <w:noProof/>
          <w:color w:val="000000" w:themeColor="text1"/>
          <w:sz w:val="24"/>
          <w:szCs w:val="24"/>
        </w:rPr>
      </w:pPr>
      <w:r>
        <w:rPr>
          <w:rStyle w:val="None"/>
          <w:rFonts w:ascii="Times New Roman" w:hAnsi="Times New Roman"/>
          <w:noProof/>
          <w:color w:val="000000" w:themeColor="text1"/>
          <w:sz w:val="24"/>
        </w:rPr>
        <w:t xml:space="preserve">На първо място, основно задължение на </w:t>
      </w:r>
      <w:r>
        <w:rPr>
          <w:rStyle w:val="None"/>
          <w:rFonts w:ascii="Times New Roman" w:hAnsi="Times New Roman"/>
          <w:b/>
          <w:noProof/>
          <w:color w:val="000000" w:themeColor="text1"/>
          <w:sz w:val="24"/>
        </w:rPr>
        <w:t>всички</w:t>
      </w:r>
      <w:r>
        <w:rPr>
          <w:rStyle w:val="None"/>
          <w:rFonts w:ascii="Times New Roman" w:hAnsi="Times New Roman"/>
          <w:noProof/>
          <w:color w:val="000000" w:themeColor="text1"/>
          <w:sz w:val="24"/>
        </w:rPr>
        <w:t xml:space="preserve"> </w:t>
      </w:r>
      <w:r>
        <w:rPr>
          <w:rStyle w:val="None"/>
          <w:rFonts w:ascii="Times New Roman" w:hAnsi="Times New Roman"/>
          <w:b/>
          <w:noProof/>
          <w:color w:val="000000" w:themeColor="text1"/>
          <w:sz w:val="24"/>
        </w:rPr>
        <w:t>чуждестранни инвеститори в ЕС е да спазват приложимото законодателство на ЕС и националните закони.</w:t>
      </w:r>
      <w:r>
        <w:rPr>
          <w:rStyle w:val="None"/>
          <w:rFonts w:ascii="Times New Roman" w:hAnsi="Times New Roman"/>
          <w:noProof/>
          <w:color w:val="000000" w:themeColor="text1"/>
          <w:sz w:val="24"/>
        </w:rPr>
        <w:t xml:space="preserve"> Това включва </w:t>
      </w:r>
      <w:r>
        <w:rPr>
          <w:rStyle w:val="None"/>
          <w:rFonts w:ascii="Times New Roman" w:hAnsi="Times New Roman"/>
          <w:b/>
          <w:noProof/>
          <w:color w:val="000000" w:themeColor="text1"/>
          <w:sz w:val="24"/>
        </w:rPr>
        <w:t>правилата на ЕС за конкуренцията</w:t>
      </w:r>
      <w:r>
        <w:rPr>
          <w:rStyle w:val="None"/>
          <w:rFonts w:ascii="Times New Roman" w:hAnsi="Times New Roman"/>
          <w:noProof/>
          <w:color w:val="000000" w:themeColor="text1"/>
          <w:sz w:val="24"/>
        </w:rPr>
        <w:t>, с които се урежда контролът върху сливанията и придобиванията. Когато дадена предложена инвестиция, независимо от своя източник или произход, попада в обхвата на Регламента на ЕС за сливанията</w:t>
      </w:r>
      <w:r>
        <w:rPr>
          <w:rStyle w:val="None"/>
          <w:noProof/>
          <w:color w:val="000000" w:themeColor="text1"/>
          <w:vertAlign w:val="superscript"/>
        </w:rPr>
        <w:footnoteReference w:id="20"/>
      </w:r>
      <w:r>
        <w:rPr>
          <w:rStyle w:val="None"/>
          <w:rFonts w:ascii="Times New Roman" w:hAnsi="Times New Roman"/>
          <w:noProof/>
          <w:color w:val="000000" w:themeColor="text1"/>
          <w:sz w:val="24"/>
        </w:rPr>
        <w:t xml:space="preserve">, тя не може да бъде осъществена, без да бъде предварително разгледана и одобрена от Европейската комисия. Целта на тази процедура е да се предотвратят концентрациите, които биха попречили в значителна степен на ефективната конкуренция в рамките на вътрешния пазар. Оценката на съвместимостта на концентрация, за която е постъпило уведомление, извършена съгласно Регламента на ЕС за сливанията, се съсредоточава единствено върху конкуренцията и не взема предвид сигурността или обществения ред. </w:t>
      </w:r>
    </w:p>
    <w:p>
      <w:pPr>
        <w:pStyle w:val="BodyA"/>
        <w:spacing w:after="0" w:line="240" w:lineRule="auto"/>
        <w:jc w:val="both"/>
        <w:rPr>
          <w:rStyle w:val="None"/>
          <w:rFonts w:ascii="Times New Roman" w:hAnsi="Times New Roman"/>
          <w:bCs/>
          <w:noProof/>
          <w:color w:val="000000" w:themeColor="text1"/>
          <w:sz w:val="24"/>
          <w:szCs w:val="24"/>
        </w:rPr>
      </w:pPr>
    </w:p>
    <w:p>
      <w:pPr>
        <w:pStyle w:val="BodyBA"/>
        <w:spacing w:after="200"/>
        <w:jc w:val="both"/>
        <w:rPr>
          <w:rStyle w:val="None"/>
          <w:noProof/>
          <w:color w:val="000000" w:themeColor="text1"/>
        </w:rPr>
      </w:pPr>
      <w:r>
        <w:rPr>
          <w:rStyle w:val="None"/>
          <w:noProof/>
          <w:color w:val="000000" w:themeColor="text1"/>
        </w:rPr>
        <w:t xml:space="preserve">Други релевантни правила са заложени в </w:t>
      </w:r>
      <w:r>
        <w:rPr>
          <w:rStyle w:val="None"/>
          <w:b/>
          <w:noProof/>
          <w:color w:val="000000" w:themeColor="text1"/>
        </w:rPr>
        <w:t xml:space="preserve">законодателството на ЕС в областта на сигурността на критичната инфраструктура и основните услуги. </w:t>
      </w:r>
      <w:r>
        <w:rPr>
          <w:rStyle w:val="None"/>
          <w:noProof/>
          <w:color w:val="000000" w:themeColor="text1"/>
        </w:rPr>
        <w:t xml:space="preserve">В някои случаи предмет на тези правила са последиците от чуждестранната собственост. Могат да се посочат следните примери: </w:t>
      </w:r>
    </w:p>
    <w:p>
      <w:pPr>
        <w:pStyle w:val="BodyBA"/>
        <w:numPr>
          <w:ilvl w:val="0"/>
          <w:numId w:val="15"/>
        </w:numPr>
        <w:spacing w:after="200"/>
        <w:jc w:val="both"/>
        <w:rPr>
          <w:rStyle w:val="None"/>
          <w:noProof/>
          <w:color w:val="000000" w:themeColor="text1"/>
        </w:rPr>
      </w:pPr>
      <w:r>
        <w:rPr>
          <w:rStyle w:val="None"/>
          <w:b/>
          <w:noProof/>
          <w:color w:val="000000" w:themeColor="text1"/>
        </w:rPr>
        <w:t>На европейско равнище като имащи жизненоважно значение са определени редица активи</w:t>
      </w:r>
      <w:r>
        <w:rPr>
          <w:rStyle w:val="None"/>
          <w:noProof/>
          <w:color w:val="000000" w:themeColor="text1"/>
        </w:rPr>
        <w:t>: „Галилео“, „Коперник“, Евроконтрол, европейските електро- и газопреносни мрежи</w:t>
      </w:r>
      <w:r>
        <w:rPr>
          <w:rStyle w:val="FootnoteReference"/>
          <w:noProof/>
          <w:color w:val="000000" w:themeColor="text1"/>
        </w:rPr>
        <w:footnoteReference w:id="21"/>
      </w:r>
      <w:r>
        <w:rPr>
          <w:noProof/>
        </w:rPr>
        <w:t>.</w:t>
      </w:r>
      <w:r>
        <w:rPr>
          <w:rStyle w:val="None"/>
          <w:noProof/>
          <w:color w:val="000000" w:themeColor="text1"/>
        </w:rPr>
        <w:t xml:space="preserve"> Трябва да се отдели специално внимание на сигурността, целостта и собствеността на тези инфраструктури, както и на необходимостта да се гарантира непрекъснатата им работа. В допълнение към това със законодателството на ЕС в областта на киберсигурността</w:t>
      </w:r>
      <w:r>
        <w:rPr>
          <w:rStyle w:val="None"/>
          <w:noProof/>
          <w:color w:val="000000" w:themeColor="text1"/>
          <w:vertAlign w:val="superscript"/>
        </w:rPr>
        <w:footnoteReference w:id="22"/>
      </w:r>
      <w:r>
        <w:rPr>
          <w:rStyle w:val="None"/>
          <w:noProof/>
          <w:color w:val="000000" w:themeColor="text1"/>
        </w:rPr>
        <w:t xml:space="preserve"> се установява списък от сектори, които предоставят основни услуги и в които операторите трябва да бъдат защитени от кибернетични атаки</w:t>
      </w:r>
      <w:r>
        <w:rPr>
          <w:rStyle w:val="FootnoteReference"/>
          <w:noProof/>
          <w:color w:val="000000" w:themeColor="text1"/>
        </w:rPr>
        <w:footnoteReference w:id="23"/>
      </w:r>
      <w:r>
        <w:rPr>
          <w:noProof/>
        </w:rPr>
        <w:t>.</w:t>
      </w:r>
    </w:p>
    <w:p>
      <w:pPr>
        <w:pStyle w:val="BodyBA"/>
        <w:numPr>
          <w:ilvl w:val="0"/>
          <w:numId w:val="15"/>
        </w:numPr>
        <w:spacing w:after="200"/>
        <w:jc w:val="both"/>
        <w:rPr>
          <w:rStyle w:val="None"/>
          <w:noProof/>
          <w:color w:val="000000" w:themeColor="text1"/>
        </w:rPr>
      </w:pPr>
      <w:r>
        <w:rPr>
          <w:rStyle w:val="None"/>
          <w:noProof/>
          <w:color w:val="000000" w:themeColor="text1"/>
        </w:rPr>
        <w:t xml:space="preserve">Някои елементи на законодателството на ЕС </w:t>
      </w:r>
      <w:r>
        <w:rPr>
          <w:rStyle w:val="None"/>
          <w:b/>
          <w:noProof/>
          <w:color w:val="000000" w:themeColor="text1"/>
        </w:rPr>
        <w:t>разглеждат пряко последиците от чуждестранната собственост.</w:t>
      </w:r>
      <w:r>
        <w:rPr>
          <w:rStyle w:val="None"/>
          <w:noProof/>
          <w:color w:val="000000" w:themeColor="text1"/>
        </w:rPr>
        <w:t xml:space="preserve"> Вече съществува законодателство относно чуждестранния контрол над някои европейски активи в много специфични случаи, по-конкретно когато ЕС определя критерии за одобряване на операторите въз основа на, </w:t>
      </w:r>
      <w:r>
        <w:rPr>
          <w:rStyle w:val="None"/>
          <w:i/>
          <w:noProof/>
          <w:color w:val="000000" w:themeColor="text1"/>
        </w:rPr>
        <w:t>inter alia</w:t>
      </w:r>
      <w:r>
        <w:rPr>
          <w:rStyle w:val="None"/>
          <w:noProof/>
          <w:color w:val="000000" w:themeColor="text1"/>
        </w:rPr>
        <w:t>, националността на собствеността. Така например, даден въздушен превозвач не може да бъде лицензиран в ЕС, ако 50 процента или повече от неговите акции са собственост на лица, които не са установени в ЕС, освен ако не съществува споразумение с държавата му на произход</w:t>
      </w:r>
      <w:r>
        <w:rPr>
          <w:rStyle w:val="None"/>
          <w:noProof/>
          <w:color w:val="000000" w:themeColor="text1"/>
          <w:vertAlign w:val="superscript"/>
        </w:rPr>
        <w:footnoteReference w:id="24"/>
      </w:r>
      <w:r>
        <w:rPr>
          <w:rStyle w:val="None"/>
          <w:noProof/>
          <w:color w:val="000000" w:themeColor="text1"/>
        </w:rPr>
        <w:t>. По подобен начин, в съответствие с правилата на ЕС в областта на енергетиката, оператор на електро- или газопреносна мрежа, контролиран от трета държава, не може да извършва дейност на територията на ЕС, освен ако не е доказано в процеса на сертифициране, че той няма да застраши сигурността на доставките на енергия за държавата членка, в която ще упражнява дейността си, или за Съюза</w:t>
      </w:r>
      <w:r>
        <w:rPr>
          <w:rStyle w:val="None"/>
          <w:noProof/>
          <w:color w:val="000000" w:themeColor="text1"/>
          <w:vertAlign w:val="superscript"/>
        </w:rPr>
        <w:footnoteReference w:id="25"/>
      </w:r>
      <w:r>
        <w:rPr>
          <w:rStyle w:val="None"/>
          <w:noProof/>
          <w:color w:val="000000" w:themeColor="text1"/>
        </w:rPr>
        <w:t>.Друг пример са правилата на ЕС за предоставяне и ползване на разрешения за търсене, проучване и добив на въглеводороди</w:t>
      </w:r>
      <w:r>
        <w:rPr>
          <w:rStyle w:val="FootnoteReference"/>
          <w:noProof/>
          <w:color w:val="000000" w:themeColor="text1"/>
        </w:rPr>
        <w:footnoteReference w:id="26"/>
      </w:r>
      <w:r>
        <w:rPr>
          <w:rStyle w:val="None"/>
          <w:noProof/>
          <w:color w:val="000000" w:themeColor="text1"/>
        </w:rPr>
        <w:t xml:space="preserve">, с които се предвижда, че държавите членки могат, на основания, свързани с националната сигурност, да откажат да разрешат достъпа и упражняването на тези дейности на всеки субект, който се контролира ефективно от трети държави или от граждани на трети държави. </w:t>
      </w:r>
    </w:p>
    <w:p>
      <w:pPr>
        <w:pStyle w:val="BodyBA"/>
        <w:numPr>
          <w:ilvl w:val="0"/>
          <w:numId w:val="15"/>
        </w:numPr>
        <w:spacing w:after="200"/>
        <w:jc w:val="both"/>
        <w:rPr>
          <w:rStyle w:val="None"/>
          <w:noProof/>
          <w:color w:val="000000" w:themeColor="text1"/>
        </w:rPr>
      </w:pPr>
      <w:r>
        <w:rPr>
          <w:rStyle w:val="None"/>
          <w:noProof/>
          <w:color w:val="000000" w:themeColor="text1"/>
        </w:rPr>
        <w:t>В Европейската стратегия за енергийна сигурност</w:t>
      </w:r>
      <w:r>
        <w:rPr>
          <w:rStyle w:val="FootnoteReference"/>
          <w:noProof/>
          <w:color w:val="000000" w:themeColor="text1"/>
          <w:u w:color="FF0000"/>
        </w:rPr>
        <w:footnoteReference w:id="27"/>
      </w:r>
      <w:r>
        <w:rPr>
          <w:rStyle w:val="None"/>
          <w:noProof/>
          <w:color w:val="000000" w:themeColor="text1"/>
        </w:rPr>
        <w:t xml:space="preserve"> от 2014 г. Комисията предвижда стартирането на </w:t>
      </w:r>
      <w:r>
        <w:rPr>
          <w:rStyle w:val="None"/>
          <w:b/>
          <w:noProof/>
          <w:color w:val="000000" w:themeColor="text1"/>
          <w:u w:color="FF0000"/>
        </w:rPr>
        <w:t>по-широка дискусия относно контрола на стратегически инфраструктури в енергийния сектор от субекти, установени извън ЕС</w:t>
      </w:r>
      <w:r>
        <w:rPr>
          <w:rStyle w:val="None"/>
          <w:noProof/>
          <w:color w:val="000000" w:themeColor="text1"/>
        </w:rPr>
        <w:t>, по-специално държавни предприятия, национални банки или държавни инвестиционни фондове от ключови държави доставчици, чиято цел е да навлязат на пазара на ЕС, когато съществува риск те да затруднят диверсификацията на доставките и развитието на мрежата и инфраструктурата на ЕС. Като първа стъпка, Комисията внесе законодателни предложения по отношение на сигурността на доставките на природен газ и електроенергия, които изискват от държавите членки да направят оценка на рисковете, свързани с чуждестранния контрол или собственост на газовите и електроенергийните инфраструктури, както и да приемат мерките, които считат за необходими и които ще са предмет на преглед от страна на Комисията и/или на група от експерти</w:t>
      </w:r>
      <w:r>
        <w:rPr>
          <w:rStyle w:val="None"/>
          <w:noProof/>
          <w:color w:val="000000" w:themeColor="text1"/>
          <w:vertAlign w:val="superscript"/>
        </w:rPr>
        <w:footnoteReference w:id="28"/>
      </w:r>
      <w:r>
        <w:rPr>
          <w:rStyle w:val="None"/>
          <w:noProof/>
          <w:color w:val="000000" w:themeColor="text1"/>
        </w:rPr>
        <w:t>.</w:t>
      </w:r>
    </w:p>
    <w:p>
      <w:pPr>
        <w:pStyle w:val="BodyBA"/>
        <w:spacing w:after="200"/>
        <w:jc w:val="both"/>
        <w:rPr>
          <w:rStyle w:val="None"/>
          <w:noProof/>
          <w:color w:val="000000" w:themeColor="text1"/>
          <w:u w:color="FF0000"/>
        </w:rPr>
      </w:pPr>
      <w:r>
        <w:rPr>
          <w:rStyle w:val="None"/>
          <w:noProof/>
          <w:color w:val="000000" w:themeColor="text1"/>
          <w:u w:color="FF0000"/>
        </w:rPr>
        <w:t>При все това, въпреки тези секторни инициативи, към днешна дата не съществува всеобхватна правна уредба на равнището на ЕС, която да разглежда рисковете за сигурността и обществения ред, които биха могли да представляват някои чуждестранни преки инвестиции от трети държави.</w:t>
      </w:r>
    </w:p>
    <w:p>
      <w:pPr>
        <w:rPr>
          <w:rStyle w:val="None"/>
          <w:b/>
          <w:bCs/>
          <w:noProof/>
          <w:color w:val="000000" w:themeColor="text1"/>
        </w:rPr>
      </w:pPr>
    </w:p>
    <w:p>
      <w:pPr>
        <w:pStyle w:val="ListParagraph"/>
        <w:numPr>
          <w:ilvl w:val="0"/>
          <w:numId w:val="2"/>
        </w:numPr>
        <w:jc w:val="both"/>
        <w:rPr>
          <w:rFonts w:ascii="Times New Roman" w:hAnsi="Times New Roman"/>
          <w:b/>
          <w:noProof/>
          <w:sz w:val="24"/>
          <w:szCs w:val="24"/>
        </w:rPr>
      </w:pPr>
      <w:r>
        <w:rPr>
          <w:rFonts w:ascii="Times New Roman" w:hAnsi="Times New Roman"/>
          <w:b/>
          <w:noProof/>
          <w:sz w:val="24"/>
        </w:rPr>
        <w:t>Към европейска рамка за скрининг на преките чуждестранни инвестиции на основания, свързани със сигурността или обществения ред</w:t>
      </w:r>
    </w:p>
    <w:p>
      <w:pPr>
        <w:pStyle w:val="ListParagraph"/>
        <w:numPr>
          <w:ilvl w:val="1"/>
          <w:numId w:val="19"/>
        </w:numPr>
        <w:jc w:val="both"/>
        <w:rPr>
          <w:rStyle w:val="None"/>
          <w:rFonts w:ascii="Times New Roman" w:hAnsi="Times New Roman" w:cs="Times New Roman"/>
          <w:b/>
          <w:noProof/>
          <w:sz w:val="24"/>
          <w:szCs w:val="24"/>
          <w:u w:color="FF0000"/>
        </w:rPr>
      </w:pPr>
      <w:r>
        <w:rPr>
          <w:rStyle w:val="None"/>
          <w:rFonts w:ascii="Times New Roman" w:hAnsi="Times New Roman"/>
          <w:b/>
          <w:noProof/>
          <w:sz w:val="24"/>
          <w:u w:color="FF0000"/>
        </w:rPr>
        <w:t>Основания за действие</w:t>
      </w:r>
    </w:p>
    <w:p>
      <w:pPr>
        <w:pStyle w:val="BodyA"/>
        <w:spacing w:before="240" w:line="240" w:lineRule="auto"/>
        <w:jc w:val="both"/>
        <w:rPr>
          <w:rStyle w:val="None"/>
          <w:rFonts w:ascii="Times New Roman" w:hAnsi="Times New Roman" w:cs="Times New Roman"/>
          <w:noProof/>
          <w:color w:val="000000" w:themeColor="text1"/>
          <w:sz w:val="24"/>
          <w:szCs w:val="24"/>
        </w:rPr>
      </w:pPr>
      <w:r>
        <w:rPr>
          <w:rStyle w:val="None"/>
          <w:rFonts w:ascii="Times New Roman" w:hAnsi="Times New Roman"/>
          <w:b/>
          <w:noProof/>
          <w:color w:val="000000" w:themeColor="text1"/>
          <w:sz w:val="24"/>
          <w:u w:color="FF0000"/>
        </w:rPr>
        <w:t>Комисията напълно признава нуждата да се запази необходимата гъвкавост за държавите членки да осъществяват скрининг на преките чуждестранни инвестиции</w:t>
      </w:r>
      <w:r>
        <w:rPr>
          <w:rStyle w:val="None"/>
          <w:rFonts w:ascii="Times New Roman" w:hAnsi="Times New Roman"/>
          <w:noProof/>
          <w:color w:val="000000" w:themeColor="text1"/>
          <w:sz w:val="24"/>
          <w:u w:color="FF0000"/>
        </w:rPr>
        <w:t>, като се имат предвид техните индивидуални легитимни интереси, различните ситуации и национални обстоятелства. В същото време, тъй като европейското измерение на преките чуждестранни инвестиции е очевидно, те попадат в обхвата на общата търговска политика на ЕС</w:t>
      </w:r>
      <w:r>
        <w:rPr>
          <w:rStyle w:val="FootnoteReference"/>
          <w:rFonts w:ascii="Times New Roman" w:hAnsi="Times New Roman"/>
          <w:noProof/>
          <w:color w:val="000000" w:themeColor="text1"/>
          <w:sz w:val="24"/>
          <w:u w:color="FF0000"/>
        </w:rPr>
        <w:footnoteReference w:id="29"/>
      </w:r>
      <w:r>
        <w:rPr>
          <w:rStyle w:val="None"/>
          <w:rFonts w:ascii="Times New Roman" w:hAnsi="Times New Roman"/>
          <w:noProof/>
          <w:color w:val="000000" w:themeColor="text1"/>
          <w:sz w:val="24"/>
          <w:u w:color="FF0000"/>
        </w:rPr>
        <w:t>. В рамките на вътрешния пазар дружествата от ЕС се възползват във все по-голяма степен от свободата на установяване и на предоставяне на услуги, както и от свободното движение на стоки и капитали, разгръщайки своите дейности и вериги на доставки в няколко държави членки, вместо само в една. Инвеститорите от трети държави също искат да се възползват от предимствата на вътрешния пазар, като инвестират в дружества от ЕС, които им предоставят значителни икономии от мащаба и достъп до вътрешния пазар. Същевременно преките чуждестранни инвестиции в една държава членка може да имат последици за сигурността или обществения ред в друга държава членка или в ЕС като цяло. Подобно трансгранично въздействие невинаги може да бъде напълно анализирано и оценено в рамките на националните механизми. Освен това</w:t>
      </w:r>
      <w:r>
        <w:rPr>
          <w:noProof/>
        </w:rPr>
        <w:t xml:space="preserve"> </w:t>
      </w:r>
      <w:r>
        <w:rPr>
          <w:rStyle w:val="None"/>
          <w:rFonts w:ascii="Times New Roman" w:hAnsi="Times New Roman"/>
          <w:noProof/>
          <w:color w:val="000000" w:themeColor="text1"/>
          <w:sz w:val="24"/>
        </w:rPr>
        <w:t xml:space="preserve">е необходима уредба, която защитава активите със значително европейско измерение предвид на връзките им с програми или проекти от интерес за Съюза, като например европейската глобална навигационна спътникова система („Галилео“). </w:t>
      </w:r>
    </w:p>
    <w:p>
      <w:pPr>
        <w:pStyle w:val="BodyA"/>
        <w:spacing w:before="240" w:line="240" w:lineRule="auto"/>
        <w:jc w:val="both"/>
        <w:rPr>
          <w:rStyle w:val="None"/>
          <w:rFonts w:ascii="Times New Roman" w:hAnsi="Times New Roman"/>
          <w:noProof/>
          <w:color w:val="000000" w:themeColor="text1"/>
          <w:sz w:val="24"/>
          <w:szCs w:val="24"/>
          <w:u w:color="FF0000"/>
        </w:rPr>
      </w:pPr>
      <w:r>
        <w:rPr>
          <w:rStyle w:val="None"/>
          <w:rFonts w:ascii="Times New Roman" w:hAnsi="Times New Roman"/>
          <w:noProof/>
          <w:color w:val="000000" w:themeColor="text1"/>
          <w:sz w:val="24"/>
          <w:u w:color="FF0000"/>
        </w:rPr>
        <w:t xml:space="preserve">Комисията счита, че </w:t>
      </w:r>
      <w:r>
        <w:rPr>
          <w:rStyle w:val="None"/>
          <w:rFonts w:ascii="Times New Roman" w:hAnsi="Times New Roman"/>
          <w:b/>
          <w:noProof/>
          <w:color w:val="000000" w:themeColor="text1"/>
          <w:sz w:val="24"/>
          <w:u w:color="FF0000"/>
        </w:rPr>
        <w:t>по-тясното сътрудничество и по-добрата координация между държавите членки са от съществено значение</w:t>
      </w:r>
      <w:r>
        <w:rPr>
          <w:rStyle w:val="None"/>
          <w:rFonts w:ascii="Times New Roman" w:hAnsi="Times New Roman"/>
          <w:noProof/>
          <w:color w:val="000000" w:themeColor="text1"/>
          <w:sz w:val="24"/>
          <w:u w:color="FF0000"/>
        </w:rPr>
        <w:t xml:space="preserve">, за да може да се реагира на променящата се инвестиционна обстановка и да се засилят синергиите между съответните правомощия на ЕС и държавите членки. </w:t>
      </w:r>
      <w:r>
        <w:rPr>
          <w:rStyle w:val="None"/>
          <w:rFonts w:ascii="Times New Roman" w:hAnsi="Times New Roman"/>
          <w:b/>
          <w:noProof/>
          <w:color w:val="000000" w:themeColor="text1"/>
          <w:sz w:val="24"/>
          <w:u w:color="FF0000"/>
        </w:rPr>
        <w:t>Поради това Комисията предлага да се предприемат допълнителни мерки по отношение на тези инвестиции от трети държави, които могат да породят загриженост за сигурността и обществения ред.</w:t>
      </w:r>
    </w:p>
    <w:p>
      <w:pPr>
        <w:pStyle w:val="BodyA"/>
        <w:spacing w:before="240" w:line="240" w:lineRule="auto"/>
        <w:jc w:val="both"/>
        <w:rPr>
          <w:rStyle w:val="None"/>
          <w:rFonts w:ascii="Times New Roman" w:hAnsi="Times New Roman"/>
          <w:noProof/>
          <w:color w:val="000000" w:themeColor="text1"/>
          <w:sz w:val="24"/>
          <w:szCs w:val="24"/>
          <w:u w:color="FF0000"/>
        </w:rPr>
      </w:pPr>
      <w:r>
        <w:rPr>
          <w:rStyle w:val="None"/>
          <w:rFonts w:ascii="Times New Roman" w:hAnsi="Times New Roman"/>
          <w:noProof/>
          <w:color w:val="000000" w:themeColor="text1"/>
          <w:sz w:val="24"/>
          <w:u w:color="FF0000"/>
        </w:rPr>
        <w:t xml:space="preserve">В този контекст </w:t>
      </w:r>
      <w:r>
        <w:rPr>
          <w:rStyle w:val="None"/>
          <w:rFonts w:ascii="Times New Roman" w:hAnsi="Times New Roman"/>
          <w:b/>
          <w:noProof/>
          <w:color w:val="000000" w:themeColor="text1"/>
          <w:sz w:val="24"/>
          <w:u w:color="FF0000"/>
        </w:rPr>
        <w:t>конкретните цели</w:t>
      </w:r>
      <w:r>
        <w:rPr>
          <w:rStyle w:val="None"/>
          <w:rFonts w:ascii="Times New Roman" w:hAnsi="Times New Roman"/>
          <w:noProof/>
          <w:color w:val="000000" w:themeColor="text1"/>
          <w:sz w:val="24"/>
          <w:u w:color="FF0000"/>
        </w:rPr>
        <w:t>, които трябва да бъдат постигнати, са следните:</w:t>
      </w:r>
    </w:p>
    <w:p>
      <w:pPr>
        <w:pStyle w:val="BodyA"/>
        <w:numPr>
          <w:ilvl w:val="1"/>
          <w:numId w:val="4"/>
        </w:numPr>
        <w:spacing w:after="0" w:line="240" w:lineRule="auto"/>
        <w:jc w:val="both"/>
        <w:rPr>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u w:color="FF0000"/>
        </w:rPr>
        <w:t>осигуряване на съгласувана рамка за скрининг на преките чуждестранни инвестиции в ЕС на основания, свързани със сигурността или обществения ред, без да се засягат националните прерогативи на държавите членки</w:t>
      </w:r>
      <w:r>
        <w:rPr>
          <w:rFonts w:ascii="Times New Roman" w:hAnsi="Times New Roman"/>
          <w:noProof/>
          <w:color w:val="000000" w:themeColor="text1"/>
          <w:sz w:val="24"/>
        </w:rPr>
        <w:t>;</w:t>
      </w:r>
    </w:p>
    <w:p>
      <w:pPr>
        <w:pStyle w:val="BodyA"/>
        <w:numPr>
          <w:ilvl w:val="1"/>
          <w:numId w:val="4"/>
        </w:numPr>
        <w:spacing w:after="0" w:line="240" w:lineRule="auto"/>
        <w:jc w:val="both"/>
        <w:rPr>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u w:color="FF0000"/>
        </w:rPr>
        <w:t>улесняване на тясното и системно сътрудничество между държавите членки и между държавите членки и Комисията по отношение на скрининга на някои преки чуждестранни инвестиции, когато те пораждат опасения за сигурността или обществения ред, включително засилен</w:t>
      </w:r>
      <w:r>
        <w:rPr>
          <w:rFonts w:ascii="Times New Roman" w:hAnsi="Times New Roman"/>
          <w:noProof/>
          <w:color w:val="000000" w:themeColor="text1"/>
          <w:sz w:val="24"/>
        </w:rPr>
        <w:t xml:space="preserve"> обмен на информация;</w:t>
      </w:r>
    </w:p>
    <w:p>
      <w:pPr>
        <w:pStyle w:val="BodyA"/>
        <w:numPr>
          <w:ilvl w:val="1"/>
          <w:numId w:val="4"/>
        </w:num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повишаване на прозрачността на </w:t>
      </w:r>
      <w:r>
        <w:rPr>
          <w:rStyle w:val="None"/>
          <w:rFonts w:ascii="Times New Roman" w:hAnsi="Times New Roman"/>
          <w:noProof/>
          <w:color w:val="000000" w:themeColor="text1"/>
          <w:sz w:val="24"/>
          <w:u w:color="FF0000"/>
        </w:rPr>
        <w:t>преките чуждестранни инвестиции</w:t>
      </w:r>
      <w:r>
        <w:rPr>
          <w:rFonts w:ascii="Times New Roman" w:hAnsi="Times New Roman"/>
          <w:noProof/>
          <w:color w:val="000000" w:themeColor="text1"/>
          <w:sz w:val="24"/>
        </w:rPr>
        <w:t>, които биха могли да имат последици за сигурността или обществения ред;</w:t>
      </w:r>
    </w:p>
    <w:p>
      <w:pPr>
        <w:pStyle w:val="BodyA"/>
        <w:numPr>
          <w:ilvl w:val="1"/>
          <w:numId w:val="4"/>
        </w:numPr>
        <w:spacing w:after="0" w:line="240" w:lineRule="auto"/>
        <w:jc w:val="both"/>
        <w:rPr>
          <w:rStyle w:val="None"/>
          <w:rFonts w:ascii="Times New Roman" w:eastAsia="Times New Roman" w:hAnsi="Times New Roman" w:cs="Times New Roman"/>
          <w:noProof/>
          <w:color w:val="000000" w:themeColor="text1"/>
          <w:sz w:val="24"/>
          <w:szCs w:val="24"/>
          <w:u w:color="FF0000"/>
        </w:rPr>
      </w:pPr>
      <w:r>
        <w:rPr>
          <w:rFonts w:ascii="Times New Roman" w:hAnsi="Times New Roman"/>
          <w:noProof/>
          <w:color w:val="000000" w:themeColor="text1"/>
          <w:sz w:val="24"/>
        </w:rPr>
        <w:t xml:space="preserve">ефективни действия в </w:t>
      </w:r>
      <w:r>
        <w:rPr>
          <w:rStyle w:val="None"/>
          <w:rFonts w:ascii="Times New Roman" w:hAnsi="Times New Roman"/>
          <w:noProof/>
          <w:color w:val="000000" w:themeColor="text1"/>
          <w:sz w:val="24"/>
          <w:u w:color="FF0000"/>
        </w:rPr>
        <w:t>отговор на преките чуждестранни инвестиции, пораждащи опасения за сигурността или обществения ред по отношение на проекти или програми, представляващи интерес за Съюза;</w:t>
      </w:r>
    </w:p>
    <w:p>
      <w:pPr>
        <w:pStyle w:val="BodyA"/>
        <w:numPr>
          <w:ilvl w:val="1"/>
          <w:numId w:val="4"/>
        </w:numPr>
        <w:spacing w:after="0" w:line="240" w:lineRule="auto"/>
        <w:jc w:val="both"/>
        <w:rPr>
          <w:rStyle w:val="None"/>
          <w:rFonts w:ascii="Times New Roman" w:eastAsia="Times New Roman" w:hAnsi="Times New Roman" w:cs="Times New Roman"/>
          <w:noProof/>
          <w:color w:val="000000" w:themeColor="text1"/>
          <w:sz w:val="24"/>
          <w:szCs w:val="24"/>
          <w:u w:color="1F487D"/>
        </w:rPr>
      </w:pPr>
      <w:r>
        <w:rPr>
          <w:rStyle w:val="None"/>
          <w:rFonts w:ascii="Times New Roman" w:hAnsi="Times New Roman"/>
          <w:noProof/>
          <w:color w:val="000000" w:themeColor="text1"/>
          <w:sz w:val="24"/>
          <w:u w:color="FF0000"/>
        </w:rPr>
        <w:t>предотвратяване на заобикалянето на националните механизми за скрининг на преките чуждестранни инвестиции.</w:t>
      </w:r>
    </w:p>
    <w:p>
      <w:pPr>
        <w:pStyle w:val="BodyA"/>
        <w:spacing w:before="195" w:after="0" w:line="240" w:lineRule="auto"/>
        <w:jc w:val="both"/>
        <w:rPr>
          <w:rStyle w:val="None"/>
          <w:rFonts w:ascii="Times New Roman" w:eastAsia="Times New Roman" w:hAnsi="Times New Roman" w:cs="Times New Roman"/>
          <w:noProof/>
          <w:color w:val="000000" w:themeColor="text1"/>
          <w:sz w:val="24"/>
          <w:szCs w:val="24"/>
          <w:u w:color="FF0000"/>
        </w:rPr>
      </w:pPr>
      <w:r>
        <w:rPr>
          <w:rStyle w:val="None"/>
          <w:rFonts w:ascii="Times New Roman" w:hAnsi="Times New Roman"/>
          <w:noProof/>
          <w:color w:val="000000" w:themeColor="text1"/>
          <w:sz w:val="24"/>
          <w:u w:color="1F487D"/>
        </w:rPr>
        <w:t>Тези действия ще бъдат предприети при пълно спазване на задълженията, произтичащи от Договорите на ЕС и международните споразумения и споразуменията, по които ЕС и държавите членки са страни. В това отношение, когато ЕС или държавите членки са поели международни ангажименти, свързани с инвестициите, полето за действие е вече ограничено от съответните изключения за сигурността и обществения ред.</w:t>
      </w:r>
    </w:p>
    <w:p>
      <w:pPr>
        <w:pStyle w:val="BodyA"/>
        <w:spacing w:before="195" w:after="0" w:line="240" w:lineRule="auto"/>
        <w:jc w:val="both"/>
        <w:rPr>
          <w:rStyle w:val="None"/>
          <w:rFonts w:ascii="Times New Roman" w:eastAsia="Times New Roman" w:hAnsi="Times New Roman" w:cs="Times New Roman"/>
          <w:noProof/>
          <w:color w:val="000000" w:themeColor="text1"/>
          <w:sz w:val="24"/>
          <w:szCs w:val="24"/>
          <w:u w:color="FF0000"/>
        </w:rPr>
      </w:pPr>
      <w:r>
        <w:rPr>
          <w:rStyle w:val="None"/>
          <w:rFonts w:ascii="Times New Roman" w:hAnsi="Times New Roman"/>
          <w:noProof/>
          <w:color w:val="000000" w:themeColor="text1"/>
          <w:sz w:val="24"/>
          <w:u w:color="FF0000"/>
        </w:rPr>
        <w:t>Освен това Комисията предлага мерки, които са пропорционални и прозрачни, като същевременно се свежда до минимум административната тежест за правителствата и инвеститорите. Предложението също така осигурява основан на правила, предвидим и недискриминационен режим за инвестиции за различните трети държави</w:t>
      </w:r>
      <w:r>
        <w:rPr>
          <w:noProof/>
        </w:rPr>
        <w:t xml:space="preserve"> в </w:t>
      </w:r>
      <w:r>
        <w:rPr>
          <w:rFonts w:ascii="Times New Roman" w:hAnsi="Times New Roman"/>
          <w:noProof/>
          <w:sz w:val="24"/>
        </w:rPr>
        <w:t xml:space="preserve">съответствие с </w:t>
      </w:r>
      <w:r>
        <w:rPr>
          <w:rStyle w:val="None"/>
          <w:rFonts w:ascii="Times New Roman" w:hAnsi="Times New Roman"/>
          <w:noProof/>
          <w:sz w:val="24"/>
          <w:u w:color="FF0000"/>
        </w:rPr>
        <w:t>принципите, установени в съответната съдебна практика на Съда на Европейския съюз</w:t>
      </w:r>
      <w:r>
        <w:rPr>
          <w:rStyle w:val="FootnoteReference"/>
          <w:rFonts w:ascii="Times New Roman" w:hAnsi="Times New Roman"/>
          <w:noProof/>
          <w:color w:val="000000" w:themeColor="text1"/>
          <w:sz w:val="24"/>
          <w:u w:color="FF0000"/>
        </w:rPr>
        <w:footnoteReference w:id="30"/>
      </w:r>
      <w:r>
        <w:rPr>
          <w:rStyle w:val="None"/>
          <w:rFonts w:ascii="Times New Roman" w:hAnsi="Times New Roman"/>
          <w:noProof/>
          <w:sz w:val="24"/>
          <w:u w:color="FF0000"/>
        </w:rPr>
        <w:t>.</w:t>
      </w:r>
    </w:p>
    <w:p>
      <w:pPr>
        <w:jc w:val="both"/>
        <w:rPr>
          <w:b/>
          <w:noProof/>
          <w:color w:val="000000" w:themeColor="text1"/>
        </w:rPr>
      </w:pPr>
    </w:p>
    <w:p>
      <w:pPr>
        <w:pStyle w:val="ListParagraph"/>
        <w:numPr>
          <w:ilvl w:val="1"/>
          <w:numId w:val="20"/>
        </w:numPr>
        <w:jc w:val="both"/>
        <w:rPr>
          <w:rStyle w:val="None"/>
          <w:rFonts w:ascii="Times New Roman" w:hAnsi="Times New Roman" w:cs="Times New Roman"/>
          <w:b/>
          <w:noProof/>
          <w:sz w:val="24"/>
          <w:szCs w:val="24"/>
          <w:u w:color="FF0000"/>
        </w:rPr>
      </w:pPr>
      <w:r>
        <w:rPr>
          <w:rStyle w:val="None"/>
          <w:rFonts w:ascii="Times New Roman" w:hAnsi="Times New Roman"/>
          <w:b/>
          <w:noProof/>
          <w:sz w:val="24"/>
          <w:u w:color="FF0000"/>
        </w:rPr>
        <w:t xml:space="preserve"> Предложени мерки</w:t>
      </w:r>
    </w:p>
    <w:p>
      <w:pPr>
        <w:pStyle w:val="ListParagraph"/>
        <w:numPr>
          <w:ilvl w:val="1"/>
          <w:numId w:val="21"/>
        </w:numPr>
        <w:ind w:left="851"/>
        <w:jc w:val="both"/>
        <w:rPr>
          <w:rStyle w:val="None"/>
          <w:rFonts w:ascii="Times New Roman" w:hAnsi="Times New Roman" w:cs="Times New Roman"/>
          <w:b/>
          <w:bCs/>
          <w:noProof/>
          <w:color w:val="000000" w:themeColor="text1"/>
          <w:sz w:val="24"/>
          <w:szCs w:val="24"/>
          <w:u w:color="FF0000"/>
        </w:rPr>
      </w:pPr>
      <w:r>
        <w:rPr>
          <w:rStyle w:val="None"/>
          <w:rFonts w:ascii="Times New Roman" w:hAnsi="Times New Roman"/>
          <w:b/>
          <w:noProof/>
          <w:color w:val="000000" w:themeColor="text1"/>
          <w:sz w:val="24"/>
          <w:u w:color="FF0000"/>
        </w:rPr>
        <w:t>Предложение за регламент</w:t>
      </w:r>
    </w:p>
    <w:p>
      <w:pPr>
        <w:pStyle w:val="BodyA"/>
        <w:spacing w:after="0" w:line="240" w:lineRule="auto"/>
        <w:jc w:val="both"/>
        <w:rPr>
          <w:rFonts w:ascii="Times New Roman" w:hAnsi="Times New Roman" w:cs="Times New Roman"/>
          <w:noProof/>
          <w:color w:val="000000" w:themeColor="text1"/>
          <w:sz w:val="24"/>
          <w:szCs w:val="24"/>
          <w:u w:color="FF0000"/>
        </w:rPr>
      </w:pPr>
      <w:r>
        <w:rPr>
          <w:rStyle w:val="None"/>
          <w:rFonts w:ascii="Times New Roman" w:hAnsi="Times New Roman"/>
          <w:noProof/>
          <w:color w:val="000000" w:themeColor="text1"/>
          <w:sz w:val="24"/>
          <w:u w:color="FF0000"/>
        </w:rPr>
        <w:t xml:space="preserve">Успоредно с настоящото съобщение и с оглед на гореизложеното, Комисията, като действа въз основа на член 207 от ДФЕС, внася </w:t>
      </w:r>
      <w:r>
        <w:rPr>
          <w:rStyle w:val="None"/>
          <w:rFonts w:ascii="Times New Roman" w:hAnsi="Times New Roman"/>
          <w:b/>
          <w:noProof/>
          <w:color w:val="000000" w:themeColor="text1"/>
          <w:sz w:val="24"/>
          <w:u w:color="FF0000"/>
        </w:rPr>
        <w:t>предложение за регламент за</w:t>
      </w:r>
      <w:r>
        <w:rPr>
          <w:noProof/>
        </w:rPr>
        <w:t xml:space="preserve"> </w:t>
      </w:r>
      <w:r>
        <w:rPr>
          <w:rFonts w:ascii="Times New Roman" w:hAnsi="Times New Roman"/>
          <w:b/>
          <w:noProof/>
          <w:color w:val="000000" w:themeColor="text1"/>
          <w:sz w:val="24"/>
        </w:rPr>
        <w:t>създаване на рамка за скрининг на преките чуждестранни инвестиции в ЕС</w:t>
      </w:r>
      <w:r>
        <w:rPr>
          <w:rFonts w:ascii="Times New Roman" w:hAnsi="Times New Roman"/>
          <w:noProof/>
          <w:color w:val="000000" w:themeColor="text1"/>
          <w:sz w:val="24"/>
          <w:u w:color="FF2600"/>
        </w:rPr>
        <w:t>.</w:t>
      </w:r>
    </w:p>
    <w:p>
      <w:pPr>
        <w:pStyle w:val="BodyA"/>
        <w:spacing w:after="0" w:line="240" w:lineRule="auto"/>
        <w:jc w:val="both"/>
        <w:rPr>
          <w:rFonts w:ascii="Times New Roman" w:hAnsi="Times New Roman" w:cs="Times New Roman"/>
          <w:noProof/>
          <w:color w:val="000000" w:themeColor="text1"/>
          <w:sz w:val="24"/>
          <w:szCs w:val="24"/>
          <w:u w:color="FF0000"/>
        </w:rPr>
      </w:pPr>
    </w:p>
    <w:p>
      <w:pPr>
        <w:pStyle w:val="BodyA"/>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С предложението се създава </w:t>
      </w:r>
      <w:r>
        <w:rPr>
          <w:rFonts w:ascii="Times New Roman" w:hAnsi="Times New Roman"/>
          <w:b/>
          <w:noProof/>
          <w:color w:val="000000" w:themeColor="text1"/>
          <w:sz w:val="24"/>
        </w:rPr>
        <w:t>рамка за скрининг на</w:t>
      </w:r>
      <w:r>
        <w:rPr>
          <w:rStyle w:val="None"/>
          <w:rFonts w:ascii="Times New Roman" w:hAnsi="Times New Roman"/>
          <w:b/>
          <w:noProof/>
          <w:color w:val="000000" w:themeColor="text1"/>
          <w:sz w:val="24"/>
          <w:u w:color="FF0000"/>
        </w:rPr>
        <w:t xml:space="preserve"> преките чуждестранни инвестиции</w:t>
      </w:r>
      <w:r>
        <w:rPr>
          <w:rFonts w:ascii="Times New Roman" w:hAnsi="Times New Roman"/>
          <w:b/>
          <w:noProof/>
          <w:color w:val="000000" w:themeColor="text1"/>
          <w:sz w:val="24"/>
        </w:rPr>
        <w:t xml:space="preserve"> в ЕС на основания, свързани със сигурността или обществения ред</w:t>
      </w:r>
      <w:r>
        <w:rPr>
          <w:rFonts w:ascii="Times New Roman" w:hAnsi="Times New Roman"/>
          <w:noProof/>
          <w:color w:val="000000" w:themeColor="text1"/>
          <w:sz w:val="24"/>
        </w:rPr>
        <w:t xml:space="preserve">, като същевременно се предоставя неизчерпателен списък на факторите, които могат да бъдат взети под внимание при определяне на това дали дадена </w:t>
      </w:r>
      <w:r>
        <w:rPr>
          <w:rStyle w:val="None"/>
          <w:rFonts w:ascii="Times New Roman" w:hAnsi="Times New Roman"/>
          <w:noProof/>
          <w:color w:val="000000" w:themeColor="text1"/>
          <w:sz w:val="24"/>
          <w:u w:color="FF0000"/>
        </w:rPr>
        <w:t>пряка чуждестранна инвестиция</w:t>
      </w:r>
      <w:r>
        <w:rPr>
          <w:rFonts w:ascii="Times New Roman" w:hAnsi="Times New Roman"/>
          <w:noProof/>
          <w:color w:val="000000" w:themeColor="text1"/>
          <w:sz w:val="24"/>
        </w:rPr>
        <w:t xml:space="preserve"> би могла да има последици за сигурността или обществения ред. С него се установяват основните елементи на процедурната рамка за скрининг на такива преки чуждестранни инвестиции от страна на държавите членки, включително задълженията за прозрачност и задължението за осигуряване на адекватни възможности за правна защита по отношение на решения, приети в рамките на тези механизми за скрининг. Същевременно предложението запазва необходимата гъвкавост за държавите членки при скрининга на преките чуждестранни инвестиции, като им позволява да се адаптират към променящите се обстоятелства и конкретния национален контекст.</w:t>
      </w:r>
    </w:p>
    <w:p>
      <w:pPr>
        <w:pStyle w:val="BodyA"/>
        <w:spacing w:after="0" w:line="240" w:lineRule="auto"/>
        <w:jc w:val="both"/>
        <w:rPr>
          <w:rFonts w:ascii="Times New Roman" w:hAnsi="Times New Roman" w:cs="Times New Roman"/>
          <w:noProof/>
          <w:color w:val="000000" w:themeColor="text1"/>
          <w:sz w:val="24"/>
          <w:szCs w:val="24"/>
          <w:u w:color="FF0000"/>
        </w:rPr>
      </w:pPr>
    </w:p>
    <w:p>
      <w:pPr>
        <w:pStyle w:val="BodyA"/>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С проекта за регламент се създава също така механизъм за сътрудничество между държавите членки, по-специално в случаите, когато преките чуждестранни инвестиции в една или повече държави членки могат да засегнат сигурността или обществения ред в друга държава членка.</w:t>
      </w:r>
    </w:p>
    <w:p>
      <w:pPr>
        <w:pStyle w:val="BodyA"/>
        <w:spacing w:after="0" w:line="240" w:lineRule="auto"/>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И накрая, проектът за регламент предоставя на Комисията начини за извършване на скрининг на основания, свързани със сигурността и обществения ред, на преките чуждестранни инвестиции, които могат да засегнат проекти или програми от интерес за Съюза. В предложението за регламент се определят критерии за идентифициране на такива проекти или програми, примери за които са „Хоризонт 2020“, „Галилео“ и Европейската геостационарна служба за навигационно покритие (EGNOS), „Коперник“,</w:t>
      </w:r>
      <w:r>
        <w:rPr>
          <w:noProof/>
        </w:rPr>
        <w:t xml:space="preserve"> </w:t>
      </w:r>
      <w:r>
        <w:rPr>
          <w:rFonts w:ascii="Times New Roman" w:hAnsi="Times New Roman"/>
          <w:noProof/>
          <w:color w:val="000000" w:themeColor="text1"/>
          <w:sz w:val="24"/>
        </w:rPr>
        <w:t xml:space="preserve">трансевропейската транспортна мрежа (TEN-T), трансевропейската енергийна мрежа (TEN-E) и далекосъобщенията. </w:t>
      </w:r>
    </w:p>
    <w:p>
      <w:pPr>
        <w:pStyle w:val="BodyA"/>
        <w:spacing w:after="0" w:line="240" w:lineRule="auto"/>
        <w:jc w:val="both"/>
        <w:rPr>
          <w:noProof/>
          <w:color w:val="000000" w:themeColor="text1"/>
        </w:rPr>
      </w:pPr>
    </w:p>
    <w:p>
      <w:pPr>
        <w:pStyle w:val="ListParagraph"/>
        <w:numPr>
          <w:ilvl w:val="1"/>
          <w:numId w:val="21"/>
        </w:numPr>
        <w:ind w:left="851"/>
        <w:jc w:val="both"/>
        <w:rPr>
          <w:rStyle w:val="None"/>
          <w:rFonts w:ascii="Times New Roman" w:hAnsi="Times New Roman" w:cs="Times New Roman"/>
          <w:b/>
          <w:bCs/>
          <w:noProof/>
          <w:color w:val="000000" w:themeColor="text1"/>
          <w:sz w:val="24"/>
          <w:szCs w:val="24"/>
          <w:u w:color="FF0000"/>
        </w:rPr>
      </w:pPr>
      <w:r>
        <w:rPr>
          <w:rStyle w:val="None"/>
          <w:rFonts w:ascii="Times New Roman" w:hAnsi="Times New Roman"/>
          <w:b/>
          <w:noProof/>
          <w:color w:val="000000" w:themeColor="text1"/>
          <w:sz w:val="24"/>
          <w:u w:color="FF0000"/>
        </w:rPr>
        <w:t>Допълнителни мерки</w:t>
      </w:r>
    </w:p>
    <w:p>
      <w:pPr>
        <w:pStyle w:val="BodyA"/>
        <w:spacing w:after="0" w:line="240" w:lineRule="auto"/>
        <w:jc w:val="both"/>
        <w:rPr>
          <w:rStyle w:val="None"/>
          <w:rFonts w:ascii="Arial" w:eastAsia="Arial" w:hAnsi="Arial" w:cs="Arial"/>
          <w:noProof/>
          <w:color w:val="000000" w:themeColor="text1"/>
        </w:rPr>
      </w:pPr>
      <w:r>
        <w:rPr>
          <w:rStyle w:val="None"/>
          <w:rFonts w:ascii="Times New Roman" w:hAnsi="Times New Roman"/>
          <w:noProof/>
          <w:color w:val="000000" w:themeColor="text1"/>
          <w:sz w:val="24"/>
        </w:rPr>
        <w:t>Успоредно с приемането на предложението за регламент</w:t>
      </w:r>
      <w:r>
        <w:rPr>
          <w:rFonts w:ascii="Times New Roman" w:hAnsi="Times New Roman"/>
          <w:noProof/>
          <w:color w:val="000000" w:themeColor="text1"/>
          <w:sz w:val="24"/>
        </w:rPr>
        <w:t xml:space="preserve"> за създаване на рамка за скрининг на преките чуждестранни инвестиции в ЕС, </w:t>
      </w:r>
      <w:r>
        <w:rPr>
          <w:rStyle w:val="None"/>
          <w:rFonts w:ascii="Times New Roman" w:hAnsi="Times New Roman"/>
          <w:noProof/>
          <w:color w:val="000000" w:themeColor="text1"/>
          <w:sz w:val="24"/>
        </w:rPr>
        <w:t xml:space="preserve">което е предмет на обикновената законодателна процедура, Комисията </w:t>
      </w:r>
      <w:r>
        <w:rPr>
          <w:rStyle w:val="None"/>
          <w:rFonts w:ascii="Times New Roman" w:hAnsi="Times New Roman"/>
          <w:b/>
          <w:noProof/>
          <w:color w:val="000000" w:themeColor="text1"/>
          <w:sz w:val="24"/>
        </w:rPr>
        <w:t>ще пристъпи незабавно към следните мерки</w:t>
      </w:r>
      <w:r>
        <w:rPr>
          <w:rStyle w:val="None"/>
          <w:rFonts w:ascii="Times New Roman" w:hAnsi="Times New Roman"/>
          <w:noProof/>
          <w:color w:val="000000" w:themeColor="text1"/>
          <w:sz w:val="24"/>
        </w:rPr>
        <w:t>:</w:t>
      </w:r>
    </w:p>
    <w:p>
      <w:pPr>
        <w:pStyle w:val="ListParagraph"/>
        <w:spacing w:after="0" w:line="240" w:lineRule="auto"/>
        <w:ind w:left="0"/>
        <w:rPr>
          <w:rStyle w:val="None"/>
          <w:rFonts w:ascii="Times New Roman" w:eastAsia="Times New Roman" w:hAnsi="Times New Roman" w:cs="Times New Roman"/>
          <w:noProof/>
          <w:color w:val="000000" w:themeColor="text1"/>
          <w:sz w:val="24"/>
          <w:szCs w:val="24"/>
        </w:rPr>
      </w:pPr>
    </w:p>
    <w:p>
      <w:pPr>
        <w:pStyle w:val="BodyA"/>
        <w:numPr>
          <w:ilvl w:val="1"/>
          <w:numId w:val="6"/>
        </w:numPr>
        <w:spacing w:after="0" w:line="240" w:lineRule="auto"/>
        <w:jc w:val="both"/>
        <w:rPr>
          <w:rStyle w:val="None"/>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rPr>
        <w:t xml:space="preserve">Ще извърши до края на 2018 г. допълнителен </w:t>
      </w:r>
      <w:r>
        <w:rPr>
          <w:rStyle w:val="None"/>
          <w:rFonts w:ascii="Times New Roman" w:hAnsi="Times New Roman"/>
          <w:b/>
          <w:noProof/>
          <w:color w:val="000000" w:themeColor="text1"/>
          <w:sz w:val="24"/>
        </w:rPr>
        <w:t>задълбочен анализ на потоците от преки чуждестранни инвестиции в ЕС</w:t>
      </w:r>
      <w:r>
        <w:rPr>
          <w:rStyle w:val="None"/>
          <w:rFonts w:ascii="Times New Roman" w:hAnsi="Times New Roman"/>
          <w:noProof/>
          <w:color w:val="000000" w:themeColor="text1"/>
          <w:sz w:val="24"/>
        </w:rPr>
        <w:t>, особено в стратегически сектори (напр. енергетиката, космическото пространство, транспорта) или активи (технологиите и ресурсите, свързани със стратегическите сектори, критичните инфраструктури между секторите, чувствителните данни), които биха могли да породят опасения в областта на сигурността, обществения ред и/или контрола на жизненоважни активи, по-специално когато инвеститорът е притежаван или контролиран от трета държава или се ползва от значителни държавни субсидии. Той ще включва, в сътрудничество с държавите членки, събиране на възможно най-подробни данни, анализ на тенденциите и оценка на въздействието, в това число чрез проучвания на конкретни случаи. При необходимост анализът ще включва допълнително проучване за активи от първостепенно значение. Ролята на държавната помощ, способстваща придобиванията, също ще бъде оценена.</w:t>
      </w:r>
    </w:p>
    <w:p>
      <w:pPr>
        <w:pStyle w:val="BodyA"/>
        <w:spacing w:after="0" w:line="240" w:lineRule="auto"/>
        <w:ind w:left="536"/>
        <w:jc w:val="both"/>
        <w:rPr>
          <w:rStyle w:val="None"/>
          <w:rFonts w:ascii="Times New Roman" w:eastAsia="Times New Roman" w:hAnsi="Times New Roman" w:cs="Times New Roman"/>
          <w:b/>
          <w:bCs/>
          <w:noProof/>
          <w:color w:val="000000" w:themeColor="text1"/>
          <w:sz w:val="24"/>
          <w:szCs w:val="24"/>
          <w:u w:color="FF2600"/>
        </w:rPr>
      </w:pPr>
    </w:p>
    <w:p>
      <w:pPr>
        <w:pStyle w:val="BodyA"/>
        <w:numPr>
          <w:ilvl w:val="1"/>
          <w:numId w:val="6"/>
        </w:numPr>
        <w:spacing w:after="0" w:line="240" w:lineRule="auto"/>
        <w:jc w:val="both"/>
        <w:rPr>
          <w:rStyle w:val="None"/>
          <w:rFonts w:ascii="Times New Roman" w:hAnsi="Times New Roman"/>
          <w:noProof/>
          <w:color w:val="000000" w:themeColor="text1"/>
          <w:sz w:val="24"/>
          <w:szCs w:val="24"/>
        </w:rPr>
      </w:pPr>
      <w:r>
        <w:rPr>
          <w:rStyle w:val="None"/>
          <w:rFonts w:ascii="Times New Roman" w:hAnsi="Times New Roman"/>
          <w:noProof/>
          <w:color w:val="000000" w:themeColor="text1"/>
          <w:sz w:val="24"/>
        </w:rPr>
        <w:t xml:space="preserve">Ще създаде </w:t>
      </w:r>
      <w:r>
        <w:rPr>
          <w:rStyle w:val="None"/>
          <w:rFonts w:ascii="Times New Roman" w:hAnsi="Times New Roman"/>
          <w:b/>
          <w:noProof/>
          <w:color w:val="000000" w:themeColor="text1"/>
          <w:sz w:val="24"/>
        </w:rPr>
        <w:t>координационна група</w:t>
      </w:r>
      <w:r>
        <w:rPr>
          <w:rStyle w:val="None"/>
          <w:rFonts w:ascii="Times New Roman" w:hAnsi="Times New Roman"/>
          <w:noProof/>
          <w:color w:val="000000" w:themeColor="text1"/>
          <w:sz w:val="24"/>
        </w:rPr>
        <w:t>, занимаваща се с входящите преки чуждестранни инвестиции, в това число всички въпроси, попадащи в приложното поле на предложения регламент. Групата ще се председателства от Комисията и ще бъде съставена от представители на държавите членки. Нейната дейност би могла да бъде съсредоточена по-конкретно в следните области:</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rPr>
        <w:t>определяне на секторите и активите, които имат стратегическо значение за сигурността, обществения ред и/или контрола на активите от първостепенно значение на национално равнище, трансгранично равнище (например активи, намиращи се в една държава членка, които могат да имат стратегическо значение за друга държава членка) или на равнището на ЕС (въз основа на списъка на проектите или програмите, представляващи интерес за Съюза);</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rPr>
        <w:t xml:space="preserve">обмен на информация и анализ на преките чуждестранни инвестиции, включително мотивите за инвестициите, географския им произход и източниците на финансиране (публични или частни); </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rPr>
        <w:t>обсъждане на въпроси от общ интерес, включително въпроси, свързани с еднаквите условия на конкуренция, като субсидиите и други практики от страна на трети държави, които способстват за стратегическите придобивания, и причините, поради които европейските инвеститори не могат да придобиват и поддържат европейски технологии и ресурси от първостепенно значение;</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rPr>
        <w:t>обмен между държавите членки на най-добри практики и извлечени поуки в областта на скрининга на преките чуждестранни инвестиции;</w:t>
      </w:r>
    </w:p>
    <w:p>
      <w:pPr>
        <w:pStyle w:val="ListParagraph"/>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rPr>
        <w:t>обсъждане на възможността за сътрудничество с трети държави с общи интереси и предизвикателства по отношение на последиците от преките чуждестранни инвестиции за сигурността и обществения ред;</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rPr>
        <w:t xml:space="preserve">насърчаване на сближаването на политиките, като същевременно се зачита автономията на държавите членки при избора им дали да извършват скрининг на преките чуждестранни инвестиции или не; </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rPr>
        <w:t>по-нататъшно обмисляне на средствата за защита на европейските стратегически активи, включително чрез механизъм за скрининг на равнището на ЕС;</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rPr>
      </w:pPr>
      <w:r>
        <w:rPr>
          <w:rStyle w:val="None"/>
          <w:rFonts w:ascii="Times New Roman" w:hAnsi="Times New Roman"/>
          <w:noProof/>
          <w:color w:val="000000" w:themeColor="text1"/>
          <w:sz w:val="24"/>
        </w:rPr>
        <w:t>разглеждане на всички въпроси, свързани с прилагането на предложения регламент след влизането му в сила.</w:t>
      </w:r>
    </w:p>
    <w:p>
      <w:pPr>
        <w:pStyle w:val="BodyA"/>
        <w:spacing w:after="0" w:line="240" w:lineRule="auto"/>
        <w:ind w:left="360"/>
        <w:jc w:val="both"/>
        <w:rPr>
          <w:rStyle w:val="None"/>
          <w:noProof/>
          <w:color w:val="000000" w:themeColor="text1"/>
        </w:rPr>
      </w:pPr>
    </w:p>
    <w:p>
      <w:pPr>
        <w:jc w:val="both"/>
        <w:rPr>
          <w:rStyle w:val="None"/>
          <w:rFonts w:eastAsia="Times New Roman"/>
          <w:bCs/>
          <w:noProof/>
          <w:color w:val="000000" w:themeColor="text1"/>
          <w:u w:color="FF0000"/>
        </w:rPr>
      </w:pPr>
      <w:r>
        <w:rPr>
          <w:rStyle w:val="None"/>
          <w:b/>
          <w:noProof/>
          <w:color w:val="000000" w:themeColor="text1"/>
          <w:u w:color="FF0000"/>
        </w:rPr>
        <w:t>7.</w:t>
      </w:r>
      <w:r>
        <w:rPr>
          <w:noProof/>
        </w:rPr>
        <w:tab/>
      </w:r>
      <w:r>
        <w:rPr>
          <w:rStyle w:val="None"/>
          <w:b/>
          <w:noProof/>
          <w:color w:val="000000" w:themeColor="text1"/>
          <w:u w:color="FF0000"/>
        </w:rPr>
        <w:t>Заключение</w:t>
      </w:r>
    </w:p>
    <w:p>
      <w:pPr>
        <w:jc w:val="both"/>
        <w:rPr>
          <w:rStyle w:val="None"/>
          <w:bCs/>
          <w:noProof/>
          <w:color w:val="000000" w:themeColor="text1"/>
          <w:u w:color="FF0000"/>
        </w:rPr>
      </w:pPr>
    </w:p>
    <w:p>
      <w:pPr>
        <w:jc w:val="both"/>
        <w:rPr>
          <w:rStyle w:val="None"/>
          <w:bCs/>
          <w:noProof/>
          <w:color w:val="000000" w:themeColor="text1"/>
          <w:u w:color="FF0000"/>
        </w:rPr>
      </w:pPr>
      <w:r>
        <w:rPr>
          <w:rStyle w:val="None"/>
          <w:noProof/>
          <w:color w:val="000000" w:themeColor="text1"/>
          <w:u w:color="FF0000"/>
        </w:rPr>
        <w:t xml:space="preserve">Комисията продължава да бъде убедена в ползите от преките чуждестранни инвестиции и в решаващия принос на тези инвестиции за по-високите равнища на растеж и за създаването на качествени работни места в ЕС. Комисията също така счита, че отворената инвестиционна среда допринася за устойчивото развитие в световен план. Ето защо ЕС ще продължи да бъде най-твърдият застъпник и деятел за отворена и основана на правила международна инвестиционна среда. Чрез своята търговска и инвестиционна политика ЕС ще продължи да настоява за това </w:t>
      </w:r>
      <w:r>
        <w:rPr>
          <w:rStyle w:val="None"/>
          <w:noProof/>
          <w:color w:val="000000" w:themeColor="text1"/>
        </w:rPr>
        <w:t xml:space="preserve">третите държави да осигуряват равностойна с тази на ЕС степен на отвореност за чуждестранни инвестиции и да поддържат еднакви условия на конкуренция за субектите от ЕС. </w:t>
      </w:r>
    </w:p>
    <w:p>
      <w:pPr>
        <w:jc w:val="both"/>
        <w:rPr>
          <w:rStyle w:val="None"/>
          <w:bCs/>
          <w:noProof/>
          <w:color w:val="000000" w:themeColor="text1"/>
          <w:u w:color="FF0000"/>
        </w:rPr>
      </w:pPr>
    </w:p>
    <w:p>
      <w:pPr>
        <w:jc w:val="both"/>
        <w:rPr>
          <w:noProof/>
          <w:color w:val="000000" w:themeColor="text1"/>
        </w:rPr>
      </w:pPr>
      <w:r>
        <w:rPr>
          <w:rStyle w:val="None"/>
          <w:noProof/>
          <w:color w:val="000000" w:themeColor="text1"/>
          <w:u w:color="FF0000"/>
        </w:rPr>
        <w:t>При все това е очевидно, че ЕС и неговите държави членки трябва да бъдат в състояние да предприемат решителни и бързи действия, когато преки чуждестранни инвестиции биха могли да се засегнат сигурността или обществения ред. Ето защо Комисията представя заедно с настоящото съобщение и законодателно предложение</w:t>
      </w:r>
      <w:r>
        <w:rPr>
          <w:noProof/>
          <w:color w:val="000000" w:themeColor="text1"/>
        </w:rPr>
        <w:t xml:space="preserve">. Променящата се международна обстановка налага Европейският парламент и Съветът да предприемат действия, с които да гарантират бързината на законодателния процес. </w:t>
      </w:r>
    </w:p>
    <w:p>
      <w:pPr>
        <w:rPr>
          <w:noProof/>
          <w:color w:val="000000" w:themeColor="text1"/>
        </w:rPr>
      </w:pPr>
    </w:p>
    <w:p>
      <w:pPr>
        <w:jc w:val="both"/>
        <w:rPr>
          <w:b/>
          <w:bCs/>
          <w:noProof/>
          <w:color w:val="FF0000"/>
        </w:rPr>
      </w:pPr>
      <w:r>
        <w:rPr>
          <w:noProof/>
          <w:color w:val="000000" w:themeColor="text1"/>
        </w:rPr>
        <w:t>Успоредно с преговорите по регламента и съгласно съществуващата рамка и точка 6.2, буква б) от настоящото съобщение, Комисията ще обърне специално внимание на преките чуждестранни инвестиции, които биха могли да застрашат сигурността или обществения ред, и ще разгледа внимателно ситуацията в тясно сътрудничество с държавите членки. Държавите членки се приканват да работят активно за това сътрудничество и за изпълнението на задачите на координационната група, която Комисията ще създаде за тази цел.</w:t>
      </w:r>
    </w:p>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
    <w:p>
      <w:pPr>
        <w:pStyle w:val="Header"/>
        <w:tabs>
          <w:tab w:val="clear" w:pos="9072"/>
          <w:tab w:val="right" w:pos="9046"/>
        </w:tabs>
      </w:pPr>
      <w:r>
        <w:t>CONFIDENTIAL</w:t>
      </w:r>
      <w:r>
        <w:tab/>
      </w:r>
      <w:r>
        <w:tab/>
        <w:t>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8429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vertAlign w:val="superscript"/>
        </w:rPr>
        <w:footnoteRef/>
      </w:r>
      <w:r>
        <w:t xml:space="preserve"> COM(2017) 240 от 10 май 2017 г. — „Документ за размисъл относно извличането на ползите от глобализацията“.</w:t>
      </w:r>
    </w:p>
  </w:footnote>
  <w:footnote w:id="3">
    <w:p>
      <w:pPr>
        <w:pStyle w:val="FootnoteText"/>
        <w:rPr>
          <w:color w:val="000000" w:themeColor="text1"/>
        </w:rPr>
      </w:pPr>
      <w:r>
        <w:rPr>
          <w:rStyle w:val="FootnoteReference"/>
          <w:color w:val="000000" w:themeColor="text1"/>
        </w:rPr>
        <w:footnoteRef/>
      </w:r>
      <w:r>
        <w:rPr>
          <w:color w:val="000000" w:themeColor="text1"/>
        </w:rPr>
        <w:t xml:space="preserve"> Заключения на Европейския съвет от юни 2017 г.</w:t>
      </w:r>
    </w:p>
  </w:footnote>
  <w:footnote w:id="4">
    <w:p>
      <w:pPr>
        <w:pStyle w:val="FootnoteText"/>
        <w:rPr>
          <w:color w:val="000000" w:themeColor="text1"/>
        </w:rPr>
      </w:pPr>
      <w:r>
        <w:rPr>
          <w:rStyle w:val="FootnoteReference"/>
          <w:color w:val="000000" w:themeColor="text1"/>
        </w:rPr>
        <w:footnoteRef/>
      </w:r>
      <w:r>
        <w:rPr>
          <w:color w:val="000000" w:themeColor="text1"/>
        </w:rPr>
        <w:t xml:space="preserve"> Резолюция на Европейския парламент от 5 юли 2017 г. относно създаването на амбициозна промишлена стратегия на ЕС като стратегически приоритет за растеж, заетост и иновации в Европа. Освен това понастоящем в Комисията по международна търговия на Европейския парламент е в процес на обсъждане предложение за акт на Съюза относно скрининга на чуждестранните инвестиции в стратегически сектори (Европейски парламент 2014—2019 г., B [8-0000/2017] от 20.3.2017 г.)</w:t>
      </w:r>
    </w:p>
  </w:footnote>
  <w:footnote w:id="5">
    <w:p>
      <w:pPr>
        <w:pStyle w:val="FootnoteText"/>
        <w:rPr>
          <w:color w:val="000000" w:themeColor="text1"/>
        </w:rPr>
      </w:pPr>
      <w:r>
        <w:rPr>
          <w:color w:val="000000" w:themeColor="text1"/>
          <w:vertAlign w:val="superscript"/>
        </w:rPr>
        <w:footnoteRef/>
      </w:r>
      <w:r>
        <w:rPr>
          <w:color w:val="000000" w:themeColor="text1"/>
          <w:u w:color="FF0000"/>
        </w:rPr>
        <w:t>Настоящото съобщение се отнася само до преките чуждестранни инвестиции от държави извън ЕС и не обхваща портфейлните инвестиции.</w:t>
      </w:r>
    </w:p>
  </w:footnote>
  <w:footnote w:id="6">
    <w:p>
      <w:pPr>
        <w:pStyle w:val="FootnoteText"/>
      </w:pPr>
      <w:r>
        <w:rPr>
          <w:vertAlign w:val="superscript"/>
        </w:rPr>
        <w:footnoteRef/>
      </w:r>
      <w:r>
        <w:t xml:space="preserve"> Вж. например индекса на ОИСР за регулаторните ограничения на ПЧИ: </w:t>
      </w:r>
      <w:hyperlink r:id="rId1">
        <w:r>
          <w:rPr>
            <w:rStyle w:val="Hyperlink0"/>
          </w:rPr>
          <w:t>http://www.oecd.org/investment/fdiindex.htm</w:t>
        </w:r>
      </w:hyperlink>
    </w:p>
  </w:footnote>
  <w:footnote w:id="7">
    <w:p>
      <w:pPr>
        <w:pStyle w:val="FootnoteText"/>
        <w:rPr>
          <w:color w:val="auto"/>
        </w:rPr>
      </w:pPr>
      <w:r>
        <w:rPr>
          <w:rStyle w:val="FootnoteReference"/>
        </w:rPr>
        <w:footnoteRef/>
      </w:r>
      <w:r>
        <w:t xml:space="preserve"> </w:t>
      </w:r>
      <w:r>
        <w:rPr>
          <w:color w:val="auto"/>
        </w:rPr>
        <w:t>Членове 63 и 206 ДФЕС.</w:t>
      </w:r>
    </w:p>
  </w:footnote>
  <w:footnote w:id="8">
    <w:p>
      <w:pPr>
        <w:pStyle w:val="FootnoteText"/>
        <w:rPr>
          <w:color w:val="auto"/>
        </w:rPr>
      </w:pPr>
      <w:r>
        <w:rPr>
          <w:rStyle w:val="FootnoteReference"/>
          <w:color w:val="auto"/>
        </w:rPr>
        <w:footnoteRef/>
      </w:r>
      <w:r>
        <w:rPr>
          <w:color w:val="auto"/>
        </w:rPr>
        <w:t xml:space="preserve"> Евростат</w:t>
      </w:r>
    </w:p>
  </w:footnote>
  <w:footnote w:id="9">
    <w:p>
      <w:pPr>
        <w:pStyle w:val="FootnoteText"/>
      </w:pPr>
      <w:r>
        <w:rPr>
          <w:rStyle w:val="FootnoteReference"/>
          <w:color w:val="auto"/>
        </w:rPr>
        <w:footnoteRef/>
      </w:r>
      <w:r>
        <w:rPr>
          <w:color w:val="auto"/>
        </w:rPr>
        <w:t xml:space="preserve"> Евростат</w:t>
      </w:r>
    </w:p>
  </w:footnote>
  <w:footnote w:id="10">
    <w:p>
      <w:pPr>
        <w:pStyle w:val="FootnoteText"/>
      </w:pPr>
      <w:r>
        <w:rPr>
          <w:rStyle w:val="FootnoteReference"/>
        </w:rPr>
        <w:footnoteRef/>
      </w:r>
      <w:r>
        <w:t xml:space="preserve"> Евростат</w:t>
      </w:r>
    </w:p>
  </w:footnote>
  <w:footnote w:id="11">
    <w:p>
      <w:pPr>
        <w:pStyle w:val="BodyA"/>
        <w:spacing w:after="0" w:line="240" w:lineRule="auto"/>
        <w:jc w:val="both"/>
      </w:pPr>
      <w:r>
        <w:rPr>
          <w:rStyle w:val="FootnoteReference"/>
          <w:sz w:val="20"/>
          <w:szCs w:val="20"/>
        </w:rPr>
        <w:footnoteRef/>
      </w:r>
      <w:r>
        <w:t xml:space="preserve"> </w:t>
      </w:r>
      <w:r>
        <w:rPr>
          <w:color w:val="auto"/>
          <w:sz w:val="20"/>
        </w:rPr>
        <w:t>Данните не включват инвестиции чрез предприятия със специално предназначение.</w:t>
      </w:r>
    </w:p>
  </w:footnote>
  <w:footnote w:id="12">
    <w:p>
      <w:pPr>
        <w:pStyle w:val="FootnoteText"/>
        <w:rPr>
          <w:color w:val="auto"/>
        </w:rPr>
      </w:pPr>
      <w:r>
        <w:rPr>
          <w:rStyle w:val="FootnoteReference"/>
          <w:color w:val="auto"/>
        </w:rPr>
        <w:footnoteRef/>
      </w:r>
      <w:r>
        <w:rPr>
          <w:color w:val="auto"/>
        </w:rPr>
        <w:t xml:space="preserve"> Евростат</w:t>
      </w:r>
    </w:p>
  </w:footnote>
  <w:footnote w:id="13">
    <w:p>
      <w:pPr>
        <w:pStyle w:val="FootnoteText"/>
      </w:pPr>
      <w:r>
        <w:rPr>
          <w:rStyle w:val="FootnoteReference"/>
        </w:rPr>
        <w:footnoteRef/>
      </w:r>
      <w:r>
        <w:t xml:space="preserve"> UNCTAD, „World Investment Report 2017: Investment and the Digital Economy“ („Доклад за инвестициите по света за 2017 г: инвестициите и цифровата икономика“).</w:t>
      </w:r>
    </w:p>
  </w:footnote>
  <w:footnote w:id="14">
    <w:p>
      <w:pPr>
        <w:pStyle w:val="FootnoteText"/>
      </w:pPr>
      <w:r>
        <w:rPr>
          <w:rStyle w:val="FootnoteReference"/>
        </w:rPr>
        <w:footnoteRef/>
      </w:r>
      <w:r>
        <w:t xml:space="preserve"> Пак там.</w:t>
      </w:r>
    </w:p>
  </w:footnote>
  <w:footnote w:id="15">
    <w:p>
      <w:pPr>
        <w:pStyle w:val="Body"/>
        <w:rPr>
          <w:rStyle w:val="None"/>
          <w:rFonts w:ascii="Calibri" w:eastAsia="Calibri" w:hAnsi="Calibri" w:cs="Calibri"/>
          <w:sz w:val="20"/>
          <w:szCs w:val="20"/>
        </w:rPr>
      </w:pPr>
      <w:r>
        <w:rPr>
          <w:rStyle w:val="None"/>
          <w:rFonts w:ascii="Calibri" w:hAnsi="Calibri"/>
          <w:sz w:val="20"/>
          <w:vertAlign w:val="superscript"/>
        </w:rPr>
        <w:footnoteRef/>
      </w:r>
      <w:r>
        <w:rPr>
          <w:rFonts w:ascii="Calibri" w:hAnsi="Calibri"/>
          <w:sz w:val="20"/>
        </w:rPr>
        <w:t xml:space="preserve"> </w:t>
      </w:r>
      <w:r>
        <w:rPr>
          <w:rStyle w:val="None"/>
          <w:rFonts w:ascii="Calibri" w:hAnsi="Calibri"/>
          <w:sz w:val="20"/>
        </w:rPr>
        <w:t>COM(2017) 338 final — „ДОКЛАД НА КОМИСИЯТА ДО ЕВРОПЕЙСКИЯ ПАРЛАМЕНТ И</w:t>
      </w:r>
    </w:p>
    <w:p>
      <w:pPr>
        <w:pStyle w:val="Body"/>
        <w:rPr>
          <w:rFonts w:ascii="Calibri" w:hAnsi="Calibri"/>
          <w:sz w:val="20"/>
          <w:szCs w:val="20"/>
        </w:rPr>
      </w:pPr>
      <w:r>
        <w:rPr>
          <w:rStyle w:val="None"/>
          <w:rFonts w:ascii="Calibri" w:hAnsi="Calibri"/>
          <w:sz w:val="20"/>
        </w:rPr>
        <w:t>СЪВЕТА относно пречките пред търговията и инвестициите за периода 1 януари — 31 декември 2016 г.“</w:t>
      </w:r>
    </w:p>
  </w:footnote>
  <w:footnote w:id="16">
    <w:p>
      <w:pPr>
        <w:pStyle w:val="FootnoteText"/>
      </w:pPr>
      <w:r>
        <w:rPr>
          <w:rStyle w:val="None"/>
          <w:vertAlign w:val="superscript"/>
        </w:rPr>
        <w:footnoteRef/>
      </w:r>
      <w:r>
        <w:t>Съобщение COM(2015)497 от 14 октомври 2015 г.—„Търговията — за всички. Към една по-отговорна търговска и инвестиционна политика“.</w:t>
      </w:r>
    </w:p>
  </w:footnote>
  <w:footnote w:id="17">
    <w:p>
      <w:pPr>
        <w:pStyle w:val="FootnoteText"/>
      </w:pPr>
      <w:r>
        <w:rPr>
          <w:rStyle w:val="FootnoteReference"/>
        </w:rPr>
        <w:footnoteRef/>
      </w:r>
      <w:r>
        <w:t xml:space="preserve"> </w:t>
      </w:r>
      <w:r>
        <w:rPr>
          <w:rStyle w:val="None"/>
        </w:rPr>
        <w:t>Обсъжданията по споразуменията за свободна търговия с Австралия, Виетнам, Индия, Индонезия, Канада, Мароко, Мексико, Меркосур, Нова Зеландия, Сингапур, Турция, Филипините, Чили и Япония са на различни етапи. ЕС води също преговори за самостоятелни инвестиционни споразумения с Китай и Мианмар.</w:t>
      </w:r>
      <w:r>
        <w:rPr>
          <w:rStyle w:val="None"/>
          <w:rFonts w:ascii="Times New Roman" w:hAnsi="Times New Roman"/>
          <w:sz w:val="24"/>
        </w:rPr>
        <w:t xml:space="preserve"> </w:t>
      </w:r>
    </w:p>
  </w:footnote>
  <w:footnote w:id="18">
    <w:p>
      <w:pPr>
        <w:pStyle w:val="FootnoteText"/>
      </w:pPr>
      <w:r>
        <w:rPr>
          <w:rStyle w:val="FootnoteReference"/>
        </w:rPr>
        <w:footnoteRef/>
      </w:r>
      <w:r>
        <w:t xml:space="preserve"> </w:t>
      </w:r>
      <w:r>
        <w:rPr>
          <w:rStyle w:val="None"/>
        </w:rPr>
        <w:t xml:space="preserve">Приложение III към Изявлението от срещата на министрите на търговията на държавите от Г-20, 9—10 юли 2016 г., Шанхай </w:t>
      </w:r>
    </w:p>
  </w:footnote>
  <w:footnote w:id="19">
    <w:p>
      <w:pPr>
        <w:pStyle w:val="FootnoteText"/>
      </w:pPr>
      <w:r>
        <w:rPr>
          <w:rStyle w:val="FootnoteReference"/>
        </w:rPr>
        <w:footnoteRef/>
      </w:r>
      <w:r>
        <w:t xml:space="preserve"> Членове 63 и 49 ДФЕС.</w:t>
      </w:r>
    </w:p>
  </w:footnote>
  <w:footnote w:id="20">
    <w:p>
      <w:pPr>
        <w:pStyle w:val="FootnoteText"/>
      </w:pPr>
      <w:r>
        <w:rPr>
          <w:rStyle w:val="FootnoteReference"/>
        </w:rPr>
        <w:footnoteRef/>
      </w:r>
      <w:r>
        <w:t xml:space="preserve"> Регламент (ЕО) № 139/2004 на Съвета от 20 януари 2004 г. относно контрола върху концентрациите между предприятия, (ОВ L 24, 29.1.2004 г., стр. 1). </w:t>
      </w:r>
    </w:p>
  </w:footnote>
  <w:footnote w:id="21">
    <w:p>
      <w:pPr>
        <w:pStyle w:val="FootnoteText"/>
      </w:pPr>
      <w:r>
        <w:rPr>
          <w:rStyle w:val="FootnoteReference"/>
        </w:rPr>
        <w:footnoteRef/>
      </w:r>
      <w:r>
        <w:t xml:space="preserve"> Работен документ на службите на Комисията (2013)318. </w:t>
      </w:r>
    </w:p>
  </w:footnote>
  <w:footnote w:id="22">
    <w:p>
      <w:pPr>
        <w:pStyle w:val="FootnoteText"/>
        <w:rPr>
          <w:color w:val="FF0000"/>
        </w:rPr>
      </w:pPr>
      <w:r>
        <w:rPr>
          <w:rStyle w:val="None"/>
          <w:vertAlign w:val="superscript"/>
        </w:rPr>
        <w:footnoteRef/>
      </w:r>
      <w:r>
        <w:t xml:space="preserve"> </w:t>
      </w:r>
      <w:r>
        <w:rPr>
          <w:color w:val="auto"/>
        </w:rPr>
        <w:t>Директива (EС) 2016/1148 на Европейския парламент и на Съвета от 6 юли 2016 г. относно мерки за високо общо ниво на сигурност на мрежите и информационните системи в Съюза.</w:t>
      </w:r>
    </w:p>
  </w:footnote>
  <w:footnote w:id="23">
    <w:p>
      <w:pPr>
        <w:pStyle w:val="FootnoteText"/>
      </w:pPr>
      <w:r>
        <w:rPr>
          <w:rStyle w:val="FootnoteReference"/>
        </w:rPr>
        <w:footnoteRef/>
      </w:r>
      <w:r>
        <w:t xml:space="preserve"> Тези сектори са енергетиката, транспорта, банковото дело и финансовите пазари, инфраструктурата, здравеопазването, снабдяването с питейна вода, цифровата инфраструктура и доставчиците на цифрови услуги.</w:t>
      </w:r>
    </w:p>
  </w:footnote>
  <w:footnote w:id="24">
    <w:p>
      <w:pPr>
        <w:pStyle w:val="FootnoteText"/>
        <w:rPr>
          <w:color w:val="000000" w:themeColor="text1"/>
        </w:rPr>
      </w:pPr>
      <w:r>
        <w:rPr>
          <w:rStyle w:val="None"/>
          <w:color w:val="000000" w:themeColor="text1"/>
          <w:vertAlign w:val="superscript"/>
        </w:rPr>
        <w:footnoteRef/>
      </w:r>
      <w:r>
        <w:rPr>
          <w:rStyle w:val="None"/>
          <w:color w:val="000000" w:themeColor="text1"/>
          <w:u w:color="FF0000"/>
        </w:rPr>
        <w:t xml:space="preserve"> Регламент (ЕО) № 1008/2008 относно общите правила за извършване на въздухоплавателни услуги в Общността.</w:t>
      </w:r>
    </w:p>
  </w:footnote>
  <w:footnote w:id="25">
    <w:p>
      <w:pPr>
        <w:pStyle w:val="FootnoteText"/>
        <w:rPr>
          <w:color w:val="000000" w:themeColor="text1"/>
        </w:rPr>
      </w:pPr>
      <w:r>
        <w:rPr>
          <w:rStyle w:val="None"/>
          <w:color w:val="000000" w:themeColor="text1"/>
          <w:vertAlign w:val="superscript"/>
        </w:rPr>
        <w:footnoteRef/>
      </w:r>
      <w:r>
        <w:rPr>
          <w:rStyle w:val="None"/>
          <w:color w:val="000000" w:themeColor="text1"/>
          <w:u w:color="FF0000"/>
        </w:rPr>
        <w:t xml:space="preserve"> Директива 2009/73</w:t>
      </w:r>
      <w:r>
        <w:t xml:space="preserve"> относно общите правила за вътрешния пазар на природен газ и Директива 2009/72 относно общите правила за вътрешния пазар на електроенергия</w:t>
      </w:r>
      <w:r>
        <w:rPr>
          <w:rStyle w:val="CommentTextChar"/>
          <w:color w:val="000000" w:themeColor="text1"/>
          <w:u w:color="FF0000"/>
        </w:rPr>
        <w:t xml:space="preserve"> </w:t>
      </w:r>
      <w:r>
        <w:rPr>
          <w:rStyle w:val="None"/>
          <w:color w:val="000000" w:themeColor="text1"/>
          <w:u w:color="FF0000"/>
        </w:rPr>
        <w:t>.</w:t>
      </w:r>
    </w:p>
  </w:footnote>
  <w:footnote w:id="26">
    <w:p>
      <w:pPr>
        <w:pStyle w:val="FootnoteText"/>
      </w:pPr>
      <w:r>
        <w:rPr>
          <w:rStyle w:val="FootnoteReference"/>
        </w:rPr>
        <w:footnoteRef/>
      </w:r>
      <w:r>
        <w:t xml:space="preserve"> Директива 94/22/ЕО от 30 май 1994 г. относно условията за предоставяне и ползване на разрешения за проучване, изследване и производство на въглеводороди.</w:t>
      </w:r>
    </w:p>
  </w:footnote>
  <w:footnote w:id="27">
    <w:p>
      <w:pPr>
        <w:pStyle w:val="FootnoteText"/>
      </w:pPr>
      <w:r>
        <w:rPr>
          <w:rStyle w:val="FootnoteReference"/>
        </w:rPr>
        <w:footnoteRef/>
      </w:r>
      <w:r>
        <w:t xml:space="preserve"> COM(2014) 330</w:t>
      </w:r>
    </w:p>
  </w:footnote>
  <w:footnote w:id="28">
    <w:p>
      <w:pPr>
        <w:pStyle w:val="FootnoteText"/>
      </w:pPr>
      <w:r>
        <w:rPr>
          <w:rStyle w:val="None"/>
          <w:vertAlign w:val="superscript"/>
        </w:rPr>
        <w:footnoteRef/>
      </w:r>
      <w:r>
        <w:t xml:space="preserve"> Новият регламент за отмяна на Регламент (ЕС) № 994/2010 e понастоящем в процес на приемане и се очаква да влезе в сила през есента на 2017 г. За електроенергията — (COM (2016)862) — Предложение за регламент на Европейския парламент и на Съвета за готовност за справяне с рискове в електроенергийния сектор и за отмяна на Директива 2005/89/ЕО.</w:t>
      </w:r>
    </w:p>
  </w:footnote>
  <w:footnote w:id="29">
    <w:p>
      <w:pPr>
        <w:pStyle w:val="FootnoteText"/>
      </w:pPr>
      <w:r>
        <w:rPr>
          <w:rStyle w:val="FootnoteReference"/>
          <w:color w:val="000000" w:themeColor="text1"/>
        </w:rPr>
        <w:footnoteRef/>
      </w:r>
      <w:r>
        <w:rPr>
          <w:color w:val="000000" w:themeColor="text1"/>
        </w:rPr>
        <w:t xml:space="preserve"> Член 207 ДФЕС</w:t>
      </w:r>
      <w:r>
        <w:rPr>
          <w:color w:val="FF0000"/>
        </w:rPr>
        <w:t>.</w:t>
      </w:r>
    </w:p>
  </w:footnote>
  <w:footnote w:id="30">
    <w:p>
      <w:pPr>
        <w:pStyle w:val="NormalWeb"/>
        <w:spacing w:before="0" w:beforeAutospacing="0" w:after="0" w:afterAutospacing="0"/>
        <w:jc w:val="both"/>
        <w:rPr>
          <w:rFonts w:ascii="Calibri" w:hAnsi="Calibri"/>
          <w:color w:val="000000"/>
          <w:sz w:val="20"/>
          <w:szCs w:val="20"/>
        </w:rPr>
      </w:pPr>
      <w:r>
        <w:rPr>
          <w:rStyle w:val="FootnoteReference"/>
          <w:rFonts w:ascii="Calibri" w:hAnsi="Calibri"/>
          <w:sz w:val="20"/>
        </w:rPr>
        <w:footnoteRef/>
      </w:r>
      <w:r>
        <w:rPr>
          <w:rFonts w:ascii="Calibri" w:hAnsi="Calibri"/>
          <w:sz w:val="20"/>
        </w:rPr>
        <w:t xml:space="preserve"> </w:t>
      </w:r>
      <w:r>
        <w:rPr>
          <w:rStyle w:val="None"/>
          <w:rFonts w:ascii="Calibri" w:hAnsi="Calibri"/>
          <w:sz w:val="20"/>
          <w:u w:color="FF0000"/>
          <w:bdr w:val="nil"/>
        </w:rPr>
        <w:t xml:space="preserve">По-специално дело </w:t>
      </w:r>
      <w:r>
        <w:rPr>
          <w:rStyle w:val="None"/>
          <w:rFonts w:ascii="Calibri" w:hAnsi="Calibri"/>
          <w:color w:val="000000"/>
          <w:sz w:val="20"/>
          <w:u w:color="FF0000"/>
          <w:bdr w:val="nil"/>
        </w:rPr>
        <w:t>C-483/99, Комисията срещу Франция, Дело C-463/00, Комисията срещу Испания, дело C-326/07, Комисията срещу Италия, дело C-212/09, Комисията срещу Португалия и Дело C-244/11 Комисията срещу Гърция.</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C07"/>
    <w:multiLevelType w:val="hybridMultilevel"/>
    <w:tmpl w:val="09762E0E"/>
    <w:numStyleLink w:val="Bullets"/>
  </w:abstractNum>
  <w:abstractNum w:abstractNumId="1">
    <w:nsid w:val="115F15EE"/>
    <w:multiLevelType w:val="hybridMultilevel"/>
    <w:tmpl w:val="8508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845EE"/>
    <w:multiLevelType w:val="hybridMultilevel"/>
    <w:tmpl w:val="09762E0E"/>
    <w:styleLink w:val="Bullets"/>
    <w:lvl w:ilvl="0" w:tplc="5EE4B8B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2FE0062">
      <w:start w:val="1"/>
      <w:numFmt w:val="bullet"/>
      <w:lvlText w:val="•"/>
      <w:lvlJc w:val="left"/>
      <w:pPr>
        <w:ind w:left="788"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BA8192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C2C47B2">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CE15D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20E6B20">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086686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B7471B2">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9C058E">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85D607F"/>
    <w:multiLevelType w:val="hybridMultilevel"/>
    <w:tmpl w:val="8632C28A"/>
    <w:styleLink w:val="ImportedStyle1"/>
    <w:lvl w:ilvl="0" w:tplc="AFC22F1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C82B9C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287A5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6CAC5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7C2A8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B0473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A0433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7E4DE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0439B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2155003C"/>
    <w:multiLevelType w:val="multilevel"/>
    <w:tmpl w:val="2062B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7A598C"/>
    <w:multiLevelType w:val="hybridMultilevel"/>
    <w:tmpl w:val="2FC4C3F0"/>
    <w:lvl w:ilvl="0" w:tplc="AAC03D0C">
      <w:start w:val="4"/>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tplc="3040523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7067D9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7827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14F39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5CBC64">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E2904E5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DD4E1B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FA8C6D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330E4CCC"/>
    <w:multiLevelType w:val="multilevel"/>
    <w:tmpl w:val="DB2CC67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C29334D"/>
    <w:multiLevelType w:val="hybridMultilevel"/>
    <w:tmpl w:val="9B06AF7E"/>
    <w:numStyleLink w:val="Numbered"/>
  </w:abstractNum>
  <w:abstractNum w:abstractNumId="8">
    <w:nsid w:val="3E103F26"/>
    <w:multiLevelType w:val="multilevel"/>
    <w:tmpl w:val="04AC7A2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6F8691A"/>
    <w:multiLevelType w:val="hybridMultilevel"/>
    <w:tmpl w:val="9B06AF7E"/>
    <w:styleLink w:val="Numbered"/>
    <w:lvl w:ilvl="0" w:tplc="ECA4F65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3023BF2">
      <w:start w:val="1"/>
      <w:numFmt w:val="decimal"/>
      <w:lvlText w:val="%2."/>
      <w:lvlJc w:val="left"/>
      <w:pPr>
        <w:ind w:left="536"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068939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6DC18E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1D252C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F123CA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EA64BD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F6EEA9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0006B0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B956450"/>
    <w:multiLevelType w:val="hybridMultilevel"/>
    <w:tmpl w:val="3AA0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2A3116"/>
    <w:multiLevelType w:val="hybridMultilevel"/>
    <w:tmpl w:val="C8B0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805C99"/>
    <w:multiLevelType w:val="hybridMultilevel"/>
    <w:tmpl w:val="8632C28A"/>
    <w:numStyleLink w:val="ImportedStyle1"/>
  </w:abstractNum>
  <w:abstractNum w:abstractNumId="13">
    <w:nsid w:val="642F24C3"/>
    <w:multiLevelType w:val="hybridMultilevel"/>
    <w:tmpl w:val="61A46F10"/>
    <w:lvl w:ilvl="0" w:tplc="08090019">
      <w:start w:val="1"/>
      <w:numFmt w:val="lowerLetter"/>
      <w:lvlText w:val="%1."/>
      <w:lvlJc w:val="left"/>
      <w:pPr>
        <w:ind w:left="720" w:hanging="360"/>
      </w:pPr>
    </w:lvl>
    <w:lvl w:ilvl="1" w:tplc="307C8940">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5451C2"/>
    <w:multiLevelType w:val="hybridMultilevel"/>
    <w:tmpl w:val="8632C28A"/>
    <w:numStyleLink w:val="ImportedStyle1"/>
  </w:abstractNum>
  <w:abstractNum w:abstractNumId="1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12"/>
  </w:num>
  <w:num w:numId="3">
    <w:abstractNumId w:val="2"/>
  </w:num>
  <w:num w:numId="4">
    <w:abstractNumId w:val="0"/>
  </w:num>
  <w:num w:numId="5">
    <w:abstractNumId w:val="9"/>
  </w:num>
  <w:num w:numId="6">
    <w:abstractNumId w:val="7"/>
  </w:num>
  <w:num w:numId="7">
    <w:abstractNumId w:val="12"/>
    <w:lvlOverride w:ilvl="0">
      <w:startOverride w:val="5"/>
    </w:lvlOverride>
  </w:num>
  <w:num w:numId="8">
    <w:abstractNumId w:val="14"/>
  </w:num>
  <w:num w:numId="9">
    <w:abstractNumId w:val="4"/>
  </w:num>
  <w:num w:numId="10">
    <w:abstractNumId w:val="6"/>
  </w:num>
  <w:num w:numId="11">
    <w:abstractNumId w:val="6"/>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6"/>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5"/>
  </w:num>
  <w:num w:numId="14">
    <w:abstractNumId w:val="5"/>
  </w:num>
  <w:num w:numId="15">
    <w:abstractNumId w:val="1"/>
  </w:num>
  <w:num w:numId="16">
    <w:abstractNumId w:val="10"/>
  </w:num>
  <w:num w:numId="17">
    <w:abstractNumId w:val="11"/>
  </w:num>
  <w:num w:numId="18">
    <w:abstractNumId w:val="8"/>
  </w:num>
  <w:num w:numId="19">
    <w:abstractNumId w:val="8"/>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8"/>
    <w:lvlOverride w:ilvl="0">
      <w:lvl w:ilvl="0">
        <w:start w:val="1"/>
        <w:numFmt w:val="decimal"/>
        <w:lvlText w:val="%1."/>
        <w:lvlJc w:val="left"/>
        <w:pPr>
          <w:ind w:left="360" w:hanging="360"/>
        </w:pPr>
        <w:rPr>
          <w:rFonts w:hint="default"/>
        </w:rPr>
      </w:lvl>
    </w:lvlOverride>
    <w:lvlOverride w:ilvl="1">
      <w:lvl w:ilvl="1">
        <w:start w:val="1"/>
        <w:numFmt w:val="none"/>
        <w:lvlText w:val="6.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1CB9C38D193E452780629D020E675161"/>
    <w:docVar w:name="LW_CROSSREFERENCE" w:val="&lt;UNUSED&gt;"/>
    <w:docVar w:name="LW_DocType" w:val="NORMAL"/>
    <w:docVar w:name="LW_EMISSION" w:val="13.9.2017"/>
    <w:docVar w:name="LW_EMISSION_ISODATE" w:val="2017-09-13"/>
    <w:docVar w:name="LW_EMISSION_LOCATION" w:val="BRX"/>
    <w:docVar w:name="LW_EMISSION_PREFIX" w:val="Брюксел, "/>
    <w:docVar w:name="LW_EMISSION_SUFFIX" w:val=" \u1075?."/>
    <w:docVar w:name="LW_ID_DOCTYPE_NONLW" w:val="CP-009"/>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94"/>
    <w:docVar w:name="LW_REF.INTERNE" w:val="&lt;UNUSED&gt;"/>
    <w:docVar w:name="LW_SOUS.TITRE.OBJ.CP" w:val="&lt;UNUSED&gt;"/>
    <w:docVar w:name="LW_SUPERTITRE" w:val="&lt;UNUSED&gt;"/>
    <w:docVar w:name="LW_TITRE.OBJ.CP" w:val="\u1057?\u1098?\u1079?\u1076?\u1072?\u1074?\u1072?\u1085?\u1077? \u1085?\u1072? \u1073?\u1083?\u1072?\u1075?\u1086?\u1087?\u1088?\u1080?\u1103?\u1090?\u1085?\u1080? \u1091?\u1089?\u1083?\u1086?\u1074?\u1080?\u1103? \u1079?\u1072? \u1087?\u1088?\u1077?\u1082?\u1080?\u1090?\u1077? \u1095?\u1091?\u1078?\u1076?\u1077?\u1089?\u1090?\u1088?\u1072?\u1085?\u1085?\u1080? \u1080?\u1085?\u1074?\u1077?\u1089?\u1090?\u1080?\u1094?\u1080?\u1080? \u1087?\u1088?\u1080? \u1086?\u1089?\u1080?\u1075?\u1091?\u1088?\u1103?\u1074?\u1072?\u1085?\u1077? \u1085?\u1072? \u1079?\u1072?\u1097?\u1080?\u1090?\u1072? \u1085?\u1072? \u1086?\u1089?\u1085?\u1086?\u1074?\u1085?\u1080?\u1090?\u1077? \u1080?\u1085?\u1090?\u1077?\u1088?\u1077?\u1089?\u1080?"/>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eastAsia="Times New Roman"/>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FootnoteText">
    <w:name w:val="footnote text"/>
    <w:link w:val="FootnoteTextChar"/>
    <w:uiPriority w:val="99"/>
    <w:rPr>
      <w:rFonts w:ascii="Calibri" w:eastAsia="Calibri" w:hAnsi="Calibri" w:cs="Calibri"/>
      <w:color w:val="000000"/>
      <w:u w:color="000000"/>
    </w:rPr>
  </w:style>
  <w:style w:type="paragraph" w:customStyle="1" w:styleId="BodyB">
    <w:name w:val="Body B"/>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color w:val="000000"/>
      <w:u w:val="single" w:color="000000"/>
    </w:rPr>
  </w:style>
  <w:style w:type="paragraph" w:customStyle="1" w:styleId="Default">
    <w:name w:val="Default"/>
    <w:rPr>
      <w:rFonts w:eastAsia="Times New Roman"/>
      <w:color w:val="000000"/>
      <w:sz w:val="24"/>
      <w:szCs w:val="24"/>
      <w:u w:color="000000"/>
    </w:rPr>
  </w:style>
  <w:style w:type="paragraph" w:customStyle="1" w:styleId="Body">
    <w:name w:val="Body"/>
    <w:link w:val="BodyChar"/>
    <w:qFormat/>
    <w:rPr>
      <w:rFonts w:eastAsia="Times New Roman"/>
      <w:color w:val="000000"/>
      <w:sz w:val="24"/>
      <w:szCs w:val="24"/>
      <w:u w:color="000000"/>
    </w:rPr>
  </w:style>
  <w:style w:type="character" w:styleId="FootnoteReference">
    <w:name w:val="footnote reference"/>
    <w:uiPriority w:val="99"/>
    <w:rPr>
      <w:vertAlign w:val="superscript"/>
    </w:rPr>
  </w:style>
  <w:style w:type="paragraph" w:customStyle="1" w:styleId="BodyBA">
    <w:name w:val="Body B A"/>
    <w:rPr>
      <w:rFonts w:cs="Arial Unicode MS"/>
      <w:color w:val="000000"/>
      <w:sz w:val="24"/>
      <w:szCs w:val="24"/>
      <w:u w:color="000000"/>
    </w:rPr>
  </w:style>
  <w:style w:type="numbering" w:customStyle="1" w:styleId="Bullets">
    <w:name w:val="Bullets"/>
    <w:pPr>
      <w:numPr>
        <w:numId w:val="3"/>
      </w:numPr>
    </w:pPr>
  </w:style>
  <w:style w:type="numbering" w:customStyle="1" w:styleId="Numbered">
    <w:name w:val="Numbered"/>
    <w:pPr>
      <w:numPr>
        <w:numId w:val="5"/>
      </w:numPr>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customStyle="1" w:styleId="Considrant">
    <w:name w:val="Considérant"/>
    <w:basedOn w:val="Normal"/>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szCs w:val="22"/>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bg-BG"/>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Char">
    <w:name w:val="Body Char"/>
    <w:link w:val="Body"/>
    <w:rPr>
      <w:rFonts w:eastAsia="Times New Roman"/>
      <w:color w:val="000000"/>
      <w:sz w:val="24"/>
      <w:szCs w:val="24"/>
      <w:u w:color="000000"/>
    </w:rPr>
  </w:style>
  <w:style w:type="character" w:customStyle="1" w:styleId="FooterChar">
    <w:name w:val="Footer Char"/>
    <w:basedOn w:val="DefaultParagraphFont"/>
    <w:link w:val="Footer"/>
    <w:uiPriority w:val="99"/>
    <w:rPr>
      <w:rFonts w:eastAsia="Times New Roman"/>
      <w:color w:val="000000"/>
      <w:sz w:val="24"/>
      <w:szCs w:val="24"/>
      <w:u w:color="000000"/>
      <w:lang w:val="bg-BG"/>
    </w:rPr>
  </w:style>
  <w:style w:type="character" w:styleId="Emphasis">
    <w:name w:val="Emphasis"/>
    <w:basedOn w:val="DefaultParagraphFont"/>
    <w:uiPriority w:val="20"/>
    <w:qFormat/>
    <w:rPr>
      <w:b/>
      <w:bCs/>
      <w:i w:val="0"/>
      <w:iCs w:val="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imes New Roman"/>
      <w:bCs/>
      <w:color w:val="000000"/>
      <w:u w:color="000000"/>
    </w:rPr>
  </w:style>
  <w:style w:type="character" w:customStyle="1" w:styleId="FooterCoverPageChar">
    <w:name w:val="Footer Cover Page Char"/>
    <w:basedOn w:val="BodyChar"/>
    <w:link w:val="FooterCoverPage"/>
    <w:rPr>
      <w:rFonts w:eastAsia="Times New Roman"/>
      <w:bCs/>
      <w:color w:val="000000"/>
      <w:sz w:val="24"/>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HeaderCoverPageChar">
    <w:name w:val="Header Cover Page Char"/>
    <w:basedOn w:val="BodyChar"/>
    <w:link w:val="HeaderCoverPage"/>
    <w:rPr>
      <w:rFonts w:eastAsia="Times New Roman"/>
      <w:bCs/>
      <w:color w:val="000000"/>
      <w:sz w:val="24"/>
      <w:szCs w:val="24"/>
      <w:u w:color="000000"/>
    </w:rPr>
  </w:style>
  <w:style w:type="character" w:styleId="FollowedHyperlink">
    <w:name w:val="FollowedHyperlink"/>
    <w:basedOn w:val="DefaultParagraphFont"/>
    <w:uiPriority w:val="99"/>
    <w:semiHidden/>
    <w:unhideWhenUsed/>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eastAsia="Times New Roman"/>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FootnoteText">
    <w:name w:val="footnote text"/>
    <w:link w:val="FootnoteTextChar"/>
    <w:uiPriority w:val="99"/>
    <w:rPr>
      <w:rFonts w:ascii="Calibri" w:eastAsia="Calibri" w:hAnsi="Calibri" w:cs="Calibri"/>
      <w:color w:val="000000"/>
      <w:u w:color="000000"/>
    </w:rPr>
  </w:style>
  <w:style w:type="paragraph" w:customStyle="1" w:styleId="BodyB">
    <w:name w:val="Body B"/>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color w:val="000000"/>
      <w:u w:val="single" w:color="000000"/>
    </w:rPr>
  </w:style>
  <w:style w:type="paragraph" w:customStyle="1" w:styleId="Default">
    <w:name w:val="Default"/>
    <w:rPr>
      <w:rFonts w:eastAsia="Times New Roman"/>
      <w:color w:val="000000"/>
      <w:sz w:val="24"/>
      <w:szCs w:val="24"/>
      <w:u w:color="000000"/>
    </w:rPr>
  </w:style>
  <w:style w:type="paragraph" w:customStyle="1" w:styleId="Body">
    <w:name w:val="Body"/>
    <w:link w:val="BodyChar"/>
    <w:qFormat/>
    <w:rPr>
      <w:rFonts w:eastAsia="Times New Roman"/>
      <w:color w:val="000000"/>
      <w:sz w:val="24"/>
      <w:szCs w:val="24"/>
      <w:u w:color="000000"/>
    </w:rPr>
  </w:style>
  <w:style w:type="character" w:styleId="FootnoteReference">
    <w:name w:val="footnote reference"/>
    <w:uiPriority w:val="99"/>
    <w:rPr>
      <w:vertAlign w:val="superscript"/>
    </w:rPr>
  </w:style>
  <w:style w:type="paragraph" w:customStyle="1" w:styleId="BodyBA">
    <w:name w:val="Body B A"/>
    <w:rPr>
      <w:rFonts w:cs="Arial Unicode MS"/>
      <w:color w:val="000000"/>
      <w:sz w:val="24"/>
      <w:szCs w:val="24"/>
      <w:u w:color="000000"/>
    </w:rPr>
  </w:style>
  <w:style w:type="numbering" w:customStyle="1" w:styleId="Bullets">
    <w:name w:val="Bullets"/>
    <w:pPr>
      <w:numPr>
        <w:numId w:val="3"/>
      </w:numPr>
    </w:pPr>
  </w:style>
  <w:style w:type="numbering" w:customStyle="1" w:styleId="Numbered">
    <w:name w:val="Numbered"/>
    <w:pPr>
      <w:numPr>
        <w:numId w:val="5"/>
      </w:numPr>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customStyle="1" w:styleId="Considrant">
    <w:name w:val="Considérant"/>
    <w:basedOn w:val="Normal"/>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szCs w:val="22"/>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bg-BG"/>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Char">
    <w:name w:val="Body Char"/>
    <w:link w:val="Body"/>
    <w:rPr>
      <w:rFonts w:eastAsia="Times New Roman"/>
      <w:color w:val="000000"/>
      <w:sz w:val="24"/>
      <w:szCs w:val="24"/>
      <w:u w:color="000000"/>
    </w:rPr>
  </w:style>
  <w:style w:type="character" w:customStyle="1" w:styleId="FooterChar">
    <w:name w:val="Footer Char"/>
    <w:basedOn w:val="DefaultParagraphFont"/>
    <w:link w:val="Footer"/>
    <w:uiPriority w:val="99"/>
    <w:rPr>
      <w:rFonts w:eastAsia="Times New Roman"/>
      <w:color w:val="000000"/>
      <w:sz w:val="24"/>
      <w:szCs w:val="24"/>
      <w:u w:color="000000"/>
      <w:lang w:val="bg-BG"/>
    </w:rPr>
  </w:style>
  <w:style w:type="character" w:styleId="Emphasis">
    <w:name w:val="Emphasis"/>
    <w:basedOn w:val="DefaultParagraphFont"/>
    <w:uiPriority w:val="20"/>
    <w:qFormat/>
    <w:rPr>
      <w:b/>
      <w:bCs/>
      <w:i w:val="0"/>
      <w:iCs w:val="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imes New Roman"/>
      <w:bCs/>
      <w:color w:val="000000"/>
      <w:u w:color="000000"/>
    </w:rPr>
  </w:style>
  <w:style w:type="character" w:customStyle="1" w:styleId="FooterCoverPageChar">
    <w:name w:val="Footer Cover Page Char"/>
    <w:basedOn w:val="BodyChar"/>
    <w:link w:val="FooterCoverPage"/>
    <w:rPr>
      <w:rFonts w:eastAsia="Times New Roman"/>
      <w:bCs/>
      <w:color w:val="000000"/>
      <w:sz w:val="24"/>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HeaderCoverPageChar">
    <w:name w:val="Header Cover Page Char"/>
    <w:basedOn w:val="BodyChar"/>
    <w:link w:val="HeaderCoverPage"/>
    <w:rPr>
      <w:rFonts w:eastAsia="Times New Roman"/>
      <w:bCs/>
      <w:color w:val="000000"/>
      <w:sz w:val="24"/>
      <w:szCs w:val="24"/>
      <w:u w:color="000000"/>
    </w:rPr>
  </w:style>
  <w:style w:type="character" w:styleId="FollowedHyperlink">
    <w:name w:val="FollowedHyperlink"/>
    <w:basedOn w:val="DefaultParagraphFont"/>
    <w:uiPriority w:val="99"/>
    <w:semiHidden/>
    <w:unhideWhenUse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914">
      <w:bodyDiv w:val="1"/>
      <w:marLeft w:val="0"/>
      <w:marRight w:val="0"/>
      <w:marTop w:val="0"/>
      <w:marBottom w:val="0"/>
      <w:divBdr>
        <w:top w:val="none" w:sz="0" w:space="0" w:color="auto"/>
        <w:left w:val="none" w:sz="0" w:space="0" w:color="auto"/>
        <w:bottom w:val="none" w:sz="0" w:space="0" w:color="auto"/>
        <w:right w:val="none" w:sz="0" w:space="0" w:color="auto"/>
      </w:divBdr>
    </w:div>
    <w:div w:id="366414843">
      <w:bodyDiv w:val="1"/>
      <w:marLeft w:val="0"/>
      <w:marRight w:val="0"/>
      <w:marTop w:val="0"/>
      <w:marBottom w:val="0"/>
      <w:divBdr>
        <w:top w:val="none" w:sz="0" w:space="0" w:color="auto"/>
        <w:left w:val="none" w:sz="0" w:space="0" w:color="auto"/>
        <w:bottom w:val="none" w:sz="0" w:space="0" w:color="auto"/>
        <w:right w:val="none" w:sz="0" w:space="0" w:color="auto"/>
      </w:divBdr>
    </w:div>
    <w:div w:id="424419548">
      <w:bodyDiv w:val="1"/>
      <w:marLeft w:val="0"/>
      <w:marRight w:val="0"/>
      <w:marTop w:val="0"/>
      <w:marBottom w:val="0"/>
      <w:divBdr>
        <w:top w:val="none" w:sz="0" w:space="0" w:color="auto"/>
        <w:left w:val="none" w:sz="0" w:space="0" w:color="auto"/>
        <w:bottom w:val="none" w:sz="0" w:space="0" w:color="auto"/>
        <w:right w:val="none" w:sz="0" w:space="0" w:color="auto"/>
      </w:divBdr>
    </w:div>
    <w:div w:id="584218638">
      <w:bodyDiv w:val="1"/>
      <w:marLeft w:val="0"/>
      <w:marRight w:val="0"/>
      <w:marTop w:val="0"/>
      <w:marBottom w:val="0"/>
      <w:divBdr>
        <w:top w:val="none" w:sz="0" w:space="0" w:color="auto"/>
        <w:left w:val="none" w:sz="0" w:space="0" w:color="auto"/>
        <w:bottom w:val="none" w:sz="0" w:space="0" w:color="auto"/>
        <w:right w:val="none" w:sz="0" w:space="0" w:color="auto"/>
      </w:divBdr>
    </w:div>
    <w:div w:id="1328433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treasury.gov/resource-center/international/Pages/Committee-on-Foreign-Investment-in-U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investment/fdiindex.h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400"/>
              <a:t>Дял на входящите наличности на ПЧИ в ЕС</a:t>
            </a:r>
          </a:p>
          <a:p>
            <a:pPr>
              <a:defRPr/>
            </a:pPr>
            <a:r>
              <a:rPr lang="bg-BG" sz="1100"/>
              <a:t>(1995 г. = 100)</a:t>
            </a:r>
          </a:p>
        </c:rich>
      </c:tx>
      <c:overlay val="0"/>
    </c:title>
    <c:autoTitleDeleted val="0"/>
    <c:plotArea>
      <c:layout/>
      <c:lineChart>
        <c:grouping val="standard"/>
        <c:varyColors val="0"/>
        <c:ser>
          <c:idx val="0"/>
          <c:order val="0"/>
          <c:tx>
            <c:strRef>
              <c:f>Sheet1!$B$30</c:f>
              <c:strCache>
                <c:ptCount val="1"/>
                <c:pt idx="0">
                  <c:v>САЩ</c:v>
                </c:pt>
              </c:strCache>
            </c:strRef>
          </c:tx>
          <c:spPr>
            <a:ln>
              <a:solidFill>
                <a:srgbClr val="0070C0"/>
              </a:solidFill>
            </a:ln>
          </c:spPr>
          <c:marker>
            <c:symbol val="none"/>
          </c:marker>
          <c:cat>
            <c:strRef>
              <c:f>Sheet1!$C$29:$E$29</c:f>
              <c:strCache>
                <c:ptCount val="3"/>
                <c:pt idx="0">
                  <c:v>1995 г.</c:v>
                </c:pt>
                <c:pt idx="1">
                  <c:v>2005 г.</c:v>
                </c:pt>
                <c:pt idx="2">
                  <c:v>2015 г.</c:v>
                </c:pt>
              </c:strCache>
            </c:strRef>
          </c:cat>
          <c:val>
            <c:numRef>
              <c:f>Sheet1!$C$30:$E$30</c:f>
              <c:numCache>
                <c:formatCode>0.0%</c:formatCode>
                <c:ptCount val="3"/>
                <c:pt idx="0">
                  <c:v>1</c:v>
                </c:pt>
                <c:pt idx="1">
                  <c:v>0.92982456140350866</c:v>
                </c:pt>
                <c:pt idx="2">
                  <c:v>0.80701754385964908</c:v>
                </c:pt>
              </c:numCache>
            </c:numRef>
          </c:val>
          <c:smooth val="0"/>
        </c:ser>
        <c:ser>
          <c:idx val="1"/>
          <c:order val="1"/>
          <c:tx>
            <c:strRef>
              <c:f>Sheet1!$B$31</c:f>
              <c:strCache>
                <c:ptCount val="1"/>
                <c:pt idx="0">
                  <c:v>Швейцария</c:v>
                </c:pt>
              </c:strCache>
            </c:strRef>
          </c:tx>
          <c:spPr>
            <a:ln>
              <a:solidFill>
                <a:srgbClr val="FF3300"/>
              </a:solidFill>
            </a:ln>
          </c:spPr>
          <c:marker>
            <c:symbol val="none"/>
          </c:marker>
          <c:cat>
            <c:strRef>
              <c:f>Sheet1!$C$29:$E$29</c:f>
              <c:strCache>
                <c:ptCount val="3"/>
                <c:pt idx="0">
                  <c:v>1995 г.</c:v>
                </c:pt>
                <c:pt idx="1">
                  <c:v>2005 г.</c:v>
                </c:pt>
                <c:pt idx="2">
                  <c:v>2015 г.</c:v>
                </c:pt>
              </c:strCache>
            </c:strRef>
          </c:cat>
          <c:val>
            <c:numRef>
              <c:f>Sheet1!$C$31:$E$31</c:f>
              <c:numCache>
                <c:formatCode>0.0%</c:formatCode>
                <c:ptCount val="3"/>
                <c:pt idx="0">
                  <c:v>1</c:v>
                </c:pt>
                <c:pt idx="1">
                  <c:v>0.67512690355329952</c:v>
                </c:pt>
                <c:pt idx="2">
                  <c:v>0.54822335025380708</c:v>
                </c:pt>
              </c:numCache>
            </c:numRef>
          </c:val>
          <c:smooth val="0"/>
        </c:ser>
        <c:ser>
          <c:idx val="2"/>
          <c:order val="2"/>
          <c:tx>
            <c:strRef>
              <c:f>Sheet1!$B$32</c:f>
              <c:strCache>
                <c:ptCount val="1"/>
                <c:pt idx="0">
                  <c:v>Канада</c:v>
                </c:pt>
              </c:strCache>
            </c:strRef>
          </c:tx>
          <c:spPr>
            <a:ln>
              <a:solidFill>
                <a:srgbClr val="00CC99"/>
              </a:solidFill>
            </a:ln>
          </c:spPr>
          <c:marker>
            <c:symbol val="none"/>
          </c:marker>
          <c:cat>
            <c:strRef>
              <c:f>Sheet1!$C$29:$E$29</c:f>
              <c:strCache>
                <c:ptCount val="3"/>
                <c:pt idx="0">
                  <c:v>1995 г.</c:v>
                </c:pt>
                <c:pt idx="1">
                  <c:v>2005 г.</c:v>
                </c:pt>
                <c:pt idx="2">
                  <c:v>2015 г.</c:v>
                </c:pt>
              </c:strCache>
            </c:strRef>
          </c:cat>
          <c:val>
            <c:numRef>
              <c:f>Sheet1!$C$32:$E$32</c:f>
              <c:numCache>
                <c:formatCode>0.0%</c:formatCode>
                <c:ptCount val="3"/>
                <c:pt idx="0">
                  <c:v>1</c:v>
                </c:pt>
                <c:pt idx="1">
                  <c:v>1.4000000000000001</c:v>
                </c:pt>
                <c:pt idx="2">
                  <c:v>1.2666666666666666</c:v>
                </c:pt>
              </c:numCache>
            </c:numRef>
          </c:val>
          <c:smooth val="0"/>
        </c:ser>
        <c:ser>
          <c:idx val="3"/>
          <c:order val="3"/>
          <c:tx>
            <c:strRef>
              <c:f>Sheet1!$B$33</c:f>
              <c:strCache>
                <c:ptCount val="1"/>
                <c:pt idx="0">
                  <c:v>Япония</c:v>
                </c:pt>
              </c:strCache>
            </c:strRef>
          </c:tx>
          <c:spPr>
            <a:ln>
              <a:solidFill>
                <a:srgbClr val="660066"/>
              </a:solidFill>
            </a:ln>
          </c:spPr>
          <c:marker>
            <c:symbol val="none"/>
          </c:marker>
          <c:cat>
            <c:strRef>
              <c:f>Sheet1!$C$29:$E$29</c:f>
              <c:strCache>
                <c:ptCount val="3"/>
                <c:pt idx="0">
                  <c:v>1995 г.</c:v>
                </c:pt>
                <c:pt idx="1">
                  <c:v>2005 г.</c:v>
                </c:pt>
                <c:pt idx="2">
                  <c:v>2015 г.</c:v>
                </c:pt>
              </c:strCache>
            </c:strRef>
          </c:cat>
          <c:val>
            <c:numRef>
              <c:f>Sheet1!$C$33:$E$33</c:f>
              <c:numCache>
                <c:formatCode>0.0%</c:formatCode>
                <c:ptCount val="3"/>
                <c:pt idx="0">
                  <c:v>1</c:v>
                </c:pt>
                <c:pt idx="1">
                  <c:v>0.55844155844155841</c:v>
                </c:pt>
                <c:pt idx="2">
                  <c:v>0.37662337662337658</c:v>
                </c:pt>
              </c:numCache>
            </c:numRef>
          </c:val>
          <c:smooth val="0"/>
        </c:ser>
        <c:ser>
          <c:idx val="4"/>
          <c:order val="4"/>
          <c:tx>
            <c:strRef>
              <c:f>Sheet1!$B$34</c:f>
              <c:strCache>
                <c:ptCount val="1"/>
                <c:pt idx="0">
                  <c:v>Бразилия</c:v>
                </c:pt>
              </c:strCache>
            </c:strRef>
          </c:tx>
          <c:spPr>
            <a:ln>
              <a:solidFill>
                <a:srgbClr val="00B050"/>
              </a:solidFill>
            </a:ln>
          </c:spPr>
          <c:marker>
            <c:symbol val="none"/>
          </c:marker>
          <c:cat>
            <c:strRef>
              <c:f>Sheet1!$C$29:$E$29</c:f>
              <c:strCache>
                <c:ptCount val="3"/>
                <c:pt idx="0">
                  <c:v>1995 г.</c:v>
                </c:pt>
                <c:pt idx="1">
                  <c:v>2005 г.</c:v>
                </c:pt>
                <c:pt idx="2">
                  <c:v>2015 г.</c:v>
                </c:pt>
              </c:strCache>
            </c:strRef>
          </c:cat>
          <c:val>
            <c:numRef>
              <c:f>Sheet1!$C$34:$E$34</c:f>
              <c:numCache>
                <c:formatCode>0.0%</c:formatCode>
                <c:ptCount val="3"/>
                <c:pt idx="0">
                  <c:v>1</c:v>
                </c:pt>
                <c:pt idx="1">
                  <c:v>2</c:v>
                </c:pt>
                <c:pt idx="2">
                  <c:v>11</c:v>
                </c:pt>
              </c:numCache>
            </c:numRef>
          </c:val>
          <c:smooth val="0"/>
        </c:ser>
        <c:ser>
          <c:idx val="5"/>
          <c:order val="5"/>
          <c:tx>
            <c:strRef>
              <c:f>Sheet1!$B$35</c:f>
              <c:strCache>
                <c:ptCount val="1"/>
                <c:pt idx="0">
                  <c:v>Китай, вкл. Хонконг</c:v>
                </c:pt>
              </c:strCache>
            </c:strRef>
          </c:tx>
          <c:spPr>
            <a:ln>
              <a:solidFill>
                <a:schemeClr val="accent2">
                  <a:lumMod val="50000"/>
                </a:schemeClr>
              </a:solidFill>
            </a:ln>
          </c:spPr>
          <c:marker>
            <c:symbol val="none"/>
          </c:marker>
          <c:cat>
            <c:strRef>
              <c:f>Sheet1!$C$29:$E$29</c:f>
              <c:strCache>
                <c:ptCount val="3"/>
                <c:pt idx="0">
                  <c:v>1995 г.</c:v>
                </c:pt>
                <c:pt idx="1">
                  <c:v>2005 г.</c:v>
                </c:pt>
                <c:pt idx="2">
                  <c:v>2015 г.</c:v>
                </c:pt>
              </c:strCache>
            </c:strRef>
          </c:cat>
          <c:val>
            <c:numRef>
              <c:f>Sheet1!$C$35:$E$35</c:f>
              <c:numCache>
                <c:formatCode>0.0%</c:formatCode>
                <c:ptCount val="3"/>
                <c:pt idx="0">
                  <c:v>1</c:v>
                </c:pt>
                <c:pt idx="1">
                  <c:v>3.3333333333333335</c:v>
                </c:pt>
                <c:pt idx="2">
                  <c:v>6.666666666666667</c:v>
                </c:pt>
              </c:numCache>
            </c:numRef>
          </c:val>
          <c:smooth val="0"/>
        </c:ser>
        <c:ser>
          <c:idx val="6"/>
          <c:order val="6"/>
          <c:tx>
            <c:strRef>
              <c:f>Sheet1!$B$36</c:f>
              <c:strCache>
                <c:ptCount val="1"/>
                <c:pt idx="0">
                  <c:v>Норвегия</c:v>
                </c:pt>
              </c:strCache>
            </c:strRef>
          </c:tx>
          <c:spPr>
            <a:ln>
              <a:solidFill>
                <a:srgbClr val="00FFFF"/>
              </a:solidFill>
            </a:ln>
          </c:spPr>
          <c:marker>
            <c:symbol val="none"/>
          </c:marker>
          <c:cat>
            <c:strRef>
              <c:f>Sheet1!$C$29:$E$29</c:f>
              <c:strCache>
                <c:ptCount val="3"/>
                <c:pt idx="0">
                  <c:v>1995 г.</c:v>
                </c:pt>
                <c:pt idx="1">
                  <c:v>2005 г.</c:v>
                </c:pt>
                <c:pt idx="2">
                  <c:v>2015 г.</c:v>
                </c:pt>
              </c:strCache>
            </c:strRef>
          </c:cat>
          <c:val>
            <c:numRef>
              <c:f>Sheet1!$C$36:$E$36</c:f>
              <c:numCache>
                <c:formatCode>0.0%</c:formatCode>
                <c:ptCount val="3"/>
                <c:pt idx="0">
                  <c:v>1</c:v>
                </c:pt>
                <c:pt idx="1">
                  <c:v>1.1363636363636365</c:v>
                </c:pt>
                <c:pt idx="2">
                  <c:v>0.59090909090909094</c:v>
                </c:pt>
              </c:numCache>
            </c:numRef>
          </c:val>
          <c:smooth val="0"/>
        </c:ser>
        <c:ser>
          <c:idx val="7"/>
          <c:order val="7"/>
          <c:tx>
            <c:strRef>
              <c:f>Sheet1!$B$37</c:f>
              <c:strCache>
                <c:ptCount val="1"/>
                <c:pt idx="0">
                  <c:v>Русия </c:v>
                </c:pt>
              </c:strCache>
            </c:strRef>
          </c:tx>
          <c:spPr>
            <a:ln>
              <a:solidFill>
                <a:srgbClr val="9966FF"/>
              </a:solidFill>
            </a:ln>
          </c:spPr>
          <c:marker>
            <c:symbol val="none"/>
          </c:marker>
          <c:cat>
            <c:strRef>
              <c:f>Sheet1!$C$29:$E$29</c:f>
              <c:strCache>
                <c:ptCount val="3"/>
                <c:pt idx="0">
                  <c:v>1995 г.</c:v>
                </c:pt>
                <c:pt idx="1">
                  <c:v>2005 г.</c:v>
                </c:pt>
                <c:pt idx="2">
                  <c:v>2015 г.</c:v>
                </c:pt>
              </c:strCache>
            </c:strRef>
          </c:cat>
          <c:val>
            <c:numRef>
              <c:f>Sheet1!$C$37:$E$37</c:f>
              <c:numCache>
                <c:formatCode>0.0%</c:formatCode>
                <c:ptCount val="3"/>
                <c:pt idx="0">
                  <c:v>1</c:v>
                </c:pt>
                <c:pt idx="1">
                  <c:v>1.5</c:v>
                </c:pt>
                <c:pt idx="2">
                  <c:v>2.75</c:v>
                </c:pt>
              </c:numCache>
            </c:numRef>
          </c:val>
          <c:smooth val="0"/>
        </c:ser>
        <c:ser>
          <c:idx val="8"/>
          <c:order val="8"/>
          <c:tx>
            <c:strRef>
              <c:f>Sheet1!$B$38</c:f>
              <c:strCache>
                <c:ptCount val="1"/>
                <c:pt idx="0">
                  <c:v>Сингапур</c:v>
                </c:pt>
              </c:strCache>
            </c:strRef>
          </c:tx>
          <c:spPr>
            <a:ln>
              <a:solidFill>
                <a:srgbClr val="FF6600"/>
              </a:solidFill>
            </a:ln>
          </c:spPr>
          <c:marker>
            <c:symbol val="none"/>
          </c:marker>
          <c:cat>
            <c:strRef>
              <c:f>Sheet1!$C$29:$E$29</c:f>
              <c:strCache>
                <c:ptCount val="3"/>
                <c:pt idx="0">
                  <c:v>1995 г.</c:v>
                </c:pt>
                <c:pt idx="1">
                  <c:v>2005 г.</c:v>
                </c:pt>
                <c:pt idx="2">
                  <c:v>2015 г.</c:v>
                </c:pt>
              </c:strCache>
            </c:strRef>
          </c:cat>
          <c:val>
            <c:numRef>
              <c:f>Sheet1!$C$38:$E$38</c:f>
              <c:numCache>
                <c:formatCode>0.0%</c:formatCode>
                <c:ptCount val="3"/>
                <c:pt idx="0">
                  <c:v>1</c:v>
                </c:pt>
                <c:pt idx="1">
                  <c:v>4</c:v>
                </c:pt>
                <c:pt idx="2">
                  <c:v>2.5</c:v>
                </c:pt>
              </c:numCache>
            </c:numRef>
          </c:val>
          <c:smooth val="0"/>
        </c:ser>
        <c:ser>
          <c:idx val="9"/>
          <c:order val="9"/>
          <c:tx>
            <c:strRef>
              <c:f>Sheet1!$B$39</c:f>
              <c:strCache>
                <c:ptCount val="1"/>
                <c:pt idx="0">
                  <c:v>Израел</c:v>
                </c:pt>
              </c:strCache>
            </c:strRef>
          </c:tx>
          <c:spPr>
            <a:ln>
              <a:solidFill>
                <a:srgbClr val="FF33CC"/>
              </a:solidFill>
            </a:ln>
          </c:spPr>
          <c:marker>
            <c:symbol val="none"/>
          </c:marker>
          <c:cat>
            <c:strRef>
              <c:f>Sheet1!$C$29:$E$29</c:f>
              <c:strCache>
                <c:ptCount val="3"/>
                <c:pt idx="0">
                  <c:v>1995 г.</c:v>
                </c:pt>
                <c:pt idx="1">
                  <c:v>2005 г.</c:v>
                </c:pt>
                <c:pt idx="2">
                  <c:v>2015 г.</c:v>
                </c:pt>
              </c:strCache>
            </c:strRef>
          </c:cat>
          <c:val>
            <c:numRef>
              <c:f>Sheet1!$C$39:$E$39</c:f>
              <c:numCache>
                <c:formatCode>0.0%</c:formatCode>
                <c:ptCount val="3"/>
                <c:pt idx="0">
                  <c:v>1</c:v>
                </c:pt>
                <c:pt idx="1">
                  <c:v>3</c:v>
                </c:pt>
                <c:pt idx="2">
                  <c:v>8</c:v>
                </c:pt>
              </c:numCache>
            </c:numRef>
          </c:val>
          <c:smooth val="0"/>
        </c:ser>
        <c:dLbls>
          <c:showLegendKey val="0"/>
          <c:showVal val="0"/>
          <c:showCatName val="0"/>
          <c:showSerName val="0"/>
          <c:showPercent val="0"/>
          <c:showBubbleSize val="0"/>
        </c:dLbls>
        <c:marker val="1"/>
        <c:smooth val="0"/>
        <c:axId val="69206784"/>
        <c:axId val="69208320"/>
      </c:lineChart>
      <c:catAx>
        <c:axId val="69206784"/>
        <c:scaling>
          <c:orientation val="minMax"/>
        </c:scaling>
        <c:delete val="0"/>
        <c:axPos val="b"/>
        <c:numFmt formatCode="General" sourceLinked="1"/>
        <c:majorTickMark val="out"/>
        <c:minorTickMark val="none"/>
        <c:tickLblPos val="nextTo"/>
        <c:crossAx val="69208320"/>
        <c:crosses val="autoZero"/>
        <c:auto val="1"/>
        <c:lblAlgn val="ctr"/>
        <c:lblOffset val="100"/>
        <c:noMultiLvlLbl val="0"/>
      </c:catAx>
      <c:valAx>
        <c:axId val="69208320"/>
        <c:scaling>
          <c:orientation val="minMax"/>
        </c:scaling>
        <c:delete val="0"/>
        <c:axPos val="l"/>
        <c:majorGridlines/>
        <c:numFmt formatCode="0.0%" sourceLinked="1"/>
        <c:majorTickMark val="out"/>
        <c:minorTickMark val="none"/>
        <c:tickLblPos val="nextTo"/>
        <c:crossAx val="6920678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theme/themeOverride1.xml><?xml version="1.0" encoding="utf-8"?>
<a:themeOverride xmlns:a="http://schemas.openxmlformats.org/drawingml/2006/main">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A829-B64C-4994-B0D3-AA76F701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4663</Words>
  <Characters>28167</Characters>
  <Application>Microsoft Office Word</Application>
  <DocSecurity>0</DocSecurity>
  <Lines>502</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2017-09-08T10:48:00Z</cp:lastPrinted>
  <dcterms:created xsi:type="dcterms:W3CDTF">2017-09-11T16:55:00Z</dcterms:created>
  <dcterms:modified xsi:type="dcterms:W3CDTF">2017-09-20T12:37:00Z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