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5AD5105D8FA445D8355B9DD2698EB40"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0" w:after="240"/>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 xml:space="preserve">Граничните региони в Европейския съюз са важни </w:t>
      </w:r>
    </w:p>
    <w:p>
      <w:pPr>
        <w:jc w:val="both"/>
        <w:rPr>
          <w:rFonts w:ascii="Times New Roman" w:eastAsia="Times New Roman" w:hAnsi="Times New Roman" w:cs="Times New Roman"/>
          <w:noProof/>
          <w:sz w:val="24"/>
          <w:szCs w:val="24"/>
        </w:rPr>
      </w:pPr>
      <w:bookmarkStart w:id="2" w:name="_Toc481491350"/>
      <w:bookmarkStart w:id="3" w:name="_Toc481492707"/>
      <w:r>
        <w:rPr>
          <w:rFonts w:ascii="Times New Roman" w:hAnsi="Times New Roman"/>
          <w:noProof/>
          <w:sz w:val="24"/>
        </w:rPr>
        <w:t>Вътрешните сухопътни граници в Европейския съюз (ЕС) и с непосредствените му съседи в Европейската асоциация за свободна търговия (ЕАСТ) наброяват 40</w:t>
      </w:r>
      <w:r>
        <w:rPr>
          <w:rStyle w:val="FootnoteReference"/>
          <w:rFonts w:ascii="Times New Roman" w:hAnsi="Times New Roman"/>
          <w:noProof/>
          <w:sz w:val="24"/>
        </w:rPr>
        <w:footnoteReference w:id="1"/>
      </w:r>
      <w:r>
        <w:rPr>
          <w:rFonts w:ascii="Times New Roman" w:hAnsi="Times New Roman"/>
          <w:noProof/>
          <w:sz w:val="24"/>
        </w:rPr>
        <w:t>. През последните десетилетия процесът на европейска интеграция спомогна регионите по вътрешните граници да се превърнат от предимно периферни области в области на растеж и възможности. Изграждането на единния пазар през 1992 г. даде тласък на производителността в ЕС и намали разходите чрез премахването на митническите формалности, хармонизирането или взаимното признаване на техническите правила и намаляването на цените вследствие на конкуренцията. За 10 години вътрешната търговия в ЕС се увеличи с 15 %; бе постигнат допълнителен растеж и бяха създадени около 2,5 милиона повече работни места.</w:t>
      </w:r>
    </w:p>
    <w:p>
      <w:pPr>
        <w:spacing w:after="0"/>
        <w:jc w:val="both"/>
        <w:rPr>
          <w:rFonts w:ascii="Times New Roman" w:eastAsia="Times New Roman" w:hAnsi="Times New Roman" w:cs="Times New Roman"/>
          <w:noProof/>
          <w:sz w:val="24"/>
          <w:szCs w:val="24"/>
        </w:rPr>
      </w:pPr>
      <w:r>
        <w:rPr>
          <w:rFonts w:ascii="Times New Roman" w:hAnsi="Times New Roman"/>
          <w:noProof/>
          <w:sz w:val="24"/>
        </w:rPr>
        <w:t>В граничните региони</w:t>
      </w:r>
      <w:r>
        <w:rPr>
          <w:rStyle w:val="FootnoteReference"/>
          <w:rFonts w:ascii="Times New Roman" w:hAnsi="Times New Roman"/>
          <w:noProof/>
          <w:sz w:val="24"/>
        </w:rPr>
        <w:footnoteReference w:id="2"/>
      </w:r>
      <w:r>
        <w:rPr>
          <w:rFonts w:ascii="Times New Roman" w:hAnsi="Times New Roman"/>
          <w:noProof/>
          <w:sz w:val="24"/>
        </w:rPr>
        <w:t xml:space="preserve"> тези промени имаха и положителен (свободата на движение засили местното трансгранично взаимодействие), и отрицателен ефект (намаляха митническата администрация и заетостта в съответните служби). Като цяло се появиха повече възможности за развиването на съвместни услуги и дейности на местно равнище.</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after="120"/>
        <w:jc w:val="both"/>
        <w:rPr>
          <w:rFonts w:ascii="Times New Roman" w:eastAsia="Times New Roman" w:hAnsi="Times New Roman" w:cs="Times New Roman"/>
          <w:b/>
          <w:noProof/>
          <w:sz w:val="24"/>
          <w:szCs w:val="24"/>
        </w:rPr>
      </w:pPr>
      <w:r>
        <w:rPr>
          <w:rFonts w:ascii="Times New Roman" w:hAnsi="Times New Roman"/>
          <w:b/>
          <w:noProof/>
          <w:sz w:val="24"/>
        </w:rPr>
        <w:t>Регионите по вътрешните граници на ЕС:</w:t>
      </w:r>
    </w:p>
    <w:p>
      <w:pP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firstLine="0"/>
        <w:jc w:val="both"/>
        <w:rPr>
          <w:rFonts w:ascii="Times New Roman" w:eastAsia="Times New Roman" w:hAnsi="Times New Roman" w:cs="Times New Roman"/>
          <w:noProof/>
          <w:sz w:val="24"/>
          <w:szCs w:val="24"/>
        </w:rPr>
      </w:pPr>
      <w:r>
        <w:rPr>
          <w:rFonts w:ascii="Times New Roman" w:hAnsi="Times New Roman"/>
          <w:noProof/>
          <w:sz w:val="24"/>
        </w:rPr>
        <w:t xml:space="preserve">обхващат 40 % от територията на ЕС </w:t>
      </w:r>
    </w:p>
    <w:p>
      <w:pP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firstLine="0"/>
        <w:jc w:val="both"/>
        <w:rPr>
          <w:rFonts w:ascii="Times New Roman" w:eastAsia="Times New Roman" w:hAnsi="Times New Roman" w:cs="Times New Roman"/>
          <w:noProof/>
          <w:sz w:val="24"/>
          <w:szCs w:val="24"/>
        </w:rPr>
      </w:pPr>
      <w:r>
        <w:rPr>
          <w:rFonts w:ascii="Times New Roman" w:hAnsi="Times New Roman"/>
          <w:noProof/>
          <w:sz w:val="24"/>
        </w:rPr>
        <w:t>се обитават от 30 % от населението — 150 милиона души</w:t>
      </w:r>
    </w:p>
    <w:p>
      <w:pP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firstLine="0"/>
        <w:jc w:val="both"/>
        <w:rPr>
          <w:rFonts w:ascii="Times New Roman" w:eastAsia="Times New Roman" w:hAnsi="Times New Roman" w:cs="Times New Roman"/>
          <w:noProof/>
          <w:sz w:val="24"/>
          <w:szCs w:val="24"/>
        </w:rPr>
      </w:pPr>
      <w:r>
        <w:rPr>
          <w:rFonts w:ascii="Times New Roman" w:hAnsi="Times New Roman"/>
          <w:noProof/>
          <w:sz w:val="24"/>
        </w:rPr>
        <w:t>произвеждат 30 % от брутния вътрешен продукт (БВП) на ЕС</w:t>
      </w:r>
    </w:p>
    <w:p>
      <w:pP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709" w:hanging="709"/>
        <w:jc w:val="both"/>
        <w:rPr>
          <w:rFonts w:ascii="Times New Roman" w:eastAsia="Times New Roman" w:hAnsi="Times New Roman" w:cs="Times New Roman"/>
          <w:noProof/>
          <w:sz w:val="24"/>
          <w:szCs w:val="24"/>
        </w:rPr>
      </w:pPr>
      <w:r>
        <w:rPr>
          <w:rFonts w:ascii="Times New Roman" w:hAnsi="Times New Roman"/>
          <w:noProof/>
          <w:sz w:val="24"/>
        </w:rPr>
        <w:t xml:space="preserve">приемат почти 2 милиона лица, редовно преминаващи границата, 1,3 милиона от които са трансгранични работници, представляващи 0,6 % от всички заети лица в ЕС (напр. 450 000 във Франция, 270 000 в Германия, 140 000 в Полша и 135 000 в Словакия). </w:t>
      </w:r>
    </w:p>
    <w:p>
      <w:pPr>
        <w:jc w:val="both"/>
        <w:rPr>
          <w:rFonts w:ascii="Times New Roman" w:eastAsia="Times New Roman" w:hAnsi="Times New Roman" w:cs="Times New Roman"/>
          <w:noProof/>
          <w:sz w:val="24"/>
          <w:szCs w:val="24"/>
        </w:rPr>
      </w:pPr>
      <w:r>
        <w:rPr>
          <w:rFonts w:ascii="Times New Roman" w:hAnsi="Times New Roman"/>
          <w:noProof/>
          <w:sz w:val="24"/>
        </w:rPr>
        <w:t>В член 174 от Договора за функционирането на Европейския съюз се признават предизвикателствата, пред които са изправени граничните региони, и се предвижда, че Съюзът следва да обръща специално внимание на тези региони, когато разработва и осъществява свои инициативи, които водят до укрепването на неговото икономическо, социално и териториално сближаване.</w:t>
      </w:r>
    </w:p>
    <w:p>
      <w:pPr>
        <w:jc w:val="both"/>
        <w:rPr>
          <w:rFonts w:ascii="Times New Roman" w:eastAsia="Times New Roman" w:hAnsi="Times New Roman" w:cs="Times New Roman"/>
          <w:noProof/>
          <w:sz w:val="24"/>
          <w:szCs w:val="24"/>
        </w:rPr>
      </w:pPr>
      <w:r>
        <w:rPr>
          <w:rFonts w:ascii="Times New Roman" w:hAnsi="Times New Roman"/>
          <w:noProof/>
          <w:sz w:val="24"/>
        </w:rPr>
        <w:t>От 1990 г. насам със средства по Interreg се подкрепят програми за трансгранично сътрудничество в граничните региони на ЕС, включително тези с държавите от ЕАСТ. Финансирани са хиляди проекти</w:t>
      </w:r>
      <w:r>
        <w:rPr>
          <w:rStyle w:val="FootnoteReference"/>
          <w:rFonts w:ascii="Times New Roman" w:hAnsi="Times New Roman"/>
          <w:noProof/>
          <w:sz w:val="24"/>
        </w:rPr>
        <w:footnoteReference w:id="3"/>
      </w:r>
      <w:r>
        <w:rPr>
          <w:rFonts w:ascii="Times New Roman" w:hAnsi="Times New Roman"/>
          <w:noProof/>
          <w:sz w:val="24"/>
        </w:rPr>
        <w:t xml:space="preserve"> и инициативи, помогнали да се подобри европейската интеграция. Основните постижения на програмите по Interreg включват: по-голямо доверие, повишена свързаност, подобрена околна среда, по-добро здравеопазване и икономически растеж</w:t>
      </w:r>
      <w:r>
        <w:rPr>
          <w:rStyle w:val="FootnoteReference"/>
          <w:rFonts w:ascii="Times New Roman" w:hAnsi="Times New Roman"/>
          <w:noProof/>
          <w:sz w:val="24"/>
        </w:rPr>
        <w:footnoteReference w:id="4"/>
      </w:r>
      <w:r>
        <w:rPr>
          <w:rFonts w:ascii="Times New Roman" w:hAnsi="Times New Roman"/>
          <w:noProof/>
          <w:sz w:val="24"/>
        </w:rPr>
        <w:t>. От проекти „от хората за хората“ до инфраструктурни инвестиции и подкрепа за инициативи за институционално сътрудничество, Interreg донесе истинска промяна за граничните региони и спомогна за тяхното преобразяване.</w:t>
      </w:r>
    </w:p>
    <w:p>
      <w:pPr>
        <w:jc w:val="both"/>
        <w:rPr>
          <w:rFonts w:ascii="Times New Roman" w:eastAsia="Times New Roman" w:hAnsi="Times New Roman" w:cs="Times New Roman"/>
          <w:noProof/>
          <w:sz w:val="24"/>
          <w:szCs w:val="24"/>
        </w:rPr>
      </w:pPr>
      <w:r>
        <w:rPr>
          <w:rFonts w:ascii="Times New Roman" w:hAnsi="Times New Roman"/>
          <w:noProof/>
          <w:sz w:val="24"/>
        </w:rPr>
        <w:t>Тази работа продължава и днес, като малко под 6 милиарда евро от бюджета на ЕС са отпуснати за трансграничните програми по Interreg за периода 2014 — 2020 г. Тези програми се изпълняват по всички граници и гарантират възможността за по-нататъшен напредък по интеграцията и за реализиране на пълния потенциал на граничните региони. Инвестициите за подобряване на условията на живот ще бъдат значителни: съвместните екологични действия и мерките за смекчаване на последствията от изменението на климата ще доведат до по-добра защита на пограничното население. Съвместните научноизследователски инициативи и обекти ще използват по-задълбочено икономическия и иновационния потенциал на граничните региони.  Стратегиите за интелигентна специализация ще увеличат регионалните и местните иновации, включително отвъд границите</w:t>
      </w:r>
      <w:r>
        <w:rPr>
          <w:rStyle w:val="FootnoteReference"/>
          <w:rFonts w:ascii="Times New Roman" w:hAnsi="Times New Roman"/>
          <w:noProof/>
          <w:sz w:val="24"/>
        </w:rPr>
        <w:footnoteReference w:id="5"/>
      </w:r>
      <w:r>
        <w:rPr>
          <w:rFonts w:ascii="Times New Roman" w:hAnsi="Times New Roman"/>
          <w:noProof/>
          <w:sz w:val="24"/>
        </w:rPr>
        <w:t>. Планът за инвестиции за Европа, който беше укрепен и разширен през 2016 г., също ще спомага за развитието на граничните региони. Третият му стълб, насочен към премахване на пречките пред инвестициите, ще осигури по-благоприятна среда за трансгранични инвестиционни проекти</w:t>
      </w:r>
      <w:r>
        <w:rPr>
          <w:rStyle w:val="FootnoteReference"/>
          <w:rFonts w:ascii="Times New Roman" w:hAnsi="Times New Roman"/>
          <w:noProof/>
          <w:sz w:val="24"/>
        </w:rPr>
        <w:footnoteReference w:id="6"/>
      </w:r>
      <w:r>
        <w:rPr>
          <w:rFonts w:ascii="Times New Roman" w:hAnsi="Times New Roman"/>
          <w:noProof/>
          <w:sz w:val="24"/>
        </w:rPr>
        <w:t>.</w:t>
      </w:r>
    </w:p>
    <w:p>
      <w:pPr>
        <w:jc w:val="both"/>
        <w:rPr>
          <w:rFonts w:ascii="Times New Roman" w:eastAsia="Times New Roman" w:hAnsi="Times New Roman" w:cs="Times New Roman"/>
          <w:noProof/>
          <w:sz w:val="24"/>
          <w:szCs w:val="24"/>
        </w:rPr>
      </w:pPr>
      <w:r>
        <w:rPr>
          <w:rFonts w:ascii="Times New Roman" w:hAnsi="Times New Roman"/>
          <w:noProof/>
          <w:sz w:val="24"/>
        </w:rPr>
        <w:t>Граничните региони са места, в които процесът на европейска интеграция би следвало да се усеща най-положително — образованието, обучението, работата, полагането на грижи и стопанската дейност от двете страни на границите са все ежедневни дейности, които следва да бъдат възможни независимо от съществуването на национална административна граница.</w:t>
      </w:r>
    </w:p>
    <w:p>
      <w:pPr>
        <w:rPr>
          <w:rFonts w:ascii="Times New Roman" w:eastAsia="Times New Roman" w:hAnsi="Times New Roman" w:cs="Times New Roman"/>
          <w:noProof/>
          <w:sz w:val="20"/>
          <w:szCs w:val="24"/>
        </w:rPr>
      </w:pPr>
      <w:r>
        <w:rPr>
          <w:noProof/>
          <w:lang w:val="en-US" w:eastAsia="en-US" w:bidi="ar-SA"/>
        </w:rPr>
        <w:drawing>
          <wp:inline distT="0" distB="0" distL="0" distR="0">
            <wp:extent cx="4744016" cy="5051498"/>
            <wp:effectExtent l="0" t="0" r="0" b="0"/>
            <wp:docPr id="1" name="Picture 1" descr="C:\Users\siwerma\AppData\Local\Microsoft\Windows\Temporary Internet Files\Content.Word\Terr_border_regions_along_intern_EU28_and_EFTA_borders_green_no_Kent_A4P_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werma\AppData\Local\Microsoft\Windows\Temporary Internet Files\Content.Word\Terr_border_regions_along_intern_EU28_and_EFTA_borders_green_no_Kent_A4P_fram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5133" cy="5052687"/>
                    </a:xfrm>
                    <a:prstGeom prst="rect">
                      <a:avLst/>
                    </a:prstGeom>
                    <a:noFill/>
                    <a:ln>
                      <a:noFill/>
                    </a:ln>
                  </pic:spPr>
                </pic:pic>
              </a:graphicData>
            </a:graphic>
          </wp:inline>
        </w:drawing>
      </w:r>
    </w:p>
    <w:p>
      <w:pPr>
        <w:rPr>
          <w:noProof/>
        </w:rPr>
      </w:pPr>
      <w:r>
        <w:rPr>
          <w:rFonts w:ascii="Times New Roman" w:hAnsi="Times New Roman"/>
          <w:noProof/>
          <w:sz w:val="20"/>
        </w:rPr>
        <w:t>Карта: Гранични региони по вътрешните сухопътни граници на ЕС-28 и държавите от ЕАСТ</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Събраните от Комисията сведения обаче показват, че като цяло граничните региони постигат по-слаби икономически показатели от другите региони в дадена държава членка. Достъпът до обществени услуги като болници и университети</w:t>
      </w:r>
      <w:r>
        <w:rPr>
          <w:rFonts w:ascii="Times New Roman" w:hAnsi="Times New Roman"/>
          <w:noProof/>
          <w:sz w:val="24"/>
          <w:vertAlign w:val="superscript"/>
        </w:rPr>
        <w:footnoteReference w:id="7"/>
      </w:r>
      <w:r>
        <w:rPr>
          <w:rFonts w:ascii="Times New Roman" w:hAnsi="Times New Roman"/>
          <w:noProof/>
          <w:sz w:val="24"/>
        </w:rPr>
        <w:t xml:space="preserve"> обикновено в граничните региони е по-ограничен. Преминаването през различните административни и правни системи често все още е сложно и скъпо</w:t>
      </w:r>
      <w:r>
        <w:rPr>
          <w:rStyle w:val="FootnoteReference"/>
          <w:noProof/>
        </w:rPr>
        <w:footnoteReference w:id="8"/>
      </w:r>
      <w:r>
        <w:rPr>
          <w:rFonts w:ascii="Times New Roman" w:hAnsi="Times New Roman"/>
          <w:noProof/>
          <w:sz w:val="24"/>
        </w:rPr>
        <w:t>. Хората, предприятията, публичните органи и неправителствените организации споделят с Комисията своя на моменти отрицателен опит при взаимодействието по вътрешните граници.</w:t>
      </w:r>
    </w:p>
    <w:p>
      <w:pPr>
        <w:jc w:val="both"/>
        <w:rPr>
          <w:rFonts w:ascii="Times New Roman" w:eastAsia="Times New Roman" w:hAnsi="Times New Roman" w:cs="Times New Roman"/>
          <w:noProof/>
          <w:sz w:val="24"/>
          <w:szCs w:val="24"/>
        </w:rPr>
      </w:pPr>
      <w:r>
        <w:rPr>
          <w:rFonts w:ascii="Times New Roman" w:hAnsi="Times New Roman"/>
          <w:noProof/>
          <w:sz w:val="24"/>
        </w:rPr>
        <w:t>Необходими са мерки, които не се изчерпват с европейското финансиране, тъй като тези текущи затруднения не може да бъдат решени единствено чрез финансиране и инвестиции. В настоящото съобщение се посочват начините, по които ЕС и неговите държави членки могат да намалят сложността и продължителността на трансграничните взаимодействия, както и съответните разноски, и да насърчат обединяването на услугите по протежението на вътрешните граници. В съобщението се прави преглед на необходимите подобрения с цел да се гарантира, че гражданите от граничните региони могат пълноценно да използват възможностите, които се предлагат от двете страни на границата. По този начин ЕС може да стимулира в още по-голяма степен своите гранични региони и да съдейства за постигането на растеж и за създаването на работни места.</w:t>
      </w:r>
    </w:p>
    <w:p>
      <w:pPr>
        <w:jc w:val="both"/>
        <w:rPr>
          <w:rFonts w:ascii="Times New Roman" w:eastAsia="Times New Roman" w:hAnsi="Times New Roman" w:cs="Times New Roman"/>
          <w:noProof/>
          <w:sz w:val="24"/>
          <w:szCs w:val="24"/>
        </w:rPr>
      </w:pPr>
      <w:r>
        <w:rPr>
          <w:rFonts w:ascii="Times New Roman" w:hAnsi="Times New Roman"/>
          <w:noProof/>
          <w:sz w:val="24"/>
        </w:rPr>
        <w:t>Съобщението има за цел да приближи още повече ЕС до своите граждани и да гарантира, че европейският законодателен процес функционира ефективно в полза на хората и предприятията. С Бялата книга за бъдещето на Европа</w:t>
      </w:r>
      <w:r>
        <w:rPr>
          <w:rStyle w:val="FootnoteReference"/>
          <w:rFonts w:ascii="Times New Roman" w:hAnsi="Times New Roman"/>
          <w:noProof/>
          <w:sz w:val="24"/>
        </w:rPr>
        <w:footnoteReference w:id="9"/>
      </w:r>
      <w:r>
        <w:rPr>
          <w:rFonts w:ascii="Times New Roman" w:hAnsi="Times New Roman"/>
          <w:noProof/>
          <w:sz w:val="24"/>
        </w:rPr>
        <w:t xml:space="preserve"> и последвалите я документи за размисъл бе поставено началото на широкообхватен дебат за това как да се развива Европа в бъдеще, за да може да отговори по най-добрия начин на желанията на всички европейци. Териториалното сътрудничество, и по-специално трансграничното, носи по всеобщо признание истинска добавена стойност за европейците.</w:t>
      </w:r>
    </w:p>
    <w:p>
      <w:pPr>
        <w:jc w:val="both"/>
        <w:rPr>
          <w:rFonts w:ascii="Times New Roman" w:eastAsia="Times New Roman" w:hAnsi="Times New Roman" w:cs="Times New Roman"/>
          <w:noProof/>
          <w:sz w:val="24"/>
          <w:szCs w:val="24"/>
        </w:rPr>
      </w:pPr>
      <w:r>
        <w:rPr>
          <w:rFonts w:ascii="Times New Roman" w:hAnsi="Times New Roman"/>
          <w:noProof/>
          <w:sz w:val="24"/>
        </w:rPr>
        <w:t>Настоящото съобщение също оказва принос към този процес на размисъл, като с него се предлагат мерки и се дават препоръки, които да улеснят още повече регионите по вътрешните сухопътни граници в сътрудничеството, приноса за намаляване на препятствията и помощта за гражданите и предприятията от граничните региони за оползотворяване на пълния потенциал на въпросните региони.</w:t>
      </w:r>
    </w:p>
    <w:p>
      <w:pPr>
        <w:pStyle w:val="Heading1"/>
        <w:spacing w:before="0" w:after="240"/>
        <w:rPr>
          <w:rFonts w:ascii="Times New Roman" w:hAnsi="Times New Roman" w:cs="Times New Roman"/>
          <w:noProof/>
          <w:sz w:val="24"/>
          <w:szCs w:val="24"/>
        </w:rPr>
      </w:pPr>
      <w:r>
        <w:rPr>
          <w:rFonts w:ascii="Times New Roman" w:hAnsi="Times New Roman"/>
          <w:noProof/>
          <w:sz w:val="24"/>
        </w:rPr>
        <w:t>Продължаващи затруднения</w:t>
      </w:r>
    </w:p>
    <w:p>
      <w:pPr>
        <w:jc w:val="both"/>
        <w:rPr>
          <w:rFonts w:ascii="Times New Roman" w:eastAsia="Times New Roman" w:hAnsi="Times New Roman" w:cs="Times New Roman"/>
          <w:noProof/>
          <w:sz w:val="24"/>
          <w:szCs w:val="24"/>
        </w:rPr>
      </w:pPr>
      <w:r>
        <w:rPr>
          <w:rFonts w:ascii="Times New Roman" w:hAnsi="Times New Roman"/>
          <w:noProof/>
          <w:sz w:val="24"/>
        </w:rPr>
        <w:t>Вследствие на проведена онлайн обществена консултация на всички езици на ЕС и последвали проучвания и обмен на мнения със заинтересованите страни</w:t>
      </w:r>
      <w:r>
        <w:rPr>
          <w:rStyle w:val="FootnoteReference"/>
          <w:noProof/>
        </w:rPr>
        <w:footnoteReference w:id="10"/>
      </w:r>
      <w:r>
        <w:rPr>
          <w:rFonts w:ascii="Times New Roman" w:hAnsi="Times New Roman"/>
          <w:noProof/>
          <w:sz w:val="24"/>
        </w:rPr>
        <w:t xml:space="preserve"> Комисията установи редица проблемни обстоятелства, пред които са изправени предприятията и хората в граничните региони. Макар тези проблеми невинаги да са характерни за граничните региони, те са особено остри тъкмо там поради честотата и степента на взаимодействие през границата.</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imes New Roman" w:hAnsi="Times New Roman" w:cs="Times New Roman"/>
          <w:b/>
          <w:noProof/>
        </w:rPr>
      </w:pPr>
      <w:r>
        <w:rPr>
          <w:rFonts w:ascii="Times New Roman" w:hAnsi="Times New Roman"/>
          <w:b/>
          <w:noProof/>
        </w:rPr>
        <w:t>Житейски истории от границите</w:t>
      </w:r>
    </w:p>
    <w:p>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jc w:val="both"/>
        <w:rPr>
          <w:rFonts w:ascii="Times New Roman" w:hAnsi="Times New Roman" w:cs="Times New Roman"/>
          <w:noProof/>
          <w:sz w:val="24"/>
          <w:szCs w:val="24"/>
        </w:rPr>
      </w:pPr>
      <w:r>
        <w:rPr>
          <w:rFonts w:ascii="Times New Roman" w:hAnsi="Times New Roman"/>
          <w:noProof/>
          <w:sz w:val="24"/>
        </w:rPr>
        <w:t>Терапевт, който работи на непълен работен ден на две места — като служител в Белгия и на свободна практика във Франция, е трябвало да чака осем месеца, за да получи надеждна информация за приложимия данъчен режим и съответно за разполагаемия си доход.</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jc w:val="both"/>
        <w:rPr>
          <w:rFonts w:ascii="Times New Roman" w:hAnsi="Times New Roman" w:cs="Times New Roman"/>
          <w:noProof/>
          <w:sz w:val="24"/>
          <w:szCs w:val="24"/>
        </w:rPr>
      </w:pPr>
      <w:r>
        <w:rPr>
          <w:rFonts w:ascii="Times New Roman" w:hAnsi="Times New Roman"/>
          <w:noProof/>
          <w:sz w:val="24"/>
        </w:rPr>
        <w:t>Лице, пострадало при трудова злополука в Швеция, не е могло да получи рехабилитационни грижи у дома си в Дания поради непълноти във взаимните споразумения на двете държави относно системите за социална сигурност.</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425" w:hanging="425"/>
        <w:jc w:val="both"/>
        <w:rPr>
          <w:rFonts w:ascii="Times New Roman" w:hAnsi="Times New Roman" w:cs="Times New Roman"/>
          <w:noProof/>
          <w:sz w:val="24"/>
          <w:szCs w:val="24"/>
        </w:rPr>
      </w:pPr>
      <w:r>
        <w:rPr>
          <w:rFonts w:ascii="Times New Roman" w:hAnsi="Times New Roman"/>
          <w:noProof/>
          <w:sz w:val="24"/>
        </w:rPr>
        <w:t>Ученик, обучаващ се в професионално училище в Белгия, не успява да премине стажа си близо до дома си във Франция поради несъвместимия статут на стажантите в двете държави.</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425" w:hanging="425"/>
        <w:jc w:val="both"/>
        <w:rPr>
          <w:rFonts w:ascii="Times New Roman" w:hAnsi="Times New Roman" w:cs="Times New Roman"/>
          <w:noProof/>
          <w:sz w:val="24"/>
          <w:szCs w:val="24"/>
        </w:rPr>
      </w:pPr>
      <w:r>
        <w:rPr>
          <w:rFonts w:ascii="Times New Roman" w:hAnsi="Times New Roman"/>
          <w:noProof/>
          <w:sz w:val="24"/>
        </w:rPr>
        <w:t>На жителите на Северна Португалия, желаещи да започнат работа непосредствено отвъд границата с Испания, може да се наложи да направят значителни разходи за официални преводи на документи и да чакат по няколко месеца, преди професионалната им квалификация да бъде призната.</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425" w:hanging="425"/>
        <w:jc w:val="both"/>
        <w:rPr>
          <w:rFonts w:ascii="Times New Roman" w:hAnsi="Times New Roman" w:cs="Times New Roman"/>
          <w:noProof/>
          <w:sz w:val="24"/>
          <w:szCs w:val="24"/>
        </w:rPr>
      </w:pPr>
      <w:r>
        <w:rPr>
          <w:rFonts w:ascii="Times New Roman" w:hAnsi="Times New Roman"/>
          <w:noProof/>
          <w:sz w:val="24"/>
        </w:rPr>
        <w:t>Пожарникарите може да бъдат заставени да чакат на границата, преди да им бъде разрешено да минат и да помогнат на колегите си отсреща. В редица държави членки колите за спешна помощ са ограничени във възможността да поемат пациенти отвъд границата.</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jc w:val="both"/>
        <w:rPr>
          <w:rFonts w:ascii="Times New Roman" w:hAnsi="Times New Roman" w:cs="Times New Roman"/>
          <w:noProof/>
          <w:sz w:val="24"/>
          <w:szCs w:val="24"/>
        </w:rPr>
      </w:pPr>
      <w:r>
        <w:rPr>
          <w:rFonts w:ascii="Times New Roman" w:hAnsi="Times New Roman"/>
          <w:noProof/>
          <w:sz w:val="24"/>
        </w:rPr>
        <w:t>Десет години бяха нужни, за да бъде завършено удължаването на трамвайната линия в Страсбург във Франция и свързването на града през границата със съседния град Кел в Германия например поради различни стандарти и сложни проблеми с ценообразуването и издаването на билетите.</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jc w:val="both"/>
        <w:rPr>
          <w:rFonts w:ascii="Times New Roman" w:hAnsi="Times New Roman" w:cs="Times New Roman"/>
          <w:noProof/>
          <w:sz w:val="24"/>
          <w:szCs w:val="24"/>
        </w:rPr>
      </w:pPr>
      <w:r>
        <w:rPr>
          <w:rFonts w:ascii="Times New Roman" w:hAnsi="Times New Roman"/>
          <w:noProof/>
          <w:sz w:val="24"/>
        </w:rPr>
        <w:t>Дружества, развиващи трансгранична дейност, харчат за изпълнението на основни процедури 60 % повече от предприятията, опериращи на местна почва, главно заради допълнителни разходи за превод и сертификации</w:t>
      </w:r>
      <w:r>
        <w:rPr>
          <w:rStyle w:val="FootnoteReference"/>
          <w:rFonts w:ascii="Times New Roman" w:hAnsi="Times New Roman"/>
          <w:noProof/>
          <w:sz w:val="24"/>
        </w:rPr>
        <w:footnoteReference w:id="11"/>
      </w:r>
      <w:r>
        <w:rPr>
          <w:rFonts w:ascii="Times New Roman" w:hAnsi="Times New Roman"/>
          <w:noProof/>
          <w:sz w:val="24"/>
        </w:rPr>
        <w:t>.</w:t>
      </w:r>
    </w:p>
    <w:p>
      <w:pPr>
        <w:jc w:val="both"/>
        <w:rPr>
          <w:rFonts w:ascii="Times New Roman" w:eastAsia="Times New Roman" w:hAnsi="Times New Roman" w:cs="Times New Roman"/>
          <w:noProof/>
          <w:sz w:val="24"/>
          <w:szCs w:val="24"/>
        </w:rPr>
      </w:pPr>
      <w:r>
        <w:rPr>
          <w:rFonts w:ascii="Times New Roman" w:hAnsi="Times New Roman"/>
          <w:noProof/>
          <w:sz w:val="24"/>
        </w:rPr>
        <w:t>Тези истории показват, че много аспекти на живота по границите са свръхусложнени и обременяващи. В същото време обществената консултация и проучването извадиха на показ редица много положителни примери на европейска интеграция и възможности, предлагани от граничните региони.</w:t>
      </w:r>
    </w:p>
    <w:p>
      <w:pPr>
        <w:pStyle w:val="ListParagraph"/>
        <w:numPr>
          <w:ilvl w:val="0"/>
          <w:numId w:val="6"/>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200"/>
        <w:ind w:left="567" w:hanging="425"/>
        <w:jc w:val="both"/>
        <w:rPr>
          <w:rFonts w:ascii="Times New Roman" w:hAnsi="Times New Roman" w:cs="Times New Roman"/>
          <w:noProof/>
          <w:sz w:val="24"/>
          <w:szCs w:val="24"/>
        </w:rPr>
      </w:pPr>
      <w:r>
        <w:rPr>
          <w:rFonts w:ascii="Times New Roman" w:hAnsi="Times New Roman"/>
          <w:noProof/>
          <w:sz w:val="24"/>
        </w:rPr>
        <w:t>Белгийски пациенти, които е трябвало да пътуват за хемодиализа по 200 километра три пъти седмично, сега може да правят процедурите във Франция, на 3 км от дома си, точно от другата страна на границата, след като двете държави подписаха споразумения за споделяне на ресурси в сферата на здравното обслужване.</w:t>
      </w:r>
    </w:p>
    <w:p>
      <w:pPr>
        <w:pStyle w:val="ListParagraph"/>
        <w:numPr>
          <w:ilvl w:val="0"/>
          <w:numId w:val="6"/>
        </w:numPr>
        <w:pBdr>
          <w:top w:val="single" w:sz="4" w:space="1" w:color="auto"/>
          <w:left w:val="single" w:sz="4" w:space="4" w:color="auto"/>
          <w:bottom w:val="single" w:sz="4" w:space="0" w:color="auto"/>
          <w:right w:val="single" w:sz="4" w:space="4" w:color="auto"/>
        </w:pBdr>
        <w:shd w:val="clear" w:color="auto" w:fill="D9D9D9" w:themeFill="background1" w:themeFillShade="D9"/>
        <w:ind w:left="567" w:hanging="425"/>
        <w:jc w:val="both"/>
        <w:rPr>
          <w:rFonts w:ascii="Times New Roman" w:hAnsi="Times New Roman" w:cs="Times New Roman"/>
          <w:noProof/>
          <w:sz w:val="24"/>
          <w:szCs w:val="24"/>
        </w:rPr>
      </w:pPr>
      <w:r>
        <w:rPr>
          <w:rFonts w:ascii="Times New Roman" w:hAnsi="Times New Roman"/>
          <w:noProof/>
          <w:sz w:val="24"/>
        </w:rPr>
        <w:t>Някои деца в граничните региони между Австрия и Чешката република, Унгария и Словакия посещават двуезични, двунационални детски градини, където се учат да играят, ползвайки два езика и приучвайки се към две култури.</w:t>
      </w:r>
    </w:p>
    <w:p>
      <w:pPr>
        <w:pStyle w:val="ListParagraph"/>
        <w:numPr>
          <w:ilvl w:val="0"/>
          <w:numId w:val="6"/>
        </w:numPr>
        <w:pBdr>
          <w:top w:val="single" w:sz="4" w:space="1" w:color="auto"/>
          <w:left w:val="single" w:sz="4" w:space="4" w:color="auto"/>
          <w:bottom w:val="single" w:sz="4" w:space="0" w:color="auto"/>
          <w:right w:val="single" w:sz="4" w:space="4" w:color="auto"/>
        </w:pBdr>
        <w:shd w:val="clear" w:color="auto" w:fill="D9D9D9" w:themeFill="background1" w:themeFillShade="D9"/>
        <w:ind w:left="567" w:hanging="425"/>
        <w:jc w:val="both"/>
        <w:rPr>
          <w:rFonts w:ascii="Times New Roman" w:hAnsi="Times New Roman" w:cs="Times New Roman"/>
          <w:noProof/>
          <w:sz w:val="24"/>
          <w:szCs w:val="24"/>
        </w:rPr>
      </w:pPr>
      <w:r>
        <w:rPr>
          <w:rFonts w:ascii="Times New Roman" w:hAnsi="Times New Roman"/>
          <w:noProof/>
          <w:sz w:val="24"/>
        </w:rPr>
        <w:t>Държавите от Бенелюкс и провинцията Северен Рейн — Вестфалия в Германия прилагат нови препоръки, които ще улеснят взаимното признаване на квалификациите чрез сътрудничество, основано на взаимно доверие в образователните системи на всяка от страните.</w:t>
      </w:r>
    </w:p>
    <w:p>
      <w:pPr>
        <w:pStyle w:val="ListParagraph"/>
        <w:numPr>
          <w:ilvl w:val="0"/>
          <w:numId w:val="6"/>
        </w:numPr>
        <w:pBdr>
          <w:top w:val="single" w:sz="4" w:space="1" w:color="auto"/>
          <w:left w:val="single" w:sz="4" w:space="4" w:color="auto"/>
          <w:bottom w:val="single" w:sz="4" w:space="0" w:color="auto"/>
          <w:right w:val="single" w:sz="4" w:space="4" w:color="auto"/>
        </w:pBdr>
        <w:shd w:val="clear" w:color="auto" w:fill="D9D9D9" w:themeFill="background1" w:themeFillShade="D9"/>
        <w:ind w:left="567" w:hanging="425"/>
        <w:jc w:val="both"/>
        <w:rPr>
          <w:rFonts w:ascii="Times New Roman" w:hAnsi="Times New Roman" w:cs="Times New Roman"/>
          <w:noProof/>
          <w:sz w:val="24"/>
          <w:szCs w:val="24"/>
        </w:rPr>
      </w:pPr>
      <w:r>
        <w:rPr>
          <w:rFonts w:ascii="Times New Roman" w:hAnsi="Times New Roman"/>
          <w:noProof/>
          <w:sz w:val="24"/>
        </w:rPr>
        <w:t>Хората могат също така да се организират ефективно, за да представляват своите общи интереси, както го доказа</w:t>
      </w:r>
      <w:r>
        <w:rPr>
          <w:noProof/>
        </w:rPr>
        <w:t xml:space="preserve"> </w:t>
      </w:r>
      <w:r>
        <w:rPr>
          <w:rFonts w:ascii="Times New Roman" w:hAnsi="Times New Roman"/>
          <w:i/>
          <w:noProof/>
          <w:sz w:val="24"/>
        </w:rPr>
        <w:t>Groupement Transfrontalier Européen</w:t>
      </w:r>
      <w:r>
        <w:rPr>
          <w:rStyle w:val="FootnoteReference"/>
          <w:rFonts w:ascii="Times New Roman" w:hAnsi="Times New Roman"/>
          <w:noProof/>
          <w:sz w:val="24"/>
        </w:rPr>
        <w:footnoteReference w:id="12"/>
      </w:r>
      <w:r>
        <w:rPr>
          <w:rFonts w:ascii="Times New Roman" w:hAnsi="Times New Roman"/>
          <w:noProof/>
          <w:sz w:val="24"/>
        </w:rPr>
        <w:t xml:space="preserve"> — асоциация, представляваща над 30 000 лица, редовно преминаващи с цел работа границата между Швейцария и Франция.</w:t>
      </w:r>
    </w:p>
    <w:p>
      <w:pPr>
        <w:jc w:val="both"/>
        <w:rPr>
          <w:rFonts w:ascii="Times New Roman" w:eastAsia="Times New Roman" w:hAnsi="Times New Roman" w:cs="Times New Roman"/>
          <w:noProof/>
          <w:sz w:val="24"/>
          <w:szCs w:val="24"/>
        </w:rPr>
      </w:pPr>
      <w:r>
        <w:rPr>
          <w:rFonts w:ascii="Times New Roman" w:hAnsi="Times New Roman"/>
          <w:noProof/>
          <w:sz w:val="24"/>
        </w:rPr>
        <w:t>Вдъхновяващи примери като тези, при които възможностите, свързани със съществуването на граница, се използват в полза на жителите от граничните региони, не се срещат често.</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Комисията се зае чрез аналитична работа да изследва разноските, породени от граничните усложнения, и дублирането на услугите. В неотдавнашно проучване</w:t>
      </w:r>
      <w:r>
        <w:rPr>
          <w:rFonts w:ascii="Times New Roman" w:hAnsi="Times New Roman"/>
          <w:noProof/>
          <w:sz w:val="24"/>
          <w:vertAlign w:val="superscript"/>
        </w:rPr>
        <w:footnoteReference w:id="13"/>
      </w:r>
      <w:r>
        <w:rPr>
          <w:rFonts w:ascii="Times New Roman" w:hAnsi="Times New Roman"/>
          <w:noProof/>
          <w:sz w:val="24"/>
        </w:rPr>
        <w:t xml:space="preserve"> на икономическото въздействие от пречките от гранично естество върху БВП и равнището на заетост в регионите по вътрешните сухопътни граници беше установено, че тези региони биха могли да бъдат средно с 8 % по-богати, ако всички настоящи спънки бъдат премахнати и ако всички използват един език</w:t>
      </w:r>
      <w:r>
        <w:rPr>
          <w:rStyle w:val="FootnoteReference"/>
          <w:rFonts w:ascii="Times New Roman" w:hAnsi="Times New Roman"/>
          <w:noProof/>
          <w:sz w:val="24"/>
        </w:rPr>
        <w:footnoteReference w:id="14"/>
      </w:r>
      <w:r>
        <w:rPr>
          <w:rFonts w:ascii="Times New Roman" w:hAnsi="Times New Roman"/>
          <w:noProof/>
          <w:sz w:val="24"/>
        </w:rPr>
        <w:t>. Този сценарий нито е постижим, нито желан, тъй като Европа се гради на многообразието и субсидиарността. Въпреки това, ако дори само 20 % от съществуващите пречки бъдат премахнати, граничните региони пак ще увеличат своя БВП с 2 %. Очакваното въздействие върху работните места е също толкова значимо, като потенциалът е за над 1 милион работни позиции. Спънките по границите ограничават понастоящем използването на производствените активи или затрудняват постигането на икономии от мащаба. Също така те пораждат разходи за хората и предприятията. Това отрицателно икономическо въздействие е различно в отделните държави членки, но несъмнено е по-високо в държавите, в които граничните региони произвеждат значителен дял от националния БВП.</w:t>
      </w:r>
    </w:p>
    <w:bookmarkEnd w:id="2"/>
    <w:bookmarkEnd w:id="3"/>
    <w:p>
      <w:pPr>
        <w:jc w:val="both"/>
        <w:rPr>
          <w:rFonts w:ascii="Times New Roman" w:eastAsia="Times New Roman" w:hAnsi="Times New Roman" w:cs="Times New Roman"/>
          <w:noProof/>
          <w:sz w:val="24"/>
          <w:szCs w:val="24"/>
        </w:rPr>
      </w:pPr>
      <w:r>
        <w:rPr>
          <w:rFonts w:ascii="Times New Roman" w:hAnsi="Times New Roman"/>
          <w:noProof/>
          <w:sz w:val="24"/>
        </w:rPr>
        <w:t>Данните показват още, че лесни решения няма и че възникването на пограничните проблеми и тяхното решаване представляват комплексен процес, включващ всички нива на държавните и публичните администрации. Както много от заинтересованите страни съобщават, трудностите в граничните региони винаги биват понасяни на местно равнище, въпреки че решенията рядко се намират на същото ниво. Преодоляването на пречките или намаляването на сложността им налага всички нива на държавното и местното управление да работят ръка за ръка.</w:t>
      </w:r>
    </w:p>
    <w:p>
      <w:pPr>
        <w:pStyle w:val="Heading1"/>
        <w:spacing w:before="0" w:after="240"/>
        <w:rPr>
          <w:rFonts w:ascii="Times New Roman" w:hAnsi="Times New Roman" w:cs="Times New Roman"/>
          <w:noProof/>
          <w:sz w:val="24"/>
          <w:szCs w:val="24"/>
        </w:rPr>
      </w:pPr>
      <w:r>
        <w:rPr>
          <w:rFonts w:ascii="Times New Roman" w:hAnsi="Times New Roman"/>
          <w:noProof/>
          <w:sz w:val="24"/>
        </w:rPr>
        <w:t>Какво може да се направи?</w:t>
      </w:r>
    </w:p>
    <w:p>
      <w:pPr>
        <w:jc w:val="both"/>
        <w:rPr>
          <w:rFonts w:ascii="Times New Roman" w:hAnsi="Times New Roman" w:cs="Times New Roman"/>
          <w:noProof/>
          <w:sz w:val="24"/>
          <w:szCs w:val="24"/>
        </w:rPr>
      </w:pPr>
      <w:r>
        <w:rPr>
          <w:rFonts w:ascii="Times New Roman" w:hAnsi="Times New Roman"/>
          <w:noProof/>
          <w:sz w:val="24"/>
        </w:rPr>
        <w:t>В тази глава се посочват областите, за които при подготвителната си работа със заинтересованите страни (проучване, консултации и работни семинари) Комисията установи, че имат сериозен потенциал за премахване на по-нататъшните препятствия. Очертава се и ролята на Комисията за предприемане на положителни стъпки както при собствените ѝ действия, така и при оказването на подкрепа на други ключови участници.</w:t>
      </w:r>
    </w:p>
    <w:p>
      <w:pPr>
        <w:spacing w:after="0"/>
        <w:jc w:val="both"/>
        <w:rPr>
          <w:rFonts w:ascii="Times New Roman" w:hAnsi="Times New Roman" w:cs="Times New Roman"/>
          <w:noProof/>
          <w:sz w:val="24"/>
          <w:szCs w:val="24"/>
        </w:rPr>
      </w:pPr>
      <w:r>
        <w:rPr>
          <w:rFonts w:ascii="Times New Roman" w:hAnsi="Times New Roman"/>
          <w:noProof/>
          <w:sz w:val="24"/>
        </w:rPr>
        <w:t>Във всеки раздел се описват накратко установените проблеми и същите се илюстрират чрез примери и/или добри практики (те са представени по-подробно в придружаващия работен документ на службите на Комисията). Предложен е също така кратък преглед на текущите мерки, прилагани от Комисията или националните институции, и накрая, когато е възможно, се предлагат нови действия на Комисията или се препоръчват действия на държавите членки и други заинтересовани страни.</w:t>
      </w:r>
    </w:p>
    <w:p>
      <w:pPr>
        <w:pBdr>
          <w:top w:val="single" w:sz="4" w:space="1" w:color="auto"/>
          <w:left w:val="single" w:sz="4" w:space="4" w:color="auto"/>
          <w:bottom w:val="single" w:sz="4" w:space="1" w:color="auto"/>
          <w:right w:val="single" w:sz="4" w:space="4" w:color="auto"/>
        </w:pBdr>
        <w:spacing w:before="200"/>
        <w:jc w:val="both"/>
        <w:rPr>
          <w:rFonts w:ascii="Times New Roman" w:hAnsi="Times New Roman" w:cs="Times New Roman"/>
          <w:noProof/>
          <w:sz w:val="24"/>
          <w:szCs w:val="24"/>
        </w:rPr>
      </w:pPr>
      <w:r>
        <w:rPr>
          <w:rFonts w:ascii="Times New Roman" w:hAnsi="Times New Roman"/>
          <w:noProof/>
          <w:sz w:val="24"/>
        </w:rPr>
        <w:t>Изпълнението на десетте посочени по-долу действия ще бъде подпомогнато чрез създаването на „гранично координационно звено“ към Комисията. Функциите на това звено ще бъдат: 1) да следи основните бъдещи действия на Комисията да отчитат надлежно трансграничните регионални измерения, 2) да оказва на държавите членки и на други ключови участници подкрепа за справяне с проблемите на граничните региони от правно и административно естество, по-специално във връзка с транспонирането на директивите на ЕС или изискванията за координиране, 3) да следи за осигуряването на практически условия за новите действия, произтичащи от настоящото съобщение, 4) да споделя ефективно и широко опит и добри практики със съответните заинтересовани страни.</w:t>
      </w:r>
    </w:p>
    <w:p>
      <w:pPr>
        <w:spacing w:after="0"/>
        <w:jc w:val="both"/>
        <w:rPr>
          <w:rFonts w:ascii="Times New Roman" w:hAnsi="Times New Roman" w:cs="Times New Roman"/>
          <w:noProof/>
          <w:sz w:val="24"/>
          <w:szCs w:val="24"/>
        </w:rPr>
      </w:pPr>
    </w:p>
    <w:p>
      <w:pPr>
        <w:pStyle w:val="Heading2"/>
        <w:rPr>
          <w:noProof/>
        </w:rPr>
      </w:pPr>
      <w:r>
        <w:rPr>
          <w:noProof/>
        </w:rPr>
        <w:t>Задълбочаване на сътрудничеството и обмена</w:t>
      </w:r>
    </w:p>
    <w:p>
      <w:pPr>
        <w:jc w:val="both"/>
        <w:rPr>
          <w:rFonts w:ascii="Times New Roman" w:eastAsia="Times New Roman" w:hAnsi="Times New Roman" w:cs="Times New Roman"/>
          <w:noProof/>
          <w:sz w:val="24"/>
          <w:szCs w:val="24"/>
        </w:rPr>
      </w:pPr>
      <w:r>
        <w:rPr>
          <w:rFonts w:ascii="Times New Roman" w:hAnsi="Times New Roman"/>
          <w:noProof/>
          <w:sz w:val="24"/>
        </w:rPr>
        <w:t>Новите инициативи на Комисията няма да окажат цялото желано положително въздействие в граничните региони, ако не се задълбочат ефективните механизми за трансгранично сътрудничество. Тези механизми, били те институционализирани или не, трябва да отразяват измерението на многостепенно управление, присъщо на създаването на политики в ЕС. Редица подобни механизми за сътрудничество вече съществуват.</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Добра практика</w:t>
      </w:r>
      <w:r>
        <w:rPr>
          <w:rFonts w:ascii="Times New Roman" w:hAnsi="Times New Roman"/>
          <w:noProof/>
          <w:sz w:val="24"/>
        </w:rPr>
        <w:t>: На междуправителствено равнище Северният съвет на министрите  и съюзът Бенелюкс са създали процеси за установяване и преодоляване на спънките от двете страни на границите. На регионално равнище в рамките на Спогодбата за Горен Рейн или на Комитета за Голям Копенхаген и Сконе са разработени институционализирани начини за установяване на пречките на местно равнище и за организиране на ответни действия.</w:t>
      </w:r>
    </w:p>
    <w:p>
      <w:pPr>
        <w:spacing w:after="0"/>
        <w:jc w:val="both"/>
        <w:rPr>
          <w:rFonts w:ascii="Times New Roman" w:eastAsia="Times New Roman" w:hAnsi="Times New Roman" w:cs="Times New Roman"/>
          <w:noProof/>
          <w:sz w:val="24"/>
          <w:szCs w:val="24"/>
        </w:rPr>
      </w:pPr>
      <w:r>
        <w:rPr>
          <w:rFonts w:ascii="Times New Roman" w:hAnsi="Times New Roman"/>
          <w:noProof/>
          <w:sz w:val="24"/>
        </w:rPr>
        <w:t>Комисията призовава държавите членки и регионите да продължават да развиват редовни форми на диалог по въпроси, свързани с граничните региони. Държавите членки и регионите следва да обърнат повече внимание на основни за европейската интеграция въпроси като взаимното признаване или съгласуването на правилата и процесите. Те се приканват да използват пълноценно наличните възможности за сключване на споразумения или спогодби. Четирите макрорегионални стратегии</w:t>
      </w:r>
      <w:r>
        <w:rPr>
          <w:rStyle w:val="FootnoteReference"/>
          <w:rFonts w:ascii="Times New Roman" w:hAnsi="Times New Roman"/>
          <w:noProof/>
          <w:sz w:val="24"/>
        </w:rPr>
        <w:footnoteReference w:id="15"/>
      </w:r>
      <w:r>
        <w:rPr>
          <w:rFonts w:ascii="Times New Roman" w:hAnsi="Times New Roman"/>
          <w:noProof/>
          <w:sz w:val="24"/>
        </w:rPr>
        <w:t xml:space="preserve"> например биха могли да послужат като подходяща рамка за трансгранично институционално сътрудничество. Освен това, когато сътрудничеството се изисква изрично по силата на законодателството на ЕС, какъвто е случаят например с много правни актове в областта на околната среда, това трябва да се използва пълноценно.</w:t>
      </w:r>
    </w:p>
    <w:p>
      <w:pPr>
        <w:spacing w:after="0"/>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u w:val="single"/>
        </w:rPr>
        <w:t>Действие:</w:t>
      </w:r>
      <w:r>
        <w:rPr>
          <w:rFonts w:ascii="Times New Roman" w:hAnsi="Times New Roman"/>
          <w:noProof/>
          <w:sz w:val="24"/>
        </w:rPr>
        <w:t xml:space="preserve"> За да подкрепи процеса и да гарантира споделянето на добрите практики, Комисията ще създаде </w:t>
      </w:r>
      <w:r>
        <w:rPr>
          <w:rFonts w:ascii="Times New Roman" w:hAnsi="Times New Roman"/>
          <w:b/>
          <w:noProof/>
          <w:sz w:val="24"/>
        </w:rPr>
        <w:t>онлайн професионална мрежа</w:t>
      </w:r>
      <w:r>
        <w:rPr>
          <w:rFonts w:ascii="Times New Roman" w:hAnsi="Times New Roman"/>
          <w:noProof/>
          <w:sz w:val="24"/>
        </w:rPr>
        <w:t xml:space="preserve"> за целия ЕС, в която пограничните проблеми от правно и административно естество и съответните решения ще може да се представят и да се обсъждат между заинтересованите страни от граничните региони. Мрежата ще ползва Futurium — съществуваща онлайн платформа, създадена от Комисията, а модератор ще бъде  Комисията чрез своето гранично координационно звено.</w:t>
      </w:r>
    </w:p>
    <w:p>
      <w:pPr>
        <w:jc w:val="both"/>
        <w:rPr>
          <w:rFonts w:ascii="Times New Roman" w:eastAsia="Times New Roman" w:hAnsi="Times New Roman" w:cs="Times New Roman"/>
          <w:noProof/>
          <w:sz w:val="24"/>
          <w:szCs w:val="24"/>
        </w:rPr>
      </w:pPr>
      <w:r>
        <w:rPr>
          <w:rFonts w:ascii="Times New Roman" w:hAnsi="Times New Roman"/>
          <w:noProof/>
          <w:sz w:val="24"/>
          <w:u w:val="single"/>
        </w:rPr>
        <w:t>Действие</w:t>
      </w:r>
      <w:r>
        <w:rPr>
          <w:rFonts w:ascii="Times New Roman" w:hAnsi="Times New Roman"/>
          <w:noProof/>
          <w:sz w:val="24"/>
        </w:rPr>
        <w:t xml:space="preserve">: В допълнение към това преди края на 2017 г. Комисията ще публикува открита покана за  </w:t>
      </w:r>
      <w:r>
        <w:rPr>
          <w:rFonts w:ascii="Times New Roman" w:hAnsi="Times New Roman"/>
          <w:b/>
          <w:noProof/>
          <w:sz w:val="24"/>
        </w:rPr>
        <w:t>пилотни проекти</w:t>
      </w:r>
      <w:r>
        <w:rPr>
          <w:rFonts w:ascii="Times New Roman" w:hAnsi="Times New Roman"/>
          <w:noProof/>
          <w:sz w:val="24"/>
        </w:rPr>
        <w:t>. Тя ще бъде насочена към публични органи, желаещи да решат един или повече характерни за граничните региони правни или административни проблеми. Проектите биха могли да се фокусират например върху подобряване на съвместимостта на административните системи, улесняване на трудовата мобилност чрез повишени възможности за признаване на квалификациите или гарантиране на хармонизацията на правните стандарти.  Тези проекти ще послужат като основа за търсенето на иновативни начини за решаване на пограничните проблеми. Накрая резултатите от тях ще бъдат обобщени в сборник, който ще бъде разпространен до широка аудитория и ще се използва за насърчаване на по-голяма осведоменост и по-висок капацитет сред основните участници.  Процедурата ще бъде отворена за всички публични органи, които желаят да се заемат с набелязването на решения за пограничните проблеми в рамките на сферата си на компетентност. Ще бъдат избрани до 20 пилотни проекта въз основа на високата си демонстрационна стойност и степен на възпроизводимост.</w:t>
      </w:r>
    </w:p>
    <w:p>
      <w:pPr>
        <w:pStyle w:val="Heading2"/>
        <w:rPr>
          <w:noProof/>
        </w:rPr>
      </w:pPr>
      <w:r>
        <w:rPr>
          <w:noProof/>
        </w:rPr>
        <w:t>Подобряване на законодателния процес</w:t>
      </w:r>
    </w:p>
    <w:p>
      <w:pPr>
        <w:spacing w:after="0"/>
        <w:jc w:val="both"/>
        <w:rPr>
          <w:rFonts w:ascii="Times New Roman" w:eastAsia="Times New Roman" w:hAnsi="Times New Roman" w:cs="Times New Roman"/>
          <w:noProof/>
          <w:sz w:val="24"/>
          <w:szCs w:val="24"/>
        </w:rPr>
      </w:pPr>
      <w:r>
        <w:rPr>
          <w:rFonts w:ascii="Times New Roman" w:hAnsi="Times New Roman"/>
          <w:noProof/>
          <w:sz w:val="24"/>
        </w:rPr>
        <w:t>За съществена част от установените в граничните региони трудности основните причини се приписват на успоредното съществуване на различни уредби в националните правни и административни системи. Дори в области, в които съществува европейска правна рамка, държавите членки разполагат с известна гъвкавост и право на преценка за начина, по който да транспонират това законодателство в националните си системи. Често някои предвидени в правото на ЕС нива на стандарти се прилагат в различните държави членки с различна степен на строгост. В резултат на това, когато две различни системи влязат в съприкосновение по вътрешните граници, това може да доведе до усложнения, а понякога и дори до правна несигурност, и да породи допълнителни разходи.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Пример</w:t>
      </w:r>
      <w:r>
        <w:rPr>
          <w:rFonts w:ascii="Times New Roman" w:hAnsi="Times New Roman"/>
          <w:noProof/>
          <w:sz w:val="24"/>
        </w:rPr>
        <w:t>: В Директива 2014/24/ЕС на Европейския парламент и на Съвета от 26 февруари 2014 г. за обществените поръчки се съдържат 19 случая, при които се прилагат минимални стандарти, например за определянето на конкретни срокове. Това създава 19 потенциални случая, при които трансграничните обществени поръчки може да бъдат особено затруднени, тъй като някои държави членки ще прилагат по-дълги срокове от други.</w:t>
      </w:r>
    </w:p>
    <w:p>
      <w:pPr>
        <w:spacing w:after="0"/>
        <w:jc w:val="both"/>
        <w:rPr>
          <w:rFonts w:ascii="Times New Roman" w:eastAsia="Times New Roman" w:hAnsi="Times New Roman" w:cs="Times New Roman"/>
          <w:noProof/>
          <w:sz w:val="24"/>
          <w:szCs w:val="24"/>
        </w:rPr>
      </w:pPr>
      <w:r>
        <w:rPr>
          <w:rFonts w:ascii="Times New Roman" w:hAnsi="Times New Roman"/>
          <w:noProof/>
          <w:sz w:val="24"/>
        </w:rPr>
        <w:t>В пакета си за по-добро регулиране, приет през 2015 г.</w:t>
      </w:r>
      <w:r>
        <w:rPr>
          <w:rStyle w:val="FootnoteReference"/>
          <w:rFonts w:ascii="Times New Roman" w:hAnsi="Times New Roman"/>
          <w:noProof/>
          <w:sz w:val="24"/>
        </w:rPr>
        <w:footnoteReference w:id="16"/>
      </w:r>
      <w:r>
        <w:rPr>
          <w:rFonts w:ascii="Times New Roman" w:hAnsi="Times New Roman"/>
          <w:noProof/>
          <w:sz w:val="24"/>
        </w:rPr>
        <w:t>, Комисията предложи мерки с цел да се гарантира, че териториалните аспекти се отчитат във вариантите на политики. Това става основно чрез прилагането на солидни оценки на въздействието на законодателството, които включват териториални елементи.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Добра практика</w:t>
      </w:r>
      <w:r>
        <w:rPr>
          <w:rFonts w:ascii="Times New Roman" w:hAnsi="Times New Roman"/>
          <w:noProof/>
          <w:sz w:val="24"/>
        </w:rPr>
        <w:t>: Независим орган (Институтът за транснационално и еврорегионално трансгранично сътрудничество и мобилност към Университета в Маастрихт) извършва оценки на трансграничното въздействие от бъдещо национално законодателство и законодателство на ЕС въз основата на работна програма, разработена съвместно със заинтересованите участници на национално, регионално и местно равнище по границите на Нидерландия с Германия и съответно с Белгия</w:t>
      </w:r>
      <w:r>
        <w:rPr>
          <w:rStyle w:val="FootnoteReference"/>
          <w:rFonts w:ascii="Times New Roman" w:hAnsi="Times New Roman"/>
          <w:noProof/>
          <w:sz w:val="24"/>
        </w:rPr>
        <w:footnoteReference w:id="17"/>
      </w:r>
      <w:r>
        <w:rPr>
          <w:rFonts w:ascii="Times New Roman" w:hAnsi="Times New Roman"/>
          <w:noProof/>
          <w:sz w:val="24"/>
        </w:rPr>
        <w:t>.</w:t>
      </w:r>
    </w:p>
    <w:p>
      <w:pPr>
        <w:spacing w:after="0"/>
        <w:jc w:val="both"/>
        <w:rPr>
          <w:rFonts w:ascii="Times New Roman" w:eastAsia="Times New Roman" w:hAnsi="Times New Roman" w:cs="Times New Roman"/>
          <w:noProof/>
          <w:sz w:val="24"/>
          <w:szCs w:val="24"/>
        </w:rPr>
      </w:pPr>
      <w:r>
        <w:rPr>
          <w:rFonts w:ascii="Times New Roman" w:hAnsi="Times New Roman"/>
          <w:noProof/>
          <w:sz w:val="24"/>
          <w:u w:val="single"/>
        </w:rPr>
        <w:t>Действие</w:t>
      </w:r>
      <w:r>
        <w:rPr>
          <w:rFonts w:ascii="Times New Roman" w:hAnsi="Times New Roman"/>
          <w:noProof/>
          <w:sz w:val="24"/>
        </w:rPr>
        <w:t xml:space="preserve">: Комисията ще полага и по-нататъшни усилия за установяване на </w:t>
      </w:r>
      <w:r>
        <w:rPr>
          <w:rFonts w:ascii="Times New Roman" w:hAnsi="Times New Roman"/>
          <w:b/>
          <w:noProof/>
          <w:sz w:val="24"/>
        </w:rPr>
        <w:t>трансграничното въздействие</w:t>
      </w:r>
      <w:r>
        <w:rPr>
          <w:rFonts w:ascii="Times New Roman" w:hAnsi="Times New Roman"/>
          <w:noProof/>
          <w:sz w:val="24"/>
        </w:rPr>
        <w:t>, когато то е значително, чрез прилагането на съществуващите методи и инструменти. Посредством граничното си координационно звено и професионалната мрежа, описана по-горе, Комисията ще се стреми към по-засилено включване в този процес на заинтересованите страни от граничните региони.</w:t>
      </w:r>
    </w:p>
    <w:p>
      <w:pPr>
        <w:spacing w:after="0"/>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u w:val="single"/>
        </w:rPr>
        <w:t>Действие</w:t>
      </w:r>
      <w:r>
        <w:rPr>
          <w:rFonts w:ascii="Times New Roman" w:hAnsi="Times New Roman"/>
          <w:noProof/>
          <w:sz w:val="24"/>
        </w:rPr>
        <w:t xml:space="preserve">: За да подкрепи държавите членки с необходимите координационни усилия в процеса им на национално транспониране, граничното координационно звено на Комисията ще предлага </w:t>
      </w:r>
      <w:r>
        <w:rPr>
          <w:rFonts w:ascii="Times New Roman" w:hAnsi="Times New Roman"/>
          <w:b/>
          <w:noProof/>
          <w:sz w:val="24"/>
        </w:rPr>
        <w:t>експертен опит и консултации</w:t>
      </w:r>
      <w:r>
        <w:rPr>
          <w:rFonts w:ascii="Times New Roman" w:hAnsi="Times New Roman"/>
          <w:noProof/>
          <w:sz w:val="24"/>
        </w:rPr>
        <w:t xml:space="preserve"> по трансгранични регионални аспекти. Наред с другото това ще се основава на резултатите от посочените по-горе пилотни проекти и съществуващите добри практики.</w:t>
      </w:r>
    </w:p>
    <w:p>
      <w:pPr>
        <w:pStyle w:val="Heading2"/>
        <w:rPr>
          <w:noProof/>
        </w:rPr>
      </w:pPr>
      <w:r>
        <w:rPr>
          <w:noProof/>
        </w:rPr>
        <w:t>Създаване на условия за трансгранично публично администриране</w:t>
      </w:r>
    </w:p>
    <w:p>
      <w:pPr>
        <w:pStyle w:val="CommentText"/>
        <w:spacing w:line="276" w:lineRule="auto"/>
        <w:jc w:val="both"/>
        <w:rPr>
          <w:rFonts w:ascii="Times New Roman" w:eastAsia="Times New Roman" w:hAnsi="Times New Roman" w:cs="Times New Roman"/>
          <w:noProof/>
          <w:sz w:val="24"/>
          <w:szCs w:val="24"/>
        </w:rPr>
      </w:pPr>
      <w:r>
        <w:rPr>
          <w:rFonts w:ascii="Times New Roman" w:hAnsi="Times New Roman"/>
          <w:noProof/>
          <w:sz w:val="24"/>
        </w:rPr>
        <w:t>Културите и системите на административно управление на държавите — членки на ЕС са различни. При съприкосновението на различните системи това многообразие може да се окаже ограничаващо. Повечето административни процедури най-често са от национален характер, а трансграничните са по-слабо застъпени. Не е изключено обаче заинтересованите страни от граничните региони редовно да се нуждаят от процедури от наднационално естество. Липсата на общ подход или общо разбиране и ограниченото наличие на взаимно признавани документи може да доведе до продължителни и скъпи процедури, дори в случая на основни житейски събития.</w:t>
      </w:r>
    </w:p>
    <w:p>
      <w:pPr>
        <w:jc w:val="both"/>
        <w:rPr>
          <w:rFonts w:ascii="Times New Roman" w:eastAsia="Times New Roman" w:hAnsi="Times New Roman" w:cs="Times New Roman"/>
          <w:noProof/>
          <w:sz w:val="24"/>
          <w:szCs w:val="24"/>
        </w:rPr>
      </w:pPr>
      <w:r>
        <w:rPr>
          <w:rFonts w:ascii="Times New Roman" w:hAnsi="Times New Roman"/>
          <w:noProof/>
          <w:sz w:val="24"/>
        </w:rPr>
        <w:t>Например някои публични органи възприеха по-бързо от други електронното управление — това може да доведе до затруднения при взаимодействие през границите, особено когато са необходими документи или формуляри. Когато се внедряват решения в областта на електронното управление, те са приложими повече в национален контекст, отколкото в трансгранична перспектива</w:t>
      </w:r>
      <w:r>
        <w:rPr>
          <w:rStyle w:val="FootnoteReference"/>
          <w:rFonts w:ascii="Times New Roman" w:hAnsi="Times New Roman"/>
          <w:noProof/>
          <w:sz w:val="24"/>
        </w:rPr>
        <w:footnoteReference w:id="18"/>
      </w:r>
      <w:r>
        <w:rPr>
          <w:rFonts w:ascii="Times New Roman" w:hAnsi="Times New Roman"/>
          <w:noProof/>
          <w:sz w:val="24"/>
        </w:rPr>
        <w:t>. Оперативната съвместимост на електронните системи на публичните органи все още е ограничена.</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Пример</w:t>
      </w:r>
      <w:r>
        <w:rPr>
          <w:rFonts w:ascii="Times New Roman" w:hAnsi="Times New Roman"/>
          <w:noProof/>
        </w:rPr>
        <w:t xml:space="preserve">: </w:t>
      </w:r>
      <w:r>
        <w:rPr>
          <w:rFonts w:ascii="Times New Roman" w:hAnsi="Times New Roman"/>
          <w:noProof/>
          <w:sz w:val="24"/>
        </w:rPr>
        <w:t xml:space="preserve">Взаимодействието между гражданите и публичните органи в Дания е в значителна степен цифровизирано. Получаването на необходимата идентификация и на права за достъп може да бъде сложно за лица, установени в съседни държави, които редовно преминават границата с цел работа. Например кратките срокове за издаване на данъчен идентификационен номер </w:t>
      </w:r>
      <w:r>
        <w:rPr>
          <w:rFonts w:ascii="Times New Roman" w:hAnsi="Times New Roman"/>
          <w:i/>
          <w:noProof/>
          <w:sz w:val="24"/>
        </w:rPr>
        <w:t>(skattepersonnummer</w:t>
      </w:r>
      <w:r>
        <w:rPr>
          <w:rFonts w:ascii="Times New Roman" w:hAnsi="Times New Roman"/>
          <w:noProof/>
          <w:sz w:val="24"/>
        </w:rPr>
        <w:t>) може да забавят уреждането на трудови договори и здравно осигуряване. Третирането на някои въпроси извън цифровите системи носи риск от забавяне и изпускане на крайни срокове.</w:t>
      </w:r>
    </w:p>
    <w:p>
      <w:pPr>
        <w:jc w:val="both"/>
        <w:rPr>
          <w:rFonts w:ascii="Times New Roman" w:hAnsi="Times New Roman" w:cs="Times New Roman"/>
          <w:noProof/>
          <w:sz w:val="24"/>
          <w:szCs w:val="24"/>
        </w:rPr>
      </w:pPr>
      <w:r>
        <w:rPr>
          <w:rFonts w:ascii="Times New Roman" w:hAnsi="Times New Roman"/>
          <w:noProof/>
          <w:sz w:val="24"/>
        </w:rPr>
        <w:t>В своя план за действие за електронно управление през периода 2016 — 2020 г.</w:t>
      </w:r>
      <w:r>
        <w:rPr>
          <w:rStyle w:val="FootnoteReference"/>
          <w:rFonts w:ascii="Times New Roman" w:hAnsi="Times New Roman"/>
          <w:noProof/>
          <w:sz w:val="24"/>
        </w:rPr>
        <w:footnoteReference w:id="19"/>
      </w:r>
      <w:r>
        <w:rPr>
          <w:rFonts w:ascii="Times New Roman" w:hAnsi="Times New Roman"/>
          <w:noProof/>
          <w:sz w:val="24"/>
        </w:rPr>
        <w:t xml:space="preserve"> Комисията определя дългосрочна визия за отворени, ефикасни и приобщаващи публични администрации, които ще предоставят пълната гама от независещи от границите персонализирани цифрови обществени услуги. Въпреки че планът е от общ характер, в него се предлагат мерки и инструменти, които ще бъдат от особено значение за граничните региони, като например принципа „само веднъж“ (т.е. информацията да се предоставя на публичните органи само веднъж независимо от държавата на произход</w:t>
      </w:r>
      <w:r>
        <w:rPr>
          <w:rStyle w:val="FootnoteReference"/>
          <w:rFonts w:ascii="Times New Roman" w:hAnsi="Times New Roman"/>
          <w:noProof/>
          <w:sz w:val="24"/>
        </w:rPr>
        <w:footnoteReference w:id="20"/>
      </w:r>
      <w:r>
        <w:rPr>
          <w:rFonts w:ascii="Times New Roman" w:hAnsi="Times New Roman"/>
          <w:noProof/>
          <w:sz w:val="24"/>
        </w:rPr>
        <w:t>) и инструмент за автоматизиран превод за публичните органи</w:t>
      </w:r>
      <w:r>
        <w:rPr>
          <w:rStyle w:val="FootnoteReference"/>
          <w:rFonts w:ascii="Times New Roman" w:hAnsi="Times New Roman"/>
          <w:noProof/>
          <w:sz w:val="24"/>
        </w:rPr>
        <w:footnoteReference w:id="21"/>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u w:val="single"/>
        </w:rPr>
        <w:t>Действие</w:t>
      </w:r>
      <w:r>
        <w:rPr>
          <w:rFonts w:ascii="Times New Roman" w:hAnsi="Times New Roman"/>
          <w:noProof/>
          <w:sz w:val="24"/>
        </w:rPr>
        <w:t xml:space="preserve">: Регионалните/местните органи на държавите членки трябва да </w:t>
      </w:r>
      <w:r>
        <w:rPr>
          <w:rFonts w:ascii="Times New Roman" w:hAnsi="Times New Roman"/>
          <w:b/>
          <w:noProof/>
          <w:sz w:val="24"/>
        </w:rPr>
        <w:t>приемат предизвикателството на електронното управление</w:t>
      </w:r>
      <w:r>
        <w:rPr>
          <w:rFonts w:ascii="Times New Roman" w:hAnsi="Times New Roman"/>
          <w:noProof/>
          <w:sz w:val="24"/>
        </w:rPr>
        <w:t xml:space="preserve"> и да предприемат конкретни стъпки, които да променят живота на гражданите от граничните региони. Комисията ще подкрепя този процес чрез активното популяризиране на съществуващите електронни решения сред заинтересованите страни от граничните региони и публичните органи, най-засегнати от трансграничния обмен на данни. За целта Комисията ще активизира своите </w:t>
      </w:r>
      <w:r>
        <w:rPr>
          <w:rFonts w:ascii="Times New Roman" w:hAnsi="Times New Roman"/>
          <w:b/>
          <w:noProof/>
          <w:sz w:val="24"/>
        </w:rPr>
        <w:t>текущи и бъдещи проекти за електронно управление</w:t>
      </w:r>
      <w:r>
        <w:rPr>
          <w:rFonts w:ascii="Times New Roman" w:hAnsi="Times New Roman"/>
          <w:noProof/>
          <w:sz w:val="24"/>
        </w:rPr>
        <w:t xml:space="preserve"> с цел да се ангажират заинтересованите страни от граничните региони, така че да бъдат предоставяни трансгранични обществени услуги, отговарящи на нуждите на хората и предприятията. Успешните текущи проекти, като например взаимното признаване на електронната идентификация или електронният обмен на данни за социалната сигурност (EESSI), осигуряват солидна основа за това.</w:t>
      </w:r>
    </w:p>
    <w:p>
      <w:pPr>
        <w:pStyle w:val="Heading2"/>
        <w:rPr>
          <w:noProof/>
        </w:rPr>
      </w:pPr>
      <w:r>
        <w:rPr>
          <w:noProof/>
        </w:rPr>
        <w:t>Предоставяне на надеждна и разбираема информация и помощ</w:t>
      </w:r>
    </w:p>
    <w:p>
      <w:pPr>
        <w:spacing w:after="0"/>
        <w:jc w:val="both"/>
        <w:rPr>
          <w:rFonts w:ascii="Times New Roman" w:eastAsia="Times New Roman" w:hAnsi="Times New Roman" w:cs="Times New Roman"/>
          <w:noProof/>
          <w:sz w:val="24"/>
          <w:szCs w:val="24"/>
        </w:rPr>
      </w:pPr>
      <w:r>
        <w:rPr>
          <w:rFonts w:ascii="Times New Roman" w:hAnsi="Times New Roman"/>
          <w:noProof/>
          <w:sz w:val="24"/>
        </w:rPr>
        <w:t>Отстраняването на пречките от гранично естество ще отнеме време и ще изисква упорити усилия. Същевременно достъпът от другата страна на границата до налична и надеждна информация и услуги, разрешаващи житейски или професионални проблеми, е жизненоважен. Подготвителната работа за настоящото съобщение очерта загрижеността на хората и предприятията от липсата на надеждни информационни услуги, което може да доведе до правна несигурност, спъваща трансграничното взаимодействие или удължаваща и оскъпяваща изпълнението на трансграничните проекти.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Добра практика</w:t>
      </w:r>
      <w:r>
        <w:rPr>
          <w:rFonts w:ascii="Times New Roman" w:hAnsi="Times New Roman"/>
          <w:noProof/>
          <w:sz w:val="24"/>
        </w:rPr>
        <w:t>: Мрежата Infobest</w:t>
      </w:r>
      <w:r>
        <w:rPr>
          <w:rStyle w:val="FootnoteReference"/>
          <w:rFonts w:ascii="Times New Roman" w:hAnsi="Times New Roman"/>
          <w:noProof/>
          <w:sz w:val="24"/>
        </w:rPr>
        <w:footnoteReference w:id="22"/>
      </w:r>
      <w:r>
        <w:rPr>
          <w:rFonts w:ascii="Times New Roman" w:hAnsi="Times New Roman"/>
          <w:noProof/>
          <w:sz w:val="24"/>
        </w:rPr>
        <w:t xml:space="preserve"> — обединяваща единните звена за контакт в граничния регион Горен Рейн, лежащ на три граници между Франция, Германия и Швейцария — която първоначално се финансираше по линия на Interreg, понастоящем предлага на хората надеждна информация за всички аспекти на живота от всяка страна на границите, включително за заетостта и образованието, и поддържа трансграничен контакт с различни публични органи.</w:t>
      </w:r>
    </w:p>
    <w:p>
      <w:pPr>
        <w:pStyle w:val="CommentText"/>
        <w:jc w:val="both"/>
        <w:rPr>
          <w:rFonts w:ascii="Times New Roman" w:hAnsi="Times New Roman" w:cs="Times New Roman"/>
          <w:noProof/>
          <w:sz w:val="24"/>
          <w:szCs w:val="24"/>
        </w:rPr>
      </w:pPr>
      <w:r>
        <w:rPr>
          <w:rFonts w:ascii="Times New Roman" w:hAnsi="Times New Roman"/>
          <w:noProof/>
          <w:sz w:val="24"/>
        </w:rPr>
        <w:t>Функциониращите в цяла Европа услуги и инструменти, като „Вашата Европа“, Информационната система за вътрешния пазар и мрежата SOLVIT, са полезни в този контекст.</w:t>
      </w:r>
    </w:p>
    <w:p>
      <w:pPr>
        <w:jc w:val="both"/>
        <w:rPr>
          <w:rFonts w:ascii="Times New Roman" w:hAnsi="Times New Roman"/>
          <w:noProof/>
          <w:sz w:val="24"/>
          <w:szCs w:val="24"/>
        </w:rPr>
      </w:pPr>
      <w:r>
        <w:rPr>
          <w:rFonts w:ascii="Times New Roman" w:hAnsi="Times New Roman"/>
          <w:noProof/>
          <w:sz w:val="24"/>
          <w:u w:val="single"/>
        </w:rPr>
        <w:t>Действие</w:t>
      </w:r>
      <w:r>
        <w:rPr>
          <w:rFonts w:ascii="Times New Roman" w:hAnsi="Times New Roman"/>
          <w:noProof/>
          <w:sz w:val="24"/>
        </w:rPr>
        <w:t xml:space="preserve">: Неотдавна Комисията представи проекта за регламент за </w:t>
      </w:r>
      <w:r>
        <w:rPr>
          <w:rFonts w:ascii="Times New Roman" w:hAnsi="Times New Roman"/>
          <w:b/>
          <w:noProof/>
          <w:sz w:val="24"/>
        </w:rPr>
        <w:t>единния цифров портал</w:t>
      </w:r>
      <w:r>
        <w:rPr>
          <w:rStyle w:val="FootnoteReference"/>
          <w:rFonts w:ascii="Times New Roman" w:hAnsi="Times New Roman"/>
          <w:noProof/>
          <w:sz w:val="24"/>
        </w:rPr>
        <w:footnoteReference w:id="23"/>
      </w:r>
      <w:r>
        <w:rPr>
          <w:rFonts w:ascii="Times New Roman" w:hAnsi="Times New Roman"/>
          <w:noProof/>
          <w:sz w:val="24"/>
        </w:rPr>
        <w:t>, който след приемането си ще предостави на хората и дружествата — посредством единна цифрова входна точка — по-лесен достъп до висококачествена информация, онлайн административни процедури и услуги за оказване на съдействие. В рамките на единния цифров портал се предвижда за пръв път да се приложи на равнището на ЕС принципът „само веднъж“, като ще се позволи обмен на удостоверителни документи пряко между компетентните органи от различни държави членки по серия основни процедури. Ще бъде насърчена и обратната информация от потребителите на портала, за да може да се развива той непрекъснато, така че да отговаря на техните нужди, и да се събира информация за пречките пред единния пазар.</w:t>
      </w:r>
    </w:p>
    <w:p>
      <w:pPr>
        <w:jc w:val="both"/>
        <w:rPr>
          <w:noProof/>
        </w:rPr>
      </w:pPr>
      <w:r>
        <w:rPr>
          <w:rFonts w:ascii="Times New Roman" w:hAnsi="Times New Roman"/>
          <w:noProof/>
          <w:sz w:val="24"/>
          <w:u w:val="single"/>
        </w:rPr>
        <w:t>Действие</w:t>
      </w:r>
      <w:r>
        <w:rPr>
          <w:rFonts w:ascii="Times New Roman" w:hAnsi="Times New Roman"/>
          <w:noProof/>
          <w:sz w:val="24"/>
        </w:rPr>
        <w:t>: В наскоро приетото си съобщение „План за действие относно укрепването на SOLVIT: довеждане на ползите от единния пазар до гражданите и предприятията“</w:t>
      </w:r>
      <w:r>
        <w:rPr>
          <w:rStyle w:val="FootnoteReference"/>
          <w:rFonts w:ascii="Times New Roman" w:hAnsi="Times New Roman"/>
          <w:noProof/>
          <w:sz w:val="24"/>
        </w:rPr>
        <w:footnoteReference w:id="24"/>
      </w:r>
      <w:r>
        <w:rPr>
          <w:rFonts w:ascii="Times New Roman" w:hAnsi="Times New Roman"/>
          <w:noProof/>
          <w:sz w:val="24"/>
        </w:rPr>
        <w:t xml:space="preserve"> Комисията се ангажира заедно с държавите членки да </w:t>
      </w:r>
      <w:r>
        <w:rPr>
          <w:rFonts w:ascii="Times New Roman" w:hAnsi="Times New Roman"/>
          <w:b/>
          <w:noProof/>
          <w:sz w:val="24"/>
        </w:rPr>
        <w:t>укрепи още повече SOLVIT</w:t>
      </w:r>
      <w:r>
        <w:rPr>
          <w:rFonts w:ascii="Times New Roman" w:hAnsi="Times New Roman"/>
          <w:noProof/>
          <w:sz w:val="24"/>
        </w:rPr>
        <w:t>, за да могат повече хора и предприятия да решават своите трансгранични проблеми.</w:t>
      </w:r>
    </w:p>
    <w:p>
      <w:pPr>
        <w:pStyle w:val="Heading2"/>
        <w:rPr>
          <w:noProof/>
        </w:rPr>
      </w:pPr>
      <w:r>
        <w:rPr>
          <w:noProof/>
        </w:rPr>
        <w:t>Подкрепа за трансграничната заетост</w:t>
      </w:r>
    </w:p>
    <w:p>
      <w:pPr>
        <w:jc w:val="both"/>
        <w:rPr>
          <w:rFonts w:ascii="Times New Roman" w:eastAsia="Times New Roman" w:hAnsi="Times New Roman" w:cs="Times New Roman"/>
          <w:noProof/>
          <w:sz w:val="24"/>
          <w:szCs w:val="24"/>
        </w:rPr>
      </w:pPr>
      <w:r>
        <w:rPr>
          <w:rFonts w:ascii="Times New Roman" w:hAnsi="Times New Roman"/>
          <w:noProof/>
          <w:sz w:val="24"/>
        </w:rPr>
        <w:t>Подготвителната работа показа, че най-важната област, пряко повлияна от пречките от гранично естество, е трудовата мобилност. Това засяга особено трансграничните работници, които живеят от едната страна на границата и пътуват за работа от другата ѝ страна</w:t>
      </w:r>
      <w:r>
        <w:rPr>
          <w:noProof/>
        </w:rPr>
        <w:t xml:space="preserve"> </w:t>
      </w:r>
      <w:r>
        <w:rPr>
          <w:rFonts w:ascii="Times New Roman" w:hAnsi="Times New Roman"/>
          <w:noProof/>
          <w:sz w:val="24"/>
        </w:rPr>
        <w:t>всеки ден или всяка седмица</w:t>
      </w:r>
      <w:r>
        <w:rPr>
          <w:rStyle w:val="FootnoteReference"/>
          <w:rFonts w:ascii="Times New Roman" w:hAnsi="Times New Roman"/>
          <w:noProof/>
          <w:sz w:val="24"/>
        </w:rPr>
        <w:footnoteReference w:id="25"/>
      </w:r>
      <w:r>
        <w:rPr>
          <w:rFonts w:ascii="Times New Roman" w:hAnsi="Times New Roman"/>
          <w:noProof/>
          <w:sz w:val="24"/>
        </w:rPr>
        <w:t>.</w:t>
      </w:r>
    </w:p>
    <w:p>
      <w:pPr>
        <w:spacing w:after="0"/>
        <w:jc w:val="both"/>
        <w:rPr>
          <w:rFonts w:ascii="Times New Roman" w:eastAsia="Times New Roman" w:hAnsi="Times New Roman" w:cs="Times New Roman"/>
          <w:noProof/>
          <w:sz w:val="24"/>
          <w:szCs w:val="24"/>
        </w:rPr>
      </w:pPr>
      <w:r>
        <w:rPr>
          <w:rFonts w:ascii="Times New Roman" w:hAnsi="Times New Roman"/>
          <w:noProof/>
          <w:sz w:val="24"/>
        </w:rPr>
        <w:t>На европейско равнище съществуват редица инструменти и механизми за координиране, които да улесняват трансграничната заетост, като например европейската мрежа на службите по заетостта (EURES), правилата за координиране на системите за социална сигурност, Европейската квалификационна рамка, която подкрепя разбирането и сравняването на квалификациите, рамката „Европас“, която позволява на хората да представят своите умения и квалификации, европейската класификация на уменията, компетентностите, квалификациите и професиите и европейската професионална карта — цифрова процедура, приложима в целия ЕС, за признаването на професионалните квалификации. Що се отнася до финансирането, подкрепа за трудовата мобилност в граничните региони предоставят както Програмата на ЕС за заетост и социални иновации (EaSI), така и Европейският социален фонд. По оста EURES на програмата EaSI се оказва подкрепа за трансгранични партньорства, предоставящи на трансграничните работници и техните работодатели информация и услуги за намиране на работа.</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Добра практика</w:t>
      </w:r>
      <w:r>
        <w:rPr>
          <w:rFonts w:ascii="Times New Roman" w:hAnsi="Times New Roman"/>
          <w:noProof/>
          <w:sz w:val="24"/>
        </w:rPr>
        <w:t>: От Инспекцията по социалната сигурност и труда в Галисия и от тази в Северна Португалия са създали мрежа, подкрепяна от местното трансгранично партньорство на EURES, която позволява по-бързо преодоляване на пречките за трансгранична мобилност на работодателите и работниците. Двете страни са развили ефективни мостове за сътрудничество между органите за социална сигурност и инспекциите по труда в трансграничния регион.</w:t>
      </w:r>
    </w:p>
    <w:p>
      <w:pPr>
        <w:jc w:val="both"/>
        <w:rPr>
          <w:rFonts w:ascii="Times New Roman" w:eastAsia="Times New Roman" w:hAnsi="Times New Roman" w:cs="Times New Roman"/>
          <w:noProof/>
          <w:sz w:val="24"/>
          <w:szCs w:val="24"/>
        </w:rPr>
      </w:pPr>
      <w:r>
        <w:rPr>
          <w:rFonts w:ascii="Times New Roman" w:hAnsi="Times New Roman"/>
          <w:noProof/>
          <w:sz w:val="24"/>
        </w:rPr>
        <w:t>Положителният ефект от тези мерки/инструменти обаче не е достигнал пълния си потенциал в граничните региони. Още подобрения са възможни в процеси като провеждането на стаж, пълното признаване на уменията и компетентностите, достъпа до свободни работни места, идентифицирането на работниците, подсигуряването на правна сигурност по данъчни въпроси, гарантирането на пълно социалноосигурително покритие, получаването на професионална застраховка от страна на медицинските служители, сложните процедури за получаване на професионални удостоверения. Други области, които се нуждаят от подобрение, са предоставянето на информация, включително на отделни лица и на работодатели, както и събирането на данни с цел вземане на решения.</w:t>
      </w:r>
    </w:p>
    <w:p>
      <w:pPr>
        <w:jc w:val="both"/>
        <w:rPr>
          <w:rFonts w:ascii="Times New Roman" w:hAnsi="Times New Roman" w:cs="Times New Roman"/>
          <w:noProof/>
          <w:sz w:val="24"/>
          <w:szCs w:val="24"/>
        </w:rPr>
      </w:pPr>
      <w:r>
        <w:rPr>
          <w:rFonts w:ascii="Times New Roman" w:hAnsi="Times New Roman"/>
          <w:noProof/>
          <w:sz w:val="24"/>
          <w:u w:val="single"/>
        </w:rPr>
        <w:t>Действие</w:t>
      </w:r>
      <w:r>
        <w:rPr>
          <w:rFonts w:ascii="Times New Roman" w:hAnsi="Times New Roman"/>
          <w:noProof/>
          <w:sz w:val="24"/>
        </w:rPr>
        <w:t xml:space="preserve">: Държавите членки и регионалните органи се насърчават да укрепват сътрудничеството между </w:t>
      </w:r>
      <w:r>
        <w:rPr>
          <w:rFonts w:ascii="Times New Roman" w:hAnsi="Times New Roman"/>
          <w:b/>
          <w:noProof/>
          <w:sz w:val="24"/>
        </w:rPr>
        <w:t>публичните служби по заетостта</w:t>
      </w:r>
      <w:r>
        <w:rPr>
          <w:rFonts w:ascii="Times New Roman" w:hAnsi="Times New Roman"/>
          <w:noProof/>
          <w:sz w:val="24"/>
        </w:rPr>
        <w:t xml:space="preserve"> в граничните региони, включително чрез съвместни трансгранични служби по заетостта, с цел да се подобри достъпът до информация и работни места на трансграничния пазар на труда. Чрез предложената по-горе професионална мрежа ще бъде осигурен по-широк достъп до съществуващите практики.</w:t>
      </w:r>
    </w:p>
    <w:p>
      <w:pPr>
        <w:pStyle w:val="Heading2"/>
        <w:rPr>
          <w:noProof/>
        </w:rPr>
      </w:pPr>
      <w:bookmarkStart w:id="4" w:name="_Toc481491354"/>
      <w:bookmarkStart w:id="5" w:name="_Toc481492711"/>
      <w:r>
        <w:rPr>
          <w:noProof/>
        </w:rPr>
        <w:t>Насърчаване на пограничното многоезичие</w:t>
      </w:r>
    </w:p>
    <w:bookmarkEnd w:id="4"/>
    <w:bookmarkEnd w:id="5"/>
    <w:p>
      <w:pPr>
        <w:spacing w:after="0"/>
        <w:jc w:val="both"/>
        <w:rPr>
          <w:rFonts w:ascii="Times New Roman" w:eastAsia="Times New Roman" w:hAnsi="Times New Roman" w:cs="Times New Roman"/>
          <w:noProof/>
          <w:sz w:val="24"/>
          <w:szCs w:val="24"/>
        </w:rPr>
      </w:pPr>
      <w:r>
        <w:rPr>
          <w:rFonts w:ascii="Times New Roman" w:hAnsi="Times New Roman"/>
          <w:noProof/>
          <w:sz w:val="24"/>
        </w:rPr>
        <w:t>Богатството на култури и традиции в Европа е голяма ценност. Многоезичието е цел на европейската интеграция. Способността да се говорят чужди езици придобива освен това все по-голямо значение за стимулирането на пригодността за заетост, мобилността и конкурентоспособността, което е от особена важност в граничните региони.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Добра практика</w:t>
      </w:r>
      <w:r>
        <w:rPr>
          <w:rFonts w:ascii="Times New Roman" w:hAnsi="Times New Roman"/>
          <w:noProof/>
          <w:sz w:val="24"/>
        </w:rPr>
        <w:t>: Със „Стратегията „Франция“, която германската провинция Саарланд</w:t>
      </w:r>
      <w:r>
        <w:rPr>
          <w:rStyle w:val="FootnoteReference"/>
          <w:rFonts w:ascii="Times New Roman" w:hAnsi="Times New Roman"/>
          <w:noProof/>
          <w:sz w:val="24"/>
        </w:rPr>
        <w:footnoteReference w:id="26"/>
      </w:r>
      <w:r>
        <w:rPr>
          <w:rFonts w:ascii="Times New Roman" w:hAnsi="Times New Roman"/>
          <w:noProof/>
          <w:sz w:val="24"/>
        </w:rPr>
        <w:t xml:space="preserve"> прие през 2014 г., се насърчава двуезичният подход на всички равнища на администрацията. В подкрепа към нея има учебна програма, включваща задължително обучение по френски език още от предучилищна възраст. В резултат на това над половината от всички детски градини в областта са двуезични.</w:t>
      </w:r>
    </w:p>
    <w:p>
      <w:pPr>
        <w:jc w:val="both"/>
        <w:rPr>
          <w:rFonts w:ascii="Times New Roman" w:eastAsia="Times New Roman" w:hAnsi="Times New Roman" w:cs="Times New Roman"/>
          <w:noProof/>
          <w:sz w:val="24"/>
          <w:szCs w:val="24"/>
        </w:rPr>
      </w:pPr>
      <w:r>
        <w:rPr>
          <w:rFonts w:ascii="Times New Roman" w:hAnsi="Times New Roman"/>
          <w:noProof/>
          <w:sz w:val="24"/>
        </w:rPr>
        <w:t>При все това в обществената консултация във връзка с настоящото съобщение мнозина изтъкват езика като източник на затруднения. Опитът на заинтересованите страни от граничните региони често свидетелства за случаи, при които негъвкавото използване на различни езици от двете страни на границата увеличава административната тежест и пречи на смисления обмен между публичните администрации и хората.</w:t>
      </w:r>
    </w:p>
    <w:p>
      <w:pPr>
        <w:jc w:val="both"/>
        <w:rPr>
          <w:rFonts w:ascii="Times New Roman" w:eastAsia="Times New Roman" w:hAnsi="Times New Roman" w:cs="Times New Roman"/>
          <w:noProof/>
          <w:sz w:val="24"/>
          <w:szCs w:val="24"/>
        </w:rPr>
      </w:pPr>
      <w:r>
        <w:rPr>
          <w:rFonts w:ascii="Times New Roman" w:hAnsi="Times New Roman"/>
          <w:noProof/>
          <w:sz w:val="24"/>
        </w:rPr>
        <w:t>Комисията следва стратегия, подкрепяна от Съвета и основаваща се на целта, определена от държавните и правителствените ръководители от ЕС, според която всички граждани следва да имат възможността да изучават от ранна възраст по два чужди езика</w:t>
      </w:r>
      <w:r>
        <w:rPr>
          <w:rStyle w:val="FootnoteReference"/>
          <w:rFonts w:ascii="Times New Roman" w:hAnsi="Times New Roman"/>
          <w:noProof/>
          <w:sz w:val="24"/>
        </w:rPr>
        <w:footnoteReference w:id="27"/>
      </w:r>
      <w:r>
        <w:rPr>
          <w:rFonts w:ascii="Times New Roman" w:hAnsi="Times New Roman"/>
          <w:noProof/>
          <w:sz w:val="24"/>
        </w:rPr>
        <w:t>. В граничните региони един от тези езици може, в идеалния случай, да бъде езикът на съседите. Изучаването на езици е също така първостепенен приоритет за европейската програма за финансиране в областта на образованието, обучението, младежта и спорта „Еразъм+“. Езиковото обучение в граничните региони може да бъде подкрепяно по програмата по много начини.</w:t>
      </w:r>
    </w:p>
    <w:p>
      <w:pPr>
        <w:jc w:val="both"/>
        <w:rPr>
          <w:rFonts w:ascii="Times New Roman" w:eastAsia="Times New Roman" w:hAnsi="Times New Roman" w:cs="Times New Roman"/>
          <w:noProof/>
          <w:sz w:val="24"/>
          <w:szCs w:val="24"/>
        </w:rPr>
      </w:pPr>
      <w:r>
        <w:rPr>
          <w:rFonts w:ascii="Times New Roman" w:hAnsi="Times New Roman"/>
          <w:noProof/>
          <w:sz w:val="24"/>
          <w:u w:val="single"/>
        </w:rPr>
        <w:t>Действие</w:t>
      </w:r>
      <w:r>
        <w:rPr>
          <w:rFonts w:ascii="Times New Roman" w:hAnsi="Times New Roman"/>
          <w:noProof/>
          <w:sz w:val="24"/>
        </w:rPr>
        <w:t xml:space="preserve">: Държавите членки, регионите и общините се призовават настойчиво да използват възможностите на ученето през целия живот и да положат по-сериозни усилия за </w:t>
      </w:r>
      <w:r>
        <w:rPr>
          <w:rFonts w:ascii="Times New Roman" w:hAnsi="Times New Roman"/>
          <w:b/>
          <w:noProof/>
          <w:sz w:val="24"/>
        </w:rPr>
        <w:t>насърчаване на двуезичието</w:t>
      </w:r>
      <w:r>
        <w:rPr>
          <w:rFonts w:ascii="Times New Roman" w:hAnsi="Times New Roman"/>
          <w:noProof/>
          <w:sz w:val="24"/>
        </w:rPr>
        <w:t xml:space="preserve"> в граничните региони. Съществуващите добри практики следва да бъдат източник на вдъхновение и Комисията ще продължава да ги насърчава.  Когато е уместно, съществуващите инструменти за финансиране като „Еразъм+“ или програмите за трансгранично сътрудничество по линия на Interreg ще бъдат използвани в подкрепа на това.</w:t>
      </w:r>
    </w:p>
    <w:p>
      <w:pPr>
        <w:pStyle w:val="Heading2"/>
        <w:rPr>
          <w:noProof/>
        </w:rPr>
      </w:pPr>
      <w:r>
        <w:rPr>
          <w:noProof/>
        </w:rPr>
        <w:t>Улесняване на трансграничната достъпност</w:t>
      </w:r>
    </w:p>
    <w:p>
      <w:pPr>
        <w:spacing w:after="0"/>
        <w:jc w:val="both"/>
        <w:rPr>
          <w:rFonts w:ascii="Times New Roman" w:eastAsia="Times New Roman" w:hAnsi="Times New Roman" w:cs="Times New Roman"/>
          <w:noProof/>
          <w:sz w:val="24"/>
          <w:szCs w:val="24"/>
        </w:rPr>
      </w:pPr>
      <w:r>
        <w:rPr>
          <w:rFonts w:ascii="Times New Roman" w:hAnsi="Times New Roman"/>
          <w:noProof/>
          <w:sz w:val="24"/>
        </w:rPr>
        <w:t>Транспортът е основен движещ фактор в обмена между регионите отвъд националните граници. Обществените транспортни услуги по-специално не само спомагат за интеграционните процеси, но и укрепват устойчивостта на трансграничната свързаност. Липсващите, недостатъчните или нискокачествените обществени транспортни услуги са все още реалност за много граждани в граничните региони. Три нива са засегнати от това: 1) инфраструктурните връзки, 2) предоставянето на услуги и 3) качеството на услугите. В редица случаи най-вече липсва или не работи по-маломащабната железопътна инфраструктура по вътрешните граници на ЕС, което се дължи на редица трудности (напр. разминаващи се приоритети, различни правни/процедурни/организационни подходи, бюджетни ограничения).</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eastAsia="Times New Roman" w:hAnsi="Times New Roman" w:cs="Times New Roman"/>
          <w:noProof/>
          <w:sz w:val="24"/>
          <w:szCs w:val="24"/>
        </w:rPr>
      </w:pPr>
      <w:r>
        <w:rPr>
          <w:rFonts w:ascii="Times New Roman" w:hAnsi="Times New Roman"/>
          <w:b/>
          <w:i/>
          <w:noProof/>
          <w:sz w:val="24"/>
        </w:rPr>
        <w:t>Добра практика</w:t>
      </w:r>
      <w:r>
        <w:rPr>
          <w:rFonts w:ascii="Times New Roman" w:hAnsi="Times New Roman"/>
          <w:noProof/>
          <w:sz w:val="24"/>
        </w:rPr>
        <w:t>:  По линия на Interreg се финансират проекти за трансгранична мобилност, повечето от които може да бъдат намерени в базата данни KEEP</w:t>
      </w:r>
      <w:r>
        <w:rPr>
          <w:rFonts w:ascii="Times New Roman" w:hAnsi="Times New Roman"/>
          <w:noProof/>
          <w:sz w:val="24"/>
          <w:vertAlign w:val="superscript"/>
        </w:rPr>
        <w:footnoteReference w:id="28"/>
      </w:r>
      <w:r>
        <w:rPr>
          <w:rFonts w:ascii="Times New Roman" w:hAnsi="Times New Roman"/>
          <w:noProof/>
          <w:sz w:val="24"/>
        </w:rPr>
        <w:t>. Например в тройната гранична зона между Германия, Нидерландия и Белгия доставчиците на обществени транспортни услуги са създали обща платформа (http://mobility-euregio.com) с комбинирани графици, общо ценообразуване и модернизирана система за издаване на билети. На германско-швейцарската граница е открита нова автобусна линия между Гренцах-Вюлен (Германия) и Базел (Швейцария) за превоз на 1900-те местни лица, които редовно преминават границата с цел работа (от общо 14 000 души население).</w:t>
      </w:r>
    </w:p>
    <w:p>
      <w:pPr>
        <w:jc w:val="both"/>
        <w:rPr>
          <w:rFonts w:ascii="Times New Roman" w:eastAsia="Times New Roman" w:hAnsi="Times New Roman" w:cs="Times New Roman"/>
          <w:noProof/>
          <w:sz w:val="24"/>
          <w:szCs w:val="24"/>
        </w:rPr>
      </w:pPr>
      <w:r>
        <w:rPr>
          <w:rFonts w:ascii="Times New Roman" w:hAnsi="Times New Roman"/>
          <w:noProof/>
          <w:sz w:val="24"/>
        </w:rPr>
        <w:t>На равнището на ЕС важни приоритети са по-доброто хармонизиране и координиране на техническите и правните стандарти, заедно с постигането на оперативна съвместимост в транспортния сектор.  Координирането и хармонизирането бяха успешно постигнати в областта на трансевропейската транспортна мрежа, която може да послужи като пример за други области на политиката извън транспорта. Например що се отнася до предоставянето на информационни услуги за мултимодални пътувания на територията на целия ЕС, законодателен акт на Съюза, чието приемане предстои, ще предвижда подходящи рамкови условия, които ще позволяват на всички съответни заинтересовани страни по веригата на стойността в сферата на информацията за пътуванията да си сътрудничат</w:t>
      </w:r>
      <w:r>
        <w:rPr>
          <w:rStyle w:val="FootnoteReference"/>
          <w:rFonts w:ascii="Times New Roman" w:hAnsi="Times New Roman"/>
          <w:noProof/>
          <w:sz w:val="24"/>
        </w:rPr>
        <w:footnoteReference w:id="29"/>
      </w:r>
      <w:r>
        <w:rPr>
          <w:rFonts w:ascii="Times New Roman" w:hAnsi="Times New Roman"/>
          <w:noProof/>
          <w:sz w:val="24"/>
        </w:rPr>
        <w:t>.</w:t>
      </w:r>
    </w:p>
    <w:p>
      <w:pPr>
        <w:jc w:val="both"/>
        <w:rPr>
          <w:rFonts w:ascii="Times New Roman" w:eastAsia="Times New Roman" w:hAnsi="Times New Roman" w:cs="Times New Roman"/>
          <w:noProof/>
          <w:sz w:val="24"/>
          <w:szCs w:val="24"/>
        </w:rPr>
      </w:pPr>
      <w:r>
        <w:rPr>
          <w:rFonts w:ascii="Times New Roman" w:hAnsi="Times New Roman"/>
          <w:noProof/>
          <w:sz w:val="24"/>
          <w:u w:val="single"/>
        </w:rPr>
        <w:t>Действие</w:t>
      </w:r>
      <w:r>
        <w:rPr>
          <w:rFonts w:ascii="Times New Roman" w:hAnsi="Times New Roman"/>
          <w:noProof/>
          <w:sz w:val="24"/>
        </w:rPr>
        <w:t xml:space="preserve">: През 2018 г. ще излезе </w:t>
      </w:r>
      <w:r>
        <w:rPr>
          <w:rFonts w:ascii="Times New Roman" w:hAnsi="Times New Roman"/>
          <w:b/>
          <w:noProof/>
          <w:sz w:val="24"/>
        </w:rPr>
        <w:t>проучване на Комисията за липсващите железопътни връзки</w:t>
      </w:r>
      <w:r>
        <w:rPr>
          <w:rFonts w:ascii="Times New Roman" w:hAnsi="Times New Roman"/>
          <w:noProof/>
          <w:sz w:val="24"/>
        </w:rPr>
        <w:t xml:space="preserve"> по вътрешните граници. То ще бъде разпространено до заинтересованите страни чрез граничното координационно звено.</w:t>
      </w:r>
    </w:p>
    <w:p>
      <w:pPr>
        <w:jc w:val="both"/>
        <w:rPr>
          <w:rFonts w:ascii="Times New Roman" w:eastAsia="Times New Roman" w:hAnsi="Times New Roman" w:cs="Times New Roman"/>
          <w:noProof/>
          <w:sz w:val="24"/>
          <w:szCs w:val="24"/>
        </w:rPr>
      </w:pPr>
      <w:r>
        <w:rPr>
          <w:rFonts w:ascii="Times New Roman" w:hAnsi="Times New Roman"/>
          <w:noProof/>
          <w:sz w:val="24"/>
          <w:u w:val="single"/>
        </w:rPr>
        <w:t>Действие</w:t>
      </w:r>
      <w:r>
        <w:rPr>
          <w:rFonts w:ascii="Times New Roman" w:hAnsi="Times New Roman"/>
          <w:noProof/>
          <w:sz w:val="24"/>
        </w:rPr>
        <w:t xml:space="preserve">: Организирането и въвеждането в действие на трансгранични обществени транспортни услуги е в правомощието на структурите на национално, регионално и местно равнище.  Ето защо държавите членки, регионите и общините се призовават настойчиво да </w:t>
      </w:r>
      <w:r>
        <w:rPr>
          <w:rFonts w:ascii="Times New Roman" w:hAnsi="Times New Roman"/>
          <w:b/>
          <w:noProof/>
          <w:sz w:val="24"/>
        </w:rPr>
        <w:t>увеличат своите усилия за предоставяне на по-качествени, по-интегрирани обществени транспортни услуги за хората</w:t>
      </w:r>
      <w:r>
        <w:rPr>
          <w:rFonts w:ascii="Times New Roman" w:hAnsi="Times New Roman"/>
          <w:noProof/>
          <w:sz w:val="24"/>
        </w:rPr>
        <w:t>. Граничното координационно звено ще осигурява достъп до добри практики и, когато е възможно, ще предлага експертни консултации.</w:t>
      </w:r>
    </w:p>
    <w:p>
      <w:pPr>
        <w:pStyle w:val="Heading2"/>
        <w:rPr>
          <w:noProof/>
        </w:rPr>
      </w:pPr>
      <w:r>
        <w:rPr>
          <w:noProof/>
        </w:rPr>
        <w:t>Насърчаване на по-тясното сдружаване на здравни заведения</w:t>
      </w:r>
    </w:p>
    <w:p>
      <w:pPr>
        <w:spacing w:after="0"/>
        <w:jc w:val="both"/>
        <w:rPr>
          <w:rFonts w:ascii="Times New Roman" w:eastAsia="Times New Roman" w:hAnsi="Times New Roman" w:cs="Times New Roman"/>
          <w:noProof/>
          <w:sz w:val="24"/>
          <w:szCs w:val="24"/>
        </w:rPr>
      </w:pPr>
      <w:r>
        <w:rPr>
          <w:rFonts w:ascii="Times New Roman" w:hAnsi="Times New Roman"/>
          <w:noProof/>
          <w:sz w:val="24"/>
        </w:rPr>
        <w:t>Насърчаването на сътрудничеството между държавите членки с цел да се подобри допълняемостта на здравните им услуги в граничните региони е приоритет за ЕС</w:t>
      </w:r>
      <w:r>
        <w:rPr>
          <w:rStyle w:val="FootnoteReference"/>
          <w:rFonts w:ascii="Times New Roman" w:hAnsi="Times New Roman"/>
          <w:noProof/>
          <w:sz w:val="24"/>
        </w:rPr>
        <w:footnoteReference w:id="30"/>
      </w:r>
      <w:r>
        <w:rPr>
          <w:rFonts w:ascii="Times New Roman" w:hAnsi="Times New Roman"/>
          <w:noProof/>
          <w:sz w:val="24"/>
        </w:rPr>
        <w:t>. Съществуват различни структури и принципи за възстановяване на разходите за трансгранично здравно обслужване, в резултат например на различни и сложни процедури за предварително одобрение на здравните услуги и плащанията/възстановяването на суми; административна тежест за пациентите, които извършват трансгранична консултация със специалисти; несъвместимост при употребата на технологиите и обмена на данни на пациентите; липса на уеднаквена достъпна информация, което също така включва липса на информация на езика на пациентите. Следователно ограничената достъпност от двете страни на границата спъва пълноценното използване на лечебното  заведение. Службите за спешна помощ и спасителните служби понякога също са възпрепятствани да извършват трансгранични интервенции.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noProof/>
        </w:rPr>
      </w:pPr>
      <w:r>
        <w:rPr>
          <w:rFonts w:ascii="Times New Roman" w:hAnsi="Times New Roman"/>
          <w:b/>
          <w:i/>
          <w:noProof/>
          <w:sz w:val="24"/>
        </w:rPr>
        <w:t>Добра практика</w:t>
      </w:r>
      <w:r>
        <w:rPr>
          <w:noProof/>
        </w:rPr>
        <w:t xml:space="preserve">: </w:t>
      </w:r>
      <w:r>
        <w:rPr>
          <w:rFonts w:ascii="Times New Roman" w:hAnsi="Times New Roman"/>
          <w:noProof/>
          <w:sz w:val="24"/>
        </w:rPr>
        <w:t>От институционализираното споразумение, с което се определят седем организирани трансгранични зони на здравно обслужване по френско-белгийската граница</w:t>
      </w:r>
      <w:r>
        <w:rPr>
          <w:rStyle w:val="FootnoteReference"/>
          <w:rFonts w:ascii="Times New Roman" w:hAnsi="Times New Roman"/>
          <w:noProof/>
          <w:sz w:val="24"/>
        </w:rPr>
        <w:footnoteReference w:id="31"/>
      </w:r>
      <w:r>
        <w:rPr>
          <w:rFonts w:ascii="Times New Roman" w:hAnsi="Times New Roman"/>
          <w:noProof/>
          <w:sz w:val="24"/>
        </w:rPr>
        <w:t>, са се възползвали над 20 000 пациенти, които са получили здравно обслужване в съседната държава, по-близо до своето местопребиваване.</w:t>
      </w:r>
    </w:p>
    <w:p>
      <w:pPr>
        <w:jc w:val="both"/>
        <w:rPr>
          <w:rFonts w:ascii="Times New Roman" w:eastAsia="Times New Roman" w:hAnsi="Times New Roman" w:cs="Times New Roman"/>
          <w:noProof/>
          <w:sz w:val="24"/>
          <w:szCs w:val="24"/>
        </w:rPr>
      </w:pPr>
      <w:r>
        <w:rPr>
          <w:rFonts w:ascii="Times New Roman" w:hAnsi="Times New Roman"/>
          <w:noProof/>
          <w:sz w:val="24"/>
          <w:u w:val="single"/>
        </w:rPr>
        <w:t>Действие</w:t>
      </w:r>
      <w:r>
        <w:rPr>
          <w:rFonts w:ascii="Times New Roman" w:hAnsi="Times New Roman"/>
          <w:noProof/>
          <w:sz w:val="24"/>
        </w:rPr>
        <w:t xml:space="preserve">: Едно всеобхватно </w:t>
      </w:r>
      <w:r>
        <w:rPr>
          <w:rFonts w:ascii="Times New Roman" w:hAnsi="Times New Roman"/>
          <w:b/>
          <w:noProof/>
          <w:sz w:val="24"/>
        </w:rPr>
        <w:t>картографиране на трансграничното сътрудничество в областта на здравеопазването</w:t>
      </w:r>
      <w:r>
        <w:rPr>
          <w:rFonts w:ascii="Times New Roman" w:hAnsi="Times New Roman"/>
          <w:noProof/>
          <w:sz w:val="24"/>
        </w:rPr>
        <w:t xml:space="preserve"> в целия ЕС от страна на Комисията ще установи добрите практики и ще предложи анализ на бъдещите предизвикателства. То ще излезе през 2018 г. и ще бъде разпространено до заинтересованите страни чрез граничното координационно звено. През 2018 г. Европейската комисия ще организира и стратегическа проява с цел да се изтъкнат добрите практики на трансгранично сътрудничество в областта на здравеопазването и да се потърсят начини, по които това може да бъде доразвито в целия Съюз.</w:t>
      </w:r>
    </w:p>
    <w:p>
      <w:pPr>
        <w:pStyle w:val="Heading2"/>
        <w:rPr>
          <w:noProof/>
        </w:rPr>
      </w:pPr>
      <w:r>
        <w:rPr>
          <w:noProof/>
        </w:rPr>
        <w:t>Разглеждане на правната и финансовата рамка за трансгранично сътрудничество</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ЕС въведе редица правни и финансови инструменти за улесняване на сътрудничеството през европейските граници. Например Европейската група за териториално сътрудничество (ЕГТС)</w:t>
      </w:r>
      <w:r>
        <w:rPr>
          <w:rStyle w:val="FootnoteReference"/>
          <w:rFonts w:ascii="Times New Roman" w:hAnsi="Times New Roman"/>
          <w:noProof/>
          <w:sz w:val="24"/>
        </w:rPr>
        <w:footnoteReference w:id="32"/>
      </w:r>
      <w:r>
        <w:rPr>
          <w:rFonts w:ascii="Times New Roman" w:hAnsi="Times New Roman"/>
          <w:noProof/>
          <w:sz w:val="24"/>
        </w:rPr>
        <w:t xml:space="preserve"> позволява на организации от две или повече държави членки да работят заедно под формата на обща структура, притежаваща правосубектност. Това улеснява трансграничното сътрудничество в много случаи и предлага на регионалните и местните органи начин да си сътрудничат, без да е необходимо ратифицирано на равнището на държавите членки споразумение. Изцяло институционалният характер обаче на тези инструменти невинаги е подходящ за отстраняване на правните и административните пречки.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Добра практика</w:t>
      </w:r>
      <w:r>
        <w:rPr>
          <w:rFonts w:ascii="Times New Roman" w:hAnsi="Times New Roman"/>
          <w:noProof/>
          <w:sz w:val="24"/>
        </w:rPr>
        <w:t>: ЕГТС Lille—Tournai—Kortrijk Eurometropolis</w:t>
      </w:r>
      <w:r>
        <w:rPr>
          <w:rStyle w:val="FootnoteReference"/>
          <w:rFonts w:ascii="Times New Roman" w:hAnsi="Times New Roman"/>
          <w:noProof/>
          <w:sz w:val="24"/>
        </w:rPr>
        <w:footnoteReference w:id="33"/>
      </w:r>
      <w:r>
        <w:rPr>
          <w:rFonts w:ascii="Times New Roman" w:hAnsi="Times New Roman"/>
          <w:noProof/>
          <w:sz w:val="24"/>
        </w:rPr>
        <w:t xml:space="preserve"> е най-големият трансграничен метрополис в Европа. Групата обединява 14 институции от Франция и Белгия (национални, регионални и местни органи, агенции за развитие), които работят заедно, за да заличат „граничния ефект“ и да улеснят ежедневието на своите 2,1 милиона жители.</w:t>
      </w:r>
    </w:p>
    <w:p>
      <w:pPr>
        <w:jc w:val="both"/>
        <w:rPr>
          <w:rFonts w:ascii="Times New Roman" w:eastAsia="Times New Roman" w:hAnsi="Times New Roman" w:cs="Times New Roman"/>
          <w:noProof/>
          <w:sz w:val="24"/>
          <w:szCs w:val="24"/>
        </w:rPr>
      </w:pPr>
      <w:r>
        <w:rPr>
          <w:rFonts w:ascii="Times New Roman" w:hAnsi="Times New Roman"/>
          <w:noProof/>
          <w:sz w:val="24"/>
          <w:u w:val="single"/>
        </w:rPr>
        <w:t>Действие</w:t>
      </w:r>
      <w:r>
        <w:rPr>
          <w:rFonts w:ascii="Times New Roman" w:hAnsi="Times New Roman"/>
          <w:noProof/>
          <w:sz w:val="24"/>
        </w:rPr>
        <w:t xml:space="preserve">: Редица държави членки обмислят ползите от нов </w:t>
      </w:r>
      <w:r>
        <w:rPr>
          <w:rFonts w:ascii="Times New Roman" w:hAnsi="Times New Roman"/>
          <w:b/>
          <w:noProof/>
          <w:sz w:val="24"/>
        </w:rPr>
        <w:t>инструмент</w:t>
      </w:r>
      <w:r>
        <w:rPr>
          <w:rFonts w:ascii="Times New Roman" w:hAnsi="Times New Roman"/>
          <w:noProof/>
          <w:sz w:val="24"/>
        </w:rPr>
        <w:t>, който би позволил — на доброволни начала и по споразумение между компетентните органи — правилата в една държава членка да се прилагат в нейната съседка за конкретен проект или за определено действие, ограничени във времето, локализирани в граничен регион и инициирани от местни и/или регионални публични органи. Службите на Комисията следят това отблизо. Като вземе предвид сведенията, получени от посочените по-горе в раздел 3.1 пилотни проекти, Комисията ще разгледа начините, по които да продължи работата по този инструмент.</w:t>
      </w:r>
    </w:p>
    <w:p>
      <w:pPr>
        <w:jc w:val="both"/>
        <w:rPr>
          <w:rFonts w:ascii="Times New Roman" w:eastAsia="Times New Roman" w:hAnsi="Times New Roman" w:cs="Times New Roman"/>
          <w:noProof/>
          <w:sz w:val="24"/>
          <w:szCs w:val="24"/>
        </w:rPr>
      </w:pPr>
      <w:r>
        <w:rPr>
          <w:rFonts w:ascii="Times New Roman" w:hAnsi="Times New Roman"/>
          <w:noProof/>
          <w:sz w:val="24"/>
          <w:u w:val="single"/>
        </w:rPr>
        <w:t>Действие</w:t>
      </w:r>
      <w:r>
        <w:rPr>
          <w:rFonts w:ascii="Times New Roman" w:hAnsi="Times New Roman"/>
          <w:noProof/>
          <w:sz w:val="24"/>
        </w:rPr>
        <w:t xml:space="preserve">: Държавите членки и европейските институции следва да започнат ранен диалог и да проучат как бъдещите </w:t>
      </w:r>
      <w:r>
        <w:rPr>
          <w:rFonts w:ascii="Times New Roman" w:hAnsi="Times New Roman"/>
          <w:b/>
          <w:noProof/>
          <w:sz w:val="24"/>
        </w:rPr>
        <w:t>програми за финансиране</w:t>
      </w:r>
      <w:r>
        <w:rPr>
          <w:rFonts w:ascii="Times New Roman" w:hAnsi="Times New Roman"/>
          <w:noProof/>
          <w:sz w:val="24"/>
        </w:rPr>
        <w:t xml:space="preserve"> могат да допринесат по по-стратегически начин за предотвратяването и преодоляването на пречките от гранично естество и за развитието на трансграничните обществени услуги. </w:t>
      </w:r>
    </w:p>
    <w:p>
      <w:pPr>
        <w:pStyle w:val="Heading2"/>
        <w:rPr>
          <w:noProof/>
        </w:rPr>
      </w:pPr>
      <w:r>
        <w:rPr>
          <w:noProof/>
        </w:rPr>
        <w:t>Събиране на сведения за трансграничното взаимодействие, които да послужат като основа за вземането на решения</w:t>
      </w:r>
    </w:p>
    <w:p>
      <w:pPr>
        <w:jc w:val="both"/>
        <w:rPr>
          <w:rFonts w:ascii="Times New Roman" w:eastAsia="Times New Roman" w:hAnsi="Times New Roman" w:cs="Times New Roman"/>
          <w:noProof/>
          <w:sz w:val="24"/>
          <w:szCs w:val="24"/>
        </w:rPr>
      </w:pPr>
      <w:r>
        <w:rPr>
          <w:rFonts w:ascii="Times New Roman" w:hAnsi="Times New Roman"/>
          <w:noProof/>
          <w:sz w:val="24"/>
        </w:rPr>
        <w:t>Събирането на данни и сведения за пречките от гранично естество е първата необходима стъпка за тяхното отстраняване, но в това събиране и в анализа на информацията за трудностите и сложностите по границите се инвестират само ограничени ресурси. Във Франция</w:t>
      </w:r>
      <w:r>
        <w:rPr>
          <w:rStyle w:val="FootnoteReference"/>
          <w:rFonts w:ascii="Times New Roman" w:hAnsi="Times New Roman"/>
          <w:noProof/>
          <w:sz w:val="24"/>
        </w:rPr>
        <w:footnoteReference w:id="34"/>
      </w:r>
      <w:r>
        <w:rPr>
          <w:rFonts w:ascii="Times New Roman" w:hAnsi="Times New Roman"/>
          <w:noProof/>
          <w:sz w:val="24"/>
        </w:rPr>
        <w:t xml:space="preserve"> и Унгария</w:t>
      </w:r>
      <w:r>
        <w:rPr>
          <w:rStyle w:val="FootnoteReference"/>
          <w:rFonts w:ascii="Times New Roman" w:hAnsi="Times New Roman"/>
          <w:noProof/>
          <w:sz w:val="24"/>
        </w:rPr>
        <w:footnoteReference w:id="35"/>
      </w:r>
      <w:r>
        <w:rPr>
          <w:rFonts w:ascii="Times New Roman" w:hAnsi="Times New Roman"/>
          <w:noProof/>
          <w:sz w:val="24"/>
        </w:rPr>
        <w:t xml:space="preserve"> съществуват прекрасни примери за събиране и анализ на информация.</w:t>
      </w:r>
    </w:p>
    <w:p>
      <w:pPr>
        <w:jc w:val="both"/>
        <w:rPr>
          <w:rFonts w:ascii="Times New Roman" w:eastAsia="Times New Roman" w:hAnsi="Times New Roman" w:cs="Times New Roman"/>
          <w:noProof/>
          <w:sz w:val="24"/>
          <w:szCs w:val="24"/>
        </w:rPr>
      </w:pPr>
      <w:r>
        <w:rPr>
          <w:rFonts w:ascii="Times New Roman" w:hAnsi="Times New Roman"/>
          <w:noProof/>
          <w:sz w:val="24"/>
        </w:rPr>
        <w:t>Аналогично ограничената наличност на статистически и геопространствени данни за трансграничните потоци стеснява полето на действие за истинско развиване на трансграничната политика и за вземане на решения.  Бяха направени някои регионални усилия, които другите региони може да ползват като основа.</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Добра практика</w:t>
      </w:r>
      <w:r>
        <w:rPr>
          <w:rFonts w:ascii="Times New Roman" w:hAnsi="Times New Roman"/>
          <w:noProof/>
          <w:sz w:val="24"/>
        </w:rPr>
        <w:t>: Чрез портала за данни за Големия регион</w:t>
      </w:r>
      <w:r>
        <w:rPr>
          <w:rStyle w:val="FootnoteReference"/>
          <w:rFonts w:ascii="Times New Roman" w:hAnsi="Times New Roman"/>
          <w:noProof/>
          <w:sz w:val="24"/>
        </w:rPr>
        <w:footnoteReference w:id="36"/>
      </w:r>
      <w:r>
        <w:rPr>
          <w:rFonts w:ascii="Times New Roman" w:hAnsi="Times New Roman"/>
          <w:noProof/>
          <w:sz w:val="24"/>
        </w:rPr>
        <w:t xml:space="preserve"> във и около Люксембург се събират данни от пет национални и регионални статистически служби с цел да се предоставят на създателите на политики сведения за трансграничните потоци и териториалните тенденции в район, за който е характерна висока степен на взаимодействие (напр. 200 000 трансгранични работници).</w:t>
      </w:r>
    </w:p>
    <w:p>
      <w:pPr>
        <w:jc w:val="both"/>
        <w:rPr>
          <w:rFonts w:ascii="Times New Roman" w:eastAsia="Times New Roman" w:hAnsi="Times New Roman" w:cs="Times New Roman"/>
          <w:noProof/>
          <w:sz w:val="24"/>
          <w:szCs w:val="24"/>
        </w:rPr>
      </w:pPr>
      <w:r>
        <w:rPr>
          <w:rFonts w:ascii="Times New Roman" w:hAnsi="Times New Roman"/>
          <w:noProof/>
          <w:sz w:val="24"/>
        </w:rPr>
        <w:t>Статистическите и геопространствените данни, описващи трансграничните потоци и явления, невинаги са налични в достатъчна степен или стандартизирани, така че да позволяват на създателите на политики да вземат информирани решения. Под координацията на Европейската статистическа служба държавите членки следва да проучат иновативни методики за събиране на данни (напр. географското рефериране или географското кодиране), подходящи за трансграничен анализ, като например методики за събиране на данни, базирани на координатни мрежи.</w:t>
      </w:r>
    </w:p>
    <w:p>
      <w:pPr>
        <w:jc w:val="both"/>
        <w:rPr>
          <w:rFonts w:ascii="Times New Roman" w:eastAsia="Times New Roman" w:hAnsi="Times New Roman" w:cs="Times New Roman"/>
          <w:noProof/>
          <w:sz w:val="24"/>
          <w:szCs w:val="24"/>
        </w:rPr>
      </w:pPr>
      <w:r>
        <w:rPr>
          <w:rFonts w:ascii="Times New Roman" w:hAnsi="Times New Roman"/>
          <w:noProof/>
          <w:sz w:val="24"/>
          <w:u w:val="single"/>
        </w:rPr>
        <w:t>Действие</w:t>
      </w:r>
      <w:r>
        <w:rPr>
          <w:rFonts w:ascii="Times New Roman" w:hAnsi="Times New Roman"/>
          <w:noProof/>
          <w:sz w:val="24"/>
        </w:rPr>
        <w:t xml:space="preserve">: Комисията финансира </w:t>
      </w:r>
      <w:r>
        <w:rPr>
          <w:rFonts w:ascii="Times New Roman" w:hAnsi="Times New Roman"/>
          <w:b/>
          <w:noProof/>
          <w:sz w:val="24"/>
        </w:rPr>
        <w:t>едногодишен пилотен проект със статистически служби</w:t>
      </w:r>
      <w:r>
        <w:rPr>
          <w:rFonts w:ascii="Times New Roman" w:hAnsi="Times New Roman"/>
          <w:noProof/>
          <w:sz w:val="24"/>
        </w:rPr>
        <w:t xml:space="preserve"> за изпробване на възможното използване на данни от наблюдения на работната сила, административни данни и данни от преброявания на населението, както и на данни от мобилни телефони. Тази работа в сътрудничество с държавите членки следва да продължи и да бъде затвърдена в зависимост от резултатите от пилотния проект, които ще станат готови през 2018 г.</w:t>
      </w:r>
    </w:p>
    <w:p>
      <w:pPr>
        <w:jc w:val="both"/>
        <w:rPr>
          <w:rFonts w:ascii="Times New Roman" w:eastAsia="Times New Roman" w:hAnsi="Times New Roman" w:cs="Times New Roman"/>
          <w:noProof/>
          <w:sz w:val="24"/>
          <w:szCs w:val="24"/>
        </w:rPr>
      </w:pPr>
      <w:r>
        <w:rPr>
          <w:rFonts w:ascii="Times New Roman" w:hAnsi="Times New Roman"/>
          <w:noProof/>
          <w:sz w:val="24"/>
          <w:u w:val="single"/>
        </w:rPr>
        <w:t>Действие:</w:t>
      </w:r>
      <w:r>
        <w:rPr>
          <w:rFonts w:ascii="Times New Roman" w:hAnsi="Times New Roman"/>
          <w:noProof/>
          <w:sz w:val="24"/>
        </w:rPr>
        <w:t xml:space="preserve"> Комисията работи с програмата за териториално сътрудничество „Европейска мрежа за наблюдение на териториалното планиране“ (ESPON) с цел по-нататъшно </w:t>
      </w:r>
      <w:r>
        <w:rPr>
          <w:rFonts w:ascii="Times New Roman" w:hAnsi="Times New Roman"/>
          <w:b/>
          <w:noProof/>
          <w:sz w:val="24"/>
        </w:rPr>
        <w:t>насърчаване на териториалните научни изследвания, свързани с граничните региони</w:t>
      </w:r>
      <w:r>
        <w:rPr>
          <w:rFonts w:ascii="Times New Roman" w:hAnsi="Times New Roman"/>
          <w:noProof/>
          <w:sz w:val="24"/>
        </w:rPr>
        <w:t>. Освен това Комисията ползва като основа успешни дейности от териториални научни изследвания, финансирани по линия на Седмата рамкова програма за научни изследвания</w:t>
      </w:r>
      <w:r>
        <w:rPr>
          <w:noProof/>
        </w:rPr>
        <w:t xml:space="preserve"> </w:t>
      </w:r>
      <w:r>
        <w:rPr>
          <w:rFonts w:ascii="Times New Roman" w:hAnsi="Times New Roman"/>
          <w:noProof/>
          <w:sz w:val="24"/>
        </w:rPr>
        <w:t>и технологично развитие „Хоризонт 2020“, както и чрез Съвместния изследователски център. Тази работа ще бъде използвана от граничното координационно звено за насърчаване на информираното вземане на решения с оглед на противодействие на предизвикателствата, стоящи пред общностите в граничните региони.</w:t>
      </w:r>
    </w:p>
    <w:p>
      <w:pPr>
        <w:pStyle w:val="Heading1"/>
        <w:spacing w:before="0" w:after="240"/>
        <w:rPr>
          <w:rFonts w:ascii="Times New Roman" w:hAnsi="Times New Roman" w:cs="Times New Roman"/>
          <w:noProof/>
          <w:sz w:val="24"/>
          <w:szCs w:val="24"/>
        </w:rPr>
      </w:pPr>
      <w:r>
        <w:rPr>
          <w:rFonts w:ascii="Times New Roman" w:hAnsi="Times New Roman"/>
          <w:noProof/>
          <w:sz w:val="24"/>
        </w:rPr>
        <w:t>Заключение</w:t>
      </w:r>
    </w:p>
    <w:p>
      <w:pPr>
        <w:jc w:val="both"/>
        <w:rPr>
          <w:rFonts w:ascii="Times New Roman" w:eastAsia="Times New Roman" w:hAnsi="Times New Roman" w:cs="Times New Roman"/>
          <w:noProof/>
          <w:sz w:val="24"/>
          <w:szCs w:val="24"/>
        </w:rPr>
      </w:pPr>
      <w:r>
        <w:rPr>
          <w:rFonts w:ascii="Times New Roman" w:hAnsi="Times New Roman"/>
          <w:noProof/>
          <w:sz w:val="24"/>
        </w:rPr>
        <w:t>Регионите по вътрешните граници на ЕС допринасят в значителна степен за социално-икономическото благосъстояние на Европа. Това са географски райони, в които процесите на европейска интеграция всекидневно се преживяват от хората, предприятията и публичните органи.</w:t>
      </w:r>
    </w:p>
    <w:p>
      <w:pPr>
        <w:jc w:val="both"/>
        <w:rPr>
          <w:rFonts w:ascii="Times New Roman" w:eastAsia="Times New Roman" w:hAnsi="Times New Roman" w:cs="Times New Roman"/>
          <w:noProof/>
          <w:sz w:val="24"/>
          <w:szCs w:val="24"/>
        </w:rPr>
      </w:pPr>
      <w:r>
        <w:rPr>
          <w:rFonts w:ascii="Times New Roman" w:hAnsi="Times New Roman"/>
          <w:noProof/>
          <w:sz w:val="24"/>
        </w:rPr>
        <w:t>Данните показват, че ако се намали отрицателното въздействие от липсата на териториална, правна и административна последователност, каквато продължава да съществува в граничните региони, може да се спечели много.</w:t>
      </w:r>
    </w:p>
    <w:p>
      <w:pPr>
        <w:jc w:val="both"/>
        <w:rPr>
          <w:rFonts w:ascii="Times New Roman" w:eastAsia="Times New Roman" w:hAnsi="Times New Roman" w:cs="Times New Roman"/>
          <w:noProof/>
          <w:sz w:val="24"/>
          <w:szCs w:val="24"/>
        </w:rPr>
      </w:pPr>
      <w:r>
        <w:rPr>
          <w:rFonts w:ascii="Times New Roman" w:hAnsi="Times New Roman"/>
          <w:noProof/>
          <w:sz w:val="24"/>
        </w:rPr>
        <w:t>За да се използва по-добре потенциалът на граничните региони, са необходими действия на равнището на ЕС в сътрудничество с държавите членки, регионите и другите заинтересованите страни. В това отношение ролята на Комисията е ключова. Тя може да предприеме преки действия в своите области на компетентност, когато предлага законодателство или механизми за финансиране. Не по-малко важно е и това, че Комисията може да оказва подкрепа на държавите членки и регионите, за да разбират по-добре предизвикателствата и да развиват оперативни механизми, по-специално чрез насърчаване на споделянето на информация и популяризирането на успешни практики.</w:t>
      </w:r>
    </w:p>
    <w:p>
      <w:pPr>
        <w:jc w:val="both"/>
        <w:rPr>
          <w:rFonts w:ascii="Times New Roman" w:eastAsia="Times New Roman" w:hAnsi="Times New Roman" w:cs="Times New Roman"/>
          <w:noProof/>
          <w:sz w:val="24"/>
          <w:szCs w:val="24"/>
        </w:rPr>
      </w:pPr>
      <w:r>
        <w:rPr>
          <w:rFonts w:ascii="Times New Roman" w:hAnsi="Times New Roman"/>
          <w:noProof/>
          <w:sz w:val="24"/>
        </w:rPr>
        <w:t>Бюджетът на ЕС има значителен принос за развитието на граничните региони през последните 25 години. Бъдещите програми за финансиране следва да продължат това възможно най-ефективно и ефикасно, като се съсредоточат върху зоните с особено висока добавена стойност за ЕС. Би могло да се помисли например как да се гарантира, че в основата на програмите за трансгранично сътрудничество да е поставено намирането на решение за трудностите в граничните региони. Аналогично, пропуските и липсващите връзки в различни области на политиката, като например транспорта, следва да бъдат основен компонент от тези програми. И накрая, обединяването на съвместните обществени услуги в съседни гранични региони и нуждите, свързани с институционалното изграждане, също може да бъдат взети предвид.</w:t>
      </w:r>
    </w:p>
    <w:p>
      <w:pPr>
        <w:jc w:val="both"/>
        <w:rPr>
          <w:rFonts w:ascii="Times New Roman" w:eastAsia="Times New Roman" w:hAnsi="Times New Roman" w:cs="Times New Roman"/>
          <w:noProof/>
          <w:sz w:val="24"/>
          <w:szCs w:val="24"/>
        </w:rPr>
      </w:pPr>
      <w:r>
        <w:rPr>
          <w:rFonts w:ascii="Times New Roman" w:hAnsi="Times New Roman"/>
          <w:noProof/>
          <w:sz w:val="24"/>
        </w:rPr>
        <w:t>Държавите членки и регионите също играят централна роля в този процес — те трябва да предприемат действия в областите от своята компетентност, за да се предотвратява появата на пречки и да се отстраняват вече съществуващите. Те трябва сериозно да помислят за по-тясно координиране (напр. при транспониране на законодателството на ЕС), по-висока степен на взаимно признаване и по-близко съгласуване с всяка държава съседка.</w:t>
      </w:r>
    </w:p>
    <w:p>
      <w:pPr>
        <w:jc w:val="both"/>
        <w:rPr>
          <w:rFonts w:ascii="Times New Roman" w:eastAsia="Times New Roman" w:hAnsi="Times New Roman" w:cs="Times New Roman"/>
          <w:noProof/>
          <w:sz w:val="24"/>
          <w:szCs w:val="24"/>
        </w:rPr>
      </w:pPr>
      <w:r>
        <w:rPr>
          <w:rFonts w:ascii="Times New Roman" w:hAnsi="Times New Roman"/>
          <w:noProof/>
          <w:sz w:val="24"/>
        </w:rPr>
        <w:t>Комисията ще предприеме действия още през 2017 г., а също и през следващите години, както е посочено по-горе. Граничното координационно звено скоро ще започне да функционира, така че предложените действия ще може да бъдат приложени в кратки срокове.</w:t>
      </w:r>
    </w:p>
    <w:p>
      <w:pPr>
        <w:jc w:val="both"/>
        <w:rPr>
          <w:noProof/>
        </w:rPr>
      </w:pPr>
      <w:r>
        <w:rPr>
          <w:rFonts w:ascii="Times New Roman" w:hAnsi="Times New Roman"/>
          <w:noProof/>
          <w:sz w:val="24"/>
        </w:rPr>
        <w:t>Целта е да се покаже, че граничните региони могат да увеличат своя принос за социално-икономическото благоденствие на гражданите на ЕС, като същевременно се превърнат в живи лаборатории на европейската интеграция в полза на европейските територии и техните жители.</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89264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360" w:hanging="36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ЕАСТ: Норвегия, Швейцария и Лихтенщайн. Границите на Исландия с ЕС са само морски. Вж. картата на стр. 3.</w:t>
      </w:r>
    </w:p>
  </w:footnote>
  <w:footnote w:id="2">
    <w:p>
      <w:pPr>
        <w:pStyle w:val="FootnoteText"/>
        <w:spacing w:after="0" w:line="240" w:lineRule="auto"/>
        <w:ind w:left="360" w:hanging="360"/>
        <w:jc w:val="both"/>
        <w:rPr>
          <w:sz w:val="18"/>
          <w:szCs w:val="18"/>
        </w:rPr>
      </w:pPr>
      <w:r>
        <w:rPr>
          <w:rStyle w:val="FootnoteReference"/>
          <w:rFonts w:ascii="Times New Roman" w:hAnsi="Times New Roman"/>
          <w:sz w:val="18"/>
        </w:rPr>
        <w:footnoteRef/>
      </w:r>
      <w:r>
        <w:tab/>
      </w:r>
      <w:r>
        <w:rPr>
          <w:rFonts w:ascii="Times New Roman" w:hAnsi="Times New Roman"/>
          <w:sz w:val="18"/>
        </w:rPr>
        <w:t xml:space="preserve">От статистически съображения данните и информацията се основават на регионите по NUTS 3 съгласно европейската обща класификация на териториалните единици за статистически цели: </w:t>
      </w:r>
      <w:hyperlink r:id="rId1">
        <w:r>
          <w:rPr>
            <w:rStyle w:val="Hyperlink"/>
            <w:rFonts w:ascii="Times New Roman" w:hAnsi="Times New Roman"/>
            <w:sz w:val="18"/>
          </w:rPr>
          <w:t>http://ec.europa.eu/eurostat/web/nuts</w:t>
        </w:r>
      </w:hyperlink>
      <w:r>
        <w:rPr>
          <w:rStyle w:val="Hyperlink"/>
          <w:rFonts w:ascii="Times New Roman" w:hAnsi="Times New Roman"/>
          <w:sz w:val="18"/>
        </w:rPr>
        <w:t xml:space="preserve"> </w:t>
      </w:r>
      <w:r>
        <w:rPr>
          <w:rFonts w:ascii="Times New Roman" w:hAnsi="Times New Roman"/>
          <w:sz w:val="18"/>
        </w:rPr>
        <w:t>.</w:t>
      </w:r>
    </w:p>
  </w:footnote>
  <w:footnote w:id="3">
    <w:p>
      <w:pPr>
        <w:pStyle w:val="FootnoteText"/>
        <w:spacing w:after="0" w:line="240" w:lineRule="auto"/>
        <w:ind w:left="360" w:hanging="360"/>
        <w:jc w:val="both"/>
        <w:rPr>
          <w:sz w:val="18"/>
          <w:szCs w:val="18"/>
        </w:rPr>
      </w:pPr>
      <w:r>
        <w:rPr>
          <w:rStyle w:val="FootnoteReference"/>
          <w:rFonts w:ascii="Times New Roman" w:hAnsi="Times New Roman"/>
          <w:sz w:val="18"/>
        </w:rPr>
        <w:footnoteRef/>
      </w:r>
      <w:r>
        <w:tab/>
      </w:r>
      <w:r>
        <w:rPr>
          <w:rFonts w:ascii="Times New Roman" w:hAnsi="Times New Roman"/>
          <w:sz w:val="18"/>
        </w:rPr>
        <w:t xml:space="preserve">Базата данни KEEP, финансирана по линия на Interreg, съдържа регистър на проектите: </w:t>
      </w:r>
      <w:hyperlink r:id="rId2">
        <w:r>
          <w:rPr>
            <w:rStyle w:val="Hyperlink"/>
            <w:rFonts w:ascii="Times New Roman" w:hAnsi="Times New Roman"/>
            <w:sz w:val="18"/>
          </w:rPr>
          <w:t>www.keep.eu</w:t>
        </w:r>
      </w:hyperlink>
      <w:r>
        <w:rPr>
          <w:rFonts w:ascii="Times New Roman" w:hAnsi="Times New Roman"/>
          <w:sz w:val="18"/>
        </w:rPr>
        <w:t>.</w:t>
      </w:r>
    </w:p>
  </w:footnote>
  <w:footnote w:id="4">
    <w:p>
      <w:pPr>
        <w:pStyle w:val="FootnoteText"/>
        <w:spacing w:after="0" w:line="240" w:lineRule="auto"/>
        <w:ind w:left="360" w:hanging="360"/>
        <w:jc w:val="both"/>
        <w:rPr>
          <w:sz w:val="18"/>
          <w:szCs w:val="18"/>
        </w:rPr>
      </w:pPr>
      <w:r>
        <w:rPr>
          <w:rStyle w:val="FootnoteReference"/>
          <w:rFonts w:ascii="Times New Roman" w:hAnsi="Times New Roman"/>
          <w:sz w:val="18"/>
        </w:rPr>
        <w:footnoteRef/>
      </w:r>
      <w:r>
        <w:tab/>
      </w:r>
      <w:r>
        <w:rPr>
          <w:rFonts w:ascii="Times New Roman" w:hAnsi="Times New Roman"/>
          <w:sz w:val="18"/>
        </w:rPr>
        <w:t>Петте най-добри постижения</w:t>
      </w:r>
      <w:r>
        <w:rPr>
          <w:sz w:val="18"/>
        </w:rPr>
        <w:t xml:space="preserve"> </w:t>
      </w:r>
      <w:r>
        <w:rPr>
          <w:rFonts w:ascii="Times New Roman" w:hAnsi="Times New Roman"/>
          <w:sz w:val="18"/>
        </w:rPr>
        <w:t>бяха отбелязани през 2015 г. в рамките на честванията по случай 25-ата годишнина на Interreg.</w:t>
      </w:r>
    </w:p>
  </w:footnote>
  <w:footnote w:id="5">
    <w:p>
      <w:pPr>
        <w:pStyle w:val="FootnoteText"/>
        <w:spacing w:after="0" w:line="240" w:lineRule="auto"/>
        <w:ind w:left="360" w:hanging="36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Съобщение на Европейската комисия „Засилване на иновациите в европейските региони: стратегии за стабилен, приобщаващ и устойчив растеж“, COM(2017) 376 от 18 юли 2017 г.:</w:t>
      </w:r>
    </w:p>
    <w:p>
      <w:pPr>
        <w:pStyle w:val="FootnoteText"/>
        <w:spacing w:after="0" w:line="240" w:lineRule="auto"/>
        <w:ind w:left="360" w:firstLine="0"/>
        <w:jc w:val="both"/>
        <w:rPr>
          <w:rFonts w:ascii="Times New Roman" w:hAnsi="Times New Roman" w:cs="Times New Roman"/>
          <w:sz w:val="18"/>
          <w:szCs w:val="18"/>
        </w:rPr>
      </w:pPr>
      <w:hyperlink r:id="rId3">
        <w:r>
          <w:rPr>
            <w:rStyle w:val="Hyperlink"/>
            <w:rFonts w:ascii="Times New Roman" w:hAnsi="Times New Roman"/>
            <w:sz w:val="18"/>
          </w:rPr>
          <w:t>http://eur-lex.europa.eu/legal-content/bg/TXT/?uri=CELEX:52017DC0376</w:t>
        </w:r>
      </w:hyperlink>
      <w:r>
        <w:rPr>
          <w:rFonts w:ascii="Times New Roman" w:hAnsi="Times New Roman"/>
          <w:sz w:val="18"/>
        </w:rPr>
        <w:t>.</w:t>
      </w:r>
    </w:p>
  </w:footnote>
  <w:footnote w:id="6">
    <w:p>
      <w:pPr>
        <w:pStyle w:val="FootnoteText"/>
        <w:spacing w:after="0"/>
        <w:ind w:left="360" w:hanging="36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План за инвестиции: </w:t>
      </w:r>
      <w:hyperlink r:id="rId4">
        <w:r>
          <w:rPr>
            <w:rStyle w:val="Hyperlink"/>
            <w:rFonts w:ascii="Times New Roman" w:hAnsi="Times New Roman"/>
            <w:sz w:val="18"/>
          </w:rPr>
          <w:t>https://ec.europa.eu/commission/priorities/jobs-growth-and-investment/investment-plan_bg</w:t>
        </w:r>
      </w:hyperlink>
      <w:r>
        <w:rPr>
          <w:rFonts w:ascii="Times New Roman" w:hAnsi="Times New Roman"/>
          <w:sz w:val="18"/>
        </w:rPr>
        <w:t xml:space="preserve"> .</w:t>
      </w:r>
    </w:p>
  </w:footnote>
  <w:footnote w:id="7">
    <w:p>
      <w:pPr>
        <w:spacing w:after="0" w:line="240" w:lineRule="auto"/>
        <w:ind w:left="360" w:hanging="360"/>
        <w:jc w:val="both"/>
        <w:rPr>
          <w:rFonts w:ascii="Times New Roman" w:hAnsi="Times New Roman" w:cs="Times New Roman"/>
          <w:sz w:val="18"/>
          <w:szCs w:val="18"/>
        </w:rPr>
      </w:pPr>
      <w:r>
        <w:rPr>
          <w:rFonts w:ascii="Times New Roman" w:hAnsi="Times New Roman"/>
          <w:sz w:val="18"/>
          <w:vertAlign w:val="superscript"/>
        </w:rPr>
        <w:footnoteRef/>
      </w:r>
      <w:r>
        <w:tab/>
      </w:r>
      <w:r>
        <w:rPr>
          <w:rFonts w:ascii="Times New Roman" w:hAnsi="Times New Roman"/>
          <w:i/>
          <w:sz w:val="18"/>
        </w:rPr>
        <w:t>Territories with specific geographical features</w:t>
      </w:r>
      <w:r>
        <w:rPr>
          <w:rFonts w:ascii="Times New Roman" w:hAnsi="Times New Roman"/>
          <w:sz w:val="18"/>
        </w:rPr>
        <w:t xml:space="preserve"> („Територии със специфични географски характеристики“), Европейска комисия, ГД „Регионална и селищна политика“ (REGIO), 2009 г., работен документ №  02/2009: </w:t>
      </w:r>
      <w:hyperlink r:id="rId5" w:history="1">
        <w:r>
          <w:rPr>
            <w:rStyle w:val="Hyperlink"/>
            <w:rFonts w:ascii="Times New Roman" w:hAnsi="Times New Roman"/>
            <w:sz w:val="18"/>
          </w:rPr>
          <w:t>http://ec.europa.eu/regional_policy/</w:t>
        </w:r>
        <w:r>
          <w:rPr>
            <w:rStyle w:val="Hyperlink"/>
            <w:rFonts w:ascii="Times New Roman" w:hAnsi="Times New Roman"/>
            <w:sz w:val="18"/>
            <w:lang w:val="en-US"/>
          </w:rPr>
          <w:t>bg</w:t>
        </w:r>
        <w:r>
          <w:rPr>
            <w:rStyle w:val="Hyperlink"/>
            <w:rFonts w:ascii="Times New Roman" w:hAnsi="Times New Roman"/>
            <w:sz w:val="18"/>
          </w:rPr>
          <w:t>/information/publications/working-papers/2009/territories-with-specific-geographical-features</w:t>
        </w:r>
      </w:hyperlink>
      <w:r>
        <w:rPr>
          <w:rFonts w:ascii="Times New Roman" w:hAnsi="Times New Roman"/>
          <w:sz w:val="18"/>
        </w:rPr>
        <w:t>.</w:t>
      </w:r>
    </w:p>
  </w:footnote>
  <w:footnote w:id="8">
    <w:p>
      <w:pPr>
        <w:pStyle w:val="FootnoteText"/>
        <w:spacing w:after="0" w:line="240" w:lineRule="auto"/>
        <w:ind w:left="360" w:hanging="36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Пречка от гранично естество в контекста на настоящото съобщение е не само ограничаване на свободното движение, както приема Съдът на Европейския съюз, но и закон, правило или административна практика, които при взаимодействие с отсрещната страна на границата създават спънки пред присъщия за граничните региони потенциал.</w:t>
      </w:r>
    </w:p>
  </w:footnote>
  <w:footnote w:id="9">
    <w:p>
      <w:pPr>
        <w:pStyle w:val="FootnoteText"/>
        <w:spacing w:after="0" w:line="240" w:lineRule="auto"/>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Европейска комисия, „Бяла книга за бъдещето на Европа“, COM(2017) 2025, 1 март 2017 г.</w:t>
      </w:r>
    </w:p>
  </w:footnote>
  <w:footnote w:id="10">
    <w:p>
      <w:pPr>
        <w:pStyle w:val="FootnoteText"/>
        <w:spacing w:after="0" w:line="240" w:lineRule="auto"/>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„Трансграничен преглед“:</w:t>
      </w:r>
      <w:r>
        <w:tab/>
      </w:r>
      <w:r>
        <w:rPr>
          <w:rFonts w:ascii="Times New Roman" w:hAnsi="Times New Roman" w:cs="Times New Roman"/>
          <w:sz w:val="18"/>
          <w:szCs w:val="18"/>
        </w:rPr>
        <w:br/>
      </w:r>
      <w:hyperlink r:id="rId6">
        <w:r>
          <w:rPr>
            <w:rStyle w:val="Hyperlink"/>
            <w:rFonts w:ascii="Times New Roman" w:hAnsi="Times New Roman"/>
            <w:sz w:val="18"/>
          </w:rPr>
          <w:t>http://ec.europa.eu/regional_policy/en/policy/cooperation/european-territorial/cross-border/review/</w:t>
        </w:r>
      </w:hyperlink>
      <w:r>
        <w:rPr>
          <w:rFonts w:ascii="Times New Roman" w:hAnsi="Times New Roman"/>
          <w:sz w:val="18"/>
        </w:rPr>
        <w:t xml:space="preserve"> .</w:t>
      </w:r>
    </w:p>
  </w:footnote>
  <w:footnote w:id="11">
    <w:p>
      <w:pPr>
        <w:pStyle w:val="FootnoteText"/>
        <w:spacing w:after="0" w:line="240" w:lineRule="auto"/>
        <w:ind w:left="360" w:hanging="36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Ecorys — Нидерландия, съвместно с Mazars, </w:t>
      </w:r>
      <w:r>
        <w:rPr>
          <w:rFonts w:ascii="Times New Roman" w:hAnsi="Times New Roman"/>
          <w:i/>
          <w:sz w:val="18"/>
        </w:rPr>
        <w:t>Study about administrative formalities of important procedures and administrative burdens for businesses</w:t>
      </w:r>
      <w:r>
        <w:rPr>
          <w:rFonts w:ascii="Times New Roman" w:hAnsi="Times New Roman"/>
          <w:sz w:val="18"/>
        </w:rPr>
        <w:t xml:space="preserve"> („Проучване на административните формалности по важни процедури и административни тежести за предприятията“), Европейска комисия, април 2017 г.: </w:t>
      </w:r>
      <w:hyperlink r:id="rId7">
        <w:r>
          <w:rPr>
            <w:rStyle w:val="Hyperlink"/>
            <w:rFonts w:ascii="Times New Roman" w:hAnsi="Times New Roman"/>
            <w:sz w:val="18"/>
          </w:rPr>
          <w:t>https://ec.europa.eu/growth/tools-databases/newsroom/cf/itemdetail.cfm?item_id=9134&amp;lang=en</w:t>
        </w:r>
      </w:hyperlink>
      <w:r>
        <w:rPr>
          <w:rFonts w:ascii="Times New Roman" w:hAnsi="Times New Roman"/>
          <w:sz w:val="18"/>
        </w:rPr>
        <w:t xml:space="preserve">, и работен документ на службите на Комисията SWD(2017) 213 от 2 май 2017 г.: </w:t>
      </w:r>
      <w:hyperlink r:id="rId8">
        <w:r>
          <w:rPr>
            <w:rStyle w:val="Hyperlink"/>
            <w:rFonts w:ascii="Times New Roman" w:hAnsi="Times New Roman"/>
            <w:sz w:val="18"/>
          </w:rPr>
          <w:t>http://eur-lex.europa.eu/legal-content/EN/TXT/?qid=1503565263778&amp;uri=CELEX:52017SC0213</w:t>
        </w:r>
      </w:hyperlink>
      <w:r>
        <w:rPr>
          <w:rFonts w:ascii="Times New Roman" w:hAnsi="Times New Roman"/>
          <w:sz w:val="18"/>
        </w:rPr>
        <w:t xml:space="preserve"> .</w:t>
      </w:r>
    </w:p>
  </w:footnote>
  <w:footnote w:id="12">
    <w:p>
      <w:pPr>
        <w:pStyle w:val="FootnoteText"/>
        <w:spacing w:after="0" w:line="240" w:lineRule="auto"/>
        <w:ind w:left="360" w:hanging="36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i/>
          <w:sz w:val="18"/>
        </w:rPr>
        <w:t>Le Groupement Transfrontalier Européen</w:t>
      </w:r>
      <w:r>
        <w:rPr>
          <w:rFonts w:ascii="Times New Roman" w:hAnsi="Times New Roman"/>
          <w:sz w:val="18"/>
        </w:rPr>
        <w:t xml:space="preserve">: </w:t>
      </w:r>
      <w:hyperlink r:id="rId9">
        <w:r>
          <w:rPr>
            <w:rStyle w:val="Hyperlink"/>
            <w:rFonts w:ascii="Times New Roman" w:hAnsi="Times New Roman"/>
            <w:sz w:val="18"/>
          </w:rPr>
          <w:t>http://www.frontalier.org/</w:t>
        </w:r>
      </w:hyperlink>
      <w:r>
        <w:rPr>
          <w:rStyle w:val="Hyperlink"/>
          <w:rFonts w:ascii="Times New Roman" w:hAnsi="Times New Roman"/>
          <w:sz w:val="18"/>
        </w:rPr>
        <w:t xml:space="preserve"> </w:t>
      </w:r>
      <w:r>
        <w:rPr>
          <w:rFonts w:ascii="Times New Roman" w:hAnsi="Times New Roman"/>
          <w:sz w:val="18"/>
        </w:rPr>
        <w:t>.</w:t>
      </w:r>
    </w:p>
  </w:footnote>
  <w:footnote w:id="13">
    <w:p>
      <w:pPr>
        <w:pageBreakBefore/>
        <w:spacing w:after="0" w:line="240" w:lineRule="auto"/>
        <w:ind w:left="360" w:hanging="360"/>
        <w:jc w:val="both"/>
        <w:rPr>
          <w:rFonts w:ascii="Times New Roman" w:eastAsia="Times New Roman" w:hAnsi="Times New Roman" w:cs="Times New Roman"/>
          <w:sz w:val="18"/>
          <w:szCs w:val="18"/>
        </w:rPr>
      </w:pPr>
      <w:r>
        <w:rPr>
          <w:rFonts w:ascii="Times New Roman" w:hAnsi="Times New Roman"/>
          <w:sz w:val="18"/>
          <w:vertAlign w:val="superscript"/>
        </w:rPr>
        <w:footnoteRef/>
      </w:r>
      <w:r>
        <w:tab/>
      </w:r>
      <w:r>
        <w:rPr>
          <w:rFonts w:ascii="Times New Roman" w:hAnsi="Times New Roman"/>
          <w:sz w:val="18"/>
        </w:rPr>
        <w:t xml:space="preserve">Politecnico di Milano. </w:t>
      </w:r>
      <w:r>
        <w:rPr>
          <w:rFonts w:ascii="Times New Roman" w:hAnsi="Times New Roman"/>
          <w:i/>
          <w:sz w:val="18"/>
        </w:rPr>
        <w:t>Quantification of the effects of legal and administrative border obstacles in land border regions</w:t>
      </w:r>
      <w:r>
        <w:rPr>
          <w:rFonts w:ascii="Times New Roman" w:hAnsi="Times New Roman"/>
          <w:sz w:val="18"/>
        </w:rPr>
        <w:t xml:space="preserve"> („Количествено определяне на ефектите от правните и административните пречки от гранично естество в регионите по сухопътните граници“), 2017 г.</w:t>
      </w:r>
    </w:p>
  </w:footnote>
  <w:footnote w:id="14">
    <w:p>
      <w:pPr>
        <w:pStyle w:val="FootnoteText"/>
        <w:spacing w:after="0" w:line="240" w:lineRule="auto"/>
        <w:ind w:left="360" w:hanging="36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В тази стойност не са включени разходите за премахване на пречките — за повече информация вж. бележка под линия 13.</w:t>
      </w:r>
    </w:p>
  </w:footnote>
  <w:footnote w:id="15">
    <w:p>
      <w:pPr>
        <w:pStyle w:val="FootnoteText"/>
        <w:ind w:left="360" w:hanging="360"/>
        <w:rPr>
          <w:rFonts w:ascii="Times New Roman" w:hAnsi="Times New Roman" w:cs="Times New Roman"/>
        </w:rPr>
      </w:pPr>
      <w:r>
        <w:rPr>
          <w:rStyle w:val="FootnoteReference"/>
          <w:rFonts w:ascii="Times New Roman" w:hAnsi="Times New Roman"/>
        </w:rPr>
        <w:footnoteRef/>
      </w:r>
      <w:r>
        <w:tab/>
      </w:r>
      <w:r>
        <w:rPr>
          <w:rFonts w:ascii="Times New Roman" w:hAnsi="Times New Roman"/>
        </w:rPr>
        <w:t>Стратегията на ЕС за региона на Балтийско море, стратегията на ЕС за региона на река Дунав, стратегията на ЕС за региона на Адриатическо и Йонийско море и стратегията на ЕС за региона на Алпите.</w:t>
      </w:r>
    </w:p>
  </w:footnote>
  <w:footnote w:id="16">
    <w:p>
      <w:pPr>
        <w:pStyle w:val="FootnoteText"/>
        <w:spacing w:after="0" w:line="240" w:lineRule="auto"/>
        <w:ind w:left="360" w:hanging="360"/>
        <w:jc w:val="both"/>
        <w:rPr>
          <w:rFonts w:ascii="Times New Roman" w:hAnsi="Times New Roman" w:cs="Times New Roman"/>
          <w:sz w:val="18"/>
          <w:szCs w:val="18"/>
          <w:highlight w:val="yellow"/>
        </w:rPr>
      </w:pPr>
      <w:r>
        <w:rPr>
          <w:rStyle w:val="FootnoteReference"/>
          <w:rFonts w:ascii="Times New Roman" w:hAnsi="Times New Roman"/>
          <w:sz w:val="18"/>
        </w:rPr>
        <w:footnoteRef/>
      </w:r>
      <w:r>
        <w:tab/>
      </w:r>
      <w:r>
        <w:rPr>
          <w:rFonts w:ascii="Times New Roman" w:hAnsi="Times New Roman"/>
          <w:sz w:val="18"/>
        </w:rPr>
        <w:t>Съобщение на Комисията до Европейския парламент, Съвета, Европейския икономически и социален комитет и Комитета на регионите: „По-добро регулиране за постигането на по-добри резултати — Програма на ЕС“, COM(2015) 215 final, 19 май 2015 г.</w:t>
      </w:r>
    </w:p>
  </w:footnote>
  <w:footnote w:id="17">
    <w:p>
      <w:pPr>
        <w:pStyle w:val="FootnoteText"/>
        <w:spacing w:after="0" w:line="240" w:lineRule="auto"/>
        <w:ind w:left="360" w:hanging="36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Институт за транснационално и еврорегионално трансгранично сътрудничество и мобилност към Университета в Маастрихт:</w:t>
      </w:r>
      <w:r>
        <w:tab/>
      </w:r>
      <w:r>
        <w:rPr>
          <w:rFonts w:ascii="Times New Roman" w:hAnsi="Times New Roman"/>
          <w:sz w:val="18"/>
        </w:rPr>
        <w:t xml:space="preserve"> </w:t>
      </w:r>
      <w:hyperlink r:id="rId10">
        <w:r>
          <w:rPr>
            <w:rStyle w:val="Hyperlink"/>
            <w:rFonts w:ascii="Times New Roman" w:hAnsi="Times New Roman"/>
            <w:sz w:val="18"/>
          </w:rPr>
          <w:t>https://www.maastrichtuniversity.nl/research/institute-transnational-and-euregional-cross-border-cooperation-and-mobility-item</w:t>
        </w:r>
      </w:hyperlink>
      <w:r>
        <w:rPr>
          <w:rFonts w:ascii="Times New Roman" w:hAnsi="Times New Roman"/>
          <w:sz w:val="18"/>
        </w:rPr>
        <w:t xml:space="preserve"> .</w:t>
      </w:r>
    </w:p>
  </w:footnote>
  <w:footnote w:id="18">
    <w:p>
      <w:pPr>
        <w:pStyle w:val="FootnoteText"/>
        <w:spacing w:after="0" w:line="240" w:lineRule="auto"/>
        <w:ind w:left="360" w:hanging="36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Докладът за 2016 г. на Европейска комисия за електронното управление в ЕС показва, че онлайн обществените услуги са се подобрили неравномерно, „Цифров единен пазар“, „Новини“, Digibytes, 3 октомври 2016 г.: </w:t>
      </w:r>
      <w:hyperlink r:id="rId11">
        <w:r>
          <w:rPr>
            <w:rStyle w:val="Hyperlink"/>
            <w:rFonts w:ascii="Times New Roman" w:hAnsi="Times New Roman"/>
            <w:sz w:val="18"/>
          </w:rPr>
          <w:t>https://ec.europa.eu/digital-single-market/en/news/eu-egovernment-report-2016-shows-online-public-services-improved-unevenly</w:t>
        </w:r>
      </w:hyperlink>
      <w:r>
        <w:rPr>
          <w:rFonts w:ascii="Times New Roman" w:hAnsi="Times New Roman"/>
          <w:sz w:val="18"/>
        </w:rPr>
        <w:t xml:space="preserve"> .</w:t>
      </w:r>
    </w:p>
  </w:footnote>
  <w:footnote w:id="19">
    <w:p>
      <w:pPr>
        <w:pStyle w:val="FootnoteText"/>
        <w:spacing w:after="0" w:line="240" w:lineRule="auto"/>
        <w:ind w:left="360" w:right="-113" w:hanging="360"/>
        <w:jc w:val="both"/>
        <w:rPr>
          <w:rStyle w:val="Hyperlink"/>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Европейска комисия, „План за действие на ЕС за електронно управление през периода 2016 — 2020 г. — Ускоряване на цифровото преобразуване на управлението“, COM(2016) 179, 19 април 2016 г.:</w:t>
      </w:r>
      <w:r>
        <w:fldChar w:fldCharType="begin"/>
      </w:r>
      <w:r>
        <w:rPr>
          <w:rFonts w:ascii="Times New Roman" w:hAnsi="Times New Roman" w:cs="Times New Roman"/>
          <w:sz w:val="18"/>
          <w:szCs w:val="18"/>
        </w:rPr>
        <w:instrText xml:space="preserve">"https://ec.europa.eu/digital-single-market/en/news/communication-eu-egovernment-action-plan-2016-2020-accelerating-digital-transformation" </w:instrText>
      </w:r>
      <w:r>
        <w:fldChar w:fldCharType="separate"/>
      </w:r>
      <w:r>
        <w:rPr>
          <w:rStyle w:val="Hyperlink"/>
          <w:rFonts w:ascii="Times New Roman" w:hAnsi="Times New Roman" w:cs="Times New Roman"/>
          <w:sz w:val="18"/>
          <w:szCs w:val="18"/>
        </w:rPr>
        <w:t>https://ec.europa.eu/digital-single-market/en/news/communication-eu-egovernment-action-plan-2016-2020-accelerating-digital-transformation</w:t>
      </w:r>
      <w:r>
        <w:rPr>
          <w:rStyle w:val="Hyperlink"/>
          <w:rFonts w:ascii="Times New Roman" w:hAnsi="Times New Roman" w:cs="Times New Roman"/>
          <w:sz w:val="18"/>
          <w:szCs w:val="18"/>
        </w:rPr>
        <w:fldChar w:fldCharType="end"/>
      </w:r>
    </w:p>
    <w:p>
      <w:pPr>
        <w:pStyle w:val="FootnoteText"/>
        <w:spacing w:after="0" w:line="240" w:lineRule="auto"/>
        <w:ind w:left="360" w:right="-113" w:firstLine="0"/>
        <w:jc w:val="both"/>
        <w:rPr>
          <w:rFonts w:ascii="Times New Roman" w:hAnsi="Times New Roman" w:cs="Times New Roman"/>
          <w:sz w:val="18"/>
          <w:szCs w:val="18"/>
        </w:rPr>
      </w:pPr>
      <w:hyperlink r:id="rId12">
        <w:r>
          <w:rPr>
            <w:rStyle w:val="Hyperlink"/>
            <w:rFonts w:ascii="Times New Roman" w:hAnsi="Times New Roman"/>
            <w:sz w:val="18"/>
          </w:rPr>
          <w:t>http://eur-lex.europa.eu/legal-content/BG/TXT/?qid=1503566265012&amp;uri=CELEX:52016DC0179</w:t>
        </w:r>
      </w:hyperlink>
      <w:r>
        <w:rPr>
          <w:rStyle w:val="Hyperlink"/>
          <w:rFonts w:ascii="Times New Roman" w:hAnsi="Times New Roman"/>
          <w:sz w:val="18"/>
        </w:rPr>
        <w:t xml:space="preserve"> .</w:t>
      </w:r>
    </w:p>
  </w:footnote>
  <w:footnote w:id="20">
    <w:p>
      <w:pPr>
        <w:pStyle w:val="FootnoteText"/>
        <w:spacing w:after="0" w:line="240" w:lineRule="auto"/>
        <w:ind w:left="360" w:hanging="36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Европейска комисия, </w:t>
      </w:r>
      <w:r>
        <w:rPr>
          <w:rFonts w:ascii="Times New Roman" w:hAnsi="Times New Roman"/>
          <w:i/>
          <w:sz w:val="18"/>
        </w:rPr>
        <w:t>The “Once-Only” Principle (TOOP) Project launched in January 2017</w:t>
      </w:r>
      <w:r>
        <w:rPr>
          <w:rFonts w:ascii="Times New Roman" w:hAnsi="Times New Roman"/>
          <w:sz w:val="18"/>
        </w:rPr>
        <w:t xml:space="preserve"> („Проектът относно принципа „само веднъж“ стартира през януари 2017 г.“), „Цифров</w:t>
      </w:r>
      <w:r>
        <w:rPr>
          <w:rFonts w:ascii="Times New Roman" w:hAnsi="Times New Roman"/>
          <w:i/>
          <w:sz w:val="18"/>
        </w:rPr>
        <w:t xml:space="preserve"> </w:t>
      </w:r>
      <w:r>
        <w:rPr>
          <w:rFonts w:ascii="Times New Roman" w:hAnsi="Times New Roman"/>
          <w:sz w:val="18"/>
        </w:rPr>
        <w:t xml:space="preserve">единен пазар“, „Новини и резултати от проекти“, 26 януари 2017 г.: </w:t>
      </w:r>
      <w:hyperlink r:id="rId13">
        <w:r>
          <w:rPr>
            <w:rStyle w:val="Hyperlink"/>
            <w:rFonts w:ascii="Times New Roman" w:hAnsi="Times New Roman"/>
            <w:sz w:val="18"/>
          </w:rPr>
          <w:t>https://ec.europa.eu/digital-single-market/en/news/once-only-principle-toop-project-launched-january-2017</w:t>
        </w:r>
      </w:hyperlink>
      <w:r>
        <w:rPr>
          <w:rStyle w:val="Hyperlink"/>
          <w:rFonts w:ascii="Times New Roman" w:hAnsi="Times New Roman"/>
          <w:sz w:val="18"/>
        </w:rPr>
        <w:t xml:space="preserve"> </w:t>
      </w:r>
      <w:r>
        <w:rPr>
          <w:rFonts w:ascii="Times New Roman" w:hAnsi="Times New Roman"/>
          <w:sz w:val="18"/>
        </w:rPr>
        <w:t>.</w:t>
      </w:r>
    </w:p>
  </w:footnote>
  <w:footnote w:id="21">
    <w:p>
      <w:pPr>
        <w:pStyle w:val="FootnoteText"/>
        <w:spacing w:after="0" w:line="240" w:lineRule="auto"/>
        <w:ind w:left="360" w:hanging="36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Автоматизиран превод за публичните администрации — MT@EC: </w:t>
      </w:r>
      <w:hyperlink r:id="rId14">
        <w:r>
          <w:rPr>
            <w:rStyle w:val="Hyperlink"/>
            <w:rFonts w:ascii="Times New Roman" w:hAnsi="Times New Roman"/>
            <w:sz w:val="18"/>
          </w:rPr>
          <w:t>https://ec.europa.eu/info/resources-partners/machine-translation-public-administrations-mtec_en</w:t>
        </w:r>
      </w:hyperlink>
      <w:r>
        <w:rPr>
          <w:rStyle w:val="Hyperlink"/>
          <w:rFonts w:ascii="Times New Roman" w:hAnsi="Times New Roman"/>
          <w:sz w:val="18"/>
        </w:rPr>
        <w:t xml:space="preserve"> .</w:t>
      </w:r>
    </w:p>
  </w:footnote>
  <w:footnote w:id="22">
    <w:p>
      <w:pPr>
        <w:pStyle w:val="FootnoteText"/>
        <w:spacing w:after="0" w:line="240" w:lineRule="auto"/>
        <w:ind w:left="360" w:hanging="36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Infobest: </w:t>
      </w:r>
      <w:hyperlink r:id="rId15">
        <w:r>
          <w:rPr>
            <w:rStyle w:val="Hyperlink"/>
            <w:rFonts w:ascii="Times New Roman" w:hAnsi="Times New Roman"/>
            <w:sz w:val="18"/>
          </w:rPr>
          <w:t>https://www.infobest.eu/</w:t>
        </w:r>
      </w:hyperlink>
      <w:r>
        <w:rPr>
          <w:rStyle w:val="Hyperlink"/>
          <w:rFonts w:ascii="Times New Roman" w:hAnsi="Times New Roman"/>
          <w:sz w:val="18"/>
        </w:rPr>
        <w:t xml:space="preserve"> </w:t>
      </w:r>
      <w:r>
        <w:rPr>
          <w:rFonts w:ascii="Times New Roman" w:hAnsi="Times New Roman"/>
          <w:sz w:val="18"/>
        </w:rPr>
        <w:t>.</w:t>
      </w:r>
    </w:p>
  </w:footnote>
  <w:footnote w:id="23">
    <w:p>
      <w:pPr>
        <w:pStyle w:val="FootnoteText"/>
        <w:spacing w:after="0" w:line="240" w:lineRule="auto"/>
        <w:ind w:left="360" w:right="-113" w:hanging="36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Предложение за Регламент на Европейския парламент и на Съвета за създаване на единен цифров портал за предоставяне на информация</w:t>
      </w:r>
      <w:r>
        <w:rPr>
          <w:rFonts w:ascii="Times New Roman" w:hAnsi="Times New Roman"/>
          <w:color w:val="404040"/>
          <w:sz w:val="18"/>
        </w:rPr>
        <w:t>,</w:t>
      </w:r>
      <w:r>
        <w:rPr>
          <w:rFonts w:ascii="Times New Roman" w:hAnsi="Times New Roman"/>
          <w:sz w:val="18"/>
        </w:rPr>
        <w:t xml:space="preserve"> процедури и услуги за оказване на съдействие и решаване на проблеми и за изменение на Регламент (ЕС) № 1024/2012 от 2 май 2017 г.: </w:t>
      </w:r>
      <w:hyperlink r:id="rId16">
        <w:r>
          <w:rPr>
            <w:rStyle w:val="Hyperlink"/>
            <w:rFonts w:ascii="Times New Roman" w:hAnsi="Times New Roman"/>
            <w:sz w:val="18"/>
          </w:rPr>
          <w:t>http://eur-lex.europa.eu/legal-content/BG/TXT/?uri=CELEX%3A52017PC0256</w:t>
        </w:r>
      </w:hyperlink>
      <w:r>
        <w:rPr>
          <w:rFonts w:ascii="Times New Roman" w:hAnsi="Times New Roman"/>
          <w:sz w:val="18"/>
        </w:rPr>
        <w:t xml:space="preserve"> .</w:t>
      </w:r>
    </w:p>
  </w:footnote>
  <w:footnote w:id="24">
    <w:p>
      <w:pPr>
        <w:pStyle w:val="FootnoteText"/>
        <w:spacing w:after="0" w:line="240" w:lineRule="auto"/>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Съобщение на Европейската комисия „План за действие относно укрепването на SOLVIT: довеждане на ползите от единния пазар до гражданите и предприятията“, COM(2017) 255 от 2 май 2017 г.: </w:t>
      </w:r>
      <w:hyperlink r:id="rId17">
        <w:r>
          <w:rPr>
            <w:rStyle w:val="Hyperlink"/>
            <w:rFonts w:ascii="Times New Roman" w:hAnsi="Times New Roman"/>
            <w:sz w:val="18"/>
          </w:rPr>
          <w:t>http://eur-lex.europa.eu/legal-content/BG/TXT/?uri=CELEX:52017DC0255</w:t>
        </w:r>
      </w:hyperlink>
      <w:r>
        <w:rPr>
          <w:rFonts w:ascii="Times New Roman" w:hAnsi="Times New Roman"/>
          <w:sz w:val="18"/>
        </w:rPr>
        <w:t xml:space="preserve"> .</w:t>
      </w:r>
    </w:p>
  </w:footnote>
  <w:footnote w:id="25">
    <w:p>
      <w:pPr>
        <w:pStyle w:val="FootnoteText"/>
        <w:spacing w:after="0" w:line="240" w:lineRule="auto"/>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Определението за трансгранични (погранични) работници е: граждани на ЕС/ЕАСТ, които живеят в една държава от ЕС или ЕАСТ и работят в друга, като редовно — ежедневно или ежеседмично — се придвижват през границата независимо от своето конкретно гражданство (при условие че са граждани на ЕС-28 или на ЕАСТ).</w:t>
      </w:r>
    </w:p>
  </w:footnote>
  <w:footnote w:id="26">
    <w:p>
      <w:pPr>
        <w:pStyle w:val="FootnoteText"/>
        <w:spacing w:after="0" w:line="240" w:lineRule="auto"/>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Стратегията „Франция“ на провинция Саарланд, октомври 2016 г.: </w:t>
      </w:r>
      <w:hyperlink r:id="rId18">
        <w:r>
          <w:rPr>
            <w:rStyle w:val="Hyperlink"/>
            <w:rFonts w:ascii="Times New Roman" w:hAnsi="Times New Roman"/>
            <w:sz w:val="18"/>
          </w:rPr>
          <w:t>https://www.saarland.de/dokumente/ressort_finanzen/MFE_Frankreich_Startegie_LangDIn4S_UK_Lay2.pdf</w:t>
        </w:r>
      </w:hyperlink>
      <w:r>
        <w:t>.</w:t>
      </w:r>
    </w:p>
  </w:footnote>
  <w:footnote w:id="27">
    <w:p>
      <w:pPr>
        <w:pStyle w:val="FootnoteText"/>
        <w:spacing w:after="0" w:line="240" w:lineRule="auto"/>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Европейски съюз — Съвет на ЕС, „Заключения на Съвета относно многоезичието и развиването на езикови компетентности“, май 2014 г.: </w:t>
      </w:r>
      <w:hyperlink r:id="rId19">
        <w:r>
          <w:rPr>
            <w:rStyle w:val="Hyperlink"/>
            <w:rFonts w:ascii="Times New Roman" w:hAnsi="Times New Roman"/>
            <w:sz w:val="18"/>
          </w:rPr>
          <w:t>http://eur-lex.europa.eu/legal-content/BG/TXT/?uri=CELEX:52014XG0614(06)</w:t>
        </w:r>
      </w:hyperlink>
      <w:r>
        <w:rPr>
          <w:rFonts w:ascii="Times New Roman" w:hAnsi="Times New Roman"/>
          <w:sz w:val="18"/>
        </w:rPr>
        <w:t xml:space="preserve"> .</w:t>
      </w:r>
    </w:p>
  </w:footnote>
  <w:footnote w:id="28">
    <w:p>
      <w:pPr>
        <w:pStyle w:val="FootnoteText"/>
        <w:spacing w:after="0" w:line="240" w:lineRule="auto"/>
        <w:jc w:val="both"/>
        <w:rPr>
          <w:rFonts w:ascii="Times New Roman" w:hAnsi="Times New Roman" w:cs="Times New Roman"/>
          <w:sz w:val="18"/>
          <w:szCs w:val="18"/>
        </w:rPr>
      </w:pPr>
      <w:r>
        <w:rPr>
          <w:rStyle w:val="FootnoteReference"/>
          <w:rFonts w:ascii="Times New Roman" w:hAnsi="Times New Roman"/>
          <w:sz w:val="18"/>
        </w:rPr>
        <w:footnoteRef/>
      </w:r>
      <w:r>
        <w:tab/>
      </w:r>
      <w:hyperlink r:id="rId20">
        <w:r>
          <w:rPr>
            <w:rStyle w:val="Hyperlink"/>
            <w:rFonts w:ascii="Times New Roman" w:hAnsi="Times New Roman"/>
            <w:sz w:val="18"/>
          </w:rPr>
          <w:t>www.keep.eu</w:t>
        </w:r>
      </w:hyperlink>
      <w:r>
        <w:rPr>
          <w:rFonts w:ascii="Times New Roman" w:hAnsi="Times New Roman"/>
          <w:sz w:val="18"/>
        </w:rPr>
        <w:t xml:space="preserve"> .</w:t>
      </w:r>
    </w:p>
  </w:footnote>
  <w:footnote w:id="29">
    <w:p>
      <w:pPr>
        <w:pStyle w:val="FootnoteText"/>
        <w:spacing w:after="0" w:line="240" w:lineRule="auto"/>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Това ще се осъществи чрез делегиран регламент за допълване на Директива 2010/40/ЕС.</w:t>
      </w:r>
    </w:p>
  </w:footnote>
  <w:footnote w:id="30">
    <w:p>
      <w:pPr>
        <w:pStyle w:val="FootnoteText"/>
        <w:spacing w:after="0" w:line="240" w:lineRule="auto"/>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Освен разпоредбите, посочени в самия Договор, може да бъдат изтъкнати и Директива 2011/24/ЕС за упражняване на правата на пациентите при трансгранично здравно обслужване и Регламент (EО) № 883/2004 за координация на системите за социална сигурност.</w:t>
      </w:r>
    </w:p>
  </w:footnote>
  <w:footnote w:id="31">
    <w:p>
      <w:pPr>
        <w:pStyle w:val="FootnoteText"/>
        <w:spacing w:after="0" w:line="240" w:lineRule="auto"/>
        <w:jc w:val="both"/>
        <w:rPr>
          <w:rFonts w:ascii="Times New Roman" w:eastAsia="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i/>
          <w:sz w:val="18"/>
        </w:rPr>
        <w:t>Espaces Transfrontaliers, La Communauté de santé transfrontalière</w:t>
      </w:r>
      <w:r>
        <w:rPr>
          <w:rFonts w:ascii="Times New Roman" w:hAnsi="Times New Roman"/>
          <w:sz w:val="18"/>
        </w:rPr>
        <w:t>:</w:t>
      </w:r>
    </w:p>
    <w:p>
      <w:pPr>
        <w:pStyle w:val="FootnoteText"/>
        <w:spacing w:after="0" w:line="240" w:lineRule="auto"/>
        <w:ind w:firstLine="0"/>
        <w:jc w:val="both"/>
        <w:rPr>
          <w:rFonts w:ascii="Times New Roman" w:hAnsi="Times New Roman" w:cs="Times New Roman"/>
          <w:sz w:val="18"/>
          <w:szCs w:val="18"/>
        </w:rPr>
      </w:pPr>
      <w:hyperlink r:id="rId21">
        <w:r>
          <w:rPr>
            <w:rStyle w:val="Hyperlink"/>
            <w:rFonts w:ascii="Times New Roman" w:hAnsi="Times New Roman"/>
            <w:sz w:val="18"/>
          </w:rPr>
          <w:t>http://www.espaces-transfrontaliers.org/ressources/themes/sante/sante-4/</w:t>
        </w:r>
      </w:hyperlink>
      <w:r>
        <w:rPr>
          <w:rFonts w:ascii="Times New Roman" w:hAnsi="Times New Roman"/>
        </w:rPr>
        <w:t>.</w:t>
      </w:r>
    </w:p>
  </w:footnote>
  <w:footnote w:id="32">
    <w:p>
      <w:pPr>
        <w:pStyle w:val="FootnoteText"/>
        <w:spacing w:after="0" w:line="240" w:lineRule="auto"/>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Регламент (ЕО) № 1082/2006 на Европейския парламент и на Съвета от 5 юли 2006 г. (ОВ L 210, 31.7.2006 г., стр. 19), изменен с Регламент (ЕС) № 1302/2013 от 17 декември 2013 г. (ОВ L 347, 20.12.2013 г., стр. 303).</w:t>
      </w:r>
    </w:p>
  </w:footnote>
  <w:footnote w:id="33">
    <w:p>
      <w:pPr>
        <w:pStyle w:val="FootnoteText"/>
        <w:spacing w:after="0" w:line="240" w:lineRule="auto"/>
        <w:jc w:val="both"/>
        <w:rPr>
          <w:rFonts w:ascii="Times New Roman" w:hAnsi="Times New Roman" w:cs="Times New Roman"/>
          <w:sz w:val="18"/>
          <w:szCs w:val="18"/>
          <w:lang w:val="it-IT"/>
        </w:rPr>
      </w:pPr>
      <w:r>
        <w:rPr>
          <w:rStyle w:val="FootnoteReference"/>
          <w:rFonts w:ascii="Times New Roman" w:hAnsi="Times New Roman"/>
          <w:sz w:val="18"/>
        </w:rPr>
        <w:footnoteRef/>
      </w:r>
      <w:r>
        <w:tab/>
      </w:r>
      <w:r>
        <w:rPr>
          <w:rFonts w:ascii="Times New Roman" w:hAnsi="Times New Roman"/>
          <w:sz w:val="18"/>
        </w:rPr>
        <w:t xml:space="preserve">Eurometropolis: </w:t>
      </w:r>
      <w:hyperlink r:id="rId22">
        <w:r>
          <w:rPr>
            <w:rStyle w:val="Hyperlink"/>
            <w:rFonts w:ascii="Times New Roman" w:hAnsi="Times New Roman"/>
            <w:sz w:val="18"/>
          </w:rPr>
          <w:t>http://www.eurometropolis.eu/</w:t>
        </w:r>
      </w:hyperlink>
      <w:r>
        <w:rPr>
          <w:rFonts w:ascii="Times New Roman" w:hAnsi="Times New Roman"/>
          <w:sz w:val="18"/>
        </w:rPr>
        <w:t xml:space="preserve"> .</w:t>
      </w:r>
    </w:p>
  </w:footnote>
  <w:footnote w:id="34">
    <w:p>
      <w:pPr>
        <w:pStyle w:val="FootnoteText"/>
        <w:spacing w:after="0" w:line="240" w:lineRule="auto"/>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i/>
          <w:sz w:val="18"/>
        </w:rPr>
        <w:t>Mission Opérationnelle Transfrontalière</w:t>
      </w:r>
      <w:r>
        <w:rPr>
          <w:rFonts w:ascii="Times New Roman" w:hAnsi="Times New Roman"/>
          <w:sz w:val="18"/>
        </w:rPr>
        <w:t xml:space="preserve">: </w:t>
      </w:r>
      <w:hyperlink r:id="rId23">
        <w:r>
          <w:rPr>
            <w:rStyle w:val="Hyperlink"/>
            <w:rFonts w:ascii="Times New Roman" w:hAnsi="Times New Roman"/>
            <w:sz w:val="18"/>
          </w:rPr>
          <w:t>www.espaces-transfrontaliers.org</w:t>
        </w:r>
      </w:hyperlink>
      <w:r>
        <w:rPr>
          <w:rFonts w:ascii="Times New Roman" w:hAnsi="Times New Roman"/>
          <w:sz w:val="18"/>
        </w:rPr>
        <w:t xml:space="preserve"> .</w:t>
      </w:r>
    </w:p>
  </w:footnote>
  <w:footnote w:id="35">
    <w:p>
      <w:pPr>
        <w:pStyle w:val="FootnoteText"/>
        <w:spacing w:after="0" w:line="240" w:lineRule="auto"/>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Централноевропейска служба за трансгранични инициативи: </w:t>
      </w:r>
      <w:hyperlink r:id="rId24">
        <w:r>
          <w:rPr>
            <w:rStyle w:val="Hyperlink"/>
            <w:rFonts w:ascii="Times New Roman" w:hAnsi="Times New Roman"/>
            <w:sz w:val="18"/>
          </w:rPr>
          <w:t>www.cesci-net.eu</w:t>
        </w:r>
      </w:hyperlink>
      <w:r>
        <w:rPr>
          <w:rStyle w:val="Hyperlink"/>
          <w:rFonts w:ascii="Times New Roman" w:hAnsi="Times New Roman"/>
          <w:sz w:val="18"/>
        </w:rPr>
        <w:t xml:space="preserve"> .</w:t>
      </w:r>
    </w:p>
  </w:footnote>
  <w:footnote w:id="36">
    <w:p>
      <w:pPr>
        <w:pStyle w:val="FootnoteText"/>
        <w:spacing w:after="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Grand Région: </w:t>
      </w:r>
      <w:hyperlink r:id="rId25">
        <w:r>
          <w:rPr>
            <w:rStyle w:val="Hyperlink"/>
            <w:rFonts w:ascii="Times New Roman" w:hAnsi="Times New Roman"/>
            <w:sz w:val="18"/>
          </w:rPr>
          <w:t>http://www.grande-region.lu/portal/</w:t>
        </w:r>
      </w:hyperlink>
      <w:r>
        <w:rPr>
          <w:rStyle w:val="Hyperlink"/>
          <w:rFonts w:ascii="Times New Roman" w:hAnsi="Times New Roman"/>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E2"/>
    <w:multiLevelType w:val="hybridMultilevel"/>
    <w:tmpl w:val="0DAE27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A7366D8E"/>
    <w:lvl w:ilvl="0">
      <w:start w:val="1"/>
      <w:numFmt w:val="decimal"/>
      <w:pStyle w:val="Heading1"/>
      <w:lvlText w:val="%1."/>
      <w:lvlJc w:val="left"/>
      <w:pPr>
        <w:tabs>
          <w:tab w:val="num" w:pos="622"/>
        </w:tabs>
        <w:ind w:left="622" w:hanging="480"/>
      </w:pPr>
      <w:rPr>
        <w:rFonts w:hint="default"/>
      </w:rPr>
    </w:lvl>
    <w:lvl w:ilvl="1">
      <w:start w:val="1"/>
      <w:numFmt w:val="decimal"/>
      <w:pStyle w:val="Heading2"/>
      <w:lvlText w:val="%1.%2."/>
      <w:lvlJc w:val="left"/>
      <w:pPr>
        <w:tabs>
          <w:tab w:val="num" w:pos="4406"/>
        </w:tabs>
        <w:ind w:left="4406" w:hanging="720"/>
      </w:pPr>
      <w:rPr>
        <w:rFonts w:ascii="Times New Roman" w:hAnsi="Times New Roman" w:cs="Times New Roman" w:hint="default"/>
      </w:rPr>
    </w:lvl>
    <w:lvl w:ilvl="2">
      <w:start w:val="1"/>
      <w:numFmt w:val="decimal"/>
      <w:lvlText w:val="%1.%2.%3."/>
      <w:lvlJc w:val="left"/>
      <w:pPr>
        <w:tabs>
          <w:tab w:val="num" w:pos="2062"/>
        </w:tabs>
        <w:ind w:left="2062" w:hanging="720"/>
      </w:pPr>
      <w:rPr>
        <w:rFonts w:hint="default"/>
      </w:rPr>
    </w:lvl>
    <w:lvl w:ilvl="3">
      <w:start w:val="1"/>
      <w:numFmt w:val="decimal"/>
      <w:pStyle w:val="Heading4"/>
      <w:lvlText w:val="%1.%2.%3.%4."/>
      <w:lvlJc w:val="left"/>
      <w:pPr>
        <w:tabs>
          <w:tab w:val="num" w:pos="2062"/>
        </w:tabs>
        <w:ind w:left="2062" w:hanging="720"/>
      </w:pPr>
      <w:rPr>
        <w:rFonts w:hint="default"/>
      </w:rPr>
    </w:lvl>
    <w:lvl w:ilvl="4">
      <w:start w:val="1"/>
      <w:numFmt w:val="lowerLetter"/>
      <w:lvlText w:val="(%5)"/>
      <w:lvlJc w:val="left"/>
      <w:pPr>
        <w:tabs>
          <w:tab w:val="num" w:pos="1942"/>
        </w:tabs>
        <w:ind w:left="1942" w:hanging="360"/>
      </w:pPr>
      <w:rPr>
        <w:rFonts w:hint="default"/>
      </w:rPr>
    </w:lvl>
    <w:lvl w:ilvl="5">
      <w:start w:val="1"/>
      <w:numFmt w:val="lowerRoman"/>
      <w:lvlText w:val="(%6)"/>
      <w:lvlJc w:val="left"/>
      <w:pPr>
        <w:tabs>
          <w:tab w:val="num" w:pos="2302"/>
        </w:tabs>
        <w:ind w:left="2302" w:hanging="360"/>
      </w:pPr>
      <w:rPr>
        <w:rFonts w:hint="default"/>
      </w:rPr>
    </w:lvl>
    <w:lvl w:ilvl="6">
      <w:start w:val="1"/>
      <w:numFmt w:val="decimal"/>
      <w:lvlText w:val="%7."/>
      <w:lvlJc w:val="left"/>
      <w:pPr>
        <w:tabs>
          <w:tab w:val="num" w:pos="2662"/>
        </w:tabs>
        <w:ind w:left="2662" w:hanging="360"/>
      </w:pPr>
      <w:rPr>
        <w:rFonts w:hint="default"/>
      </w:rPr>
    </w:lvl>
    <w:lvl w:ilvl="7">
      <w:start w:val="1"/>
      <w:numFmt w:val="lowerLetter"/>
      <w:lvlText w:val="%8."/>
      <w:lvlJc w:val="left"/>
      <w:pPr>
        <w:tabs>
          <w:tab w:val="num" w:pos="3022"/>
        </w:tabs>
        <w:ind w:left="3022" w:hanging="360"/>
      </w:pPr>
      <w:rPr>
        <w:rFonts w:hint="default"/>
      </w:rPr>
    </w:lvl>
    <w:lvl w:ilvl="8">
      <w:start w:val="1"/>
      <w:numFmt w:val="lowerRoman"/>
      <w:lvlText w:val="%9."/>
      <w:lvlJc w:val="left"/>
      <w:pPr>
        <w:tabs>
          <w:tab w:val="num" w:pos="3382"/>
        </w:tabs>
        <w:ind w:left="3382" w:hanging="360"/>
      </w:pPr>
      <w:rPr>
        <w:rFonts w:hint="default"/>
      </w:rPr>
    </w:lvl>
  </w:abstractNum>
  <w:abstractNum w:abstractNumId="2">
    <w:nsid w:val="23412FE9"/>
    <w:multiLevelType w:val="hybridMultilevel"/>
    <w:tmpl w:val="0664AD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391B6FA8"/>
    <w:multiLevelType w:val="hybridMultilevel"/>
    <w:tmpl w:val="83B40B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9A6BCD"/>
    <w:multiLevelType w:val="hybridMultilevel"/>
    <w:tmpl w:val="12A817E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5AD5105D8FA445D8355B9DD2698EB40"/>
    <w:docVar w:name="LW_CROSSREFERENCE" w:val="{SWD(2017) 307 final}"/>
    <w:docVar w:name="LW_DocType" w:val="NORMAL"/>
    <w:docVar w:name="LW_EMISSION" w:val="20.9.2017"/>
    <w:docVar w:name="LW_EMISSION_ISODATE" w:val="2017-09-20"/>
    <w:docVar w:name="LW_EMISSION_LOCATION" w:val="BRX"/>
    <w:docVar w:name="LW_EMISSION_PREFIX" w:val="Брюксел, "/>
    <w:docVar w:name="LW_EMISSION_SUFFIX" w:val=" \u1075?."/>
    <w:docVar w:name="LW_ID_DOCTYPE_NONLW" w:val="CP-011"/>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34"/>
    <w:docVar w:name="LW_REF.INTERNE" w:val="&lt;UNUSED&gt;"/>
    <w:docVar w:name="LW_SOUS.TITRE.OBJ.CP" w:val="&lt;UNUSED&gt;"/>
    <w:docVar w:name="LW_SUPERTITRE" w:val="&lt;UNUSED&gt;"/>
    <w:docVar w:name="LW_TITRE.OBJ.CP" w:val="\u1053?\u1072?\u1089?\u1098?\u1088?\u1095?\u1072?\u1074?\u1072?\u1085?\u1077? \u1085?\u1072? \u1088?\u1072?\u1089?\u1090?\u1077?\u1078?\u1072? \u1080? \u1089?\u1073?\u1083?\u1080?\u1078?\u1072?\u1074?\u1072?\u1085?\u1077?\u1090?\u1086? \u1074? \u1075?\u1088?\u1072?\u1085?\u1080?\u1095?\u1085?\u1080?\u1090?\u1077? \u1088?\u1077?\u1075?\u1080?\u1086?\u1085?\u1080? \u1085?\u1072? \u1045?\u1057?"/>
    <w:docVar w:name="LW_TYPE.DOC.CP" w:val="\u1057?\u1066?\u1054?\u1041?\u1065?\u1045?\u1053?\u1048?\u1045? \u1053?\u1040? \u1050?\u1054?\u1052?\u1048?\u1057?\u1048?\u1071?\u1058?\u1040? \u1044?\u1054? \u1057?\u1066?\u1042?\u1045?\u1058?\u1040? \u1048? \u1045?\u1042?\u1056?\u1054?\u1055?\u1045?\u1049?\u1057?\u1050?\u1048?\u1071? \u1055?\u1040?\u1056?\u1051?\u1040?\u1052?\u1045?\u1053?\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tabs>
        <w:tab w:val="clear" w:pos="4406"/>
        <w:tab w:val="num" w:pos="1288"/>
      </w:tabs>
      <w:ind w:left="1288"/>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pPr>
      <w:keepNext/>
      <w:numPr>
        <w:ilvl w:val="3"/>
        <w:numId w:val="1"/>
      </w:numPr>
      <w:outlineLvl w:val="3"/>
    </w:pPr>
  </w:style>
  <w:style w:type="paragraph" w:styleId="Heading5">
    <w:name w:val="heading 5"/>
    <w:basedOn w:val="Normal"/>
    <w:next w:val="Normal"/>
    <w:link w:val="Heading5Char"/>
    <w:uiPriority w:val="99"/>
    <w:qFormat/>
    <w:pPr>
      <w:keepNext/>
      <w:keepLines/>
      <w:spacing w:before="200" w:after="60" w:line="312" w:lineRule="auto"/>
      <w:ind w:left="1008" w:hanging="1008"/>
      <w:jc w:val="both"/>
      <w:outlineLvl w:val="4"/>
    </w:pPr>
    <w:rPr>
      <w:rFonts w:asciiTheme="majorHAnsi" w:eastAsiaTheme="majorEastAsia" w:hAnsiTheme="majorHAnsi" w:cstheme="majorBidi"/>
      <w:color w:val="243F60" w:themeColor="accent1" w:themeShade="7F"/>
      <w:sz w:val="19"/>
      <w:szCs w:val="24"/>
    </w:rPr>
  </w:style>
  <w:style w:type="paragraph" w:styleId="Heading6">
    <w:name w:val="heading 6"/>
    <w:basedOn w:val="Normal"/>
    <w:next w:val="Normal"/>
    <w:link w:val="Heading6Char"/>
    <w:qFormat/>
    <w:pPr>
      <w:keepNext/>
      <w:keepLines/>
      <w:spacing w:before="200" w:after="60" w:line="312" w:lineRule="auto"/>
      <w:ind w:left="1152" w:hanging="1152"/>
      <w:jc w:val="both"/>
      <w:outlineLvl w:val="5"/>
    </w:pPr>
    <w:rPr>
      <w:rFonts w:asciiTheme="majorHAnsi" w:eastAsiaTheme="majorEastAsia" w:hAnsiTheme="majorHAnsi" w:cstheme="majorBidi"/>
      <w:i/>
      <w:iCs/>
      <w:color w:val="243F60" w:themeColor="accent1" w:themeShade="7F"/>
      <w:sz w:val="19"/>
      <w:szCs w:val="24"/>
    </w:rPr>
  </w:style>
  <w:style w:type="paragraph" w:styleId="Heading7">
    <w:name w:val="heading 7"/>
    <w:basedOn w:val="Normal"/>
    <w:next w:val="Normal"/>
    <w:link w:val="Heading7Char"/>
    <w:uiPriority w:val="99"/>
    <w:qFormat/>
    <w:pPr>
      <w:keepNext/>
      <w:keepLines/>
      <w:spacing w:before="200" w:after="60" w:line="312" w:lineRule="auto"/>
      <w:ind w:left="1296" w:hanging="1296"/>
      <w:jc w:val="both"/>
      <w:outlineLvl w:val="6"/>
    </w:pPr>
    <w:rPr>
      <w:rFonts w:asciiTheme="majorHAnsi" w:eastAsiaTheme="majorEastAsia" w:hAnsiTheme="majorHAnsi" w:cstheme="majorBidi"/>
      <w:i/>
      <w:iCs/>
      <w:color w:val="404040" w:themeColor="text1" w:themeTint="BF"/>
      <w:sz w:val="19"/>
      <w:szCs w:val="24"/>
    </w:rPr>
  </w:style>
  <w:style w:type="paragraph" w:styleId="Heading8">
    <w:name w:val="heading 8"/>
    <w:basedOn w:val="Normal"/>
    <w:next w:val="Normal"/>
    <w:link w:val="Heading8Char"/>
    <w:qFormat/>
    <w:pPr>
      <w:keepNext/>
      <w:keepLines/>
      <w:spacing w:before="200" w:after="60" w:line="312" w:lineRule="auto"/>
      <w:ind w:left="1440" w:hanging="1440"/>
      <w:jc w:val="both"/>
      <w:outlineLvl w:val="7"/>
    </w:pPr>
    <w:rPr>
      <w:rFonts w:asciiTheme="majorHAnsi" w:eastAsiaTheme="majorEastAsia" w:hAnsiTheme="majorHAnsi" w:cstheme="majorBidi"/>
      <w:color w:val="404040" w:themeColor="text1" w:themeTint="BF"/>
      <w:sz w:val="19"/>
      <w:szCs w:val="20"/>
    </w:rPr>
  </w:style>
  <w:style w:type="paragraph" w:styleId="Heading9">
    <w:name w:val="heading 9"/>
    <w:aliases w:val="Biblio"/>
    <w:basedOn w:val="Normal"/>
    <w:next w:val="Normal"/>
    <w:link w:val="Heading9Char"/>
    <w:qFormat/>
    <w:pPr>
      <w:keepNext/>
      <w:keepLines/>
      <w:spacing w:before="200" w:after="60" w:line="312" w:lineRule="auto"/>
      <w:ind w:left="1584" w:hanging="1584"/>
      <w:jc w:val="both"/>
      <w:outlineLvl w:val="8"/>
    </w:pPr>
    <w:rPr>
      <w:rFonts w:asciiTheme="majorHAnsi" w:eastAsiaTheme="majorEastAsia" w:hAnsiTheme="majorHAnsi" w:cstheme="majorBidi"/>
      <w:i/>
      <w:iCs/>
      <w:color w:val="404040" w:themeColor="text1" w:themeTint="BF"/>
      <w:sz w:val="19"/>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b/>
      <w:smallCaps/>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4"/>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Pr>
      <w:lang w:val="bg-BG"/>
    </w:rPr>
  </w:style>
  <w:style w:type="character" w:customStyle="1" w:styleId="Heading5Char">
    <w:name w:val="Heading 5 Char"/>
    <w:basedOn w:val="DefaultParagraphFont"/>
    <w:link w:val="Heading5"/>
    <w:uiPriority w:val="99"/>
    <w:rPr>
      <w:rFonts w:asciiTheme="majorHAnsi" w:eastAsiaTheme="majorEastAsia" w:hAnsiTheme="majorHAnsi" w:cstheme="majorBidi"/>
      <w:color w:val="243F60" w:themeColor="accent1" w:themeShade="7F"/>
      <w:sz w:val="19"/>
      <w:szCs w:val="24"/>
      <w:lang w:eastAsia="bg-BG"/>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19"/>
      <w:szCs w:val="24"/>
      <w:lang w:eastAsia="bg-BG"/>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404040" w:themeColor="text1" w:themeTint="BF"/>
      <w:sz w:val="19"/>
      <w:szCs w:val="24"/>
      <w:lang w:eastAsia="bg-BG"/>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19"/>
      <w:szCs w:val="20"/>
      <w:lang w:eastAsia="bg-BG"/>
    </w:rPr>
  </w:style>
  <w:style w:type="character" w:customStyle="1" w:styleId="Heading9Char">
    <w:name w:val="Heading 9 Char"/>
    <w:aliases w:val="Biblio Char"/>
    <w:basedOn w:val="DefaultParagraphFont"/>
    <w:link w:val="Heading9"/>
    <w:rPr>
      <w:rFonts w:asciiTheme="majorHAnsi" w:eastAsiaTheme="majorEastAsia" w:hAnsiTheme="majorHAnsi" w:cstheme="majorBidi"/>
      <w:i/>
      <w:iCs/>
      <w:color w:val="404040" w:themeColor="text1" w:themeTint="BF"/>
      <w:sz w:val="19"/>
      <w:szCs w:val="20"/>
      <w:lang w:eastAsia="bg-BG"/>
    </w:rPr>
  </w:style>
  <w:style w:type="paragraph" w:customStyle="1" w:styleId="Text1">
    <w:name w:val="Text 1"/>
    <w:basedOn w:val="Normal"/>
    <w:pPr>
      <w:ind w:left="482"/>
    </w:pPr>
  </w:style>
  <w:style w:type="paragraph" w:styleId="FootnoteText">
    <w:name w:val="footnote text"/>
    <w:aliases w:val="Fußnote,Schriftart: 9 pt,Schriftart: 10 pt,Schriftart: 8 pt,Testo nota a piè di pagina Carattere,Footnote text,Fu?note,Testo nota a pie di pagina Carattere,PBO-Footnote Text,Voetnoottekst Char,footnote text,ALTS FOOTNOTE,f,stile 1,fn"/>
    <w:basedOn w:val="Normal"/>
    <w:link w:val="FootnoteTextChar"/>
    <w:qFormat/>
    <w:pPr>
      <w:ind w:left="357" w:hanging="357"/>
    </w:pPr>
    <w:rPr>
      <w:sz w:val="20"/>
    </w:rPr>
  </w:style>
  <w:style w:type="character" w:customStyle="1" w:styleId="FootnoteTextChar">
    <w:name w:val="Footnote Text Char"/>
    <w:aliases w:val="Fußnote Char,Schriftart: 9 pt Char,Schriftart: 10 pt Char,Schriftart: 8 pt Char,Testo nota a piè di pagina Carattere Char,Footnote text Char,Fu?note Char,Testo nota a pie di pagina Carattere Char,PBO-Footnote Text Char,f Char,fn Char"/>
    <w:basedOn w:val="DefaultParagraphFont"/>
    <w:link w:val="FootnoteText"/>
    <w:qFormat/>
    <w:rPr>
      <w:sz w:val="20"/>
      <w:lang w:val="bg-BG"/>
    </w:rPr>
  </w:style>
  <w:style w:type="paragraph" w:customStyle="1" w:styleId="NoteHead">
    <w:name w:val="NoteHead"/>
    <w:basedOn w:val="Normal"/>
    <w:next w:val="Normal"/>
    <w:pPr>
      <w:spacing w:before="720" w:after="720"/>
      <w:jc w:val="center"/>
    </w:pPr>
    <w:rPr>
      <w:b/>
      <w:smallCaps/>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pPr>
      <w:ind w:left="720"/>
      <w:contextualSpacing/>
    </w:pPr>
  </w:style>
  <w:style w:type="character" w:styleId="FootnoteReference">
    <w:name w:val="footnote reference"/>
    <w:aliases w:val="BVI fnr,Footnote symbol,Footnote,Footnote number,Footnote Reference Number,Footnote reference number,Times 10 Point,Exposant 3 Point,Footnote Reference Superscript,SUPERS,(Footnote Reference),ftref,Footnotes refss,Fussnota,o"/>
    <w:basedOn w:val="DefaultParagraphFont"/>
    <w:link w:val="FootnotesymbolCarZchn"/>
    <w:unhideWhenUsed/>
    <w:qFormat/>
    <w:rPr>
      <w:vertAlign w:val="superscript"/>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basedOn w:val="DefaultParagraphFont"/>
    <w:link w:val="ListParagraph"/>
    <w:uiPriority w:val="34"/>
    <w:qFormat/>
    <w:locked/>
    <w:rPr>
      <w:lang w:val="bg-BG"/>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rPr>
  </w:style>
  <w:style w:type="character" w:customStyle="1" w:styleId="DocumentTitleChar">
    <w:name w:val="Document Title Char"/>
    <w:link w:val="DocumentTitle"/>
    <w:rPr>
      <w:rFonts w:ascii="Verdana" w:eastAsia="Times New Roman" w:hAnsi="Verdana" w:cs="Times New Roman"/>
      <w:b/>
      <w:sz w:val="52"/>
      <w:szCs w:val="20"/>
      <w:lang w:val="bg-BG"/>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customStyle="1" w:styleId="ListBullet1">
    <w:name w:val="List Bullet 1"/>
    <w:basedOn w:val="Text1"/>
    <w:pPr>
      <w:numPr>
        <w:numId w:val="2"/>
      </w:numPr>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jc w:val="both"/>
    </w:pPr>
    <w:rPr>
      <w:vertAlign w:val="superscript"/>
    </w:rPr>
  </w:style>
  <w:style w:type="table" w:styleId="TableGrid">
    <w:name w:val="Table Grid"/>
    <w:aliases w:val="Document Table,CV1,HTG,CV table,chiffres,Tableau D,Table EY,Table Finalité"/>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tabs>
        <w:tab w:val="clear" w:pos="4406"/>
        <w:tab w:val="num" w:pos="1288"/>
      </w:tabs>
      <w:ind w:left="1288"/>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pPr>
      <w:keepNext/>
      <w:numPr>
        <w:ilvl w:val="3"/>
        <w:numId w:val="1"/>
      </w:numPr>
      <w:outlineLvl w:val="3"/>
    </w:pPr>
  </w:style>
  <w:style w:type="paragraph" w:styleId="Heading5">
    <w:name w:val="heading 5"/>
    <w:basedOn w:val="Normal"/>
    <w:next w:val="Normal"/>
    <w:link w:val="Heading5Char"/>
    <w:uiPriority w:val="99"/>
    <w:qFormat/>
    <w:pPr>
      <w:keepNext/>
      <w:keepLines/>
      <w:spacing w:before="200" w:after="60" w:line="312" w:lineRule="auto"/>
      <w:ind w:left="1008" w:hanging="1008"/>
      <w:jc w:val="both"/>
      <w:outlineLvl w:val="4"/>
    </w:pPr>
    <w:rPr>
      <w:rFonts w:asciiTheme="majorHAnsi" w:eastAsiaTheme="majorEastAsia" w:hAnsiTheme="majorHAnsi" w:cstheme="majorBidi"/>
      <w:color w:val="243F60" w:themeColor="accent1" w:themeShade="7F"/>
      <w:sz w:val="19"/>
      <w:szCs w:val="24"/>
    </w:rPr>
  </w:style>
  <w:style w:type="paragraph" w:styleId="Heading6">
    <w:name w:val="heading 6"/>
    <w:basedOn w:val="Normal"/>
    <w:next w:val="Normal"/>
    <w:link w:val="Heading6Char"/>
    <w:qFormat/>
    <w:pPr>
      <w:keepNext/>
      <w:keepLines/>
      <w:spacing w:before="200" w:after="60" w:line="312" w:lineRule="auto"/>
      <w:ind w:left="1152" w:hanging="1152"/>
      <w:jc w:val="both"/>
      <w:outlineLvl w:val="5"/>
    </w:pPr>
    <w:rPr>
      <w:rFonts w:asciiTheme="majorHAnsi" w:eastAsiaTheme="majorEastAsia" w:hAnsiTheme="majorHAnsi" w:cstheme="majorBidi"/>
      <w:i/>
      <w:iCs/>
      <w:color w:val="243F60" w:themeColor="accent1" w:themeShade="7F"/>
      <w:sz w:val="19"/>
      <w:szCs w:val="24"/>
    </w:rPr>
  </w:style>
  <w:style w:type="paragraph" w:styleId="Heading7">
    <w:name w:val="heading 7"/>
    <w:basedOn w:val="Normal"/>
    <w:next w:val="Normal"/>
    <w:link w:val="Heading7Char"/>
    <w:uiPriority w:val="99"/>
    <w:qFormat/>
    <w:pPr>
      <w:keepNext/>
      <w:keepLines/>
      <w:spacing w:before="200" w:after="60" w:line="312" w:lineRule="auto"/>
      <w:ind w:left="1296" w:hanging="1296"/>
      <w:jc w:val="both"/>
      <w:outlineLvl w:val="6"/>
    </w:pPr>
    <w:rPr>
      <w:rFonts w:asciiTheme="majorHAnsi" w:eastAsiaTheme="majorEastAsia" w:hAnsiTheme="majorHAnsi" w:cstheme="majorBidi"/>
      <w:i/>
      <w:iCs/>
      <w:color w:val="404040" w:themeColor="text1" w:themeTint="BF"/>
      <w:sz w:val="19"/>
      <w:szCs w:val="24"/>
    </w:rPr>
  </w:style>
  <w:style w:type="paragraph" w:styleId="Heading8">
    <w:name w:val="heading 8"/>
    <w:basedOn w:val="Normal"/>
    <w:next w:val="Normal"/>
    <w:link w:val="Heading8Char"/>
    <w:qFormat/>
    <w:pPr>
      <w:keepNext/>
      <w:keepLines/>
      <w:spacing w:before="200" w:after="60" w:line="312" w:lineRule="auto"/>
      <w:ind w:left="1440" w:hanging="1440"/>
      <w:jc w:val="both"/>
      <w:outlineLvl w:val="7"/>
    </w:pPr>
    <w:rPr>
      <w:rFonts w:asciiTheme="majorHAnsi" w:eastAsiaTheme="majorEastAsia" w:hAnsiTheme="majorHAnsi" w:cstheme="majorBidi"/>
      <w:color w:val="404040" w:themeColor="text1" w:themeTint="BF"/>
      <w:sz w:val="19"/>
      <w:szCs w:val="20"/>
    </w:rPr>
  </w:style>
  <w:style w:type="paragraph" w:styleId="Heading9">
    <w:name w:val="heading 9"/>
    <w:aliases w:val="Biblio"/>
    <w:basedOn w:val="Normal"/>
    <w:next w:val="Normal"/>
    <w:link w:val="Heading9Char"/>
    <w:qFormat/>
    <w:pPr>
      <w:keepNext/>
      <w:keepLines/>
      <w:spacing w:before="200" w:after="60" w:line="312" w:lineRule="auto"/>
      <w:ind w:left="1584" w:hanging="1584"/>
      <w:jc w:val="both"/>
      <w:outlineLvl w:val="8"/>
    </w:pPr>
    <w:rPr>
      <w:rFonts w:asciiTheme="majorHAnsi" w:eastAsiaTheme="majorEastAsia" w:hAnsiTheme="majorHAnsi" w:cstheme="majorBidi"/>
      <w:i/>
      <w:iCs/>
      <w:color w:val="404040" w:themeColor="text1" w:themeTint="BF"/>
      <w:sz w:val="19"/>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b/>
      <w:smallCaps/>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4"/>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Pr>
      <w:lang w:val="bg-BG"/>
    </w:rPr>
  </w:style>
  <w:style w:type="character" w:customStyle="1" w:styleId="Heading5Char">
    <w:name w:val="Heading 5 Char"/>
    <w:basedOn w:val="DefaultParagraphFont"/>
    <w:link w:val="Heading5"/>
    <w:uiPriority w:val="99"/>
    <w:rPr>
      <w:rFonts w:asciiTheme="majorHAnsi" w:eastAsiaTheme="majorEastAsia" w:hAnsiTheme="majorHAnsi" w:cstheme="majorBidi"/>
      <w:color w:val="243F60" w:themeColor="accent1" w:themeShade="7F"/>
      <w:sz w:val="19"/>
      <w:szCs w:val="24"/>
      <w:lang w:eastAsia="bg-BG"/>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19"/>
      <w:szCs w:val="24"/>
      <w:lang w:eastAsia="bg-BG"/>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404040" w:themeColor="text1" w:themeTint="BF"/>
      <w:sz w:val="19"/>
      <w:szCs w:val="24"/>
      <w:lang w:eastAsia="bg-BG"/>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19"/>
      <w:szCs w:val="20"/>
      <w:lang w:eastAsia="bg-BG"/>
    </w:rPr>
  </w:style>
  <w:style w:type="character" w:customStyle="1" w:styleId="Heading9Char">
    <w:name w:val="Heading 9 Char"/>
    <w:aliases w:val="Biblio Char"/>
    <w:basedOn w:val="DefaultParagraphFont"/>
    <w:link w:val="Heading9"/>
    <w:rPr>
      <w:rFonts w:asciiTheme="majorHAnsi" w:eastAsiaTheme="majorEastAsia" w:hAnsiTheme="majorHAnsi" w:cstheme="majorBidi"/>
      <w:i/>
      <w:iCs/>
      <w:color w:val="404040" w:themeColor="text1" w:themeTint="BF"/>
      <w:sz w:val="19"/>
      <w:szCs w:val="20"/>
      <w:lang w:eastAsia="bg-BG"/>
    </w:rPr>
  </w:style>
  <w:style w:type="paragraph" w:customStyle="1" w:styleId="Text1">
    <w:name w:val="Text 1"/>
    <w:basedOn w:val="Normal"/>
    <w:pPr>
      <w:ind w:left="482"/>
    </w:pPr>
  </w:style>
  <w:style w:type="paragraph" w:styleId="FootnoteText">
    <w:name w:val="footnote text"/>
    <w:aliases w:val="Fußnote,Schriftart: 9 pt,Schriftart: 10 pt,Schriftart: 8 pt,Testo nota a piè di pagina Carattere,Footnote text,Fu?note,Testo nota a pie di pagina Carattere,PBO-Footnote Text,Voetnoottekst Char,footnote text,ALTS FOOTNOTE,f,stile 1,fn"/>
    <w:basedOn w:val="Normal"/>
    <w:link w:val="FootnoteTextChar"/>
    <w:qFormat/>
    <w:pPr>
      <w:ind w:left="357" w:hanging="357"/>
    </w:pPr>
    <w:rPr>
      <w:sz w:val="20"/>
    </w:rPr>
  </w:style>
  <w:style w:type="character" w:customStyle="1" w:styleId="FootnoteTextChar">
    <w:name w:val="Footnote Text Char"/>
    <w:aliases w:val="Fußnote Char,Schriftart: 9 pt Char,Schriftart: 10 pt Char,Schriftart: 8 pt Char,Testo nota a piè di pagina Carattere Char,Footnote text Char,Fu?note Char,Testo nota a pie di pagina Carattere Char,PBO-Footnote Text Char,f Char,fn Char"/>
    <w:basedOn w:val="DefaultParagraphFont"/>
    <w:link w:val="FootnoteText"/>
    <w:qFormat/>
    <w:rPr>
      <w:sz w:val="20"/>
      <w:lang w:val="bg-BG"/>
    </w:rPr>
  </w:style>
  <w:style w:type="paragraph" w:customStyle="1" w:styleId="NoteHead">
    <w:name w:val="NoteHead"/>
    <w:basedOn w:val="Normal"/>
    <w:next w:val="Normal"/>
    <w:pPr>
      <w:spacing w:before="720" w:after="720"/>
      <w:jc w:val="center"/>
    </w:pPr>
    <w:rPr>
      <w:b/>
      <w:smallCaps/>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pPr>
      <w:ind w:left="720"/>
      <w:contextualSpacing/>
    </w:pPr>
  </w:style>
  <w:style w:type="character" w:styleId="FootnoteReference">
    <w:name w:val="footnote reference"/>
    <w:aliases w:val="BVI fnr,Footnote symbol,Footnote,Footnote number,Footnote Reference Number,Footnote reference number,Times 10 Point,Exposant 3 Point,Footnote Reference Superscript,SUPERS,(Footnote Reference),ftref,Footnotes refss,Fussnota,o"/>
    <w:basedOn w:val="DefaultParagraphFont"/>
    <w:link w:val="FootnotesymbolCarZchn"/>
    <w:unhideWhenUsed/>
    <w:qFormat/>
    <w:rPr>
      <w:vertAlign w:val="superscript"/>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basedOn w:val="DefaultParagraphFont"/>
    <w:link w:val="ListParagraph"/>
    <w:uiPriority w:val="34"/>
    <w:qFormat/>
    <w:locked/>
    <w:rPr>
      <w:lang w:val="bg-BG"/>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rPr>
  </w:style>
  <w:style w:type="character" w:customStyle="1" w:styleId="DocumentTitleChar">
    <w:name w:val="Document Title Char"/>
    <w:link w:val="DocumentTitle"/>
    <w:rPr>
      <w:rFonts w:ascii="Verdana" w:eastAsia="Times New Roman" w:hAnsi="Verdana" w:cs="Times New Roman"/>
      <w:b/>
      <w:sz w:val="52"/>
      <w:szCs w:val="20"/>
      <w:lang w:val="bg-BG"/>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customStyle="1" w:styleId="ListBullet1">
    <w:name w:val="List Bullet 1"/>
    <w:basedOn w:val="Text1"/>
    <w:pPr>
      <w:numPr>
        <w:numId w:val="2"/>
      </w:numPr>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jc w:val="both"/>
    </w:pPr>
    <w:rPr>
      <w:vertAlign w:val="superscript"/>
    </w:rPr>
  </w:style>
  <w:style w:type="table" w:styleId="TableGrid">
    <w:name w:val="Table Grid"/>
    <w:aliases w:val="Document Table,CV1,HTG,CV table,chiffres,Tableau D,Table EY,Table Finalité"/>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qid=1503565263778&amp;uri=CELEX:52017SC0213" TargetMode="External"/><Relationship Id="rId13" Type="http://schemas.openxmlformats.org/officeDocument/2006/relationships/hyperlink" Target="https://ec.europa.eu/digital-single-market/en/news/once-only-principle-toop-project-launched-january-2017" TargetMode="External"/><Relationship Id="rId18" Type="http://schemas.openxmlformats.org/officeDocument/2006/relationships/hyperlink" Target="https://www.saarland.de/dokumente/ressort_finanzen/MFE_Frankreich_Startegie_LangDIn4S_UK_Lay2.pdf" TargetMode="External"/><Relationship Id="rId3" Type="http://schemas.openxmlformats.org/officeDocument/2006/relationships/hyperlink" Target="http://eur-lex.europa.eu/legal-content/bg/TXT/?uri=CELEX:52017DC0376" TargetMode="External"/><Relationship Id="rId21" Type="http://schemas.openxmlformats.org/officeDocument/2006/relationships/hyperlink" Target="http://www.espaces-transfrontaliers.org/ressources/themes/sante/sante-4/" TargetMode="External"/><Relationship Id="rId7" Type="http://schemas.openxmlformats.org/officeDocument/2006/relationships/hyperlink" Target="https://ec.europa.eu/growth/tools-databases/newsroom/cf/itemdetail.cfm?item_id=9134&amp;lang=en" TargetMode="External"/><Relationship Id="rId12" Type="http://schemas.openxmlformats.org/officeDocument/2006/relationships/hyperlink" Target="http://eur-lex.europa.eu/legal-content/BG/TXT/?qid=1503566265012&amp;uri=CELEX:52016DC0179" TargetMode="External"/><Relationship Id="rId17" Type="http://schemas.openxmlformats.org/officeDocument/2006/relationships/hyperlink" Target="http://eur-lex.europa.eu/legal-content/BG/TXT/?uri=CELEX:52017DC0255" TargetMode="External"/><Relationship Id="rId25" Type="http://schemas.openxmlformats.org/officeDocument/2006/relationships/hyperlink" Target="http://www.grande-region.lu/portal/" TargetMode="External"/><Relationship Id="rId2" Type="http://schemas.openxmlformats.org/officeDocument/2006/relationships/hyperlink" Target="http://www.keep.eu/" TargetMode="External"/><Relationship Id="rId16" Type="http://schemas.openxmlformats.org/officeDocument/2006/relationships/hyperlink" Target="http://eur-lex.europa.eu/legal-content/BG/TXT/?uri=CELEX:52017PC0256" TargetMode="External"/><Relationship Id="rId20" Type="http://schemas.openxmlformats.org/officeDocument/2006/relationships/hyperlink" Target="http://www.keep.eu/" TargetMode="External"/><Relationship Id="rId1" Type="http://schemas.openxmlformats.org/officeDocument/2006/relationships/hyperlink" Target="http://ec.europa.eu/eurostat/web/nuts" TargetMode="External"/><Relationship Id="rId6" Type="http://schemas.openxmlformats.org/officeDocument/2006/relationships/hyperlink" Target="http://ec.europa.eu/regional_policy/en/policy/cooperation/european-territorial/cross-border/review/" TargetMode="External"/><Relationship Id="rId11" Type="http://schemas.openxmlformats.org/officeDocument/2006/relationships/hyperlink" Target="https://ec.europa.eu/digital-single-market/en/news/eu-egovernment-report-2016-shows-online-public-services-improved-unevenly" TargetMode="External"/><Relationship Id="rId24" Type="http://schemas.openxmlformats.org/officeDocument/2006/relationships/hyperlink" Target="http://www.cesci-net.eu/" TargetMode="External"/><Relationship Id="rId5" Type="http://schemas.openxmlformats.org/officeDocument/2006/relationships/hyperlink" Target="http://ec.europa.eu/regional_policy/bg/information/publications/working-papers/2009/territories-with-specific-geographical-features" TargetMode="External"/><Relationship Id="rId15" Type="http://schemas.openxmlformats.org/officeDocument/2006/relationships/hyperlink" Target="https://www.infobest.eu/" TargetMode="External"/><Relationship Id="rId23" Type="http://schemas.openxmlformats.org/officeDocument/2006/relationships/hyperlink" Target="http://www.espaces-transfrontaliers.org/" TargetMode="External"/><Relationship Id="rId10" Type="http://schemas.openxmlformats.org/officeDocument/2006/relationships/hyperlink" Target="https://www.maastrichtuniversity.nl/research/institute-transnational-and-euregional-cross-border-cooperation-and-mobility-item" TargetMode="External"/><Relationship Id="rId19" Type="http://schemas.openxmlformats.org/officeDocument/2006/relationships/hyperlink" Target="http://eur-lex.europa.eu/legal-content/BG/TXT/?uri=CELEX:52014XG0614(06)" TargetMode="External"/><Relationship Id="rId4" Type="http://schemas.openxmlformats.org/officeDocument/2006/relationships/hyperlink" Target="https://ec.europa.eu/commission/priorities/jobs-growth-and-investment/investment-plan_bg" TargetMode="External"/><Relationship Id="rId9" Type="http://schemas.openxmlformats.org/officeDocument/2006/relationships/hyperlink" Target="http://www.frontalier.org/" TargetMode="External"/><Relationship Id="rId14" Type="http://schemas.openxmlformats.org/officeDocument/2006/relationships/hyperlink" Target="https://ec.europa.eu/info/resources-partners/machine-translation-public-administrations-mtec_en" TargetMode="External"/><Relationship Id="rId22" Type="http://schemas.openxmlformats.org/officeDocument/2006/relationships/hyperlink" Target="http://www.eurometropoli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ADEAE-ACE1-4E3B-8784-84DE1735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19</Pages>
  <Words>5899</Words>
  <Characters>36399</Characters>
  <Application>Microsoft Office Word</Application>
  <DocSecurity>0</DocSecurity>
  <Lines>606</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114</cp:revision>
  <dcterms:created xsi:type="dcterms:W3CDTF">2017-09-06T14:12:00Z</dcterms:created>
  <dcterms:modified xsi:type="dcterms:W3CDTF">2017-09-20T16:03:00Z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