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89B" w:rsidRDefault="00A46D11">
      <w:pPr>
        <w:pStyle w:val="Pagedecouverture"/>
        <w:rPr>
          <w:noProof/>
        </w:rPr>
      </w:pPr>
      <w:bookmarkStart w:id="0" w:name="LW_BM_COVERPAGE"/>
      <w:bookmarkStart w:id="1" w:name="_GoBack"/>
      <w:bookmarkEnd w:id="1"/>
      <w:r>
        <w:rPr>
          <w:noProof/>
        </w:rPr>
        <w:pict>
          <v:shape id="_x0000_i1025" type="#_x0000_t75" alt="F0CDA4FC050C4B63B95F6FF0CDEB2588" style="width:449.75pt;height:442.3pt">
            <v:imagedata r:id="rId13" o:title=""/>
          </v:shape>
        </w:pict>
      </w:r>
    </w:p>
    <w:bookmarkEnd w:id="0"/>
    <w:p w:rsidR="0073489B" w:rsidRDefault="0073489B">
      <w:pPr>
        <w:rPr>
          <w:noProof/>
        </w:rPr>
        <w:sectPr w:rsidR="0073489B">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1"/>
          <w:cols w:space="720"/>
          <w:docGrid w:linePitch="360"/>
        </w:sectPr>
      </w:pPr>
    </w:p>
    <w:p w:rsidR="0073489B" w:rsidRDefault="0073489B">
      <w:pPr>
        <w:pStyle w:val="Subject"/>
        <w:spacing w:after="120"/>
        <w:rPr>
          <w:b w:val="0"/>
          <w:noProof/>
          <w:szCs w:val="24"/>
        </w:rPr>
      </w:pPr>
    </w:p>
    <w:p w:rsidR="0073489B" w:rsidRDefault="00A46D11">
      <w:pPr>
        <w:jc w:val="center"/>
        <w:rPr>
          <w:b/>
          <w:noProof/>
          <w:sz w:val="32"/>
          <w:szCs w:val="32"/>
        </w:rPr>
      </w:pPr>
      <w:r>
        <w:rPr>
          <w:b/>
          <w:noProof/>
          <w:sz w:val="32"/>
          <w:szCs w:val="32"/>
        </w:rPr>
        <w:t>Table of Contents</w:t>
      </w:r>
    </w:p>
    <w:p w:rsidR="0073489B" w:rsidRDefault="00A46D11">
      <w:pPr>
        <w:pStyle w:val="TOC1"/>
        <w:tabs>
          <w:tab w:val="right" w:leader="dot" w:pos="10456"/>
        </w:tabs>
        <w:rPr>
          <w:rFonts w:asciiTheme="minorHAnsi" w:eastAsiaTheme="minorEastAsia" w:hAnsiTheme="minorHAnsi" w:cstheme="minorBidi"/>
          <w:noProof/>
          <w:sz w:val="22"/>
          <w:lang w:eastAsia="en-GB"/>
        </w:rPr>
      </w:pPr>
      <w:r>
        <w:rPr>
          <w:noProof/>
        </w:rPr>
        <w:fldChar w:fldCharType="begin"/>
      </w:r>
      <w:r>
        <w:rPr>
          <w:noProof/>
        </w:rPr>
        <w:instrText xml:space="preserve"> TOC \o "1-3" \h \z \u </w:instrText>
      </w:r>
      <w:r>
        <w:rPr>
          <w:noProof/>
        </w:rPr>
        <w:fldChar w:fldCharType="separate"/>
      </w:r>
      <w:hyperlink w:anchor="_Toc486436741" w:history="1">
        <w:r>
          <w:rPr>
            <w:rStyle w:val="Hyperlink"/>
            <w:noProof/>
          </w:rPr>
          <w:t>I. INTRODUCTION</w:t>
        </w:r>
        <w:r>
          <w:rPr>
            <w:noProof/>
            <w:webHidden/>
          </w:rPr>
          <w:tab/>
        </w:r>
        <w:r>
          <w:rPr>
            <w:noProof/>
            <w:webHidden/>
          </w:rPr>
          <w:fldChar w:fldCharType="begin"/>
        </w:r>
        <w:r>
          <w:rPr>
            <w:noProof/>
            <w:webHidden/>
          </w:rPr>
          <w:instrText xml:space="preserve"> PAGEREF _Toc486436741 \h </w:instrText>
        </w:r>
        <w:r>
          <w:rPr>
            <w:noProof/>
            <w:webHidden/>
          </w:rPr>
        </w:r>
        <w:r>
          <w:rPr>
            <w:noProof/>
            <w:webHidden/>
          </w:rPr>
          <w:fldChar w:fldCharType="separate"/>
        </w:r>
        <w:r>
          <w:rPr>
            <w:noProof/>
            <w:webHidden/>
          </w:rPr>
          <w:t>3</w:t>
        </w:r>
        <w:r>
          <w:rPr>
            <w:noProof/>
            <w:webHidden/>
          </w:rPr>
          <w:fldChar w:fldCharType="end"/>
        </w:r>
      </w:hyperlink>
    </w:p>
    <w:p w:rsidR="0073489B" w:rsidRDefault="00A46D11">
      <w:pPr>
        <w:pStyle w:val="TOC1"/>
        <w:tabs>
          <w:tab w:val="right" w:leader="dot" w:pos="10456"/>
        </w:tabs>
        <w:rPr>
          <w:rFonts w:asciiTheme="minorHAnsi" w:eastAsiaTheme="minorEastAsia" w:hAnsiTheme="minorHAnsi" w:cstheme="minorBidi"/>
          <w:noProof/>
          <w:sz w:val="22"/>
          <w:lang w:eastAsia="en-GB"/>
        </w:rPr>
      </w:pPr>
      <w:hyperlink w:anchor="_Toc486436742" w:history="1">
        <w:r>
          <w:rPr>
            <w:rStyle w:val="Hyperlink"/>
            <w:noProof/>
          </w:rPr>
          <w:t>II. OVERVIEW TABLE</w:t>
        </w:r>
        <w:r>
          <w:rPr>
            <w:noProof/>
            <w:webHidden/>
          </w:rPr>
          <w:tab/>
        </w:r>
        <w:r>
          <w:rPr>
            <w:noProof/>
            <w:webHidden/>
          </w:rPr>
          <w:fldChar w:fldCharType="begin"/>
        </w:r>
        <w:r>
          <w:rPr>
            <w:noProof/>
            <w:webHidden/>
          </w:rPr>
          <w:instrText xml:space="preserve"> PAGEREF _Toc486436742 \h </w:instrText>
        </w:r>
        <w:r>
          <w:rPr>
            <w:noProof/>
            <w:webHidden/>
          </w:rPr>
        </w:r>
        <w:r>
          <w:rPr>
            <w:noProof/>
            <w:webHidden/>
          </w:rPr>
          <w:fldChar w:fldCharType="separate"/>
        </w:r>
        <w:r>
          <w:rPr>
            <w:noProof/>
            <w:webHidden/>
          </w:rPr>
          <w:t>4</w:t>
        </w:r>
        <w:r>
          <w:rPr>
            <w:noProof/>
            <w:webHidden/>
          </w:rPr>
          <w:fldChar w:fldCharType="end"/>
        </w:r>
      </w:hyperlink>
    </w:p>
    <w:p w:rsidR="0073489B" w:rsidRDefault="00A46D11">
      <w:pPr>
        <w:pStyle w:val="TOC1"/>
        <w:tabs>
          <w:tab w:val="right" w:leader="dot" w:pos="10456"/>
        </w:tabs>
        <w:rPr>
          <w:rFonts w:asciiTheme="minorHAnsi" w:eastAsiaTheme="minorEastAsia" w:hAnsiTheme="minorHAnsi" w:cstheme="minorBidi"/>
          <w:noProof/>
          <w:sz w:val="22"/>
          <w:lang w:eastAsia="en-GB"/>
        </w:rPr>
      </w:pPr>
      <w:hyperlink w:anchor="_Toc486436743" w:history="1">
        <w:r>
          <w:rPr>
            <w:rStyle w:val="Hyperlink"/>
            <w:noProof/>
          </w:rPr>
          <w:t>III. INFORMATION ON FINANCIAL INSTRUMENTS according to Article 140.8 of the Financial Regulation</w:t>
        </w:r>
        <w:r>
          <w:rPr>
            <w:noProof/>
            <w:webHidden/>
          </w:rPr>
          <w:tab/>
        </w:r>
        <w:r>
          <w:rPr>
            <w:noProof/>
            <w:webHidden/>
          </w:rPr>
          <w:fldChar w:fldCharType="begin"/>
        </w:r>
        <w:r>
          <w:rPr>
            <w:noProof/>
            <w:webHidden/>
          </w:rPr>
          <w:instrText xml:space="preserve"> PAGEREF _Toc486436743 \h </w:instrText>
        </w:r>
        <w:r>
          <w:rPr>
            <w:noProof/>
            <w:webHidden/>
          </w:rPr>
        </w:r>
        <w:r>
          <w:rPr>
            <w:noProof/>
            <w:webHidden/>
          </w:rPr>
          <w:fldChar w:fldCharType="separate"/>
        </w:r>
        <w:r>
          <w:rPr>
            <w:noProof/>
            <w:webHidden/>
          </w:rPr>
          <w:t>12</w:t>
        </w:r>
        <w:r>
          <w:rPr>
            <w:noProof/>
            <w:webHidden/>
          </w:rPr>
          <w:fldChar w:fldCharType="end"/>
        </w:r>
      </w:hyperlink>
    </w:p>
    <w:p w:rsidR="0073489B" w:rsidRDefault="00A46D11">
      <w:pPr>
        <w:pStyle w:val="TOC2"/>
        <w:tabs>
          <w:tab w:val="left" w:pos="720"/>
          <w:tab w:val="right" w:leader="dot" w:pos="10456"/>
        </w:tabs>
        <w:rPr>
          <w:rFonts w:asciiTheme="minorHAnsi" w:eastAsiaTheme="minorEastAsia" w:hAnsiTheme="minorHAnsi" w:cstheme="minorBidi"/>
          <w:noProof/>
          <w:sz w:val="22"/>
          <w:lang w:eastAsia="en-GB"/>
        </w:rPr>
      </w:pPr>
      <w:hyperlink w:anchor="_Toc486436744" w:history="1">
        <w:r>
          <w:rPr>
            <w:rStyle w:val="Hyperlink"/>
            <w:noProof/>
          </w:rPr>
          <w:t>1.</w:t>
        </w:r>
        <w:r>
          <w:rPr>
            <w:rFonts w:asciiTheme="minorHAnsi" w:eastAsiaTheme="minorEastAsia" w:hAnsiTheme="minorHAnsi" w:cstheme="minorBidi"/>
            <w:noProof/>
            <w:sz w:val="22"/>
            <w:lang w:eastAsia="en-GB"/>
          </w:rPr>
          <w:tab/>
        </w:r>
        <w:r>
          <w:rPr>
            <w:rStyle w:val="Hyperlink"/>
            <w:noProof/>
          </w:rPr>
          <w:t>Equity Instruments</w:t>
        </w:r>
        <w:r>
          <w:rPr>
            <w:noProof/>
            <w:webHidden/>
          </w:rPr>
          <w:tab/>
        </w:r>
        <w:r>
          <w:rPr>
            <w:noProof/>
            <w:webHidden/>
          </w:rPr>
          <w:fldChar w:fldCharType="begin"/>
        </w:r>
        <w:r>
          <w:rPr>
            <w:noProof/>
            <w:webHidden/>
          </w:rPr>
          <w:instrText xml:space="preserve"> PAGEREF _Toc486436744 \h </w:instrText>
        </w:r>
        <w:r>
          <w:rPr>
            <w:noProof/>
            <w:webHidden/>
          </w:rPr>
        </w:r>
        <w:r>
          <w:rPr>
            <w:noProof/>
            <w:webHidden/>
          </w:rPr>
          <w:fldChar w:fldCharType="separate"/>
        </w:r>
        <w:r>
          <w:rPr>
            <w:noProof/>
            <w:webHidden/>
          </w:rPr>
          <w:t>12</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45" w:history="1">
        <w:r>
          <w:rPr>
            <w:rStyle w:val="Hyperlink"/>
            <w:noProof/>
          </w:rPr>
          <w:t>1.1.</w:t>
        </w:r>
        <w:r>
          <w:rPr>
            <w:rFonts w:asciiTheme="minorHAnsi" w:eastAsiaTheme="minorEastAsia" w:hAnsiTheme="minorHAnsi" w:cstheme="minorBidi"/>
            <w:noProof/>
            <w:sz w:val="22"/>
            <w:lang w:eastAsia="en-GB"/>
          </w:rPr>
          <w:tab/>
        </w:r>
        <w:r>
          <w:rPr>
            <w:rStyle w:val="Hyperlink"/>
            <w:noProof/>
          </w:rPr>
          <w:t>T</w:t>
        </w:r>
        <w:r>
          <w:rPr>
            <w:rStyle w:val="Hyperlink"/>
            <w:noProof/>
          </w:rPr>
          <w:t>he High Growth and Innovative SME Facility (GIF) under the Competitiveness and Innovation Framework Programme (CIP)</w:t>
        </w:r>
        <w:r>
          <w:rPr>
            <w:noProof/>
            <w:webHidden/>
          </w:rPr>
          <w:tab/>
        </w:r>
        <w:r>
          <w:rPr>
            <w:noProof/>
            <w:webHidden/>
          </w:rPr>
          <w:fldChar w:fldCharType="begin"/>
        </w:r>
        <w:r>
          <w:rPr>
            <w:noProof/>
            <w:webHidden/>
          </w:rPr>
          <w:instrText xml:space="preserve"> PAGEREF _Toc486436745 \h </w:instrText>
        </w:r>
        <w:r>
          <w:rPr>
            <w:noProof/>
            <w:webHidden/>
          </w:rPr>
        </w:r>
        <w:r>
          <w:rPr>
            <w:noProof/>
            <w:webHidden/>
          </w:rPr>
          <w:fldChar w:fldCharType="separate"/>
        </w:r>
        <w:r>
          <w:rPr>
            <w:noProof/>
            <w:webHidden/>
          </w:rPr>
          <w:t>12</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46" w:history="1">
        <w:r>
          <w:rPr>
            <w:rStyle w:val="Hyperlink"/>
            <w:noProof/>
          </w:rPr>
          <w:t>1.2.</w:t>
        </w:r>
        <w:r>
          <w:rPr>
            <w:rFonts w:asciiTheme="minorHAnsi" w:eastAsiaTheme="minorEastAsia" w:hAnsiTheme="minorHAnsi" w:cstheme="minorBidi"/>
            <w:noProof/>
            <w:sz w:val="22"/>
            <w:lang w:eastAsia="en-GB"/>
          </w:rPr>
          <w:tab/>
        </w:r>
        <w:r>
          <w:rPr>
            <w:rStyle w:val="Hyperlink"/>
            <w:noProof/>
          </w:rPr>
          <w:t>The C</w:t>
        </w:r>
        <w:r>
          <w:rPr>
            <w:rStyle w:val="Hyperlink"/>
            <w:noProof/>
          </w:rPr>
          <w:t>onnecting Europe Facility (CEF) Equity Instrument</w:t>
        </w:r>
        <w:r>
          <w:rPr>
            <w:noProof/>
            <w:webHidden/>
          </w:rPr>
          <w:tab/>
        </w:r>
        <w:r>
          <w:rPr>
            <w:noProof/>
            <w:webHidden/>
          </w:rPr>
          <w:fldChar w:fldCharType="begin"/>
        </w:r>
        <w:r>
          <w:rPr>
            <w:noProof/>
            <w:webHidden/>
          </w:rPr>
          <w:instrText xml:space="preserve"> PAGEREF _Toc486436746 \h </w:instrText>
        </w:r>
        <w:r>
          <w:rPr>
            <w:noProof/>
            <w:webHidden/>
          </w:rPr>
        </w:r>
        <w:r>
          <w:rPr>
            <w:noProof/>
            <w:webHidden/>
          </w:rPr>
          <w:fldChar w:fldCharType="separate"/>
        </w:r>
        <w:r>
          <w:rPr>
            <w:noProof/>
            <w:webHidden/>
          </w:rPr>
          <w:t>20</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47" w:history="1">
        <w:r>
          <w:rPr>
            <w:rStyle w:val="Hyperlink"/>
            <w:noProof/>
          </w:rPr>
          <w:t>1.3.</w:t>
        </w:r>
        <w:r>
          <w:rPr>
            <w:rFonts w:asciiTheme="minorHAnsi" w:eastAsiaTheme="minorEastAsia" w:hAnsiTheme="minorHAnsi" w:cstheme="minorBidi"/>
            <w:noProof/>
            <w:sz w:val="22"/>
            <w:lang w:eastAsia="en-GB"/>
          </w:rPr>
          <w:tab/>
        </w:r>
        <w:r>
          <w:rPr>
            <w:rStyle w:val="Hyperlink"/>
            <w:noProof/>
          </w:rPr>
          <w:t>Equity Facility for Growth under COSME</w:t>
        </w:r>
        <w:r>
          <w:rPr>
            <w:noProof/>
            <w:webHidden/>
          </w:rPr>
          <w:tab/>
        </w:r>
        <w:r>
          <w:rPr>
            <w:noProof/>
            <w:webHidden/>
          </w:rPr>
          <w:fldChar w:fldCharType="begin"/>
        </w:r>
        <w:r>
          <w:rPr>
            <w:noProof/>
            <w:webHidden/>
          </w:rPr>
          <w:instrText xml:space="preserve"> PAGEREF _Toc486436747 \h </w:instrText>
        </w:r>
        <w:r>
          <w:rPr>
            <w:noProof/>
            <w:webHidden/>
          </w:rPr>
        </w:r>
        <w:r>
          <w:rPr>
            <w:noProof/>
            <w:webHidden/>
          </w:rPr>
          <w:fldChar w:fldCharType="separate"/>
        </w:r>
        <w:r>
          <w:rPr>
            <w:noProof/>
            <w:webHidden/>
          </w:rPr>
          <w:t>23</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48" w:history="1">
        <w:r>
          <w:rPr>
            <w:rStyle w:val="Hyperlink"/>
            <w:noProof/>
          </w:rPr>
          <w:t>1.4.</w:t>
        </w:r>
        <w:r>
          <w:rPr>
            <w:rFonts w:asciiTheme="minorHAnsi" w:eastAsiaTheme="minorEastAsia" w:hAnsiTheme="minorHAnsi" w:cstheme="minorBidi"/>
            <w:noProof/>
            <w:sz w:val="22"/>
            <w:lang w:eastAsia="en-GB"/>
          </w:rPr>
          <w:tab/>
        </w:r>
        <w:r>
          <w:rPr>
            <w:rStyle w:val="Hyperlink"/>
            <w:noProof/>
          </w:rPr>
          <w:t>Equity Facility (early-stage capital) for Research and Innovation of Horizon 2020 (InnovFin Equity)</w:t>
        </w:r>
        <w:r>
          <w:rPr>
            <w:noProof/>
            <w:webHidden/>
          </w:rPr>
          <w:tab/>
        </w:r>
        <w:r>
          <w:rPr>
            <w:noProof/>
            <w:webHidden/>
          </w:rPr>
          <w:fldChar w:fldCharType="begin"/>
        </w:r>
        <w:r>
          <w:rPr>
            <w:noProof/>
            <w:webHidden/>
          </w:rPr>
          <w:instrText xml:space="preserve"> PAGEREF _Toc486436748 \h </w:instrText>
        </w:r>
        <w:r>
          <w:rPr>
            <w:noProof/>
            <w:webHidden/>
          </w:rPr>
        </w:r>
        <w:r>
          <w:rPr>
            <w:noProof/>
            <w:webHidden/>
          </w:rPr>
          <w:fldChar w:fldCharType="separate"/>
        </w:r>
        <w:r>
          <w:rPr>
            <w:noProof/>
            <w:webHidden/>
          </w:rPr>
          <w:t>29</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49" w:history="1">
        <w:r>
          <w:rPr>
            <w:rStyle w:val="Hyperlink"/>
            <w:noProof/>
          </w:rPr>
          <w:t>1.5.</w:t>
        </w:r>
        <w:r>
          <w:rPr>
            <w:rFonts w:asciiTheme="minorHAnsi" w:eastAsiaTheme="minorEastAsia" w:hAnsiTheme="minorHAnsi" w:cstheme="minorBidi"/>
            <w:noProof/>
            <w:sz w:val="22"/>
            <w:lang w:eastAsia="en-GB"/>
          </w:rPr>
          <w:tab/>
        </w:r>
        <w:r>
          <w:rPr>
            <w:rStyle w:val="Hyperlink"/>
            <w:noProof/>
          </w:rPr>
          <w:t>EaSI Capacity Building Investments (EaSI CBI) – 2014 to 2020</w:t>
        </w:r>
        <w:r>
          <w:rPr>
            <w:noProof/>
            <w:webHidden/>
          </w:rPr>
          <w:tab/>
        </w:r>
        <w:r>
          <w:rPr>
            <w:noProof/>
            <w:webHidden/>
          </w:rPr>
          <w:fldChar w:fldCharType="begin"/>
        </w:r>
        <w:r>
          <w:rPr>
            <w:noProof/>
            <w:webHidden/>
          </w:rPr>
          <w:instrText xml:space="preserve"> PAGEREF _Toc486436749 \h </w:instrText>
        </w:r>
        <w:r>
          <w:rPr>
            <w:noProof/>
            <w:webHidden/>
          </w:rPr>
        </w:r>
        <w:r>
          <w:rPr>
            <w:noProof/>
            <w:webHidden/>
          </w:rPr>
          <w:fldChar w:fldCharType="separate"/>
        </w:r>
        <w:r>
          <w:rPr>
            <w:noProof/>
            <w:webHidden/>
          </w:rPr>
          <w:t>35</w:t>
        </w:r>
        <w:r>
          <w:rPr>
            <w:noProof/>
            <w:webHidden/>
          </w:rPr>
          <w:fldChar w:fldCharType="end"/>
        </w:r>
      </w:hyperlink>
    </w:p>
    <w:p w:rsidR="0073489B" w:rsidRDefault="00A46D11">
      <w:pPr>
        <w:pStyle w:val="TOC2"/>
        <w:tabs>
          <w:tab w:val="left" w:pos="720"/>
          <w:tab w:val="right" w:leader="dot" w:pos="10456"/>
        </w:tabs>
        <w:rPr>
          <w:rFonts w:asciiTheme="minorHAnsi" w:eastAsiaTheme="minorEastAsia" w:hAnsiTheme="minorHAnsi" w:cstheme="minorBidi"/>
          <w:noProof/>
          <w:sz w:val="22"/>
          <w:lang w:eastAsia="en-GB"/>
        </w:rPr>
      </w:pPr>
      <w:hyperlink w:anchor="_Toc486436750" w:history="1">
        <w:r>
          <w:rPr>
            <w:rStyle w:val="Hyperlink"/>
            <w:noProof/>
          </w:rPr>
          <w:t>2.</w:t>
        </w:r>
        <w:r>
          <w:rPr>
            <w:rFonts w:asciiTheme="minorHAnsi" w:eastAsiaTheme="minorEastAsia" w:hAnsiTheme="minorHAnsi" w:cstheme="minorBidi"/>
            <w:noProof/>
            <w:sz w:val="22"/>
            <w:lang w:eastAsia="en-GB"/>
          </w:rPr>
          <w:tab/>
        </w:r>
        <w:r>
          <w:rPr>
            <w:rStyle w:val="Hyperlink"/>
            <w:noProof/>
          </w:rPr>
          <w:t>Guarantee Instruments</w:t>
        </w:r>
        <w:r>
          <w:rPr>
            <w:noProof/>
            <w:webHidden/>
          </w:rPr>
          <w:tab/>
        </w:r>
        <w:r>
          <w:rPr>
            <w:noProof/>
            <w:webHidden/>
          </w:rPr>
          <w:fldChar w:fldCharType="begin"/>
        </w:r>
        <w:r>
          <w:rPr>
            <w:noProof/>
            <w:webHidden/>
          </w:rPr>
          <w:instrText xml:space="preserve"> PAGEREF _Toc486436750 \h </w:instrText>
        </w:r>
        <w:r>
          <w:rPr>
            <w:noProof/>
            <w:webHidden/>
          </w:rPr>
        </w:r>
        <w:r>
          <w:rPr>
            <w:noProof/>
            <w:webHidden/>
          </w:rPr>
          <w:fldChar w:fldCharType="separate"/>
        </w:r>
        <w:r>
          <w:rPr>
            <w:noProof/>
            <w:webHidden/>
          </w:rPr>
          <w:t>39</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1" w:history="1">
        <w:r>
          <w:rPr>
            <w:rStyle w:val="Hyperlink"/>
            <w:noProof/>
          </w:rPr>
          <w:t>2.1.</w:t>
        </w:r>
        <w:r>
          <w:rPr>
            <w:rFonts w:asciiTheme="minorHAnsi" w:eastAsiaTheme="minorEastAsia" w:hAnsiTheme="minorHAnsi" w:cstheme="minorBidi"/>
            <w:noProof/>
            <w:sz w:val="22"/>
            <w:lang w:eastAsia="en-GB"/>
          </w:rPr>
          <w:tab/>
        </w:r>
        <w:r>
          <w:rPr>
            <w:rStyle w:val="Hyperlink"/>
            <w:noProof/>
          </w:rPr>
          <w:t>The SME Guarantee Facility (SMEG07) under the Competitivene</w:t>
        </w:r>
        <w:r>
          <w:rPr>
            <w:rStyle w:val="Hyperlink"/>
            <w:noProof/>
          </w:rPr>
          <w:t>ss and Innovation Framework Programme (CIP)</w:t>
        </w:r>
        <w:r>
          <w:rPr>
            <w:noProof/>
            <w:webHidden/>
          </w:rPr>
          <w:tab/>
        </w:r>
        <w:r>
          <w:rPr>
            <w:noProof/>
            <w:webHidden/>
          </w:rPr>
          <w:fldChar w:fldCharType="begin"/>
        </w:r>
        <w:r>
          <w:rPr>
            <w:noProof/>
            <w:webHidden/>
          </w:rPr>
          <w:instrText xml:space="preserve"> PAGEREF _Toc486436751 \h </w:instrText>
        </w:r>
        <w:r>
          <w:rPr>
            <w:noProof/>
            <w:webHidden/>
          </w:rPr>
        </w:r>
        <w:r>
          <w:rPr>
            <w:noProof/>
            <w:webHidden/>
          </w:rPr>
          <w:fldChar w:fldCharType="separate"/>
        </w:r>
        <w:r>
          <w:rPr>
            <w:noProof/>
            <w:webHidden/>
          </w:rPr>
          <w:t>39</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2" w:history="1">
        <w:r>
          <w:rPr>
            <w:rStyle w:val="Hyperlink"/>
            <w:noProof/>
          </w:rPr>
          <w:t>2.2.</w:t>
        </w:r>
        <w:r>
          <w:rPr>
            <w:rFonts w:asciiTheme="minorHAnsi" w:eastAsiaTheme="minorEastAsia" w:hAnsiTheme="minorHAnsi" w:cstheme="minorBidi"/>
            <w:noProof/>
            <w:sz w:val="22"/>
            <w:lang w:eastAsia="en-GB"/>
          </w:rPr>
          <w:tab/>
        </w:r>
        <w:r>
          <w:rPr>
            <w:rStyle w:val="Hyperlink"/>
            <w:noProof/>
          </w:rPr>
          <w:t>European Progress Microfinance Guarantee Facility (EPMF – G)</w:t>
        </w:r>
        <w:r>
          <w:rPr>
            <w:noProof/>
            <w:webHidden/>
          </w:rPr>
          <w:tab/>
        </w:r>
        <w:r>
          <w:rPr>
            <w:noProof/>
            <w:webHidden/>
          </w:rPr>
          <w:fldChar w:fldCharType="begin"/>
        </w:r>
        <w:r>
          <w:rPr>
            <w:noProof/>
            <w:webHidden/>
          </w:rPr>
          <w:instrText xml:space="preserve"> PAGEREF _Toc486436752 \h </w:instrText>
        </w:r>
        <w:r>
          <w:rPr>
            <w:noProof/>
            <w:webHidden/>
          </w:rPr>
        </w:r>
        <w:r>
          <w:rPr>
            <w:noProof/>
            <w:webHidden/>
          </w:rPr>
          <w:fldChar w:fldCharType="separate"/>
        </w:r>
        <w:r>
          <w:rPr>
            <w:noProof/>
            <w:webHidden/>
          </w:rPr>
          <w:t>47</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3" w:history="1">
        <w:r>
          <w:rPr>
            <w:rStyle w:val="Hyperlink"/>
            <w:noProof/>
          </w:rPr>
          <w:t>2.3.</w:t>
        </w:r>
        <w:r>
          <w:rPr>
            <w:rFonts w:asciiTheme="minorHAnsi" w:eastAsiaTheme="minorEastAsia" w:hAnsiTheme="minorHAnsi" w:cstheme="minorBidi"/>
            <w:noProof/>
            <w:sz w:val="22"/>
            <w:lang w:eastAsia="en-GB"/>
          </w:rPr>
          <w:tab/>
        </w:r>
        <w:r>
          <w:rPr>
            <w:rStyle w:val="Hyperlink"/>
            <w:noProof/>
          </w:rPr>
          <w:t>EaSI Microfinance and Social Entrepreneurship</w:t>
        </w:r>
        <w:r>
          <w:rPr>
            <w:noProof/>
            <w:webHidden/>
          </w:rPr>
          <w:tab/>
        </w:r>
        <w:r>
          <w:rPr>
            <w:noProof/>
            <w:webHidden/>
          </w:rPr>
          <w:fldChar w:fldCharType="begin"/>
        </w:r>
        <w:r>
          <w:rPr>
            <w:noProof/>
            <w:webHidden/>
          </w:rPr>
          <w:instrText xml:space="preserve"> PAGEREF _Toc486436753 \h </w:instrText>
        </w:r>
        <w:r>
          <w:rPr>
            <w:noProof/>
            <w:webHidden/>
          </w:rPr>
        </w:r>
        <w:r>
          <w:rPr>
            <w:noProof/>
            <w:webHidden/>
          </w:rPr>
          <w:fldChar w:fldCharType="separate"/>
        </w:r>
        <w:r>
          <w:rPr>
            <w:noProof/>
            <w:webHidden/>
          </w:rPr>
          <w:t>53</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4" w:history="1">
        <w:r>
          <w:rPr>
            <w:rStyle w:val="Hyperlink"/>
            <w:noProof/>
          </w:rPr>
          <w:t>2.4.</w:t>
        </w:r>
        <w:r>
          <w:rPr>
            <w:rFonts w:asciiTheme="minorHAnsi" w:eastAsiaTheme="minorEastAsia" w:hAnsiTheme="minorHAnsi" w:cstheme="minorBidi"/>
            <w:noProof/>
            <w:sz w:val="22"/>
            <w:lang w:eastAsia="en-GB"/>
          </w:rPr>
          <w:tab/>
        </w:r>
        <w:r>
          <w:rPr>
            <w:rStyle w:val="Hyperlink"/>
            <w:noProof/>
          </w:rPr>
          <w:t>Loan Guarantee Facility under COSME</w:t>
        </w:r>
        <w:r>
          <w:rPr>
            <w:noProof/>
            <w:webHidden/>
          </w:rPr>
          <w:tab/>
        </w:r>
        <w:r>
          <w:rPr>
            <w:noProof/>
            <w:webHidden/>
          </w:rPr>
          <w:fldChar w:fldCharType="begin"/>
        </w:r>
        <w:r>
          <w:rPr>
            <w:noProof/>
            <w:webHidden/>
          </w:rPr>
          <w:instrText xml:space="preserve"> PAGEREF _Toc486436754 \h </w:instrText>
        </w:r>
        <w:r>
          <w:rPr>
            <w:noProof/>
            <w:webHidden/>
          </w:rPr>
        </w:r>
        <w:r>
          <w:rPr>
            <w:noProof/>
            <w:webHidden/>
          </w:rPr>
          <w:fldChar w:fldCharType="separate"/>
        </w:r>
        <w:r>
          <w:rPr>
            <w:noProof/>
            <w:webHidden/>
          </w:rPr>
          <w:t>61</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5" w:history="1">
        <w:r>
          <w:rPr>
            <w:rStyle w:val="Hyperlink"/>
            <w:noProof/>
          </w:rPr>
          <w:t>2.5.</w:t>
        </w:r>
        <w:r>
          <w:rPr>
            <w:rFonts w:asciiTheme="minorHAnsi" w:eastAsiaTheme="minorEastAsia" w:hAnsiTheme="minorHAnsi" w:cstheme="minorBidi"/>
            <w:noProof/>
            <w:sz w:val="22"/>
            <w:lang w:eastAsia="en-GB"/>
          </w:rPr>
          <w:tab/>
        </w:r>
        <w:r>
          <w:rPr>
            <w:rStyle w:val="Hyperlink"/>
            <w:noProof/>
          </w:rPr>
          <w:t>RSI (Pilot guarantee facili</w:t>
        </w:r>
        <w:r>
          <w:rPr>
            <w:rStyle w:val="Hyperlink"/>
            <w:noProof/>
          </w:rPr>
          <w:t>ty for R&amp;I-driven SMEs and Small Midcaps) under FP7</w:t>
        </w:r>
        <w:r>
          <w:rPr>
            <w:noProof/>
            <w:webHidden/>
          </w:rPr>
          <w:tab/>
        </w:r>
        <w:r>
          <w:rPr>
            <w:noProof/>
            <w:webHidden/>
          </w:rPr>
          <w:fldChar w:fldCharType="begin"/>
        </w:r>
        <w:r>
          <w:rPr>
            <w:noProof/>
            <w:webHidden/>
          </w:rPr>
          <w:instrText xml:space="preserve"> PAGEREF _Toc486436755 \h </w:instrText>
        </w:r>
        <w:r>
          <w:rPr>
            <w:noProof/>
            <w:webHidden/>
          </w:rPr>
        </w:r>
        <w:r>
          <w:rPr>
            <w:noProof/>
            <w:webHidden/>
          </w:rPr>
          <w:fldChar w:fldCharType="separate"/>
        </w:r>
        <w:r>
          <w:rPr>
            <w:noProof/>
            <w:webHidden/>
          </w:rPr>
          <w:t>68</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6" w:history="1">
        <w:r>
          <w:rPr>
            <w:rStyle w:val="Hyperlink"/>
            <w:noProof/>
          </w:rPr>
          <w:t>2.6.</w:t>
        </w:r>
        <w:r>
          <w:rPr>
            <w:rFonts w:asciiTheme="minorHAnsi" w:eastAsiaTheme="minorEastAsia" w:hAnsiTheme="minorHAnsi" w:cstheme="minorBidi"/>
            <w:noProof/>
            <w:sz w:val="22"/>
            <w:lang w:eastAsia="en-GB"/>
          </w:rPr>
          <w:tab/>
        </w:r>
        <w:r>
          <w:rPr>
            <w:rStyle w:val="Hyperlink"/>
            <w:noProof/>
          </w:rPr>
          <w:t>SMEs &amp; Small Midcaps R&amp;I Loans Service under Horizon 2020 (Innovfin S</w:t>
        </w:r>
        <w:r>
          <w:rPr>
            <w:rStyle w:val="Hyperlink"/>
            <w:noProof/>
          </w:rPr>
          <w:t>ME Guarantee)</w:t>
        </w:r>
        <w:r>
          <w:rPr>
            <w:noProof/>
            <w:webHidden/>
          </w:rPr>
          <w:tab/>
        </w:r>
        <w:r>
          <w:rPr>
            <w:noProof/>
            <w:webHidden/>
          </w:rPr>
          <w:fldChar w:fldCharType="begin"/>
        </w:r>
        <w:r>
          <w:rPr>
            <w:noProof/>
            <w:webHidden/>
          </w:rPr>
          <w:instrText xml:space="preserve"> PAGEREF _Toc486436756 \h </w:instrText>
        </w:r>
        <w:r>
          <w:rPr>
            <w:noProof/>
            <w:webHidden/>
          </w:rPr>
        </w:r>
        <w:r>
          <w:rPr>
            <w:noProof/>
            <w:webHidden/>
          </w:rPr>
          <w:fldChar w:fldCharType="separate"/>
        </w:r>
        <w:r>
          <w:rPr>
            <w:noProof/>
            <w:webHidden/>
          </w:rPr>
          <w:t>72</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7" w:history="1">
        <w:r>
          <w:rPr>
            <w:rStyle w:val="Hyperlink"/>
            <w:noProof/>
          </w:rPr>
          <w:t>2.7.</w:t>
        </w:r>
        <w:r>
          <w:rPr>
            <w:rFonts w:asciiTheme="minorHAnsi" w:eastAsiaTheme="minorEastAsia" w:hAnsiTheme="minorHAnsi" w:cstheme="minorBidi"/>
            <w:noProof/>
            <w:sz w:val="22"/>
            <w:lang w:eastAsia="en-GB"/>
          </w:rPr>
          <w:tab/>
        </w:r>
        <w:r>
          <w:rPr>
            <w:rStyle w:val="Hyperlink"/>
            <w:noProof/>
          </w:rPr>
          <w:t>The Cultural and Creative Sectors Guarantee Facility</w:t>
        </w:r>
        <w:r>
          <w:rPr>
            <w:noProof/>
            <w:webHidden/>
          </w:rPr>
          <w:tab/>
        </w:r>
        <w:r>
          <w:rPr>
            <w:noProof/>
            <w:webHidden/>
          </w:rPr>
          <w:fldChar w:fldCharType="begin"/>
        </w:r>
        <w:r>
          <w:rPr>
            <w:noProof/>
            <w:webHidden/>
          </w:rPr>
          <w:instrText xml:space="preserve"> PAGEREF _Toc486436757 \h </w:instrText>
        </w:r>
        <w:r>
          <w:rPr>
            <w:noProof/>
            <w:webHidden/>
          </w:rPr>
        </w:r>
        <w:r>
          <w:rPr>
            <w:noProof/>
            <w:webHidden/>
          </w:rPr>
          <w:fldChar w:fldCharType="separate"/>
        </w:r>
        <w:r>
          <w:rPr>
            <w:noProof/>
            <w:webHidden/>
          </w:rPr>
          <w:t>79</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8" w:history="1">
        <w:r>
          <w:rPr>
            <w:rStyle w:val="Hyperlink"/>
            <w:noProof/>
          </w:rPr>
          <w:t>2.8.</w:t>
        </w:r>
        <w:r>
          <w:rPr>
            <w:rFonts w:asciiTheme="minorHAnsi" w:eastAsiaTheme="minorEastAsia" w:hAnsiTheme="minorHAnsi" w:cstheme="minorBidi"/>
            <w:noProof/>
            <w:sz w:val="22"/>
            <w:lang w:eastAsia="en-GB"/>
          </w:rPr>
          <w:tab/>
        </w:r>
        <w:r>
          <w:rPr>
            <w:rStyle w:val="Hyperlink"/>
            <w:noProof/>
          </w:rPr>
          <w:t>Student Loan Guarantee Facility - ERASMUS+</w:t>
        </w:r>
        <w:r>
          <w:rPr>
            <w:noProof/>
            <w:webHidden/>
          </w:rPr>
          <w:tab/>
        </w:r>
        <w:r>
          <w:rPr>
            <w:noProof/>
            <w:webHidden/>
          </w:rPr>
          <w:fldChar w:fldCharType="begin"/>
        </w:r>
        <w:r>
          <w:rPr>
            <w:noProof/>
            <w:webHidden/>
          </w:rPr>
          <w:instrText xml:space="preserve"> PAGEREF _Toc486436758 \h </w:instrText>
        </w:r>
        <w:r>
          <w:rPr>
            <w:noProof/>
            <w:webHidden/>
          </w:rPr>
        </w:r>
        <w:r>
          <w:rPr>
            <w:noProof/>
            <w:webHidden/>
          </w:rPr>
          <w:fldChar w:fldCharType="separate"/>
        </w:r>
        <w:r>
          <w:rPr>
            <w:noProof/>
            <w:webHidden/>
          </w:rPr>
          <w:t>83</w:t>
        </w:r>
        <w:r>
          <w:rPr>
            <w:noProof/>
            <w:webHidden/>
          </w:rPr>
          <w:fldChar w:fldCharType="end"/>
        </w:r>
      </w:hyperlink>
    </w:p>
    <w:p w:rsidR="0073489B" w:rsidRDefault="00A46D11">
      <w:pPr>
        <w:pStyle w:val="TOC3"/>
        <w:tabs>
          <w:tab w:val="left" w:pos="1100"/>
          <w:tab w:val="right" w:leader="dot" w:pos="10456"/>
        </w:tabs>
        <w:rPr>
          <w:rFonts w:asciiTheme="minorHAnsi" w:eastAsiaTheme="minorEastAsia" w:hAnsiTheme="minorHAnsi" w:cstheme="minorBidi"/>
          <w:noProof/>
          <w:sz w:val="22"/>
          <w:lang w:eastAsia="en-GB"/>
        </w:rPr>
      </w:pPr>
      <w:hyperlink w:anchor="_Toc486436759" w:history="1">
        <w:r>
          <w:rPr>
            <w:rStyle w:val="Hyperlink"/>
            <w:noProof/>
          </w:rPr>
          <w:t>2.9.</w:t>
        </w:r>
        <w:r>
          <w:rPr>
            <w:rFonts w:asciiTheme="minorHAnsi" w:eastAsiaTheme="minorEastAsia" w:hAnsiTheme="minorHAnsi" w:cstheme="minorBidi"/>
            <w:noProof/>
            <w:sz w:val="22"/>
            <w:lang w:eastAsia="en-GB"/>
          </w:rPr>
          <w:tab/>
        </w:r>
        <w:r>
          <w:rPr>
            <w:rStyle w:val="Hyperlink"/>
            <w:noProof/>
          </w:rPr>
          <w:t>Private Finance for Energy Efficiency Instruments (PF4EE)</w:t>
        </w:r>
        <w:r>
          <w:rPr>
            <w:noProof/>
            <w:webHidden/>
          </w:rPr>
          <w:tab/>
        </w:r>
        <w:r>
          <w:rPr>
            <w:noProof/>
            <w:webHidden/>
          </w:rPr>
          <w:fldChar w:fldCharType="begin"/>
        </w:r>
        <w:r>
          <w:rPr>
            <w:noProof/>
            <w:webHidden/>
          </w:rPr>
          <w:instrText xml:space="preserve"> PAGEREF _Toc486436759 \h </w:instrText>
        </w:r>
        <w:r>
          <w:rPr>
            <w:noProof/>
            <w:webHidden/>
          </w:rPr>
        </w:r>
        <w:r>
          <w:rPr>
            <w:noProof/>
            <w:webHidden/>
          </w:rPr>
          <w:fldChar w:fldCharType="separate"/>
        </w:r>
        <w:r>
          <w:rPr>
            <w:noProof/>
            <w:webHidden/>
          </w:rPr>
          <w:t>88</w:t>
        </w:r>
        <w:r>
          <w:rPr>
            <w:noProof/>
            <w:webHidden/>
          </w:rPr>
          <w:fldChar w:fldCharType="end"/>
        </w:r>
      </w:hyperlink>
    </w:p>
    <w:p w:rsidR="0073489B" w:rsidRDefault="00A46D11">
      <w:pPr>
        <w:rPr>
          <w:noProof/>
        </w:rPr>
      </w:pPr>
      <w:r>
        <w:rPr>
          <w:b/>
          <w:bCs/>
          <w:noProof/>
        </w:rPr>
        <w:fldChar w:fldCharType="end"/>
      </w:r>
    </w:p>
    <w:p w:rsidR="0073489B" w:rsidRDefault="00A46D11">
      <w:pPr>
        <w:pStyle w:val="Heading1"/>
        <w:spacing w:before="120" w:after="120"/>
        <w:rPr>
          <w:noProof/>
          <w:color w:val="auto"/>
        </w:rPr>
      </w:pPr>
      <w:r>
        <w:rPr>
          <w:noProof/>
          <w:color w:val="auto"/>
        </w:rPr>
        <w:br w:type="page"/>
      </w:r>
      <w:bookmarkStart w:id="2" w:name="_Toc393281906"/>
      <w:bookmarkStart w:id="3" w:name="_Toc486436741"/>
      <w:r>
        <w:rPr>
          <w:noProof/>
          <w:color w:val="auto"/>
        </w:rPr>
        <w:lastRenderedPageBreak/>
        <w:t>I. INTRODUCTION</w:t>
      </w:r>
      <w:bookmarkEnd w:id="2"/>
      <w:bookmarkEnd w:id="3"/>
      <w:r>
        <w:rPr>
          <w:noProof/>
          <w:color w:val="auto"/>
        </w:rPr>
        <w:t xml:space="preserve"> </w:t>
      </w:r>
    </w:p>
    <w:p w:rsidR="0073489B" w:rsidRDefault="00A46D11">
      <w:pPr>
        <w:spacing w:before="100" w:beforeAutospacing="1" w:after="100" w:afterAutospacing="1" w:line="276" w:lineRule="auto"/>
        <w:jc w:val="both"/>
        <w:rPr>
          <w:rFonts w:eastAsia="Times New Roman"/>
          <w:noProof/>
          <w:szCs w:val="24"/>
        </w:rPr>
      </w:pPr>
      <w:bookmarkStart w:id="4" w:name="_Toc397954146"/>
      <w:bookmarkStart w:id="5" w:name="_Toc387229284"/>
      <w:bookmarkStart w:id="6" w:name="_Toc388542046"/>
      <w:r>
        <w:rPr>
          <w:rFonts w:eastAsia="Times New Roman"/>
          <w:noProof/>
          <w:szCs w:val="24"/>
        </w:rPr>
        <w:t>This Staff Working Document (SWD) accompanies the repor</w:t>
      </w:r>
      <w:r>
        <w:rPr>
          <w:rFonts w:eastAsia="Times New Roman"/>
          <w:noProof/>
          <w:szCs w:val="24"/>
        </w:rPr>
        <w:t>t of the Commission to the European Parliament and the Council on financial instruments supported by the general budget according to Article 140(8) of the Financial Regulation</w:t>
      </w:r>
      <w:r>
        <w:rPr>
          <w:rFonts w:eastAsia="Times New Roman"/>
          <w:noProof/>
          <w:szCs w:val="24"/>
          <w:vertAlign w:val="superscript"/>
        </w:rPr>
        <w:footnoteReference w:id="2"/>
      </w:r>
      <w:r>
        <w:rPr>
          <w:rFonts w:eastAsia="Times New Roman"/>
          <w:noProof/>
          <w:szCs w:val="24"/>
        </w:rPr>
        <w:t xml:space="preserve"> as at 31 December 2016. </w:t>
      </w:r>
    </w:p>
    <w:p w:rsidR="0073489B" w:rsidRDefault="00A46D11">
      <w:pPr>
        <w:spacing w:before="100" w:beforeAutospacing="1" w:after="100" w:afterAutospacing="1" w:line="276" w:lineRule="auto"/>
        <w:jc w:val="both"/>
        <w:rPr>
          <w:noProof/>
        </w:rPr>
      </w:pPr>
      <w:r>
        <w:rPr>
          <w:rFonts w:eastAsia="Times New Roman"/>
          <w:noProof/>
          <w:szCs w:val="24"/>
        </w:rPr>
        <w:t xml:space="preserve">The SWD provides, </w:t>
      </w:r>
      <w:r>
        <w:rPr>
          <w:noProof/>
        </w:rPr>
        <w:t xml:space="preserve">for each of the 35 financial instruments currently under direct or indirect management by the Commission, </w:t>
      </w:r>
      <w:r>
        <w:rPr>
          <w:rFonts w:eastAsia="Times New Roman"/>
          <w:noProof/>
          <w:szCs w:val="24"/>
        </w:rPr>
        <w:t xml:space="preserve">the </w:t>
      </w:r>
      <w:r>
        <w:rPr>
          <w:noProof/>
        </w:rPr>
        <w:t>detailed information required in points a) – l) of Article 140(8) of the Financial Regulation. This includes descriptive and quantitative informat</w:t>
      </w:r>
      <w:r>
        <w:rPr>
          <w:noProof/>
        </w:rPr>
        <w:t>ion on performance of financial instruments such as leverage, volume of financing supported and investments injected into the real economy, but also the Commssion's assessment of the contribution to the achivement of the objectives of the programme concern</w:t>
      </w:r>
      <w:r>
        <w:rPr>
          <w:noProof/>
        </w:rPr>
        <w:t xml:space="preserve">ed. </w:t>
      </w:r>
    </w:p>
    <w:p w:rsidR="0073489B" w:rsidRDefault="00A46D11">
      <w:pPr>
        <w:spacing w:before="100" w:beforeAutospacing="1" w:after="100" w:afterAutospacing="1" w:line="276" w:lineRule="auto"/>
        <w:jc w:val="both"/>
        <w:rPr>
          <w:noProof/>
        </w:rPr>
      </w:pPr>
      <w:r>
        <w:rPr>
          <w:noProof/>
        </w:rPr>
        <w:t>Moreover, in Annex A,  it contains analyses of the macro-financial context of potential final recipients and financial intermediaries, outlining general market developments in the supported policy areas and their implications for the financial ecosyst</w:t>
      </w:r>
      <w:r>
        <w:rPr>
          <w:noProof/>
        </w:rPr>
        <w:t xml:space="preserve">em, as well as information on market gaps and failures. In addition, Annex B maps out the three general strategic targets and the corresponding financial instruments. </w:t>
      </w:r>
    </w:p>
    <w:p w:rsidR="0073489B" w:rsidRDefault="00A46D11">
      <w:pPr>
        <w:spacing w:before="100" w:beforeAutospacing="1" w:after="100" w:afterAutospacing="1" w:line="276" w:lineRule="auto"/>
        <w:jc w:val="both"/>
        <w:rPr>
          <w:noProof/>
        </w:rPr>
      </w:pPr>
      <w:r>
        <w:rPr>
          <w:noProof/>
        </w:rPr>
        <w:t>The detailed information on each individual financial instrument is divided into four ch</w:t>
      </w:r>
      <w:r>
        <w:rPr>
          <w:noProof/>
        </w:rPr>
        <w:t>apters according to the different types of instruments: equity instruments, guarantee instruments, risk-sharing instruments and dedicated investment vehicles, complemented with two chapters dealing with instruments in the enlargement and neighbourhood coun</w:t>
      </w:r>
      <w:r>
        <w:rPr>
          <w:noProof/>
        </w:rPr>
        <w:t>tries and in countries covered by the Development Cooperation Instrument.</w:t>
      </w:r>
    </w:p>
    <w:p w:rsidR="0073489B" w:rsidRDefault="00A46D11">
      <w:pPr>
        <w:spacing w:before="100" w:beforeAutospacing="1" w:after="100" w:afterAutospacing="1" w:line="276" w:lineRule="auto"/>
        <w:jc w:val="both"/>
        <w:rPr>
          <w:noProof/>
        </w:rPr>
      </w:pPr>
      <w:r>
        <w:rPr>
          <w:noProof/>
        </w:rPr>
        <w:t>Finally, the SWD contains references and an acronym list.</w:t>
      </w:r>
    </w:p>
    <w:p w:rsidR="0073489B" w:rsidRDefault="0073489B">
      <w:pPr>
        <w:spacing w:after="60"/>
        <w:jc w:val="both"/>
        <w:rPr>
          <w:noProof/>
        </w:rPr>
      </w:pPr>
    </w:p>
    <w:p w:rsidR="0073489B" w:rsidRDefault="0073489B">
      <w:pPr>
        <w:spacing w:after="60"/>
        <w:rPr>
          <w:noProof/>
        </w:rPr>
        <w:sectPr w:rsidR="0073489B">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9" w:footer="709" w:gutter="0"/>
          <w:pgNumType w:start="2"/>
          <w:cols w:space="708"/>
          <w:docGrid w:linePitch="360"/>
        </w:sectPr>
      </w:pPr>
    </w:p>
    <w:p w:rsidR="0073489B" w:rsidRDefault="00A46D11">
      <w:pPr>
        <w:pStyle w:val="Heading1"/>
        <w:spacing w:line="360" w:lineRule="auto"/>
        <w:rPr>
          <w:noProof/>
          <w:color w:val="auto"/>
          <w:szCs w:val="24"/>
        </w:rPr>
      </w:pPr>
      <w:bookmarkStart w:id="7" w:name="_Toc393281907"/>
      <w:bookmarkStart w:id="8" w:name="_Toc486436742"/>
      <w:bookmarkEnd w:id="4"/>
      <w:bookmarkEnd w:id="5"/>
      <w:bookmarkEnd w:id="6"/>
      <w:r>
        <w:rPr>
          <w:noProof/>
          <w:color w:val="auto"/>
        </w:rPr>
        <w:lastRenderedPageBreak/>
        <w:t>II. OVERVIEW TABLE</w:t>
      </w:r>
      <w:bookmarkEnd w:id="7"/>
      <w:bookmarkEnd w:id="8"/>
    </w:p>
    <w:tbl>
      <w:tblPr>
        <w:tblW w:w="16632" w:type="dxa"/>
        <w:tblInd w:w="-459" w:type="dxa"/>
        <w:tblBorders>
          <w:top w:val="single" w:sz="8" w:space="0" w:color="4F81BD"/>
          <w:bottom w:val="single" w:sz="8" w:space="0" w:color="4F81BD"/>
        </w:tblBorders>
        <w:tblLayout w:type="fixed"/>
        <w:tblLook w:val="04A0" w:firstRow="1" w:lastRow="0" w:firstColumn="1" w:lastColumn="0" w:noHBand="0" w:noVBand="1"/>
      </w:tblPr>
      <w:tblGrid>
        <w:gridCol w:w="1276"/>
        <w:gridCol w:w="851"/>
        <w:gridCol w:w="1275"/>
        <w:gridCol w:w="851"/>
        <w:gridCol w:w="850"/>
        <w:gridCol w:w="361"/>
        <w:gridCol w:w="1340"/>
        <w:gridCol w:w="1134"/>
        <w:gridCol w:w="1046"/>
        <w:gridCol w:w="230"/>
        <w:gridCol w:w="992"/>
        <w:gridCol w:w="993"/>
        <w:gridCol w:w="850"/>
        <w:gridCol w:w="1134"/>
        <w:gridCol w:w="295"/>
        <w:gridCol w:w="839"/>
        <w:gridCol w:w="992"/>
        <w:gridCol w:w="68"/>
        <w:gridCol w:w="1066"/>
        <w:gridCol w:w="189"/>
      </w:tblGrid>
      <w:tr w:rsidR="0073489B">
        <w:trPr>
          <w:gridAfter w:val="2"/>
          <w:wAfter w:w="1255" w:type="dxa"/>
          <w:trHeight w:val="300"/>
          <w:tblHeader/>
        </w:trPr>
        <w:tc>
          <w:tcPr>
            <w:tcW w:w="1276" w:type="dxa"/>
            <w:tcBorders>
              <w:top w:val="nil"/>
              <w:left w:val="nil"/>
              <w:bottom w:val="single" w:sz="4" w:space="0" w:color="auto"/>
              <w:right w:val="nil"/>
            </w:tcBorders>
            <w:shd w:val="clear" w:color="auto" w:fill="auto"/>
            <w:hideMark/>
          </w:tcPr>
          <w:p w:rsidR="0073489B" w:rsidRDefault="00A46D11">
            <w:pPr>
              <w:tabs>
                <w:tab w:val="left" w:pos="795"/>
              </w:tabs>
              <w:ind w:left="-15"/>
              <w:rPr>
                <w:b/>
                <w:bCs/>
                <w:noProof/>
                <w:sz w:val="16"/>
                <w:szCs w:val="16"/>
              </w:rPr>
            </w:pPr>
            <w:r>
              <w:rPr>
                <w:b/>
                <w:bCs/>
                <w:noProof/>
                <w:sz w:val="16"/>
                <w:szCs w:val="16"/>
              </w:rPr>
              <w:t> </w:t>
            </w:r>
          </w:p>
        </w:tc>
        <w:tc>
          <w:tcPr>
            <w:tcW w:w="4188" w:type="dxa"/>
            <w:gridSpan w:val="5"/>
            <w:tcBorders>
              <w:top w:val="nil"/>
              <w:left w:val="nil"/>
              <w:bottom w:val="nil"/>
            </w:tcBorders>
          </w:tcPr>
          <w:p w:rsidR="0073489B" w:rsidRDefault="00A46D11">
            <w:pPr>
              <w:rPr>
                <w:noProof/>
              </w:rPr>
            </w:pPr>
            <w:r>
              <w:rPr>
                <w:b/>
                <w:bCs/>
                <w:noProof/>
                <w:sz w:val="20"/>
                <w:szCs w:val="20"/>
              </w:rPr>
              <w:t>Organisation</w:t>
            </w:r>
          </w:p>
        </w:tc>
        <w:tc>
          <w:tcPr>
            <w:tcW w:w="3520" w:type="dxa"/>
            <w:gridSpan w:val="3"/>
            <w:tcBorders>
              <w:top w:val="nil"/>
              <w:bottom w:val="nil"/>
            </w:tcBorders>
          </w:tcPr>
          <w:p w:rsidR="0073489B" w:rsidRDefault="00A46D11">
            <w:pPr>
              <w:rPr>
                <w:noProof/>
              </w:rPr>
            </w:pPr>
            <w:r>
              <w:rPr>
                <w:b/>
                <w:bCs/>
                <w:noProof/>
                <w:sz w:val="20"/>
                <w:szCs w:val="20"/>
              </w:rPr>
              <w:t>Policy Targets</w:t>
            </w:r>
          </w:p>
        </w:tc>
        <w:tc>
          <w:tcPr>
            <w:tcW w:w="4494" w:type="dxa"/>
            <w:gridSpan w:val="6"/>
            <w:tcBorders>
              <w:top w:val="nil"/>
              <w:bottom w:val="nil"/>
            </w:tcBorders>
          </w:tcPr>
          <w:p w:rsidR="0073489B" w:rsidRDefault="00A46D11">
            <w:pPr>
              <w:rPr>
                <w:noProof/>
              </w:rPr>
            </w:pPr>
            <w:r>
              <w:rPr>
                <w:b/>
                <w:bCs/>
                <w:noProof/>
                <w:sz w:val="20"/>
                <w:szCs w:val="20"/>
              </w:rPr>
              <w:t xml:space="preserve">    Implementation</w:t>
            </w:r>
          </w:p>
        </w:tc>
        <w:tc>
          <w:tcPr>
            <w:tcW w:w="1899" w:type="dxa"/>
            <w:gridSpan w:val="3"/>
            <w:tcBorders>
              <w:top w:val="nil"/>
              <w:bottom w:val="nil"/>
            </w:tcBorders>
          </w:tcPr>
          <w:p w:rsidR="0073489B" w:rsidRDefault="00A46D11">
            <w:pPr>
              <w:rPr>
                <w:noProof/>
              </w:rPr>
            </w:pPr>
            <w:r>
              <w:rPr>
                <w:b/>
                <w:bCs/>
                <w:noProof/>
                <w:sz w:val="20"/>
                <w:szCs w:val="20"/>
              </w:rPr>
              <w:t xml:space="preserve">Financials                      </w:t>
            </w:r>
          </w:p>
        </w:tc>
      </w:tr>
      <w:tr w:rsidR="0073489B">
        <w:trPr>
          <w:gridAfter w:val="1"/>
          <w:wAfter w:w="189" w:type="dxa"/>
          <w:trHeight w:val="1055"/>
          <w:tblHeader/>
        </w:trPr>
        <w:tc>
          <w:tcPr>
            <w:tcW w:w="1276"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bCs/>
                <w:noProof/>
                <w:sz w:val="16"/>
                <w:szCs w:val="16"/>
              </w:rPr>
              <w:t>Financial Instruments</w:t>
            </w:r>
          </w:p>
        </w:tc>
        <w:tc>
          <w:tcPr>
            <w:tcW w:w="851"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Type</w:t>
            </w:r>
          </w:p>
        </w:tc>
        <w:tc>
          <w:tcPr>
            <w:tcW w:w="127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Basic Act</w:t>
            </w:r>
          </w:p>
        </w:tc>
        <w:tc>
          <w:tcPr>
            <w:tcW w:w="851"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DG in charge</w:t>
            </w:r>
          </w:p>
        </w:tc>
        <w:tc>
          <w:tcPr>
            <w:tcW w:w="85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IB</w:t>
            </w:r>
            <w:r>
              <w:rPr>
                <w:b/>
                <w:noProof/>
                <w:sz w:val="16"/>
                <w:szCs w:val="16"/>
                <w:vertAlign w:val="superscript"/>
              </w:rPr>
              <w:footnoteReference w:id="3"/>
            </w:r>
          </w:p>
        </w:tc>
        <w:tc>
          <w:tcPr>
            <w:tcW w:w="1701"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Objective</w:t>
            </w:r>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Final Recipients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Sector</w:t>
            </w:r>
          </w:p>
        </w:tc>
        <w:tc>
          <w:tcPr>
            <w:tcW w:w="992"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noProof/>
                <w:sz w:val="16"/>
                <w:szCs w:val="16"/>
                <w:lang w:val="fr-FR"/>
              </w:rPr>
            </w:pPr>
            <w:r>
              <w:rPr>
                <w:b/>
                <w:noProof/>
                <w:sz w:val="16"/>
                <w:szCs w:val="16"/>
                <w:lang w:val="fr-FR"/>
              </w:rPr>
              <w:t>Indicative</w:t>
            </w:r>
          </w:p>
          <w:p w:rsidR="0073489B" w:rsidRDefault="00A46D11">
            <w:pPr>
              <w:jc w:val="center"/>
              <w:rPr>
                <w:b/>
                <w:noProof/>
                <w:sz w:val="16"/>
                <w:szCs w:val="16"/>
                <w:lang w:val="fr-FR"/>
              </w:rPr>
            </w:pPr>
            <w:r>
              <w:rPr>
                <w:b/>
                <w:noProof/>
                <w:sz w:val="16"/>
                <w:szCs w:val="16"/>
                <w:lang w:val="fr-FR"/>
              </w:rPr>
              <w:t>Aggr.</w:t>
            </w:r>
          </w:p>
          <w:p w:rsidR="0073489B" w:rsidRDefault="00A46D11">
            <w:pPr>
              <w:jc w:val="center"/>
              <w:rPr>
                <w:b/>
                <w:noProof/>
                <w:sz w:val="16"/>
                <w:szCs w:val="16"/>
                <w:lang w:val="fr-FR"/>
              </w:rPr>
            </w:pPr>
            <w:r>
              <w:rPr>
                <w:b/>
                <w:noProof/>
                <w:sz w:val="16"/>
                <w:szCs w:val="16"/>
                <w:lang w:val="fr-FR"/>
              </w:rPr>
              <w:t>Budget Envelope</w:t>
            </w:r>
          </w:p>
          <w:p w:rsidR="0073489B" w:rsidRDefault="00A46D11">
            <w:pPr>
              <w:jc w:val="center"/>
              <w:rPr>
                <w:b/>
                <w:bCs/>
                <w:noProof/>
                <w:sz w:val="16"/>
                <w:szCs w:val="16"/>
                <w:lang w:val="fr-FR"/>
              </w:rPr>
            </w:pPr>
            <w:r>
              <w:rPr>
                <w:b/>
                <w:noProof/>
                <w:sz w:val="16"/>
                <w:szCs w:val="16"/>
                <w:lang w:val="fr-FR"/>
              </w:rPr>
              <w:t>(EUR mln)</w:t>
            </w:r>
          </w:p>
        </w:tc>
        <w:tc>
          <w:tcPr>
            <w:tcW w:w="993"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noProof/>
                <w:sz w:val="16"/>
                <w:szCs w:val="16"/>
                <w:lang w:val="fr-FR"/>
              </w:rPr>
            </w:pPr>
            <w:r>
              <w:rPr>
                <w:b/>
                <w:noProof/>
                <w:sz w:val="16"/>
                <w:szCs w:val="16"/>
                <w:lang w:val="fr-FR"/>
              </w:rPr>
              <w:t>Aggr.</w:t>
            </w:r>
          </w:p>
          <w:p w:rsidR="0073489B" w:rsidRDefault="00A46D11">
            <w:pPr>
              <w:jc w:val="center"/>
              <w:rPr>
                <w:b/>
                <w:noProof/>
                <w:sz w:val="16"/>
                <w:szCs w:val="16"/>
                <w:lang w:val="fr-FR"/>
              </w:rPr>
            </w:pPr>
            <w:r>
              <w:rPr>
                <w:b/>
                <w:noProof/>
                <w:sz w:val="16"/>
                <w:szCs w:val="16"/>
                <w:lang w:val="fr-FR"/>
              </w:rPr>
              <w:t>Commit-ments 2007-2016</w:t>
            </w:r>
          </w:p>
          <w:p w:rsidR="0073489B" w:rsidRDefault="00A46D11">
            <w:pPr>
              <w:jc w:val="center"/>
              <w:rPr>
                <w:b/>
                <w:bCs/>
                <w:noProof/>
                <w:sz w:val="16"/>
                <w:szCs w:val="16"/>
                <w:lang w:val="fr-FR"/>
              </w:rPr>
            </w:pPr>
            <w:r>
              <w:rPr>
                <w:b/>
                <w:noProof/>
                <w:sz w:val="16"/>
                <w:szCs w:val="16"/>
                <w:lang w:val="fr-FR"/>
              </w:rPr>
              <w:t>(EUR mln)</w:t>
            </w:r>
          </w:p>
        </w:tc>
        <w:tc>
          <w:tcPr>
            <w:tcW w:w="85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noProof/>
                <w:sz w:val="16"/>
                <w:szCs w:val="16"/>
              </w:rPr>
            </w:pPr>
            <w:r>
              <w:rPr>
                <w:b/>
                <w:noProof/>
                <w:sz w:val="16"/>
                <w:szCs w:val="16"/>
              </w:rPr>
              <w:t>Aggr.</w:t>
            </w:r>
          </w:p>
          <w:p w:rsidR="0073489B" w:rsidRDefault="00A46D11">
            <w:pPr>
              <w:jc w:val="center"/>
              <w:rPr>
                <w:b/>
                <w:noProof/>
                <w:sz w:val="16"/>
                <w:szCs w:val="16"/>
              </w:rPr>
            </w:pPr>
            <w:r>
              <w:rPr>
                <w:b/>
                <w:noProof/>
                <w:sz w:val="16"/>
                <w:szCs w:val="16"/>
              </w:rPr>
              <w:t>Pay-</w:t>
            </w:r>
          </w:p>
          <w:p w:rsidR="0073489B" w:rsidRDefault="00A46D11">
            <w:pPr>
              <w:jc w:val="center"/>
              <w:rPr>
                <w:b/>
                <w:bCs/>
                <w:noProof/>
                <w:sz w:val="16"/>
                <w:szCs w:val="16"/>
              </w:rPr>
            </w:pPr>
            <w:r>
              <w:rPr>
                <w:b/>
                <w:noProof/>
                <w:sz w:val="16"/>
                <w:szCs w:val="16"/>
              </w:rPr>
              <w:t xml:space="preserve">ments 2007-16 (EUR </w:t>
            </w:r>
            <w:r>
              <w:rPr>
                <w:b/>
                <w:noProof/>
                <w:sz w:val="16"/>
                <w:szCs w:val="16"/>
              </w:rPr>
              <w:t>mln)</w:t>
            </w:r>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noProof/>
                <w:sz w:val="16"/>
                <w:szCs w:val="16"/>
              </w:rPr>
            </w:pPr>
            <w:r>
              <w:rPr>
                <w:b/>
                <w:noProof/>
                <w:sz w:val="16"/>
                <w:szCs w:val="16"/>
              </w:rPr>
              <w:t>Financing supported</w:t>
            </w:r>
          </w:p>
          <w:p w:rsidR="0073489B" w:rsidRDefault="00A46D11">
            <w:pPr>
              <w:jc w:val="center"/>
              <w:rPr>
                <w:b/>
                <w:bCs/>
                <w:noProof/>
                <w:sz w:val="16"/>
                <w:szCs w:val="16"/>
              </w:rPr>
            </w:pPr>
            <w:r>
              <w:rPr>
                <w:b/>
                <w:noProof/>
                <w:sz w:val="16"/>
                <w:szCs w:val="16"/>
              </w:rPr>
              <w:t>(EUR mln)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noProof/>
                <w:sz w:val="16"/>
                <w:szCs w:val="16"/>
              </w:rPr>
            </w:pPr>
            <w:r>
              <w:rPr>
                <w:b/>
                <w:noProof/>
                <w:sz w:val="16"/>
                <w:szCs w:val="16"/>
              </w:rPr>
              <w:t>N° of final</w:t>
            </w:r>
          </w:p>
          <w:p w:rsidR="0073489B" w:rsidRDefault="00A46D11">
            <w:pPr>
              <w:jc w:val="center"/>
              <w:rPr>
                <w:b/>
                <w:noProof/>
                <w:sz w:val="16"/>
                <w:szCs w:val="16"/>
              </w:rPr>
            </w:pPr>
            <w:r>
              <w:rPr>
                <w:b/>
                <w:noProof/>
                <w:sz w:val="16"/>
                <w:szCs w:val="16"/>
              </w:rPr>
              <w:t>recipients</w:t>
            </w:r>
          </w:p>
          <w:p w:rsidR="0073489B" w:rsidRDefault="00A46D11">
            <w:pPr>
              <w:jc w:val="center"/>
              <w:rPr>
                <w:b/>
                <w:bCs/>
                <w:noProof/>
                <w:sz w:val="16"/>
                <w:szCs w:val="16"/>
              </w:rPr>
            </w:pPr>
            <w:r>
              <w:rPr>
                <w:b/>
                <w:bCs/>
                <w:noProof/>
                <w:sz w:val="16"/>
                <w:szCs w:val="16"/>
              </w:rPr>
              <w:t>benefited</w:t>
            </w:r>
          </w:p>
        </w:tc>
        <w:tc>
          <w:tcPr>
            <w:tcW w:w="992"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rPr>
            </w:pPr>
            <w:r>
              <w:rPr>
                <w:b/>
                <w:noProof/>
                <w:sz w:val="16"/>
                <w:szCs w:val="16"/>
              </w:rPr>
              <w:t>Revenues and Repaym. (EUR mln)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rsidR="0073489B" w:rsidRDefault="00A46D11">
            <w:pPr>
              <w:jc w:val="center"/>
              <w:rPr>
                <w:b/>
                <w:bCs/>
                <w:noProof/>
                <w:sz w:val="16"/>
                <w:szCs w:val="16"/>
                <w:lang w:val="fr-BE"/>
              </w:rPr>
            </w:pPr>
            <w:r>
              <w:rPr>
                <w:b/>
                <w:noProof/>
                <w:sz w:val="16"/>
                <w:szCs w:val="16"/>
                <w:lang w:val="fr-BE"/>
              </w:rPr>
              <w:t xml:space="preserve">Admin Expenditure (EUR mln) </w:t>
            </w:r>
            <w:r>
              <w:rPr>
                <w:b/>
                <w:noProof/>
                <w:sz w:val="16"/>
                <w:szCs w:val="16"/>
                <w:vertAlign w:val="superscript"/>
              </w:rPr>
              <w:footnoteReference w:id="4"/>
            </w:r>
            <w:r>
              <w:rPr>
                <w:b/>
                <w:noProof/>
                <w:sz w:val="16"/>
                <w:szCs w:val="16"/>
                <w:lang w:val="fr-BE"/>
              </w:rPr>
              <w:t xml:space="preserve"> </w:t>
            </w:r>
          </w:p>
        </w:tc>
      </w:tr>
      <w:tr w:rsidR="0073489B">
        <w:trPr>
          <w:gridAfter w:val="1"/>
          <w:wAfter w:w="189" w:type="dxa"/>
          <w:trHeight w:val="1342"/>
        </w:trPr>
        <w:tc>
          <w:tcPr>
            <w:tcW w:w="1276" w:type="dxa"/>
            <w:tcBorders>
              <w:top w:val="single" w:sz="4" w:space="0" w:color="auto"/>
              <w:left w:val="single" w:sz="4" w:space="0" w:color="auto"/>
              <w:bottom w:val="nil"/>
              <w:right w:val="single" w:sz="4" w:space="0" w:color="auto"/>
            </w:tcBorders>
            <w:shd w:val="clear" w:color="auto" w:fill="auto"/>
            <w:vAlign w:val="center"/>
            <w:hideMark/>
          </w:tcPr>
          <w:p w:rsidR="0073489B" w:rsidRDefault="00A46D11">
            <w:pPr>
              <w:jc w:val="center"/>
              <w:rPr>
                <w:b/>
                <w:bCs/>
                <w:noProof/>
                <w:sz w:val="18"/>
                <w:szCs w:val="18"/>
              </w:rPr>
            </w:pPr>
            <w:hyperlink w:anchor="_The_High_Growth" w:history="1">
              <w:r>
                <w:rPr>
                  <w:rStyle w:val="Hyperlink"/>
                  <w:b/>
                  <w:bCs/>
                  <w:noProof/>
                  <w:sz w:val="18"/>
                  <w:szCs w:val="18"/>
                </w:rPr>
                <w:t>GIF (CIP)</w:t>
              </w:r>
              <w:r>
                <w:rPr>
                  <w:rStyle w:val="Hyperlink"/>
                  <w:noProof/>
                  <w:sz w:val="18"/>
                  <w:szCs w:val="18"/>
                  <w:vertAlign w:val="superscript"/>
                </w:rPr>
                <w:footnoteReference w:id="5"/>
              </w:r>
            </w:hyperlink>
          </w:p>
        </w:tc>
        <w:tc>
          <w:tcPr>
            <w:tcW w:w="851" w:type="dxa"/>
            <w:tcBorders>
              <w:top w:val="single" w:sz="4" w:space="0" w:color="auto"/>
              <w:left w:val="single" w:sz="4" w:space="0" w:color="auto"/>
              <w:bottom w:val="nil"/>
              <w:right w:val="single" w:sz="4" w:space="0" w:color="auto"/>
            </w:tcBorders>
            <w:shd w:val="clear" w:color="auto" w:fill="D3DFEE"/>
            <w:noWrap/>
            <w:vAlign w:val="center"/>
            <w:hideMark/>
          </w:tcPr>
          <w:p w:rsidR="0073489B" w:rsidRDefault="00A46D11">
            <w:pPr>
              <w:jc w:val="center"/>
              <w:rPr>
                <w:noProof/>
                <w:sz w:val="18"/>
                <w:highlight w:val="yellow"/>
              </w:rPr>
            </w:pPr>
            <w:r>
              <w:rPr>
                <w:noProof/>
                <w:sz w:val="18"/>
              </w:rPr>
              <w:t>E</w:t>
            </w:r>
            <w:r>
              <w:rPr>
                <w:noProof/>
                <w:sz w:val="18"/>
                <w:vertAlign w:val="superscript"/>
              </w:rPr>
              <w:footnoteReference w:id="6"/>
            </w:r>
            <w:r>
              <w:rPr>
                <w:noProof/>
                <w:sz w:val="18"/>
              </w:rPr>
              <w:t xml:space="preserve"> Old</w:t>
            </w:r>
            <w:r>
              <w:rPr>
                <w:rStyle w:val="FootnoteReference"/>
                <w:noProof/>
                <w:sz w:val="18"/>
              </w:rPr>
              <w:footnoteReference w:id="7"/>
            </w:r>
          </w:p>
        </w:tc>
        <w:tc>
          <w:tcPr>
            <w:tcW w:w="1275" w:type="dxa"/>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Dec N°  1639/2006/EC</w:t>
            </w:r>
          </w:p>
        </w:tc>
        <w:tc>
          <w:tcPr>
            <w:tcW w:w="851" w:type="dxa"/>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GROW ECFIN</w:t>
            </w:r>
          </w:p>
        </w:tc>
        <w:tc>
          <w:tcPr>
            <w:tcW w:w="850" w:type="dxa"/>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EIF</w:t>
            </w:r>
          </w:p>
        </w:tc>
        <w:tc>
          <w:tcPr>
            <w:tcW w:w="1701" w:type="dxa"/>
            <w:gridSpan w:val="2"/>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 xml:space="preserve">Increase the supply of equity for </w:t>
            </w:r>
            <w:r>
              <w:rPr>
                <w:noProof/>
                <w:sz w:val="18"/>
              </w:rPr>
              <w:t>innovative SMEs</w:t>
            </w:r>
          </w:p>
        </w:tc>
        <w:tc>
          <w:tcPr>
            <w:tcW w:w="1134" w:type="dxa"/>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SMEs</w:t>
            </w:r>
          </w:p>
        </w:tc>
        <w:tc>
          <w:tcPr>
            <w:tcW w:w="1276" w:type="dxa"/>
            <w:gridSpan w:val="2"/>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SMEs with no specific sector /</w:t>
            </w:r>
          </w:p>
          <w:p w:rsidR="0073489B" w:rsidRDefault="00A46D11">
            <w:pPr>
              <w:jc w:val="center"/>
              <w:rPr>
                <w:noProof/>
                <w:sz w:val="18"/>
              </w:rPr>
            </w:pPr>
            <w:r>
              <w:rPr>
                <w:noProof/>
                <w:sz w:val="18"/>
              </w:rPr>
              <w:t>innovative</w:t>
            </w:r>
          </w:p>
        </w:tc>
        <w:tc>
          <w:tcPr>
            <w:tcW w:w="992" w:type="dxa"/>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580,68</w:t>
            </w:r>
          </w:p>
        </w:tc>
        <w:tc>
          <w:tcPr>
            <w:tcW w:w="993" w:type="dxa"/>
            <w:tcBorders>
              <w:top w:val="single" w:sz="4" w:space="0" w:color="auto"/>
              <w:left w:val="single" w:sz="4" w:space="0" w:color="auto"/>
              <w:bottom w:val="nil"/>
              <w:right w:val="single" w:sz="4" w:space="0" w:color="auto"/>
            </w:tcBorders>
            <w:shd w:val="clear" w:color="auto" w:fill="D3DFEE"/>
            <w:noWrap/>
            <w:vAlign w:val="center"/>
            <w:hideMark/>
          </w:tcPr>
          <w:p w:rsidR="0073489B" w:rsidRDefault="00A46D11">
            <w:pPr>
              <w:jc w:val="center"/>
              <w:rPr>
                <w:noProof/>
                <w:sz w:val="18"/>
              </w:rPr>
            </w:pPr>
            <w:r>
              <w:rPr>
                <w:noProof/>
                <w:sz w:val="18"/>
              </w:rPr>
              <w:t>600,16</w:t>
            </w:r>
            <w:r>
              <w:rPr>
                <w:rStyle w:val="FootnoteReference"/>
                <w:noProof/>
                <w:sz w:val="18"/>
              </w:rPr>
              <w:footnoteReference w:id="8"/>
            </w:r>
          </w:p>
        </w:tc>
        <w:tc>
          <w:tcPr>
            <w:tcW w:w="850" w:type="dxa"/>
            <w:tcBorders>
              <w:top w:val="single" w:sz="4" w:space="0" w:color="auto"/>
              <w:left w:val="single" w:sz="4" w:space="0" w:color="auto"/>
              <w:bottom w:val="nil"/>
              <w:right w:val="single" w:sz="4" w:space="0" w:color="auto"/>
            </w:tcBorders>
            <w:shd w:val="clear" w:color="auto" w:fill="D3DFEE"/>
            <w:noWrap/>
            <w:vAlign w:val="center"/>
            <w:hideMark/>
          </w:tcPr>
          <w:p w:rsidR="0073489B" w:rsidRDefault="00A46D11">
            <w:pPr>
              <w:jc w:val="center"/>
              <w:rPr>
                <w:noProof/>
                <w:sz w:val="18"/>
                <w:highlight w:val="yellow"/>
              </w:rPr>
            </w:pPr>
            <w:r>
              <w:rPr>
                <w:noProof/>
                <w:sz w:val="18"/>
              </w:rPr>
              <w:t>464,45</w:t>
            </w:r>
            <w:r>
              <w:rPr>
                <w:rStyle w:val="FootnoteReference"/>
                <w:noProof/>
                <w:sz w:val="18"/>
              </w:rPr>
              <w:footnoteReference w:id="9"/>
            </w:r>
          </w:p>
        </w:tc>
        <w:tc>
          <w:tcPr>
            <w:tcW w:w="1134" w:type="dxa"/>
            <w:tcBorders>
              <w:top w:val="single" w:sz="4" w:space="0" w:color="auto"/>
              <w:left w:val="single" w:sz="4" w:space="0" w:color="auto"/>
              <w:bottom w:val="nil"/>
              <w:right w:val="single" w:sz="4" w:space="0" w:color="auto"/>
            </w:tcBorders>
            <w:shd w:val="clear" w:color="auto" w:fill="D3DFEE"/>
            <w:noWrap/>
            <w:vAlign w:val="center"/>
            <w:hideMark/>
          </w:tcPr>
          <w:p w:rsidR="0073489B" w:rsidRDefault="00A46D11">
            <w:pPr>
              <w:jc w:val="center"/>
              <w:rPr>
                <w:noProof/>
                <w:sz w:val="18"/>
              </w:rPr>
            </w:pPr>
            <w:r>
              <w:rPr>
                <w:noProof/>
                <w:sz w:val="18"/>
              </w:rPr>
              <w:t>3 087 **</w:t>
            </w:r>
          </w:p>
          <w:p w:rsidR="0073489B" w:rsidRDefault="00A46D11">
            <w:pPr>
              <w:jc w:val="center"/>
              <w:rPr>
                <w:noProof/>
                <w:sz w:val="18"/>
              </w:rPr>
            </w:pPr>
            <w:r>
              <w:rPr>
                <w:noProof/>
                <w:sz w:val="18"/>
              </w:rPr>
              <w:t>1 430***</w:t>
            </w:r>
          </w:p>
          <w:p w:rsidR="0073489B" w:rsidRDefault="0073489B">
            <w:pPr>
              <w:jc w:val="center"/>
              <w:rPr>
                <w:noProof/>
                <w:sz w:val="18"/>
                <w:highlight w:val="yellow"/>
              </w:rPr>
            </w:pPr>
          </w:p>
        </w:tc>
        <w:tc>
          <w:tcPr>
            <w:tcW w:w="1134" w:type="dxa"/>
            <w:gridSpan w:val="2"/>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rPr>
            </w:pPr>
            <w:r>
              <w:rPr>
                <w:noProof/>
                <w:sz w:val="18"/>
              </w:rPr>
              <w:t>516**</w:t>
            </w:r>
          </w:p>
          <w:p w:rsidR="0073489B" w:rsidRDefault="00A46D11">
            <w:pPr>
              <w:jc w:val="center"/>
              <w:rPr>
                <w:noProof/>
                <w:sz w:val="18"/>
                <w:highlight w:val="yellow"/>
              </w:rPr>
            </w:pPr>
            <w:r>
              <w:rPr>
                <w:noProof/>
                <w:sz w:val="18"/>
              </w:rPr>
              <w:t>484***</w:t>
            </w:r>
          </w:p>
        </w:tc>
        <w:tc>
          <w:tcPr>
            <w:tcW w:w="992" w:type="dxa"/>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highlight w:val="yellow"/>
              </w:rPr>
            </w:pPr>
            <w:r>
              <w:rPr>
                <w:noProof/>
                <w:sz w:val="18"/>
              </w:rPr>
              <w:t>53,2</w:t>
            </w:r>
          </w:p>
        </w:tc>
        <w:tc>
          <w:tcPr>
            <w:tcW w:w="1134" w:type="dxa"/>
            <w:gridSpan w:val="2"/>
            <w:tcBorders>
              <w:top w:val="single" w:sz="4" w:space="0" w:color="auto"/>
              <w:left w:val="single" w:sz="4" w:space="0" w:color="auto"/>
              <w:bottom w:val="nil"/>
              <w:right w:val="single" w:sz="4" w:space="0" w:color="auto"/>
            </w:tcBorders>
            <w:shd w:val="clear" w:color="auto" w:fill="D3DFEE"/>
            <w:vAlign w:val="center"/>
            <w:hideMark/>
          </w:tcPr>
          <w:p w:rsidR="0073489B" w:rsidRDefault="00A46D11">
            <w:pPr>
              <w:jc w:val="center"/>
              <w:rPr>
                <w:noProof/>
                <w:sz w:val="18"/>
                <w:highlight w:val="yellow"/>
              </w:rPr>
            </w:pPr>
            <w:r>
              <w:rPr>
                <w:noProof/>
                <w:sz w:val="18"/>
              </w:rPr>
              <w:t>25,9</w:t>
            </w:r>
          </w:p>
        </w:tc>
      </w:tr>
      <w:tr w:rsidR="0073489B">
        <w:trPr>
          <w:gridAfter w:val="1"/>
          <w:wAfter w:w="189" w:type="dxa"/>
          <w:trHeight w:val="1342"/>
        </w:trPr>
        <w:tc>
          <w:tcPr>
            <w:tcW w:w="1276" w:type="dxa"/>
            <w:tcBorders>
              <w:top w:val="nil"/>
              <w:left w:val="single" w:sz="4" w:space="0" w:color="auto"/>
              <w:right w:val="single" w:sz="4" w:space="0" w:color="auto"/>
            </w:tcBorders>
            <w:shd w:val="clear" w:color="auto" w:fill="auto"/>
            <w:vAlign w:val="center"/>
            <w:hideMark/>
          </w:tcPr>
          <w:p w:rsidR="0073489B" w:rsidRDefault="00A46D11">
            <w:pPr>
              <w:jc w:val="center"/>
              <w:rPr>
                <w:noProof/>
              </w:rPr>
            </w:pPr>
            <w:hyperlink w:anchor="_The_Connecting_Europe" w:history="1">
              <w:r>
                <w:rPr>
                  <w:rStyle w:val="Hyperlink"/>
                  <w:b/>
                  <w:bCs/>
                  <w:noProof/>
                  <w:sz w:val="18"/>
                  <w:szCs w:val="18"/>
                </w:rPr>
                <w:t>CEF Equity</w:t>
              </w:r>
            </w:hyperlink>
          </w:p>
        </w:tc>
        <w:tc>
          <w:tcPr>
            <w:tcW w:w="851" w:type="dxa"/>
            <w:tcBorders>
              <w:top w:val="nil"/>
              <w:left w:val="single" w:sz="4" w:space="0" w:color="auto"/>
              <w:right w:val="single" w:sz="4" w:space="0" w:color="auto"/>
            </w:tcBorders>
            <w:shd w:val="clear" w:color="auto" w:fill="auto"/>
            <w:noWrap/>
            <w:vAlign w:val="center"/>
            <w:hideMark/>
          </w:tcPr>
          <w:p w:rsidR="0073489B" w:rsidRDefault="00A46D11">
            <w:pPr>
              <w:jc w:val="center"/>
              <w:rPr>
                <w:noProof/>
                <w:sz w:val="18"/>
              </w:rPr>
            </w:pPr>
            <w:r>
              <w:rPr>
                <w:noProof/>
                <w:sz w:val="18"/>
              </w:rPr>
              <w:t>E New</w:t>
            </w:r>
          </w:p>
        </w:tc>
        <w:tc>
          <w:tcPr>
            <w:tcW w:w="1275" w:type="dxa"/>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Reg</w:t>
            </w:r>
            <w:r>
              <w:rPr>
                <w:noProof/>
                <w:sz w:val="18"/>
              </w:rPr>
              <w:br/>
              <w:t>N° 1316/2013</w:t>
            </w:r>
          </w:p>
        </w:tc>
        <w:tc>
          <w:tcPr>
            <w:tcW w:w="851" w:type="dxa"/>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CNECT</w:t>
            </w:r>
          </w:p>
        </w:tc>
        <w:tc>
          <w:tcPr>
            <w:tcW w:w="850" w:type="dxa"/>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Direct Management</w:t>
            </w:r>
          </w:p>
        </w:tc>
        <w:tc>
          <w:tcPr>
            <w:tcW w:w="1701" w:type="dxa"/>
            <w:gridSpan w:val="2"/>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Enhance the roll-out of broa</w:t>
            </w:r>
            <w:r>
              <w:rPr>
                <w:noProof/>
                <w:sz w:val="18"/>
              </w:rPr>
              <w:t xml:space="preserve">dband networks </w:t>
            </w:r>
          </w:p>
        </w:tc>
        <w:tc>
          <w:tcPr>
            <w:tcW w:w="1134" w:type="dxa"/>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Telecom Operators</w:t>
            </w:r>
          </w:p>
        </w:tc>
        <w:tc>
          <w:tcPr>
            <w:tcW w:w="1276" w:type="dxa"/>
            <w:gridSpan w:val="2"/>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Broadband Investment</w:t>
            </w:r>
          </w:p>
        </w:tc>
        <w:tc>
          <w:tcPr>
            <w:tcW w:w="992" w:type="dxa"/>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100</w:t>
            </w:r>
          </w:p>
        </w:tc>
        <w:tc>
          <w:tcPr>
            <w:tcW w:w="993" w:type="dxa"/>
            <w:tcBorders>
              <w:top w:val="nil"/>
              <w:left w:val="single" w:sz="4" w:space="0" w:color="auto"/>
              <w:right w:val="single" w:sz="4" w:space="0" w:color="auto"/>
            </w:tcBorders>
            <w:shd w:val="clear" w:color="auto" w:fill="auto"/>
            <w:noWrap/>
            <w:vAlign w:val="center"/>
            <w:hideMark/>
          </w:tcPr>
          <w:p w:rsidR="0073489B" w:rsidRDefault="00A46D11">
            <w:pPr>
              <w:jc w:val="center"/>
              <w:rPr>
                <w:noProof/>
                <w:sz w:val="18"/>
              </w:rPr>
            </w:pPr>
            <w:r>
              <w:rPr>
                <w:noProof/>
                <w:sz w:val="18"/>
              </w:rPr>
              <w:t>100</w:t>
            </w:r>
          </w:p>
        </w:tc>
        <w:tc>
          <w:tcPr>
            <w:tcW w:w="850" w:type="dxa"/>
            <w:tcBorders>
              <w:top w:val="nil"/>
              <w:left w:val="single" w:sz="4" w:space="0" w:color="auto"/>
              <w:right w:val="single" w:sz="4" w:space="0" w:color="auto"/>
            </w:tcBorders>
            <w:shd w:val="clear" w:color="auto" w:fill="auto"/>
            <w:noWrap/>
            <w:vAlign w:val="center"/>
            <w:hideMark/>
          </w:tcPr>
          <w:p w:rsidR="0073489B" w:rsidRDefault="00A46D11">
            <w:pPr>
              <w:jc w:val="center"/>
              <w:rPr>
                <w:noProof/>
                <w:sz w:val="18"/>
              </w:rPr>
            </w:pPr>
            <w:r>
              <w:rPr>
                <w:noProof/>
                <w:sz w:val="18"/>
              </w:rPr>
              <w:t>0</w:t>
            </w:r>
          </w:p>
        </w:tc>
        <w:tc>
          <w:tcPr>
            <w:tcW w:w="1134" w:type="dxa"/>
            <w:tcBorders>
              <w:top w:val="nil"/>
              <w:left w:val="single" w:sz="4" w:space="0" w:color="auto"/>
              <w:right w:val="single" w:sz="4" w:space="0" w:color="auto"/>
            </w:tcBorders>
            <w:shd w:val="clear" w:color="auto" w:fill="auto"/>
            <w:noWrap/>
            <w:vAlign w:val="center"/>
            <w:hideMark/>
          </w:tcPr>
          <w:p w:rsidR="0073489B" w:rsidRDefault="00A46D11">
            <w:pPr>
              <w:jc w:val="center"/>
              <w:rPr>
                <w:noProof/>
                <w:sz w:val="18"/>
              </w:rPr>
            </w:pPr>
            <w:r>
              <w:rPr>
                <w:noProof/>
                <w:sz w:val="18"/>
              </w:rPr>
              <w:t>1000-1700*</w:t>
            </w:r>
          </w:p>
        </w:tc>
        <w:tc>
          <w:tcPr>
            <w:tcW w:w="1134" w:type="dxa"/>
            <w:gridSpan w:val="2"/>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n/a</w:t>
            </w:r>
          </w:p>
        </w:tc>
        <w:tc>
          <w:tcPr>
            <w:tcW w:w="992" w:type="dxa"/>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n/a</w:t>
            </w:r>
          </w:p>
        </w:tc>
        <w:tc>
          <w:tcPr>
            <w:tcW w:w="1134" w:type="dxa"/>
            <w:gridSpan w:val="2"/>
            <w:tcBorders>
              <w:top w:val="nil"/>
              <w:left w:val="single" w:sz="4" w:space="0" w:color="auto"/>
              <w:right w:val="single" w:sz="4" w:space="0" w:color="auto"/>
            </w:tcBorders>
            <w:shd w:val="clear" w:color="auto" w:fill="auto"/>
            <w:vAlign w:val="center"/>
            <w:hideMark/>
          </w:tcPr>
          <w:p w:rsidR="0073489B" w:rsidRDefault="00A46D11">
            <w:pPr>
              <w:jc w:val="center"/>
              <w:rPr>
                <w:noProof/>
                <w:sz w:val="18"/>
              </w:rPr>
            </w:pPr>
            <w:r>
              <w:rPr>
                <w:noProof/>
                <w:sz w:val="18"/>
              </w:rPr>
              <w:t>n/a</w:t>
            </w:r>
          </w:p>
        </w:tc>
      </w:tr>
      <w:tr w:rsidR="0073489B">
        <w:trPr>
          <w:gridAfter w:val="1"/>
          <w:wAfter w:w="189" w:type="dxa"/>
          <w:trHeight w:val="773"/>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Equity_Facility_for" w:history="1">
              <w:r>
                <w:rPr>
                  <w:rStyle w:val="Hyperlink"/>
                  <w:b/>
                  <w:bCs/>
                  <w:noProof/>
                  <w:sz w:val="18"/>
                  <w:szCs w:val="18"/>
                </w:rPr>
                <w:t>EFG (COSME)</w:t>
              </w:r>
            </w:hyperlink>
          </w:p>
        </w:tc>
        <w:tc>
          <w:tcPr>
            <w:tcW w:w="851"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E New</w:t>
            </w:r>
            <w:r>
              <w:rPr>
                <w:rStyle w:val="FootnoteReference"/>
                <w:noProof/>
                <w:sz w:val="18"/>
                <w:szCs w:val="18"/>
              </w:rPr>
              <w:footnoteReference w:id="10"/>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w:t>
            </w:r>
            <w:r>
              <w:rPr>
                <w:noProof/>
                <w:sz w:val="18"/>
                <w:szCs w:val="18"/>
              </w:rPr>
              <w:br/>
              <w:t>N° 1287/2013</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GROW</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Increase the supply of equity for SMEs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490,00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172,90</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56,1</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2 600 to</w:t>
            </w:r>
            <w:r>
              <w:rPr>
                <w:noProof/>
                <w:sz w:val="18"/>
                <w:szCs w:val="18"/>
              </w:rPr>
              <w:br/>
              <w:t>3 900*</w:t>
            </w:r>
          </w:p>
          <w:p w:rsidR="0073489B" w:rsidRDefault="00A46D11">
            <w:pPr>
              <w:jc w:val="center"/>
              <w:rPr>
                <w:noProof/>
                <w:sz w:val="18"/>
                <w:szCs w:val="18"/>
              </w:rPr>
            </w:pPr>
            <w:r>
              <w:rPr>
                <w:noProof/>
                <w:sz w:val="18"/>
                <w:szCs w:val="18"/>
              </w:rPr>
              <w:t>470,6**</w:t>
            </w:r>
          </w:p>
          <w:p w:rsidR="0073489B" w:rsidRDefault="00A46D11">
            <w:pPr>
              <w:jc w:val="center"/>
              <w:rPr>
                <w:noProof/>
                <w:sz w:val="18"/>
                <w:szCs w:val="18"/>
              </w:rPr>
            </w:pPr>
            <w:r>
              <w:rPr>
                <w:noProof/>
                <w:sz w:val="18"/>
                <w:szCs w:val="18"/>
              </w:rPr>
              <w:t>64***</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360 to 540*</w:t>
            </w:r>
          </w:p>
          <w:p w:rsidR="0073489B" w:rsidRDefault="00A46D11">
            <w:pPr>
              <w:jc w:val="center"/>
              <w:rPr>
                <w:noProof/>
                <w:sz w:val="18"/>
                <w:szCs w:val="18"/>
              </w:rPr>
            </w:pPr>
            <w:r>
              <w:rPr>
                <w:noProof/>
                <w:sz w:val="18"/>
                <w:szCs w:val="18"/>
              </w:rPr>
              <w:t>64**</w:t>
            </w:r>
          </w:p>
          <w:p w:rsidR="0073489B" w:rsidRDefault="00A46D11">
            <w:pPr>
              <w:jc w:val="center"/>
              <w:rPr>
                <w:noProof/>
                <w:sz w:val="18"/>
                <w:szCs w:val="18"/>
              </w:rPr>
            </w:pPr>
            <w:r>
              <w:rPr>
                <w:noProof/>
                <w:sz w:val="18"/>
                <w:szCs w:val="18"/>
              </w:rPr>
              <w:t>12***</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0,01</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7,44</w:t>
            </w:r>
          </w:p>
        </w:tc>
      </w:tr>
      <w:tr w:rsidR="0073489B">
        <w:trPr>
          <w:gridAfter w:val="1"/>
          <w:wAfter w:w="189" w:type="dxa"/>
          <w:trHeight w:val="1267"/>
        </w:trPr>
        <w:tc>
          <w:tcPr>
            <w:tcW w:w="1276" w:type="dxa"/>
            <w:tcBorders>
              <w:left w:val="single" w:sz="4" w:space="0" w:color="auto"/>
              <w:bottom w:val="single" w:sz="4" w:space="0" w:color="auto"/>
              <w:right w:val="single" w:sz="4" w:space="0" w:color="auto"/>
            </w:tcBorders>
            <w:shd w:val="clear" w:color="auto" w:fill="auto"/>
            <w:vAlign w:val="center"/>
            <w:hideMark/>
          </w:tcPr>
          <w:p w:rsidR="0073489B" w:rsidRDefault="00A46D11">
            <w:pPr>
              <w:jc w:val="center"/>
              <w:rPr>
                <w:b/>
                <w:bCs/>
                <w:noProof/>
                <w:sz w:val="18"/>
                <w:szCs w:val="18"/>
                <w:lang w:val="it-IT"/>
              </w:rPr>
            </w:pPr>
            <w:hyperlink w:anchor="_InnovFin_SME_Venture" w:history="1">
              <w:r>
                <w:rPr>
                  <w:rStyle w:val="Hyperlink"/>
                  <w:b/>
                  <w:bCs/>
                  <w:noProof/>
                  <w:sz w:val="18"/>
                  <w:szCs w:val="18"/>
                  <w:lang w:val="it-IT"/>
                </w:rPr>
                <w:t>InnovFin Equity</w:t>
              </w:r>
            </w:hyperlink>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E New</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N°  1291/2013; 1290/2013;</w:t>
            </w:r>
            <w:r>
              <w:rPr>
                <w:noProof/>
                <w:sz w:val="18"/>
                <w:szCs w:val="18"/>
              </w:rPr>
              <w:br/>
              <w:t>1296/2013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RTD</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EIF</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 xml:space="preserve">Improve access to risk finance by early-stage R&amp;I-driven SMEs and small midcaps including social </w:t>
            </w:r>
            <w:r>
              <w:rPr>
                <w:noProof/>
                <w:sz w:val="18"/>
                <w:szCs w:val="18"/>
              </w:rPr>
              <w:lastRenderedPageBreak/>
              <w:t>enterprises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lastRenderedPageBreak/>
              <w:t>Innovative SMEs &amp; Small Midcaps</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R&amp;I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4</w:t>
            </w:r>
            <w:r>
              <w:rPr>
                <w:noProof/>
                <w:sz w:val="18"/>
                <w:szCs w:val="18"/>
              </w:rPr>
              <w:t>95,00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256,05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234,05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2 900 *</w:t>
            </w:r>
          </w:p>
          <w:p w:rsidR="0073489B" w:rsidRDefault="00A46D11">
            <w:pPr>
              <w:jc w:val="center"/>
              <w:rPr>
                <w:noProof/>
                <w:sz w:val="18"/>
                <w:szCs w:val="18"/>
              </w:rPr>
            </w:pPr>
            <w:r>
              <w:rPr>
                <w:noProof/>
                <w:sz w:val="18"/>
                <w:szCs w:val="18"/>
              </w:rPr>
              <w:t>565**</w:t>
            </w:r>
          </w:p>
          <w:p w:rsidR="0073489B" w:rsidRDefault="00A46D11">
            <w:pPr>
              <w:jc w:val="center"/>
              <w:rPr>
                <w:noProof/>
                <w:sz w:val="18"/>
                <w:szCs w:val="18"/>
              </w:rPr>
            </w:pPr>
            <w:r>
              <w:rPr>
                <w:noProof/>
                <w:sz w:val="18"/>
                <w:szCs w:val="18"/>
              </w:rPr>
              <w:t>15***</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300**</w:t>
            </w:r>
          </w:p>
          <w:p w:rsidR="0073489B" w:rsidRDefault="00A46D11">
            <w:pPr>
              <w:jc w:val="center"/>
              <w:rPr>
                <w:noProof/>
                <w:sz w:val="18"/>
                <w:szCs w:val="18"/>
              </w:rPr>
            </w:pPr>
            <w:r>
              <w:rPr>
                <w:noProof/>
                <w:sz w:val="18"/>
                <w:szCs w:val="18"/>
              </w:rPr>
              <w:t>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0,4</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73489B" w:rsidRDefault="0073489B">
            <w:pPr>
              <w:ind w:left="-15"/>
              <w:jc w:val="center"/>
              <w:rPr>
                <w:noProof/>
                <w:sz w:val="18"/>
                <w:szCs w:val="18"/>
              </w:rPr>
            </w:pPr>
          </w:p>
          <w:p w:rsidR="0073489B" w:rsidRDefault="00A46D11">
            <w:pPr>
              <w:jc w:val="center"/>
              <w:rPr>
                <w:noProof/>
                <w:sz w:val="18"/>
                <w:szCs w:val="18"/>
              </w:rPr>
            </w:pPr>
            <w:r>
              <w:rPr>
                <w:noProof/>
                <w:sz w:val="18"/>
                <w:szCs w:val="18"/>
              </w:rPr>
              <w:t>9,6</w:t>
            </w:r>
          </w:p>
          <w:p w:rsidR="0073489B" w:rsidRDefault="0073489B">
            <w:pPr>
              <w:ind w:left="-15"/>
              <w:jc w:val="center"/>
              <w:rPr>
                <w:noProof/>
                <w:sz w:val="18"/>
                <w:szCs w:val="18"/>
              </w:rPr>
            </w:pPr>
          </w:p>
        </w:tc>
      </w:tr>
      <w:tr w:rsidR="0073489B">
        <w:trPr>
          <w:gridAfter w:val="1"/>
          <w:wAfter w:w="189" w:type="dxa"/>
          <w:trHeight w:val="1267"/>
        </w:trPr>
        <w:tc>
          <w:tcPr>
            <w:tcW w:w="1276" w:type="dxa"/>
            <w:tcBorders>
              <w:top w:val="single" w:sz="4" w:space="0" w:color="auto"/>
              <w:left w:val="single" w:sz="4" w:space="0" w:color="auto"/>
              <w:right w:val="single" w:sz="4" w:space="0" w:color="auto"/>
            </w:tcBorders>
            <w:shd w:val="clear" w:color="auto" w:fill="auto"/>
            <w:vAlign w:val="center"/>
          </w:tcPr>
          <w:p w:rsidR="0073489B" w:rsidRDefault="00A46D11">
            <w:pPr>
              <w:jc w:val="center"/>
              <w:rPr>
                <w:noProof/>
              </w:rPr>
            </w:pPr>
            <w:r>
              <w:rPr>
                <w:rStyle w:val="Hyperlink"/>
                <w:b/>
                <w:bCs/>
                <w:noProof/>
                <w:sz w:val="18"/>
                <w:szCs w:val="18"/>
                <w:lang w:val="it-IT"/>
              </w:rPr>
              <w:lastRenderedPageBreak/>
              <w:t>EaSI CBI</w:t>
            </w:r>
          </w:p>
        </w:tc>
        <w:tc>
          <w:tcPr>
            <w:tcW w:w="851" w:type="dxa"/>
            <w:tcBorders>
              <w:top w:val="single" w:sz="4" w:space="0" w:color="auto"/>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E New</w:t>
            </w:r>
          </w:p>
        </w:tc>
        <w:tc>
          <w:tcPr>
            <w:tcW w:w="1275" w:type="dxa"/>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Reg. (EU)</w:t>
            </w:r>
            <w:r>
              <w:rPr>
                <w:noProof/>
                <w:sz w:val="18"/>
                <w:szCs w:val="18"/>
              </w:rPr>
              <w:br/>
              <w:t>N° 1296/2013</w:t>
            </w:r>
          </w:p>
        </w:tc>
        <w:tc>
          <w:tcPr>
            <w:tcW w:w="851" w:type="dxa"/>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EMPL</w:t>
            </w:r>
          </w:p>
        </w:tc>
        <w:tc>
          <w:tcPr>
            <w:tcW w:w="850" w:type="dxa"/>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EIF</w:t>
            </w:r>
          </w:p>
        </w:tc>
        <w:tc>
          <w:tcPr>
            <w:tcW w:w="1701" w:type="dxa"/>
            <w:gridSpan w:val="2"/>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 xml:space="preserve">Build up the institutional capacity of financial intermediaries to expand further their operations in the microfinance and in the social </w:t>
            </w:r>
            <w:r>
              <w:rPr>
                <w:noProof/>
                <w:sz w:val="18"/>
                <w:szCs w:val="18"/>
              </w:rPr>
              <w:t>entrepreneurship space</w:t>
            </w:r>
          </w:p>
        </w:tc>
        <w:tc>
          <w:tcPr>
            <w:tcW w:w="1134" w:type="dxa"/>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Financial Intermediaries</w:t>
            </w:r>
          </w:p>
        </w:tc>
        <w:tc>
          <w:tcPr>
            <w:tcW w:w="1276" w:type="dxa"/>
            <w:gridSpan w:val="2"/>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Micro-finance/Social Entrepreneurship</w:t>
            </w:r>
          </w:p>
        </w:tc>
        <w:tc>
          <w:tcPr>
            <w:tcW w:w="992" w:type="dxa"/>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16,00</w:t>
            </w:r>
            <w:r>
              <w:rPr>
                <w:noProof/>
                <w:sz w:val="18"/>
                <w:szCs w:val="18"/>
                <w:vertAlign w:val="superscript"/>
              </w:rPr>
              <w:footnoteReference w:id="11"/>
            </w:r>
          </w:p>
        </w:tc>
        <w:tc>
          <w:tcPr>
            <w:tcW w:w="993" w:type="dxa"/>
            <w:tcBorders>
              <w:top w:val="single" w:sz="4" w:space="0" w:color="auto"/>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12,72</w:t>
            </w:r>
          </w:p>
        </w:tc>
        <w:tc>
          <w:tcPr>
            <w:tcW w:w="850" w:type="dxa"/>
            <w:tcBorders>
              <w:top w:val="single" w:sz="4" w:space="0" w:color="auto"/>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10,78</w:t>
            </w:r>
          </w:p>
        </w:tc>
        <w:tc>
          <w:tcPr>
            <w:tcW w:w="1134" w:type="dxa"/>
            <w:tcBorders>
              <w:top w:val="single" w:sz="4" w:space="0" w:color="auto"/>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32*</w:t>
            </w:r>
          </w:p>
          <w:p w:rsidR="0073489B" w:rsidRDefault="00A46D11">
            <w:pPr>
              <w:jc w:val="center"/>
              <w:rPr>
                <w:noProof/>
                <w:sz w:val="18"/>
                <w:szCs w:val="18"/>
              </w:rPr>
            </w:pPr>
            <w:r>
              <w:rPr>
                <w:noProof/>
                <w:sz w:val="18"/>
                <w:szCs w:val="18"/>
              </w:rPr>
              <w:t>0***</w:t>
            </w:r>
          </w:p>
          <w:p w:rsidR="0073489B" w:rsidRDefault="0073489B">
            <w:pPr>
              <w:jc w:val="center"/>
              <w:rPr>
                <w:noProof/>
                <w:sz w:val="18"/>
                <w:szCs w:val="18"/>
              </w:rPr>
            </w:pPr>
          </w:p>
        </w:tc>
        <w:tc>
          <w:tcPr>
            <w:tcW w:w="1134" w:type="dxa"/>
            <w:gridSpan w:val="2"/>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8-10*</w:t>
            </w:r>
          </w:p>
          <w:p w:rsidR="0073489B" w:rsidRDefault="00A46D11">
            <w:pPr>
              <w:jc w:val="center"/>
              <w:rPr>
                <w:noProof/>
                <w:sz w:val="18"/>
                <w:szCs w:val="18"/>
              </w:rPr>
            </w:pPr>
            <w:r>
              <w:rPr>
                <w:noProof/>
                <w:sz w:val="18"/>
                <w:szCs w:val="18"/>
              </w:rPr>
              <w:t>0***</w:t>
            </w:r>
          </w:p>
        </w:tc>
        <w:tc>
          <w:tcPr>
            <w:tcW w:w="992" w:type="dxa"/>
            <w:tcBorders>
              <w:top w:val="single" w:sz="4" w:space="0" w:color="auto"/>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0</w:t>
            </w:r>
          </w:p>
        </w:tc>
        <w:tc>
          <w:tcPr>
            <w:tcW w:w="1134" w:type="dxa"/>
            <w:gridSpan w:val="2"/>
            <w:tcBorders>
              <w:top w:val="single" w:sz="4" w:space="0" w:color="auto"/>
              <w:left w:val="single" w:sz="4" w:space="0" w:color="auto"/>
              <w:right w:val="single" w:sz="4" w:space="0" w:color="auto"/>
            </w:tcBorders>
            <w:shd w:val="clear" w:color="auto" w:fill="D3DFEE"/>
            <w:vAlign w:val="center"/>
          </w:tcPr>
          <w:p w:rsidR="0073489B" w:rsidRDefault="00A46D11">
            <w:pPr>
              <w:ind w:left="-15"/>
              <w:jc w:val="center"/>
              <w:rPr>
                <w:noProof/>
                <w:sz w:val="18"/>
                <w:szCs w:val="18"/>
              </w:rPr>
            </w:pPr>
            <w:r>
              <w:rPr>
                <w:noProof/>
                <w:sz w:val="18"/>
                <w:szCs w:val="18"/>
              </w:rPr>
              <w:t>0</w:t>
            </w:r>
          </w:p>
        </w:tc>
      </w:tr>
      <w:tr w:rsidR="0073489B">
        <w:trPr>
          <w:gridAfter w:val="1"/>
          <w:wAfter w:w="189" w:type="dxa"/>
          <w:trHeight w:val="1426"/>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lang w:val="it-IT"/>
              </w:rPr>
            </w:pPr>
            <w:hyperlink w:anchor="_The_SME_Guarantee" w:history="1">
              <w:r>
                <w:rPr>
                  <w:rStyle w:val="Hyperlink"/>
                  <w:b/>
                  <w:bCs/>
                  <w:noProof/>
                  <w:sz w:val="18"/>
                  <w:szCs w:val="18"/>
                </w:rPr>
                <w:t>SMEG07 (CIP)</w:t>
              </w:r>
            </w:hyperlink>
          </w:p>
        </w:tc>
        <w:tc>
          <w:tcPr>
            <w:tcW w:w="851"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G</w:t>
            </w:r>
            <w:r>
              <w:rPr>
                <w:noProof/>
                <w:sz w:val="18"/>
                <w:szCs w:val="18"/>
                <w:vertAlign w:val="superscript"/>
              </w:rPr>
              <w:footnoteReference w:id="12"/>
            </w:r>
            <w:r>
              <w:rPr>
                <w:noProof/>
                <w:sz w:val="18"/>
                <w:szCs w:val="18"/>
              </w:rPr>
              <w:t>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Dec N°1639/2006/EC</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GROW ECFIN</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Increase the supply of debt financed to SMEs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highlight w:val="yellow"/>
              </w:rPr>
            </w:pPr>
            <w:r>
              <w:rPr>
                <w:noProof/>
                <w:sz w:val="18"/>
              </w:rPr>
              <w:t>637,80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highlight w:val="yellow"/>
              </w:rPr>
            </w:pPr>
            <w:r>
              <w:rPr>
                <w:noProof/>
                <w:sz w:val="18"/>
              </w:rPr>
              <w:t>649,90</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highlight w:val="yellow"/>
              </w:rPr>
            </w:pPr>
            <w:r>
              <w:rPr>
                <w:noProof/>
                <w:sz w:val="18"/>
              </w:rPr>
              <w:t>424,70</w:t>
            </w:r>
          </w:p>
        </w:tc>
        <w:tc>
          <w:tcPr>
            <w:tcW w:w="1134"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rPr>
            </w:pPr>
            <w:r>
              <w:rPr>
                <w:noProof/>
                <w:sz w:val="18"/>
              </w:rPr>
              <w:t>23 116**</w:t>
            </w:r>
          </w:p>
          <w:p w:rsidR="0073489B" w:rsidRDefault="00A46D11">
            <w:pPr>
              <w:jc w:val="center"/>
              <w:rPr>
                <w:noProof/>
                <w:sz w:val="18"/>
              </w:rPr>
            </w:pPr>
            <w:r>
              <w:rPr>
                <w:noProof/>
                <w:sz w:val="18"/>
              </w:rPr>
              <w:t>21 101***</w:t>
            </w:r>
          </w:p>
          <w:p w:rsidR="0073489B" w:rsidRDefault="0073489B">
            <w:pPr>
              <w:jc w:val="center"/>
              <w:rPr>
                <w:noProof/>
                <w:sz w:val="18"/>
              </w:rPr>
            </w:pPr>
          </w:p>
        </w:tc>
        <w:tc>
          <w:tcPr>
            <w:tcW w:w="1134" w:type="dxa"/>
            <w:gridSpan w:val="2"/>
            <w:tcBorders>
              <w:left w:val="single" w:sz="4" w:space="0" w:color="auto"/>
              <w:right w:val="single" w:sz="4" w:space="0" w:color="auto"/>
            </w:tcBorders>
            <w:shd w:val="clear" w:color="auto" w:fill="auto"/>
            <w:noWrap/>
            <w:vAlign w:val="center"/>
            <w:hideMark/>
          </w:tcPr>
          <w:p w:rsidR="0073489B" w:rsidRDefault="00A46D11">
            <w:pPr>
              <w:jc w:val="center"/>
              <w:rPr>
                <w:noProof/>
                <w:sz w:val="18"/>
              </w:rPr>
            </w:pPr>
            <w:r>
              <w:rPr>
                <w:noProof/>
                <w:sz w:val="18"/>
              </w:rPr>
              <w:t>385</w:t>
            </w:r>
            <w:r>
              <w:rPr>
                <w:noProof/>
                <w:sz w:val="18"/>
                <w:szCs w:val="18"/>
              </w:rPr>
              <w:t xml:space="preserve"> </w:t>
            </w:r>
            <w:r>
              <w:rPr>
                <w:noProof/>
                <w:sz w:val="18"/>
              </w:rPr>
              <w:t>772</w:t>
            </w:r>
          </w:p>
          <w:p w:rsidR="0073489B" w:rsidRDefault="00A46D11">
            <w:pPr>
              <w:jc w:val="center"/>
              <w:rPr>
                <w:noProof/>
                <w:sz w:val="18"/>
              </w:rPr>
            </w:pPr>
            <w:r>
              <w:rPr>
                <w:noProof/>
                <w:sz w:val="18"/>
              </w:rPr>
              <w:t>***</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highlight w:val="yellow"/>
              </w:rPr>
            </w:pPr>
            <w:r>
              <w:rPr>
                <w:noProof/>
                <w:sz w:val="18"/>
              </w:rPr>
              <w:t>21,8</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highlight w:val="yellow"/>
              </w:rPr>
            </w:pPr>
            <w:r>
              <w:rPr>
                <w:noProof/>
                <w:sz w:val="18"/>
              </w:rPr>
              <w:t>19,39</w:t>
            </w:r>
          </w:p>
        </w:tc>
      </w:tr>
      <w:tr w:rsidR="0073489B">
        <w:trPr>
          <w:gridAfter w:val="1"/>
          <w:wAfter w:w="189" w:type="dxa"/>
          <w:trHeight w:val="1389"/>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6"/>
              </w:rPr>
            </w:pPr>
            <w:hyperlink w:anchor="_European_Progress_Microfinance" w:history="1">
              <w:r>
                <w:rPr>
                  <w:rStyle w:val="Hyperlink"/>
                  <w:b/>
                  <w:bCs/>
                  <w:noProof/>
                  <w:sz w:val="18"/>
                  <w:szCs w:val="16"/>
                </w:rPr>
                <w:t>EPMF-G</w:t>
              </w:r>
            </w:hyperlink>
          </w:p>
        </w:tc>
        <w:tc>
          <w:tcPr>
            <w:tcW w:w="851"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G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7"/>
                <w:szCs w:val="17"/>
              </w:rPr>
            </w:pPr>
            <w:r>
              <w:rPr>
                <w:noProof/>
                <w:sz w:val="17"/>
                <w:szCs w:val="17"/>
              </w:rPr>
              <w:t>Dec N° 283/2010/EU</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EMPL ECFIN</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Enhances access to microfinance by reducing microfinance providers' risk</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it-IT"/>
              </w:rPr>
            </w:pPr>
            <w:r>
              <w:rPr>
                <w:noProof/>
                <w:sz w:val="18"/>
                <w:szCs w:val="18"/>
                <w:lang w:val="it-IT"/>
              </w:rPr>
              <w:t>Micro-finance/no specific focus</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23,60</w:t>
            </w:r>
          </w:p>
          <w:p w:rsidR="0073489B" w:rsidRDefault="0073489B">
            <w:pPr>
              <w:ind w:left="-15"/>
              <w:jc w:val="center"/>
              <w:rPr>
                <w:noProof/>
                <w:sz w:val="18"/>
                <w:szCs w:val="18"/>
              </w:rPr>
            </w:pP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23,60</w:t>
            </w:r>
          </w:p>
          <w:p w:rsidR="0073489B" w:rsidRDefault="0073489B">
            <w:pPr>
              <w:ind w:left="-15"/>
              <w:jc w:val="center"/>
              <w:rPr>
                <w:noProof/>
                <w:sz w:val="18"/>
                <w:szCs w:val="18"/>
              </w:rPr>
            </w:pP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22,55</w:t>
            </w:r>
          </w:p>
          <w:p w:rsidR="0073489B" w:rsidRDefault="0073489B">
            <w:pPr>
              <w:ind w:left="-15"/>
              <w:jc w:val="center"/>
              <w:rPr>
                <w:noProof/>
                <w:sz w:val="18"/>
                <w:szCs w:val="18"/>
              </w:rPr>
            </w:pPr>
          </w:p>
        </w:tc>
        <w:tc>
          <w:tcPr>
            <w:tcW w:w="1134"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286,48**</w:t>
            </w:r>
          </w:p>
          <w:p w:rsidR="0073489B" w:rsidRDefault="00A46D11">
            <w:pPr>
              <w:jc w:val="center"/>
              <w:rPr>
                <w:noProof/>
                <w:sz w:val="18"/>
                <w:szCs w:val="18"/>
              </w:rPr>
            </w:pPr>
            <w:r>
              <w:rPr>
                <w:noProof/>
                <w:sz w:val="18"/>
                <w:szCs w:val="18"/>
              </w:rPr>
              <w:t>235,63***</w:t>
            </w:r>
          </w:p>
          <w:p w:rsidR="0073489B" w:rsidRDefault="0073489B">
            <w:pPr>
              <w:jc w:val="center"/>
              <w:rPr>
                <w:noProof/>
                <w:sz w:val="18"/>
                <w:szCs w:val="18"/>
              </w:rPr>
            </w:pP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25 508 **</w:t>
            </w:r>
          </w:p>
          <w:p w:rsidR="0073489B" w:rsidRDefault="00A46D11">
            <w:pPr>
              <w:jc w:val="center"/>
              <w:rPr>
                <w:noProof/>
                <w:sz w:val="18"/>
                <w:szCs w:val="18"/>
              </w:rPr>
            </w:pPr>
            <w:r>
              <w:rPr>
                <w:noProof/>
                <w:sz w:val="18"/>
                <w:szCs w:val="18"/>
              </w:rPr>
              <w:t>19 713***</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1,85</w:t>
            </w:r>
          </w:p>
        </w:tc>
      </w:tr>
      <w:tr w:rsidR="0073489B">
        <w:trPr>
          <w:gridAfter w:val="1"/>
          <w:wAfter w:w="189" w:type="dxa"/>
          <w:trHeight w:val="1413"/>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6"/>
              </w:rPr>
            </w:pPr>
            <w:hyperlink w:anchor="_EaSI_Microfinance_and" w:history="1">
              <w:r>
                <w:rPr>
                  <w:rStyle w:val="Hyperlink"/>
                  <w:b/>
                  <w:bCs/>
                  <w:noProof/>
                  <w:sz w:val="18"/>
                  <w:szCs w:val="16"/>
                </w:rPr>
                <w:t>EaSI-G</w:t>
              </w:r>
            </w:hyperlink>
          </w:p>
        </w:tc>
        <w:tc>
          <w:tcPr>
            <w:tcW w:w="851"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(EU) N ° 1296/ 2013</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EMPL</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lang w:val="fr-FR"/>
              </w:rPr>
            </w:pPr>
            <w:r>
              <w:rPr>
                <w:noProof/>
                <w:sz w:val="18"/>
                <w:szCs w:val="18"/>
                <w:lang w:val="fr-FR"/>
              </w:rPr>
              <w:t>Microfinance for vulnerable groups/ Support social enterprises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Micro-enterprises/ Households/Social Enterprises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Micro-finance/Social Ent</w:t>
            </w:r>
            <w:r>
              <w:rPr>
                <w:noProof/>
                <w:sz w:val="18"/>
                <w:szCs w:val="18"/>
              </w:rPr>
              <w:t>erprises</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96,00</w:t>
            </w:r>
            <w:r>
              <w:rPr>
                <w:rStyle w:val="FootnoteReference"/>
                <w:noProof/>
                <w:sz w:val="18"/>
                <w:szCs w:val="18"/>
              </w:rPr>
              <w:footnoteReference w:id="13"/>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68,79</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42,22</w:t>
            </w:r>
          </w:p>
        </w:tc>
        <w:tc>
          <w:tcPr>
            <w:tcW w:w="1134"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528*</w:t>
            </w:r>
          </w:p>
          <w:p w:rsidR="0073489B" w:rsidRDefault="00A46D11">
            <w:pPr>
              <w:jc w:val="center"/>
              <w:rPr>
                <w:noProof/>
                <w:sz w:val="18"/>
                <w:szCs w:val="18"/>
              </w:rPr>
            </w:pPr>
            <w:r>
              <w:rPr>
                <w:noProof/>
                <w:sz w:val="18"/>
                <w:szCs w:val="18"/>
              </w:rPr>
              <w:t>753,57 **</w:t>
            </w:r>
          </w:p>
          <w:p w:rsidR="0073489B" w:rsidRDefault="00A46D11">
            <w:pPr>
              <w:jc w:val="center"/>
              <w:rPr>
                <w:noProof/>
                <w:sz w:val="18"/>
                <w:szCs w:val="18"/>
              </w:rPr>
            </w:pPr>
            <w:r>
              <w:rPr>
                <w:noProof/>
                <w:sz w:val="18"/>
                <w:szCs w:val="18"/>
              </w:rPr>
              <w:t>157,96***</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1 308*</w:t>
            </w:r>
            <w:r>
              <w:rPr>
                <w:noProof/>
                <w:sz w:val="16"/>
                <w:szCs w:val="18"/>
              </w:rPr>
              <w:t>*</w:t>
            </w:r>
          </w:p>
          <w:p w:rsidR="0073489B" w:rsidRDefault="00A46D11">
            <w:pPr>
              <w:jc w:val="center"/>
              <w:rPr>
                <w:noProof/>
                <w:sz w:val="18"/>
                <w:szCs w:val="18"/>
              </w:rPr>
            </w:pPr>
            <w:r>
              <w:rPr>
                <w:noProof/>
                <w:sz w:val="18"/>
                <w:szCs w:val="18"/>
              </w:rPr>
              <w:t>Soc. Entr.</w:t>
            </w:r>
          </w:p>
          <w:p w:rsidR="0073489B" w:rsidRDefault="00A46D11">
            <w:pPr>
              <w:jc w:val="center"/>
              <w:rPr>
                <w:noProof/>
                <w:sz w:val="16"/>
                <w:szCs w:val="18"/>
              </w:rPr>
            </w:pPr>
            <w:r>
              <w:rPr>
                <w:noProof/>
                <w:sz w:val="16"/>
                <w:szCs w:val="18"/>
              </w:rPr>
              <w:t>and</w:t>
            </w:r>
          </w:p>
          <w:p w:rsidR="0073489B" w:rsidRDefault="00A46D11">
            <w:pPr>
              <w:jc w:val="center"/>
              <w:rPr>
                <w:noProof/>
                <w:sz w:val="18"/>
                <w:szCs w:val="18"/>
              </w:rPr>
            </w:pPr>
            <w:r>
              <w:rPr>
                <w:noProof/>
                <w:sz w:val="18"/>
                <w:szCs w:val="18"/>
              </w:rPr>
              <w:t>54 507**</w:t>
            </w:r>
          </w:p>
          <w:p w:rsidR="0073489B" w:rsidRDefault="00A46D11">
            <w:pPr>
              <w:jc w:val="center"/>
              <w:rPr>
                <w:noProof/>
                <w:sz w:val="18"/>
                <w:szCs w:val="18"/>
              </w:rPr>
            </w:pPr>
            <w:r>
              <w:rPr>
                <w:noProof/>
                <w:sz w:val="18"/>
                <w:szCs w:val="18"/>
              </w:rPr>
              <w:t>Microfin. /</w:t>
            </w:r>
          </w:p>
          <w:p w:rsidR="0073489B" w:rsidRDefault="00A46D11">
            <w:pPr>
              <w:jc w:val="center"/>
              <w:rPr>
                <w:b/>
                <w:noProof/>
                <w:sz w:val="18"/>
                <w:szCs w:val="18"/>
                <w:highlight w:val="yellow"/>
              </w:rPr>
            </w:pPr>
            <w:r>
              <w:rPr>
                <w:noProof/>
                <w:sz w:val="18"/>
                <w:szCs w:val="18"/>
              </w:rPr>
              <w:t>63 Soc. Entr *** and 12 741***Microfin</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0,02</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6,28</w:t>
            </w:r>
          </w:p>
        </w:tc>
      </w:tr>
      <w:tr w:rsidR="0073489B">
        <w:trPr>
          <w:gridAfter w:val="1"/>
          <w:wAfter w:w="189" w:type="dxa"/>
          <w:trHeight w:val="1133"/>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6"/>
              </w:rPr>
            </w:pPr>
            <w:hyperlink w:anchor="_Loan_Guarantee_Facility" w:history="1">
              <w:r>
                <w:rPr>
                  <w:rStyle w:val="Hyperlink"/>
                  <w:b/>
                  <w:bCs/>
                  <w:noProof/>
                  <w:sz w:val="18"/>
                  <w:szCs w:val="16"/>
                </w:rPr>
                <w:t>Loan Guarantee Facility (COSME)</w:t>
              </w:r>
            </w:hyperlink>
          </w:p>
        </w:tc>
        <w:tc>
          <w:tcPr>
            <w:tcW w:w="851"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(EU) N°  1287/ 2013</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GROW</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Increase the supply of debt financed to SMEs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970,00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375,52</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182,96</w:t>
            </w:r>
          </w:p>
        </w:tc>
        <w:tc>
          <w:tcPr>
            <w:tcW w:w="1134" w:type="dxa"/>
            <w:tcBorders>
              <w:left w:val="single" w:sz="4" w:space="0" w:color="auto"/>
              <w:right w:val="single" w:sz="4" w:space="0" w:color="auto"/>
            </w:tcBorders>
            <w:shd w:val="clear" w:color="auto" w:fill="D3DFEE"/>
            <w:noWrap/>
            <w:vAlign w:val="bottom"/>
            <w:hideMark/>
          </w:tcPr>
          <w:p w:rsidR="0073489B" w:rsidRDefault="00A46D11">
            <w:pPr>
              <w:jc w:val="center"/>
              <w:rPr>
                <w:noProof/>
                <w:sz w:val="18"/>
                <w:szCs w:val="18"/>
              </w:rPr>
            </w:pPr>
            <w:r>
              <w:rPr>
                <w:noProof/>
                <w:sz w:val="18"/>
                <w:szCs w:val="18"/>
              </w:rPr>
              <w:t>14 300* to</w:t>
            </w:r>
          </w:p>
          <w:p w:rsidR="0073489B" w:rsidRDefault="00A46D11">
            <w:pPr>
              <w:jc w:val="center"/>
              <w:rPr>
                <w:noProof/>
                <w:sz w:val="18"/>
                <w:szCs w:val="18"/>
              </w:rPr>
            </w:pPr>
            <w:r>
              <w:rPr>
                <w:noProof/>
                <w:sz w:val="18"/>
                <w:szCs w:val="18"/>
              </w:rPr>
              <w:t>21 500*</w:t>
            </w:r>
          </w:p>
          <w:p w:rsidR="0073489B" w:rsidRDefault="00A46D11">
            <w:pPr>
              <w:jc w:val="center"/>
              <w:rPr>
                <w:noProof/>
                <w:sz w:val="18"/>
                <w:szCs w:val="18"/>
              </w:rPr>
            </w:pPr>
            <w:r>
              <w:rPr>
                <w:noProof/>
                <w:sz w:val="18"/>
                <w:szCs w:val="18"/>
              </w:rPr>
              <w:t>18 904,7**</w:t>
            </w:r>
          </w:p>
          <w:p w:rsidR="0073489B" w:rsidRDefault="00A46D11">
            <w:pPr>
              <w:jc w:val="center"/>
              <w:rPr>
                <w:noProof/>
                <w:sz w:val="18"/>
                <w:szCs w:val="18"/>
              </w:rPr>
            </w:pPr>
            <w:r>
              <w:rPr>
                <w:noProof/>
                <w:sz w:val="18"/>
                <w:szCs w:val="18"/>
              </w:rPr>
              <w:t>5 547,2***</w:t>
            </w:r>
          </w:p>
          <w:p w:rsidR="0073489B" w:rsidRDefault="0073489B">
            <w:pPr>
              <w:ind w:left="-15"/>
              <w:jc w:val="center"/>
              <w:rPr>
                <w:noProof/>
                <w:sz w:val="18"/>
                <w:szCs w:val="18"/>
              </w:rPr>
            </w:pPr>
          </w:p>
        </w:tc>
        <w:tc>
          <w:tcPr>
            <w:tcW w:w="1134" w:type="dxa"/>
            <w:gridSpan w:val="2"/>
            <w:tcBorders>
              <w:left w:val="single" w:sz="4" w:space="0" w:color="auto"/>
              <w:right w:val="single" w:sz="4" w:space="0" w:color="auto"/>
            </w:tcBorders>
            <w:shd w:val="clear" w:color="auto" w:fill="D3DFEE"/>
            <w:noWrap/>
            <w:vAlign w:val="center"/>
            <w:hideMark/>
          </w:tcPr>
          <w:p w:rsidR="0073489B" w:rsidRDefault="00A46D11">
            <w:pPr>
              <w:jc w:val="center"/>
              <w:rPr>
                <w:noProof/>
                <w:vanish/>
                <w:sz w:val="18"/>
                <w:szCs w:val="18"/>
                <w:specVanish/>
              </w:rPr>
            </w:pPr>
            <w:r>
              <w:rPr>
                <w:noProof/>
                <w:sz w:val="18"/>
                <w:szCs w:val="18"/>
              </w:rPr>
              <w:t xml:space="preserve">220 000 to 330 000* 291 000** </w:t>
            </w:r>
          </w:p>
          <w:p w:rsidR="0073489B" w:rsidRDefault="00A46D11">
            <w:pPr>
              <w:jc w:val="center"/>
              <w:rPr>
                <w:noProof/>
                <w:sz w:val="18"/>
                <w:szCs w:val="18"/>
              </w:rPr>
            </w:pPr>
            <w:r>
              <w:rPr>
                <w:noProof/>
                <w:sz w:val="18"/>
                <w:szCs w:val="18"/>
              </w:rPr>
              <w:t>143 344***</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0,29</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34,70</w:t>
            </w:r>
          </w:p>
        </w:tc>
      </w:tr>
      <w:tr w:rsidR="0073489B">
        <w:trPr>
          <w:gridAfter w:val="1"/>
          <w:wAfter w:w="189" w:type="dxa"/>
          <w:trHeight w:val="1558"/>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6"/>
              </w:rPr>
            </w:pPr>
            <w:hyperlink w:anchor="_RSI_(Pilot_guarantee" w:history="1">
              <w:r>
                <w:rPr>
                  <w:rStyle w:val="Hyperlink"/>
                  <w:b/>
                  <w:bCs/>
                  <w:noProof/>
                  <w:sz w:val="18"/>
                  <w:szCs w:val="16"/>
                </w:rPr>
                <w:t>RSI (2007-2013)</w:t>
              </w:r>
            </w:hyperlink>
          </w:p>
        </w:tc>
        <w:tc>
          <w:tcPr>
            <w:tcW w:w="851"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G 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Dec. N°1982/2006/EC</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RTD</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Address the financing gap for innovative SMEs and</w:t>
            </w:r>
          </w:p>
          <w:p w:rsidR="0073489B" w:rsidRDefault="00A46D11">
            <w:pPr>
              <w:jc w:val="center"/>
              <w:rPr>
                <w:noProof/>
                <w:sz w:val="18"/>
                <w:szCs w:val="18"/>
              </w:rPr>
            </w:pPr>
            <w:r>
              <w:rPr>
                <w:noProof/>
                <w:sz w:val="18"/>
                <w:szCs w:val="18"/>
              </w:rPr>
              <w:t>Small Midcaps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Innovative SMEs &amp; Small Midcaps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270,00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270,00</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270,00</w:t>
            </w:r>
          </w:p>
        </w:tc>
        <w:tc>
          <w:tcPr>
            <w:tcW w:w="1134"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3 301**</w:t>
            </w:r>
          </w:p>
          <w:p w:rsidR="0073489B" w:rsidRDefault="00A46D11">
            <w:pPr>
              <w:jc w:val="center"/>
              <w:rPr>
                <w:noProof/>
                <w:sz w:val="18"/>
                <w:szCs w:val="18"/>
              </w:rPr>
            </w:pPr>
            <w:r>
              <w:rPr>
                <w:noProof/>
                <w:sz w:val="18"/>
                <w:szCs w:val="18"/>
              </w:rPr>
              <w:t>2 331***</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3000**</w:t>
            </w:r>
          </w:p>
          <w:p w:rsidR="0073489B" w:rsidRDefault="00A46D11">
            <w:pPr>
              <w:jc w:val="center"/>
              <w:rPr>
                <w:noProof/>
                <w:sz w:val="18"/>
                <w:szCs w:val="18"/>
              </w:rPr>
            </w:pPr>
            <w:r>
              <w:rPr>
                <w:noProof/>
                <w:sz w:val="18"/>
                <w:szCs w:val="18"/>
              </w:rPr>
              <w:t>4 146***</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65,9</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14,84</w:t>
            </w:r>
          </w:p>
        </w:tc>
      </w:tr>
      <w:tr w:rsidR="0073489B">
        <w:trPr>
          <w:gridAfter w:val="1"/>
          <w:wAfter w:w="189" w:type="dxa"/>
          <w:trHeight w:val="1690"/>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rStyle w:val="Hyperlink"/>
                <w:b/>
                <w:bCs/>
                <w:noProof/>
                <w:sz w:val="18"/>
                <w:szCs w:val="16"/>
              </w:rPr>
            </w:pPr>
            <w:r>
              <w:rPr>
                <w:b/>
                <w:bCs/>
                <w:noProof/>
                <w:sz w:val="18"/>
                <w:szCs w:val="16"/>
              </w:rPr>
              <w:fldChar w:fldCharType="begin"/>
            </w:r>
            <w:r>
              <w:rPr>
                <w:b/>
                <w:bCs/>
                <w:noProof/>
                <w:sz w:val="18"/>
                <w:szCs w:val="16"/>
              </w:rPr>
              <w:instrText xml:space="preserve"> HYPERLI</w:instrText>
            </w:r>
            <w:r>
              <w:rPr>
                <w:b/>
                <w:bCs/>
                <w:noProof/>
                <w:sz w:val="18"/>
                <w:szCs w:val="16"/>
              </w:rPr>
              <w:instrText xml:space="preserve">NK  \l "_SMEs_&amp;_Small" </w:instrText>
            </w:r>
            <w:r>
              <w:rPr>
                <w:b/>
                <w:bCs/>
                <w:noProof/>
                <w:sz w:val="18"/>
                <w:szCs w:val="16"/>
              </w:rPr>
              <w:fldChar w:fldCharType="separate"/>
            </w:r>
            <w:r>
              <w:rPr>
                <w:rStyle w:val="Hyperlink"/>
                <w:b/>
                <w:bCs/>
                <w:noProof/>
                <w:sz w:val="18"/>
                <w:szCs w:val="16"/>
              </w:rPr>
              <w:t xml:space="preserve">InnovFin SME Guarantee </w:t>
            </w:r>
          </w:p>
          <w:p w:rsidR="0073489B" w:rsidRDefault="00A46D11">
            <w:pPr>
              <w:jc w:val="center"/>
              <w:rPr>
                <w:b/>
                <w:bCs/>
                <w:noProof/>
                <w:sz w:val="18"/>
                <w:szCs w:val="16"/>
              </w:rPr>
            </w:pPr>
            <w:r>
              <w:rPr>
                <w:rStyle w:val="Hyperlink"/>
                <w:b/>
                <w:bCs/>
                <w:noProof/>
                <w:sz w:val="18"/>
                <w:szCs w:val="16"/>
              </w:rPr>
              <w:t>(H2020)</w:t>
            </w:r>
            <w:r>
              <w:rPr>
                <w:b/>
                <w:bCs/>
                <w:noProof/>
                <w:sz w:val="18"/>
                <w:szCs w:val="16"/>
              </w:rPr>
              <w:fldChar w:fldCharType="end"/>
            </w:r>
          </w:p>
        </w:tc>
        <w:tc>
          <w:tcPr>
            <w:tcW w:w="851"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(EU) N°  1291/ 2013; 1290/ 2013</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RTD</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Address the financing gap for innovative SMEs and Small Midcaps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Innovative SMEs &amp; Small Midcaps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1 060</w:t>
            </w:r>
          </w:p>
        </w:tc>
        <w:tc>
          <w:tcPr>
            <w:tcW w:w="993"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534,47</w:t>
            </w:r>
          </w:p>
        </w:tc>
        <w:tc>
          <w:tcPr>
            <w:tcW w:w="850"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478,21</w:t>
            </w:r>
          </w:p>
        </w:tc>
        <w:tc>
          <w:tcPr>
            <w:tcW w:w="1134" w:type="dxa"/>
            <w:tcBorders>
              <w:left w:val="single" w:sz="4" w:space="0" w:color="auto"/>
              <w:right w:val="single" w:sz="4" w:space="0" w:color="auto"/>
            </w:tcBorders>
            <w:shd w:val="clear" w:color="auto" w:fill="D3DFEE"/>
            <w:noWrap/>
            <w:vAlign w:val="center"/>
          </w:tcPr>
          <w:p w:rsidR="0073489B" w:rsidRDefault="00A46D11">
            <w:pPr>
              <w:ind w:left="-15"/>
              <w:jc w:val="center"/>
              <w:rPr>
                <w:noProof/>
                <w:sz w:val="18"/>
                <w:szCs w:val="18"/>
              </w:rPr>
            </w:pPr>
            <w:r>
              <w:rPr>
                <w:noProof/>
                <w:sz w:val="18"/>
                <w:szCs w:val="18"/>
              </w:rPr>
              <w:t>9 500*</w:t>
            </w:r>
          </w:p>
          <w:p w:rsidR="0073489B" w:rsidRDefault="00A46D11">
            <w:pPr>
              <w:ind w:left="-15"/>
              <w:jc w:val="center"/>
              <w:rPr>
                <w:noProof/>
                <w:sz w:val="18"/>
                <w:szCs w:val="18"/>
              </w:rPr>
            </w:pPr>
            <w:r>
              <w:rPr>
                <w:noProof/>
                <w:sz w:val="18"/>
                <w:szCs w:val="18"/>
              </w:rPr>
              <w:t xml:space="preserve"> 8648**</w:t>
            </w:r>
          </w:p>
          <w:p w:rsidR="0073489B" w:rsidRDefault="00A46D11">
            <w:pPr>
              <w:ind w:left="-15"/>
              <w:jc w:val="center"/>
              <w:rPr>
                <w:noProof/>
                <w:sz w:val="18"/>
                <w:szCs w:val="18"/>
                <w:highlight w:val="yellow"/>
              </w:rPr>
            </w:pPr>
            <w:r>
              <w:rPr>
                <w:noProof/>
                <w:sz w:val="18"/>
                <w:szCs w:val="18"/>
              </w:rPr>
              <w:t>1944***</w:t>
            </w: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 xml:space="preserve">3 </w:t>
            </w:r>
            <w:r>
              <w:rPr>
                <w:noProof/>
                <w:sz w:val="18"/>
                <w:szCs w:val="18"/>
              </w:rPr>
              <w:t>000*</w:t>
            </w:r>
          </w:p>
          <w:p w:rsidR="0073489B" w:rsidRDefault="00A46D11">
            <w:pPr>
              <w:jc w:val="center"/>
              <w:rPr>
                <w:noProof/>
                <w:sz w:val="18"/>
                <w:szCs w:val="18"/>
              </w:rPr>
            </w:pPr>
            <w:r>
              <w:rPr>
                <w:noProof/>
                <w:sz w:val="18"/>
                <w:szCs w:val="18"/>
              </w:rPr>
              <w:t>24 400**</w:t>
            </w:r>
          </w:p>
          <w:p w:rsidR="0073489B" w:rsidRDefault="00A46D11">
            <w:pPr>
              <w:jc w:val="center"/>
              <w:rPr>
                <w:noProof/>
                <w:sz w:val="18"/>
                <w:szCs w:val="18"/>
                <w:highlight w:val="yellow"/>
              </w:rPr>
            </w:pPr>
            <w:r>
              <w:rPr>
                <w:noProof/>
                <w:sz w:val="18"/>
                <w:szCs w:val="18"/>
              </w:rPr>
              <w:t>5682***</w:t>
            </w:r>
          </w:p>
        </w:tc>
        <w:tc>
          <w:tcPr>
            <w:tcW w:w="992" w:type="dxa"/>
            <w:tcBorders>
              <w:left w:val="single" w:sz="4" w:space="0" w:color="auto"/>
              <w:right w:val="single" w:sz="4" w:space="0" w:color="auto"/>
            </w:tcBorders>
            <w:shd w:val="clear" w:color="auto" w:fill="D3DFEE"/>
            <w:vAlign w:val="center"/>
          </w:tcPr>
          <w:p w:rsidR="0073489B" w:rsidRDefault="00A46D11">
            <w:pPr>
              <w:jc w:val="center"/>
              <w:rPr>
                <w:noProof/>
                <w:sz w:val="18"/>
                <w:szCs w:val="18"/>
                <w:highlight w:val="yellow"/>
              </w:rPr>
            </w:pPr>
            <w:r>
              <w:rPr>
                <w:noProof/>
                <w:sz w:val="18"/>
                <w:szCs w:val="18"/>
              </w:rPr>
              <w:t>2,17</w:t>
            </w:r>
          </w:p>
        </w:tc>
        <w:tc>
          <w:tcPr>
            <w:tcW w:w="1134" w:type="dxa"/>
            <w:gridSpan w:val="2"/>
            <w:tcBorders>
              <w:left w:val="single" w:sz="4" w:space="0" w:color="auto"/>
              <w:right w:val="single" w:sz="4" w:space="0" w:color="auto"/>
            </w:tcBorders>
            <w:shd w:val="clear" w:color="auto" w:fill="D3DFEE"/>
            <w:vAlign w:val="center"/>
          </w:tcPr>
          <w:p w:rsidR="0073489B" w:rsidRDefault="00A46D11">
            <w:pPr>
              <w:jc w:val="center"/>
              <w:rPr>
                <w:noProof/>
                <w:sz w:val="18"/>
                <w:szCs w:val="18"/>
                <w:highlight w:val="yellow"/>
              </w:rPr>
            </w:pPr>
            <w:r>
              <w:rPr>
                <w:noProof/>
                <w:sz w:val="18"/>
                <w:szCs w:val="18"/>
              </w:rPr>
              <w:t>50,34</w:t>
            </w:r>
          </w:p>
        </w:tc>
      </w:tr>
      <w:tr w:rsidR="0073489B">
        <w:trPr>
          <w:gridAfter w:val="1"/>
          <w:wAfter w:w="189" w:type="dxa"/>
          <w:trHeight w:val="1132"/>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6"/>
              </w:rPr>
            </w:pPr>
            <w:hyperlink w:anchor="_The_Cultural_and" w:history="1">
              <w:r>
                <w:rPr>
                  <w:rStyle w:val="Hyperlink"/>
                  <w:b/>
                  <w:bCs/>
                  <w:noProof/>
                  <w:sz w:val="18"/>
                  <w:szCs w:val="16"/>
                </w:rPr>
                <w:t>The CCS</w:t>
              </w:r>
              <w:r>
                <w:rPr>
                  <w:rStyle w:val="Hyperlink"/>
                  <w:b/>
                  <w:bCs/>
                  <w:noProof/>
                  <w:sz w:val="18"/>
                  <w:szCs w:val="16"/>
                  <w:vertAlign w:val="superscript"/>
                </w:rPr>
                <w:footnoteReference w:id="14"/>
              </w:r>
              <w:r>
                <w:rPr>
                  <w:rStyle w:val="Hyperlink"/>
                  <w:b/>
                  <w:bCs/>
                  <w:noProof/>
                  <w:sz w:val="18"/>
                  <w:szCs w:val="16"/>
                </w:rPr>
                <w:t xml:space="preserve"> Guarantee Facility</w:t>
              </w:r>
            </w:hyperlink>
          </w:p>
        </w:tc>
        <w:tc>
          <w:tcPr>
            <w:tcW w:w="851"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(EU) N°  1295/ 2013</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CNECT</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Strengthen the competitiveness of the cultural and creative sectors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Arts &amp; Culture</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121,00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14,8</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5,98</w:t>
            </w:r>
          </w:p>
        </w:tc>
        <w:tc>
          <w:tcPr>
            <w:tcW w:w="1134"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689*</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n/a</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0.3</w:t>
            </w:r>
          </w:p>
        </w:tc>
      </w:tr>
      <w:tr w:rsidR="0073489B">
        <w:trPr>
          <w:gridAfter w:val="1"/>
          <w:wAfter w:w="189" w:type="dxa"/>
          <w:trHeight w:val="772"/>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Student_Loan_Guarantee" w:history="1">
              <w:r>
                <w:rPr>
                  <w:rStyle w:val="Hyperlink"/>
                  <w:b/>
                  <w:bCs/>
                  <w:noProof/>
                  <w:sz w:val="18"/>
                  <w:szCs w:val="18"/>
                </w:rPr>
                <w:t>Student Loan Guarantee Facility (Erasmus +)</w:t>
              </w:r>
            </w:hyperlink>
          </w:p>
        </w:tc>
        <w:tc>
          <w:tcPr>
            <w:tcW w:w="851"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(EU) N° 1288/ 2013</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EAC</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Support mobility, equity and study excellence</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Students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Education</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517,00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115,67</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21,24</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2 947*</w:t>
            </w:r>
          </w:p>
          <w:p w:rsidR="0073489B" w:rsidRDefault="00A46D11">
            <w:pPr>
              <w:jc w:val="center"/>
              <w:rPr>
                <w:noProof/>
                <w:sz w:val="18"/>
                <w:szCs w:val="18"/>
              </w:rPr>
            </w:pPr>
            <w:r>
              <w:rPr>
                <w:noProof/>
                <w:sz w:val="18"/>
                <w:szCs w:val="18"/>
              </w:rPr>
              <w:t>160**</w:t>
            </w:r>
          </w:p>
          <w:p w:rsidR="0073489B" w:rsidRDefault="00A46D11">
            <w:pPr>
              <w:jc w:val="center"/>
              <w:rPr>
                <w:noProof/>
                <w:sz w:val="18"/>
                <w:szCs w:val="18"/>
              </w:rPr>
            </w:pPr>
            <w:r>
              <w:rPr>
                <w:noProof/>
                <w:sz w:val="18"/>
                <w:szCs w:val="18"/>
              </w:rPr>
              <w:t>3***</w:t>
            </w:r>
          </w:p>
        </w:tc>
        <w:tc>
          <w:tcPr>
            <w:tcW w:w="1134" w:type="dxa"/>
            <w:gridSpan w:val="2"/>
            <w:tcBorders>
              <w:left w:val="single" w:sz="4" w:space="0" w:color="auto"/>
              <w:right w:val="single" w:sz="4" w:space="0" w:color="auto"/>
            </w:tcBorders>
            <w:shd w:val="clear" w:color="auto" w:fill="D3DFEE"/>
            <w:noWrap/>
            <w:vAlign w:val="center"/>
          </w:tcPr>
          <w:p w:rsidR="0073489B" w:rsidRDefault="00A46D11">
            <w:pPr>
              <w:rPr>
                <w:noProof/>
                <w:sz w:val="18"/>
                <w:szCs w:val="18"/>
                <w:vertAlign w:val="superscript"/>
              </w:rPr>
            </w:pPr>
            <w:r>
              <w:rPr>
                <w:noProof/>
                <w:sz w:val="18"/>
                <w:szCs w:val="18"/>
              </w:rPr>
              <w:t>200 000</w:t>
            </w:r>
            <w:r>
              <w:rPr>
                <w:noProof/>
                <w:sz w:val="18"/>
                <w:szCs w:val="18"/>
                <w:vertAlign w:val="superscript"/>
              </w:rPr>
              <w:t>*</w:t>
            </w:r>
          </w:p>
          <w:p w:rsidR="0073489B" w:rsidRDefault="00A46D11">
            <w:pPr>
              <w:rPr>
                <w:noProof/>
                <w:sz w:val="18"/>
                <w:szCs w:val="18"/>
              </w:rPr>
            </w:pPr>
            <w:r>
              <w:rPr>
                <w:noProof/>
                <w:sz w:val="18"/>
                <w:szCs w:val="18"/>
              </w:rPr>
              <w:t>11 500 **</w:t>
            </w:r>
          </w:p>
          <w:p w:rsidR="0073489B" w:rsidRDefault="00A46D11">
            <w:pPr>
              <w:rPr>
                <w:noProof/>
                <w:sz w:val="18"/>
                <w:szCs w:val="18"/>
              </w:rPr>
            </w:pPr>
            <w:r>
              <w:rPr>
                <w:noProof/>
                <w:sz w:val="18"/>
                <w:szCs w:val="18"/>
              </w:rPr>
              <w:t>247***</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0,1</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6,61</w:t>
            </w:r>
          </w:p>
        </w:tc>
      </w:tr>
      <w:tr w:rsidR="0073489B">
        <w:trPr>
          <w:gridAfter w:val="1"/>
          <w:wAfter w:w="189" w:type="dxa"/>
          <w:trHeight w:val="995"/>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Private_Finance_for" w:history="1">
              <w:r>
                <w:rPr>
                  <w:rStyle w:val="Hyperlink"/>
                  <w:b/>
                  <w:bCs/>
                  <w:noProof/>
                  <w:sz w:val="18"/>
                  <w:szCs w:val="18"/>
                </w:rPr>
                <w:t>PF4EE</w:t>
              </w:r>
            </w:hyperlink>
          </w:p>
        </w:tc>
        <w:tc>
          <w:tcPr>
            <w:tcW w:w="851"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(EU) N° 1293</w:t>
            </w:r>
            <w:r>
              <w:rPr>
                <w:noProof/>
                <w:sz w:val="17"/>
                <w:szCs w:val="17"/>
              </w:rPr>
              <w:t>/ 2013</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CLIMA</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Support access to finance and/or better financing conditions to EE investors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Private individuals,  associations SMEs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Energy</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green"/>
              </w:rPr>
            </w:pPr>
            <w:r>
              <w:rPr>
                <w:noProof/>
                <w:sz w:val="18"/>
                <w:szCs w:val="18"/>
              </w:rPr>
              <w:t>80,00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70</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19,12</w:t>
            </w:r>
          </w:p>
        </w:tc>
        <w:tc>
          <w:tcPr>
            <w:tcW w:w="1134"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highlight w:val="green"/>
              </w:rPr>
            </w:pPr>
            <w:r>
              <w:rPr>
                <w:noProof/>
                <w:sz w:val="18"/>
                <w:szCs w:val="18"/>
              </w:rPr>
              <w:t>540*</w:t>
            </w:r>
          </w:p>
        </w:tc>
        <w:tc>
          <w:tcPr>
            <w:tcW w:w="1134" w:type="dxa"/>
            <w:gridSpan w:val="2"/>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n/a</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0,50</w:t>
            </w:r>
          </w:p>
        </w:tc>
      </w:tr>
      <w:tr w:rsidR="0073489B">
        <w:trPr>
          <w:gridAfter w:val="1"/>
          <w:wAfter w:w="189" w:type="dxa"/>
          <w:trHeight w:val="1091"/>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Risk-Sharing_Finance_Facility" w:history="1">
              <w:r>
                <w:rPr>
                  <w:rStyle w:val="Hyperlink"/>
                  <w:b/>
                  <w:bCs/>
                  <w:noProof/>
                  <w:sz w:val="18"/>
                  <w:szCs w:val="18"/>
                </w:rPr>
                <w:t>RSFF (2007-2013)</w:t>
              </w:r>
            </w:hyperlink>
          </w:p>
        </w:tc>
        <w:tc>
          <w:tcPr>
            <w:tcW w:w="851"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RS</w:t>
            </w:r>
            <w:r>
              <w:rPr>
                <w:noProof/>
                <w:sz w:val="18"/>
                <w:szCs w:val="18"/>
                <w:vertAlign w:val="superscript"/>
              </w:rPr>
              <w:footnoteReference w:id="15"/>
            </w:r>
            <w:r>
              <w:rPr>
                <w:noProof/>
                <w:sz w:val="18"/>
                <w:szCs w:val="18"/>
              </w:rPr>
              <w:t xml:space="preserve">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Dec. N° 1982/2006/EC</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RTD</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Improve access to risk finance for R&amp;I projects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Large firms, large &amp; medium Midcaps, Research Institutes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960,73</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960,73</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960,73</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11 313**</w:t>
            </w:r>
          </w:p>
          <w:p w:rsidR="0073489B" w:rsidRDefault="00A46D11">
            <w:pPr>
              <w:jc w:val="center"/>
              <w:rPr>
                <w:noProof/>
                <w:sz w:val="18"/>
                <w:szCs w:val="18"/>
              </w:rPr>
            </w:pPr>
            <w:r>
              <w:rPr>
                <w:noProof/>
                <w:sz w:val="18"/>
                <w:szCs w:val="18"/>
              </w:rPr>
              <w:t>10 220***</w:t>
            </w:r>
          </w:p>
          <w:p w:rsidR="0073489B" w:rsidRDefault="0073489B">
            <w:pPr>
              <w:jc w:val="center"/>
              <w:rPr>
                <w:noProof/>
                <w:sz w:val="18"/>
                <w:szCs w:val="18"/>
              </w:rPr>
            </w:pP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114**</w:t>
            </w:r>
          </w:p>
          <w:p w:rsidR="0073489B" w:rsidRDefault="00A46D11">
            <w:pPr>
              <w:jc w:val="center"/>
              <w:rPr>
                <w:noProof/>
                <w:sz w:val="18"/>
                <w:szCs w:val="18"/>
              </w:rPr>
            </w:pPr>
            <w:r>
              <w:rPr>
                <w:noProof/>
                <w:sz w:val="18"/>
                <w:szCs w:val="18"/>
              </w:rPr>
              <w:t>112***</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476</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81</w:t>
            </w:r>
          </w:p>
        </w:tc>
      </w:tr>
      <w:tr w:rsidR="0073489B">
        <w:trPr>
          <w:gridAfter w:val="1"/>
          <w:wAfter w:w="189" w:type="dxa"/>
          <w:trHeight w:val="2373"/>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rStyle w:val="Hyperlink"/>
                <w:b/>
                <w:bCs/>
                <w:noProof/>
                <w:sz w:val="18"/>
                <w:szCs w:val="18"/>
              </w:rPr>
            </w:pPr>
            <w:r>
              <w:rPr>
                <w:b/>
                <w:bCs/>
                <w:noProof/>
                <w:sz w:val="18"/>
                <w:szCs w:val="18"/>
              </w:rPr>
              <w:fldChar w:fldCharType="begin"/>
            </w:r>
            <w:r>
              <w:rPr>
                <w:b/>
                <w:bCs/>
                <w:noProof/>
                <w:sz w:val="18"/>
                <w:szCs w:val="18"/>
              </w:rPr>
              <w:instrText xml:space="preserve"> HYP</w:instrText>
            </w:r>
            <w:r>
              <w:rPr>
                <w:b/>
                <w:bCs/>
                <w:noProof/>
                <w:sz w:val="18"/>
                <w:szCs w:val="18"/>
              </w:rPr>
              <w:instrText xml:space="preserve">ERLINK  \l "_Horizon_2020_Loan" </w:instrText>
            </w:r>
            <w:r>
              <w:rPr>
                <w:b/>
                <w:bCs/>
                <w:noProof/>
                <w:sz w:val="18"/>
                <w:szCs w:val="18"/>
              </w:rPr>
              <w:fldChar w:fldCharType="separate"/>
            </w:r>
            <w:r>
              <w:rPr>
                <w:rStyle w:val="Hyperlink"/>
                <w:b/>
                <w:bCs/>
                <w:noProof/>
                <w:sz w:val="18"/>
                <w:szCs w:val="18"/>
              </w:rPr>
              <w:t>InnovFin Large Projects</w:t>
            </w:r>
          </w:p>
          <w:p w:rsidR="0073489B" w:rsidRDefault="00A46D11">
            <w:pPr>
              <w:jc w:val="center"/>
              <w:rPr>
                <w:rStyle w:val="Hyperlink"/>
                <w:b/>
                <w:bCs/>
                <w:noProof/>
                <w:sz w:val="18"/>
                <w:szCs w:val="18"/>
              </w:rPr>
            </w:pPr>
            <w:r>
              <w:rPr>
                <w:rStyle w:val="Hyperlink"/>
                <w:b/>
                <w:bCs/>
                <w:noProof/>
                <w:sz w:val="18"/>
                <w:szCs w:val="18"/>
              </w:rPr>
              <w:t>InnovFin MidCap Growth Finance</w:t>
            </w:r>
          </w:p>
          <w:p w:rsidR="0073489B" w:rsidRDefault="00A46D11">
            <w:pPr>
              <w:jc w:val="center"/>
              <w:rPr>
                <w:b/>
                <w:bCs/>
                <w:noProof/>
                <w:sz w:val="18"/>
                <w:szCs w:val="18"/>
              </w:rPr>
            </w:pPr>
            <w:r>
              <w:rPr>
                <w:rStyle w:val="Hyperlink"/>
                <w:b/>
                <w:bCs/>
                <w:noProof/>
                <w:sz w:val="18"/>
                <w:szCs w:val="18"/>
              </w:rPr>
              <w:t>InnovFin MidCap Guarantee (H2020)</w:t>
            </w:r>
            <w:r>
              <w:rPr>
                <w:b/>
                <w:bCs/>
                <w:noProof/>
                <w:sz w:val="18"/>
                <w:szCs w:val="18"/>
              </w:rPr>
              <w:fldChar w:fldCharType="end"/>
            </w:r>
            <w:r>
              <w:rPr>
                <w:b/>
                <w:bCs/>
                <w:noProof/>
                <w:sz w:val="18"/>
                <w:szCs w:val="18"/>
              </w:rPr>
              <w:t xml:space="preserve"> </w:t>
            </w:r>
            <w:r>
              <w:rPr>
                <w:rStyle w:val="Hyperlink"/>
                <w:b/>
                <w:bCs/>
                <w:noProof/>
                <w:sz w:val="18"/>
                <w:szCs w:val="18"/>
              </w:rPr>
              <w:t>(InnovFin Debt</w:t>
            </w:r>
            <w:r>
              <w:rPr>
                <w:rStyle w:val="Hyperlink"/>
                <w:noProof/>
              </w:rPr>
              <w:t>)</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lang w:val="pt-PT"/>
              </w:rPr>
            </w:pPr>
            <w:r>
              <w:rPr>
                <w:noProof/>
                <w:sz w:val="18"/>
                <w:szCs w:val="18"/>
              </w:rPr>
              <w:t>Reg. (EU) N° 1291/ 2013; 1290/ 2013</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RTD</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Improve access to risk finance for R&amp;I projects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Large firms, larg</w:t>
            </w:r>
            <w:r>
              <w:rPr>
                <w:noProof/>
                <w:sz w:val="18"/>
                <w:szCs w:val="18"/>
              </w:rPr>
              <w:t>e &amp; medium Midcaps, Research Institutes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auto"/>
            <w:vAlign w:val="center"/>
          </w:tcPr>
          <w:p w:rsidR="0073489B" w:rsidRDefault="00A46D11">
            <w:pPr>
              <w:jc w:val="center"/>
              <w:rPr>
                <w:noProof/>
                <w:sz w:val="18"/>
                <w:szCs w:val="18"/>
                <w:highlight w:val="yellow"/>
              </w:rPr>
            </w:pPr>
            <w:r>
              <w:rPr>
                <w:noProof/>
                <w:sz w:val="18"/>
                <w:szCs w:val="18"/>
              </w:rPr>
              <w:t>1 060,00</w:t>
            </w:r>
            <w:r>
              <w:rPr>
                <w:rStyle w:val="FootnoteReference"/>
                <w:noProof/>
                <w:sz w:val="18"/>
                <w:szCs w:val="18"/>
              </w:rPr>
              <w:footnoteReference w:id="16"/>
            </w:r>
          </w:p>
        </w:tc>
        <w:tc>
          <w:tcPr>
            <w:tcW w:w="993"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highlight w:val="yellow"/>
              </w:rPr>
            </w:pPr>
            <w:r>
              <w:rPr>
                <w:noProof/>
                <w:sz w:val="18"/>
                <w:szCs w:val="18"/>
              </w:rPr>
              <w:t>796</w:t>
            </w:r>
          </w:p>
        </w:tc>
        <w:tc>
          <w:tcPr>
            <w:tcW w:w="850"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highlight w:val="yellow"/>
              </w:rPr>
            </w:pPr>
            <w:r>
              <w:rPr>
                <w:noProof/>
                <w:sz w:val="18"/>
                <w:szCs w:val="18"/>
              </w:rPr>
              <w:t>786</w:t>
            </w:r>
          </w:p>
        </w:tc>
        <w:tc>
          <w:tcPr>
            <w:tcW w:w="1134"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13 250*</w:t>
            </w:r>
          </w:p>
          <w:p w:rsidR="0073489B" w:rsidRDefault="00A46D11">
            <w:pPr>
              <w:jc w:val="center"/>
              <w:rPr>
                <w:noProof/>
                <w:sz w:val="18"/>
                <w:szCs w:val="18"/>
              </w:rPr>
            </w:pPr>
            <w:r>
              <w:rPr>
                <w:noProof/>
                <w:sz w:val="18"/>
                <w:szCs w:val="18"/>
              </w:rPr>
              <w:t>5918,2**</w:t>
            </w:r>
          </w:p>
          <w:p w:rsidR="0073489B" w:rsidRDefault="00A46D11">
            <w:pPr>
              <w:jc w:val="center"/>
              <w:rPr>
                <w:noProof/>
                <w:sz w:val="18"/>
                <w:szCs w:val="18"/>
              </w:rPr>
            </w:pPr>
            <w:r>
              <w:rPr>
                <w:noProof/>
                <w:sz w:val="18"/>
                <w:szCs w:val="18"/>
              </w:rPr>
              <w:t>3544,5***</w:t>
            </w:r>
          </w:p>
          <w:p w:rsidR="0073489B" w:rsidRDefault="0073489B">
            <w:pPr>
              <w:ind w:left="-15"/>
              <w:jc w:val="center"/>
              <w:rPr>
                <w:noProof/>
                <w:sz w:val="18"/>
                <w:szCs w:val="18"/>
                <w:highlight w:val="yellow"/>
              </w:rPr>
            </w:pPr>
          </w:p>
        </w:tc>
        <w:tc>
          <w:tcPr>
            <w:tcW w:w="1134" w:type="dxa"/>
            <w:gridSpan w:val="2"/>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97**</w:t>
            </w:r>
          </w:p>
          <w:p w:rsidR="0073489B" w:rsidRDefault="00A46D11">
            <w:pPr>
              <w:jc w:val="center"/>
              <w:rPr>
                <w:noProof/>
                <w:sz w:val="18"/>
                <w:szCs w:val="18"/>
                <w:highlight w:val="yellow"/>
              </w:rPr>
            </w:pPr>
            <w:r>
              <w:rPr>
                <w:noProof/>
                <w:sz w:val="18"/>
                <w:szCs w:val="18"/>
              </w:rPr>
              <w:t>72***</w:t>
            </w:r>
          </w:p>
        </w:tc>
        <w:tc>
          <w:tcPr>
            <w:tcW w:w="992" w:type="dxa"/>
            <w:tcBorders>
              <w:left w:val="single" w:sz="4" w:space="0" w:color="auto"/>
              <w:right w:val="single" w:sz="4" w:space="0" w:color="auto"/>
            </w:tcBorders>
            <w:shd w:val="clear" w:color="auto" w:fill="auto"/>
            <w:vAlign w:val="center"/>
          </w:tcPr>
          <w:p w:rsidR="0073489B" w:rsidRDefault="00A46D11">
            <w:pPr>
              <w:jc w:val="center"/>
              <w:rPr>
                <w:noProof/>
                <w:sz w:val="18"/>
                <w:szCs w:val="18"/>
                <w:highlight w:val="yellow"/>
              </w:rPr>
            </w:pPr>
            <w:r>
              <w:rPr>
                <w:noProof/>
                <w:sz w:val="18"/>
                <w:szCs w:val="18"/>
              </w:rPr>
              <w:t>31,5</w:t>
            </w:r>
          </w:p>
        </w:tc>
        <w:tc>
          <w:tcPr>
            <w:tcW w:w="1134"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highlight w:val="yellow"/>
              </w:rPr>
            </w:pPr>
            <w:r>
              <w:rPr>
                <w:noProof/>
                <w:sz w:val="18"/>
                <w:szCs w:val="18"/>
              </w:rPr>
              <w:t>30,89</w:t>
            </w:r>
          </w:p>
        </w:tc>
      </w:tr>
      <w:tr w:rsidR="0073489B">
        <w:trPr>
          <w:gridAfter w:val="1"/>
          <w:wAfter w:w="189" w:type="dxa"/>
          <w:trHeight w:val="1480"/>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Risk_sharing_debt" w:history="1">
              <w:r>
                <w:rPr>
                  <w:rStyle w:val="Hyperlink"/>
                  <w:b/>
                  <w:bCs/>
                  <w:noProof/>
                  <w:sz w:val="18"/>
                  <w:szCs w:val="18"/>
                </w:rPr>
                <w:t>Risk Sharing debt instruments (CEF DI)</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(EU) N° 1316/ 2013</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MOVE ENER CONNECT</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Stimulate capital market financing for infrastructure projects in transport, energy, broadband networks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Transpor</w:t>
            </w:r>
            <w:r>
              <w:rPr>
                <w:noProof/>
                <w:sz w:val="18"/>
                <w:szCs w:val="18"/>
              </w:rPr>
              <w:t>t, Energy, Broadband</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2 557</w:t>
            </w:r>
            <w:r>
              <w:rPr>
                <w:rStyle w:val="FootnoteReference"/>
                <w:noProof/>
                <w:sz w:val="18"/>
                <w:szCs w:val="18"/>
              </w:rPr>
              <w:footnoteReference w:id="17"/>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688,7</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479,4</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 xml:space="preserve">14 400* to </w:t>
            </w:r>
          </w:p>
          <w:p w:rsidR="0073489B" w:rsidRDefault="00A46D11">
            <w:pPr>
              <w:jc w:val="center"/>
              <w:rPr>
                <w:noProof/>
                <w:sz w:val="18"/>
                <w:szCs w:val="18"/>
              </w:rPr>
            </w:pPr>
            <w:r>
              <w:rPr>
                <w:noProof/>
                <w:sz w:val="18"/>
                <w:szCs w:val="18"/>
              </w:rPr>
              <w:t>36 000*</w:t>
            </w:r>
          </w:p>
          <w:p w:rsidR="0073489B" w:rsidRDefault="00A46D11">
            <w:pPr>
              <w:jc w:val="center"/>
              <w:rPr>
                <w:noProof/>
                <w:sz w:val="18"/>
                <w:szCs w:val="18"/>
              </w:rPr>
            </w:pPr>
            <w:r>
              <w:rPr>
                <w:noProof/>
                <w:sz w:val="18"/>
                <w:szCs w:val="18"/>
                <w:lang w:val="pt-PT"/>
              </w:rPr>
              <w:t>15 583</w:t>
            </w:r>
            <w:r>
              <w:rPr>
                <w:noProof/>
                <w:sz w:val="18"/>
                <w:szCs w:val="18"/>
              </w:rPr>
              <w:t>**</w:t>
            </w:r>
          </w:p>
          <w:p w:rsidR="0073489B" w:rsidRDefault="00A46D11">
            <w:pPr>
              <w:jc w:val="center"/>
              <w:rPr>
                <w:noProof/>
                <w:sz w:val="18"/>
                <w:szCs w:val="18"/>
              </w:rPr>
            </w:pPr>
            <w:r>
              <w:rPr>
                <w:noProof/>
                <w:sz w:val="18"/>
                <w:szCs w:val="18"/>
              </w:rPr>
              <w:t>13 865***</w:t>
            </w:r>
          </w:p>
          <w:p w:rsidR="0073489B" w:rsidRDefault="0073489B">
            <w:pPr>
              <w:jc w:val="center"/>
              <w:rPr>
                <w:noProof/>
                <w:sz w:val="18"/>
                <w:szCs w:val="18"/>
              </w:rPr>
            </w:pP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11***</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13,4</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1,98</w:t>
            </w:r>
          </w:p>
        </w:tc>
      </w:tr>
      <w:tr w:rsidR="0073489B">
        <w:trPr>
          <w:gridAfter w:val="1"/>
          <w:wAfter w:w="189" w:type="dxa"/>
          <w:trHeight w:val="1005"/>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Natural_Capital_Financing" w:history="1">
              <w:r>
                <w:rPr>
                  <w:rStyle w:val="Hyperlink"/>
                  <w:b/>
                  <w:bCs/>
                  <w:noProof/>
                  <w:sz w:val="18"/>
                  <w:szCs w:val="18"/>
                  <w:lang w:val="pt-PT"/>
                </w:rPr>
                <w:t>NCFF</w:t>
              </w:r>
            </w:hyperlink>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(EU) N° 1293/ 2013</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 xml:space="preserve">ENV </w:t>
            </w:r>
          </w:p>
          <w:p w:rsidR="0073489B" w:rsidRDefault="00A46D11">
            <w:pPr>
              <w:jc w:val="center"/>
              <w:rPr>
                <w:noProof/>
                <w:sz w:val="18"/>
                <w:szCs w:val="18"/>
              </w:rPr>
            </w:pPr>
            <w:r>
              <w:rPr>
                <w:noProof/>
                <w:sz w:val="18"/>
                <w:szCs w:val="18"/>
              </w:rPr>
              <w:t>CLIMA</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Promote the preservation of natural capital</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Environment</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60,00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50</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11,75</w:t>
            </w:r>
          </w:p>
        </w:tc>
        <w:tc>
          <w:tcPr>
            <w:tcW w:w="1134"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120-240</w:t>
            </w:r>
            <w:r>
              <w:rPr>
                <w:noProof/>
                <w:sz w:val="16"/>
                <w:szCs w:val="18"/>
                <w:vertAlign w:val="superscript"/>
              </w:rPr>
              <w:t>*</w:t>
            </w:r>
          </w:p>
        </w:tc>
        <w:tc>
          <w:tcPr>
            <w:tcW w:w="1134"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n/a</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0,60</w:t>
            </w:r>
          </w:p>
        </w:tc>
      </w:tr>
      <w:tr w:rsidR="0073489B">
        <w:trPr>
          <w:gridAfter w:val="1"/>
          <w:wAfter w:w="189" w:type="dxa"/>
          <w:trHeight w:val="1416"/>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EU_SME_Initiative" w:history="1">
              <w:r>
                <w:rPr>
                  <w:rStyle w:val="Hyperlink"/>
                  <w:b/>
                  <w:bCs/>
                  <w:noProof/>
                  <w:sz w:val="18"/>
                  <w:szCs w:val="18"/>
                </w:rPr>
                <w:t>EU SME Initiative</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Reg. (EU) N° 1287/</w:t>
            </w:r>
          </w:p>
          <w:p w:rsidR="0073489B" w:rsidRDefault="00A46D11">
            <w:pPr>
              <w:ind w:left="-15"/>
              <w:jc w:val="center"/>
              <w:rPr>
                <w:noProof/>
                <w:sz w:val="18"/>
                <w:szCs w:val="18"/>
                <w:lang w:val="pt-PT"/>
              </w:rPr>
            </w:pPr>
            <w:r>
              <w:rPr>
                <w:noProof/>
                <w:sz w:val="18"/>
                <w:szCs w:val="18"/>
                <w:lang w:val="pt-PT"/>
              </w:rPr>
              <w:t xml:space="preserve">2013;    </w:t>
            </w:r>
          </w:p>
          <w:p w:rsidR="0073489B" w:rsidRDefault="00A46D11">
            <w:pPr>
              <w:ind w:left="-15"/>
              <w:jc w:val="center"/>
              <w:rPr>
                <w:noProof/>
                <w:sz w:val="18"/>
                <w:szCs w:val="18"/>
                <w:lang w:val="pt-PT"/>
              </w:rPr>
            </w:pPr>
            <w:r>
              <w:rPr>
                <w:noProof/>
                <w:sz w:val="18"/>
                <w:szCs w:val="18"/>
                <w:lang w:val="pt-PT"/>
              </w:rPr>
              <w:t xml:space="preserve">  12   91/ 2013; 1303/ 2013</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REGIO</w:t>
            </w:r>
          </w:p>
          <w:p w:rsidR="0073489B" w:rsidRDefault="00A46D11">
            <w:pPr>
              <w:jc w:val="center"/>
              <w:rPr>
                <w:noProof/>
                <w:sz w:val="18"/>
                <w:szCs w:val="18"/>
                <w:lang w:val="pt-PT"/>
              </w:rPr>
            </w:pPr>
            <w:r>
              <w:rPr>
                <w:noProof/>
                <w:sz w:val="18"/>
                <w:szCs w:val="18"/>
                <w:lang w:val="pt-PT"/>
              </w:rPr>
              <w:t>RTD</w:t>
            </w:r>
          </w:p>
          <w:p w:rsidR="0073489B" w:rsidRDefault="00A46D11">
            <w:pPr>
              <w:jc w:val="center"/>
              <w:rPr>
                <w:noProof/>
                <w:sz w:val="18"/>
                <w:szCs w:val="18"/>
                <w:lang w:val="pt-PT"/>
              </w:rPr>
            </w:pPr>
            <w:r>
              <w:rPr>
                <w:noProof/>
                <w:sz w:val="18"/>
                <w:szCs w:val="18"/>
                <w:lang w:val="pt-PT"/>
              </w:rPr>
              <w:t>GROW</w:t>
            </w:r>
          </w:p>
          <w:p w:rsidR="0073489B" w:rsidRDefault="00A46D11">
            <w:pPr>
              <w:jc w:val="center"/>
              <w:rPr>
                <w:noProof/>
                <w:sz w:val="18"/>
                <w:szCs w:val="18"/>
                <w:lang w:val="pt-PT"/>
              </w:rPr>
            </w:pPr>
            <w:r>
              <w:rPr>
                <w:noProof/>
                <w:sz w:val="18"/>
                <w:szCs w:val="18"/>
                <w:lang w:val="pt-PT"/>
              </w:rPr>
              <w:t>ECFIN</w:t>
            </w:r>
          </w:p>
          <w:p w:rsidR="0073489B" w:rsidRDefault="00A46D11">
            <w:pPr>
              <w:jc w:val="center"/>
              <w:rPr>
                <w:noProof/>
                <w:sz w:val="18"/>
                <w:szCs w:val="18"/>
                <w:lang w:val="pt-PT"/>
              </w:rPr>
            </w:pPr>
            <w:r>
              <w:rPr>
                <w:noProof/>
                <w:sz w:val="18"/>
                <w:szCs w:val="18"/>
                <w:lang w:val="pt-PT"/>
              </w:rPr>
              <w:t>AGRI</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EIF</w:t>
            </w:r>
          </w:p>
          <w:p w:rsidR="0073489B" w:rsidRDefault="00A46D11">
            <w:pPr>
              <w:jc w:val="center"/>
              <w:rPr>
                <w:noProof/>
                <w:sz w:val="18"/>
                <w:szCs w:val="18"/>
                <w:lang w:val="pt-PT"/>
              </w:rPr>
            </w:pPr>
            <w:r>
              <w:rPr>
                <w:noProof/>
                <w:sz w:val="18"/>
                <w:szCs w:val="18"/>
                <w:lang w:val="pt-PT"/>
              </w:rPr>
              <w:t>EIB</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Enhance SMEs financing</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SMEs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 xml:space="preserve">SMEs with no specific sector </w:t>
            </w:r>
            <w:r>
              <w:rPr>
                <w:noProof/>
                <w:sz w:val="18"/>
                <w:szCs w:val="18"/>
              </w:rPr>
              <w:t>focus</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1 137 (ERDF)</w:t>
            </w:r>
            <w:r>
              <w:rPr>
                <w:rStyle w:val="FootnoteReference"/>
                <w:noProof/>
                <w:sz w:val="18"/>
                <w:szCs w:val="18"/>
                <w:lang w:val="pt-PT"/>
              </w:rPr>
              <w:footnoteReference w:id="18"/>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23,28 (H2020, RTD&amp; COSME LGF, GROW)</w:t>
            </w:r>
          </w:p>
          <w:p w:rsidR="0073489B" w:rsidRDefault="00A46D11">
            <w:pPr>
              <w:jc w:val="center"/>
              <w:rPr>
                <w:i/>
                <w:noProof/>
                <w:sz w:val="18"/>
                <w:szCs w:val="18"/>
                <w:lang w:val="pt-PT"/>
              </w:rPr>
            </w:pPr>
            <w:r>
              <w:rPr>
                <w:noProof/>
                <w:sz w:val="18"/>
                <w:szCs w:val="18"/>
              </w:rPr>
              <w:t xml:space="preserve"> </w:t>
            </w:r>
            <w:r>
              <w:rPr>
                <w:i/>
                <w:noProof/>
                <w:sz w:val="18"/>
                <w:szCs w:val="18"/>
                <w:lang w:val="pt-PT"/>
              </w:rPr>
              <w:t xml:space="preserve">+ </w:t>
            </w:r>
          </w:p>
          <w:p w:rsidR="0073489B" w:rsidRDefault="00A46D11">
            <w:pPr>
              <w:jc w:val="center"/>
              <w:rPr>
                <w:noProof/>
                <w:sz w:val="18"/>
                <w:szCs w:val="18"/>
                <w:lang w:val="pt-PT"/>
              </w:rPr>
            </w:pPr>
            <w:r>
              <w:rPr>
                <w:i/>
                <w:noProof/>
                <w:sz w:val="18"/>
                <w:szCs w:val="18"/>
                <w:lang w:val="pt-PT"/>
              </w:rPr>
              <w:t>800,04</w:t>
            </w:r>
            <w:r>
              <w:rPr>
                <w:rStyle w:val="FootnoteReference"/>
                <w:i/>
                <w:noProof/>
                <w:sz w:val="18"/>
                <w:szCs w:val="18"/>
                <w:lang w:val="pt-PT"/>
              </w:rPr>
              <w:footnoteReference w:id="19"/>
            </w:r>
            <w:r>
              <w:rPr>
                <w:i/>
                <w:noProof/>
                <w:sz w:val="18"/>
                <w:szCs w:val="18"/>
                <w:lang w:val="pt-PT"/>
              </w:rPr>
              <w:t xml:space="preserve"> (ERDF, REGIO)</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rPr>
            </w:pPr>
            <w:r>
              <w:rPr>
                <w:noProof/>
                <w:sz w:val="18"/>
                <w:szCs w:val="18"/>
              </w:rPr>
              <w:t>19.28</w:t>
            </w:r>
            <w:r>
              <w:rPr>
                <w:noProof/>
                <w:sz w:val="18"/>
              </w:rPr>
              <w:t xml:space="preserve"> (H2020, RTD</w:t>
            </w:r>
            <w:r>
              <w:rPr>
                <w:noProof/>
                <w:sz w:val="18"/>
                <w:szCs w:val="18"/>
              </w:rPr>
              <w:t>&amp; COSME LGF, GROW</w:t>
            </w:r>
            <w:r>
              <w:rPr>
                <w:noProof/>
                <w:sz w:val="18"/>
              </w:rPr>
              <w:t xml:space="preserve">) </w:t>
            </w:r>
          </w:p>
          <w:p w:rsidR="0073489B" w:rsidRDefault="00A46D11">
            <w:pPr>
              <w:jc w:val="center"/>
              <w:rPr>
                <w:i/>
                <w:noProof/>
                <w:sz w:val="18"/>
                <w:lang w:val="pt-PT"/>
              </w:rPr>
            </w:pPr>
            <w:r>
              <w:rPr>
                <w:i/>
                <w:noProof/>
                <w:sz w:val="18"/>
                <w:lang w:val="pt-PT"/>
              </w:rPr>
              <w:t xml:space="preserve">+ </w:t>
            </w:r>
          </w:p>
          <w:p w:rsidR="0073489B" w:rsidRDefault="00A46D11">
            <w:pPr>
              <w:jc w:val="center"/>
              <w:rPr>
                <w:noProof/>
                <w:sz w:val="18"/>
                <w:lang w:val="pt-PT"/>
              </w:rPr>
            </w:pPr>
            <w:r>
              <w:rPr>
                <w:i/>
                <w:noProof/>
                <w:sz w:val="18"/>
                <w:lang w:val="pt-PT"/>
              </w:rPr>
              <w:t>800,04</w:t>
            </w:r>
            <w:r>
              <w:rPr>
                <w:rStyle w:val="FootnoteReference"/>
                <w:i/>
                <w:noProof/>
                <w:sz w:val="18"/>
                <w:szCs w:val="18"/>
                <w:lang w:val="pt-PT"/>
              </w:rPr>
              <w:footnoteReference w:id="20"/>
            </w:r>
            <w:r>
              <w:rPr>
                <w:i/>
                <w:noProof/>
                <w:sz w:val="18"/>
                <w:lang w:val="pt-PT"/>
              </w:rPr>
              <w:t xml:space="preserve"> (ERDF, REGIO)</w:t>
            </w:r>
          </w:p>
        </w:tc>
        <w:tc>
          <w:tcPr>
            <w:tcW w:w="1134"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rPr>
            </w:pPr>
            <w:r>
              <w:rPr>
                <w:noProof/>
                <w:sz w:val="18"/>
              </w:rPr>
              <w:t>Spain:</w:t>
            </w:r>
          </w:p>
          <w:p w:rsidR="0073489B" w:rsidRDefault="00A46D11">
            <w:pPr>
              <w:jc w:val="center"/>
              <w:rPr>
                <w:noProof/>
                <w:sz w:val="18"/>
              </w:rPr>
            </w:pPr>
            <w:r>
              <w:rPr>
                <w:noProof/>
                <w:sz w:val="18"/>
              </w:rPr>
              <w:t>5 723*</w:t>
            </w:r>
          </w:p>
          <w:p w:rsidR="0073489B" w:rsidRDefault="00A46D11">
            <w:pPr>
              <w:jc w:val="center"/>
              <w:rPr>
                <w:noProof/>
                <w:sz w:val="18"/>
                <w:szCs w:val="18"/>
              </w:rPr>
            </w:pPr>
            <w:r>
              <w:rPr>
                <w:noProof/>
                <w:sz w:val="18"/>
                <w:szCs w:val="18"/>
              </w:rPr>
              <w:t>5 763**</w:t>
            </w:r>
          </w:p>
          <w:p w:rsidR="0073489B" w:rsidRDefault="00A46D11">
            <w:pPr>
              <w:jc w:val="center"/>
              <w:rPr>
                <w:noProof/>
                <w:sz w:val="18"/>
              </w:rPr>
            </w:pPr>
            <w:r>
              <w:rPr>
                <w:noProof/>
                <w:sz w:val="18"/>
                <w:szCs w:val="18"/>
              </w:rPr>
              <w:t>2 616***</w:t>
            </w:r>
          </w:p>
        </w:tc>
        <w:tc>
          <w:tcPr>
            <w:tcW w:w="1134" w:type="dxa"/>
            <w:gridSpan w:val="2"/>
            <w:tcBorders>
              <w:left w:val="single" w:sz="4" w:space="0" w:color="auto"/>
              <w:right w:val="single" w:sz="4" w:space="0" w:color="auto"/>
            </w:tcBorders>
            <w:shd w:val="clear" w:color="auto" w:fill="D3DFEE"/>
            <w:noWrap/>
            <w:vAlign w:val="center"/>
            <w:hideMark/>
          </w:tcPr>
          <w:p w:rsidR="0073489B" w:rsidRDefault="00A46D11">
            <w:pPr>
              <w:jc w:val="center"/>
              <w:rPr>
                <w:noProof/>
                <w:sz w:val="18"/>
              </w:rPr>
            </w:pPr>
            <w:r>
              <w:rPr>
                <w:noProof/>
                <w:sz w:val="18"/>
              </w:rPr>
              <w:t>Spain:</w:t>
            </w:r>
          </w:p>
          <w:p w:rsidR="0073489B" w:rsidRDefault="00A46D11">
            <w:pPr>
              <w:jc w:val="center"/>
              <w:rPr>
                <w:noProof/>
                <w:sz w:val="18"/>
              </w:rPr>
            </w:pPr>
            <w:r>
              <w:rPr>
                <w:noProof/>
                <w:sz w:val="18"/>
                <w:szCs w:val="18"/>
              </w:rPr>
              <w:t>33 285***</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rPr>
            </w:pPr>
            <w:r>
              <w:rPr>
                <w:noProof/>
                <w:sz w:val="18"/>
              </w:rPr>
              <w:t>n/a</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6"/>
                <w:szCs w:val="16"/>
              </w:rPr>
              <w:t xml:space="preserve">For RTD included in InnovFin SMEG  /  the financial and </w:t>
            </w:r>
            <w:r>
              <w:rPr>
                <w:noProof/>
                <w:sz w:val="16"/>
                <w:szCs w:val="16"/>
              </w:rPr>
              <w:t>operating expenses for the ERDF have not yet been reported to the Commission)</w:t>
            </w:r>
          </w:p>
        </w:tc>
      </w:tr>
      <w:tr w:rsidR="0073489B">
        <w:trPr>
          <w:gridAfter w:val="1"/>
          <w:wAfter w:w="189" w:type="dxa"/>
          <w:trHeight w:val="1111"/>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The_European_Progress" w:history="1">
              <w:r>
                <w:rPr>
                  <w:rStyle w:val="Hyperlink"/>
                  <w:b/>
                  <w:bCs/>
                  <w:noProof/>
                  <w:sz w:val="18"/>
                  <w:szCs w:val="16"/>
                </w:rPr>
                <w:t>EPMF</w:t>
              </w:r>
              <w:r>
                <w:rPr>
                  <w:rStyle w:val="Hyperlink"/>
                  <w:b/>
                  <w:bCs/>
                  <w:noProof/>
                  <w:sz w:val="18"/>
                  <w:szCs w:val="18"/>
                </w:rPr>
                <w:t xml:space="preserve"> - FCP-FIS</w:t>
              </w:r>
            </w:hyperlink>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DIV 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Dec N° 283/2010/EU</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EMPL ECFIN</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Increase access to microfinance</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lang w:val="it-IT"/>
              </w:rPr>
            </w:pPr>
            <w:r>
              <w:rPr>
                <w:noProof/>
                <w:sz w:val="18"/>
                <w:szCs w:val="18"/>
                <w:lang w:val="it-IT"/>
              </w:rPr>
              <w:t xml:space="preserve">Micro-finance/no specific </w:t>
            </w:r>
            <w:r>
              <w:rPr>
                <w:noProof/>
                <w:sz w:val="18"/>
                <w:szCs w:val="18"/>
                <w:lang w:val="it-IT"/>
              </w:rPr>
              <w:t>focus</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80,00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80,00</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80,00</w:t>
            </w:r>
          </w:p>
        </w:tc>
        <w:tc>
          <w:tcPr>
            <w:tcW w:w="1134"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402,3 **</w:t>
            </w:r>
          </w:p>
          <w:p w:rsidR="0073489B" w:rsidRDefault="00A46D11">
            <w:pPr>
              <w:jc w:val="center"/>
              <w:rPr>
                <w:noProof/>
                <w:sz w:val="18"/>
                <w:szCs w:val="18"/>
              </w:rPr>
            </w:pPr>
            <w:r>
              <w:rPr>
                <w:noProof/>
                <w:sz w:val="18"/>
                <w:szCs w:val="18"/>
              </w:rPr>
              <w:t>236,06***</w:t>
            </w:r>
          </w:p>
        </w:tc>
        <w:tc>
          <w:tcPr>
            <w:tcW w:w="1134"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60 062**</w:t>
            </w:r>
          </w:p>
          <w:p w:rsidR="0073489B" w:rsidRDefault="00A46D11">
            <w:pPr>
              <w:jc w:val="center"/>
              <w:rPr>
                <w:noProof/>
                <w:sz w:val="18"/>
                <w:szCs w:val="18"/>
              </w:rPr>
            </w:pPr>
            <w:r>
              <w:rPr>
                <w:noProof/>
                <w:sz w:val="18"/>
                <w:szCs w:val="18"/>
              </w:rPr>
              <w:t>32,428***</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lang w:val="fr-BE"/>
              </w:rPr>
              <w:t>EUR 0</w:t>
            </w:r>
            <w:r>
              <w:rPr>
                <w:rStyle w:val="FootnoteReference"/>
                <w:noProof/>
                <w:sz w:val="18"/>
                <w:szCs w:val="18"/>
                <w:lang w:val="fr-BE"/>
              </w:rPr>
              <w:footnoteReference w:id="21"/>
            </w:r>
            <w:r>
              <w:rPr>
                <w:noProof/>
                <w:sz w:val="18"/>
                <w:szCs w:val="18"/>
                <w:lang w:val="fr-BE"/>
              </w:rPr>
              <w:t xml:space="preserve"> </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6,75</w:t>
            </w:r>
          </w:p>
        </w:tc>
      </w:tr>
      <w:tr w:rsidR="0073489B">
        <w:trPr>
          <w:gridAfter w:val="1"/>
          <w:wAfter w:w="189" w:type="dxa"/>
          <w:trHeight w:val="1350"/>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The_2020_European" w:history="1">
              <w:r>
                <w:rPr>
                  <w:rStyle w:val="Hyperlink"/>
                  <w:b/>
                  <w:bCs/>
                  <w:noProof/>
                  <w:sz w:val="18"/>
                  <w:szCs w:val="18"/>
                </w:rPr>
                <w:t>Marguerite</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DIV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pt-PT"/>
              </w:rPr>
            </w:pPr>
            <w:r>
              <w:rPr>
                <w:noProof/>
                <w:sz w:val="18"/>
                <w:szCs w:val="18"/>
                <w:lang w:val="pt-PT"/>
              </w:rPr>
              <w:t xml:space="preserve">Reg. (EC) N° 680/2007 </w:t>
            </w:r>
          </w:p>
          <w:p w:rsidR="0073489B" w:rsidRDefault="00A46D11">
            <w:pPr>
              <w:jc w:val="center"/>
              <w:rPr>
                <w:noProof/>
                <w:sz w:val="18"/>
                <w:szCs w:val="18"/>
                <w:lang w:val="pt-PT"/>
              </w:rPr>
            </w:pPr>
            <w:r>
              <w:rPr>
                <w:noProof/>
                <w:sz w:val="18"/>
                <w:szCs w:val="18"/>
                <w:lang w:val="pt-PT"/>
              </w:rPr>
              <w:t>Dec.  C(2010)941</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MOVE</w:t>
            </w:r>
          </w:p>
        </w:tc>
        <w:tc>
          <w:tcPr>
            <w:tcW w:w="850" w:type="dxa"/>
            <w:tcBorders>
              <w:left w:val="single" w:sz="4" w:space="0" w:color="auto"/>
              <w:right w:val="single" w:sz="4" w:space="0" w:color="auto"/>
            </w:tcBorders>
            <w:shd w:val="clear" w:color="auto" w:fill="D3DFEE"/>
            <w:vAlign w:val="center"/>
            <w:hideMark/>
          </w:tcPr>
          <w:p w:rsidR="0073489B" w:rsidRDefault="00A46D11">
            <w:pPr>
              <w:rPr>
                <w:noProof/>
                <w:sz w:val="18"/>
                <w:szCs w:val="18"/>
              </w:rPr>
            </w:pPr>
            <w:r>
              <w:rPr>
                <w:noProof/>
                <w:sz w:val="18"/>
                <w:szCs w:val="18"/>
              </w:rPr>
              <w:t>M.A</w:t>
            </w:r>
            <w:r>
              <w:rPr>
                <w:noProof/>
                <w:sz w:val="16"/>
                <w:szCs w:val="18"/>
                <w:vertAlign w:val="superscript"/>
              </w:rPr>
              <w:footnoteReference w:id="22"/>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fr-BE"/>
              </w:rPr>
            </w:pPr>
            <w:r>
              <w:rPr>
                <w:noProof/>
                <w:sz w:val="18"/>
                <w:szCs w:val="18"/>
                <w:lang w:val="fr-BE"/>
              </w:rPr>
              <w:t>Support infrastructure investment:</w:t>
            </w:r>
          </w:p>
          <w:p w:rsidR="0073489B" w:rsidRDefault="00A46D11">
            <w:pPr>
              <w:ind w:left="-15"/>
              <w:jc w:val="center"/>
              <w:rPr>
                <w:noProof/>
                <w:sz w:val="18"/>
                <w:szCs w:val="18"/>
              </w:rPr>
            </w:pPr>
            <w:r>
              <w:rPr>
                <w:noProof/>
                <w:sz w:val="18"/>
                <w:szCs w:val="18"/>
                <w:lang w:val="fr-BE"/>
              </w:rPr>
              <w:t>transport, energy, renewables sectors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Infrastr. Projects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Transport, Energy, Environment</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80,00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80,00</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43,7</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10 000*</w:t>
            </w:r>
          </w:p>
          <w:p w:rsidR="0073489B" w:rsidRDefault="00A46D11">
            <w:pPr>
              <w:jc w:val="center"/>
              <w:rPr>
                <w:noProof/>
                <w:sz w:val="18"/>
                <w:szCs w:val="18"/>
              </w:rPr>
            </w:pPr>
            <w:r>
              <w:rPr>
                <w:noProof/>
                <w:sz w:val="18"/>
                <w:szCs w:val="18"/>
              </w:rPr>
              <w:t>5 400***</w:t>
            </w:r>
          </w:p>
          <w:p w:rsidR="0073489B" w:rsidRDefault="0073489B">
            <w:pPr>
              <w:jc w:val="center"/>
              <w:rPr>
                <w:noProof/>
                <w:sz w:val="18"/>
                <w:szCs w:val="18"/>
              </w:rPr>
            </w:pPr>
          </w:p>
        </w:tc>
        <w:tc>
          <w:tcPr>
            <w:tcW w:w="1134" w:type="dxa"/>
            <w:gridSpan w:val="2"/>
            <w:tcBorders>
              <w:left w:val="single" w:sz="4" w:space="0" w:color="auto"/>
              <w:right w:val="single" w:sz="4" w:space="0" w:color="auto"/>
            </w:tcBorders>
            <w:shd w:val="clear" w:color="auto" w:fill="D3DFEE"/>
            <w:vAlign w:val="center"/>
          </w:tcPr>
          <w:p w:rsidR="0073489B" w:rsidRDefault="00A46D11">
            <w:pPr>
              <w:jc w:val="center"/>
              <w:rPr>
                <w:noProof/>
                <w:sz w:val="18"/>
                <w:szCs w:val="18"/>
                <w:highlight w:val="green"/>
              </w:rPr>
            </w:pPr>
            <w:r>
              <w:rPr>
                <w:noProof/>
                <w:sz w:val="18"/>
                <w:szCs w:val="18"/>
              </w:rPr>
              <w:t>12***</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green"/>
                <w:lang w:val="fr-BE"/>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1,35</w:t>
            </w:r>
          </w:p>
        </w:tc>
      </w:tr>
      <w:tr w:rsidR="0073489B">
        <w:trPr>
          <w:gridAfter w:val="1"/>
          <w:wAfter w:w="189" w:type="dxa"/>
          <w:trHeight w:val="1129"/>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European_Energy_Efficiency" w:history="1">
              <w:r>
                <w:rPr>
                  <w:rStyle w:val="Hyperlink"/>
                  <w:b/>
                  <w:bCs/>
                  <w:noProof/>
                  <w:sz w:val="18"/>
                  <w:szCs w:val="18"/>
                </w:rPr>
                <w:t>EEEF</w:t>
              </w:r>
            </w:hyperlink>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DIV 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(EU) N ° 1233/ 2010</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ENER</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6"/>
                <w:szCs w:val="16"/>
              </w:rPr>
            </w:pPr>
            <w:r>
              <w:rPr>
                <w:noProof/>
                <w:sz w:val="16"/>
                <w:szCs w:val="16"/>
              </w:rPr>
              <w:t>Deu-tsche Bank</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Invest in energy efficiency, renewable energy, clean urban</w:t>
            </w:r>
            <w:r>
              <w:rPr>
                <w:noProof/>
                <w:sz w:val="18"/>
                <w:szCs w:val="18"/>
              </w:rPr>
              <w:t xml:space="preserve"> transport</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Infrastr. Projects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Energy</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146,3</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146,3</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116,2</w:t>
            </w:r>
          </w:p>
        </w:tc>
        <w:tc>
          <w:tcPr>
            <w:tcW w:w="1134" w:type="dxa"/>
            <w:tcBorders>
              <w:left w:val="single" w:sz="4" w:space="0" w:color="auto"/>
              <w:right w:val="single" w:sz="4" w:space="0" w:color="auto"/>
            </w:tcBorders>
            <w:shd w:val="clear" w:color="auto" w:fill="auto"/>
            <w:noWrap/>
            <w:vAlign w:val="center"/>
          </w:tcPr>
          <w:p w:rsidR="0073489B" w:rsidRDefault="0073489B">
            <w:pPr>
              <w:jc w:val="center"/>
              <w:rPr>
                <w:noProof/>
                <w:sz w:val="18"/>
                <w:szCs w:val="18"/>
              </w:rPr>
            </w:pPr>
          </w:p>
          <w:p w:rsidR="0073489B" w:rsidRDefault="00A46D11">
            <w:pPr>
              <w:jc w:val="center"/>
              <w:rPr>
                <w:noProof/>
                <w:sz w:val="18"/>
                <w:szCs w:val="18"/>
              </w:rPr>
            </w:pPr>
            <w:r>
              <w:rPr>
                <w:noProof/>
                <w:sz w:val="18"/>
                <w:szCs w:val="18"/>
              </w:rPr>
              <w:t>237**</w:t>
            </w:r>
          </w:p>
          <w:p w:rsidR="0073489B" w:rsidRDefault="00A46D11">
            <w:pPr>
              <w:jc w:val="center"/>
              <w:rPr>
                <w:noProof/>
                <w:sz w:val="18"/>
                <w:szCs w:val="18"/>
              </w:rPr>
            </w:pPr>
            <w:r>
              <w:rPr>
                <w:noProof/>
                <w:sz w:val="18"/>
                <w:szCs w:val="18"/>
              </w:rPr>
              <w:t>121***</w:t>
            </w:r>
          </w:p>
          <w:p w:rsidR="0073489B" w:rsidRDefault="0073489B">
            <w:pPr>
              <w:ind w:left="-15"/>
              <w:jc w:val="center"/>
              <w:rPr>
                <w:noProof/>
                <w:sz w:val="18"/>
                <w:szCs w:val="18"/>
              </w:rPr>
            </w:pPr>
          </w:p>
        </w:tc>
        <w:tc>
          <w:tcPr>
            <w:tcW w:w="1134" w:type="dxa"/>
            <w:gridSpan w:val="2"/>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Not available**</w:t>
            </w:r>
          </w:p>
          <w:p w:rsidR="0073489B" w:rsidRDefault="00A46D11">
            <w:pPr>
              <w:jc w:val="center"/>
              <w:rPr>
                <w:noProof/>
                <w:sz w:val="18"/>
                <w:szCs w:val="18"/>
                <w:highlight w:val="green"/>
              </w:rPr>
            </w:pPr>
            <w:r>
              <w:rPr>
                <w:noProof/>
                <w:sz w:val="18"/>
                <w:szCs w:val="18"/>
              </w:rPr>
              <w:t>11***</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Revenues for 2015: 4,5</w:t>
            </w:r>
            <w:r>
              <w:rPr>
                <w:rStyle w:val="FootnoteReference"/>
                <w:noProof/>
                <w:sz w:val="18"/>
                <w:szCs w:val="18"/>
              </w:rPr>
              <w:footnoteReference w:id="23"/>
            </w:r>
          </w:p>
          <w:p w:rsidR="0073489B" w:rsidRDefault="00A46D11">
            <w:pPr>
              <w:jc w:val="center"/>
              <w:rPr>
                <w:noProof/>
                <w:sz w:val="18"/>
                <w:szCs w:val="18"/>
                <w:highlight w:val="green"/>
              </w:rPr>
            </w:pPr>
            <w:r>
              <w:rPr>
                <w:noProof/>
                <w:sz w:val="18"/>
                <w:szCs w:val="18"/>
              </w:rPr>
              <w:t>Repaym: n/a</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9,79</w:t>
            </w:r>
            <w:r>
              <w:rPr>
                <w:rStyle w:val="FootnoteReference"/>
                <w:noProof/>
                <w:sz w:val="18"/>
                <w:szCs w:val="18"/>
              </w:rPr>
              <w:footnoteReference w:id="24"/>
            </w:r>
          </w:p>
        </w:tc>
      </w:tr>
      <w:tr w:rsidR="0073489B">
        <w:trPr>
          <w:gridAfter w:val="1"/>
          <w:wAfter w:w="189" w:type="dxa"/>
          <w:trHeight w:val="1400"/>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Guarantee_Facility_under" w:history="1">
              <w:r>
                <w:rPr>
                  <w:rStyle w:val="Hyperlink"/>
                  <w:b/>
                  <w:bCs/>
                  <w:noProof/>
                  <w:sz w:val="18"/>
                  <w:szCs w:val="18"/>
                </w:rPr>
                <w:t>Guarantee Facility (EDIF GF 1) under the WBEDIF</w:t>
              </w:r>
              <w:r>
                <w:rPr>
                  <w:rStyle w:val="Hyperlink"/>
                  <w:b/>
                  <w:bCs/>
                  <w:noProof/>
                  <w:sz w:val="18"/>
                  <w:szCs w:val="18"/>
                  <w:vertAlign w:val="superscript"/>
                </w:rPr>
                <w:footnoteReference w:id="25"/>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EnC</w:t>
            </w:r>
            <w:r>
              <w:rPr>
                <w:noProof/>
                <w:sz w:val="18"/>
                <w:szCs w:val="18"/>
                <w:vertAlign w:val="superscript"/>
              </w:rPr>
              <w:footnoteReference w:id="26"/>
            </w:r>
            <w:r>
              <w:rPr>
                <w:noProof/>
                <w:sz w:val="18"/>
                <w:szCs w:val="18"/>
              </w:rPr>
              <w:t xml:space="preserve">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(EC) N°1085/2006</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Create the preconditions for the emergence and growth of innovative and high-potential companies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 xml:space="preserve">SMEs with no specific </w:t>
            </w:r>
            <w:r>
              <w:rPr>
                <w:noProof/>
                <w:sz w:val="18"/>
                <w:szCs w:val="18"/>
              </w:rPr>
              <w:t>sector focus</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21,90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21,90</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21,90</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117,9***</w:t>
            </w:r>
          </w:p>
          <w:p w:rsidR="0073489B" w:rsidRDefault="0073489B">
            <w:pPr>
              <w:jc w:val="center"/>
              <w:rPr>
                <w:noProof/>
                <w:sz w:val="18"/>
                <w:szCs w:val="18"/>
                <w:highlight w:val="yellow"/>
              </w:rPr>
            </w:pP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highlight w:val="yellow"/>
              </w:rPr>
            </w:pPr>
            <w:r>
              <w:rPr>
                <w:noProof/>
                <w:sz w:val="18"/>
                <w:szCs w:val="18"/>
              </w:rPr>
              <w:t>1 430***</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0,02</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0,01</w:t>
            </w:r>
          </w:p>
        </w:tc>
      </w:tr>
      <w:tr w:rsidR="0073489B">
        <w:trPr>
          <w:gridAfter w:val="1"/>
          <w:wAfter w:w="189" w:type="dxa"/>
          <w:trHeight w:val="1400"/>
        </w:trPr>
        <w:tc>
          <w:tcPr>
            <w:tcW w:w="1276" w:type="dxa"/>
            <w:tcBorders>
              <w:left w:val="single" w:sz="4" w:space="0" w:color="auto"/>
              <w:right w:val="single" w:sz="4" w:space="0" w:color="auto"/>
            </w:tcBorders>
            <w:shd w:val="clear" w:color="auto" w:fill="auto"/>
            <w:vAlign w:val="center"/>
          </w:tcPr>
          <w:p w:rsidR="0073489B" w:rsidRDefault="00A46D11">
            <w:pPr>
              <w:jc w:val="center"/>
              <w:rPr>
                <w:b/>
                <w:bCs/>
                <w:noProof/>
                <w:sz w:val="18"/>
                <w:szCs w:val="18"/>
              </w:rPr>
            </w:pPr>
            <w:hyperlink w:anchor="_Guarantee_Facility_II" w:history="1">
              <w:r>
                <w:rPr>
                  <w:rStyle w:val="Hyperlink"/>
                  <w:b/>
                  <w:bCs/>
                  <w:noProof/>
                  <w:sz w:val="18"/>
                  <w:szCs w:val="18"/>
                </w:rPr>
                <w:t>Guarantee Facility 2 (EDIF GF 2)  under the WBEDIF</w:t>
              </w:r>
              <w:r>
                <w:rPr>
                  <w:rStyle w:val="Hyperlink"/>
                  <w:b/>
                  <w:bCs/>
                  <w:noProof/>
                  <w:sz w:val="18"/>
                  <w:szCs w:val="18"/>
                  <w:vertAlign w:val="superscript"/>
                </w:rPr>
                <w:footnoteReference w:id="27"/>
              </w:r>
            </w:hyperlink>
          </w:p>
        </w:tc>
        <w:tc>
          <w:tcPr>
            <w:tcW w:w="851"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EnC</w:t>
            </w:r>
          </w:p>
        </w:tc>
        <w:tc>
          <w:tcPr>
            <w:tcW w:w="1275"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 xml:space="preserve">Reg. (EC) N° 231/2014 </w:t>
            </w:r>
          </w:p>
        </w:tc>
        <w:tc>
          <w:tcPr>
            <w:tcW w:w="851"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 xml:space="preserve">Create the preconditions for the emergence and growth of innovative and </w:t>
            </w:r>
            <w:r>
              <w:rPr>
                <w:noProof/>
                <w:sz w:val="18"/>
                <w:szCs w:val="18"/>
              </w:rPr>
              <w:t>high-potential companies</w:t>
            </w:r>
          </w:p>
        </w:tc>
        <w:tc>
          <w:tcPr>
            <w:tcW w:w="1134"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17,5</w:t>
            </w:r>
          </w:p>
        </w:tc>
        <w:tc>
          <w:tcPr>
            <w:tcW w:w="993"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17,5</w:t>
            </w:r>
          </w:p>
        </w:tc>
        <w:tc>
          <w:tcPr>
            <w:tcW w:w="850"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10</w:t>
            </w:r>
          </w:p>
        </w:tc>
        <w:tc>
          <w:tcPr>
            <w:tcW w:w="1134" w:type="dxa"/>
            <w:tcBorders>
              <w:left w:val="single" w:sz="4" w:space="0" w:color="auto"/>
              <w:right w:val="single" w:sz="4" w:space="0" w:color="auto"/>
            </w:tcBorders>
            <w:shd w:val="clear" w:color="auto" w:fill="auto"/>
            <w:noWrap/>
            <w:vAlign w:val="center"/>
          </w:tcPr>
          <w:p w:rsidR="0073489B" w:rsidRDefault="0073489B">
            <w:pPr>
              <w:jc w:val="center"/>
              <w:rPr>
                <w:noProof/>
                <w:sz w:val="18"/>
                <w:szCs w:val="18"/>
              </w:rPr>
            </w:pPr>
          </w:p>
          <w:p w:rsidR="0073489B" w:rsidRDefault="00A46D11">
            <w:pPr>
              <w:jc w:val="center"/>
              <w:rPr>
                <w:noProof/>
                <w:sz w:val="18"/>
                <w:szCs w:val="18"/>
              </w:rPr>
            </w:pPr>
            <w:r>
              <w:rPr>
                <w:noProof/>
                <w:sz w:val="18"/>
                <w:szCs w:val="18"/>
              </w:rPr>
              <w:t>94,5*</w:t>
            </w:r>
          </w:p>
          <w:p w:rsidR="0073489B" w:rsidRDefault="00A46D11">
            <w:pPr>
              <w:jc w:val="center"/>
              <w:rPr>
                <w:noProof/>
                <w:sz w:val="18"/>
                <w:szCs w:val="18"/>
              </w:rPr>
            </w:pPr>
            <w:r>
              <w:rPr>
                <w:noProof/>
                <w:sz w:val="18"/>
                <w:szCs w:val="18"/>
              </w:rPr>
              <w:t>107**</w:t>
            </w:r>
            <w:r>
              <w:rPr>
                <w:rStyle w:val="FootnoteReference"/>
                <w:noProof/>
                <w:sz w:val="18"/>
                <w:szCs w:val="18"/>
              </w:rPr>
              <w:footnoteReference w:id="28"/>
            </w:r>
          </w:p>
        </w:tc>
        <w:tc>
          <w:tcPr>
            <w:tcW w:w="1134" w:type="dxa"/>
            <w:gridSpan w:val="2"/>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n/a</w:t>
            </w:r>
          </w:p>
        </w:tc>
        <w:tc>
          <w:tcPr>
            <w:tcW w:w="992"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0,63</w:t>
            </w:r>
          </w:p>
        </w:tc>
      </w:tr>
      <w:tr w:rsidR="0073489B">
        <w:trPr>
          <w:gridAfter w:val="1"/>
          <w:wAfter w:w="189" w:type="dxa"/>
          <w:trHeight w:val="1136"/>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Enterprise_Expansion_Fund" w:history="1">
              <w:r>
                <w:rPr>
                  <w:rStyle w:val="Hyperlink"/>
                  <w:b/>
                  <w:bCs/>
                  <w:noProof/>
                  <w:sz w:val="18"/>
                  <w:szCs w:val="18"/>
                </w:rPr>
                <w:t>ENEF under EDIF</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(EC) N°1085/2006</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en-US"/>
              </w:rPr>
            </w:pPr>
            <w:r>
              <w:rPr>
                <w:noProof/>
                <w:sz w:val="18"/>
                <w:szCs w:val="18"/>
              </w:rPr>
              <w:t>NE</w:t>
            </w:r>
            <w:r>
              <w:rPr>
                <w:noProof/>
                <w:sz w:val="18"/>
                <w:szCs w:val="18"/>
                <w:lang w:val="en-US"/>
              </w:rPr>
              <w:t>AR</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 xml:space="preserve">Enhance socio-economic growth of the Western </w:t>
            </w:r>
            <w:r>
              <w:rPr>
                <w:noProof/>
                <w:sz w:val="18"/>
                <w:szCs w:val="18"/>
              </w:rPr>
              <w:t>Balkans through equity investments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11,00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11,00</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10,40</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48,5</w:t>
            </w:r>
            <w:r>
              <w:rPr>
                <w:rStyle w:val="FootnoteReference"/>
                <w:noProof/>
                <w:sz w:val="18"/>
                <w:szCs w:val="18"/>
              </w:rPr>
              <w:footnoteReference w:id="29"/>
            </w:r>
            <w:r>
              <w:rPr>
                <w:noProof/>
                <w:sz w:val="18"/>
                <w:szCs w:val="18"/>
              </w:rPr>
              <w:t>**</w:t>
            </w:r>
          </w:p>
          <w:p w:rsidR="0073489B" w:rsidRDefault="00A46D11">
            <w:pPr>
              <w:jc w:val="center"/>
              <w:rPr>
                <w:noProof/>
                <w:sz w:val="18"/>
                <w:szCs w:val="18"/>
                <w:highlight w:val="yellow"/>
              </w:rPr>
            </w:pPr>
            <w:r>
              <w:rPr>
                <w:noProof/>
                <w:sz w:val="18"/>
                <w:szCs w:val="18"/>
              </w:rPr>
              <w:t>4,75***</w:t>
            </w: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15**</w:t>
            </w:r>
          </w:p>
          <w:p w:rsidR="0073489B" w:rsidRDefault="00A46D11">
            <w:pPr>
              <w:jc w:val="center"/>
              <w:rPr>
                <w:noProof/>
                <w:sz w:val="18"/>
                <w:szCs w:val="18"/>
                <w:highlight w:val="yellow"/>
              </w:rPr>
            </w:pPr>
            <w:r>
              <w:rPr>
                <w:noProof/>
                <w:sz w:val="18"/>
                <w:szCs w:val="18"/>
              </w:rPr>
              <w:t>3***</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0,08</w:t>
            </w:r>
          </w:p>
        </w:tc>
      </w:tr>
      <w:tr w:rsidR="0073489B">
        <w:trPr>
          <w:gridAfter w:val="1"/>
          <w:wAfter w:w="189" w:type="dxa"/>
          <w:trHeight w:val="1425"/>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Enterprise_Innovation_Fund" w:history="1">
              <w:r>
                <w:rPr>
                  <w:rStyle w:val="Hyperlink"/>
                  <w:b/>
                  <w:bCs/>
                  <w:noProof/>
                  <w:sz w:val="18"/>
                  <w:szCs w:val="18"/>
                </w:rPr>
                <w:t>ENIF under EDIF</w:t>
              </w:r>
            </w:hyperlink>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(EC) N°1085/2006</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lang w:val="de-DE"/>
              </w:rPr>
            </w:pPr>
            <w:r>
              <w:rPr>
                <w:noProof/>
                <w:sz w:val="18"/>
                <w:szCs w:val="18"/>
                <w:lang w:val="de-DE"/>
              </w:rPr>
              <w:t>EIB, EIF, EBRD</w:t>
            </w:r>
          </w:p>
          <w:p w:rsidR="0073489B" w:rsidRDefault="00A46D11">
            <w:pPr>
              <w:jc w:val="center"/>
              <w:rPr>
                <w:noProof/>
                <w:sz w:val="18"/>
                <w:szCs w:val="18"/>
                <w:lang w:val="de-DE"/>
              </w:rPr>
            </w:pPr>
            <w:r>
              <w:rPr>
                <w:noProof/>
                <w:sz w:val="18"/>
                <w:szCs w:val="18"/>
                <w:lang w:val="de-DE"/>
              </w:rPr>
              <w:t>KfW</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Enhance socio-economic growth of the Western Balk</w:t>
            </w:r>
            <w:r>
              <w:rPr>
                <w:noProof/>
                <w:sz w:val="18"/>
                <w:szCs w:val="18"/>
              </w:rPr>
              <w:t>ans through equity investments</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21,20</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21,20</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21,20</w:t>
            </w:r>
          </w:p>
        </w:tc>
        <w:tc>
          <w:tcPr>
            <w:tcW w:w="1134"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50**</w:t>
            </w:r>
          </w:p>
          <w:p w:rsidR="0073489B" w:rsidRDefault="00A46D11">
            <w:pPr>
              <w:jc w:val="center"/>
              <w:rPr>
                <w:noProof/>
                <w:sz w:val="18"/>
                <w:szCs w:val="18"/>
              </w:rPr>
            </w:pPr>
            <w:r>
              <w:rPr>
                <w:noProof/>
                <w:sz w:val="18"/>
                <w:szCs w:val="18"/>
              </w:rPr>
              <w:t>1,18***</w:t>
            </w:r>
          </w:p>
        </w:tc>
        <w:tc>
          <w:tcPr>
            <w:tcW w:w="1134" w:type="dxa"/>
            <w:gridSpan w:val="2"/>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n/a**</w:t>
            </w:r>
          </w:p>
          <w:p w:rsidR="0073489B" w:rsidRDefault="00A46D11">
            <w:pPr>
              <w:jc w:val="center"/>
              <w:rPr>
                <w:noProof/>
                <w:sz w:val="18"/>
                <w:szCs w:val="18"/>
              </w:rPr>
            </w:pPr>
            <w:r>
              <w:rPr>
                <w:noProof/>
                <w:sz w:val="18"/>
                <w:szCs w:val="18"/>
              </w:rPr>
              <w:t>5***</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1,41</w:t>
            </w:r>
          </w:p>
        </w:tc>
      </w:tr>
      <w:tr w:rsidR="0073489B">
        <w:trPr>
          <w:gridAfter w:val="1"/>
          <w:wAfter w:w="189" w:type="dxa"/>
          <w:trHeight w:val="1208"/>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European_Fund_for" w:history="1">
              <w:r>
                <w:rPr>
                  <w:rStyle w:val="Hyperlink"/>
                  <w:b/>
                  <w:bCs/>
                  <w:noProof/>
                  <w:sz w:val="18"/>
                  <w:szCs w:val="18"/>
                </w:rPr>
                <w:t>EFSE</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(EC) N°1085/2006</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lang w:val="de-DE"/>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Extend loans to local comm.banks and micro-finance institutions in the Western Balkans</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Microfinance/</w:t>
            </w:r>
          </w:p>
          <w:p w:rsidR="0073489B" w:rsidRDefault="00A46D11">
            <w:pPr>
              <w:jc w:val="center"/>
              <w:rPr>
                <w:noProof/>
                <w:sz w:val="18"/>
                <w:szCs w:val="18"/>
              </w:rPr>
            </w:pPr>
            <w:r>
              <w:rPr>
                <w:noProof/>
                <w:sz w:val="18"/>
                <w:szCs w:val="18"/>
              </w:rPr>
              <w:t>no specific focus</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87,68</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87,68</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87,68</w:t>
            </w:r>
          </w:p>
        </w:tc>
        <w:tc>
          <w:tcPr>
            <w:tcW w:w="1134" w:type="dxa"/>
            <w:tcBorders>
              <w:left w:val="single" w:sz="4" w:space="0" w:color="auto"/>
              <w:right w:val="single" w:sz="4" w:space="0" w:color="auto"/>
            </w:tcBorders>
            <w:shd w:val="clear" w:color="auto" w:fill="D3DFEE"/>
            <w:noWrap/>
            <w:vAlign w:val="center"/>
          </w:tcPr>
          <w:p w:rsidR="0073489B" w:rsidRDefault="0073489B">
            <w:pPr>
              <w:jc w:val="center"/>
              <w:rPr>
                <w:noProof/>
                <w:sz w:val="18"/>
                <w:szCs w:val="18"/>
              </w:rPr>
            </w:pPr>
          </w:p>
          <w:p w:rsidR="0073489B" w:rsidRDefault="00A46D11">
            <w:pPr>
              <w:jc w:val="center"/>
              <w:rPr>
                <w:noProof/>
                <w:sz w:val="18"/>
                <w:szCs w:val="18"/>
              </w:rPr>
            </w:pPr>
            <w:r>
              <w:rPr>
                <w:noProof/>
                <w:sz w:val="18"/>
                <w:szCs w:val="18"/>
              </w:rPr>
              <w:t>4 300***</w:t>
            </w: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 xml:space="preserve">702 </w:t>
            </w:r>
            <w:r>
              <w:rPr>
                <w:noProof/>
                <w:sz w:val="18"/>
                <w:szCs w:val="18"/>
              </w:rPr>
              <w:t>790***</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0,73</w:t>
            </w:r>
          </w:p>
        </w:tc>
      </w:tr>
      <w:tr w:rsidR="0073489B">
        <w:trPr>
          <w:gridAfter w:val="1"/>
          <w:wAfter w:w="189" w:type="dxa"/>
          <w:trHeight w:val="1199"/>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Green_for_Growth" w:history="1">
              <w:r>
                <w:rPr>
                  <w:rStyle w:val="Hyperlink"/>
                  <w:b/>
                  <w:bCs/>
                  <w:noProof/>
                  <w:sz w:val="18"/>
                  <w:szCs w:val="18"/>
                </w:rPr>
                <w:t>GGF</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(EC) N°1085/2006</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Provide dedicated financing for energy efficiency and renewable energy</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Energy</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38,60</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38,63</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38,63</w:t>
            </w:r>
          </w:p>
        </w:tc>
        <w:tc>
          <w:tcPr>
            <w:tcW w:w="1134" w:type="dxa"/>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411,7</w:t>
            </w:r>
            <w:r>
              <w:rPr>
                <w:rStyle w:val="FootnoteReference"/>
                <w:noProof/>
                <w:sz w:val="18"/>
                <w:szCs w:val="18"/>
              </w:rPr>
              <w:footnoteReference w:id="30"/>
            </w:r>
            <w:r>
              <w:rPr>
                <w:noProof/>
                <w:sz w:val="18"/>
                <w:szCs w:val="18"/>
              </w:rPr>
              <w:t>*</w:t>
            </w:r>
          </w:p>
          <w:p w:rsidR="0073489B" w:rsidRDefault="00A46D11">
            <w:pPr>
              <w:jc w:val="center"/>
              <w:rPr>
                <w:noProof/>
                <w:sz w:val="18"/>
                <w:szCs w:val="18"/>
              </w:rPr>
            </w:pPr>
            <w:r>
              <w:rPr>
                <w:noProof/>
                <w:sz w:val="18"/>
                <w:szCs w:val="18"/>
              </w:rPr>
              <w:t>489,6**</w:t>
            </w:r>
          </w:p>
          <w:p w:rsidR="0073489B" w:rsidRDefault="00A46D11">
            <w:pPr>
              <w:jc w:val="center"/>
              <w:rPr>
                <w:noProof/>
                <w:sz w:val="18"/>
                <w:szCs w:val="18"/>
                <w:highlight w:val="yellow"/>
              </w:rPr>
            </w:pPr>
            <w:r>
              <w:rPr>
                <w:noProof/>
                <w:sz w:val="18"/>
                <w:szCs w:val="18"/>
              </w:rPr>
              <w:t>429,9***</w:t>
            </w:r>
          </w:p>
        </w:tc>
        <w:tc>
          <w:tcPr>
            <w:tcW w:w="1134" w:type="dxa"/>
            <w:gridSpan w:val="2"/>
            <w:tcBorders>
              <w:left w:val="single" w:sz="4" w:space="0" w:color="auto"/>
              <w:right w:val="single" w:sz="4" w:space="0" w:color="auto"/>
            </w:tcBorders>
            <w:shd w:val="clear" w:color="auto" w:fill="D3DFEE"/>
            <w:noWrap/>
            <w:vAlign w:val="center"/>
          </w:tcPr>
          <w:p w:rsidR="0073489B" w:rsidRDefault="00A46D11">
            <w:pPr>
              <w:jc w:val="center"/>
              <w:rPr>
                <w:noProof/>
                <w:sz w:val="18"/>
                <w:szCs w:val="18"/>
              </w:rPr>
            </w:pPr>
            <w:r>
              <w:rPr>
                <w:noProof/>
                <w:sz w:val="18"/>
                <w:szCs w:val="18"/>
              </w:rPr>
              <w:t>16 701***</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0,49</w:t>
            </w:r>
          </w:p>
        </w:tc>
      </w:tr>
      <w:tr w:rsidR="0073489B">
        <w:trPr>
          <w:gridAfter w:val="1"/>
          <w:wAfter w:w="189" w:type="dxa"/>
          <w:trHeight w:val="1414"/>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SME_Recovery_Support" w:history="1">
              <w:r>
                <w:rPr>
                  <w:rStyle w:val="Hyperlink"/>
                  <w:b/>
                  <w:bCs/>
                  <w:noProof/>
                  <w:sz w:val="18"/>
                  <w:szCs w:val="18"/>
                </w:rPr>
                <w:t>SME Recovery Support Loan for Turkey</w:t>
              </w:r>
            </w:hyperlink>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(EC) N°1085/2006</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Mitigate the crisis impact for SMEs and contribute to the development of the Turkish economy and employment</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 with no specific sector</w:t>
            </w:r>
            <w:r>
              <w:rPr>
                <w:noProof/>
                <w:sz w:val="18"/>
                <w:szCs w:val="18"/>
              </w:rPr>
              <w:t xml:space="preserve"> focus</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30,00</w:t>
            </w:r>
            <w:r>
              <w:rPr>
                <w:noProof/>
                <w:sz w:val="18"/>
                <w:szCs w:val="18"/>
              </w:rPr>
              <w:br/>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30,00</w:t>
            </w:r>
            <w:r>
              <w:rPr>
                <w:noProof/>
                <w:sz w:val="18"/>
                <w:szCs w:val="18"/>
              </w:rPr>
              <w:br/>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rPr>
            </w:pPr>
            <w:r>
              <w:rPr>
                <w:noProof/>
                <w:sz w:val="18"/>
                <w:szCs w:val="18"/>
              </w:rPr>
              <w:t>30,00</w:t>
            </w:r>
          </w:p>
        </w:tc>
        <w:tc>
          <w:tcPr>
            <w:tcW w:w="1134" w:type="dxa"/>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299,64**</w:t>
            </w:r>
          </w:p>
          <w:p w:rsidR="0073489B" w:rsidRDefault="00A46D11">
            <w:pPr>
              <w:jc w:val="center"/>
              <w:rPr>
                <w:noProof/>
                <w:sz w:val="18"/>
                <w:szCs w:val="18"/>
              </w:rPr>
            </w:pPr>
            <w:r>
              <w:rPr>
                <w:noProof/>
                <w:sz w:val="18"/>
                <w:szCs w:val="18"/>
              </w:rPr>
              <w:t>299,64***</w:t>
            </w:r>
          </w:p>
        </w:tc>
        <w:tc>
          <w:tcPr>
            <w:tcW w:w="1134" w:type="dxa"/>
            <w:gridSpan w:val="2"/>
            <w:tcBorders>
              <w:left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265**</w:t>
            </w:r>
          </w:p>
          <w:p w:rsidR="0073489B" w:rsidRDefault="00A46D11">
            <w:pPr>
              <w:jc w:val="center"/>
              <w:rPr>
                <w:noProof/>
                <w:sz w:val="18"/>
                <w:szCs w:val="18"/>
              </w:rPr>
            </w:pPr>
            <w:r>
              <w:rPr>
                <w:noProof/>
                <w:sz w:val="18"/>
                <w:szCs w:val="18"/>
              </w:rPr>
              <w:t>265***</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18,06</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0,36</w:t>
            </w:r>
          </w:p>
        </w:tc>
      </w:tr>
      <w:tr w:rsidR="0073489B">
        <w:trPr>
          <w:gridAfter w:val="1"/>
          <w:wAfter w:w="189" w:type="dxa"/>
          <w:trHeight w:val="1704"/>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Neighbourhood_Investment_Facility" w:history="1">
              <w:r>
                <w:rPr>
                  <w:rStyle w:val="Hyperlink"/>
                  <w:b/>
                  <w:bCs/>
                  <w:noProof/>
                  <w:sz w:val="18"/>
                  <w:szCs w:val="18"/>
                </w:rPr>
                <w:t>NIF</w:t>
              </w:r>
            </w:hyperlink>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NDC</w:t>
            </w:r>
            <w:r>
              <w:rPr>
                <w:noProof/>
                <w:sz w:val="18"/>
                <w:szCs w:val="18"/>
                <w:vertAlign w:val="superscript"/>
              </w:rPr>
              <w:footnoteReference w:id="31"/>
            </w:r>
            <w:r>
              <w:rPr>
                <w:noProof/>
                <w:sz w:val="18"/>
                <w:szCs w:val="18"/>
              </w:rPr>
              <w:t xml:space="preserve"> Old</w:t>
            </w:r>
          </w:p>
        </w:tc>
        <w:tc>
          <w:tcPr>
            <w:tcW w:w="1275"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(EC) N° 1638/ 2006 +232/2014 + 236/2014</w:t>
            </w:r>
          </w:p>
        </w:tc>
        <w:tc>
          <w:tcPr>
            <w:tcW w:w="851"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NEAR</w:t>
            </w:r>
          </w:p>
        </w:tc>
        <w:tc>
          <w:tcPr>
            <w:tcW w:w="850"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EFI</w:t>
            </w:r>
            <w:r>
              <w:rPr>
                <w:rStyle w:val="FootnoteReference"/>
                <w:noProof/>
                <w:sz w:val="18"/>
                <w:szCs w:val="18"/>
              </w:rPr>
              <w:footnoteReference w:id="32"/>
            </w:r>
          </w:p>
        </w:tc>
        <w:tc>
          <w:tcPr>
            <w:tcW w:w="1701"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Mobilise investments to support prosperity and good neighbour.</w:t>
            </w:r>
          </w:p>
        </w:tc>
        <w:tc>
          <w:tcPr>
            <w:tcW w:w="1134"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Infrastructure Projects, SMEs</w:t>
            </w:r>
          </w:p>
        </w:tc>
        <w:tc>
          <w:tcPr>
            <w:tcW w:w="1276"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 Environment., Energy, Water/Sanit., Social Sector, Transport</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1 678,64</w:t>
            </w:r>
          </w:p>
        </w:tc>
        <w:tc>
          <w:tcPr>
            <w:tcW w:w="993"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1 678,64</w:t>
            </w:r>
          </w:p>
        </w:tc>
        <w:tc>
          <w:tcPr>
            <w:tcW w:w="850" w:type="dxa"/>
            <w:tcBorders>
              <w:left w:val="single" w:sz="4" w:space="0" w:color="auto"/>
              <w:right w:val="single" w:sz="4" w:space="0" w:color="auto"/>
            </w:tcBorders>
            <w:shd w:val="clear" w:color="auto" w:fill="D3DFEE"/>
            <w:noWrap/>
            <w:vAlign w:val="center"/>
            <w:hideMark/>
          </w:tcPr>
          <w:p w:rsidR="0073489B" w:rsidRDefault="00A46D11">
            <w:pPr>
              <w:jc w:val="center"/>
              <w:rPr>
                <w:noProof/>
                <w:sz w:val="18"/>
                <w:szCs w:val="18"/>
              </w:rPr>
            </w:pPr>
            <w:r>
              <w:rPr>
                <w:noProof/>
                <w:sz w:val="18"/>
                <w:szCs w:val="18"/>
              </w:rPr>
              <w:t>757,17</w:t>
            </w:r>
          </w:p>
        </w:tc>
        <w:tc>
          <w:tcPr>
            <w:tcW w:w="1134" w:type="dxa"/>
            <w:tcBorders>
              <w:left w:val="single" w:sz="4" w:space="0" w:color="auto"/>
              <w:right w:val="single" w:sz="4" w:space="0" w:color="auto"/>
            </w:tcBorders>
            <w:shd w:val="clear" w:color="auto" w:fill="D3DFEE"/>
            <w:vAlign w:val="center"/>
          </w:tcPr>
          <w:p w:rsidR="0073489B" w:rsidRDefault="00A46D11">
            <w:pPr>
              <w:jc w:val="center"/>
              <w:rPr>
                <w:noProof/>
                <w:sz w:val="18"/>
                <w:szCs w:val="18"/>
                <w:highlight w:val="yellow"/>
              </w:rPr>
            </w:pPr>
            <w:r>
              <w:rPr>
                <w:noProof/>
                <w:sz w:val="18"/>
                <w:szCs w:val="18"/>
              </w:rPr>
              <w:t>16 950***</w:t>
            </w:r>
          </w:p>
        </w:tc>
        <w:tc>
          <w:tcPr>
            <w:tcW w:w="1134" w:type="dxa"/>
            <w:gridSpan w:val="2"/>
            <w:tcBorders>
              <w:left w:val="single" w:sz="4" w:space="0" w:color="auto"/>
              <w:right w:val="single" w:sz="4" w:space="0" w:color="auto"/>
            </w:tcBorders>
            <w:shd w:val="clear" w:color="auto" w:fill="D3DFEE"/>
            <w:vAlign w:val="center"/>
          </w:tcPr>
          <w:p w:rsidR="0073489B" w:rsidRDefault="00A46D11">
            <w:pPr>
              <w:jc w:val="center"/>
              <w:rPr>
                <w:noProof/>
                <w:sz w:val="18"/>
                <w:szCs w:val="18"/>
              </w:rPr>
            </w:pPr>
            <w:r>
              <w:rPr>
                <w:noProof/>
                <w:sz w:val="18"/>
                <w:szCs w:val="18"/>
              </w:rPr>
              <w:t>n/a</w:t>
            </w:r>
            <w:r>
              <w:rPr>
                <w:rStyle w:val="FootnoteReference"/>
                <w:noProof/>
                <w:sz w:val="18"/>
                <w:szCs w:val="18"/>
              </w:rPr>
              <w:footnoteReference w:id="33"/>
            </w:r>
            <w:r>
              <w:rPr>
                <w:noProof/>
                <w:sz w:val="18"/>
                <w:szCs w:val="18"/>
              </w:rPr>
              <w:t xml:space="preserve"> </w:t>
            </w:r>
          </w:p>
        </w:tc>
        <w:tc>
          <w:tcPr>
            <w:tcW w:w="992" w:type="dxa"/>
            <w:tcBorders>
              <w:left w:val="single" w:sz="4" w:space="0" w:color="auto"/>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30,86</w:t>
            </w:r>
          </w:p>
        </w:tc>
      </w:tr>
      <w:tr w:rsidR="0073489B">
        <w:trPr>
          <w:gridAfter w:val="1"/>
          <w:wAfter w:w="189" w:type="dxa"/>
          <w:trHeight w:val="499"/>
        </w:trPr>
        <w:tc>
          <w:tcPr>
            <w:tcW w:w="1276" w:type="dxa"/>
            <w:tcBorders>
              <w:left w:val="single" w:sz="4" w:space="0" w:color="auto"/>
              <w:right w:val="single" w:sz="4" w:space="0" w:color="auto"/>
            </w:tcBorders>
            <w:shd w:val="clear" w:color="auto" w:fill="auto"/>
            <w:vAlign w:val="center"/>
            <w:hideMark/>
          </w:tcPr>
          <w:p w:rsidR="0073489B" w:rsidRDefault="00A46D11">
            <w:pPr>
              <w:jc w:val="center"/>
              <w:rPr>
                <w:b/>
                <w:bCs/>
                <w:noProof/>
                <w:sz w:val="18"/>
                <w:szCs w:val="18"/>
              </w:rPr>
            </w:pPr>
            <w:hyperlink w:anchor="_Investment_Facility_for" w:history="1">
              <w:r>
                <w:rPr>
                  <w:rStyle w:val="Hyperlink"/>
                  <w:b/>
                  <w:bCs/>
                  <w:noProof/>
                  <w:sz w:val="18"/>
                  <w:szCs w:val="18"/>
                </w:rPr>
                <w:t>IFCA &amp; AIF</w:t>
              </w:r>
            </w:hyperlink>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NDC Old</w:t>
            </w:r>
          </w:p>
        </w:tc>
        <w:tc>
          <w:tcPr>
            <w:tcW w:w="1275"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Reg. (EC) N°  1905/ 2006 + 233/2014 + 236/2014</w:t>
            </w:r>
          </w:p>
        </w:tc>
        <w:tc>
          <w:tcPr>
            <w:tcW w:w="851"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DEVCO</w:t>
            </w:r>
          </w:p>
        </w:tc>
        <w:tc>
          <w:tcPr>
            <w:tcW w:w="850"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EFI</w:t>
            </w:r>
          </w:p>
        </w:tc>
        <w:tc>
          <w:tcPr>
            <w:tcW w:w="1701"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Promote investments and key infrastructure</w:t>
            </w:r>
          </w:p>
        </w:tc>
        <w:tc>
          <w:tcPr>
            <w:tcW w:w="1134"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 Environment, Energy, Water/Sanit.,</w:t>
            </w:r>
          </w:p>
          <w:p w:rsidR="0073489B" w:rsidRDefault="00A46D11">
            <w:pPr>
              <w:jc w:val="center"/>
              <w:rPr>
                <w:noProof/>
                <w:sz w:val="18"/>
                <w:szCs w:val="18"/>
              </w:rPr>
            </w:pPr>
            <w:r>
              <w:rPr>
                <w:noProof/>
                <w:sz w:val="18"/>
                <w:szCs w:val="18"/>
              </w:rPr>
              <w:t>Social Sector,</w:t>
            </w:r>
          </w:p>
          <w:p w:rsidR="0073489B" w:rsidRDefault="00A46D11">
            <w:pPr>
              <w:jc w:val="center"/>
              <w:rPr>
                <w:noProof/>
                <w:sz w:val="18"/>
                <w:szCs w:val="18"/>
              </w:rPr>
            </w:pPr>
            <w:r>
              <w:rPr>
                <w:noProof/>
                <w:sz w:val="18"/>
                <w:szCs w:val="18"/>
              </w:rPr>
              <w:t>Transport</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348,58</w:t>
            </w:r>
          </w:p>
        </w:tc>
        <w:tc>
          <w:tcPr>
            <w:tcW w:w="993"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highlight w:val="yellow"/>
              </w:rPr>
            </w:pPr>
            <w:r>
              <w:rPr>
                <w:noProof/>
                <w:sz w:val="18"/>
                <w:szCs w:val="18"/>
              </w:rPr>
              <w:t>348,58</w:t>
            </w:r>
          </w:p>
        </w:tc>
        <w:tc>
          <w:tcPr>
            <w:tcW w:w="850" w:type="dxa"/>
            <w:tcBorders>
              <w:left w:val="single" w:sz="4" w:space="0" w:color="auto"/>
              <w:right w:val="single" w:sz="4" w:space="0" w:color="auto"/>
            </w:tcBorders>
            <w:shd w:val="clear" w:color="auto" w:fill="auto"/>
            <w:noWrap/>
            <w:vAlign w:val="center"/>
            <w:hideMark/>
          </w:tcPr>
          <w:p w:rsidR="0073489B" w:rsidRDefault="00A46D11">
            <w:pPr>
              <w:jc w:val="center"/>
              <w:rPr>
                <w:noProof/>
                <w:sz w:val="18"/>
                <w:szCs w:val="18"/>
                <w:highlight w:val="yellow"/>
              </w:rPr>
            </w:pPr>
            <w:r>
              <w:rPr>
                <w:noProof/>
                <w:sz w:val="18"/>
                <w:szCs w:val="18"/>
              </w:rPr>
              <w:t>132,12</w:t>
            </w:r>
          </w:p>
        </w:tc>
        <w:tc>
          <w:tcPr>
            <w:tcW w:w="1134" w:type="dxa"/>
            <w:tcBorders>
              <w:left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 xml:space="preserve">970*** </w:t>
            </w:r>
          </w:p>
          <w:p w:rsidR="0073489B" w:rsidRDefault="00A46D11">
            <w:pPr>
              <w:jc w:val="center"/>
              <w:rPr>
                <w:noProof/>
                <w:sz w:val="18"/>
                <w:szCs w:val="18"/>
              </w:rPr>
            </w:pPr>
            <w:r>
              <w:rPr>
                <w:noProof/>
                <w:sz w:val="18"/>
                <w:szCs w:val="18"/>
              </w:rPr>
              <w:t>IFCA</w:t>
            </w:r>
            <w:r>
              <w:rPr>
                <w:rStyle w:val="FootnoteReference"/>
                <w:noProof/>
                <w:sz w:val="18"/>
                <w:szCs w:val="18"/>
              </w:rPr>
              <w:footnoteReference w:id="34"/>
            </w:r>
          </w:p>
          <w:p w:rsidR="0073489B" w:rsidRDefault="00A46D11">
            <w:pPr>
              <w:jc w:val="center"/>
              <w:rPr>
                <w:noProof/>
                <w:sz w:val="18"/>
                <w:szCs w:val="18"/>
              </w:rPr>
            </w:pPr>
            <w:r>
              <w:rPr>
                <w:noProof/>
                <w:sz w:val="18"/>
                <w:szCs w:val="18"/>
              </w:rPr>
              <w:t>3 152***</w:t>
            </w:r>
          </w:p>
          <w:p w:rsidR="0073489B" w:rsidRDefault="00A46D11">
            <w:pPr>
              <w:jc w:val="center"/>
              <w:rPr>
                <w:noProof/>
                <w:sz w:val="18"/>
                <w:szCs w:val="18"/>
                <w:highlight w:val="yellow"/>
              </w:rPr>
            </w:pPr>
            <w:r>
              <w:rPr>
                <w:noProof/>
                <w:sz w:val="18"/>
                <w:szCs w:val="18"/>
              </w:rPr>
              <w:t>AIF</w:t>
            </w:r>
          </w:p>
        </w:tc>
        <w:tc>
          <w:tcPr>
            <w:tcW w:w="1134" w:type="dxa"/>
            <w:gridSpan w:val="2"/>
            <w:tcBorders>
              <w:left w:val="single" w:sz="4" w:space="0" w:color="auto"/>
              <w:right w:val="single" w:sz="4" w:space="0" w:color="auto"/>
            </w:tcBorders>
            <w:shd w:val="clear" w:color="auto" w:fill="auto"/>
            <w:vAlign w:val="center"/>
          </w:tcPr>
          <w:p w:rsidR="0073489B" w:rsidRDefault="00A46D11">
            <w:pPr>
              <w:jc w:val="center"/>
              <w:rPr>
                <w:noProof/>
                <w:sz w:val="18"/>
                <w:szCs w:val="18"/>
                <w:highlight w:val="yellow"/>
              </w:rPr>
            </w:pPr>
            <w:r>
              <w:rPr>
                <w:noProof/>
                <w:sz w:val="18"/>
                <w:szCs w:val="18"/>
              </w:rPr>
              <w:t>22*** IFCA</w:t>
            </w:r>
            <w:r>
              <w:rPr>
                <w:rStyle w:val="FootnoteReference"/>
                <w:noProof/>
                <w:sz w:val="18"/>
                <w:szCs w:val="18"/>
              </w:rPr>
              <w:footnoteReference w:id="35"/>
            </w:r>
            <w:r>
              <w:rPr>
                <w:noProof/>
                <w:sz w:val="18"/>
                <w:szCs w:val="18"/>
              </w:rPr>
              <w:t xml:space="preserve"> 24***AIF</w:t>
            </w:r>
          </w:p>
        </w:tc>
        <w:tc>
          <w:tcPr>
            <w:tcW w:w="992" w:type="dxa"/>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rsidR="0073489B" w:rsidRDefault="00A46D11">
            <w:pPr>
              <w:jc w:val="center"/>
              <w:rPr>
                <w:noProof/>
                <w:sz w:val="18"/>
                <w:szCs w:val="18"/>
                <w:highlight w:val="yellow"/>
              </w:rPr>
            </w:pPr>
            <w:r>
              <w:rPr>
                <w:noProof/>
                <w:sz w:val="18"/>
                <w:szCs w:val="18"/>
              </w:rPr>
              <w:t>8,57</w:t>
            </w:r>
          </w:p>
        </w:tc>
      </w:tr>
      <w:tr w:rsidR="0073489B">
        <w:trPr>
          <w:gridAfter w:val="1"/>
          <w:wAfter w:w="189" w:type="dxa"/>
          <w:trHeight w:val="1530"/>
        </w:trPr>
        <w:tc>
          <w:tcPr>
            <w:tcW w:w="1276" w:type="dxa"/>
            <w:tcBorders>
              <w:left w:val="single" w:sz="4" w:space="0" w:color="auto"/>
              <w:bottom w:val="nil"/>
              <w:right w:val="single" w:sz="4" w:space="0" w:color="auto"/>
            </w:tcBorders>
            <w:shd w:val="clear" w:color="auto" w:fill="auto"/>
            <w:vAlign w:val="center"/>
            <w:hideMark/>
          </w:tcPr>
          <w:p w:rsidR="0073489B" w:rsidRDefault="00A46D11">
            <w:pPr>
              <w:jc w:val="center"/>
              <w:rPr>
                <w:b/>
                <w:bCs/>
                <w:noProof/>
                <w:sz w:val="18"/>
                <w:szCs w:val="18"/>
              </w:rPr>
            </w:pPr>
            <w:hyperlink w:anchor="_Latin_America_Investment" w:history="1">
              <w:r>
                <w:rPr>
                  <w:rStyle w:val="Hyperlink"/>
                  <w:b/>
                  <w:bCs/>
                  <w:noProof/>
                  <w:sz w:val="18"/>
                  <w:szCs w:val="18"/>
                </w:rPr>
                <w:t>LAIF</w:t>
              </w:r>
            </w:hyperlink>
          </w:p>
        </w:tc>
        <w:tc>
          <w:tcPr>
            <w:tcW w:w="851"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NDC Old</w:t>
            </w:r>
          </w:p>
        </w:tc>
        <w:tc>
          <w:tcPr>
            <w:tcW w:w="1275"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Reg. (EC) N°1905/2006 + 233/2014 + 236/2014</w:t>
            </w:r>
          </w:p>
        </w:tc>
        <w:tc>
          <w:tcPr>
            <w:tcW w:w="851"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DEVCO</w:t>
            </w:r>
          </w:p>
        </w:tc>
        <w:tc>
          <w:tcPr>
            <w:tcW w:w="850"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EFI</w:t>
            </w:r>
          </w:p>
        </w:tc>
        <w:tc>
          <w:tcPr>
            <w:tcW w:w="1701" w:type="dxa"/>
            <w:gridSpan w:val="2"/>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Promote investments and infrastructures</w:t>
            </w:r>
          </w:p>
        </w:tc>
        <w:tc>
          <w:tcPr>
            <w:tcW w:w="1134"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Infrastructu-re Projects, SMEs</w:t>
            </w:r>
          </w:p>
        </w:tc>
        <w:tc>
          <w:tcPr>
            <w:tcW w:w="1276" w:type="dxa"/>
            <w:gridSpan w:val="2"/>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lang w:val="fr-BE"/>
              </w:rPr>
            </w:pPr>
            <w:r>
              <w:rPr>
                <w:noProof/>
                <w:sz w:val="18"/>
                <w:szCs w:val="18"/>
                <w:lang w:val="fr-BE"/>
              </w:rPr>
              <w:t>SMEs,</w:t>
            </w:r>
          </w:p>
          <w:p w:rsidR="0073489B" w:rsidRDefault="00A46D11">
            <w:pPr>
              <w:jc w:val="center"/>
              <w:rPr>
                <w:noProof/>
                <w:sz w:val="18"/>
                <w:szCs w:val="18"/>
                <w:lang w:val="fr-BE"/>
              </w:rPr>
            </w:pPr>
            <w:r>
              <w:rPr>
                <w:noProof/>
                <w:sz w:val="18"/>
                <w:szCs w:val="18"/>
                <w:lang w:val="fr-BE"/>
              </w:rPr>
              <w:t>Environment,</w:t>
            </w:r>
          </w:p>
          <w:p w:rsidR="0073489B" w:rsidRDefault="00A46D11">
            <w:pPr>
              <w:jc w:val="center"/>
              <w:rPr>
                <w:noProof/>
                <w:sz w:val="18"/>
                <w:szCs w:val="18"/>
              </w:rPr>
            </w:pPr>
            <w:r>
              <w:rPr>
                <w:noProof/>
                <w:sz w:val="18"/>
                <w:szCs w:val="18"/>
              </w:rPr>
              <w:t>Energy,</w:t>
            </w:r>
          </w:p>
          <w:p w:rsidR="0073489B" w:rsidRDefault="00A46D11">
            <w:pPr>
              <w:jc w:val="center"/>
              <w:rPr>
                <w:noProof/>
                <w:sz w:val="18"/>
                <w:szCs w:val="18"/>
              </w:rPr>
            </w:pPr>
            <w:r>
              <w:rPr>
                <w:noProof/>
                <w:sz w:val="18"/>
                <w:szCs w:val="18"/>
              </w:rPr>
              <w:t>Water/Sanit.,  Social Sector,</w:t>
            </w:r>
          </w:p>
          <w:p w:rsidR="0073489B" w:rsidRDefault="00A46D11">
            <w:pPr>
              <w:jc w:val="center"/>
              <w:rPr>
                <w:noProof/>
                <w:sz w:val="18"/>
                <w:szCs w:val="18"/>
              </w:rPr>
            </w:pPr>
            <w:r>
              <w:rPr>
                <w:noProof/>
                <w:sz w:val="18"/>
                <w:szCs w:val="18"/>
                <w:lang w:val="fr-BE"/>
              </w:rPr>
              <w:t>Transport</w:t>
            </w:r>
          </w:p>
        </w:tc>
        <w:tc>
          <w:tcPr>
            <w:tcW w:w="992"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lang w:val="fr-BE"/>
              </w:rPr>
              <w:t>322,70</w:t>
            </w:r>
          </w:p>
        </w:tc>
        <w:tc>
          <w:tcPr>
            <w:tcW w:w="993" w:type="dxa"/>
            <w:tcBorders>
              <w:left w:val="single" w:sz="4" w:space="0" w:color="auto"/>
              <w:bottom w:val="nil"/>
              <w:right w:val="single" w:sz="4" w:space="0" w:color="auto"/>
            </w:tcBorders>
            <w:shd w:val="clear" w:color="auto" w:fill="D3DFEE"/>
            <w:noWrap/>
            <w:vAlign w:val="center"/>
            <w:hideMark/>
          </w:tcPr>
          <w:p w:rsidR="0073489B" w:rsidRDefault="00A46D11">
            <w:pPr>
              <w:jc w:val="center"/>
              <w:rPr>
                <w:noProof/>
                <w:sz w:val="18"/>
                <w:szCs w:val="18"/>
                <w:highlight w:val="yellow"/>
              </w:rPr>
            </w:pPr>
            <w:r>
              <w:rPr>
                <w:noProof/>
                <w:sz w:val="18"/>
                <w:szCs w:val="18"/>
                <w:lang w:val="fr-BE"/>
              </w:rPr>
              <w:t>322,70</w:t>
            </w:r>
          </w:p>
        </w:tc>
        <w:tc>
          <w:tcPr>
            <w:tcW w:w="850" w:type="dxa"/>
            <w:tcBorders>
              <w:left w:val="single" w:sz="4" w:space="0" w:color="auto"/>
              <w:bottom w:val="nil"/>
              <w:right w:val="single" w:sz="4" w:space="0" w:color="auto"/>
            </w:tcBorders>
            <w:shd w:val="clear" w:color="auto" w:fill="D3DFEE"/>
            <w:noWrap/>
            <w:vAlign w:val="center"/>
            <w:hideMark/>
          </w:tcPr>
          <w:p w:rsidR="0073489B" w:rsidRDefault="00A46D11">
            <w:pPr>
              <w:jc w:val="center"/>
              <w:rPr>
                <w:noProof/>
                <w:sz w:val="18"/>
                <w:szCs w:val="18"/>
                <w:highlight w:val="yellow"/>
              </w:rPr>
            </w:pPr>
            <w:r>
              <w:rPr>
                <w:noProof/>
                <w:sz w:val="18"/>
                <w:szCs w:val="18"/>
                <w:lang w:val="fr-BE"/>
              </w:rPr>
              <w:t>166,97</w:t>
            </w:r>
          </w:p>
        </w:tc>
        <w:tc>
          <w:tcPr>
            <w:tcW w:w="1134" w:type="dxa"/>
            <w:tcBorders>
              <w:left w:val="single" w:sz="4" w:space="0" w:color="auto"/>
              <w:bottom w:val="nil"/>
              <w:right w:val="single" w:sz="4" w:space="0" w:color="auto"/>
            </w:tcBorders>
            <w:shd w:val="clear" w:color="auto" w:fill="D3DFEE"/>
            <w:vAlign w:val="center"/>
          </w:tcPr>
          <w:p w:rsidR="0073489B" w:rsidRDefault="00A46D11">
            <w:pPr>
              <w:jc w:val="center"/>
              <w:rPr>
                <w:i/>
                <w:noProof/>
                <w:sz w:val="18"/>
                <w:szCs w:val="18"/>
                <w:highlight w:val="yellow"/>
              </w:rPr>
            </w:pPr>
            <w:r>
              <w:rPr>
                <w:noProof/>
                <w:sz w:val="18"/>
                <w:szCs w:val="18"/>
              </w:rPr>
              <w:t>7 538***</w:t>
            </w:r>
            <w:r>
              <w:rPr>
                <w:rStyle w:val="FootnoteReference"/>
                <w:noProof/>
                <w:sz w:val="18"/>
                <w:szCs w:val="18"/>
              </w:rPr>
              <w:footnoteReference w:id="36"/>
            </w:r>
          </w:p>
        </w:tc>
        <w:tc>
          <w:tcPr>
            <w:tcW w:w="1134" w:type="dxa"/>
            <w:gridSpan w:val="2"/>
            <w:tcBorders>
              <w:left w:val="single" w:sz="4" w:space="0" w:color="auto"/>
              <w:bottom w:val="nil"/>
              <w:right w:val="single" w:sz="4" w:space="0" w:color="auto"/>
            </w:tcBorders>
            <w:shd w:val="clear" w:color="auto" w:fill="D3DFEE"/>
            <w:vAlign w:val="center"/>
          </w:tcPr>
          <w:p w:rsidR="0073489B" w:rsidRDefault="00A46D11">
            <w:pPr>
              <w:jc w:val="center"/>
              <w:rPr>
                <w:noProof/>
                <w:sz w:val="18"/>
                <w:szCs w:val="18"/>
                <w:highlight w:val="yellow"/>
              </w:rPr>
            </w:pPr>
            <w:r>
              <w:rPr>
                <w:noProof/>
                <w:sz w:val="18"/>
                <w:szCs w:val="18"/>
                <w:lang w:val="fr-BE"/>
              </w:rPr>
              <w:t>33***</w:t>
            </w:r>
            <w:r>
              <w:rPr>
                <w:rStyle w:val="FootnoteReference"/>
                <w:noProof/>
                <w:sz w:val="18"/>
                <w:szCs w:val="18"/>
              </w:rPr>
              <w:footnoteReference w:id="37"/>
            </w:r>
          </w:p>
        </w:tc>
        <w:tc>
          <w:tcPr>
            <w:tcW w:w="992" w:type="dxa"/>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lang w:val="fr-BE"/>
              </w:rPr>
              <w:t>n/a</w:t>
            </w:r>
          </w:p>
        </w:tc>
        <w:tc>
          <w:tcPr>
            <w:tcW w:w="1134" w:type="dxa"/>
            <w:gridSpan w:val="2"/>
            <w:tcBorders>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lang w:val="fr-BE"/>
              </w:rPr>
              <w:t>6,63</w:t>
            </w:r>
          </w:p>
        </w:tc>
      </w:tr>
      <w:tr w:rsidR="0073489B">
        <w:trPr>
          <w:gridAfter w:val="1"/>
          <w:wAfter w:w="189" w:type="dxa"/>
          <w:trHeight w:val="1142"/>
        </w:trPr>
        <w:tc>
          <w:tcPr>
            <w:tcW w:w="1276"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b/>
                <w:bCs/>
                <w:noProof/>
                <w:sz w:val="18"/>
                <w:szCs w:val="18"/>
              </w:rPr>
            </w:pPr>
            <w:hyperlink w:anchor="_Support_to_the" w:history="1">
              <w:r>
                <w:rPr>
                  <w:rStyle w:val="Hyperlink"/>
                  <w:b/>
                  <w:bCs/>
                  <w:noProof/>
                  <w:sz w:val="18"/>
                  <w:szCs w:val="18"/>
                  <w:lang w:val="fr-BE"/>
                </w:rPr>
                <w:t>Support to FEMIP</w:t>
              </w:r>
            </w:hyperlink>
          </w:p>
        </w:tc>
        <w:tc>
          <w:tcPr>
            <w:tcW w:w="851"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rPr>
            </w:pPr>
            <w:r>
              <w:rPr>
                <w:noProof/>
                <w:sz w:val="18"/>
                <w:szCs w:val="18"/>
                <w:lang w:val="fr-BE"/>
              </w:rPr>
              <w:t>NDC Old</w:t>
            </w:r>
          </w:p>
        </w:tc>
        <w:tc>
          <w:tcPr>
            <w:tcW w:w="1275"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rPr>
            </w:pPr>
            <w:r>
              <w:rPr>
                <w:noProof/>
                <w:sz w:val="18"/>
                <w:szCs w:val="18"/>
                <w:lang w:val="fr-BE"/>
              </w:rPr>
              <w:t>Reg. (EC) N°1638/2006</w:t>
            </w:r>
          </w:p>
        </w:tc>
        <w:tc>
          <w:tcPr>
            <w:tcW w:w="851"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rPr>
            </w:pPr>
            <w:r>
              <w:rPr>
                <w:noProof/>
                <w:sz w:val="18"/>
                <w:szCs w:val="18"/>
                <w:lang w:val="fr-BE"/>
              </w:rPr>
              <w:t>NEAR</w:t>
            </w:r>
          </w:p>
        </w:tc>
        <w:tc>
          <w:tcPr>
            <w:tcW w:w="850"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rPr>
            </w:pPr>
            <w:r>
              <w:rPr>
                <w:noProof/>
                <w:sz w:val="18"/>
                <w:szCs w:val="18"/>
                <w:lang w:val="fr-BE"/>
              </w:rPr>
              <w:t>EIB</w:t>
            </w:r>
          </w:p>
        </w:tc>
        <w:tc>
          <w:tcPr>
            <w:tcW w:w="1701" w:type="dxa"/>
            <w:gridSpan w:val="2"/>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Provide capital to the private sector of Mediterranean partner countries</w:t>
            </w:r>
          </w:p>
        </w:tc>
        <w:tc>
          <w:tcPr>
            <w:tcW w:w="1134"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rPr>
            </w:pPr>
            <w:r>
              <w:rPr>
                <w:noProof/>
                <w:sz w:val="18"/>
                <w:szCs w:val="18"/>
              </w:rPr>
              <w:t>SMEs</w:t>
            </w:r>
          </w:p>
        </w:tc>
        <w:tc>
          <w:tcPr>
            <w:tcW w:w="1276" w:type="dxa"/>
            <w:gridSpan w:val="2"/>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lang w:val="fr-BE"/>
              </w:rPr>
            </w:pPr>
            <w:r>
              <w:rPr>
                <w:noProof/>
                <w:sz w:val="18"/>
                <w:szCs w:val="18"/>
              </w:rPr>
              <w:t>Private Sector</w:t>
            </w:r>
          </w:p>
        </w:tc>
        <w:tc>
          <w:tcPr>
            <w:tcW w:w="992"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lang w:val="fr-BE"/>
              </w:rPr>
            </w:pPr>
            <w:r>
              <w:rPr>
                <w:noProof/>
                <w:sz w:val="18"/>
                <w:szCs w:val="18"/>
              </w:rPr>
              <w:t>224,00</w:t>
            </w:r>
          </w:p>
        </w:tc>
        <w:tc>
          <w:tcPr>
            <w:tcW w:w="993" w:type="dxa"/>
            <w:tcBorders>
              <w:top w:val="nil"/>
              <w:left w:val="single" w:sz="4" w:space="0" w:color="auto"/>
              <w:bottom w:val="nil"/>
              <w:right w:val="single" w:sz="4" w:space="0" w:color="auto"/>
            </w:tcBorders>
            <w:shd w:val="clear" w:color="auto" w:fill="auto"/>
            <w:noWrap/>
            <w:vAlign w:val="center"/>
            <w:hideMark/>
          </w:tcPr>
          <w:p w:rsidR="0073489B" w:rsidRDefault="00A46D11">
            <w:pPr>
              <w:jc w:val="center"/>
              <w:rPr>
                <w:noProof/>
                <w:sz w:val="18"/>
                <w:szCs w:val="18"/>
                <w:lang w:val="fr-BE"/>
              </w:rPr>
            </w:pPr>
            <w:r>
              <w:rPr>
                <w:noProof/>
                <w:sz w:val="18"/>
                <w:szCs w:val="18"/>
              </w:rPr>
              <w:t>224,00</w:t>
            </w:r>
          </w:p>
        </w:tc>
        <w:tc>
          <w:tcPr>
            <w:tcW w:w="850" w:type="dxa"/>
            <w:tcBorders>
              <w:top w:val="nil"/>
              <w:left w:val="single" w:sz="4" w:space="0" w:color="auto"/>
              <w:bottom w:val="nil"/>
              <w:right w:val="single" w:sz="4" w:space="0" w:color="auto"/>
            </w:tcBorders>
            <w:shd w:val="clear" w:color="auto" w:fill="auto"/>
            <w:noWrap/>
            <w:vAlign w:val="center"/>
            <w:hideMark/>
          </w:tcPr>
          <w:p w:rsidR="0073489B" w:rsidRDefault="00A46D11">
            <w:pPr>
              <w:jc w:val="center"/>
              <w:rPr>
                <w:noProof/>
                <w:sz w:val="18"/>
                <w:szCs w:val="18"/>
                <w:lang w:val="fr-BE"/>
              </w:rPr>
            </w:pPr>
            <w:r>
              <w:rPr>
                <w:noProof/>
                <w:sz w:val="18"/>
                <w:szCs w:val="18"/>
              </w:rPr>
              <w:t>224,00</w:t>
            </w:r>
          </w:p>
        </w:tc>
        <w:tc>
          <w:tcPr>
            <w:tcW w:w="1134" w:type="dxa"/>
            <w:tcBorders>
              <w:top w:val="nil"/>
              <w:left w:val="single" w:sz="4" w:space="0" w:color="auto"/>
              <w:bottom w:val="nil"/>
              <w:right w:val="single" w:sz="4" w:space="0" w:color="auto"/>
            </w:tcBorders>
            <w:shd w:val="clear" w:color="auto" w:fill="auto"/>
            <w:noWrap/>
            <w:vAlign w:val="center"/>
          </w:tcPr>
          <w:p w:rsidR="0073489B" w:rsidRDefault="00A46D11">
            <w:pPr>
              <w:jc w:val="center"/>
              <w:rPr>
                <w:noProof/>
                <w:sz w:val="18"/>
                <w:szCs w:val="18"/>
                <w:highlight w:val="yellow"/>
                <w:lang w:val="fr-BE"/>
              </w:rPr>
            </w:pPr>
            <w:r>
              <w:rPr>
                <w:noProof/>
                <w:sz w:val="18"/>
                <w:szCs w:val="18"/>
              </w:rPr>
              <w:t>6 714***</w:t>
            </w:r>
          </w:p>
        </w:tc>
        <w:tc>
          <w:tcPr>
            <w:tcW w:w="1134" w:type="dxa"/>
            <w:gridSpan w:val="2"/>
            <w:tcBorders>
              <w:top w:val="nil"/>
              <w:left w:val="single" w:sz="4" w:space="0" w:color="auto"/>
              <w:bottom w:val="nil"/>
              <w:right w:val="single" w:sz="4" w:space="0" w:color="auto"/>
            </w:tcBorders>
            <w:shd w:val="clear" w:color="auto" w:fill="auto"/>
            <w:noWrap/>
            <w:vAlign w:val="center"/>
          </w:tcPr>
          <w:p w:rsidR="0073489B" w:rsidRDefault="00A46D11">
            <w:pPr>
              <w:jc w:val="center"/>
              <w:rPr>
                <w:noProof/>
                <w:sz w:val="18"/>
                <w:szCs w:val="18"/>
                <w:highlight w:val="yellow"/>
                <w:lang w:val="fr-BE"/>
              </w:rPr>
            </w:pPr>
            <w:r>
              <w:rPr>
                <w:noProof/>
                <w:sz w:val="18"/>
                <w:szCs w:val="18"/>
              </w:rPr>
              <w:t>n/a</w:t>
            </w:r>
          </w:p>
        </w:tc>
        <w:tc>
          <w:tcPr>
            <w:tcW w:w="992"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highlight w:val="yellow"/>
                <w:lang w:val="fr-BE"/>
              </w:rPr>
            </w:pPr>
            <w:r>
              <w:rPr>
                <w:noProof/>
                <w:sz w:val="18"/>
                <w:szCs w:val="18"/>
                <w:lang w:val="fr-BE"/>
              </w:rPr>
              <w:t>13,7</w:t>
            </w:r>
          </w:p>
        </w:tc>
        <w:tc>
          <w:tcPr>
            <w:tcW w:w="1134" w:type="dxa"/>
            <w:gridSpan w:val="2"/>
            <w:tcBorders>
              <w:top w:val="nil"/>
              <w:left w:val="single" w:sz="4" w:space="0" w:color="auto"/>
              <w:bottom w:val="nil"/>
              <w:right w:val="single" w:sz="4" w:space="0" w:color="auto"/>
            </w:tcBorders>
            <w:shd w:val="clear" w:color="auto" w:fill="auto"/>
            <w:vAlign w:val="center"/>
            <w:hideMark/>
          </w:tcPr>
          <w:p w:rsidR="0073489B" w:rsidRDefault="00A46D11">
            <w:pPr>
              <w:jc w:val="center"/>
              <w:rPr>
                <w:noProof/>
                <w:sz w:val="18"/>
                <w:szCs w:val="18"/>
                <w:highlight w:val="yellow"/>
                <w:lang w:val="fr-BE"/>
              </w:rPr>
            </w:pPr>
            <w:r>
              <w:rPr>
                <w:noProof/>
                <w:sz w:val="18"/>
                <w:szCs w:val="18"/>
              </w:rPr>
              <w:t>7,47</w:t>
            </w:r>
          </w:p>
        </w:tc>
      </w:tr>
      <w:tr w:rsidR="0073489B">
        <w:trPr>
          <w:gridAfter w:val="1"/>
          <w:wAfter w:w="189" w:type="dxa"/>
          <w:trHeight w:val="1105"/>
        </w:trPr>
        <w:tc>
          <w:tcPr>
            <w:tcW w:w="1276" w:type="dxa"/>
            <w:tcBorders>
              <w:top w:val="nil"/>
              <w:left w:val="single" w:sz="4" w:space="0" w:color="auto"/>
              <w:bottom w:val="nil"/>
              <w:right w:val="single" w:sz="4" w:space="0" w:color="auto"/>
            </w:tcBorders>
            <w:shd w:val="clear" w:color="auto" w:fill="auto"/>
            <w:vAlign w:val="center"/>
            <w:hideMark/>
          </w:tcPr>
          <w:p w:rsidR="0073489B" w:rsidRDefault="00A46D11">
            <w:pPr>
              <w:jc w:val="center"/>
              <w:rPr>
                <w:b/>
                <w:bCs/>
                <w:noProof/>
                <w:sz w:val="18"/>
                <w:szCs w:val="18"/>
                <w:lang w:val="fr-BE"/>
              </w:rPr>
            </w:pPr>
            <w:hyperlink w:anchor="_Global_Energy_Efficiency" w:history="1">
              <w:r>
                <w:rPr>
                  <w:rStyle w:val="Hyperlink"/>
                  <w:b/>
                  <w:bCs/>
                  <w:noProof/>
                  <w:sz w:val="18"/>
                  <w:szCs w:val="18"/>
                </w:rPr>
                <w:t>GEEREF</w:t>
              </w:r>
            </w:hyperlink>
          </w:p>
        </w:tc>
        <w:tc>
          <w:tcPr>
            <w:tcW w:w="851"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lang w:val="fr-BE"/>
              </w:rPr>
            </w:pPr>
            <w:r>
              <w:rPr>
                <w:noProof/>
                <w:sz w:val="18"/>
                <w:szCs w:val="18"/>
              </w:rPr>
              <w:t>NDC Old</w:t>
            </w:r>
          </w:p>
        </w:tc>
        <w:tc>
          <w:tcPr>
            <w:tcW w:w="1275"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lang w:val="fr-BE"/>
              </w:rPr>
            </w:pPr>
            <w:r>
              <w:rPr>
                <w:noProof/>
                <w:sz w:val="18"/>
                <w:szCs w:val="18"/>
              </w:rPr>
              <w:t>Reg.(EC) N°1905/2006 + 233/2014 + 236/2014</w:t>
            </w:r>
          </w:p>
        </w:tc>
        <w:tc>
          <w:tcPr>
            <w:tcW w:w="851"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lang w:val="fr-BE"/>
              </w:rPr>
            </w:pPr>
            <w:r>
              <w:rPr>
                <w:noProof/>
                <w:sz w:val="18"/>
                <w:szCs w:val="18"/>
              </w:rPr>
              <w:t>DEVCO</w:t>
            </w:r>
          </w:p>
        </w:tc>
        <w:tc>
          <w:tcPr>
            <w:tcW w:w="850"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lang w:val="fr-BE"/>
              </w:rPr>
            </w:pPr>
            <w:r>
              <w:rPr>
                <w:noProof/>
                <w:sz w:val="18"/>
                <w:szCs w:val="18"/>
              </w:rPr>
              <w:t>EIB,EIF</w:t>
            </w:r>
          </w:p>
        </w:tc>
        <w:tc>
          <w:tcPr>
            <w:tcW w:w="1701" w:type="dxa"/>
            <w:gridSpan w:val="2"/>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Promote energy efficiency and renewable energy</w:t>
            </w:r>
          </w:p>
        </w:tc>
        <w:tc>
          <w:tcPr>
            <w:tcW w:w="1134"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SMEs</w:t>
            </w:r>
          </w:p>
        </w:tc>
        <w:tc>
          <w:tcPr>
            <w:tcW w:w="1276" w:type="dxa"/>
            <w:gridSpan w:val="2"/>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rPr>
            </w:pPr>
            <w:r>
              <w:rPr>
                <w:noProof/>
                <w:sz w:val="18"/>
                <w:szCs w:val="18"/>
              </w:rPr>
              <w:t>Energy</w:t>
            </w:r>
          </w:p>
        </w:tc>
        <w:tc>
          <w:tcPr>
            <w:tcW w:w="992"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81,1</w:t>
            </w:r>
          </w:p>
        </w:tc>
        <w:tc>
          <w:tcPr>
            <w:tcW w:w="993" w:type="dxa"/>
            <w:tcBorders>
              <w:top w:val="nil"/>
              <w:left w:val="single" w:sz="4" w:space="0" w:color="auto"/>
              <w:bottom w:val="nil"/>
              <w:right w:val="single" w:sz="4" w:space="0" w:color="auto"/>
            </w:tcBorders>
            <w:shd w:val="clear" w:color="auto" w:fill="D3DFEE"/>
            <w:noWrap/>
            <w:vAlign w:val="center"/>
            <w:hideMark/>
          </w:tcPr>
          <w:p w:rsidR="0073489B" w:rsidRDefault="00A46D11">
            <w:pPr>
              <w:jc w:val="center"/>
              <w:rPr>
                <w:noProof/>
                <w:sz w:val="18"/>
                <w:szCs w:val="18"/>
                <w:highlight w:val="yellow"/>
              </w:rPr>
            </w:pPr>
            <w:r>
              <w:rPr>
                <w:noProof/>
                <w:sz w:val="18"/>
                <w:szCs w:val="18"/>
              </w:rPr>
              <w:t>81,1</w:t>
            </w:r>
          </w:p>
        </w:tc>
        <w:tc>
          <w:tcPr>
            <w:tcW w:w="850" w:type="dxa"/>
            <w:tcBorders>
              <w:top w:val="nil"/>
              <w:left w:val="single" w:sz="4" w:space="0" w:color="auto"/>
              <w:bottom w:val="nil"/>
              <w:right w:val="single" w:sz="4" w:space="0" w:color="auto"/>
            </w:tcBorders>
            <w:shd w:val="clear" w:color="auto" w:fill="D3DFEE"/>
            <w:noWrap/>
            <w:vAlign w:val="center"/>
            <w:hideMark/>
          </w:tcPr>
          <w:p w:rsidR="0073489B" w:rsidRDefault="00A46D11">
            <w:pPr>
              <w:jc w:val="center"/>
              <w:rPr>
                <w:noProof/>
                <w:sz w:val="18"/>
                <w:szCs w:val="18"/>
                <w:highlight w:val="yellow"/>
              </w:rPr>
            </w:pPr>
            <w:r>
              <w:rPr>
                <w:noProof/>
                <w:sz w:val="18"/>
                <w:szCs w:val="18"/>
              </w:rPr>
              <w:t>79,5</w:t>
            </w:r>
          </w:p>
        </w:tc>
        <w:tc>
          <w:tcPr>
            <w:tcW w:w="1134" w:type="dxa"/>
            <w:tcBorders>
              <w:top w:val="nil"/>
              <w:left w:val="single" w:sz="4" w:space="0" w:color="auto"/>
              <w:bottom w:val="nil"/>
              <w:right w:val="single" w:sz="4" w:space="0" w:color="auto"/>
            </w:tcBorders>
            <w:shd w:val="clear" w:color="auto" w:fill="D3DFEE"/>
            <w:noWrap/>
            <w:vAlign w:val="center"/>
          </w:tcPr>
          <w:p w:rsidR="0073489B" w:rsidRDefault="00A46D11">
            <w:pPr>
              <w:jc w:val="center"/>
              <w:rPr>
                <w:noProof/>
                <w:sz w:val="18"/>
                <w:szCs w:val="18"/>
                <w:highlight w:val="yellow"/>
              </w:rPr>
            </w:pPr>
            <w:r>
              <w:rPr>
                <w:noProof/>
                <w:sz w:val="18"/>
                <w:szCs w:val="18"/>
              </w:rPr>
              <w:t>148***</w:t>
            </w:r>
          </w:p>
        </w:tc>
        <w:tc>
          <w:tcPr>
            <w:tcW w:w="1134" w:type="dxa"/>
            <w:gridSpan w:val="2"/>
            <w:tcBorders>
              <w:top w:val="nil"/>
              <w:left w:val="single" w:sz="4" w:space="0" w:color="auto"/>
              <w:bottom w:val="nil"/>
              <w:right w:val="single" w:sz="4" w:space="0" w:color="auto"/>
            </w:tcBorders>
            <w:shd w:val="clear" w:color="auto" w:fill="D3DFEE"/>
            <w:noWrap/>
            <w:vAlign w:val="center"/>
          </w:tcPr>
          <w:p w:rsidR="0073489B" w:rsidRDefault="00A46D11">
            <w:pPr>
              <w:jc w:val="center"/>
              <w:rPr>
                <w:noProof/>
                <w:sz w:val="18"/>
                <w:szCs w:val="18"/>
                <w:highlight w:val="yellow"/>
              </w:rPr>
            </w:pPr>
            <w:r>
              <w:rPr>
                <w:noProof/>
                <w:sz w:val="18"/>
                <w:szCs w:val="18"/>
              </w:rPr>
              <w:t>n/a</w:t>
            </w:r>
          </w:p>
        </w:tc>
        <w:tc>
          <w:tcPr>
            <w:tcW w:w="992" w:type="dxa"/>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n/a</w:t>
            </w:r>
          </w:p>
        </w:tc>
        <w:tc>
          <w:tcPr>
            <w:tcW w:w="1134" w:type="dxa"/>
            <w:gridSpan w:val="2"/>
            <w:tcBorders>
              <w:top w:val="nil"/>
              <w:left w:val="single" w:sz="4" w:space="0" w:color="auto"/>
              <w:bottom w:val="nil"/>
              <w:right w:val="single" w:sz="4" w:space="0" w:color="auto"/>
            </w:tcBorders>
            <w:shd w:val="clear" w:color="auto" w:fill="D3DFEE"/>
            <w:vAlign w:val="center"/>
            <w:hideMark/>
          </w:tcPr>
          <w:p w:rsidR="0073489B" w:rsidRDefault="00A46D11">
            <w:pPr>
              <w:jc w:val="center"/>
              <w:rPr>
                <w:noProof/>
                <w:sz w:val="18"/>
                <w:szCs w:val="18"/>
                <w:highlight w:val="yellow"/>
              </w:rPr>
            </w:pPr>
            <w:r>
              <w:rPr>
                <w:noProof/>
                <w:sz w:val="18"/>
                <w:szCs w:val="18"/>
              </w:rPr>
              <w:t>0,59</w:t>
            </w:r>
          </w:p>
        </w:tc>
      </w:tr>
      <w:tr w:rsidR="0073489B">
        <w:trPr>
          <w:gridAfter w:val="1"/>
          <w:wAfter w:w="189" w:type="dxa"/>
          <w:trHeight w:val="1105"/>
        </w:trPr>
        <w:tc>
          <w:tcPr>
            <w:tcW w:w="1276"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b/>
                <w:noProof/>
                <w:sz w:val="18"/>
                <w:szCs w:val="18"/>
              </w:rPr>
            </w:pPr>
            <w:r>
              <w:rPr>
                <w:rStyle w:val="Hyperlink"/>
                <w:b/>
                <w:bCs/>
                <w:noProof/>
                <w:sz w:val="20"/>
                <w:szCs w:val="20"/>
              </w:rPr>
              <w:t>Thematic blending (ElectriFI, AgriFI, Climate Change</w:t>
            </w:r>
            <w:r>
              <w:rPr>
                <w:rStyle w:val="Hyperlink"/>
                <w:bCs/>
                <w:noProof/>
              </w:rPr>
              <w:t>)</w:t>
            </w:r>
          </w:p>
        </w:tc>
        <w:tc>
          <w:tcPr>
            <w:tcW w:w="851"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NDC New</w:t>
            </w:r>
          </w:p>
        </w:tc>
        <w:tc>
          <w:tcPr>
            <w:tcW w:w="1275"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lang w:val="pt-PT"/>
              </w:rPr>
            </w:pPr>
            <w:r>
              <w:rPr>
                <w:noProof/>
                <w:sz w:val="18"/>
                <w:szCs w:val="18"/>
                <w:lang w:val="pt-PT"/>
              </w:rPr>
              <w:t>Reg.(EC) N° 1905/2006 + 233/2014 + 236/2014</w:t>
            </w:r>
          </w:p>
        </w:tc>
        <w:tc>
          <w:tcPr>
            <w:tcW w:w="851"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DEVCO</w:t>
            </w:r>
          </w:p>
        </w:tc>
        <w:tc>
          <w:tcPr>
            <w:tcW w:w="850"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EFI</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ElectriFI:  access to clean, reliable and affordable electricity and energy.</w:t>
            </w:r>
          </w:p>
          <w:p w:rsidR="0073489B" w:rsidRDefault="00A46D11">
            <w:pPr>
              <w:jc w:val="center"/>
              <w:rPr>
                <w:noProof/>
                <w:sz w:val="18"/>
                <w:szCs w:val="18"/>
              </w:rPr>
            </w:pPr>
            <w:r>
              <w:rPr>
                <w:noProof/>
                <w:sz w:val="18"/>
                <w:szCs w:val="18"/>
              </w:rPr>
              <w:t>AgriFI: inclusive and sustainable agriculture.</w:t>
            </w:r>
          </w:p>
          <w:p w:rsidR="0073489B" w:rsidRDefault="00A46D11">
            <w:pPr>
              <w:jc w:val="center"/>
              <w:rPr>
                <w:noProof/>
                <w:sz w:val="18"/>
                <w:szCs w:val="18"/>
              </w:rPr>
            </w:pPr>
            <w:r>
              <w:rPr>
                <w:noProof/>
                <w:sz w:val="18"/>
                <w:szCs w:val="18"/>
              </w:rPr>
              <w:t xml:space="preserve">Climate Change: </w:t>
            </w:r>
            <w:r>
              <w:rPr>
                <w:noProof/>
                <w:sz w:val="18"/>
                <w:szCs w:val="18"/>
              </w:rPr>
              <w:t xml:space="preserve"> developing local climate strategies.</w:t>
            </w:r>
          </w:p>
        </w:tc>
        <w:tc>
          <w:tcPr>
            <w:tcW w:w="1134"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SMEs</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Energy, Agriculture, SMEs, Environment</w:t>
            </w:r>
          </w:p>
        </w:tc>
        <w:tc>
          <w:tcPr>
            <w:tcW w:w="992"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270,31</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270,31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34,89</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1 900*</w:t>
            </w:r>
          </w:p>
          <w:p w:rsidR="0073489B" w:rsidRDefault="0073489B">
            <w:pPr>
              <w:jc w:val="center"/>
              <w:rPr>
                <w:noProof/>
                <w:sz w:val="18"/>
                <w:szCs w:val="18"/>
              </w:rPr>
            </w:pPr>
          </w:p>
          <w:p w:rsidR="0073489B" w:rsidRDefault="00A46D11">
            <w:pPr>
              <w:jc w:val="center"/>
              <w:rPr>
                <w:noProof/>
                <w:sz w:val="18"/>
                <w:szCs w:val="18"/>
                <w:lang w:val="pt-PT"/>
              </w:rPr>
            </w:pPr>
            <w:r>
              <w:rPr>
                <w:noProof/>
                <w:sz w:val="18"/>
                <w:szCs w:val="18"/>
                <w:lang w:val="pt-PT"/>
              </w:rPr>
              <w:t>ElectriFI: 0**</w:t>
            </w:r>
          </w:p>
          <w:p w:rsidR="0073489B" w:rsidRDefault="00A46D11">
            <w:pPr>
              <w:jc w:val="center"/>
              <w:rPr>
                <w:noProof/>
                <w:sz w:val="18"/>
                <w:szCs w:val="18"/>
                <w:lang w:val="pt-PT"/>
              </w:rPr>
            </w:pPr>
            <w:r>
              <w:rPr>
                <w:noProof/>
                <w:sz w:val="18"/>
                <w:szCs w:val="18"/>
                <w:lang w:val="pt-PT"/>
              </w:rPr>
              <w:t xml:space="preserve">AgriFI: </w:t>
            </w:r>
          </w:p>
          <w:p w:rsidR="0073489B" w:rsidRDefault="00A46D11">
            <w:pPr>
              <w:jc w:val="center"/>
              <w:rPr>
                <w:noProof/>
                <w:sz w:val="18"/>
                <w:szCs w:val="18"/>
                <w:lang w:val="pt-PT"/>
              </w:rPr>
            </w:pPr>
            <w:r>
              <w:rPr>
                <w:noProof/>
                <w:sz w:val="18"/>
                <w:szCs w:val="18"/>
                <w:lang w:val="pt-PT"/>
              </w:rPr>
              <w:t>0**</w:t>
            </w:r>
          </w:p>
          <w:p w:rsidR="0073489B" w:rsidRDefault="00A46D11">
            <w:pPr>
              <w:jc w:val="center"/>
              <w:rPr>
                <w:noProof/>
                <w:sz w:val="18"/>
                <w:szCs w:val="18"/>
                <w:lang w:val="pt-PT"/>
              </w:rPr>
            </w:pPr>
            <w:r>
              <w:rPr>
                <w:noProof/>
                <w:sz w:val="18"/>
                <w:szCs w:val="18"/>
                <w:lang w:val="pt-PT"/>
              </w:rPr>
              <w:t>Climate Change**: n/a</w:t>
            </w:r>
          </w:p>
          <w:p w:rsidR="0073489B" w:rsidRDefault="0073489B">
            <w:pPr>
              <w:jc w:val="center"/>
              <w:rPr>
                <w:noProof/>
                <w:sz w:val="18"/>
                <w:szCs w:val="18"/>
                <w:lang w:val="pt-PT"/>
              </w:rPr>
            </w:pPr>
          </w:p>
          <w:p w:rsidR="0073489B" w:rsidRDefault="00A46D11">
            <w:pPr>
              <w:jc w:val="center"/>
              <w:rPr>
                <w:noProof/>
                <w:sz w:val="18"/>
                <w:szCs w:val="18"/>
              </w:rPr>
            </w:pPr>
            <w:r>
              <w:rPr>
                <w:noProof/>
                <w:sz w:val="18"/>
                <w:szCs w:val="18"/>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73489B" w:rsidRDefault="00A46D11">
            <w:pPr>
              <w:jc w:val="center"/>
              <w:rPr>
                <w:noProof/>
                <w:sz w:val="18"/>
                <w:szCs w:val="18"/>
              </w:rPr>
            </w:pPr>
            <w:r>
              <w:rPr>
                <w:noProof/>
                <w:sz w:val="18"/>
                <w:szCs w:val="18"/>
              </w:rPr>
              <w:t>n/a</w:t>
            </w:r>
          </w:p>
        </w:tc>
        <w:tc>
          <w:tcPr>
            <w:tcW w:w="992" w:type="dxa"/>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n/a</w:t>
            </w: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rsidR="0073489B" w:rsidRDefault="00A46D11">
            <w:pPr>
              <w:jc w:val="center"/>
              <w:rPr>
                <w:noProof/>
                <w:sz w:val="18"/>
                <w:szCs w:val="18"/>
              </w:rPr>
            </w:pPr>
            <w:r>
              <w:rPr>
                <w:noProof/>
                <w:sz w:val="18"/>
                <w:szCs w:val="18"/>
              </w:rPr>
              <w:t>1,35</w:t>
            </w:r>
          </w:p>
        </w:tc>
      </w:tr>
      <w:tr w:rsidR="0073489B">
        <w:trPr>
          <w:trHeight w:val="128"/>
        </w:trPr>
        <w:tc>
          <w:tcPr>
            <w:tcW w:w="1276" w:type="dxa"/>
            <w:tcBorders>
              <w:top w:val="single" w:sz="4" w:space="0" w:color="auto"/>
              <w:left w:val="nil"/>
              <w:bottom w:val="nil"/>
              <w:right w:val="nil"/>
            </w:tcBorders>
            <w:shd w:val="clear" w:color="auto" w:fill="auto"/>
            <w:hideMark/>
          </w:tcPr>
          <w:p w:rsidR="0073489B" w:rsidRDefault="0073489B">
            <w:pPr>
              <w:ind w:left="-15"/>
              <w:jc w:val="center"/>
              <w:rPr>
                <w:b/>
                <w:bCs/>
                <w:noProof/>
                <w:sz w:val="16"/>
                <w:szCs w:val="16"/>
              </w:rPr>
            </w:pPr>
          </w:p>
        </w:tc>
        <w:tc>
          <w:tcPr>
            <w:tcW w:w="15356" w:type="dxa"/>
            <w:gridSpan w:val="19"/>
            <w:tcBorders>
              <w:top w:val="nil"/>
              <w:left w:val="nil"/>
              <w:bottom w:val="nil"/>
              <w:right w:val="nil"/>
            </w:tcBorders>
            <w:shd w:val="clear" w:color="auto" w:fill="auto"/>
            <w:hideMark/>
          </w:tcPr>
          <w:p w:rsidR="0073489B" w:rsidRDefault="00A46D11">
            <w:pPr>
              <w:rPr>
                <w:b/>
                <w:noProof/>
                <w:sz w:val="18"/>
                <w:szCs w:val="18"/>
              </w:rPr>
            </w:pPr>
            <w:r>
              <w:rPr>
                <w:b/>
                <w:noProof/>
                <w:sz w:val="18"/>
                <w:szCs w:val="18"/>
              </w:rPr>
              <w:t>Furth</w:t>
            </w:r>
            <w:r>
              <w:rPr>
                <w:b/>
                <w:noProof/>
                <w:sz w:val="18"/>
                <w:szCs w:val="18"/>
              </w:rPr>
              <w:t>er explanations:</w:t>
            </w:r>
          </w:p>
          <w:p w:rsidR="0073489B" w:rsidRDefault="00A46D11">
            <w:pPr>
              <w:rPr>
                <w:noProof/>
                <w:sz w:val="18"/>
                <w:szCs w:val="18"/>
              </w:rPr>
            </w:pPr>
            <w:r>
              <w:rPr>
                <w:b/>
                <w:noProof/>
                <w:sz w:val="18"/>
                <w:szCs w:val="18"/>
              </w:rPr>
              <w:t>*Financing supported</w:t>
            </w:r>
            <w:r>
              <w:rPr>
                <w:noProof/>
                <w:sz w:val="18"/>
                <w:szCs w:val="18"/>
              </w:rPr>
              <w:t xml:space="preserve"> </w:t>
            </w:r>
            <w:r>
              <w:rPr>
                <w:b/>
                <w:noProof/>
                <w:sz w:val="18"/>
                <w:szCs w:val="18"/>
              </w:rPr>
              <w:t xml:space="preserve">- </w:t>
            </w:r>
            <w:r>
              <w:rPr>
                <w:b/>
                <w:noProof/>
                <w:sz w:val="18"/>
                <w:szCs w:val="18"/>
                <w:u w:val="single"/>
              </w:rPr>
              <w:t>Target</w:t>
            </w:r>
            <w:r>
              <w:rPr>
                <w:noProof/>
                <w:sz w:val="18"/>
                <w:szCs w:val="18"/>
              </w:rPr>
              <w:t xml:space="preserve"> – the amount of finance that the operations envisaged to be signed by the entrusted entity with financial intermediaries (or final recipients) are targeted to provide to eligible final recipients.</w:t>
            </w:r>
          </w:p>
          <w:p w:rsidR="0073489B" w:rsidRDefault="00A46D11">
            <w:pPr>
              <w:rPr>
                <w:noProof/>
                <w:sz w:val="18"/>
                <w:szCs w:val="18"/>
              </w:rPr>
            </w:pPr>
            <w:r>
              <w:rPr>
                <w:b/>
                <w:noProof/>
                <w:sz w:val="18"/>
                <w:szCs w:val="18"/>
              </w:rPr>
              <w:t xml:space="preserve">**Financing </w:t>
            </w:r>
            <w:r>
              <w:rPr>
                <w:b/>
                <w:noProof/>
                <w:sz w:val="18"/>
                <w:szCs w:val="18"/>
              </w:rPr>
              <w:t>supported</w:t>
            </w:r>
            <w:r>
              <w:rPr>
                <w:noProof/>
                <w:sz w:val="18"/>
                <w:szCs w:val="18"/>
              </w:rPr>
              <w:t xml:space="preserve"> </w:t>
            </w:r>
            <w:r>
              <w:rPr>
                <w:b/>
                <w:noProof/>
                <w:sz w:val="18"/>
                <w:szCs w:val="18"/>
              </w:rPr>
              <w:t xml:space="preserve">- </w:t>
            </w:r>
            <w:r>
              <w:rPr>
                <w:b/>
                <w:noProof/>
                <w:sz w:val="18"/>
                <w:szCs w:val="18"/>
                <w:u w:val="single"/>
              </w:rPr>
              <w:t>Expected</w:t>
            </w:r>
            <w:r>
              <w:rPr>
                <w:noProof/>
                <w:sz w:val="18"/>
                <w:szCs w:val="18"/>
              </w:rPr>
              <w:t xml:space="preserve"> – the amount of that the operations already signed by the entrusted entity with financial intermediaries (or final recipients) are expected to provide to eligible final recipients.</w:t>
            </w:r>
          </w:p>
          <w:p w:rsidR="0073489B" w:rsidRDefault="00A46D11">
            <w:pPr>
              <w:rPr>
                <w:noProof/>
                <w:sz w:val="18"/>
                <w:szCs w:val="18"/>
              </w:rPr>
            </w:pPr>
            <w:r>
              <w:rPr>
                <w:b/>
                <w:noProof/>
                <w:sz w:val="18"/>
                <w:szCs w:val="18"/>
              </w:rPr>
              <w:t>***Financing supported</w:t>
            </w:r>
            <w:r>
              <w:rPr>
                <w:noProof/>
                <w:sz w:val="18"/>
                <w:szCs w:val="18"/>
              </w:rPr>
              <w:t xml:space="preserve"> </w:t>
            </w:r>
            <w:r>
              <w:rPr>
                <w:b/>
                <w:noProof/>
                <w:sz w:val="18"/>
                <w:szCs w:val="18"/>
              </w:rPr>
              <w:t xml:space="preserve">- </w:t>
            </w:r>
            <w:r>
              <w:rPr>
                <w:b/>
                <w:noProof/>
                <w:sz w:val="18"/>
                <w:szCs w:val="18"/>
                <w:u w:val="single"/>
              </w:rPr>
              <w:t>Achieved</w:t>
            </w:r>
            <w:r>
              <w:rPr>
                <w:noProof/>
                <w:sz w:val="18"/>
                <w:szCs w:val="18"/>
              </w:rPr>
              <w:t xml:space="preserve"> - the amount of finance that the operations already signed by the entrusted entity with financial intermediaries (or final recipients) have provided to eligible final recipients.</w:t>
            </w:r>
          </w:p>
          <w:p w:rsidR="0073489B" w:rsidRDefault="0073489B">
            <w:pPr>
              <w:ind w:left="-15"/>
              <w:jc w:val="center"/>
              <w:rPr>
                <w:noProof/>
                <w:sz w:val="16"/>
                <w:szCs w:val="16"/>
              </w:rPr>
            </w:pPr>
          </w:p>
        </w:tc>
      </w:tr>
    </w:tbl>
    <w:p w:rsidR="0073489B" w:rsidRDefault="0073489B">
      <w:pPr>
        <w:rPr>
          <w:noProof/>
          <w:sz w:val="16"/>
          <w:szCs w:val="24"/>
        </w:rPr>
        <w:sectPr w:rsidR="0073489B">
          <w:headerReference w:type="even" r:id="rId26"/>
          <w:headerReference w:type="default" r:id="rId27"/>
          <w:footerReference w:type="even" r:id="rId28"/>
          <w:footerReference w:type="default" r:id="rId29"/>
          <w:headerReference w:type="first" r:id="rId30"/>
          <w:footerReference w:type="first" r:id="rId31"/>
          <w:pgSz w:w="16838" w:h="11906" w:orient="landscape"/>
          <w:pgMar w:top="720" w:right="720" w:bottom="720" w:left="720" w:header="709" w:footer="709" w:gutter="0"/>
          <w:cols w:space="708"/>
          <w:docGrid w:linePitch="360"/>
        </w:sectPr>
      </w:pPr>
    </w:p>
    <w:p w:rsidR="0073489B" w:rsidRDefault="00A46D11">
      <w:pPr>
        <w:pStyle w:val="Heading1"/>
        <w:rPr>
          <w:noProof/>
          <w:color w:val="auto"/>
        </w:rPr>
      </w:pPr>
      <w:bookmarkStart w:id="9" w:name="_Toc387228718"/>
      <w:bookmarkStart w:id="10" w:name="_Toc388541852"/>
      <w:bookmarkStart w:id="11" w:name="_Toc393281928"/>
      <w:bookmarkStart w:id="12" w:name="_Toc486436743"/>
      <w:r>
        <w:rPr>
          <w:noProof/>
          <w:color w:val="auto"/>
        </w:rPr>
        <w:lastRenderedPageBreak/>
        <w:t xml:space="preserve">III. INFORMATION ON FINANCIAL INSTRUMENTS </w:t>
      </w:r>
      <w:r>
        <w:rPr>
          <w:noProof/>
          <w:color w:val="auto"/>
        </w:rPr>
        <w:t>according to Article 140.8 of the Financial Regulation</w:t>
      </w:r>
      <w:bookmarkEnd w:id="9"/>
      <w:bookmarkEnd w:id="10"/>
      <w:bookmarkEnd w:id="11"/>
      <w:bookmarkEnd w:id="12"/>
    </w:p>
    <w:p w:rsidR="0073489B" w:rsidRDefault="00A46D11">
      <w:pPr>
        <w:pStyle w:val="Heading2"/>
        <w:numPr>
          <w:ilvl w:val="0"/>
          <w:numId w:val="154"/>
        </w:numPr>
        <w:spacing w:before="240"/>
        <w:rPr>
          <w:noProof/>
        </w:rPr>
      </w:pPr>
      <w:bookmarkStart w:id="13" w:name="_Toc387228719"/>
      <w:bookmarkStart w:id="14" w:name="_Toc388541853"/>
      <w:bookmarkStart w:id="15" w:name="_Toc393281929"/>
      <w:bookmarkStart w:id="16" w:name="_Toc486436744"/>
      <w:r>
        <w:rPr>
          <w:noProof/>
        </w:rPr>
        <w:t>Equity Instruments</w:t>
      </w:r>
      <w:bookmarkEnd w:id="13"/>
      <w:bookmarkEnd w:id="14"/>
      <w:bookmarkEnd w:id="15"/>
      <w:bookmarkEnd w:id="16"/>
    </w:p>
    <w:p w:rsidR="0073489B" w:rsidRDefault="00A46D11">
      <w:pPr>
        <w:pStyle w:val="Heading3"/>
        <w:spacing w:before="120" w:after="120"/>
        <w:ind w:hanging="425"/>
      </w:pPr>
      <w:bookmarkStart w:id="17" w:name="_The_High_Growth"/>
      <w:bookmarkStart w:id="18" w:name="_Toc387228720"/>
      <w:bookmarkStart w:id="19" w:name="_Toc388541854"/>
      <w:bookmarkStart w:id="20" w:name="_Toc393281930"/>
      <w:bookmarkStart w:id="21" w:name="_Toc486436745"/>
      <w:bookmarkEnd w:id="17"/>
      <w:r>
        <w:t>The High Growth and Innovative SME Facility (GIF) under the Competitiveness and Innovation Framework Programme (CIP)</w:t>
      </w:r>
      <w:bookmarkEnd w:id="18"/>
      <w:bookmarkEnd w:id="19"/>
      <w:bookmarkEnd w:id="20"/>
      <w:bookmarkEnd w:id="21"/>
    </w:p>
    <w:p w:rsidR="0073489B" w:rsidRDefault="0073489B">
      <w:pPr>
        <w:rPr>
          <w:noProof/>
          <w:lang w:val="en-US"/>
        </w:rPr>
      </w:pPr>
      <w:bookmarkStart w:id="22" w:name="_Toc388541859"/>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92"/>
        <w:gridCol w:w="4696"/>
      </w:tblGrid>
      <w:tr w:rsidR="0073489B">
        <w:trPr>
          <w:trHeight w:val="548"/>
          <w:jc w:val="center"/>
        </w:trPr>
        <w:tc>
          <w:tcPr>
            <w:tcW w:w="2472" w:type="pct"/>
            <w:tcBorders>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Policy DG in charge:</w:t>
            </w:r>
          </w:p>
        </w:tc>
        <w:tc>
          <w:tcPr>
            <w:tcW w:w="2528" w:type="pct"/>
            <w:tcBorders>
              <w:bottom w:val="single" w:sz="4" w:space="0" w:color="auto"/>
            </w:tcBorders>
            <w:shd w:val="clear" w:color="auto" w:fill="auto"/>
            <w:vAlign w:val="center"/>
          </w:tcPr>
          <w:p w:rsidR="0073489B" w:rsidRDefault="00A46D11">
            <w:pPr>
              <w:spacing w:before="60" w:after="60"/>
              <w:jc w:val="center"/>
              <w:rPr>
                <w:noProof/>
              </w:rPr>
            </w:pPr>
            <w:r>
              <w:rPr>
                <w:noProof/>
              </w:rPr>
              <w:t>DG GROW, with participation of DG ECFIN for</w:t>
            </w:r>
            <w:r>
              <w:rPr>
                <w:noProof/>
              </w:rPr>
              <w:t xml:space="preserve"> the design of the instruments</w:t>
            </w:r>
          </w:p>
        </w:tc>
      </w:tr>
      <w:tr w:rsidR="0073489B">
        <w:trPr>
          <w:trHeight w:val="430"/>
          <w:jc w:val="center"/>
        </w:trPr>
        <w:tc>
          <w:tcPr>
            <w:tcW w:w="2472"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 xml:space="preserve">Implementing DG in charge:  </w:t>
            </w:r>
          </w:p>
        </w:tc>
        <w:tc>
          <w:tcPr>
            <w:tcW w:w="2528"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DG ECFIN</w:t>
            </w:r>
          </w:p>
        </w:tc>
      </w:tr>
      <w:tr w:rsidR="0073489B">
        <w:trPr>
          <w:trHeight w:val="266"/>
          <w:jc w:val="center"/>
        </w:trPr>
        <w:tc>
          <w:tcPr>
            <w:tcW w:w="2472"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Implementing Body in charge:</w:t>
            </w:r>
          </w:p>
        </w:tc>
        <w:tc>
          <w:tcPr>
            <w:tcW w:w="2528"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EIF</w:t>
            </w:r>
          </w:p>
        </w:tc>
      </w:tr>
      <w:tr w:rsidR="0073489B">
        <w:trPr>
          <w:trHeight w:val="583"/>
          <w:jc w:val="center"/>
        </w:trPr>
        <w:tc>
          <w:tcPr>
            <w:tcW w:w="2472" w:type="pct"/>
            <w:tcBorders>
              <w:top w:val="single" w:sz="4" w:space="0" w:color="auto"/>
              <w:bottom w:val="single" w:sz="4" w:space="0" w:color="auto"/>
            </w:tcBorders>
            <w:shd w:val="clear" w:color="auto" w:fill="auto"/>
            <w:vAlign w:val="center"/>
          </w:tcPr>
          <w:p w:rsidR="0073489B" w:rsidRDefault="00A46D11">
            <w:pPr>
              <w:spacing w:before="60" w:after="60"/>
              <w:rPr>
                <w:b/>
                <w:noProof/>
                <w:lang w:eastAsia="fr-FR"/>
              </w:rPr>
            </w:pPr>
            <w:r>
              <w:rPr>
                <w:b/>
                <w:noProof/>
                <w:lang w:eastAsia="fr-FR"/>
              </w:rPr>
              <w:t>Initial Overall (2007-2013) Programme Budget:</w:t>
            </w:r>
          </w:p>
        </w:tc>
        <w:tc>
          <w:tcPr>
            <w:tcW w:w="2528"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EUR 623* million</w:t>
            </w:r>
          </w:p>
        </w:tc>
      </w:tr>
      <w:tr w:rsidR="0073489B">
        <w:trPr>
          <w:trHeight w:val="594"/>
          <w:jc w:val="center"/>
        </w:trPr>
        <w:tc>
          <w:tcPr>
            <w:tcW w:w="2472" w:type="pct"/>
            <w:tcBorders>
              <w:top w:val="single" w:sz="4" w:space="0" w:color="auto"/>
              <w:bottom w:val="single" w:sz="4" w:space="0" w:color="auto"/>
            </w:tcBorders>
            <w:shd w:val="clear" w:color="auto" w:fill="auto"/>
            <w:vAlign w:val="center"/>
          </w:tcPr>
          <w:p w:rsidR="0073489B" w:rsidRDefault="00A46D11">
            <w:pPr>
              <w:spacing w:before="60" w:after="60"/>
              <w:rPr>
                <w:b/>
                <w:noProof/>
                <w:lang w:eastAsia="fr-FR"/>
              </w:rPr>
            </w:pPr>
            <w:r>
              <w:rPr>
                <w:b/>
                <w:noProof/>
                <w:lang w:eastAsia="fr-FR"/>
              </w:rPr>
              <w:t>Current Overall (2007-2013) Programme</w:t>
            </w:r>
          </w:p>
          <w:p w:rsidR="0073489B" w:rsidRDefault="00A46D11">
            <w:pPr>
              <w:spacing w:before="60" w:after="60"/>
              <w:rPr>
                <w:b/>
                <w:noProof/>
                <w:lang w:eastAsia="fr-FR"/>
              </w:rPr>
            </w:pPr>
            <w:r>
              <w:rPr>
                <w:b/>
                <w:noProof/>
                <w:lang w:eastAsia="fr-FR"/>
              </w:rPr>
              <w:t>Budget**:</w:t>
            </w:r>
          </w:p>
        </w:tc>
        <w:tc>
          <w:tcPr>
            <w:tcW w:w="2528"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EUR 580,7 million</w:t>
            </w:r>
          </w:p>
          <w:p w:rsidR="0073489B" w:rsidRDefault="0073489B">
            <w:pPr>
              <w:spacing w:before="60" w:after="60"/>
              <w:jc w:val="center"/>
              <w:rPr>
                <w:noProof/>
              </w:rPr>
            </w:pPr>
          </w:p>
        </w:tc>
      </w:tr>
      <w:tr w:rsidR="0073489B">
        <w:trPr>
          <w:trHeight w:val="1008"/>
          <w:jc w:val="center"/>
        </w:trPr>
        <w:tc>
          <w:tcPr>
            <w:tcW w:w="2472" w:type="pct"/>
            <w:tcBorders>
              <w:top w:val="single" w:sz="4" w:space="0" w:color="auto"/>
            </w:tcBorders>
            <w:shd w:val="clear" w:color="auto" w:fill="auto"/>
            <w:vAlign w:val="center"/>
          </w:tcPr>
          <w:p w:rsidR="0073489B" w:rsidRDefault="00A46D11">
            <w:pPr>
              <w:keepNext/>
              <w:keepLines/>
              <w:spacing w:before="60" w:after="60"/>
              <w:rPr>
                <w:b/>
                <w:noProof/>
                <w:lang w:eastAsia="fr-FR"/>
              </w:rPr>
            </w:pPr>
            <w:r>
              <w:rPr>
                <w:b/>
                <w:noProof/>
                <w:lang w:eastAsia="fr-FR"/>
              </w:rPr>
              <w:t xml:space="preserve">Executed Budget </w:t>
            </w:r>
            <w:r>
              <w:rPr>
                <w:b/>
                <w:noProof/>
                <w:lang w:eastAsia="fr-FR"/>
              </w:rPr>
              <w:t>since beginning until 31/12/201</w:t>
            </w:r>
            <w:r>
              <w:rPr>
                <w:b/>
                <w:noProof/>
                <w:szCs w:val="24"/>
                <w:lang w:eastAsia="fr-FR"/>
              </w:rPr>
              <w:t>6</w:t>
            </w:r>
            <w:r>
              <w:rPr>
                <w:b/>
                <w:noProof/>
                <w:lang w:eastAsia="fr-FR"/>
              </w:rPr>
              <w:t>***:</w:t>
            </w:r>
          </w:p>
        </w:tc>
        <w:tc>
          <w:tcPr>
            <w:tcW w:w="2528" w:type="pct"/>
            <w:tcBorders>
              <w:top w:val="single" w:sz="4" w:space="0" w:color="auto"/>
            </w:tcBorders>
            <w:shd w:val="clear" w:color="auto" w:fill="auto"/>
            <w:vAlign w:val="center"/>
          </w:tcPr>
          <w:p w:rsidR="0073489B" w:rsidRDefault="00A46D11">
            <w:pPr>
              <w:spacing w:before="60" w:after="60"/>
              <w:jc w:val="center"/>
              <w:rPr>
                <w:noProof/>
              </w:rPr>
            </w:pPr>
            <w:r>
              <w:rPr>
                <w:noProof/>
              </w:rPr>
              <w:t>Commitments: EUR 600,2 million ***</w:t>
            </w:r>
          </w:p>
        </w:tc>
      </w:tr>
      <w:tr w:rsidR="0073489B">
        <w:trPr>
          <w:trHeight w:val="274"/>
          <w:jc w:val="center"/>
        </w:trPr>
        <w:tc>
          <w:tcPr>
            <w:tcW w:w="2472" w:type="pct"/>
            <w:shd w:val="clear" w:color="auto" w:fill="auto"/>
          </w:tcPr>
          <w:p w:rsidR="0073489B" w:rsidRDefault="0073489B">
            <w:pPr>
              <w:spacing w:before="60" w:after="60"/>
              <w:rPr>
                <w:b/>
                <w:noProof/>
                <w:lang w:eastAsia="fr-FR"/>
              </w:rPr>
            </w:pPr>
          </w:p>
        </w:tc>
        <w:tc>
          <w:tcPr>
            <w:tcW w:w="2528" w:type="pct"/>
            <w:shd w:val="clear" w:color="auto" w:fill="auto"/>
            <w:vAlign w:val="center"/>
          </w:tcPr>
          <w:p w:rsidR="0073489B" w:rsidRDefault="00A46D11">
            <w:pPr>
              <w:jc w:val="center"/>
              <w:rPr>
                <w:noProof/>
              </w:rPr>
            </w:pPr>
            <w:r>
              <w:rPr>
                <w:noProof/>
              </w:rPr>
              <w:t>Payments: EUR 464,5 million***</w:t>
            </w:r>
          </w:p>
        </w:tc>
      </w:tr>
    </w:tbl>
    <w:p w:rsidR="0073489B" w:rsidRDefault="00A46D11">
      <w:pPr>
        <w:spacing w:after="60"/>
        <w:jc w:val="both"/>
        <w:rPr>
          <w:i/>
          <w:noProof/>
          <w:sz w:val="21"/>
          <w:szCs w:val="21"/>
        </w:rPr>
      </w:pPr>
      <w:r>
        <w:rPr>
          <w:i/>
          <w:noProof/>
          <w:sz w:val="21"/>
        </w:rPr>
        <w:t>*Initial commitments (GIF 550 million EUR), including the CBS programme reallocations (73</w:t>
      </w:r>
      <w:r>
        <w:rPr>
          <w:i/>
          <w:noProof/>
          <w:sz w:val="21"/>
          <w:szCs w:val="21"/>
        </w:rPr>
        <w:t xml:space="preserve"> million EUR).</w:t>
      </w:r>
    </w:p>
    <w:p w:rsidR="0073489B" w:rsidRDefault="00A46D11">
      <w:pPr>
        <w:spacing w:after="60"/>
        <w:jc w:val="both"/>
        <w:rPr>
          <w:i/>
          <w:noProof/>
          <w:sz w:val="21"/>
          <w:szCs w:val="21"/>
        </w:rPr>
      </w:pPr>
      <w:r>
        <w:rPr>
          <w:i/>
          <w:noProof/>
          <w:sz w:val="21"/>
        </w:rPr>
        <w:t>**Including changes in budget commitments from</w:t>
      </w:r>
      <w:r>
        <w:rPr>
          <w:i/>
          <w:noProof/>
          <w:sz w:val="21"/>
        </w:rPr>
        <w:t xml:space="preserve"> 2008 to 2013. The initial split of the Competitiveness and Innovation Framework Programme (CIP) budget between the GIF and SMEG instruments was only indicative. During the lifetime of the CIP programme, the share of the SMEG instrument in the total CIP bu</w:t>
      </w:r>
      <w:r>
        <w:rPr>
          <w:i/>
          <w:noProof/>
          <w:sz w:val="21"/>
        </w:rPr>
        <w:t>dget was increased in line with market needs, therefore leading to a lower current overall programme budget for GIF, compared to its initial situation. This  amount takes also into account the EUR 25 million decommiments done in 2016 (hence the decrease in</w:t>
      </w:r>
      <w:r>
        <w:rPr>
          <w:i/>
          <w:noProof/>
          <w:sz w:val="21"/>
        </w:rPr>
        <w:t xml:space="preserve"> the figure as compared to 2015).</w:t>
      </w:r>
    </w:p>
    <w:p w:rsidR="0073489B" w:rsidRDefault="00A46D11">
      <w:pPr>
        <w:spacing w:after="60"/>
        <w:jc w:val="both"/>
        <w:rPr>
          <w:i/>
          <w:noProof/>
          <w:sz w:val="21"/>
          <w:szCs w:val="21"/>
        </w:rPr>
      </w:pPr>
      <w:r>
        <w:rPr>
          <w:i/>
          <w:noProof/>
          <w:sz w:val="21"/>
        </w:rPr>
        <w:t>***Including EUR 19,5 million EFTA contributions and third countries contribution paid by Participating Countries as well as regularised interest, capital repayments and dividends generated on the trust accounts until 31/1</w:t>
      </w:r>
      <w:r>
        <w:rPr>
          <w:i/>
          <w:noProof/>
          <w:sz w:val="21"/>
        </w:rPr>
        <w:t>2/2012. The legal base allowed the possibility of using such additional resources for the purpose of the same instrument only if they were received prior to 31/12/2013. The commitments amount takes also into account the EUR 25 million decommitments done in</w:t>
      </w:r>
      <w:r>
        <w:rPr>
          <w:i/>
          <w:noProof/>
          <w:sz w:val="21"/>
        </w:rPr>
        <w:t xml:space="preserve"> 2016 (hence the decrease in the figure as compared to 2015).</w:t>
      </w:r>
    </w:p>
    <w:p w:rsidR="0073489B" w:rsidRDefault="0073489B">
      <w:pPr>
        <w:rPr>
          <w:noProof/>
        </w:rPr>
      </w:pPr>
    </w:p>
    <w:p w:rsidR="0073489B" w:rsidRDefault="00A46D11">
      <w:pPr>
        <w:pStyle w:val="Heading4"/>
        <w:numPr>
          <w:ilvl w:val="0"/>
          <w:numId w:val="142"/>
        </w:numPr>
        <w:spacing w:before="120"/>
        <w:ind w:left="426" w:hanging="426"/>
        <w:rPr>
          <w:noProof/>
          <w:lang w:val="en-US"/>
        </w:rPr>
      </w:pPr>
      <w:r>
        <w:rPr>
          <w:noProof/>
        </w:rPr>
        <w:t>Summary</w:t>
      </w:r>
      <w:bookmarkEnd w:id="22"/>
    </w:p>
    <w:p w:rsidR="0073489B" w:rsidRDefault="00A46D11">
      <w:pPr>
        <w:spacing w:after="60"/>
        <w:jc w:val="both"/>
        <w:rPr>
          <w:noProof/>
          <w:szCs w:val="24"/>
        </w:rPr>
      </w:pPr>
      <w:r>
        <w:rPr>
          <w:noProof/>
          <w:szCs w:val="24"/>
        </w:rPr>
        <w:t xml:space="preserve">The overall objective of GIF is to improve the access to finance for the start-up and growth of small and medium-sized enterprises (SMEs) in order to support their investment in (eco-) </w:t>
      </w:r>
      <w:r>
        <w:rPr>
          <w:noProof/>
          <w:szCs w:val="24"/>
        </w:rPr>
        <w:t>innovation activities. GIF used 9</w:t>
      </w:r>
      <w:r>
        <w:rPr>
          <w:noProof/>
        </w:rPr>
        <w:t>6,</w:t>
      </w:r>
      <w:r>
        <w:rPr>
          <w:noProof/>
          <w:szCs w:val="24"/>
        </w:rPr>
        <w:t>4% of its allocated budget of EUR 6</w:t>
      </w:r>
      <w:r>
        <w:rPr>
          <w:noProof/>
        </w:rPr>
        <w:t>00</w:t>
      </w:r>
      <w:r>
        <w:rPr>
          <w:noProof/>
          <w:szCs w:val="24"/>
        </w:rPr>
        <w:t xml:space="preserve">,2 million, with a </w:t>
      </w:r>
      <w:r>
        <w:rPr>
          <w:noProof/>
          <w:szCs w:val="24"/>
        </w:rPr>
        <w:lastRenderedPageBreak/>
        <w:t>leverage ratio of 5,</w:t>
      </w:r>
      <w:r>
        <w:rPr>
          <w:noProof/>
        </w:rPr>
        <w:t>7</w:t>
      </w:r>
      <w:r>
        <w:rPr>
          <w:noProof/>
          <w:szCs w:val="24"/>
        </w:rPr>
        <w:t xml:space="preserve"> to 1. It invested in</w:t>
      </w:r>
      <w:r>
        <w:rPr>
          <w:b/>
          <w:noProof/>
          <w:szCs w:val="24"/>
          <w:lang w:eastAsia="fr-FR"/>
        </w:rPr>
        <w:t xml:space="preserve"> </w:t>
      </w:r>
      <w:r>
        <w:rPr>
          <w:noProof/>
          <w:szCs w:val="24"/>
        </w:rPr>
        <w:t>43 venture capital funds, therefore supporting 5</w:t>
      </w:r>
      <w:r>
        <w:rPr>
          <w:noProof/>
        </w:rPr>
        <w:t>7</w:t>
      </w:r>
      <w:r>
        <w:rPr>
          <w:noProof/>
          <w:szCs w:val="24"/>
        </w:rPr>
        <w:t>0 final recipients</w:t>
      </w:r>
      <w:r>
        <w:rPr>
          <w:rStyle w:val="FootnoteReference"/>
          <w:noProof/>
          <w:szCs w:val="24"/>
        </w:rPr>
        <w:footnoteReference w:id="38"/>
      </w:r>
      <w:r>
        <w:rPr>
          <w:noProof/>
          <w:szCs w:val="24"/>
        </w:rPr>
        <w:t xml:space="preserve"> and creating more than 3 000 jobs as of </w:t>
      </w:r>
      <w:r>
        <w:rPr>
          <w:noProof/>
        </w:rPr>
        <w:t>Dec</w:t>
      </w:r>
      <w:r>
        <w:rPr>
          <w:noProof/>
          <w:szCs w:val="24"/>
        </w:rPr>
        <w:t>ember 2016</w:t>
      </w:r>
      <w:r>
        <w:rPr>
          <w:noProof/>
          <w:szCs w:val="24"/>
        </w:rPr>
        <w:t>.</w:t>
      </w:r>
    </w:p>
    <w:p w:rsidR="0073489B" w:rsidRDefault="00A46D11">
      <w:pPr>
        <w:spacing w:after="60"/>
        <w:jc w:val="both"/>
        <w:rPr>
          <w:noProof/>
          <w:szCs w:val="24"/>
        </w:rPr>
      </w:pPr>
      <w:r>
        <w:rPr>
          <w:noProof/>
          <w:szCs w:val="24"/>
        </w:rPr>
        <w:t>GIF's added value is to contribute to the establishment and financing of SMEs and the reduction of the equity financing gap, which prevents SMEs from exploiting their growth potential, with a view to improving the European venture capital market. Moreove</w:t>
      </w:r>
      <w:r>
        <w:rPr>
          <w:noProof/>
          <w:szCs w:val="24"/>
        </w:rPr>
        <w:t>r, it supports innovative SMEs with high growth potential, including in their cross-border expansion of their business activities. In this context, GIF provided a critical lifeline of public support to the European VC market throughout the recent crisis. T</w:t>
      </w:r>
      <w:r>
        <w:rPr>
          <w:noProof/>
          <w:szCs w:val="24"/>
        </w:rPr>
        <w:t>he leverage effect of more than 5 means that the impact of the aggregate budgetary commitments on the overall economy is expected to reach EUR 3 billion of funding to recipient SMEs.</w:t>
      </w:r>
    </w:p>
    <w:p w:rsidR="0073489B" w:rsidRDefault="0073489B">
      <w:pPr>
        <w:spacing w:after="60"/>
        <w:rPr>
          <w:noProof/>
          <w:szCs w:val="24"/>
        </w:rPr>
      </w:pPr>
    </w:p>
    <w:p w:rsidR="0073489B" w:rsidRDefault="00A46D11">
      <w:pPr>
        <w:pStyle w:val="Heading4"/>
        <w:numPr>
          <w:ilvl w:val="0"/>
          <w:numId w:val="0"/>
        </w:numPr>
        <w:ind w:left="426" w:hanging="426"/>
        <w:rPr>
          <w:noProof/>
          <w:lang w:eastAsia="fr-FR"/>
        </w:rPr>
      </w:pPr>
      <w:bookmarkStart w:id="23" w:name="_Toc387228721"/>
      <w:bookmarkStart w:id="24" w:name="_Toc388541855"/>
      <w:r>
        <w:rPr>
          <w:noProof/>
        </w:rPr>
        <w:t>B - Description</w:t>
      </w:r>
      <w:bookmarkEnd w:id="23"/>
      <w:bookmarkEnd w:id="24"/>
    </w:p>
    <w:p w:rsidR="0073489B" w:rsidRDefault="00A46D11">
      <w:pPr>
        <w:pStyle w:val="Heading5"/>
        <w:numPr>
          <w:ilvl w:val="0"/>
          <w:numId w:val="70"/>
        </w:numPr>
        <w:spacing w:before="120"/>
        <w:ind w:left="284" w:firstLine="0"/>
        <w:rPr>
          <w:noProof/>
        </w:rPr>
      </w:pPr>
      <w:bookmarkStart w:id="25" w:name="_Toc387228722"/>
      <w:r>
        <w:rPr>
          <w:noProof/>
        </w:rPr>
        <w:t>Identification of the financial instrument and the basic</w:t>
      </w:r>
      <w:r>
        <w:rPr>
          <w:noProof/>
        </w:rPr>
        <w:t xml:space="preserve"> act</w:t>
      </w:r>
      <w:bookmarkEnd w:id="25"/>
      <w:r>
        <w:rPr>
          <w:noProof/>
        </w:rPr>
        <w:t>;</w:t>
      </w:r>
    </w:p>
    <w:p w:rsidR="0073489B" w:rsidRDefault="00A46D11">
      <w:pPr>
        <w:spacing w:after="60"/>
        <w:ind w:right="141"/>
        <w:contextualSpacing/>
        <w:jc w:val="both"/>
        <w:rPr>
          <w:noProof/>
        </w:rPr>
      </w:pPr>
      <w:r>
        <w:rPr>
          <w:noProof/>
          <w:szCs w:val="24"/>
        </w:rPr>
        <w:t>Decision No 1639/2006/EC of the European Parliament and of the Council of 24 October 2006 establishing a Competitiveness and Innovation Framework Programme (2007 to 2013).</w:t>
      </w:r>
      <w:r>
        <w:rPr>
          <w:rStyle w:val="FootnoteReference"/>
          <w:noProof/>
          <w:szCs w:val="24"/>
        </w:rPr>
        <w:footnoteReference w:id="39"/>
      </w:r>
    </w:p>
    <w:p w:rsidR="0073489B" w:rsidRDefault="00A46D11">
      <w:pPr>
        <w:pStyle w:val="Heading5"/>
        <w:spacing w:before="120"/>
        <w:ind w:left="284" w:firstLine="0"/>
        <w:jc w:val="both"/>
        <w:rPr>
          <w:noProof/>
        </w:rPr>
      </w:pPr>
      <w:bookmarkStart w:id="26" w:name="_Toc387228723"/>
      <w:r>
        <w:rPr>
          <w:noProof/>
        </w:rPr>
        <w:t xml:space="preserve">Description of the financial instrument, implementation arrangements and the </w:t>
      </w:r>
      <w:r>
        <w:rPr>
          <w:noProof/>
        </w:rPr>
        <w:t>added value of the Union contribution</w:t>
      </w:r>
      <w:bookmarkEnd w:id="26"/>
      <w:r>
        <w:rPr>
          <w:noProof/>
        </w:rPr>
        <w:t>;</w:t>
      </w:r>
    </w:p>
    <w:p w:rsidR="0073489B" w:rsidRDefault="00A46D11">
      <w:pPr>
        <w:ind w:firstLine="3"/>
        <w:jc w:val="both"/>
        <w:rPr>
          <w:i/>
          <w:noProof/>
          <w:szCs w:val="24"/>
        </w:rPr>
      </w:pPr>
      <w:r>
        <w:rPr>
          <w:i/>
          <w:noProof/>
          <w:szCs w:val="24"/>
        </w:rPr>
        <w:t>Policy objectives and scope</w:t>
      </w:r>
    </w:p>
    <w:p w:rsidR="0073489B" w:rsidRDefault="00A46D11">
      <w:pPr>
        <w:spacing w:after="60"/>
        <w:ind w:firstLine="3"/>
        <w:jc w:val="both"/>
        <w:rPr>
          <w:noProof/>
          <w:szCs w:val="24"/>
        </w:rPr>
      </w:pPr>
      <w:r>
        <w:rPr>
          <w:noProof/>
          <w:szCs w:val="24"/>
        </w:rPr>
        <w:t>GIF is part of the Entrepreneurship and Innovation Programme (EIP), one of the three specific programmes under the Competitiveness and Innovation Framework Programme (CIP), the overall obje</w:t>
      </w:r>
      <w:r>
        <w:rPr>
          <w:noProof/>
          <w:szCs w:val="24"/>
        </w:rPr>
        <w:t>ctive of which is the improvement of access to finance for small and medium-sized enterprises (SMEs) in order to support their investment expenditures in innovation activities, including eco-innovation. Under GIF, this is done by increasing volumes of risk</w:t>
      </w:r>
      <w:r>
        <w:rPr>
          <w:noProof/>
          <w:szCs w:val="24"/>
        </w:rPr>
        <w:t xml:space="preserve"> capital funds and other financial investment vehicles.</w:t>
      </w:r>
    </w:p>
    <w:p w:rsidR="0073489B" w:rsidRDefault="00A46D11">
      <w:pPr>
        <w:ind w:firstLine="6"/>
        <w:jc w:val="both"/>
        <w:rPr>
          <w:i/>
          <w:noProof/>
          <w:szCs w:val="24"/>
        </w:rPr>
      </w:pPr>
      <w:r>
        <w:rPr>
          <w:i/>
          <w:noProof/>
          <w:szCs w:val="24"/>
        </w:rPr>
        <w:t>Implementation arrangements</w:t>
      </w:r>
    </w:p>
    <w:p w:rsidR="0073489B" w:rsidRDefault="00A46D11">
      <w:pPr>
        <w:spacing w:after="60"/>
        <w:ind w:firstLine="3"/>
        <w:jc w:val="both"/>
        <w:rPr>
          <w:noProof/>
          <w:szCs w:val="24"/>
          <w:lang w:eastAsia="en-GB"/>
        </w:rPr>
      </w:pPr>
      <w:r>
        <w:rPr>
          <w:noProof/>
          <w:szCs w:val="24"/>
        </w:rPr>
        <w:t>GIF is implemented by the EIF on behalf of the Commission. The Commission empowers and mandates the EIF to provide EU venture capital investments in its own name but on beh</w:t>
      </w:r>
      <w:r>
        <w:rPr>
          <w:noProof/>
          <w:szCs w:val="24"/>
        </w:rPr>
        <w:t>alf of and at the risk of the Commission, under a Fiduciary and Management Agreement ('FMA', signed 22/11/2007). The EIF is responsible for identifying, evaluating and selecting the Financial Intermediaries ('FI') by applying selection criteria and process</w:t>
      </w:r>
      <w:r>
        <w:rPr>
          <w:noProof/>
          <w:szCs w:val="24"/>
        </w:rPr>
        <w:t xml:space="preserve">es set out in the Investment Policy, which is part of the FMA. Under the FMA, the EIF examined, on a continuous basis, proposals collected based on a published call for expression of interests. Investment proposals by financial intermediaries are selected </w:t>
      </w:r>
      <w:r>
        <w:rPr>
          <w:noProof/>
          <w:szCs w:val="24"/>
        </w:rPr>
        <w:t xml:space="preserve">based on a </w:t>
      </w:r>
      <w:r>
        <w:rPr>
          <w:i/>
          <w:noProof/>
          <w:szCs w:val="24"/>
        </w:rPr>
        <w:t>notice of implementation</w:t>
      </w:r>
      <w:r>
        <w:rPr>
          <w:noProof/>
          <w:szCs w:val="24"/>
        </w:rPr>
        <w:t xml:space="preserve"> (OJ</w:t>
      </w:r>
      <w:r>
        <w:rPr>
          <w:noProof/>
        </w:rPr>
        <w:t xml:space="preserve"> </w:t>
      </w:r>
      <w:r>
        <w:rPr>
          <w:noProof/>
          <w:szCs w:val="24"/>
        </w:rPr>
        <w:t>C</w:t>
      </w:r>
      <w:r>
        <w:rPr>
          <w:noProof/>
        </w:rPr>
        <w:t xml:space="preserve"> </w:t>
      </w:r>
      <w:r>
        <w:rPr>
          <w:noProof/>
          <w:szCs w:val="24"/>
        </w:rPr>
        <w:t xml:space="preserve">302, 14.12.2007). </w:t>
      </w:r>
      <w:r>
        <w:rPr>
          <w:noProof/>
          <w:szCs w:val="24"/>
          <w:lang w:eastAsia="en-GB"/>
        </w:rPr>
        <w:t>GIF funds equity or quasi-equity investments in intermediaries</w:t>
      </w:r>
      <w:r>
        <w:rPr>
          <w:rStyle w:val="FootnoteReference"/>
          <w:noProof/>
          <w:szCs w:val="24"/>
          <w:lang w:eastAsia="en-GB"/>
        </w:rPr>
        <w:footnoteReference w:id="40"/>
      </w:r>
      <w:r>
        <w:rPr>
          <w:noProof/>
          <w:szCs w:val="24"/>
          <w:lang w:eastAsia="en-GB"/>
        </w:rPr>
        <w:t>, which then must provide long term equity or quasi-equity capital (including subordinated or participating loans and convertible bon</w:t>
      </w:r>
      <w:r>
        <w:rPr>
          <w:noProof/>
          <w:szCs w:val="24"/>
          <w:lang w:eastAsia="en-GB"/>
        </w:rPr>
        <w:t xml:space="preserve">ds) to innovative SMEs. </w:t>
      </w:r>
    </w:p>
    <w:p w:rsidR="0073489B" w:rsidRDefault="00A46D11">
      <w:pPr>
        <w:keepNext/>
        <w:ind w:firstLine="6"/>
        <w:jc w:val="both"/>
        <w:rPr>
          <w:noProof/>
          <w:szCs w:val="24"/>
          <w:lang w:eastAsia="en-GB"/>
        </w:rPr>
      </w:pPr>
      <w:r>
        <w:rPr>
          <w:noProof/>
          <w:szCs w:val="24"/>
          <w:lang w:eastAsia="en-GB"/>
        </w:rPr>
        <w:t>Moreover:</w:t>
      </w:r>
    </w:p>
    <w:p w:rsidR="0073489B" w:rsidRDefault="00A46D11">
      <w:pPr>
        <w:tabs>
          <w:tab w:val="left" w:pos="142"/>
        </w:tabs>
        <w:spacing w:after="60"/>
        <w:ind w:left="142" w:hanging="284"/>
        <w:jc w:val="both"/>
        <w:rPr>
          <w:noProof/>
          <w:szCs w:val="24"/>
          <w:lang w:eastAsia="en-GB"/>
        </w:rPr>
      </w:pPr>
      <w:r>
        <w:rPr>
          <w:i/>
          <w:noProof/>
          <w:szCs w:val="24"/>
          <w:lang w:eastAsia="en-GB"/>
        </w:rPr>
        <w:tab/>
        <w:t>i)</w:t>
      </w:r>
      <w:r>
        <w:rPr>
          <w:noProof/>
          <w:szCs w:val="24"/>
          <w:lang w:eastAsia="en-GB"/>
        </w:rPr>
        <w:t>The GIF EU Investments typically consist of 5-12 year positions in intermediaries, the amount committed to a single such vehicle requiring a critical mass and not exceeding EUR 30 million (or equivalent). The GIF Facil</w:t>
      </w:r>
      <w:r>
        <w:rPr>
          <w:noProof/>
          <w:szCs w:val="24"/>
          <w:lang w:eastAsia="en-GB"/>
        </w:rPr>
        <w:t xml:space="preserve">ity consists of 2 different windows (GIF1 and </w:t>
      </w:r>
      <w:r>
        <w:rPr>
          <w:noProof/>
          <w:szCs w:val="24"/>
          <w:lang w:eastAsia="en-GB"/>
        </w:rPr>
        <w:lastRenderedPageBreak/>
        <w:t xml:space="preserve">GIF2). GIF1 was required to invest at least 10%, but not more than 25% of the total commitments to an intermediary (the maximum limit could reach 50% exceptionally, including for eco-innovation focused venture </w:t>
      </w:r>
      <w:r>
        <w:rPr>
          <w:noProof/>
          <w:szCs w:val="24"/>
          <w:lang w:eastAsia="en-GB"/>
        </w:rPr>
        <w:t>capital funds). GIF2 had to invest at least 7,5% and no more than 15% of total commitments to an Intermediary (the maximum limit could reach 25% exceptionally, including for eco-innovation focused venture capital funds). GIF may co-invest with other EIF-ma</w:t>
      </w:r>
      <w:r>
        <w:rPr>
          <w:noProof/>
          <w:szCs w:val="24"/>
          <w:lang w:eastAsia="en-GB"/>
        </w:rPr>
        <w:t>naged resources.</w:t>
      </w:r>
    </w:p>
    <w:p w:rsidR="0073489B" w:rsidRDefault="00A46D11">
      <w:pPr>
        <w:spacing w:after="60"/>
        <w:ind w:left="142"/>
        <w:jc w:val="both"/>
        <w:rPr>
          <w:noProof/>
          <w:szCs w:val="24"/>
          <w:lang w:eastAsia="en-GB"/>
        </w:rPr>
      </w:pPr>
      <w:r>
        <w:rPr>
          <w:i/>
          <w:noProof/>
          <w:szCs w:val="24"/>
          <w:lang w:eastAsia="en-GB"/>
        </w:rPr>
        <w:t>ii)</w:t>
      </w:r>
      <w:r>
        <w:rPr>
          <w:noProof/>
          <w:szCs w:val="24"/>
          <w:lang w:eastAsia="en-GB"/>
        </w:rPr>
        <w:t xml:space="preserve">The GIF EU Investment is required to rank </w:t>
      </w:r>
      <w:r>
        <w:rPr>
          <w:i/>
          <w:iCs/>
          <w:noProof/>
          <w:szCs w:val="24"/>
          <w:lang w:eastAsia="en-GB"/>
        </w:rPr>
        <w:t xml:space="preserve">pari passu </w:t>
      </w:r>
      <w:r>
        <w:rPr>
          <w:noProof/>
          <w:szCs w:val="24"/>
          <w:lang w:eastAsia="en-GB"/>
        </w:rPr>
        <w:t xml:space="preserve">(i.e. Like Risk, Like Reward) with market-oriented investors investing in the same intermediary. </w:t>
      </w:r>
    </w:p>
    <w:p w:rsidR="0073489B" w:rsidRDefault="00A46D11">
      <w:pPr>
        <w:tabs>
          <w:tab w:val="left" w:pos="0"/>
        </w:tabs>
        <w:spacing w:after="60"/>
        <w:ind w:left="142" w:hanging="284"/>
        <w:jc w:val="both"/>
        <w:rPr>
          <w:i/>
          <w:noProof/>
          <w:szCs w:val="24"/>
          <w:lang w:eastAsia="en-GB"/>
        </w:rPr>
      </w:pPr>
      <w:r>
        <w:rPr>
          <w:i/>
          <w:noProof/>
          <w:szCs w:val="24"/>
          <w:lang w:eastAsia="en-GB"/>
        </w:rPr>
        <w:tab/>
        <w:t>Added value</w:t>
      </w:r>
    </w:p>
    <w:p w:rsidR="0073489B" w:rsidRDefault="00A46D11">
      <w:pPr>
        <w:spacing w:after="60"/>
        <w:ind w:firstLine="3"/>
        <w:jc w:val="both"/>
        <w:rPr>
          <w:noProof/>
          <w:szCs w:val="24"/>
          <w:lang w:eastAsia="en-GB"/>
        </w:rPr>
      </w:pPr>
      <w:r>
        <w:rPr>
          <w:noProof/>
          <w:szCs w:val="24"/>
          <w:lang w:eastAsia="en-GB"/>
        </w:rPr>
        <w:t xml:space="preserve">The added value of the GIF instrument consists in addressing a) specific market needs, b) structuring input, and c) providing catalytic effects. </w:t>
      </w:r>
    </w:p>
    <w:p w:rsidR="0073489B" w:rsidRDefault="00A46D11">
      <w:pPr>
        <w:spacing w:after="60"/>
        <w:ind w:firstLine="3"/>
        <w:jc w:val="both"/>
        <w:rPr>
          <w:noProof/>
          <w:szCs w:val="24"/>
          <w:lang w:eastAsia="en-GB"/>
        </w:rPr>
      </w:pPr>
      <w:r>
        <w:rPr>
          <w:noProof/>
          <w:szCs w:val="24"/>
          <w:lang w:eastAsia="en-GB"/>
        </w:rPr>
        <w:t xml:space="preserve">a) As response to </w:t>
      </w:r>
      <w:r>
        <w:rPr>
          <w:i/>
          <w:noProof/>
          <w:szCs w:val="24"/>
          <w:lang w:eastAsia="en-GB"/>
        </w:rPr>
        <w:t>market needs</w:t>
      </w:r>
      <w:r>
        <w:rPr>
          <w:noProof/>
          <w:szCs w:val="24"/>
          <w:lang w:eastAsia="en-GB"/>
        </w:rPr>
        <w:t>, GIF supported a multitude of first time teams, composed of motivated professio</w:t>
      </w:r>
      <w:r>
        <w:rPr>
          <w:noProof/>
          <w:szCs w:val="24"/>
          <w:lang w:eastAsia="en-GB"/>
        </w:rPr>
        <w:t>nals, to raise their first independent fund. It also addressed regional equity and risk capital market failure, including by developing an appropriate private equity infrastructure in the less-developed Member States and participating countries.</w:t>
      </w:r>
    </w:p>
    <w:p w:rsidR="0073489B" w:rsidRDefault="00A46D11">
      <w:pPr>
        <w:spacing w:after="60"/>
        <w:ind w:firstLine="3"/>
        <w:jc w:val="both"/>
        <w:rPr>
          <w:noProof/>
          <w:szCs w:val="24"/>
          <w:lang w:eastAsia="en-GB"/>
        </w:rPr>
      </w:pPr>
      <w:r>
        <w:rPr>
          <w:noProof/>
          <w:szCs w:val="24"/>
          <w:lang w:eastAsia="en-GB"/>
        </w:rPr>
        <w:t>GIF contri</w:t>
      </w:r>
      <w:r>
        <w:rPr>
          <w:noProof/>
          <w:szCs w:val="24"/>
          <w:lang w:eastAsia="en-GB"/>
        </w:rPr>
        <w:t>buted to filling the sizable gap in access to finance for local young SMEs in their development phase, as well as helping companies in their international expansion strategy. It also increased competition in the market, spread best practices around the reg</w:t>
      </w:r>
      <w:r>
        <w:rPr>
          <w:noProof/>
          <w:szCs w:val="24"/>
          <w:lang w:eastAsia="en-GB"/>
        </w:rPr>
        <w:t>ion, and highlighted to other private equity teams the support the European Union is providing as well as motivated them to raise independent funds of their own.</w:t>
      </w:r>
      <w:r>
        <w:rPr>
          <w:rStyle w:val="FootnoteReference"/>
          <w:noProof/>
          <w:szCs w:val="24"/>
          <w:lang w:eastAsia="en-GB"/>
        </w:rPr>
        <w:footnoteReference w:id="41"/>
      </w:r>
    </w:p>
    <w:p w:rsidR="0073489B" w:rsidRDefault="00A46D11">
      <w:pPr>
        <w:spacing w:after="60"/>
        <w:ind w:firstLine="3"/>
        <w:jc w:val="both"/>
        <w:rPr>
          <w:noProof/>
          <w:szCs w:val="24"/>
          <w:lang w:eastAsia="en-GB"/>
        </w:rPr>
      </w:pPr>
      <w:r>
        <w:rPr>
          <w:noProof/>
          <w:szCs w:val="24"/>
          <w:lang w:eastAsia="en-GB"/>
        </w:rPr>
        <w:t xml:space="preserve">b) In terms of </w:t>
      </w:r>
      <w:r>
        <w:rPr>
          <w:i/>
          <w:noProof/>
          <w:szCs w:val="24"/>
          <w:lang w:eastAsia="en-GB"/>
        </w:rPr>
        <w:t>structuring input</w:t>
      </w:r>
      <w:r>
        <w:rPr>
          <w:noProof/>
          <w:szCs w:val="24"/>
          <w:lang w:eastAsia="en-GB"/>
        </w:rPr>
        <w:t>, EIF, as entrusted entity for the GIF Facility, assisted Fun</w:t>
      </w:r>
      <w:r>
        <w:rPr>
          <w:noProof/>
          <w:szCs w:val="24"/>
          <w:lang w:eastAsia="en-GB"/>
        </w:rPr>
        <w:t>d Managers to fine-tune their investment strategies, including by positioning themselves in relation to current and future competition. It also contributed to the alignment of interest between the investors and the managers, including by increasing the man</w:t>
      </w:r>
      <w:r>
        <w:rPr>
          <w:noProof/>
          <w:szCs w:val="24"/>
          <w:lang w:eastAsia="en-GB"/>
        </w:rPr>
        <w:t>agement team's commitment and optimising the composition of the Managers' Boards.</w:t>
      </w:r>
    </w:p>
    <w:p w:rsidR="0073489B" w:rsidRDefault="00A46D11">
      <w:pPr>
        <w:spacing w:after="60"/>
        <w:ind w:firstLine="3"/>
        <w:jc w:val="both"/>
        <w:rPr>
          <w:noProof/>
          <w:szCs w:val="24"/>
          <w:lang w:eastAsia="en-GB"/>
        </w:rPr>
      </w:pPr>
      <w:r>
        <w:rPr>
          <w:noProof/>
          <w:szCs w:val="24"/>
          <w:lang w:eastAsia="en-GB"/>
        </w:rPr>
        <w:t xml:space="preserve">c) In terms of </w:t>
      </w:r>
      <w:r>
        <w:rPr>
          <w:i/>
          <w:noProof/>
          <w:szCs w:val="24"/>
          <w:lang w:eastAsia="en-GB"/>
        </w:rPr>
        <w:t>catalytic effects</w:t>
      </w:r>
      <w:r>
        <w:rPr>
          <w:noProof/>
          <w:szCs w:val="24"/>
          <w:lang w:eastAsia="en-GB"/>
        </w:rPr>
        <w:t xml:space="preserve">, the GIF provided a strong signalling effect, which helped attract private and institutional investors, therefore ensuring viable and timely </w:t>
      </w:r>
      <w:r>
        <w:rPr>
          <w:noProof/>
          <w:szCs w:val="24"/>
          <w:lang w:eastAsia="en-GB"/>
        </w:rPr>
        <w:t>closings of funds, which offered the possibility to implement the envisaged strategy and provide proper risk diversification and risk-commensurate return expectation. The venture capital funds' reaching critical mass, enabled by the GIF investment, allowed</w:t>
      </w:r>
      <w:r>
        <w:rPr>
          <w:noProof/>
          <w:szCs w:val="24"/>
          <w:lang w:eastAsia="en-GB"/>
        </w:rPr>
        <w:t xml:space="preserve"> the intermediaries to support longer their investee SMEs, thus optimizing the exit timing, and therefore valuations for all participating investors.</w:t>
      </w:r>
    </w:p>
    <w:p w:rsidR="0073489B" w:rsidRDefault="00A46D11">
      <w:pPr>
        <w:pStyle w:val="Heading5"/>
        <w:spacing w:before="120"/>
        <w:ind w:left="284" w:firstLine="0"/>
        <w:rPr>
          <w:noProof/>
        </w:rPr>
      </w:pPr>
      <w:bookmarkStart w:id="27" w:name="_Toc387228724"/>
      <w:r>
        <w:rPr>
          <w:noProof/>
        </w:rPr>
        <w:t>The financial institutions involved in implementation</w:t>
      </w:r>
      <w:bookmarkEnd w:id="27"/>
      <w:r>
        <w:rPr>
          <w:noProof/>
        </w:rPr>
        <w:t xml:space="preserve">; </w:t>
      </w:r>
    </w:p>
    <w:p w:rsidR="0073489B" w:rsidRDefault="00A46D11">
      <w:pPr>
        <w:spacing w:after="60"/>
        <w:ind w:firstLine="3"/>
        <w:rPr>
          <w:noProof/>
          <w:szCs w:val="24"/>
        </w:rPr>
      </w:pPr>
      <w:r>
        <w:rPr>
          <w:noProof/>
          <w:szCs w:val="24"/>
        </w:rPr>
        <w:t>European Investment fund (EIF).</w:t>
      </w:r>
    </w:p>
    <w:p w:rsidR="0073489B" w:rsidRDefault="0073489B">
      <w:pPr>
        <w:spacing w:after="60"/>
        <w:ind w:firstLine="3"/>
        <w:rPr>
          <w:noProof/>
          <w:szCs w:val="24"/>
        </w:rPr>
      </w:pPr>
    </w:p>
    <w:p w:rsidR="0073489B" w:rsidRDefault="00A46D11">
      <w:pPr>
        <w:pStyle w:val="Heading4"/>
        <w:numPr>
          <w:ilvl w:val="0"/>
          <w:numId w:val="0"/>
        </w:numPr>
        <w:ind w:left="426" w:hanging="426"/>
        <w:rPr>
          <w:noProof/>
        </w:rPr>
      </w:pPr>
      <w:bookmarkStart w:id="28" w:name="_Toc387228725"/>
      <w:bookmarkStart w:id="29" w:name="_Toc388541856"/>
      <w:r>
        <w:rPr>
          <w:noProof/>
        </w:rPr>
        <w:t>C - Implementatio</w:t>
      </w:r>
      <w:r>
        <w:rPr>
          <w:noProof/>
        </w:rPr>
        <w:t>n</w:t>
      </w:r>
      <w:bookmarkEnd w:id="28"/>
      <w:bookmarkEnd w:id="29"/>
    </w:p>
    <w:p w:rsidR="0073489B" w:rsidRDefault="00A46D11">
      <w:pPr>
        <w:pStyle w:val="Heading5"/>
        <w:spacing w:before="120"/>
        <w:ind w:left="284" w:firstLine="0"/>
        <w:rPr>
          <w:noProof/>
        </w:rPr>
      </w:pPr>
      <w:bookmarkStart w:id="30" w:name="_Toc387228726"/>
      <w:r>
        <w:rPr>
          <w:noProof/>
        </w:rPr>
        <w:t>The aggregate budgetary commitments and payments from the budget</w:t>
      </w:r>
      <w:bookmarkEnd w:id="30"/>
      <w:r>
        <w:rPr>
          <w:rStyle w:val="FootnoteReference"/>
          <w:noProof/>
        </w:rPr>
        <w:footnoteReference w:id="42"/>
      </w:r>
      <w:r>
        <w:rPr>
          <w:noProof/>
        </w:rPr>
        <w:t>;</w:t>
      </w:r>
    </w:p>
    <w:p w:rsidR="0073489B" w:rsidRDefault="00A46D11">
      <w:pPr>
        <w:ind w:right="141"/>
        <w:rPr>
          <w:noProof/>
          <w:szCs w:val="24"/>
        </w:rPr>
      </w:pPr>
      <w:r>
        <w:rPr>
          <w:noProof/>
          <w:szCs w:val="24"/>
        </w:rPr>
        <w:t>Aggregate budgetary commitments as at 31/12/2016</w:t>
      </w:r>
      <w:r>
        <w:rPr>
          <w:noProof/>
          <w:szCs w:val="24"/>
        </w:rPr>
        <w:tab/>
      </w:r>
      <w:r>
        <w:rPr>
          <w:noProof/>
          <w:szCs w:val="24"/>
        </w:rPr>
        <w:tab/>
        <w:t xml:space="preserve">                     EUR </w:t>
      </w:r>
      <w:r>
        <w:rPr>
          <w:noProof/>
        </w:rPr>
        <w:t>580 682 329</w:t>
      </w:r>
    </w:p>
    <w:p w:rsidR="0073489B" w:rsidRDefault="00A46D11">
      <w:pPr>
        <w:rPr>
          <w:noProof/>
          <w:szCs w:val="24"/>
        </w:rPr>
      </w:pPr>
      <w:r>
        <w:rPr>
          <w:noProof/>
          <w:szCs w:val="24"/>
        </w:rPr>
        <w:t>Aggregate budgetary payments as at 31/12/2016</w:t>
      </w:r>
      <w:r>
        <w:rPr>
          <w:noProof/>
          <w:szCs w:val="24"/>
        </w:rPr>
        <w:tab/>
      </w:r>
      <w:r>
        <w:rPr>
          <w:noProof/>
          <w:szCs w:val="24"/>
        </w:rPr>
        <w:tab/>
        <w:t xml:space="preserve">                     EUR </w:t>
      </w:r>
      <w:r>
        <w:rPr>
          <w:noProof/>
        </w:rPr>
        <w:t>444 976 538</w:t>
      </w:r>
    </w:p>
    <w:p w:rsidR="0073489B" w:rsidRDefault="0073489B">
      <w:pPr>
        <w:rPr>
          <w:noProof/>
          <w:szCs w:val="24"/>
        </w:rPr>
      </w:pPr>
    </w:p>
    <w:p w:rsidR="0073489B" w:rsidRDefault="00A46D11">
      <w:pPr>
        <w:pStyle w:val="Heading5"/>
        <w:spacing w:before="120" w:after="200"/>
        <w:ind w:left="284" w:firstLine="0"/>
        <w:rPr>
          <w:i/>
          <w:noProof/>
        </w:rPr>
      </w:pPr>
      <w:bookmarkStart w:id="31" w:name="_Toc387228727"/>
      <w:r>
        <w:rPr>
          <w:noProof/>
        </w:rPr>
        <w:lastRenderedPageBreak/>
        <w:t>The performance</w:t>
      </w:r>
      <w:r>
        <w:rPr>
          <w:noProof/>
        </w:rPr>
        <w:t xml:space="preserve"> of the financial instrument as of 31/12/2016, including investments realised</w:t>
      </w:r>
      <w:bookmarkEnd w:id="31"/>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73489B">
        <w:trPr>
          <w:jc w:val="center"/>
        </w:trPr>
        <w:tc>
          <w:tcPr>
            <w:tcW w:w="4928" w:type="dxa"/>
            <w:shd w:val="clear" w:color="auto" w:fill="auto"/>
            <w:vAlign w:val="center"/>
          </w:tcPr>
          <w:p w:rsidR="0073489B" w:rsidRDefault="00A46D11">
            <w:pPr>
              <w:pStyle w:val="ListParagraph"/>
              <w:spacing w:before="60" w:after="60"/>
              <w:ind w:left="0"/>
              <w:jc w:val="both"/>
              <w:rPr>
                <w:noProof/>
                <w:szCs w:val="24"/>
              </w:rPr>
            </w:pPr>
            <w:r>
              <w:rPr>
                <w:noProof/>
                <w:szCs w:val="24"/>
              </w:rPr>
              <w:t>Amount of EU Contribution committed to</w:t>
            </w:r>
          </w:p>
          <w:p w:rsidR="0073489B" w:rsidRDefault="00A46D11">
            <w:pPr>
              <w:pStyle w:val="ListParagraph"/>
              <w:spacing w:before="60" w:after="60"/>
              <w:ind w:left="0"/>
              <w:jc w:val="both"/>
              <w:rPr>
                <w:noProof/>
                <w:szCs w:val="24"/>
              </w:rPr>
            </w:pPr>
            <w:r>
              <w:rPr>
                <w:noProof/>
                <w:szCs w:val="24"/>
              </w:rPr>
              <w:t xml:space="preserve">financial intermediaries </w:t>
            </w:r>
          </w:p>
          <w:p w:rsidR="0073489B" w:rsidRDefault="00A46D11">
            <w:pPr>
              <w:pStyle w:val="ListParagraph"/>
              <w:spacing w:before="60" w:after="60"/>
              <w:ind w:left="0"/>
              <w:jc w:val="both"/>
              <w:rPr>
                <w:noProof/>
                <w:szCs w:val="24"/>
              </w:rPr>
            </w:pPr>
            <w:r>
              <w:rPr>
                <w:noProof/>
                <w:szCs w:val="24"/>
              </w:rPr>
              <w:t xml:space="preserve">and the corresponding number of financial intermediaries; </w:t>
            </w:r>
          </w:p>
        </w:tc>
        <w:tc>
          <w:tcPr>
            <w:tcW w:w="4360" w:type="dxa"/>
            <w:shd w:val="clear" w:color="auto" w:fill="auto"/>
            <w:vAlign w:val="center"/>
          </w:tcPr>
          <w:p w:rsidR="0073489B" w:rsidRDefault="00A46D11">
            <w:pPr>
              <w:spacing w:before="60" w:after="60"/>
              <w:ind w:right="141"/>
              <w:contextualSpacing/>
              <w:jc w:val="center"/>
              <w:rPr>
                <w:noProof/>
              </w:rPr>
            </w:pPr>
            <w:r>
              <w:rPr>
                <w:noProof/>
              </w:rPr>
              <w:t>EUR 544  million</w:t>
            </w:r>
            <w:r>
              <w:rPr>
                <w:rStyle w:val="FootnoteReference"/>
                <w:noProof/>
              </w:rPr>
              <w:footnoteReference w:id="43"/>
            </w:r>
          </w:p>
          <w:p w:rsidR="0073489B" w:rsidRDefault="00A46D11">
            <w:pPr>
              <w:spacing w:before="60" w:after="60"/>
              <w:ind w:right="141"/>
              <w:contextualSpacing/>
              <w:jc w:val="center"/>
              <w:rPr>
                <w:noProof/>
                <w:highlight w:val="yellow"/>
              </w:rPr>
            </w:pPr>
            <w:r>
              <w:rPr>
                <w:noProof/>
              </w:rPr>
              <w:t>43  FIs</w:t>
            </w:r>
          </w:p>
        </w:tc>
      </w:tr>
      <w:tr w:rsidR="0073489B">
        <w:trPr>
          <w:trHeight w:val="1404"/>
          <w:jc w:val="center"/>
        </w:trPr>
        <w:tc>
          <w:tcPr>
            <w:tcW w:w="4928" w:type="dxa"/>
            <w:shd w:val="clear" w:color="auto" w:fill="auto"/>
            <w:vAlign w:val="center"/>
          </w:tcPr>
          <w:p w:rsidR="0073489B" w:rsidRDefault="00A46D11">
            <w:pPr>
              <w:pStyle w:val="ListParagraph"/>
              <w:spacing w:before="60" w:after="60"/>
              <w:ind w:left="0"/>
              <w:jc w:val="both"/>
              <w:rPr>
                <w:noProof/>
                <w:szCs w:val="24"/>
              </w:rPr>
            </w:pPr>
            <w:r>
              <w:rPr>
                <w:noProof/>
                <w:szCs w:val="24"/>
              </w:rPr>
              <w:t xml:space="preserve">for risk-sharing </w:t>
            </w:r>
            <w:r>
              <w:rPr>
                <w:noProof/>
                <w:szCs w:val="24"/>
              </w:rPr>
              <w:t>instruments, total amount of the risk-sharing, including the EU Contribution, committed to financial intermediaries,</w:t>
            </w:r>
          </w:p>
          <w:p w:rsidR="0073489B" w:rsidRDefault="00A46D11">
            <w:pPr>
              <w:pStyle w:val="ListParagraph"/>
              <w:spacing w:before="60" w:after="60"/>
              <w:ind w:left="0"/>
              <w:jc w:val="both"/>
              <w:rPr>
                <w:noProof/>
              </w:rPr>
            </w:pPr>
            <w:r>
              <w:rPr>
                <w:noProof/>
                <w:szCs w:val="24"/>
              </w:rPr>
              <w:t>and the corresponding number of financial intermediaries;</w:t>
            </w:r>
          </w:p>
        </w:tc>
        <w:tc>
          <w:tcPr>
            <w:tcW w:w="4360" w:type="dxa"/>
            <w:shd w:val="clear" w:color="auto" w:fill="auto"/>
            <w:vAlign w:val="center"/>
          </w:tcPr>
          <w:p w:rsidR="0073489B" w:rsidRDefault="00A46D11">
            <w:pPr>
              <w:spacing w:before="60" w:after="60"/>
              <w:ind w:right="141"/>
              <w:contextualSpacing/>
              <w:jc w:val="center"/>
              <w:rPr>
                <w:noProof/>
              </w:rPr>
            </w:pPr>
            <w:r>
              <w:rPr>
                <w:noProof/>
              </w:rPr>
              <w:t>N/A</w:t>
            </w:r>
          </w:p>
          <w:p w:rsidR="0073489B" w:rsidRDefault="0073489B">
            <w:pPr>
              <w:spacing w:before="60" w:after="60"/>
              <w:ind w:right="141"/>
              <w:contextualSpacing/>
              <w:jc w:val="center"/>
              <w:rPr>
                <w:noProof/>
              </w:rPr>
            </w:pPr>
          </w:p>
          <w:p w:rsidR="0073489B" w:rsidRDefault="00A46D11">
            <w:pPr>
              <w:spacing w:before="60" w:after="60"/>
              <w:ind w:right="141"/>
              <w:contextualSpacing/>
              <w:jc w:val="center"/>
              <w:rPr>
                <w:noProof/>
                <w:highlight w:val="yellow"/>
              </w:rPr>
            </w:pPr>
            <w:r>
              <w:rPr>
                <w:noProof/>
              </w:rPr>
              <w:t>N/A</w:t>
            </w:r>
          </w:p>
        </w:tc>
      </w:tr>
      <w:tr w:rsidR="0073489B">
        <w:trPr>
          <w:trHeight w:val="1679"/>
          <w:jc w:val="center"/>
        </w:trPr>
        <w:tc>
          <w:tcPr>
            <w:tcW w:w="4928" w:type="dxa"/>
            <w:shd w:val="clear" w:color="auto" w:fill="auto"/>
            <w:vAlign w:val="center"/>
          </w:tcPr>
          <w:p w:rsidR="0073489B" w:rsidRDefault="00A46D11">
            <w:pPr>
              <w:pStyle w:val="ListParagraph"/>
              <w:spacing w:before="60" w:after="60"/>
              <w:ind w:left="0"/>
              <w:jc w:val="both"/>
              <w:rPr>
                <w:noProof/>
                <w:szCs w:val="24"/>
              </w:rPr>
            </w:pPr>
            <w:r>
              <w:rPr>
                <w:noProof/>
                <w:szCs w:val="24"/>
              </w:rPr>
              <w:t xml:space="preserve">Amount of financing expected to be provided by financial intermediaries to eligible final recipients </w:t>
            </w:r>
          </w:p>
          <w:p w:rsidR="0073489B" w:rsidRDefault="00A46D11">
            <w:pPr>
              <w:pStyle w:val="ListParagraph"/>
              <w:spacing w:before="60" w:after="60"/>
              <w:ind w:left="0"/>
              <w:jc w:val="both"/>
              <w:rPr>
                <w:noProof/>
                <w:szCs w:val="24"/>
                <w:highlight w:val="green"/>
              </w:rPr>
            </w:pPr>
            <w:r>
              <w:rPr>
                <w:noProof/>
                <w:szCs w:val="24"/>
              </w:rPr>
              <w:t>And expected number of eligible final recipients;</w:t>
            </w:r>
          </w:p>
        </w:tc>
        <w:tc>
          <w:tcPr>
            <w:tcW w:w="4360" w:type="dxa"/>
            <w:shd w:val="clear" w:color="auto" w:fill="auto"/>
            <w:vAlign w:val="center"/>
          </w:tcPr>
          <w:p w:rsidR="0073489B" w:rsidRDefault="00A46D11">
            <w:pPr>
              <w:spacing w:before="60" w:after="60"/>
              <w:ind w:right="141"/>
              <w:contextualSpacing/>
              <w:jc w:val="center"/>
              <w:rPr>
                <w:noProof/>
                <w:lang w:val="fr-BE"/>
              </w:rPr>
            </w:pPr>
            <w:r>
              <w:rPr>
                <w:noProof/>
                <w:lang w:val="fr-BE"/>
              </w:rPr>
              <w:t>EUR 3 087 million</w:t>
            </w:r>
            <w:r>
              <w:rPr>
                <w:rStyle w:val="FootnoteReference"/>
                <w:noProof/>
                <w:lang w:val="fr-BE"/>
              </w:rPr>
              <w:footnoteReference w:id="44"/>
            </w:r>
          </w:p>
          <w:p w:rsidR="0073489B" w:rsidRDefault="0073489B">
            <w:pPr>
              <w:spacing w:before="60" w:after="60"/>
              <w:ind w:right="141"/>
              <w:contextualSpacing/>
              <w:jc w:val="center"/>
              <w:rPr>
                <w:noProof/>
                <w:szCs w:val="24"/>
                <w:highlight w:val="yellow"/>
                <w:lang w:val="fr-BE"/>
              </w:rPr>
            </w:pPr>
          </w:p>
          <w:p w:rsidR="0073489B" w:rsidRDefault="00A46D11">
            <w:pPr>
              <w:spacing w:before="60" w:after="60"/>
              <w:ind w:right="141"/>
              <w:contextualSpacing/>
              <w:jc w:val="center"/>
              <w:rPr>
                <w:noProof/>
                <w:szCs w:val="24"/>
                <w:highlight w:val="yellow"/>
                <w:lang w:val="fr-BE"/>
              </w:rPr>
            </w:pPr>
            <w:r>
              <w:rPr>
                <w:noProof/>
                <w:lang w:val="fr-BE"/>
              </w:rPr>
              <w:t>516</w:t>
            </w:r>
            <w:r>
              <w:rPr>
                <w:noProof/>
                <w:szCs w:val="24"/>
                <w:lang w:val="fr-BE"/>
              </w:rPr>
              <w:t xml:space="preserve"> Eligible FR</w:t>
            </w:r>
            <w:r>
              <w:rPr>
                <w:rStyle w:val="FootnoteReference"/>
                <w:noProof/>
                <w:lang w:val="fr-BE"/>
              </w:rPr>
              <w:footnoteReference w:id="45"/>
            </w:r>
          </w:p>
        </w:tc>
      </w:tr>
      <w:tr w:rsidR="0073489B">
        <w:trPr>
          <w:jc w:val="center"/>
        </w:trPr>
        <w:tc>
          <w:tcPr>
            <w:tcW w:w="4928" w:type="dxa"/>
            <w:shd w:val="clear" w:color="auto" w:fill="auto"/>
            <w:vAlign w:val="center"/>
          </w:tcPr>
          <w:p w:rsidR="0073489B" w:rsidRDefault="00A46D11">
            <w:pPr>
              <w:pStyle w:val="ListParagraph"/>
              <w:spacing w:before="60" w:after="60"/>
              <w:ind w:left="0"/>
              <w:jc w:val="both"/>
              <w:rPr>
                <w:noProof/>
                <w:szCs w:val="24"/>
              </w:rPr>
            </w:pPr>
            <w:r>
              <w:rPr>
                <w:noProof/>
                <w:szCs w:val="24"/>
              </w:rPr>
              <w:t xml:space="preserve">Amount of financing already provided by financial intermediaries </w:t>
            </w:r>
            <w:r>
              <w:rPr>
                <w:noProof/>
                <w:szCs w:val="24"/>
              </w:rPr>
              <w:t>to eligible final recipients,</w:t>
            </w:r>
          </w:p>
          <w:p w:rsidR="0073489B" w:rsidRDefault="00A46D11">
            <w:pPr>
              <w:pStyle w:val="ListParagraph"/>
              <w:spacing w:before="60" w:after="60"/>
              <w:ind w:left="0"/>
              <w:jc w:val="both"/>
              <w:rPr>
                <w:noProof/>
                <w:highlight w:val="green"/>
              </w:rPr>
            </w:pPr>
            <w:r>
              <w:rPr>
                <w:noProof/>
                <w:szCs w:val="24"/>
              </w:rPr>
              <w:t xml:space="preserve">and the corresponding number of eligible final recipients; </w:t>
            </w:r>
          </w:p>
        </w:tc>
        <w:tc>
          <w:tcPr>
            <w:tcW w:w="4360" w:type="dxa"/>
            <w:shd w:val="clear" w:color="auto" w:fill="auto"/>
            <w:vAlign w:val="center"/>
          </w:tcPr>
          <w:p w:rsidR="0073489B" w:rsidRDefault="00A46D11">
            <w:pPr>
              <w:spacing w:before="60" w:after="60"/>
              <w:ind w:right="141"/>
              <w:contextualSpacing/>
              <w:jc w:val="center"/>
              <w:rPr>
                <w:noProof/>
                <w:szCs w:val="24"/>
                <w:lang w:val="fr-BE"/>
              </w:rPr>
            </w:pPr>
            <w:r>
              <w:rPr>
                <w:noProof/>
                <w:szCs w:val="24"/>
                <w:lang w:val="fr-BE"/>
              </w:rPr>
              <w:t xml:space="preserve">EUR 1 </w:t>
            </w:r>
            <w:r>
              <w:rPr>
                <w:noProof/>
                <w:lang w:val="fr-BE"/>
              </w:rPr>
              <w:t>430 million</w:t>
            </w:r>
            <w:r>
              <w:rPr>
                <w:rStyle w:val="FootnoteReference"/>
                <w:noProof/>
                <w:lang w:val="fr-BE"/>
              </w:rPr>
              <w:footnoteReference w:id="46"/>
            </w:r>
          </w:p>
          <w:p w:rsidR="0073489B" w:rsidRDefault="0073489B">
            <w:pPr>
              <w:spacing w:before="60" w:after="60"/>
              <w:ind w:right="141"/>
              <w:contextualSpacing/>
              <w:jc w:val="center"/>
              <w:rPr>
                <w:noProof/>
                <w:szCs w:val="24"/>
                <w:highlight w:val="yellow"/>
                <w:lang w:val="fr-BE"/>
              </w:rPr>
            </w:pPr>
          </w:p>
          <w:p w:rsidR="0073489B" w:rsidRDefault="00A46D11">
            <w:pPr>
              <w:spacing w:before="60" w:after="60"/>
              <w:ind w:right="141"/>
              <w:contextualSpacing/>
              <w:jc w:val="center"/>
              <w:rPr>
                <w:noProof/>
                <w:szCs w:val="24"/>
                <w:highlight w:val="yellow"/>
                <w:lang w:val="fr-BE"/>
              </w:rPr>
            </w:pPr>
            <w:r>
              <w:rPr>
                <w:noProof/>
                <w:szCs w:val="24"/>
                <w:lang w:val="fr-BE"/>
              </w:rPr>
              <w:t>4</w:t>
            </w:r>
            <w:r>
              <w:rPr>
                <w:noProof/>
                <w:lang w:val="fr-BE"/>
              </w:rPr>
              <w:t>84</w:t>
            </w:r>
            <w:r>
              <w:rPr>
                <w:noProof/>
                <w:szCs w:val="24"/>
                <w:lang w:val="fr-BE"/>
              </w:rPr>
              <w:t xml:space="preserve"> Eligible</w:t>
            </w:r>
            <w:r>
              <w:rPr>
                <w:rStyle w:val="FootnoteReference"/>
                <w:noProof/>
                <w:szCs w:val="24"/>
                <w:lang w:val="fr-BE"/>
              </w:rPr>
              <w:footnoteReference w:id="47"/>
            </w:r>
            <w:r>
              <w:rPr>
                <w:noProof/>
                <w:szCs w:val="24"/>
                <w:lang w:val="fr-BE"/>
              </w:rPr>
              <w:t xml:space="preserve"> FR</w:t>
            </w:r>
          </w:p>
        </w:tc>
      </w:tr>
      <w:tr w:rsidR="0073489B">
        <w:trPr>
          <w:trHeight w:val="1043"/>
          <w:jc w:val="center"/>
        </w:trPr>
        <w:tc>
          <w:tcPr>
            <w:tcW w:w="4928" w:type="dxa"/>
            <w:shd w:val="clear" w:color="auto" w:fill="auto"/>
            <w:vAlign w:val="center"/>
          </w:tcPr>
          <w:p w:rsidR="0073489B" w:rsidRDefault="00A46D11">
            <w:pPr>
              <w:pStyle w:val="ListParagraph"/>
              <w:spacing w:before="60" w:after="60"/>
              <w:ind w:left="0"/>
              <w:jc w:val="both"/>
              <w:rPr>
                <w:noProof/>
                <w:highlight w:val="green"/>
              </w:rPr>
            </w:pPr>
            <w:r>
              <w:rPr>
                <w:noProof/>
                <w:szCs w:val="24"/>
              </w:rPr>
              <w:t>Amount of investments already made by eligible final recipients due to the received financing, if applicable.</w:t>
            </w:r>
          </w:p>
        </w:tc>
        <w:tc>
          <w:tcPr>
            <w:tcW w:w="4360" w:type="dxa"/>
            <w:shd w:val="clear" w:color="auto" w:fill="auto"/>
            <w:vAlign w:val="center"/>
          </w:tcPr>
          <w:p w:rsidR="0073489B" w:rsidRDefault="00A46D11">
            <w:pPr>
              <w:spacing w:before="60" w:after="60"/>
              <w:ind w:right="141"/>
              <w:contextualSpacing/>
              <w:jc w:val="center"/>
              <w:rPr>
                <w:i/>
                <w:noProof/>
                <w:szCs w:val="24"/>
                <w:highlight w:val="yellow"/>
              </w:rPr>
            </w:pPr>
            <w:r>
              <w:rPr>
                <w:noProof/>
              </w:rPr>
              <w:t>EUR 3 575 million</w:t>
            </w:r>
            <w:r>
              <w:rPr>
                <w:rStyle w:val="FootnoteReference"/>
                <w:noProof/>
                <w:szCs w:val="24"/>
              </w:rPr>
              <w:footnoteReference w:id="48"/>
            </w:r>
            <w:r>
              <w:rPr>
                <w:noProof/>
                <w:szCs w:val="24"/>
              </w:rPr>
              <w:t xml:space="preserve"> </w:t>
            </w:r>
          </w:p>
        </w:tc>
      </w:tr>
    </w:tbl>
    <w:p w:rsidR="0073489B" w:rsidRDefault="0073489B">
      <w:pPr>
        <w:keepNext/>
        <w:rPr>
          <w:i/>
          <w:noProof/>
          <w:szCs w:val="24"/>
        </w:rPr>
      </w:pPr>
    </w:p>
    <w:p w:rsidR="0073489B" w:rsidRDefault="00A46D11">
      <w:pPr>
        <w:keepNext/>
        <w:jc w:val="both"/>
        <w:rPr>
          <w:i/>
          <w:noProof/>
          <w:szCs w:val="24"/>
        </w:rPr>
      </w:pPr>
      <w:r>
        <w:rPr>
          <w:i/>
          <w:noProof/>
          <w:szCs w:val="24"/>
        </w:rPr>
        <w:t>GIF Impact on employment</w:t>
      </w:r>
    </w:p>
    <w:p w:rsidR="0073489B" w:rsidRDefault="00A46D11">
      <w:pPr>
        <w:keepNext/>
        <w:spacing w:after="60"/>
        <w:ind w:left="360"/>
        <w:jc w:val="both"/>
        <w:rPr>
          <w:noProof/>
          <w:szCs w:val="24"/>
        </w:rPr>
      </w:pPr>
      <w:r>
        <w:rPr>
          <w:noProof/>
          <w:szCs w:val="24"/>
        </w:rPr>
        <w:t>In addition, for the entire period as of 31 December 2016, GIF programme achievements</w:t>
      </w:r>
      <w:r>
        <w:rPr>
          <w:rStyle w:val="FootnoteReference"/>
          <w:noProof/>
          <w:szCs w:val="24"/>
        </w:rPr>
        <w:footnoteReference w:id="49"/>
      </w:r>
      <w:r>
        <w:rPr>
          <w:noProof/>
          <w:szCs w:val="24"/>
        </w:rPr>
        <w:t xml:space="preserve"> were as follows:</w:t>
      </w:r>
    </w:p>
    <w:p w:rsidR="0073489B" w:rsidRDefault="00A46D11">
      <w:pPr>
        <w:numPr>
          <w:ilvl w:val="0"/>
          <w:numId w:val="128"/>
        </w:numPr>
        <w:ind w:right="141"/>
        <w:jc w:val="both"/>
        <w:rPr>
          <w:noProof/>
          <w:szCs w:val="24"/>
        </w:rPr>
      </w:pPr>
      <w:r>
        <w:rPr>
          <w:noProof/>
          <w:szCs w:val="24"/>
        </w:rPr>
        <w:t xml:space="preserve">Number of employees at final recipients (SMEs) at date of first investment (number of jobs created or maintained): 6 844 </w:t>
      </w:r>
    </w:p>
    <w:p w:rsidR="0073489B" w:rsidRDefault="00A46D11">
      <w:pPr>
        <w:numPr>
          <w:ilvl w:val="0"/>
          <w:numId w:val="128"/>
        </w:numPr>
        <w:spacing w:after="60"/>
        <w:ind w:right="141"/>
        <w:jc w:val="both"/>
        <w:rPr>
          <w:noProof/>
          <w:szCs w:val="24"/>
        </w:rPr>
      </w:pPr>
      <w:r>
        <w:rPr>
          <w:noProof/>
          <w:szCs w:val="24"/>
        </w:rPr>
        <w:lastRenderedPageBreak/>
        <w:t xml:space="preserve">GIF number of employees at the assessment date: 9 908 </w:t>
      </w:r>
    </w:p>
    <w:p w:rsidR="0073489B" w:rsidRDefault="00A46D11">
      <w:pPr>
        <w:tabs>
          <w:tab w:val="num" w:pos="1080"/>
        </w:tabs>
        <w:spacing w:after="60"/>
        <w:ind w:firstLine="3"/>
        <w:jc w:val="both"/>
        <w:rPr>
          <w:noProof/>
          <w:szCs w:val="24"/>
        </w:rPr>
      </w:pPr>
      <w:r>
        <w:rPr>
          <w:noProof/>
        </w:rPr>
        <w:t xml:space="preserve">The estimated number of jobs created (difference between number of employees at assessment date and number of employees at date of first investment) under GIF is over 3 000; the number of employees in </w:t>
      </w:r>
      <w:r>
        <w:rPr>
          <w:noProof/>
        </w:rPr>
        <w:t>GIF-final recipients as at 31 December 2012 was 9 908.</w:t>
      </w:r>
    </w:p>
    <w:p w:rsidR="0073489B" w:rsidRDefault="00A46D11">
      <w:pPr>
        <w:spacing w:before="160"/>
        <w:jc w:val="both"/>
        <w:rPr>
          <w:i/>
          <w:noProof/>
          <w:szCs w:val="24"/>
        </w:rPr>
      </w:pPr>
      <w:r>
        <w:rPr>
          <w:i/>
          <w:noProof/>
          <w:szCs w:val="24"/>
        </w:rPr>
        <w:t>Additional GIF operational information</w:t>
      </w:r>
    </w:p>
    <w:p w:rsidR="0073489B" w:rsidRDefault="00A46D11">
      <w:pPr>
        <w:spacing w:after="60"/>
        <w:ind w:firstLine="3"/>
        <w:jc w:val="both"/>
        <w:rPr>
          <w:noProof/>
          <w:highlight w:val="yellow"/>
        </w:rPr>
      </w:pPr>
      <w:r>
        <w:rPr>
          <w:noProof/>
        </w:rPr>
        <w:t>Given that the EIF is entitled to fees up to 6% of its net commitments to Financial Intermediaries, the maximum amount available for deals under GIF was of EUR 58</w:t>
      </w:r>
      <w:r>
        <w:rPr>
          <w:noProof/>
        </w:rPr>
        <w:t>9,8 million over the period 2007-2013. This implies that the GIF budget had an utilisation rate of 92</w:t>
      </w:r>
      <w:r>
        <w:rPr>
          <w:noProof/>
          <w:szCs w:val="24"/>
        </w:rPr>
        <w:t>,</w:t>
      </w:r>
      <w:r>
        <w:rPr>
          <w:noProof/>
        </w:rPr>
        <w:t>2</w:t>
      </w:r>
      <w:r>
        <w:rPr>
          <w:noProof/>
          <w:szCs w:val="24"/>
        </w:rPr>
        <w:t>% of commitments available for deals.</w:t>
      </w:r>
    </w:p>
    <w:p w:rsidR="0073489B" w:rsidRDefault="00A46D11">
      <w:pPr>
        <w:spacing w:after="60"/>
        <w:ind w:firstLine="3"/>
        <w:jc w:val="both"/>
        <w:rPr>
          <w:noProof/>
          <w:szCs w:val="24"/>
        </w:rPr>
      </w:pPr>
      <w:r>
        <w:rPr>
          <w:noProof/>
        </w:rPr>
        <w:t>Out of the afore-mentioned 43 funds, 18 funds have a multi-country focus and the remaining 25 funds target investme</w:t>
      </w:r>
      <w:r>
        <w:rPr>
          <w:noProof/>
        </w:rPr>
        <w:t>nts in specific countries. 13 venture capital funds are investing in eco-innovation, supported by signed EU investments for a total amount of EUR 220,4 million.</w:t>
      </w:r>
      <w:r>
        <w:rPr>
          <w:noProof/>
          <w:vertAlign w:val="superscript"/>
        </w:rPr>
        <w:footnoteReference w:id="50"/>
      </w:r>
    </w:p>
    <w:p w:rsidR="0073489B" w:rsidRDefault="00A46D11">
      <w:pPr>
        <w:pStyle w:val="Heading5"/>
        <w:spacing w:before="160" w:after="140"/>
        <w:ind w:left="284" w:firstLine="0"/>
        <w:jc w:val="both"/>
        <w:rPr>
          <w:noProof/>
        </w:rPr>
      </w:pPr>
      <w:bookmarkStart w:id="32" w:name="_Toc387228728"/>
      <w:r>
        <w:rPr>
          <w:noProof/>
        </w:rPr>
        <w:t>An evaluation of the use of any amounts returned to the instrument as internal assigned revenu</w:t>
      </w:r>
      <w:r>
        <w:rPr>
          <w:noProof/>
        </w:rPr>
        <w:t>e under paragraph 6</w:t>
      </w:r>
      <w:bookmarkEnd w:id="32"/>
      <w:r>
        <w:rPr>
          <w:noProof/>
        </w:rPr>
        <w:t>;</w:t>
      </w:r>
    </w:p>
    <w:p w:rsidR="0073489B" w:rsidRDefault="00A46D11">
      <w:pPr>
        <w:spacing w:after="60"/>
        <w:ind w:firstLine="3"/>
        <w:jc w:val="both"/>
        <w:rPr>
          <w:noProof/>
          <w:szCs w:val="24"/>
        </w:rPr>
      </w:pPr>
      <w:r>
        <w:rPr>
          <w:noProof/>
          <w:szCs w:val="24"/>
        </w:rPr>
        <w:t>More than 90% of EUR 19,5 million has been used for the venture capital transactions under the instrument.</w:t>
      </w:r>
    </w:p>
    <w:p w:rsidR="0073489B" w:rsidRDefault="00A46D11">
      <w:pPr>
        <w:pStyle w:val="Heading5"/>
        <w:spacing w:before="120"/>
        <w:ind w:left="284" w:firstLine="0"/>
        <w:rPr>
          <w:noProof/>
        </w:rPr>
      </w:pPr>
      <w:bookmarkStart w:id="33" w:name="_Toc387228729"/>
      <w:r>
        <w:rPr>
          <w:noProof/>
        </w:rPr>
        <w:t>The balance of the fiduciary account</w:t>
      </w:r>
      <w:bookmarkEnd w:id="33"/>
      <w:r>
        <w:rPr>
          <w:noProof/>
        </w:rPr>
        <w:t>;</w:t>
      </w:r>
    </w:p>
    <w:p w:rsidR="0073489B" w:rsidRDefault="00A46D11">
      <w:pPr>
        <w:keepNext/>
        <w:spacing w:after="160"/>
        <w:ind w:left="360" w:right="142"/>
        <w:rPr>
          <w:noProof/>
          <w:color w:val="FF00FF"/>
          <w:highlight w:val="yellow"/>
        </w:rPr>
      </w:pPr>
      <w:r>
        <w:rPr>
          <w:noProof/>
        </w:rPr>
        <w:t>Aggregate balance of the fiduciary account as at 31/12/2016</w:t>
      </w:r>
      <w:r>
        <w:rPr>
          <w:noProof/>
        </w:rPr>
        <w:tab/>
        <w:t xml:space="preserve">          EUR 423 174 130</w:t>
      </w:r>
    </w:p>
    <w:p w:rsidR="0073489B" w:rsidRDefault="0073489B">
      <w:pPr>
        <w:keepNext/>
        <w:spacing w:after="160"/>
        <w:ind w:left="360" w:right="142"/>
        <w:rPr>
          <w:noProof/>
          <w:szCs w:val="24"/>
          <w:highlight w:val="cyan"/>
        </w:rPr>
      </w:pPr>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2976"/>
      </w:tblGrid>
      <w:tr w:rsidR="0073489B">
        <w:trPr>
          <w:jc w:val="center"/>
        </w:trPr>
        <w:tc>
          <w:tcPr>
            <w:tcW w:w="5000" w:type="pct"/>
            <w:gridSpan w:val="2"/>
            <w:shd w:val="clear" w:color="auto" w:fill="DAEEF3"/>
          </w:tcPr>
          <w:p w:rsidR="0073489B" w:rsidRDefault="00A46D11">
            <w:pPr>
              <w:pStyle w:val="ListParagraph"/>
              <w:keepNext/>
              <w:spacing w:before="60" w:after="60"/>
              <w:ind w:left="0" w:right="142"/>
              <w:jc w:val="center"/>
              <w:rPr>
                <w:b/>
                <w:bCs/>
                <w:i/>
                <w:noProof/>
                <w:szCs w:val="24"/>
              </w:rPr>
            </w:pPr>
            <w:r>
              <w:rPr>
                <w:b/>
                <w:bCs/>
                <w:i/>
                <w:noProof/>
                <w:szCs w:val="24"/>
              </w:rPr>
              <w:t xml:space="preserve">                                                                                                      In EUR</w:t>
            </w:r>
          </w:p>
        </w:tc>
      </w:tr>
      <w:tr w:rsidR="0073489B">
        <w:trPr>
          <w:jc w:val="center"/>
        </w:trPr>
        <w:tc>
          <w:tcPr>
            <w:tcW w:w="3328" w:type="pct"/>
            <w:shd w:val="clear" w:color="auto" w:fill="auto"/>
          </w:tcPr>
          <w:p w:rsidR="0073489B" w:rsidRDefault="00A46D11">
            <w:pPr>
              <w:pStyle w:val="ListParagraph"/>
              <w:keepNext/>
              <w:spacing w:before="60" w:after="60"/>
              <w:ind w:left="0" w:right="142"/>
              <w:rPr>
                <w:b/>
                <w:bCs/>
                <w:noProof/>
                <w:szCs w:val="24"/>
                <w:u w:val="single"/>
              </w:rPr>
            </w:pPr>
            <w:r>
              <w:rPr>
                <w:b/>
                <w:bCs/>
                <w:noProof/>
                <w:szCs w:val="24"/>
              </w:rPr>
              <w:t>Balance on the fiduciary account (current account)</w:t>
            </w:r>
          </w:p>
        </w:tc>
        <w:tc>
          <w:tcPr>
            <w:tcW w:w="1672" w:type="pct"/>
            <w:shd w:val="clear" w:color="auto" w:fill="auto"/>
            <w:vAlign w:val="center"/>
          </w:tcPr>
          <w:p w:rsidR="0073489B" w:rsidRDefault="00A46D11">
            <w:pPr>
              <w:keepNext/>
              <w:spacing w:before="60" w:after="60"/>
              <w:ind w:left="360" w:right="142"/>
              <w:jc w:val="center"/>
              <w:rPr>
                <w:b/>
                <w:noProof/>
                <w:highlight w:val="yellow"/>
                <w:u w:val="single"/>
              </w:rPr>
            </w:pPr>
            <w:r>
              <w:rPr>
                <w:noProof/>
              </w:rPr>
              <w:t>2 902 261</w:t>
            </w:r>
          </w:p>
        </w:tc>
      </w:tr>
      <w:tr w:rsidR="0073489B">
        <w:trPr>
          <w:jc w:val="center"/>
        </w:trPr>
        <w:tc>
          <w:tcPr>
            <w:tcW w:w="3328" w:type="pct"/>
            <w:shd w:val="clear" w:color="auto" w:fill="auto"/>
          </w:tcPr>
          <w:p w:rsidR="0073489B" w:rsidRDefault="00A46D11">
            <w:pPr>
              <w:pStyle w:val="ListParagraph"/>
              <w:spacing w:before="60" w:after="60"/>
              <w:ind w:left="0" w:right="141"/>
              <w:rPr>
                <w:b/>
                <w:bCs/>
                <w:noProof/>
                <w:szCs w:val="24"/>
                <w:highlight w:val="cyan"/>
              </w:rPr>
            </w:pPr>
            <w:r>
              <w:rPr>
                <w:b/>
                <w:bCs/>
                <w:noProof/>
                <w:szCs w:val="24"/>
              </w:rPr>
              <w:t>Term deposits/Bonds (if applicable)</w:t>
            </w:r>
          </w:p>
        </w:tc>
        <w:tc>
          <w:tcPr>
            <w:tcW w:w="1672" w:type="pct"/>
            <w:shd w:val="clear" w:color="auto" w:fill="auto"/>
            <w:vAlign w:val="center"/>
          </w:tcPr>
          <w:p w:rsidR="0073489B" w:rsidRDefault="00A46D11">
            <w:pPr>
              <w:spacing w:before="60" w:after="60"/>
              <w:ind w:left="360" w:right="141"/>
              <w:jc w:val="center"/>
              <w:rPr>
                <w:b/>
                <w:noProof/>
                <w:highlight w:val="yellow"/>
                <w:u w:val="single"/>
              </w:rPr>
            </w:pPr>
            <w:r>
              <w:rPr>
                <w:noProof/>
              </w:rPr>
              <w:t>86 814 264</w:t>
            </w:r>
          </w:p>
        </w:tc>
      </w:tr>
      <w:tr w:rsidR="0073489B">
        <w:trPr>
          <w:jc w:val="center"/>
        </w:trPr>
        <w:tc>
          <w:tcPr>
            <w:tcW w:w="3328" w:type="pct"/>
            <w:shd w:val="clear" w:color="auto" w:fill="auto"/>
          </w:tcPr>
          <w:p w:rsidR="0073489B" w:rsidRDefault="00A46D11">
            <w:pPr>
              <w:pStyle w:val="ListParagraph"/>
              <w:spacing w:before="60" w:after="60"/>
              <w:ind w:left="426" w:right="141"/>
              <w:rPr>
                <w:bCs/>
                <w:noProof/>
                <w:szCs w:val="24"/>
              </w:rPr>
            </w:pPr>
            <w:r>
              <w:rPr>
                <w:bCs/>
                <w:noProof/>
                <w:szCs w:val="24"/>
              </w:rPr>
              <w:t>Term deposits &lt; 3 months</w:t>
            </w:r>
          </w:p>
        </w:tc>
        <w:tc>
          <w:tcPr>
            <w:tcW w:w="1672" w:type="pct"/>
            <w:shd w:val="clear" w:color="auto" w:fill="auto"/>
            <w:vAlign w:val="center"/>
          </w:tcPr>
          <w:p w:rsidR="0073489B" w:rsidRDefault="00A46D11">
            <w:pPr>
              <w:spacing w:before="60" w:after="60"/>
              <w:ind w:left="360" w:right="141"/>
              <w:jc w:val="center"/>
              <w:rPr>
                <w:b/>
                <w:i/>
                <w:noProof/>
                <w:u w:val="single"/>
              </w:rPr>
            </w:pPr>
            <w:r>
              <w:rPr>
                <w:i/>
                <w:noProof/>
              </w:rPr>
              <w:t>86 814 264</w:t>
            </w:r>
          </w:p>
        </w:tc>
      </w:tr>
      <w:tr w:rsidR="0073489B">
        <w:trPr>
          <w:jc w:val="center"/>
        </w:trPr>
        <w:tc>
          <w:tcPr>
            <w:tcW w:w="3328" w:type="pct"/>
            <w:shd w:val="clear" w:color="auto" w:fill="auto"/>
          </w:tcPr>
          <w:p w:rsidR="0073489B" w:rsidRDefault="00A46D11">
            <w:pPr>
              <w:pStyle w:val="ListParagraph"/>
              <w:spacing w:before="60" w:after="60"/>
              <w:ind w:left="426" w:right="141"/>
              <w:rPr>
                <w:bCs/>
                <w:noProof/>
                <w:szCs w:val="24"/>
              </w:rPr>
            </w:pPr>
            <w:r>
              <w:rPr>
                <w:bCs/>
                <w:noProof/>
                <w:szCs w:val="24"/>
              </w:rPr>
              <w:t>Term deposits &gt; 3 months &lt; 1 year</w:t>
            </w:r>
          </w:p>
        </w:tc>
        <w:tc>
          <w:tcPr>
            <w:tcW w:w="1672" w:type="pct"/>
            <w:shd w:val="clear" w:color="auto" w:fill="auto"/>
            <w:vAlign w:val="center"/>
          </w:tcPr>
          <w:p w:rsidR="0073489B" w:rsidRDefault="00A46D11">
            <w:pPr>
              <w:pStyle w:val="ListParagraph"/>
              <w:spacing w:before="60" w:after="60"/>
              <w:ind w:left="1077" w:right="141"/>
              <w:rPr>
                <w:i/>
                <w:noProof/>
              </w:rPr>
            </w:pPr>
            <w:r>
              <w:rPr>
                <w:i/>
                <w:noProof/>
              </w:rPr>
              <w:t xml:space="preserve">      N/A</w:t>
            </w:r>
          </w:p>
        </w:tc>
      </w:tr>
      <w:tr w:rsidR="0073489B">
        <w:trPr>
          <w:jc w:val="center"/>
        </w:trPr>
        <w:tc>
          <w:tcPr>
            <w:tcW w:w="3328" w:type="pct"/>
            <w:shd w:val="clear" w:color="auto" w:fill="auto"/>
          </w:tcPr>
          <w:p w:rsidR="0073489B" w:rsidRDefault="00A46D11">
            <w:pPr>
              <w:pStyle w:val="ListParagraph"/>
              <w:spacing w:before="60" w:after="60"/>
              <w:ind w:left="426" w:right="141"/>
              <w:rPr>
                <w:bCs/>
                <w:noProof/>
                <w:szCs w:val="24"/>
              </w:rPr>
            </w:pPr>
            <w:r>
              <w:rPr>
                <w:bCs/>
                <w:noProof/>
                <w:szCs w:val="24"/>
              </w:rPr>
              <w:t>Term deposits &gt; 1 year</w:t>
            </w:r>
          </w:p>
        </w:tc>
        <w:tc>
          <w:tcPr>
            <w:tcW w:w="1672" w:type="pct"/>
            <w:shd w:val="clear" w:color="auto" w:fill="auto"/>
            <w:vAlign w:val="center"/>
          </w:tcPr>
          <w:p w:rsidR="0073489B" w:rsidRDefault="00A46D11">
            <w:pPr>
              <w:pStyle w:val="ListParagraph"/>
              <w:spacing w:before="60" w:after="60"/>
              <w:ind w:left="1077" w:right="141"/>
              <w:rPr>
                <w:i/>
                <w:noProof/>
              </w:rPr>
            </w:pPr>
            <w:r>
              <w:rPr>
                <w:i/>
                <w:noProof/>
              </w:rPr>
              <w:t xml:space="preserve">      N/A</w:t>
            </w:r>
          </w:p>
        </w:tc>
      </w:tr>
      <w:tr w:rsidR="0073489B">
        <w:trPr>
          <w:jc w:val="center"/>
        </w:trPr>
        <w:tc>
          <w:tcPr>
            <w:tcW w:w="3328" w:type="pct"/>
            <w:shd w:val="clear" w:color="auto" w:fill="auto"/>
          </w:tcPr>
          <w:p w:rsidR="0073489B" w:rsidRDefault="00A46D11">
            <w:pPr>
              <w:pStyle w:val="ListParagraph"/>
              <w:spacing w:before="60" w:after="60"/>
              <w:ind w:left="851" w:right="141"/>
              <w:rPr>
                <w:bCs/>
                <w:noProof/>
                <w:szCs w:val="24"/>
              </w:rPr>
            </w:pPr>
            <w:r>
              <w:rPr>
                <w:bCs/>
                <w:noProof/>
                <w:szCs w:val="24"/>
              </w:rPr>
              <w:t>Bonds current</w:t>
            </w:r>
          </w:p>
        </w:tc>
        <w:tc>
          <w:tcPr>
            <w:tcW w:w="1672" w:type="pct"/>
            <w:shd w:val="clear" w:color="auto" w:fill="auto"/>
            <w:vAlign w:val="center"/>
          </w:tcPr>
          <w:p w:rsidR="0073489B" w:rsidRDefault="00A46D11">
            <w:pPr>
              <w:pStyle w:val="ListParagraph"/>
              <w:spacing w:before="60" w:after="60"/>
              <w:ind w:left="1077" w:right="141"/>
              <w:rPr>
                <w:i/>
                <w:noProof/>
              </w:rPr>
            </w:pPr>
            <w:r>
              <w:rPr>
                <w:i/>
                <w:noProof/>
              </w:rPr>
              <w:t xml:space="preserve">      N/A</w:t>
            </w:r>
          </w:p>
        </w:tc>
      </w:tr>
      <w:tr w:rsidR="0073489B">
        <w:trPr>
          <w:jc w:val="center"/>
        </w:trPr>
        <w:tc>
          <w:tcPr>
            <w:tcW w:w="3328" w:type="pct"/>
            <w:shd w:val="clear" w:color="auto" w:fill="auto"/>
          </w:tcPr>
          <w:p w:rsidR="0073489B" w:rsidRDefault="00A46D11">
            <w:pPr>
              <w:pStyle w:val="ListParagraph"/>
              <w:spacing w:before="60" w:after="60"/>
              <w:ind w:left="851" w:right="141"/>
              <w:rPr>
                <w:bCs/>
                <w:noProof/>
                <w:szCs w:val="24"/>
              </w:rPr>
            </w:pPr>
            <w:r>
              <w:rPr>
                <w:bCs/>
                <w:noProof/>
                <w:szCs w:val="24"/>
              </w:rPr>
              <w:t>Bonds non-current</w:t>
            </w:r>
          </w:p>
        </w:tc>
        <w:tc>
          <w:tcPr>
            <w:tcW w:w="1672" w:type="pct"/>
            <w:shd w:val="clear" w:color="auto" w:fill="auto"/>
            <w:vAlign w:val="center"/>
          </w:tcPr>
          <w:p w:rsidR="0073489B" w:rsidRDefault="00A46D11">
            <w:pPr>
              <w:pStyle w:val="ListParagraph"/>
              <w:spacing w:before="60" w:after="60"/>
              <w:ind w:left="1077" w:right="141"/>
              <w:rPr>
                <w:i/>
                <w:noProof/>
              </w:rPr>
            </w:pPr>
            <w:r>
              <w:rPr>
                <w:i/>
                <w:noProof/>
              </w:rPr>
              <w:t xml:space="preserve">      N/A</w:t>
            </w:r>
          </w:p>
        </w:tc>
      </w:tr>
      <w:tr w:rsidR="0073489B">
        <w:trPr>
          <w:jc w:val="center"/>
        </w:trPr>
        <w:tc>
          <w:tcPr>
            <w:tcW w:w="3328" w:type="pct"/>
            <w:shd w:val="clear" w:color="auto" w:fill="auto"/>
          </w:tcPr>
          <w:p w:rsidR="0073489B" w:rsidRDefault="00A46D11">
            <w:pPr>
              <w:pStyle w:val="ListParagraph"/>
              <w:spacing w:before="60" w:after="60"/>
              <w:ind w:left="0" w:right="141"/>
              <w:rPr>
                <w:b/>
                <w:bCs/>
                <w:noProof/>
                <w:szCs w:val="24"/>
              </w:rPr>
            </w:pPr>
            <w:r>
              <w:rPr>
                <w:b/>
                <w:bCs/>
                <w:noProof/>
                <w:szCs w:val="24"/>
              </w:rPr>
              <w:t>Equity investment (see also point i)</w:t>
            </w:r>
            <w:r>
              <w:rPr>
                <w:rStyle w:val="FootnoteReference"/>
                <w:b/>
                <w:bCs/>
                <w:noProof/>
                <w:szCs w:val="24"/>
              </w:rPr>
              <w:footnoteReference w:id="51"/>
            </w:r>
          </w:p>
        </w:tc>
        <w:tc>
          <w:tcPr>
            <w:tcW w:w="1672" w:type="pct"/>
            <w:shd w:val="clear" w:color="auto" w:fill="auto"/>
            <w:vAlign w:val="center"/>
          </w:tcPr>
          <w:p w:rsidR="0073489B" w:rsidRDefault="00A46D11">
            <w:pPr>
              <w:spacing w:before="60" w:after="60"/>
              <w:ind w:left="360" w:right="141"/>
              <w:jc w:val="center"/>
              <w:rPr>
                <w:b/>
                <w:noProof/>
                <w:highlight w:val="yellow"/>
                <w:u w:val="single"/>
              </w:rPr>
            </w:pPr>
            <w:r>
              <w:rPr>
                <w:noProof/>
              </w:rPr>
              <w:t>333 457 605</w:t>
            </w:r>
          </w:p>
        </w:tc>
      </w:tr>
      <w:tr w:rsidR="0073489B">
        <w:trPr>
          <w:jc w:val="center"/>
        </w:trPr>
        <w:tc>
          <w:tcPr>
            <w:tcW w:w="3328" w:type="pct"/>
            <w:tcBorders>
              <w:bottom w:val="single" w:sz="4" w:space="0" w:color="auto"/>
            </w:tcBorders>
            <w:shd w:val="clear" w:color="auto" w:fill="auto"/>
          </w:tcPr>
          <w:p w:rsidR="0073489B" w:rsidRDefault="00A46D11">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1672" w:type="pct"/>
            <w:tcBorders>
              <w:bottom w:val="single" w:sz="4" w:space="0" w:color="auto"/>
            </w:tcBorders>
            <w:shd w:val="clear" w:color="auto" w:fill="auto"/>
            <w:vAlign w:val="center"/>
          </w:tcPr>
          <w:p w:rsidR="0073489B" w:rsidRDefault="00A46D11">
            <w:pPr>
              <w:spacing w:before="60" w:after="60"/>
              <w:ind w:left="360" w:right="141"/>
              <w:jc w:val="center"/>
              <w:rPr>
                <w:b/>
                <w:noProof/>
                <w:highlight w:val="yellow"/>
                <w:u w:val="single"/>
              </w:rPr>
            </w:pPr>
            <w:r>
              <w:rPr>
                <w:i/>
                <w:noProof/>
              </w:rPr>
              <w:t xml:space="preserve">      N/A</w:t>
            </w:r>
          </w:p>
        </w:tc>
      </w:tr>
      <w:tr w:rsidR="0073489B">
        <w:trPr>
          <w:jc w:val="center"/>
        </w:trPr>
        <w:tc>
          <w:tcPr>
            <w:tcW w:w="3328" w:type="pct"/>
            <w:tcBorders>
              <w:bottom w:val="single" w:sz="4" w:space="0" w:color="auto"/>
            </w:tcBorders>
            <w:shd w:val="clear" w:color="auto" w:fill="auto"/>
          </w:tcPr>
          <w:p w:rsidR="0073489B" w:rsidRDefault="00A46D11">
            <w:pPr>
              <w:spacing w:before="60" w:after="60"/>
              <w:ind w:right="141"/>
              <w:rPr>
                <w:b/>
                <w:bCs/>
                <w:noProof/>
                <w:szCs w:val="24"/>
              </w:rPr>
            </w:pPr>
            <w:r>
              <w:rPr>
                <w:b/>
                <w:bCs/>
                <w:i/>
                <w:iCs/>
                <w:noProof/>
                <w:szCs w:val="24"/>
              </w:rPr>
              <w:t>= Total assets</w:t>
            </w:r>
          </w:p>
        </w:tc>
        <w:tc>
          <w:tcPr>
            <w:tcW w:w="1672" w:type="pct"/>
            <w:tcBorders>
              <w:bottom w:val="single" w:sz="4" w:space="0" w:color="auto"/>
            </w:tcBorders>
            <w:shd w:val="clear" w:color="auto" w:fill="auto"/>
            <w:vAlign w:val="center"/>
          </w:tcPr>
          <w:p w:rsidR="0073489B" w:rsidRDefault="00A46D11">
            <w:pPr>
              <w:spacing w:before="60" w:after="60"/>
              <w:ind w:left="360" w:right="141"/>
              <w:jc w:val="center"/>
              <w:rPr>
                <w:b/>
                <w:noProof/>
                <w:highlight w:val="yellow"/>
                <w:u w:val="single"/>
              </w:rPr>
            </w:pPr>
            <w:r>
              <w:rPr>
                <w:noProof/>
              </w:rPr>
              <w:t>423 174 130</w:t>
            </w:r>
          </w:p>
        </w:tc>
      </w:tr>
      <w:tr w:rsidR="0073489B">
        <w:trPr>
          <w:jc w:val="center"/>
        </w:trPr>
        <w:tc>
          <w:tcPr>
            <w:tcW w:w="5000" w:type="pct"/>
            <w:gridSpan w:val="2"/>
            <w:tcBorders>
              <w:top w:val="single" w:sz="4" w:space="0" w:color="auto"/>
              <w:left w:val="nil"/>
              <w:bottom w:val="nil"/>
              <w:right w:val="nil"/>
            </w:tcBorders>
            <w:shd w:val="clear" w:color="auto" w:fill="auto"/>
          </w:tcPr>
          <w:p w:rsidR="0073489B" w:rsidRDefault="00A46D11">
            <w:pPr>
              <w:spacing w:before="60" w:after="60"/>
              <w:ind w:right="141"/>
              <w:rPr>
                <w:i/>
                <w:noProof/>
              </w:rPr>
            </w:pPr>
            <w:r>
              <w:rPr>
                <w:i/>
                <w:noProof/>
              </w:rPr>
              <w:t>Impact of negative interest rates on GIF:</w:t>
            </w:r>
          </w:p>
          <w:p w:rsidR="0073489B" w:rsidRDefault="00A46D11">
            <w:pPr>
              <w:spacing w:before="60" w:after="60"/>
              <w:ind w:right="141"/>
              <w:rPr>
                <w:noProof/>
                <w:szCs w:val="24"/>
              </w:rPr>
            </w:pPr>
            <w:r>
              <w:rPr>
                <w:i/>
                <w:noProof/>
              </w:rPr>
              <w:t xml:space="preserve">The instrument generated an Interest Income of EUR 117 894 and Interest Charges of EUR 205 974 in 2016. These therefore resulted in a negative interest of EUR 88 080. A net negative interest was generated for cash </w:t>
            </w:r>
            <w:r>
              <w:rPr>
                <w:i/>
                <w:noProof/>
              </w:rPr>
              <w:t>and equivalents held in EUR, SEK and DKK, while GBP and NOK generated net positive interests.</w:t>
            </w:r>
            <w:r>
              <w:rPr>
                <w:rStyle w:val="FootnoteReference"/>
                <w:i/>
                <w:noProof/>
                <w:highlight w:val="yellow"/>
              </w:rPr>
              <w:t xml:space="preserve"> </w:t>
            </w:r>
          </w:p>
        </w:tc>
      </w:tr>
    </w:tbl>
    <w:p w:rsidR="0073489B" w:rsidRDefault="00A46D11">
      <w:pPr>
        <w:pStyle w:val="Heading5"/>
        <w:spacing w:before="180"/>
        <w:ind w:left="284" w:firstLine="0"/>
        <w:rPr>
          <w:noProof/>
        </w:rPr>
      </w:pPr>
      <w:bookmarkStart w:id="34" w:name="_Toc387228730"/>
      <w:r>
        <w:rPr>
          <w:noProof/>
        </w:rPr>
        <w:lastRenderedPageBreak/>
        <w:t>Revenues and repayments</w:t>
      </w:r>
      <w:bookmarkEnd w:id="34"/>
      <w:r>
        <w:rPr>
          <w:noProof/>
        </w:rPr>
        <w:t>;</w:t>
      </w:r>
    </w:p>
    <w:p w:rsidR="0073489B" w:rsidRDefault="00A46D11">
      <w:pPr>
        <w:spacing w:after="60"/>
        <w:ind w:right="141"/>
        <w:contextualSpacing/>
        <w:rPr>
          <w:noProof/>
        </w:rPr>
      </w:pPr>
      <w:r>
        <w:rPr>
          <w:noProof/>
        </w:rPr>
        <w:t>Revenues of the year 2016</w:t>
      </w:r>
      <w:r>
        <w:rPr>
          <w:noProof/>
        </w:rPr>
        <w:tab/>
      </w:r>
      <w:r>
        <w:rPr>
          <w:noProof/>
        </w:rPr>
        <w:tab/>
      </w:r>
      <w:r>
        <w:rPr>
          <w:noProof/>
        </w:rPr>
        <w:tab/>
      </w:r>
      <w:r>
        <w:rPr>
          <w:noProof/>
        </w:rPr>
        <w:tab/>
      </w:r>
      <w:r>
        <w:rPr>
          <w:noProof/>
        </w:rPr>
        <w:tab/>
        <w:t xml:space="preserve">                      EUR      887 265</w:t>
      </w:r>
    </w:p>
    <w:p w:rsidR="0073489B" w:rsidRDefault="0073489B">
      <w:pPr>
        <w:spacing w:after="60"/>
        <w:ind w:right="141"/>
        <w:contextualSpacing/>
        <w:rPr>
          <w:noProof/>
        </w:rPr>
      </w:pPr>
    </w:p>
    <w:p w:rsidR="0073489B" w:rsidRDefault="00A46D11">
      <w:pPr>
        <w:spacing w:after="60"/>
        <w:ind w:right="141"/>
        <w:contextualSpacing/>
        <w:rPr>
          <w:noProof/>
        </w:rPr>
      </w:pPr>
      <w:r>
        <w:rPr>
          <w:noProof/>
        </w:rPr>
        <w:t>Repayments of the year 2016</w:t>
      </w:r>
      <w:r>
        <w:rPr>
          <w:noProof/>
        </w:rPr>
        <w:tab/>
      </w:r>
      <w:r>
        <w:rPr>
          <w:noProof/>
        </w:rPr>
        <w:tab/>
      </w:r>
      <w:r>
        <w:rPr>
          <w:noProof/>
        </w:rPr>
        <w:tab/>
      </w:r>
      <w:r>
        <w:rPr>
          <w:noProof/>
        </w:rPr>
        <w:tab/>
      </w:r>
      <w:r>
        <w:rPr>
          <w:noProof/>
        </w:rPr>
        <w:tab/>
      </w:r>
      <w:r>
        <w:rPr>
          <w:noProof/>
        </w:rPr>
        <w:t xml:space="preserve">                      EUR 31 410 180</w:t>
      </w:r>
    </w:p>
    <w:p w:rsidR="0073489B" w:rsidRDefault="0073489B">
      <w:pPr>
        <w:spacing w:after="60"/>
        <w:ind w:right="141"/>
        <w:contextualSpacing/>
        <w:rPr>
          <w:noProof/>
        </w:rPr>
      </w:pPr>
    </w:p>
    <w:p w:rsidR="0073489B" w:rsidRDefault="00A46D11">
      <w:pPr>
        <w:spacing w:after="60"/>
        <w:ind w:right="141"/>
        <w:contextualSpacing/>
        <w:rPr>
          <w:noProof/>
        </w:rPr>
      </w:pPr>
      <w:r>
        <w:rPr>
          <w:noProof/>
        </w:rPr>
        <w:t>Aggregate additional resources regularised for the instrument as at 31/12/2016</w:t>
      </w:r>
    </w:p>
    <w:p w:rsidR="0073489B" w:rsidRDefault="00A46D11">
      <w:pPr>
        <w:spacing w:after="60"/>
        <w:ind w:right="141"/>
        <w:contextualSpacing/>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EUR 53 223 444</w:t>
      </w:r>
      <w:r>
        <w:rPr>
          <w:rStyle w:val="FootnoteReference"/>
          <w:noProof/>
        </w:rPr>
        <w:footnoteReference w:id="52"/>
      </w:r>
    </w:p>
    <w:p w:rsidR="0073489B" w:rsidRDefault="0073489B">
      <w:pPr>
        <w:spacing w:after="60"/>
        <w:ind w:right="141"/>
        <w:contextualSpacing/>
        <w:rPr>
          <w:noProof/>
        </w:rPr>
      </w:pPr>
    </w:p>
    <w:p w:rsidR="0073489B" w:rsidRDefault="00A46D11">
      <w:pPr>
        <w:pStyle w:val="Heading5"/>
        <w:spacing w:before="120"/>
        <w:ind w:left="284" w:firstLine="0"/>
        <w:rPr>
          <w:noProof/>
        </w:rPr>
      </w:pPr>
      <w:bookmarkStart w:id="35" w:name="_Toc387228731"/>
      <w:r>
        <w:rPr>
          <w:noProof/>
        </w:rPr>
        <w:t>The value of equity investments, with respect to previous years</w:t>
      </w:r>
      <w:bookmarkEnd w:id="35"/>
      <w:r>
        <w:rPr>
          <w:noProof/>
        </w:rPr>
        <w:t>;</w:t>
      </w:r>
    </w:p>
    <w:p w:rsidR="0073489B" w:rsidRDefault="00A46D11">
      <w:pPr>
        <w:spacing w:after="60"/>
        <w:ind w:right="141"/>
        <w:jc w:val="both"/>
        <w:rPr>
          <w:noProof/>
          <w:szCs w:val="24"/>
        </w:rPr>
      </w:pPr>
      <w:r>
        <w:rPr>
          <w:noProof/>
        </w:rPr>
        <w:t>As at 31 December 2016 a total of EUR 3</w:t>
      </w:r>
      <w:r>
        <w:rPr>
          <w:noProof/>
        </w:rPr>
        <w:t>07,8 million</w:t>
      </w:r>
      <w:r>
        <w:rPr>
          <w:noProof/>
          <w:vertAlign w:val="superscript"/>
        </w:rPr>
        <w:footnoteReference w:id="53"/>
      </w:r>
      <w:r>
        <w:rPr>
          <w:noProof/>
        </w:rPr>
        <w:t xml:space="preserve"> of the GIF had been invested in final recipients, and that investment has a valuation of EUR 333,5 million.</w:t>
      </w:r>
      <w:r>
        <w:rPr>
          <w:noProof/>
        </w:rPr>
        <w:br/>
        <w:t>The difference between the two figures reflects Realized Investment Gains/Losses on Exits, Realized Investment Losses through Write-Of</w:t>
      </w:r>
      <w:r>
        <w:rPr>
          <w:noProof/>
        </w:rPr>
        <w:t>fs, and Unrealized Investment Gains/Losses.</w:t>
      </w:r>
    </w:p>
    <w:p w:rsidR="0073489B" w:rsidRDefault="00A46D11">
      <w:pPr>
        <w:pStyle w:val="Heading5"/>
        <w:spacing w:before="120"/>
        <w:ind w:left="284" w:firstLine="0"/>
        <w:rPr>
          <w:noProof/>
        </w:rPr>
      </w:pPr>
      <w:bookmarkStart w:id="36" w:name="_Toc387228732"/>
      <w:r>
        <w:rPr>
          <w:noProof/>
        </w:rPr>
        <w:t>The accumulated figures on impairments of assets of equity</w:t>
      </w:r>
      <w:bookmarkEnd w:id="36"/>
      <w:r>
        <w:rPr>
          <w:noProof/>
        </w:rPr>
        <w:t>;</w:t>
      </w:r>
    </w:p>
    <w:tbl>
      <w:tblPr>
        <w:tblW w:w="21916" w:type="dxa"/>
        <w:shd w:val="clear" w:color="auto" w:fill="FFFFFF"/>
        <w:tblLayout w:type="fixed"/>
        <w:tblLook w:val="04A0" w:firstRow="1" w:lastRow="0" w:firstColumn="1" w:lastColumn="0" w:noHBand="0" w:noVBand="1"/>
      </w:tblPr>
      <w:tblGrid>
        <w:gridCol w:w="6441"/>
        <w:gridCol w:w="6441"/>
        <w:gridCol w:w="6441"/>
        <w:gridCol w:w="2593"/>
      </w:tblGrid>
      <w:tr w:rsidR="0073489B">
        <w:trPr>
          <w:trHeight w:val="765"/>
        </w:trPr>
        <w:tc>
          <w:tcPr>
            <w:tcW w:w="6441" w:type="dxa"/>
            <w:shd w:val="clear" w:color="auto" w:fill="FFFFFF"/>
            <w:vAlign w:val="center"/>
          </w:tcPr>
          <w:p w:rsidR="0073489B" w:rsidRDefault="00A46D11">
            <w:pPr>
              <w:keepNext/>
              <w:keepLines/>
              <w:spacing w:after="60"/>
              <w:ind w:right="1161"/>
              <w:contextualSpacing/>
              <w:rPr>
                <w:noProof/>
                <w:szCs w:val="24"/>
              </w:rPr>
            </w:pPr>
            <w:r>
              <w:rPr>
                <w:noProof/>
                <w:szCs w:val="24"/>
              </w:rPr>
              <w:t>Impairment losses on shares and other variable-income securities as at 31/12/2016</w:t>
            </w:r>
          </w:p>
        </w:tc>
        <w:tc>
          <w:tcPr>
            <w:tcW w:w="6441" w:type="dxa"/>
            <w:shd w:val="clear" w:color="auto" w:fill="FFFFFF"/>
            <w:vAlign w:val="center"/>
          </w:tcPr>
          <w:p w:rsidR="0073489B" w:rsidRDefault="00A46D11">
            <w:pPr>
              <w:keepNext/>
              <w:keepLines/>
              <w:spacing w:after="60"/>
              <w:rPr>
                <w:noProof/>
                <w:szCs w:val="24"/>
              </w:rPr>
            </w:pPr>
            <w:r>
              <w:rPr>
                <w:noProof/>
                <w:szCs w:val="24"/>
              </w:rPr>
              <w:t xml:space="preserve">           EUR </w:t>
            </w:r>
            <w:r>
              <w:rPr>
                <w:noProof/>
              </w:rPr>
              <w:t>19 928 747</w:t>
            </w:r>
          </w:p>
        </w:tc>
        <w:tc>
          <w:tcPr>
            <w:tcW w:w="6441" w:type="dxa"/>
            <w:shd w:val="clear" w:color="auto" w:fill="FFFFFF"/>
            <w:vAlign w:val="center"/>
          </w:tcPr>
          <w:p w:rsidR="0073489B" w:rsidRDefault="0073489B">
            <w:pPr>
              <w:keepNext/>
              <w:keepLines/>
              <w:ind w:left="284" w:right="1161"/>
              <w:contextualSpacing/>
              <w:rPr>
                <w:noProof/>
                <w:szCs w:val="24"/>
              </w:rPr>
            </w:pPr>
          </w:p>
        </w:tc>
        <w:tc>
          <w:tcPr>
            <w:tcW w:w="2593" w:type="dxa"/>
            <w:shd w:val="clear" w:color="auto" w:fill="FFFFFF"/>
            <w:vAlign w:val="center"/>
          </w:tcPr>
          <w:p w:rsidR="0073489B" w:rsidRDefault="0073489B">
            <w:pPr>
              <w:keepNext/>
              <w:keepLines/>
              <w:rPr>
                <w:noProof/>
                <w:szCs w:val="24"/>
              </w:rPr>
            </w:pPr>
          </w:p>
        </w:tc>
      </w:tr>
    </w:tbl>
    <w:p w:rsidR="0073489B" w:rsidRDefault="00A46D11">
      <w:pPr>
        <w:pStyle w:val="Heading5"/>
        <w:spacing w:before="120"/>
        <w:ind w:left="284" w:firstLine="0"/>
        <w:rPr>
          <w:noProof/>
        </w:rPr>
      </w:pPr>
      <w:bookmarkStart w:id="37" w:name="_Toc387228733"/>
      <w:r>
        <w:rPr>
          <w:noProof/>
        </w:rPr>
        <w:t>The target leverage</w:t>
      </w:r>
      <w:r>
        <w:rPr>
          <w:rStyle w:val="FootnoteReference"/>
          <w:noProof/>
        </w:rPr>
        <w:footnoteReference w:id="54"/>
      </w:r>
      <w:r>
        <w:rPr>
          <w:noProof/>
        </w:rPr>
        <w:t xml:space="preserve"> effect, and the achieved leverage</w:t>
      </w:r>
      <w:r>
        <w:rPr>
          <w:rStyle w:val="FootnoteReference"/>
          <w:noProof/>
        </w:rPr>
        <w:footnoteReference w:id="55"/>
      </w:r>
      <w:r>
        <w:rPr>
          <w:noProof/>
        </w:rPr>
        <w:t xml:space="preserve"> effect</w:t>
      </w:r>
      <w:bookmarkEnd w:id="37"/>
      <w:r>
        <w:rPr>
          <w:noProof/>
        </w:rPr>
        <w:t>;</w:t>
      </w:r>
    </w:p>
    <w:p w:rsidR="0073489B" w:rsidRDefault="00A46D11">
      <w:pPr>
        <w:spacing w:after="60"/>
        <w:ind w:firstLine="3"/>
        <w:jc w:val="both"/>
        <w:rPr>
          <w:noProof/>
        </w:rPr>
      </w:pPr>
      <w:r>
        <w:rPr>
          <w:noProof/>
        </w:rPr>
        <w:t>The aggregate budgetary commitments for 2007-2013 amounted to EUR 600,2 million. The expected leverage</w:t>
      </w:r>
      <w:r>
        <w:rPr>
          <w:rStyle w:val="FootnoteReference"/>
          <w:noProof/>
          <w:szCs w:val="24"/>
        </w:rPr>
        <w:footnoteReference w:id="56"/>
      </w:r>
      <w:r>
        <w:rPr>
          <w:noProof/>
        </w:rPr>
        <w:t xml:space="preserve"> effect on GIF is around 5 which means that the impact of the aggregate budgetary commitments on the overall </w:t>
      </w:r>
      <w:r>
        <w:rPr>
          <w:noProof/>
        </w:rPr>
        <w:t>economy is expected to reach EUR 3 billion of funding to recipient SMEs.</w:t>
      </w:r>
    </w:p>
    <w:p w:rsidR="0073489B" w:rsidRDefault="00A46D11">
      <w:pPr>
        <w:spacing w:after="60"/>
        <w:ind w:firstLine="3"/>
        <w:jc w:val="both"/>
        <w:rPr>
          <w:noProof/>
          <w:szCs w:val="24"/>
        </w:rPr>
      </w:pPr>
      <w:r>
        <w:rPr>
          <w:noProof/>
        </w:rPr>
        <w:t>The achieved leverage effect for CIP GIF is around 5,7.</w:t>
      </w:r>
      <w:r>
        <w:rPr>
          <w:rStyle w:val="FootnoteReference"/>
          <w:noProof/>
          <w:szCs w:val="24"/>
        </w:rPr>
        <w:footnoteReference w:id="57"/>
      </w:r>
      <w:r>
        <w:rPr>
          <w:noProof/>
          <w:szCs w:val="24"/>
        </w:rPr>
        <w:t xml:space="preserve"> </w:t>
      </w:r>
    </w:p>
    <w:p w:rsidR="0073489B" w:rsidRDefault="0073489B">
      <w:pPr>
        <w:spacing w:after="60"/>
        <w:ind w:firstLine="3"/>
        <w:rPr>
          <w:noProof/>
        </w:rPr>
      </w:pPr>
    </w:p>
    <w:p w:rsidR="0073489B" w:rsidRDefault="00A46D11">
      <w:pPr>
        <w:pStyle w:val="Heading4"/>
        <w:numPr>
          <w:ilvl w:val="0"/>
          <w:numId w:val="0"/>
        </w:numPr>
        <w:ind w:left="426" w:hanging="426"/>
        <w:rPr>
          <w:noProof/>
        </w:rPr>
      </w:pPr>
      <w:bookmarkStart w:id="38" w:name="_Toc387228734"/>
      <w:bookmarkStart w:id="39" w:name="_Toc388541857"/>
      <w:r>
        <w:rPr>
          <w:noProof/>
        </w:rPr>
        <w:t>D -Strategic relevance</w:t>
      </w:r>
      <w:bookmarkEnd w:id="38"/>
      <w:bookmarkEnd w:id="39"/>
    </w:p>
    <w:p w:rsidR="0073489B" w:rsidRDefault="00A46D11">
      <w:pPr>
        <w:pStyle w:val="Heading5"/>
        <w:spacing w:before="120"/>
        <w:ind w:left="284" w:firstLine="0"/>
        <w:jc w:val="both"/>
        <w:rPr>
          <w:i/>
          <w:noProof/>
        </w:rPr>
      </w:pPr>
      <w:bookmarkStart w:id="40" w:name="_Toc387228735"/>
      <w:r>
        <w:rPr>
          <w:noProof/>
        </w:rPr>
        <w:t xml:space="preserve">The contribution of the financial instrument to the achievement of the objectives of the programme </w:t>
      </w:r>
      <w:r>
        <w:rPr>
          <w:noProof/>
        </w:rPr>
        <w:t>concerned as measured by the established indicators, including, where applicable, the geographical diversification</w:t>
      </w:r>
      <w:r>
        <w:rPr>
          <w:noProof/>
          <w:vertAlign w:val="superscript"/>
        </w:rPr>
        <w:footnoteReference w:id="58"/>
      </w:r>
      <w:bookmarkEnd w:id="40"/>
      <w:r>
        <w:rPr>
          <w:noProof/>
        </w:rPr>
        <w:t>;</w:t>
      </w:r>
    </w:p>
    <w:p w:rsidR="0073489B" w:rsidRDefault="00A46D11">
      <w:pPr>
        <w:pStyle w:val="ListParagraph"/>
        <w:spacing w:after="60"/>
        <w:ind w:left="0"/>
        <w:jc w:val="both"/>
        <w:rPr>
          <w:noProof/>
        </w:rPr>
      </w:pPr>
      <w:r>
        <w:rPr>
          <w:noProof/>
          <w:szCs w:val="24"/>
        </w:rPr>
        <w:t>As at 30/09/2016, the GIF already contributed to provide more than 1,</w:t>
      </w:r>
      <w:r>
        <w:rPr>
          <w:noProof/>
        </w:rPr>
        <w:t>4 billion EUR of financing to 484 eligible Final Recipients (SMEs) and</w:t>
      </w:r>
      <w:r>
        <w:rPr>
          <w:noProof/>
        </w:rPr>
        <w:t xml:space="preserve"> had thus an important impact on the real economy of the EU as described below.</w:t>
      </w:r>
    </w:p>
    <w:p w:rsidR="0073489B" w:rsidRDefault="00A46D11">
      <w:pPr>
        <w:spacing w:before="160"/>
        <w:jc w:val="both"/>
        <w:rPr>
          <w:i/>
          <w:noProof/>
        </w:rPr>
      </w:pPr>
      <w:r>
        <w:rPr>
          <w:i/>
          <w:noProof/>
        </w:rPr>
        <w:t>The impact of the EU's Financial Instruments for SMEs</w:t>
      </w:r>
    </w:p>
    <w:p w:rsidR="0073489B" w:rsidRDefault="00A46D11">
      <w:pPr>
        <w:tabs>
          <w:tab w:val="num" w:pos="1080"/>
        </w:tabs>
        <w:spacing w:after="60"/>
        <w:jc w:val="both"/>
        <w:rPr>
          <w:noProof/>
          <w:szCs w:val="24"/>
        </w:rPr>
      </w:pPr>
      <w:r>
        <w:rPr>
          <w:noProof/>
        </w:rPr>
        <w:lastRenderedPageBreak/>
        <w:t>In 201</w:t>
      </w:r>
      <w:r>
        <w:rPr>
          <w:noProof/>
          <w:szCs w:val="24"/>
        </w:rPr>
        <w:t>6 the GIF component (providing venture capital) of the CIP programme again provided an essential contribution to SME</w:t>
      </w:r>
      <w:r>
        <w:rPr>
          <w:noProof/>
          <w:szCs w:val="24"/>
        </w:rPr>
        <w:t>s' support in the eligible participating countries, as outlined above and confirmed by independent final evaluation results</w:t>
      </w:r>
      <w:r>
        <w:rPr>
          <w:noProof/>
          <w:szCs w:val="24"/>
          <w:vertAlign w:val="superscript"/>
        </w:rPr>
        <w:footnoteReference w:id="59"/>
      </w:r>
      <w:r>
        <w:rPr>
          <w:noProof/>
          <w:szCs w:val="24"/>
        </w:rPr>
        <w:t>, summarised hereafter, concerning relevance, effectiveness, efficiency, utility, sustainability and European added value</w:t>
      </w:r>
      <w:r>
        <w:rPr>
          <w:rStyle w:val="FootnoteReference"/>
          <w:noProof/>
          <w:szCs w:val="24"/>
        </w:rPr>
        <w:footnoteReference w:id="60"/>
      </w:r>
      <w:r>
        <w:rPr>
          <w:noProof/>
          <w:szCs w:val="24"/>
        </w:rPr>
        <w:t>.</w:t>
      </w:r>
      <w:r>
        <w:rPr>
          <w:noProof/>
          <w:szCs w:val="24"/>
        </w:rPr>
        <w:br/>
        <w:t>As regar</w:t>
      </w:r>
      <w:r>
        <w:rPr>
          <w:noProof/>
          <w:szCs w:val="24"/>
        </w:rPr>
        <w:t xml:space="preserve">ds </w:t>
      </w:r>
      <w:r>
        <w:rPr>
          <w:i/>
          <w:noProof/>
          <w:szCs w:val="24"/>
        </w:rPr>
        <w:t>Relevance</w:t>
      </w:r>
      <w:r>
        <w:rPr>
          <w:noProof/>
          <w:szCs w:val="24"/>
        </w:rPr>
        <w:t>, the EIP final evaluation concluded that the instrument met a clear need for finance on the part of the recipients and demonstrated that gaps in SME finance can be addressed. GIF recipients stated in 39% of cases that this financing scheme was</w:t>
      </w:r>
      <w:r>
        <w:rPr>
          <w:noProof/>
          <w:szCs w:val="24"/>
        </w:rPr>
        <w:t xml:space="preserve"> the only option available for them; another 23% stated that without this instrument they would have been able to receive only part of the funding needed. In total, 62% of the GIF recipients indicated that the support was crucial to find the finance needed</w:t>
      </w:r>
      <w:r>
        <w:rPr>
          <w:noProof/>
          <w:szCs w:val="24"/>
        </w:rPr>
        <w:t>.</w:t>
      </w:r>
    </w:p>
    <w:p w:rsidR="0073489B" w:rsidRDefault="00A46D11">
      <w:pPr>
        <w:tabs>
          <w:tab w:val="num" w:pos="1080"/>
        </w:tabs>
        <w:spacing w:after="60"/>
        <w:jc w:val="both"/>
        <w:rPr>
          <w:noProof/>
          <w:szCs w:val="24"/>
        </w:rPr>
      </w:pPr>
      <w:r>
        <w:rPr>
          <w:noProof/>
          <w:szCs w:val="24"/>
        </w:rPr>
        <w:t xml:space="preserve">As regards </w:t>
      </w:r>
      <w:r>
        <w:rPr>
          <w:i/>
          <w:noProof/>
          <w:szCs w:val="24"/>
        </w:rPr>
        <w:t>Effectiveness</w:t>
      </w:r>
      <w:r>
        <w:rPr>
          <w:noProof/>
          <w:szCs w:val="24"/>
        </w:rPr>
        <w:t>, the overall evaluation conclusion was that the funds are getting through to the intended recipients and have the desired effects in terms of innovation, growth and employment. 77% of GIF recipients stated that receiving the equi</w:t>
      </w:r>
      <w:r>
        <w:rPr>
          <w:noProof/>
          <w:szCs w:val="24"/>
        </w:rPr>
        <w:t>ty financing made it easier to obtain additional financing. More than 90% of the GIF recipients indicated that the financial support had a positive or fairly positive impact on their long term growth prospects. 62% of GIF recipients expected an increase in</w:t>
      </w:r>
      <w:r>
        <w:rPr>
          <w:noProof/>
          <w:szCs w:val="24"/>
        </w:rPr>
        <w:t xml:space="preserve"> turnover and in most of these cases, a growth of between 26% and 100% was expected. 83% of GIF recipients identified themselves as engaged in product or service innovation.</w:t>
      </w:r>
    </w:p>
    <w:p w:rsidR="0073489B" w:rsidRDefault="00A46D11">
      <w:pPr>
        <w:tabs>
          <w:tab w:val="num" w:pos="1080"/>
        </w:tabs>
        <w:spacing w:after="60"/>
        <w:jc w:val="both"/>
        <w:rPr>
          <w:noProof/>
          <w:szCs w:val="24"/>
        </w:rPr>
      </w:pPr>
      <w:r>
        <w:rPr>
          <w:noProof/>
          <w:szCs w:val="24"/>
        </w:rPr>
        <w:t>Apart from the financial means, GIF recipients also received other support (appoin</w:t>
      </w:r>
      <w:r>
        <w:rPr>
          <w:noProof/>
          <w:szCs w:val="24"/>
        </w:rPr>
        <w:t xml:space="preserve">tment of a non-executive director, advice on general business planning, access to a network, financial advice, special business advice or mentoring). </w:t>
      </w:r>
    </w:p>
    <w:p w:rsidR="0073489B" w:rsidRDefault="00A46D11">
      <w:pPr>
        <w:tabs>
          <w:tab w:val="num" w:pos="1080"/>
        </w:tabs>
        <w:spacing w:after="60"/>
        <w:jc w:val="both"/>
        <w:rPr>
          <w:noProof/>
          <w:szCs w:val="24"/>
          <w:lang w:eastAsia="en-GB"/>
        </w:rPr>
      </w:pPr>
      <w:r>
        <w:rPr>
          <w:noProof/>
          <w:szCs w:val="24"/>
        </w:rPr>
        <w:t xml:space="preserve">As regards </w:t>
      </w:r>
      <w:r>
        <w:rPr>
          <w:i/>
          <w:noProof/>
          <w:szCs w:val="24"/>
        </w:rPr>
        <w:t>Efficiency</w:t>
      </w:r>
      <w:r>
        <w:rPr>
          <w:noProof/>
          <w:szCs w:val="24"/>
        </w:rPr>
        <w:t>, the evaluation noted that general stakeholders have the impression that the instru</w:t>
      </w:r>
      <w:r>
        <w:rPr>
          <w:noProof/>
          <w:szCs w:val="24"/>
        </w:rPr>
        <w:t xml:space="preserve">ments are administered efficiently and that money is not wasted. </w:t>
      </w:r>
      <w:r>
        <w:rPr>
          <w:iCs/>
          <w:noProof/>
          <w:szCs w:val="24"/>
          <w:lang w:eastAsia="en-GB"/>
        </w:rPr>
        <w:br/>
        <w:t>As regards</w:t>
      </w:r>
      <w:r>
        <w:rPr>
          <w:i/>
          <w:iCs/>
          <w:noProof/>
          <w:szCs w:val="24"/>
          <w:lang w:eastAsia="en-GB"/>
        </w:rPr>
        <w:t xml:space="preserve"> Utility,</w:t>
      </w:r>
      <w:r>
        <w:rPr>
          <w:noProof/>
          <w:szCs w:val="24"/>
          <w:lang w:eastAsia="en-GB"/>
        </w:rPr>
        <w:t xml:space="preserve"> a large part of GIF recipients indicated that the financial support received was the only option for obtaining the funds needed.</w:t>
      </w:r>
    </w:p>
    <w:p w:rsidR="0073489B" w:rsidRDefault="00A46D11">
      <w:pPr>
        <w:tabs>
          <w:tab w:val="num" w:pos="1080"/>
        </w:tabs>
        <w:spacing w:after="100"/>
        <w:jc w:val="both"/>
        <w:rPr>
          <w:noProof/>
          <w:color w:val="FF00FF"/>
        </w:rPr>
      </w:pPr>
      <w:r>
        <w:rPr>
          <w:noProof/>
          <w:szCs w:val="24"/>
          <w:lang w:eastAsia="en-GB"/>
        </w:rPr>
        <w:t xml:space="preserve">As regards </w:t>
      </w:r>
      <w:r>
        <w:rPr>
          <w:i/>
          <w:iCs/>
          <w:noProof/>
          <w:szCs w:val="24"/>
          <w:lang w:eastAsia="en-GB"/>
        </w:rPr>
        <w:t xml:space="preserve">Sustainability, </w:t>
      </w:r>
      <w:r>
        <w:rPr>
          <w:noProof/>
          <w:szCs w:val="24"/>
          <w:lang w:eastAsia="en-GB"/>
        </w:rPr>
        <w:t>the evaluators</w:t>
      </w:r>
      <w:r>
        <w:rPr>
          <w:noProof/>
          <w:szCs w:val="24"/>
          <w:lang w:eastAsia="en-GB"/>
        </w:rPr>
        <w:t xml:space="preserve"> noted that possible improvements raised by EIPC</w:t>
      </w:r>
      <w:r>
        <w:rPr>
          <w:rStyle w:val="FootnoteReference"/>
          <w:noProof/>
          <w:szCs w:val="24"/>
          <w:lang w:eastAsia="en-GB"/>
        </w:rPr>
        <w:footnoteReference w:id="61"/>
      </w:r>
      <w:r>
        <w:rPr>
          <w:noProof/>
          <w:szCs w:val="24"/>
          <w:lang w:eastAsia="en-GB"/>
        </w:rPr>
        <w:t xml:space="preserve"> members and representatives of business organisations, related only to more general issues and that no improvements were suggested relating to the details of the instruments.</w:t>
      </w:r>
      <w:r>
        <w:rPr>
          <w:noProof/>
          <w:szCs w:val="24"/>
          <w:lang w:eastAsia="en-GB"/>
        </w:rPr>
        <w:br/>
        <w:t xml:space="preserve">Finally, as regards </w:t>
      </w:r>
      <w:r>
        <w:rPr>
          <w:i/>
          <w:iCs/>
          <w:noProof/>
          <w:szCs w:val="24"/>
          <w:lang w:eastAsia="en-GB"/>
        </w:rPr>
        <w:t>European va</w:t>
      </w:r>
      <w:r>
        <w:rPr>
          <w:i/>
          <w:iCs/>
          <w:noProof/>
          <w:szCs w:val="24"/>
          <w:lang w:eastAsia="en-GB"/>
        </w:rPr>
        <w:t xml:space="preserve">lue-added, </w:t>
      </w:r>
      <w:r>
        <w:rPr>
          <w:iCs/>
          <w:noProof/>
          <w:szCs w:val="24"/>
          <w:lang w:eastAsia="en-GB"/>
        </w:rPr>
        <w:t>the evaluation report recognised the leverage effect achieved, the fact that 80% of GIF recipients operate on an international market and that venture capital funds i) have a broader geographical focus and ii) operate across boundaries</w:t>
      </w:r>
      <w:r>
        <w:rPr>
          <w:noProof/>
          <w:szCs w:val="24"/>
          <w:lang w:eastAsia="en-GB"/>
        </w:rPr>
        <w:br/>
      </w:r>
      <w:r>
        <w:rPr>
          <w:noProof/>
          <w:szCs w:val="24"/>
        </w:rPr>
        <w:t xml:space="preserve">Although </w:t>
      </w:r>
      <w:r>
        <w:rPr>
          <w:noProof/>
          <w:szCs w:val="24"/>
        </w:rPr>
        <w:t xml:space="preserve">the overall effect of EU programmes on SMEs' financing remains limited (by nature, EU intervention is limited to market gaps or sub-optimal market situations, meaning by far the largest part of financing is provided by banking and finance market players), </w:t>
      </w:r>
      <w:r>
        <w:rPr>
          <w:noProof/>
          <w:szCs w:val="24"/>
        </w:rPr>
        <w:t>the GIF components of CIP contributed very positively to the development and sustainability of EU SMEs throughout 2016.</w:t>
      </w:r>
    </w:p>
    <w:p w:rsidR="0073489B" w:rsidRDefault="00A46D11">
      <w:pPr>
        <w:pStyle w:val="Caption1"/>
        <w:spacing w:before="160" w:after="60"/>
        <w:ind w:left="360"/>
        <w:jc w:val="left"/>
        <w:rPr>
          <w:i w:val="0"/>
          <w:noProof/>
        </w:rPr>
      </w:pPr>
      <w:r>
        <w:rPr>
          <w:noProof/>
          <w:sz w:val="24"/>
        </w:rPr>
        <w:br w:type="page"/>
      </w:r>
      <w:r>
        <w:rPr>
          <w:b w:val="0"/>
          <w:i w:val="0"/>
          <w:noProof/>
        </w:rPr>
        <w:lastRenderedPageBreak/>
        <w:t>Graph</w:t>
      </w:r>
      <w:r>
        <w:rPr>
          <w:i w:val="0"/>
          <w:noProof/>
        </w:rPr>
        <w:t xml:space="preserve">: </w:t>
      </w:r>
      <w:r>
        <w:rPr>
          <w:noProof/>
        </w:rPr>
        <w:t>Geographical distribution of actual intermediary size as at 31/12/2016</w:t>
      </w:r>
    </w:p>
    <w:p w:rsidR="0073489B" w:rsidRDefault="0073489B">
      <w:pPr>
        <w:tabs>
          <w:tab w:val="num" w:pos="1080"/>
        </w:tabs>
        <w:spacing w:after="100"/>
        <w:jc w:val="both"/>
        <w:rPr>
          <w:noProof/>
          <w:color w:val="FF00FF"/>
        </w:rPr>
      </w:pPr>
    </w:p>
    <w:p w:rsidR="0073489B" w:rsidRDefault="00A46D11">
      <w:pPr>
        <w:tabs>
          <w:tab w:val="num" w:pos="1080"/>
        </w:tabs>
        <w:spacing w:after="100"/>
        <w:jc w:val="both"/>
        <w:rPr>
          <w:noProof/>
          <w:szCs w:val="24"/>
        </w:rPr>
      </w:pPr>
      <w:r>
        <w:rPr>
          <w:noProof/>
          <w:lang w:eastAsia="en-GB"/>
        </w:rPr>
        <w:drawing>
          <wp:inline distT="0" distB="0" distL="0" distR="0">
            <wp:extent cx="5327374" cy="2433099"/>
            <wp:effectExtent l="0" t="0" r="26035" b="247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3489B" w:rsidRDefault="0073489B">
      <w:pPr>
        <w:tabs>
          <w:tab w:val="num" w:pos="1080"/>
        </w:tabs>
        <w:jc w:val="center"/>
        <w:rPr>
          <w:noProof/>
          <w:szCs w:val="24"/>
        </w:rPr>
      </w:pPr>
    </w:p>
    <w:p w:rsidR="0073489B" w:rsidRDefault="00A46D11">
      <w:pPr>
        <w:pStyle w:val="Heading4"/>
        <w:numPr>
          <w:ilvl w:val="0"/>
          <w:numId w:val="0"/>
        </w:numPr>
        <w:spacing w:before="120"/>
        <w:ind w:left="426" w:hanging="426"/>
        <w:rPr>
          <w:noProof/>
        </w:rPr>
      </w:pPr>
      <w:bookmarkStart w:id="41" w:name="_Toc387228736"/>
      <w:bookmarkStart w:id="42" w:name="_Toc388541858"/>
      <w:r>
        <w:rPr>
          <w:noProof/>
        </w:rPr>
        <w:t>E -Other key points and issues</w:t>
      </w:r>
      <w:bookmarkEnd w:id="41"/>
      <w:bookmarkEnd w:id="42"/>
    </w:p>
    <w:p w:rsidR="0073489B" w:rsidRDefault="00A46D11">
      <w:pPr>
        <w:pStyle w:val="ListParagraph"/>
        <w:numPr>
          <w:ilvl w:val="0"/>
          <w:numId w:val="107"/>
        </w:numPr>
        <w:autoSpaceDE w:val="0"/>
        <w:autoSpaceDN w:val="0"/>
        <w:adjustRightInd w:val="0"/>
        <w:ind w:left="142" w:right="141" w:hanging="284"/>
        <w:rPr>
          <w:b/>
          <w:noProof/>
          <w:szCs w:val="24"/>
        </w:rPr>
      </w:pPr>
      <w:bookmarkStart w:id="43" w:name="_Toc387228737"/>
      <w:r>
        <w:rPr>
          <w:b/>
          <w:noProof/>
          <w:szCs w:val="24"/>
        </w:rPr>
        <w:t xml:space="preserve">Main issues for </w:t>
      </w:r>
      <w:r>
        <w:rPr>
          <w:b/>
          <w:noProof/>
          <w:szCs w:val="24"/>
        </w:rPr>
        <w:t>implementation:</w:t>
      </w:r>
    </w:p>
    <w:p w:rsidR="0073489B" w:rsidRDefault="00A46D11">
      <w:pPr>
        <w:pStyle w:val="ListParagraph"/>
        <w:numPr>
          <w:ilvl w:val="1"/>
          <w:numId w:val="107"/>
        </w:numPr>
        <w:tabs>
          <w:tab w:val="left" w:pos="426"/>
        </w:tabs>
        <w:autoSpaceDE w:val="0"/>
        <w:autoSpaceDN w:val="0"/>
        <w:adjustRightInd w:val="0"/>
        <w:spacing w:after="60"/>
        <w:ind w:left="426" w:right="141" w:hanging="284"/>
        <w:jc w:val="both"/>
        <w:rPr>
          <w:noProof/>
          <w:szCs w:val="24"/>
        </w:rPr>
      </w:pPr>
      <w:r>
        <w:rPr>
          <w:noProof/>
          <w:szCs w:val="24"/>
        </w:rPr>
        <w:t>European venture capital remains fragmented and dependant on a lifeline from public investors. The support via EU-level financial instruments is key in tackling this fragmentation, as truly multi-country funds often face difficulties in obt</w:t>
      </w:r>
      <w:r>
        <w:rPr>
          <w:noProof/>
          <w:szCs w:val="24"/>
        </w:rPr>
        <w:t xml:space="preserve">aining support from national programmes. </w:t>
      </w:r>
    </w:p>
    <w:p w:rsidR="0073489B" w:rsidRDefault="00A46D11">
      <w:pPr>
        <w:pStyle w:val="ListParagraph"/>
        <w:numPr>
          <w:ilvl w:val="1"/>
          <w:numId w:val="107"/>
        </w:numPr>
        <w:tabs>
          <w:tab w:val="left" w:pos="426"/>
        </w:tabs>
        <w:autoSpaceDE w:val="0"/>
        <w:autoSpaceDN w:val="0"/>
        <w:adjustRightInd w:val="0"/>
        <w:spacing w:after="60"/>
        <w:ind w:left="426" w:right="141" w:hanging="284"/>
        <w:jc w:val="both"/>
        <w:rPr>
          <w:noProof/>
          <w:szCs w:val="24"/>
        </w:rPr>
      </w:pPr>
      <w:r>
        <w:rPr>
          <w:noProof/>
          <w:szCs w:val="24"/>
        </w:rPr>
        <w:t>The programmes are also essential to maintain venture capital in Europe and support it until it becomes fully sustainable.</w:t>
      </w:r>
    </w:p>
    <w:p w:rsidR="0073489B" w:rsidRDefault="00A46D11">
      <w:pPr>
        <w:pStyle w:val="ListParagraph"/>
        <w:numPr>
          <w:ilvl w:val="0"/>
          <w:numId w:val="107"/>
        </w:numPr>
        <w:autoSpaceDE w:val="0"/>
        <w:autoSpaceDN w:val="0"/>
        <w:adjustRightInd w:val="0"/>
        <w:ind w:left="142" w:right="141" w:hanging="284"/>
        <w:jc w:val="both"/>
        <w:rPr>
          <w:noProof/>
          <w:szCs w:val="24"/>
        </w:rPr>
      </w:pPr>
      <w:r>
        <w:rPr>
          <w:b/>
          <w:noProof/>
          <w:szCs w:val="24"/>
        </w:rPr>
        <w:t>Main risks</w:t>
      </w:r>
      <w:r>
        <w:rPr>
          <w:noProof/>
          <w:szCs w:val="24"/>
        </w:rPr>
        <w:t>: implementation under control, no specific risks identified.</w:t>
      </w:r>
    </w:p>
    <w:p w:rsidR="0073489B" w:rsidRDefault="00A46D11">
      <w:pPr>
        <w:pStyle w:val="ListParagraph"/>
        <w:numPr>
          <w:ilvl w:val="1"/>
          <w:numId w:val="107"/>
        </w:numPr>
        <w:tabs>
          <w:tab w:val="left" w:pos="426"/>
        </w:tabs>
        <w:autoSpaceDE w:val="0"/>
        <w:autoSpaceDN w:val="0"/>
        <w:adjustRightInd w:val="0"/>
        <w:spacing w:after="60"/>
        <w:ind w:left="426" w:right="141" w:hanging="284"/>
        <w:jc w:val="both"/>
        <w:rPr>
          <w:noProof/>
          <w:szCs w:val="24"/>
        </w:rPr>
      </w:pPr>
      <w:r>
        <w:rPr>
          <w:noProof/>
          <w:szCs w:val="24"/>
        </w:rPr>
        <w:t>The monitoring visi</w:t>
      </w:r>
      <w:r>
        <w:rPr>
          <w:noProof/>
          <w:szCs w:val="24"/>
        </w:rPr>
        <w:t>ts carried out for GIF during 2016 by the Commission allowed to confirm the eligibility of international financial intermediaries (IFI's) and final recipients, contractual compliance (transposal of the Commission's requirements into the contractual documen</w:t>
      </w:r>
      <w:r>
        <w:rPr>
          <w:noProof/>
          <w:szCs w:val="24"/>
        </w:rPr>
        <w:t>tation), process compliance (observance of processes prescribed by the Commission) and performance (achievement of predefined targets/objectives). Compliance reporting covering the situation did not indicate major deviations.</w:t>
      </w:r>
    </w:p>
    <w:p w:rsidR="0073489B" w:rsidRDefault="00A46D11">
      <w:pPr>
        <w:numPr>
          <w:ilvl w:val="1"/>
          <w:numId w:val="107"/>
        </w:numPr>
        <w:shd w:val="clear" w:color="auto" w:fill="FFFFFF"/>
        <w:tabs>
          <w:tab w:val="left" w:pos="426"/>
        </w:tabs>
        <w:spacing w:after="60" w:line="250" w:lineRule="exact"/>
        <w:ind w:left="426" w:right="77" w:hanging="284"/>
        <w:jc w:val="both"/>
        <w:rPr>
          <w:i/>
          <w:noProof/>
          <w:szCs w:val="24"/>
        </w:rPr>
      </w:pPr>
      <w:r>
        <w:rPr>
          <w:i/>
          <w:noProof/>
          <w:szCs w:val="24"/>
        </w:rPr>
        <w:t>Audits and  internal controls:</w:t>
      </w:r>
    </w:p>
    <w:p w:rsidR="0073489B" w:rsidRDefault="00A46D11">
      <w:pPr>
        <w:numPr>
          <w:ilvl w:val="0"/>
          <w:numId w:val="204"/>
        </w:numPr>
        <w:shd w:val="clear" w:color="auto" w:fill="FFFFFF"/>
        <w:spacing w:before="60" w:after="60" w:line="250" w:lineRule="exact"/>
        <w:ind w:left="709" w:right="77" w:hanging="142"/>
        <w:jc w:val="both"/>
        <w:rPr>
          <w:noProof/>
          <w:szCs w:val="24"/>
          <w:lang w:val="en-US"/>
        </w:rPr>
      </w:pPr>
      <w:r>
        <w:rPr>
          <w:noProof/>
          <w:szCs w:val="24"/>
        </w:rPr>
        <w:t xml:space="preserve">as confirmed in ECFIN's AAR 2016, no issue is pending, </w:t>
      </w:r>
    </w:p>
    <w:p w:rsidR="0073489B" w:rsidRDefault="00A46D11">
      <w:pPr>
        <w:numPr>
          <w:ilvl w:val="0"/>
          <w:numId w:val="204"/>
        </w:numPr>
        <w:shd w:val="clear" w:color="auto" w:fill="FFFFFF"/>
        <w:spacing w:after="60" w:line="250" w:lineRule="exact"/>
        <w:ind w:left="709" w:right="77" w:hanging="142"/>
        <w:jc w:val="both"/>
        <w:rPr>
          <w:noProof/>
          <w:szCs w:val="24"/>
        </w:rPr>
      </w:pPr>
      <w:r>
        <w:rPr>
          <w:noProof/>
          <w:szCs w:val="24"/>
        </w:rPr>
        <w:t xml:space="preserve">In February 2012  IAS and ECFIN IAC finalised their audit on the implementation by the EIF of the High Growth and Innovative SME Facility. The audit resulted in 6 recommendations, which were all </w:t>
      </w:r>
      <w:r>
        <w:rPr>
          <w:noProof/>
          <w:szCs w:val="24"/>
        </w:rPr>
        <w:t>implemented during 2013. No additional findings or recommendations were made in 2016.</w:t>
      </w:r>
    </w:p>
    <w:p w:rsidR="0073489B" w:rsidRDefault="00A46D11">
      <w:pPr>
        <w:numPr>
          <w:ilvl w:val="0"/>
          <w:numId w:val="204"/>
        </w:numPr>
        <w:shd w:val="clear" w:color="auto" w:fill="FFFFFF"/>
        <w:spacing w:after="60" w:line="250" w:lineRule="exact"/>
        <w:ind w:left="709" w:right="77" w:hanging="142"/>
        <w:jc w:val="both"/>
        <w:rPr>
          <w:noProof/>
          <w:szCs w:val="24"/>
          <w:lang w:val="en-US"/>
        </w:rPr>
      </w:pPr>
      <w:r>
        <w:rPr>
          <w:noProof/>
          <w:szCs w:val="24"/>
          <w:lang w:val="en-US"/>
        </w:rPr>
        <w:t>During 2016, the Designated Service continued to follow-up the implementation of OLAF's recommendations in two cases (OF/2011/1176 and OF/2013/0107), where fraud was dete</w:t>
      </w:r>
      <w:r>
        <w:rPr>
          <w:noProof/>
          <w:szCs w:val="24"/>
          <w:lang w:val="en-US"/>
        </w:rPr>
        <w:t xml:space="preserve">cted at the level of the fund manager and at the level of a final beneficiary.  Corrective actions for both cases were progressing normally during 2016. </w:t>
      </w:r>
    </w:p>
    <w:p w:rsidR="0073489B" w:rsidRDefault="00A46D11">
      <w:pPr>
        <w:numPr>
          <w:ilvl w:val="0"/>
          <w:numId w:val="204"/>
        </w:numPr>
        <w:shd w:val="clear" w:color="auto" w:fill="FFFFFF"/>
        <w:tabs>
          <w:tab w:val="left" w:pos="567"/>
        </w:tabs>
        <w:spacing w:after="60" w:line="250" w:lineRule="exact"/>
        <w:ind w:left="709" w:right="77" w:hanging="142"/>
        <w:jc w:val="both"/>
        <w:rPr>
          <w:noProof/>
          <w:szCs w:val="24"/>
          <w:lang w:val="en-US"/>
        </w:rPr>
      </w:pPr>
      <w:r>
        <w:rPr>
          <w:noProof/>
          <w:szCs w:val="24"/>
          <w:lang w:val="en-US"/>
        </w:rPr>
        <w:t>A positive Statement of Assurance has been received from the EIF as at 19/4/2017.</w:t>
      </w:r>
    </w:p>
    <w:p w:rsidR="0073489B" w:rsidRDefault="00A46D11">
      <w:pPr>
        <w:pStyle w:val="AARTableText"/>
        <w:numPr>
          <w:ilvl w:val="2"/>
          <w:numId w:val="195"/>
        </w:numPr>
        <w:tabs>
          <w:tab w:val="left" w:pos="426"/>
        </w:tabs>
        <w:spacing w:before="120" w:after="60"/>
        <w:ind w:left="426" w:hanging="284"/>
        <w:jc w:val="both"/>
        <w:rPr>
          <w:rFonts w:ascii="Times New Roman" w:hAnsi="Times New Roman"/>
          <w:i/>
          <w:noProof/>
          <w:sz w:val="24"/>
          <w:szCs w:val="24"/>
        </w:rPr>
      </w:pPr>
      <w:r>
        <w:rPr>
          <w:rFonts w:ascii="Times New Roman" w:hAnsi="Times New Roman"/>
          <w:i/>
          <w:noProof/>
          <w:sz w:val="24"/>
          <w:szCs w:val="24"/>
        </w:rPr>
        <w:t xml:space="preserve">Efficiency: </w:t>
      </w:r>
    </w:p>
    <w:p w:rsidR="0073489B" w:rsidRDefault="00A46D11">
      <w:pPr>
        <w:numPr>
          <w:ilvl w:val="0"/>
          <w:numId w:val="205"/>
        </w:numPr>
        <w:shd w:val="clear" w:color="auto" w:fill="FFFFFF"/>
        <w:spacing w:before="60" w:after="60" w:line="250" w:lineRule="exact"/>
        <w:ind w:left="709" w:right="77" w:hanging="142"/>
        <w:jc w:val="both"/>
        <w:rPr>
          <w:noProof/>
          <w:szCs w:val="24"/>
          <w:lang w:val="en-US"/>
        </w:rPr>
      </w:pPr>
      <w:r>
        <w:rPr>
          <w:noProof/>
          <w:szCs w:val="24"/>
          <w:lang w:val="en-US"/>
        </w:rPr>
        <w:t xml:space="preserve">number </w:t>
      </w:r>
      <w:r>
        <w:rPr>
          <w:noProof/>
          <w:szCs w:val="24"/>
          <w:lang w:val="en-US"/>
        </w:rPr>
        <w:t>of findings/observations (stemming from ECFIN L2's monitoring activities) for Equity: 0 (out of 0, 100% closed).</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lastRenderedPageBreak/>
        <w:t xml:space="preserve">Number of OLAF inquiries: 2 inquiries (implementation of recommendations ongoing). </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IAC inquiries for Equity: NONE.</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open re</w:t>
      </w:r>
      <w:r>
        <w:rPr>
          <w:noProof/>
          <w:szCs w:val="24"/>
          <w:lang w:val="en-US"/>
        </w:rPr>
        <w:t>commendations in action plans established following ECA, IAS, IAC or ex-post control recommendations: NONE.</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operations outside official procedures (2016): NONE.</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erroneous operations (2016): NONE.</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t>Return to Trust Account (2016) linked to</w:t>
      </w:r>
      <w:r>
        <w:rPr>
          <w:noProof/>
          <w:szCs w:val="24"/>
          <w:lang w:val="en-US"/>
        </w:rPr>
        <w:t xml:space="preserve"> errors: NONE.</w:t>
      </w:r>
    </w:p>
    <w:p w:rsidR="0073489B" w:rsidRDefault="00A46D11">
      <w:pPr>
        <w:numPr>
          <w:ilvl w:val="0"/>
          <w:numId w:val="205"/>
        </w:numPr>
        <w:shd w:val="clear" w:color="auto" w:fill="FFFFFF"/>
        <w:spacing w:after="60" w:line="250" w:lineRule="exact"/>
        <w:ind w:left="709" w:right="77" w:hanging="142"/>
        <w:jc w:val="both"/>
        <w:rPr>
          <w:noProof/>
          <w:szCs w:val="24"/>
          <w:lang w:val="en-US"/>
        </w:rPr>
      </w:pPr>
      <w:r>
        <w:rPr>
          <w:noProof/>
          <w:szCs w:val="24"/>
          <w:lang w:val="en-US"/>
        </w:rPr>
        <w:t xml:space="preserve">Results on the checks on the balance of the TA (2016): no errors/discrepancies. </w:t>
      </w:r>
    </w:p>
    <w:p w:rsidR="0073489B" w:rsidRDefault="00A46D11">
      <w:pPr>
        <w:pStyle w:val="ListParagraph"/>
        <w:numPr>
          <w:ilvl w:val="0"/>
          <w:numId w:val="107"/>
        </w:numPr>
        <w:tabs>
          <w:tab w:val="left" w:pos="142"/>
        </w:tabs>
        <w:autoSpaceDE w:val="0"/>
        <w:autoSpaceDN w:val="0"/>
        <w:adjustRightInd w:val="0"/>
        <w:spacing w:before="200"/>
        <w:ind w:left="709" w:right="141" w:hanging="709"/>
        <w:jc w:val="both"/>
        <w:rPr>
          <w:noProof/>
          <w:szCs w:val="24"/>
        </w:rPr>
      </w:pPr>
      <w:r>
        <w:rPr>
          <w:b/>
          <w:noProof/>
          <w:szCs w:val="24"/>
        </w:rPr>
        <w:t>General outlook</w:t>
      </w:r>
      <w:r>
        <w:rPr>
          <w:noProof/>
          <w:szCs w:val="24"/>
        </w:rPr>
        <w:t>:</w:t>
      </w:r>
    </w:p>
    <w:p w:rsidR="0073489B" w:rsidRDefault="00A46D11">
      <w:pPr>
        <w:pStyle w:val="ListParagraph"/>
        <w:numPr>
          <w:ilvl w:val="1"/>
          <w:numId w:val="107"/>
        </w:numPr>
        <w:tabs>
          <w:tab w:val="left" w:pos="426"/>
        </w:tabs>
        <w:autoSpaceDE w:val="0"/>
        <w:autoSpaceDN w:val="0"/>
        <w:adjustRightInd w:val="0"/>
        <w:spacing w:before="60" w:after="60"/>
        <w:ind w:left="426" w:right="141" w:hanging="284"/>
        <w:jc w:val="both"/>
        <w:rPr>
          <w:noProof/>
          <w:szCs w:val="24"/>
        </w:rPr>
      </w:pPr>
      <w:r>
        <w:rPr>
          <w:noProof/>
          <w:szCs w:val="24"/>
        </w:rPr>
        <w:t xml:space="preserve">Demand for investments by venture capital funds is larger than the budgets of EU-funded programmes. </w:t>
      </w:r>
    </w:p>
    <w:p w:rsidR="0073489B" w:rsidRDefault="00A46D11">
      <w:pPr>
        <w:pStyle w:val="ListParagraph"/>
        <w:numPr>
          <w:ilvl w:val="1"/>
          <w:numId w:val="107"/>
        </w:numPr>
        <w:tabs>
          <w:tab w:val="left" w:pos="284"/>
        </w:tabs>
        <w:autoSpaceDE w:val="0"/>
        <w:autoSpaceDN w:val="0"/>
        <w:adjustRightInd w:val="0"/>
        <w:spacing w:after="60"/>
        <w:ind w:left="360" w:right="141" w:hanging="218"/>
        <w:jc w:val="both"/>
        <w:rPr>
          <w:noProof/>
          <w:szCs w:val="24"/>
        </w:rPr>
      </w:pPr>
      <w:r>
        <w:rPr>
          <w:noProof/>
          <w:szCs w:val="24"/>
        </w:rPr>
        <w:t xml:space="preserve">The EU programmes therefore need to focus </w:t>
      </w:r>
      <w:r>
        <w:rPr>
          <w:noProof/>
          <w:szCs w:val="24"/>
        </w:rPr>
        <w:t>specifically on areas, sectors and stages where the EU added value and policy impact can be maximised, and, if possible, increase the budgetary contributions to achieve a better critical mass.</w:t>
      </w:r>
      <w:bookmarkEnd w:id="43"/>
    </w:p>
    <w:p w:rsidR="0073489B" w:rsidRDefault="00A46D11">
      <w:pPr>
        <w:pStyle w:val="Heading3"/>
        <w:spacing w:after="240"/>
        <w:ind w:left="0" w:hanging="8"/>
      </w:pPr>
      <w:bookmarkStart w:id="44" w:name="_The_Connecting_Europe"/>
      <w:bookmarkStart w:id="45" w:name="_Toc486436746"/>
      <w:bookmarkEnd w:id="44"/>
      <w:r>
        <w:t>The Connecting Europe Facility (CEF) Equity Instrument</w:t>
      </w:r>
      <w:bookmarkEnd w:id="45"/>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4"/>
        <w:gridCol w:w="4664"/>
      </w:tblGrid>
      <w:tr w:rsidR="0073489B">
        <w:trPr>
          <w:trHeight w:val="534"/>
        </w:trPr>
        <w:tc>
          <w:tcPr>
            <w:tcW w:w="2489" w:type="pct"/>
            <w:tcBorders>
              <w:bottom w:val="single" w:sz="4" w:space="0" w:color="auto"/>
            </w:tcBorders>
            <w:shd w:val="clear" w:color="auto" w:fill="auto"/>
            <w:vAlign w:val="center"/>
          </w:tcPr>
          <w:p w:rsidR="0073489B" w:rsidRDefault="00A46D11">
            <w:pPr>
              <w:spacing w:before="60" w:after="60"/>
              <w:rPr>
                <w:noProof/>
                <w:szCs w:val="24"/>
              </w:rPr>
            </w:pPr>
            <w:r>
              <w:rPr>
                <w:b/>
                <w:noProof/>
                <w:szCs w:val="24"/>
              </w:rPr>
              <w:t xml:space="preserve">Policy </w:t>
            </w:r>
            <w:r>
              <w:rPr>
                <w:b/>
                <w:noProof/>
                <w:szCs w:val="24"/>
              </w:rPr>
              <w:t>DG in charge:</w:t>
            </w:r>
            <w:r>
              <w:rPr>
                <w:noProof/>
                <w:szCs w:val="24"/>
              </w:rPr>
              <w:t xml:space="preserve">  </w:t>
            </w:r>
          </w:p>
        </w:tc>
        <w:tc>
          <w:tcPr>
            <w:tcW w:w="2511" w:type="pct"/>
            <w:tcBorders>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CNECT</w:t>
            </w:r>
          </w:p>
        </w:tc>
      </w:tr>
      <w:tr w:rsidR="0073489B">
        <w:trPr>
          <w:trHeight w:val="534"/>
        </w:trPr>
        <w:tc>
          <w:tcPr>
            <w:tcW w:w="2489"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Implementing DG in charge:</w:t>
            </w:r>
            <w:r>
              <w:rPr>
                <w:noProof/>
                <w:szCs w:val="24"/>
              </w:rPr>
              <w:t xml:space="preserve">  </w:t>
            </w:r>
          </w:p>
        </w:tc>
        <w:tc>
          <w:tcPr>
            <w:tcW w:w="2511"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CNECT</w:t>
            </w:r>
          </w:p>
        </w:tc>
      </w:tr>
      <w:tr w:rsidR="0073489B">
        <w:trPr>
          <w:trHeight w:val="534"/>
        </w:trPr>
        <w:tc>
          <w:tcPr>
            <w:tcW w:w="2489"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Operating Body in charge:</w:t>
            </w:r>
          </w:p>
        </w:tc>
        <w:tc>
          <w:tcPr>
            <w:tcW w:w="2511"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Not available yet</w:t>
            </w:r>
          </w:p>
        </w:tc>
      </w:tr>
      <w:tr w:rsidR="0073489B">
        <w:trPr>
          <w:trHeight w:val="534"/>
        </w:trPr>
        <w:tc>
          <w:tcPr>
            <w:tcW w:w="2489"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Initial Overall Budget Envelope:</w:t>
            </w:r>
          </w:p>
        </w:tc>
        <w:tc>
          <w:tcPr>
            <w:tcW w:w="2511"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EUR 100 million</w:t>
            </w:r>
          </w:p>
        </w:tc>
      </w:tr>
      <w:tr w:rsidR="0073489B">
        <w:trPr>
          <w:trHeight w:val="534"/>
        </w:trPr>
        <w:tc>
          <w:tcPr>
            <w:tcW w:w="2489" w:type="pct"/>
            <w:tcBorders>
              <w:top w:val="single" w:sz="4" w:space="0" w:color="auto"/>
            </w:tcBorders>
            <w:shd w:val="clear" w:color="auto" w:fill="auto"/>
            <w:vAlign w:val="center"/>
          </w:tcPr>
          <w:p w:rsidR="0073489B" w:rsidRDefault="00A46D11">
            <w:pPr>
              <w:spacing w:before="60" w:after="60"/>
              <w:rPr>
                <w:b/>
                <w:noProof/>
                <w:szCs w:val="24"/>
              </w:rPr>
            </w:pPr>
            <w:r>
              <w:rPr>
                <w:b/>
                <w:noProof/>
                <w:szCs w:val="24"/>
              </w:rPr>
              <w:t>Current Overall Budget:</w:t>
            </w:r>
          </w:p>
        </w:tc>
        <w:tc>
          <w:tcPr>
            <w:tcW w:w="2511" w:type="pct"/>
            <w:tcBorders>
              <w:top w:val="single" w:sz="4" w:space="0" w:color="auto"/>
            </w:tcBorders>
            <w:shd w:val="clear" w:color="auto" w:fill="auto"/>
            <w:vAlign w:val="center"/>
          </w:tcPr>
          <w:p w:rsidR="0073489B" w:rsidRDefault="00A46D11">
            <w:pPr>
              <w:spacing w:before="60" w:after="60"/>
              <w:jc w:val="center"/>
              <w:rPr>
                <w:noProof/>
                <w:szCs w:val="24"/>
              </w:rPr>
            </w:pPr>
            <w:r>
              <w:rPr>
                <w:noProof/>
                <w:szCs w:val="24"/>
              </w:rPr>
              <w:t>EUR 100 million</w:t>
            </w:r>
          </w:p>
        </w:tc>
      </w:tr>
    </w:tbl>
    <w:p w:rsidR="0073489B" w:rsidRDefault="0073489B">
      <w:pPr>
        <w:rPr>
          <w:noProof/>
          <w:lang w:eastAsia="fr-FR"/>
        </w:rPr>
      </w:pPr>
    </w:p>
    <w:p w:rsidR="0073489B" w:rsidRDefault="00A46D11">
      <w:pPr>
        <w:keepNext/>
        <w:numPr>
          <w:ilvl w:val="0"/>
          <w:numId w:val="16"/>
        </w:numPr>
        <w:spacing w:before="240"/>
        <w:outlineLvl w:val="3"/>
        <w:rPr>
          <w:rFonts w:eastAsia="Times New Roman"/>
          <w:b/>
          <w:bCs/>
          <w:noProof/>
          <w:szCs w:val="24"/>
          <w:u w:val="single"/>
        </w:rPr>
      </w:pPr>
      <w:r>
        <w:rPr>
          <w:rFonts w:eastAsia="Times New Roman"/>
          <w:b/>
          <w:bCs/>
          <w:noProof/>
          <w:szCs w:val="24"/>
          <w:u w:val="single"/>
        </w:rPr>
        <w:t>Summary</w:t>
      </w:r>
    </w:p>
    <w:p w:rsidR="0073489B" w:rsidRDefault="00A46D11">
      <w:pPr>
        <w:spacing w:after="60"/>
        <w:jc w:val="both"/>
        <w:rPr>
          <w:noProof/>
          <w:szCs w:val="24"/>
        </w:rPr>
      </w:pPr>
      <w:r>
        <w:rPr>
          <w:noProof/>
          <w:szCs w:val="24"/>
        </w:rPr>
        <w:t>The CEF Equity instrument is foreseen to establish the Connecting Europe Broadband Fund. The Fund will provide equity and quasi-equity to smaller-scale, higher-risk broadband projects, which do not have sufficient access to financing, in (under-served) sub</w:t>
      </w:r>
      <w:r>
        <w:rPr>
          <w:noProof/>
          <w:szCs w:val="24"/>
        </w:rPr>
        <w:t>urban and rural areas. Five public institutions are expected to invest in it, namely the Commission, the EIB and three National Promotional Banks and Institutions (NPBIs): CDC, CDP and KfW, alongside private investors. Its target size is EUR 500 m – 600 m.</w:t>
      </w:r>
      <w:r>
        <w:rPr>
          <w:noProof/>
          <w:szCs w:val="24"/>
        </w:rPr>
        <w:t xml:space="preserve"> We estimate that the fund will unlock investments up to 1,7 bn EUR and demonstrate the advantages of investing in high capacity broadband networks. The Fund will be one of the two EFSI investment platforms with a full EU-28 coverage. Investments will be m</w:t>
      </w:r>
      <w:r>
        <w:rPr>
          <w:noProof/>
          <w:szCs w:val="24"/>
        </w:rPr>
        <w:t xml:space="preserve">ade in a minimum of 10 Member States and will target 20 Member States and aim at investing in at least five projects per year by 2021. </w:t>
      </w:r>
    </w:p>
    <w:p w:rsidR="0073489B" w:rsidRDefault="0073489B">
      <w:pPr>
        <w:spacing w:after="60"/>
        <w:jc w:val="both"/>
        <w:rPr>
          <w:noProof/>
          <w:szCs w:val="24"/>
        </w:rPr>
      </w:pPr>
    </w:p>
    <w:p w:rsidR="0073489B" w:rsidRDefault="0073489B">
      <w:pPr>
        <w:spacing w:after="60"/>
        <w:rPr>
          <w:noProof/>
          <w:szCs w:val="24"/>
        </w:rPr>
      </w:pPr>
    </w:p>
    <w:p w:rsidR="0073489B" w:rsidRDefault="00A46D11">
      <w:pPr>
        <w:keepNext/>
        <w:numPr>
          <w:ilvl w:val="0"/>
          <w:numId w:val="16"/>
        </w:numPr>
        <w:spacing w:before="240"/>
        <w:outlineLvl w:val="3"/>
        <w:rPr>
          <w:rFonts w:eastAsia="Times New Roman"/>
          <w:b/>
          <w:bCs/>
          <w:i/>
          <w:noProof/>
          <w:sz w:val="20"/>
          <w:szCs w:val="20"/>
          <w:u w:val="single"/>
          <w:lang w:eastAsia="fr-FR"/>
        </w:rPr>
      </w:pPr>
      <w:r>
        <w:rPr>
          <w:rFonts w:eastAsia="Times New Roman"/>
          <w:b/>
          <w:bCs/>
          <w:noProof/>
          <w:szCs w:val="24"/>
          <w:u w:val="single"/>
        </w:rPr>
        <w:lastRenderedPageBreak/>
        <w:t>Description</w:t>
      </w:r>
    </w:p>
    <w:p w:rsidR="0073489B" w:rsidRDefault="00A46D11">
      <w:pPr>
        <w:keepNext/>
        <w:numPr>
          <w:ilvl w:val="0"/>
          <w:numId w:val="15"/>
        </w:numPr>
        <w:ind w:left="284" w:right="142" w:firstLine="0"/>
        <w:outlineLvl w:val="4"/>
        <w:rPr>
          <w:b/>
          <w:noProof/>
          <w:szCs w:val="24"/>
        </w:rPr>
      </w:pPr>
      <w:r>
        <w:rPr>
          <w:b/>
          <w:noProof/>
          <w:szCs w:val="24"/>
        </w:rPr>
        <w:t>Identification of the financial instrument and the basic act;</w:t>
      </w:r>
    </w:p>
    <w:p w:rsidR="0073489B" w:rsidRDefault="00A46D11">
      <w:pPr>
        <w:spacing w:after="60"/>
        <w:ind w:right="141" w:firstLine="3"/>
        <w:jc w:val="both"/>
        <w:rPr>
          <w:noProof/>
          <w:szCs w:val="24"/>
        </w:rPr>
      </w:pPr>
      <w:r>
        <w:rPr>
          <w:noProof/>
          <w:szCs w:val="24"/>
        </w:rPr>
        <w:t>Regulation (EU) No 1316/2013 of the European</w:t>
      </w:r>
      <w:r>
        <w:rPr>
          <w:noProof/>
          <w:szCs w:val="24"/>
        </w:rPr>
        <w:t xml:space="preserve"> Parliament and the Council of 11 December 2013 establishing the Connecting Europe Facility, amending Regulation (EU) No 913/2010 and repealing Regulations (EC) No 680/2007 and (EC) No 67/2010 (OJ L 348, 20.12.2013, p. 129). Regulation (EU) 2015/1017 of th</w:t>
      </w:r>
      <w:r>
        <w:rPr>
          <w:noProof/>
          <w:szCs w:val="24"/>
        </w:rPr>
        <w:t xml:space="preserve">e European Parliament and of the Council of 25 June 2015 on the European Fund for Strategic Investments, the European Investment Advisory Hub and the European Investment Project Portal and amending Regulations (EU) No 1291/2013 and (EU) No 1316/2013 — the </w:t>
      </w:r>
      <w:r>
        <w:rPr>
          <w:noProof/>
          <w:szCs w:val="24"/>
        </w:rPr>
        <w:t>European Fund for Strategic Investments (OJ L 169, 1.7.2015, p. 1).</w:t>
      </w:r>
    </w:p>
    <w:p w:rsidR="0073489B" w:rsidRDefault="0073489B">
      <w:pPr>
        <w:spacing w:after="60"/>
        <w:ind w:right="141" w:firstLine="3"/>
        <w:rPr>
          <w:noProof/>
          <w:szCs w:val="24"/>
        </w:rPr>
      </w:pPr>
    </w:p>
    <w:p w:rsidR="0073489B" w:rsidRDefault="00A46D11">
      <w:pPr>
        <w:keepNext/>
        <w:numPr>
          <w:ilvl w:val="0"/>
          <w:numId w:val="71"/>
        </w:numPr>
        <w:ind w:left="284" w:right="142" w:firstLine="0"/>
        <w:jc w:val="both"/>
        <w:outlineLvl w:val="4"/>
        <w:rPr>
          <w:b/>
          <w:noProof/>
          <w:szCs w:val="24"/>
        </w:rPr>
      </w:pPr>
      <w:r>
        <w:rPr>
          <w:b/>
          <w:noProof/>
          <w:szCs w:val="24"/>
        </w:rPr>
        <w:t>Description of the financial instrument, implementation arrangements and the added value of the Union contribution;</w:t>
      </w:r>
    </w:p>
    <w:p w:rsidR="0073489B" w:rsidRDefault="00A46D11">
      <w:pPr>
        <w:ind w:right="141"/>
        <w:jc w:val="both"/>
        <w:rPr>
          <w:i/>
          <w:noProof/>
          <w:szCs w:val="24"/>
        </w:rPr>
      </w:pPr>
      <w:r>
        <w:rPr>
          <w:i/>
          <w:noProof/>
          <w:szCs w:val="24"/>
        </w:rPr>
        <w:t>Policy objectives and scope</w:t>
      </w:r>
    </w:p>
    <w:p w:rsidR="0073489B" w:rsidRDefault="00A46D11">
      <w:pPr>
        <w:spacing w:before="30" w:after="30"/>
        <w:jc w:val="both"/>
        <w:rPr>
          <w:noProof/>
          <w:szCs w:val="24"/>
        </w:rPr>
      </w:pPr>
      <w:r>
        <w:rPr>
          <w:noProof/>
          <w:szCs w:val="24"/>
        </w:rPr>
        <w:t xml:space="preserve">Given the current market failures in the </w:t>
      </w:r>
      <w:r>
        <w:rPr>
          <w:noProof/>
          <w:szCs w:val="24"/>
        </w:rPr>
        <w:t>financing of infrastructure projects and in view of recent developments, in particular the establishment of the European Fund for Strategic Investments (EFSI), an Equity instrument was established under CEF by way of 2016 CEF Work Programme for a contribut</w:t>
      </w:r>
      <w:r>
        <w:rPr>
          <w:noProof/>
          <w:szCs w:val="24"/>
        </w:rPr>
        <w:t>ion to financial instruments (C(2015) 8847 final). The establishment of EFSI greatly enhanced the available financing opportunities in the form of Debt and made it possible to optimise the use of scarce CEF resources by re-directing a part of the available</w:t>
      </w:r>
      <w:r>
        <w:rPr>
          <w:noProof/>
          <w:szCs w:val="24"/>
        </w:rPr>
        <w:t xml:space="preserve"> budget to finance smaller and more risky projects, especially in the area of</w:t>
      </w:r>
    </w:p>
    <w:p w:rsidR="0073489B" w:rsidRDefault="00A46D11">
      <w:pPr>
        <w:spacing w:before="30" w:after="30"/>
        <w:jc w:val="both"/>
        <w:rPr>
          <w:noProof/>
          <w:szCs w:val="24"/>
        </w:rPr>
      </w:pPr>
      <w:r>
        <w:rPr>
          <w:noProof/>
          <w:szCs w:val="24"/>
        </w:rPr>
        <w:t xml:space="preserve">broadband. The Debt instrument will nonetheless remain the main delivery mechanism for the financial instruments under CEF. </w:t>
      </w:r>
    </w:p>
    <w:p w:rsidR="0073489B" w:rsidRDefault="00A46D11">
      <w:pPr>
        <w:spacing w:before="30" w:after="30"/>
        <w:jc w:val="both"/>
        <w:rPr>
          <w:noProof/>
          <w:szCs w:val="24"/>
        </w:rPr>
      </w:pPr>
      <w:r>
        <w:rPr>
          <w:noProof/>
          <w:szCs w:val="24"/>
        </w:rPr>
        <w:t xml:space="preserve">Currently, the contribution to CEF Equity instrument </w:t>
      </w:r>
      <w:r>
        <w:rPr>
          <w:noProof/>
          <w:szCs w:val="24"/>
        </w:rPr>
        <w:t>is foreseen for broadband (100 million €) for the establishment of he Connecting Europe Broadband Fund. The Fund will provide equity and quasi-equity to smaller-scale, higher-risk broadband projects, which do not have sufficient access to financing, in (un</w:t>
      </w:r>
      <w:r>
        <w:rPr>
          <w:noProof/>
          <w:szCs w:val="24"/>
        </w:rPr>
        <w:t>der-served) suburban and rural areas. Five public institutions are expected to invest in it, namely the Commission, the EIB and three National Promotional Banks and Institutions (NPBIs): CDC, CDP and KfW, alongside private investors.</w:t>
      </w:r>
    </w:p>
    <w:p w:rsidR="0073489B" w:rsidRDefault="00A46D11">
      <w:pPr>
        <w:ind w:right="141"/>
        <w:jc w:val="both"/>
        <w:rPr>
          <w:i/>
          <w:noProof/>
          <w:szCs w:val="24"/>
        </w:rPr>
      </w:pPr>
      <w:r>
        <w:rPr>
          <w:i/>
          <w:noProof/>
          <w:szCs w:val="24"/>
        </w:rPr>
        <w:t>Implementation arrange</w:t>
      </w:r>
      <w:r>
        <w:rPr>
          <w:i/>
          <w:noProof/>
          <w:szCs w:val="24"/>
        </w:rPr>
        <w:t>ments</w:t>
      </w:r>
    </w:p>
    <w:p w:rsidR="0073489B" w:rsidRDefault="00A46D11">
      <w:pPr>
        <w:spacing w:before="30" w:after="30"/>
        <w:jc w:val="both"/>
        <w:rPr>
          <w:noProof/>
          <w:szCs w:val="24"/>
        </w:rPr>
      </w:pPr>
      <w:r>
        <w:rPr>
          <w:noProof/>
          <w:szCs w:val="24"/>
        </w:rPr>
        <w:t xml:space="preserve">The fund will be implemented under the CEF Equity instrument by setting up of a dedicated investment vehicle to allow the pooling of contributions from multiple investors (direct management). The fund will be managed by a Fund Manager selected in a </w:t>
      </w:r>
      <w:r>
        <w:rPr>
          <w:noProof/>
          <w:szCs w:val="24"/>
        </w:rPr>
        <w:t>competitive selection process. The Investment Manager will be a professional asset manager with extensive experience in infrastructure and, in particular, broadband investments in Europe. For alignment of interest, the Investment Manager will also subscrib</w:t>
      </w:r>
      <w:r>
        <w:rPr>
          <w:noProof/>
          <w:szCs w:val="24"/>
        </w:rPr>
        <w:t>e to the fund.</w:t>
      </w:r>
    </w:p>
    <w:p w:rsidR="0073489B" w:rsidRDefault="00A46D11">
      <w:pPr>
        <w:ind w:right="141"/>
        <w:jc w:val="both"/>
        <w:rPr>
          <w:i/>
          <w:noProof/>
          <w:szCs w:val="24"/>
        </w:rPr>
      </w:pPr>
      <w:r>
        <w:rPr>
          <w:i/>
          <w:noProof/>
          <w:szCs w:val="24"/>
        </w:rPr>
        <w:t>Added value</w:t>
      </w:r>
    </w:p>
    <w:p w:rsidR="0073489B" w:rsidRDefault="00A46D11">
      <w:pPr>
        <w:spacing w:after="60"/>
        <w:ind w:right="141"/>
        <w:jc w:val="both"/>
        <w:rPr>
          <w:noProof/>
          <w:szCs w:val="24"/>
        </w:rPr>
      </w:pPr>
      <w:r>
        <w:rPr>
          <w:noProof/>
          <w:szCs w:val="24"/>
        </w:rPr>
        <w:t>The CEF Equity Instrument optimises the use of scarce CEF resources by re-directing a part of the available budget to finance smaller and more risky projects, especially in the area of</w:t>
      </w:r>
    </w:p>
    <w:p w:rsidR="0073489B" w:rsidRDefault="00A46D11">
      <w:pPr>
        <w:spacing w:after="60"/>
        <w:ind w:right="141"/>
        <w:jc w:val="both"/>
        <w:rPr>
          <w:noProof/>
          <w:szCs w:val="24"/>
        </w:rPr>
      </w:pPr>
      <w:r>
        <w:rPr>
          <w:noProof/>
          <w:szCs w:val="24"/>
        </w:rPr>
        <w:t xml:space="preserve">broadband. </w:t>
      </w:r>
    </w:p>
    <w:p w:rsidR="0073489B" w:rsidRDefault="00A46D11">
      <w:pPr>
        <w:keepNext/>
        <w:numPr>
          <w:ilvl w:val="0"/>
          <w:numId w:val="96"/>
        </w:numPr>
        <w:ind w:left="284" w:right="142" w:firstLine="0"/>
        <w:outlineLvl w:val="4"/>
        <w:rPr>
          <w:b/>
          <w:noProof/>
          <w:szCs w:val="24"/>
        </w:rPr>
      </w:pPr>
      <w:r>
        <w:rPr>
          <w:b/>
          <w:noProof/>
          <w:szCs w:val="24"/>
        </w:rPr>
        <w:t>The financial institutions invol</w:t>
      </w:r>
      <w:r>
        <w:rPr>
          <w:b/>
          <w:noProof/>
          <w:szCs w:val="24"/>
        </w:rPr>
        <w:t>ved in implementation;</w:t>
      </w:r>
    </w:p>
    <w:p w:rsidR="0073489B" w:rsidRDefault="00A46D11">
      <w:pPr>
        <w:shd w:val="clear" w:color="auto" w:fill="FFFFFF"/>
        <w:spacing w:after="60"/>
        <w:ind w:right="141"/>
        <w:rPr>
          <w:noProof/>
          <w:szCs w:val="24"/>
        </w:rPr>
      </w:pPr>
      <w:r>
        <w:rPr>
          <w:noProof/>
          <w:szCs w:val="24"/>
        </w:rPr>
        <w:t>The Connecting Europe Broaband Fund will be implemented under direct management in cooperation with the EIB and national promotional banks. A fund manager has been selected by the EIB in a public procurement and will be formally appo</w:t>
      </w:r>
      <w:r>
        <w:rPr>
          <w:noProof/>
          <w:szCs w:val="24"/>
        </w:rPr>
        <w:t xml:space="preserve">inted subject to the outcome of the ongoing negotiations.  </w:t>
      </w:r>
    </w:p>
    <w:p w:rsidR="0073489B" w:rsidRDefault="0073489B">
      <w:pPr>
        <w:shd w:val="clear" w:color="auto" w:fill="FFFFFF"/>
        <w:spacing w:after="60"/>
        <w:ind w:right="141"/>
        <w:rPr>
          <w:noProof/>
          <w:szCs w:val="24"/>
        </w:rPr>
      </w:pPr>
    </w:p>
    <w:p w:rsidR="0073489B" w:rsidRDefault="0073489B">
      <w:pPr>
        <w:shd w:val="clear" w:color="auto" w:fill="FFFFFF"/>
        <w:spacing w:after="60"/>
        <w:ind w:right="141"/>
        <w:rPr>
          <w:noProof/>
          <w:szCs w:val="24"/>
        </w:rPr>
      </w:pPr>
    </w:p>
    <w:p w:rsidR="0073489B" w:rsidRDefault="00A46D11">
      <w:pPr>
        <w:keepNext/>
        <w:numPr>
          <w:ilvl w:val="0"/>
          <w:numId w:val="14"/>
        </w:numPr>
        <w:tabs>
          <w:tab w:val="num" w:pos="360"/>
        </w:tabs>
        <w:spacing w:before="240"/>
        <w:ind w:left="357" w:hanging="357"/>
        <w:outlineLvl w:val="3"/>
        <w:rPr>
          <w:rFonts w:eastAsia="Times New Roman"/>
          <w:b/>
          <w:bCs/>
          <w:noProof/>
          <w:szCs w:val="24"/>
          <w:u w:val="single"/>
        </w:rPr>
      </w:pPr>
      <w:r>
        <w:rPr>
          <w:rFonts w:eastAsia="Times New Roman"/>
          <w:b/>
          <w:bCs/>
          <w:noProof/>
          <w:szCs w:val="24"/>
          <w:u w:val="single"/>
        </w:rPr>
        <w:lastRenderedPageBreak/>
        <w:t>Implementation</w:t>
      </w:r>
    </w:p>
    <w:p w:rsidR="0073489B" w:rsidRDefault="00A46D11">
      <w:pPr>
        <w:keepNext/>
        <w:numPr>
          <w:ilvl w:val="0"/>
          <w:numId w:val="96"/>
        </w:numPr>
        <w:spacing w:before="240"/>
        <w:ind w:left="284" w:right="142" w:firstLine="0"/>
        <w:outlineLvl w:val="4"/>
        <w:rPr>
          <w:b/>
          <w:noProof/>
          <w:szCs w:val="24"/>
        </w:rPr>
      </w:pPr>
      <w:r>
        <w:rPr>
          <w:b/>
          <w:noProof/>
          <w:szCs w:val="24"/>
        </w:rPr>
        <w:t>The aggregate budgetary commitments and payments from the budget;</w:t>
      </w:r>
    </w:p>
    <w:p w:rsidR="0073489B" w:rsidRDefault="00A46D11">
      <w:pPr>
        <w:ind w:right="141"/>
        <w:rPr>
          <w:noProof/>
          <w:szCs w:val="24"/>
        </w:rPr>
      </w:pPr>
      <w:r>
        <w:rPr>
          <w:noProof/>
          <w:szCs w:val="24"/>
        </w:rPr>
        <w:t>Aggregate budgetary commitments as at 31/12/2016</w:t>
      </w:r>
      <w:r>
        <w:rPr>
          <w:noProof/>
          <w:szCs w:val="24"/>
        </w:rPr>
        <w:tab/>
      </w:r>
      <w:r>
        <w:rPr>
          <w:noProof/>
          <w:szCs w:val="24"/>
        </w:rPr>
        <w:tab/>
        <w:t xml:space="preserve">                      EUR 100 000 000  </w:t>
      </w:r>
    </w:p>
    <w:p w:rsidR="0073489B" w:rsidRDefault="00A46D11">
      <w:pPr>
        <w:ind w:right="141"/>
        <w:rPr>
          <w:noProof/>
          <w:szCs w:val="24"/>
        </w:rPr>
      </w:pPr>
      <w:r>
        <w:rPr>
          <w:noProof/>
          <w:szCs w:val="24"/>
        </w:rPr>
        <w:t xml:space="preserve">Aggregate budgetary </w:t>
      </w:r>
      <w:r>
        <w:rPr>
          <w:noProof/>
          <w:szCs w:val="24"/>
        </w:rPr>
        <w:t>payments as at 31/12/2016</w:t>
      </w:r>
      <w:r>
        <w:rPr>
          <w:noProof/>
          <w:szCs w:val="24"/>
        </w:rPr>
        <w:tab/>
        <w:t xml:space="preserve">                                 </w:t>
      </w:r>
      <w:r>
        <w:rPr>
          <w:noProof/>
          <w:sz w:val="16"/>
          <w:szCs w:val="16"/>
        </w:rPr>
        <w:t xml:space="preserve"> </w:t>
      </w:r>
      <w:r>
        <w:rPr>
          <w:noProof/>
          <w:szCs w:val="24"/>
        </w:rPr>
        <w:t xml:space="preserve">EUR                  0 </w:t>
      </w:r>
    </w:p>
    <w:p w:rsidR="0073489B" w:rsidRDefault="00A46D11">
      <w:pPr>
        <w:keepNext/>
        <w:numPr>
          <w:ilvl w:val="0"/>
          <w:numId w:val="96"/>
        </w:numPr>
        <w:spacing w:before="160"/>
        <w:ind w:left="284" w:right="142" w:firstLine="0"/>
        <w:outlineLvl w:val="4"/>
        <w:rPr>
          <w:b/>
          <w:noProof/>
          <w:szCs w:val="24"/>
        </w:rPr>
      </w:pPr>
      <w:r>
        <w:rPr>
          <w:b/>
          <w:noProof/>
          <w:szCs w:val="24"/>
        </w:rPr>
        <w:t>The performance of the financial instrument, including investments realised;</w:t>
      </w:r>
    </w:p>
    <w:p w:rsidR="0073489B" w:rsidRDefault="00A46D11">
      <w:pPr>
        <w:spacing w:after="60"/>
        <w:ind w:right="141"/>
        <w:jc w:val="both"/>
        <w:rPr>
          <w:noProof/>
          <w:szCs w:val="24"/>
        </w:rPr>
      </w:pPr>
      <w:r>
        <w:rPr>
          <w:noProof/>
          <w:szCs w:val="24"/>
        </w:rPr>
        <w:t>Not applicable. The Broadband Investment Fund under the CEF Equity Instrument is still in a pre</w:t>
      </w:r>
      <w:r>
        <w:rPr>
          <w:noProof/>
          <w:szCs w:val="24"/>
        </w:rPr>
        <w:t>paratory phase.</w:t>
      </w:r>
    </w:p>
    <w:p w:rsidR="0073489B" w:rsidRDefault="0073489B">
      <w:pPr>
        <w:spacing w:before="60" w:after="240"/>
        <w:ind w:right="141"/>
        <w:rPr>
          <w:i/>
          <w:noProof/>
          <w:szCs w:val="24"/>
        </w:rPr>
      </w:pPr>
    </w:p>
    <w:tbl>
      <w:tblPr>
        <w:tblW w:w="8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366"/>
      </w:tblGrid>
      <w:tr w:rsidR="0073489B">
        <w:trPr>
          <w:trHeight w:val="1816"/>
        </w:trPr>
        <w:tc>
          <w:tcPr>
            <w:tcW w:w="4543" w:type="dxa"/>
            <w:shd w:val="clear" w:color="auto" w:fill="auto"/>
            <w:vAlign w:val="center"/>
          </w:tcPr>
          <w:p w:rsidR="0073489B" w:rsidRDefault="00A46D11">
            <w:pPr>
              <w:spacing w:before="60" w:after="60"/>
              <w:ind w:right="142"/>
              <w:contextualSpacing/>
              <w:jc w:val="both"/>
              <w:rPr>
                <w:noProof/>
                <w:szCs w:val="24"/>
              </w:rPr>
            </w:pPr>
            <w:r>
              <w:rPr>
                <w:noProof/>
                <w:szCs w:val="24"/>
              </w:rPr>
              <w:t>Amount of financing expected to be provided by the instrument (including EU contribution committed) to eligible final recipients,</w:t>
            </w:r>
          </w:p>
          <w:p w:rsidR="0073489B" w:rsidRDefault="00A46D11">
            <w:pPr>
              <w:spacing w:before="60" w:after="60"/>
              <w:ind w:right="142"/>
              <w:contextualSpacing/>
              <w:jc w:val="both"/>
              <w:rPr>
                <w:noProof/>
                <w:szCs w:val="24"/>
              </w:rPr>
            </w:pPr>
            <w:r>
              <w:rPr>
                <w:noProof/>
                <w:szCs w:val="24"/>
              </w:rPr>
              <w:t>and corresponding number of eligible final recipients;</w:t>
            </w:r>
          </w:p>
        </w:tc>
        <w:tc>
          <w:tcPr>
            <w:tcW w:w="4366" w:type="dxa"/>
            <w:shd w:val="clear" w:color="auto" w:fill="auto"/>
            <w:vAlign w:val="center"/>
          </w:tcPr>
          <w:p w:rsidR="0073489B" w:rsidRDefault="00A46D11">
            <w:pPr>
              <w:ind w:right="141"/>
              <w:contextualSpacing/>
              <w:jc w:val="center"/>
              <w:rPr>
                <w:noProof/>
                <w:szCs w:val="24"/>
                <w:lang w:val="fr-BE"/>
              </w:rPr>
            </w:pPr>
            <w:r>
              <w:rPr>
                <w:noProof/>
                <w:szCs w:val="24"/>
                <w:lang w:val="fr-BE"/>
              </w:rPr>
              <w:t>EUR 100 million</w:t>
            </w:r>
          </w:p>
          <w:p w:rsidR="0073489B" w:rsidRDefault="0073489B">
            <w:pPr>
              <w:ind w:right="141"/>
              <w:contextualSpacing/>
              <w:jc w:val="center"/>
              <w:rPr>
                <w:noProof/>
                <w:szCs w:val="24"/>
                <w:lang w:val="fr-BE"/>
              </w:rPr>
            </w:pPr>
          </w:p>
          <w:p w:rsidR="0073489B" w:rsidRDefault="00A46D11">
            <w:pPr>
              <w:ind w:right="141"/>
              <w:contextualSpacing/>
              <w:jc w:val="center"/>
              <w:rPr>
                <w:noProof/>
                <w:szCs w:val="24"/>
                <w:lang w:val="fr-BE"/>
              </w:rPr>
            </w:pPr>
            <w:r>
              <w:rPr>
                <w:noProof/>
                <w:szCs w:val="24"/>
                <w:lang w:val="fr-BE"/>
              </w:rPr>
              <w:t>n.a.</w:t>
            </w:r>
          </w:p>
        </w:tc>
      </w:tr>
      <w:tr w:rsidR="0073489B">
        <w:trPr>
          <w:trHeight w:val="1308"/>
        </w:trPr>
        <w:tc>
          <w:tcPr>
            <w:tcW w:w="4543" w:type="dxa"/>
            <w:shd w:val="clear" w:color="auto" w:fill="auto"/>
            <w:vAlign w:val="center"/>
          </w:tcPr>
          <w:p w:rsidR="0073489B" w:rsidRDefault="00A46D11">
            <w:pPr>
              <w:spacing w:before="60" w:after="60"/>
              <w:ind w:right="142"/>
              <w:contextualSpacing/>
              <w:jc w:val="both"/>
              <w:rPr>
                <w:noProof/>
                <w:szCs w:val="24"/>
              </w:rPr>
            </w:pPr>
            <w:r>
              <w:rPr>
                <w:noProof/>
                <w:szCs w:val="24"/>
              </w:rPr>
              <w:t xml:space="preserve">Amount of investments expected </w:t>
            </w:r>
            <w:r>
              <w:rPr>
                <w:noProof/>
                <w:szCs w:val="24"/>
              </w:rPr>
              <w:t>to be provided by financial intermediaries to eligible final recipients</w:t>
            </w:r>
          </w:p>
          <w:p w:rsidR="0073489B" w:rsidRDefault="00A46D11">
            <w:pPr>
              <w:spacing w:before="60" w:after="60"/>
              <w:ind w:left="357" w:right="142" w:hanging="357"/>
              <w:contextualSpacing/>
              <w:jc w:val="both"/>
              <w:rPr>
                <w:noProof/>
                <w:szCs w:val="24"/>
              </w:rPr>
            </w:pPr>
            <w:r>
              <w:rPr>
                <w:noProof/>
                <w:szCs w:val="24"/>
              </w:rPr>
              <w:t>Expected number of final recipients</w:t>
            </w:r>
          </w:p>
        </w:tc>
        <w:tc>
          <w:tcPr>
            <w:tcW w:w="4366" w:type="dxa"/>
            <w:shd w:val="clear" w:color="auto" w:fill="auto"/>
            <w:vAlign w:val="center"/>
          </w:tcPr>
          <w:p w:rsidR="0073489B" w:rsidRDefault="00A46D11">
            <w:pPr>
              <w:ind w:right="141"/>
              <w:contextualSpacing/>
              <w:jc w:val="center"/>
              <w:rPr>
                <w:noProof/>
                <w:szCs w:val="24"/>
              </w:rPr>
            </w:pPr>
            <w:r>
              <w:rPr>
                <w:noProof/>
                <w:szCs w:val="24"/>
              </w:rPr>
              <w:t>n.a.</w:t>
            </w:r>
          </w:p>
          <w:p w:rsidR="0073489B" w:rsidRDefault="0073489B">
            <w:pPr>
              <w:ind w:right="141"/>
              <w:contextualSpacing/>
              <w:jc w:val="center"/>
              <w:rPr>
                <w:noProof/>
                <w:szCs w:val="24"/>
              </w:rPr>
            </w:pPr>
          </w:p>
          <w:p w:rsidR="0073489B" w:rsidRDefault="00A46D11">
            <w:pPr>
              <w:ind w:left="357" w:right="141" w:hanging="357"/>
              <w:contextualSpacing/>
              <w:jc w:val="center"/>
              <w:rPr>
                <w:noProof/>
                <w:szCs w:val="24"/>
              </w:rPr>
            </w:pPr>
            <w:r>
              <w:rPr>
                <w:noProof/>
                <w:szCs w:val="24"/>
              </w:rPr>
              <w:t>n.a.</w:t>
            </w:r>
          </w:p>
        </w:tc>
      </w:tr>
      <w:tr w:rsidR="0073489B">
        <w:trPr>
          <w:trHeight w:val="1412"/>
        </w:trPr>
        <w:tc>
          <w:tcPr>
            <w:tcW w:w="4543" w:type="dxa"/>
            <w:shd w:val="clear" w:color="auto" w:fill="auto"/>
            <w:vAlign w:val="center"/>
          </w:tcPr>
          <w:p w:rsidR="0073489B" w:rsidRDefault="00A46D11">
            <w:pPr>
              <w:spacing w:before="60" w:after="60"/>
              <w:ind w:right="142"/>
              <w:contextualSpacing/>
              <w:jc w:val="both"/>
              <w:rPr>
                <w:noProof/>
                <w:szCs w:val="24"/>
              </w:rPr>
            </w:pPr>
            <w:r>
              <w:rPr>
                <w:noProof/>
                <w:szCs w:val="24"/>
              </w:rPr>
              <w:t>Amount of financing already provided by the financial intermediaries to eligible final recipients,</w:t>
            </w:r>
          </w:p>
          <w:p w:rsidR="0073489B" w:rsidRDefault="00A46D11">
            <w:pPr>
              <w:spacing w:before="60" w:after="60"/>
              <w:ind w:right="142"/>
              <w:contextualSpacing/>
              <w:jc w:val="both"/>
              <w:rPr>
                <w:noProof/>
                <w:szCs w:val="24"/>
              </w:rPr>
            </w:pPr>
            <w:r>
              <w:rPr>
                <w:noProof/>
                <w:szCs w:val="24"/>
              </w:rPr>
              <w:t xml:space="preserve">and the corresponding number of recipients; </w:t>
            </w:r>
          </w:p>
        </w:tc>
        <w:tc>
          <w:tcPr>
            <w:tcW w:w="4366" w:type="dxa"/>
            <w:shd w:val="clear" w:color="auto" w:fill="auto"/>
            <w:vAlign w:val="center"/>
          </w:tcPr>
          <w:p w:rsidR="0073489B" w:rsidRDefault="00A46D11">
            <w:pPr>
              <w:ind w:right="141"/>
              <w:contextualSpacing/>
              <w:jc w:val="center"/>
              <w:rPr>
                <w:noProof/>
                <w:szCs w:val="24"/>
                <w:lang w:val="fr-BE"/>
              </w:rPr>
            </w:pPr>
            <w:r>
              <w:rPr>
                <w:noProof/>
                <w:szCs w:val="24"/>
                <w:lang w:val="fr-BE"/>
              </w:rPr>
              <w:t>EUR 0</w:t>
            </w:r>
          </w:p>
          <w:p w:rsidR="0073489B" w:rsidRDefault="0073489B">
            <w:pPr>
              <w:ind w:right="141"/>
              <w:contextualSpacing/>
              <w:jc w:val="center"/>
              <w:rPr>
                <w:noProof/>
                <w:szCs w:val="24"/>
                <w:lang w:val="fr-BE"/>
              </w:rPr>
            </w:pPr>
          </w:p>
          <w:p w:rsidR="0073489B" w:rsidRDefault="00A46D11">
            <w:pPr>
              <w:ind w:right="141"/>
              <w:contextualSpacing/>
              <w:jc w:val="center"/>
              <w:rPr>
                <w:noProof/>
                <w:szCs w:val="24"/>
                <w:lang w:val="fr-BE"/>
              </w:rPr>
            </w:pPr>
            <w:r>
              <w:rPr>
                <w:noProof/>
                <w:szCs w:val="24"/>
                <w:lang w:val="fr-BE"/>
              </w:rPr>
              <w:t>0</w:t>
            </w:r>
          </w:p>
        </w:tc>
      </w:tr>
      <w:tr w:rsidR="0073489B">
        <w:trPr>
          <w:trHeight w:val="697"/>
        </w:trPr>
        <w:tc>
          <w:tcPr>
            <w:tcW w:w="4543" w:type="dxa"/>
            <w:shd w:val="clear" w:color="auto" w:fill="auto"/>
            <w:vAlign w:val="center"/>
          </w:tcPr>
          <w:p w:rsidR="0073489B" w:rsidRDefault="00A46D11">
            <w:pPr>
              <w:spacing w:before="60" w:after="60"/>
              <w:ind w:right="142"/>
              <w:contextualSpacing/>
              <w:jc w:val="both"/>
              <w:rPr>
                <w:noProof/>
              </w:rPr>
            </w:pPr>
            <w:r>
              <w:rPr>
                <w:noProof/>
                <w:szCs w:val="24"/>
              </w:rPr>
              <w:t>Amount of investments already made by eligible final recipients due to received financing</w:t>
            </w:r>
          </w:p>
        </w:tc>
        <w:tc>
          <w:tcPr>
            <w:tcW w:w="4366" w:type="dxa"/>
            <w:shd w:val="clear" w:color="auto" w:fill="auto"/>
            <w:vAlign w:val="center"/>
          </w:tcPr>
          <w:p w:rsidR="0073489B" w:rsidRDefault="00A46D11">
            <w:pPr>
              <w:ind w:right="141"/>
              <w:contextualSpacing/>
              <w:jc w:val="center"/>
              <w:rPr>
                <w:noProof/>
                <w:szCs w:val="24"/>
              </w:rPr>
            </w:pPr>
            <w:r>
              <w:rPr>
                <w:noProof/>
                <w:szCs w:val="24"/>
              </w:rPr>
              <w:t>EUR 0</w:t>
            </w:r>
          </w:p>
          <w:p w:rsidR="0073489B" w:rsidRDefault="0073489B">
            <w:pPr>
              <w:ind w:right="141"/>
              <w:contextualSpacing/>
              <w:jc w:val="both"/>
              <w:rPr>
                <w:noProof/>
                <w:szCs w:val="24"/>
              </w:rPr>
            </w:pPr>
          </w:p>
        </w:tc>
      </w:tr>
    </w:tbl>
    <w:p w:rsidR="0073489B" w:rsidRDefault="00A46D11">
      <w:pPr>
        <w:keepNext/>
        <w:numPr>
          <w:ilvl w:val="0"/>
          <w:numId w:val="96"/>
        </w:numPr>
        <w:spacing w:before="240"/>
        <w:ind w:left="284" w:right="142" w:firstLine="0"/>
        <w:jc w:val="both"/>
        <w:outlineLvl w:val="4"/>
        <w:rPr>
          <w:b/>
          <w:noProof/>
          <w:szCs w:val="24"/>
        </w:rPr>
      </w:pPr>
      <w:r>
        <w:rPr>
          <w:b/>
          <w:noProof/>
          <w:szCs w:val="24"/>
        </w:rPr>
        <w:t xml:space="preserve">An evaluation of the use of any amounts returned to the instrument as internal assigned revenue under </w:t>
      </w:r>
      <w:r>
        <w:rPr>
          <w:b/>
          <w:noProof/>
          <w:szCs w:val="24"/>
        </w:rPr>
        <w:t>paragraph 6;</w:t>
      </w:r>
    </w:p>
    <w:p w:rsidR="0073489B" w:rsidRDefault="00A46D11">
      <w:pPr>
        <w:ind w:left="284" w:right="141"/>
        <w:contextualSpacing/>
        <w:rPr>
          <w:noProof/>
          <w:szCs w:val="24"/>
        </w:rPr>
      </w:pPr>
      <w:r>
        <w:rPr>
          <w:noProof/>
          <w:szCs w:val="24"/>
        </w:rPr>
        <w:t>NA</w:t>
      </w:r>
    </w:p>
    <w:p w:rsidR="0073489B" w:rsidRDefault="00A46D11">
      <w:pPr>
        <w:keepNext/>
        <w:numPr>
          <w:ilvl w:val="0"/>
          <w:numId w:val="96"/>
        </w:numPr>
        <w:spacing w:after="160"/>
        <w:ind w:left="284" w:right="142" w:firstLine="0"/>
        <w:outlineLvl w:val="4"/>
        <w:rPr>
          <w:b/>
          <w:noProof/>
          <w:szCs w:val="24"/>
        </w:rPr>
      </w:pPr>
      <w:r>
        <w:rPr>
          <w:b/>
          <w:noProof/>
          <w:szCs w:val="24"/>
        </w:rPr>
        <w:t>The balance of the fiduciary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73489B">
        <w:tc>
          <w:tcPr>
            <w:tcW w:w="9288" w:type="dxa"/>
            <w:gridSpan w:val="2"/>
            <w:tcBorders>
              <w:top w:val="single" w:sz="4" w:space="0" w:color="auto"/>
              <w:left w:val="single" w:sz="4" w:space="0" w:color="auto"/>
              <w:bottom w:val="single" w:sz="4" w:space="0" w:color="auto"/>
              <w:right w:val="single" w:sz="4" w:space="0" w:color="auto"/>
            </w:tcBorders>
            <w:shd w:val="clear" w:color="auto" w:fill="DAEEF3"/>
          </w:tcPr>
          <w:p w:rsidR="0073489B" w:rsidRDefault="00A46D11">
            <w:pPr>
              <w:keepNext/>
              <w:spacing w:before="160"/>
              <w:ind w:left="284" w:right="142"/>
              <w:outlineLvl w:val="4"/>
              <w:rPr>
                <w:b/>
                <w:bCs/>
                <w:i/>
                <w:noProof/>
                <w:szCs w:val="24"/>
              </w:rPr>
            </w:pPr>
            <w:r>
              <w:rPr>
                <w:b/>
                <w:bCs/>
                <w:i/>
                <w:noProof/>
                <w:szCs w:val="24"/>
              </w:rPr>
              <w:t xml:space="preserve">                                                                                                                   In EUR</w:t>
            </w:r>
          </w:p>
        </w:tc>
      </w:tr>
      <w:tr w:rsidR="0073489B">
        <w:tc>
          <w:tcPr>
            <w:tcW w:w="6228" w:type="dxa"/>
            <w:shd w:val="clear" w:color="auto" w:fill="auto"/>
          </w:tcPr>
          <w:p w:rsidR="0073489B" w:rsidRDefault="00A46D11">
            <w:pPr>
              <w:spacing w:before="60" w:after="60"/>
              <w:ind w:right="141"/>
              <w:contextualSpacing/>
              <w:rPr>
                <w:b/>
                <w:bCs/>
                <w:noProof/>
                <w:szCs w:val="24"/>
                <w:u w:val="single"/>
              </w:rPr>
            </w:pPr>
            <w:r>
              <w:rPr>
                <w:b/>
                <w:bCs/>
                <w:noProof/>
                <w:szCs w:val="24"/>
              </w:rPr>
              <w:t>Balance on the fiduciary account (current account)</w:t>
            </w:r>
          </w:p>
        </w:tc>
        <w:tc>
          <w:tcPr>
            <w:tcW w:w="3060" w:type="dxa"/>
            <w:shd w:val="clear" w:color="auto" w:fill="auto"/>
            <w:vAlign w:val="center"/>
          </w:tcPr>
          <w:p w:rsidR="0073489B" w:rsidRDefault="00A46D11">
            <w:pPr>
              <w:spacing w:before="60" w:after="60"/>
              <w:ind w:right="141"/>
              <w:contextualSpacing/>
              <w:jc w:val="center"/>
              <w:rPr>
                <w:bCs/>
                <w:noProof/>
                <w:szCs w:val="24"/>
              </w:rPr>
            </w:pPr>
            <w:r>
              <w:rPr>
                <w:bCs/>
                <w:noProof/>
                <w:szCs w:val="24"/>
              </w:rPr>
              <w:t>0</w:t>
            </w:r>
          </w:p>
        </w:tc>
      </w:tr>
      <w:tr w:rsidR="0073489B">
        <w:tc>
          <w:tcPr>
            <w:tcW w:w="6228" w:type="dxa"/>
            <w:shd w:val="clear" w:color="auto" w:fill="auto"/>
          </w:tcPr>
          <w:p w:rsidR="0073489B" w:rsidRDefault="00A46D11">
            <w:pPr>
              <w:spacing w:before="60" w:after="60"/>
              <w:ind w:right="141"/>
              <w:contextualSpacing/>
              <w:rPr>
                <w:b/>
                <w:bCs/>
                <w:noProof/>
                <w:szCs w:val="24"/>
                <w:u w:val="single"/>
              </w:rPr>
            </w:pPr>
            <w:r>
              <w:rPr>
                <w:b/>
                <w:bCs/>
                <w:noProof/>
                <w:szCs w:val="24"/>
              </w:rPr>
              <w:t xml:space="preserve">Term deposits/Bonds (if </w:t>
            </w:r>
            <w:r>
              <w:rPr>
                <w:b/>
                <w:bCs/>
                <w:noProof/>
                <w:szCs w:val="24"/>
              </w:rPr>
              <w:t>applicable)</w:t>
            </w:r>
          </w:p>
        </w:tc>
        <w:tc>
          <w:tcPr>
            <w:tcW w:w="3060" w:type="dxa"/>
            <w:shd w:val="clear" w:color="auto" w:fill="auto"/>
            <w:vAlign w:val="center"/>
          </w:tcPr>
          <w:p w:rsidR="0073489B" w:rsidRDefault="00A46D11">
            <w:pPr>
              <w:spacing w:before="60" w:after="60"/>
              <w:ind w:right="141"/>
              <w:contextualSpacing/>
              <w:jc w:val="center"/>
              <w:rPr>
                <w:bCs/>
                <w:noProof/>
                <w:szCs w:val="24"/>
              </w:rPr>
            </w:pPr>
            <w:r>
              <w:rPr>
                <w:bCs/>
                <w:noProof/>
                <w:szCs w:val="24"/>
              </w:rPr>
              <w:t>0</w:t>
            </w:r>
          </w:p>
        </w:tc>
      </w:tr>
      <w:tr w:rsidR="0073489B">
        <w:tc>
          <w:tcPr>
            <w:tcW w:w="6228" w:type="dxa"/>
            <w:shd w:val="clear" w:color="auto" w:fill="auto"/>
          </w:tcPr>
          <w:p w:rsidR="0073489B" w:rsidRDefault="00A46D11">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73489B" w:rsidRDefault="00A46D11">
            <w:pPr>
              <w:spacing w:before="60" w:after="60"/>
              <w:ind w:right="141"/>
              <w:contextualSpacing/>
              <w:jc w:val="center"/>
              <w:rPr>
                <w:bCs/>
                <w:noProof/>
                <w:szCs w:val="24"/>
              </w:rPr>
            </w:pPr>
            <w:r>
              <w:rPr>
                <w:bCs/>
                <w:noProof/>
                <w:szCs w:val="24"/>
              </w:rPr>
              <w:t>0</w:t>
            </w:r>
          </w:p>
        </w:tc>
      </w:tr>
      <w:tr w:rsidR="0073489B">
        <w:trPr>
          <w:trHeight w:val="334"/>
        </w:trPr>
        <w:tc>
          <w:tcPr>
            <w:tcW w:w="6228" w:type="dxa"/>
            <w:shd w:val="clear" w:color="auto" w:fill="auto"/>
          </w:tcPr>
          <w:p w:rsidR="0073489B" w:rsidRDefault="00A46D11">
            <w:pPr>
              <w:spacing w:before="60" w:after="60"/>
              <w:ind w:right="141"/>
              <w:rPr>
                <w:b/>
                <w:bCs/>
                <w:noProof/>
                <w:szCs w:val="24"/>
              </w:rPr>
            </w:pPr>
            <w:r>
              <w:rPr>
                <w:b/>
                <w:bCs/>
                <w:i/>
                <w:iCs/>
                <w:noProof/>
                <w:szCs w:val="24"/>
              </w:rPr>
              <w:t>= Total assets</w:t>
            </w:r>
          </w:p>
        </w:tc>
        <w:tc>
          <w:tcPr>
            <w:tcW w:w="3060" w:type="dxa"/>
            <w:shd w:val="clear" w:color="auto" w:fill="auto"/>
          </w:tcPr>
          <w:p w:rsidR="0073489B" w:rsidRDefault="00A46D11">
            <w:pPr>
              <w:spacing w:before="60" w:after="60"/>
              <w:ind w:right="141"/>
              <w:contextualSpacing/>
              <w:jc w:val="center"/>
              <w:rPr>
                <w:bCs/>
                <w:noProof/>
                <w:szCs w:val="24"/>
              </w:rPr>
            </w:pPr>
            <w:r>
              <w:rPr>
                <w:bCs/>
                <w:noProof/>
                <w:szCs w:val="24"/>
              </w:rPr>
              <w:t>0</w:t>
            </w:r>
          </w:p>
        </w:tc>
      </w:tr>
    </w:tbl>
    <w:p w:rsidR="0073489B" w:rsidRDefault="00A46D11">
      <w:pPr>
        <w:spacing w:after="60"/>
        <w:rPr>
          <w:i/>
          <w:noProof/>
          <w:szCs w:val="24"/>
          <w:lang w:eastAsia="en-GB"/>
        </w:rPr>
      </w:pPr>
      <w:r>
        <w:rPr>
          <w:i/>
          <w:noProof/>
          <w:szCs w:val="24"/>
          <w:lang w:eastAsia="en-GB"/>
        </w:rPr>
        <w:t>Impact of negative interest on RSI: no impact as at 31/12/2016.</w:t>
      </w:r>
      <w:r>
        <w:rPr>
          <w:i/>
          <w:noProof/>
          <w:szCs w:val="24"/>
          <w:vertAlign w:val="superscript"/>
          <w:lang w:eastAsia="en-GB"/>
        </w:rPr>
        <w:footnoteReference w:id="62"/>
      </w:r>
    </w:p>
    <w:p w:rsidR="0073489B" w:rsidRDefault="00A46D11">
      <w:pPr>
        <w:keepNext/>
        <w:numPr>
          <w:ilvl w:val="0"/>
          <w:numId w:val="96"/>
        </w:numPr>
        <w:spacing w:before="160"/>
        <w:ind w:left="284" w:right="142" w:firstLine="0"/>
        <w:outlineLvl w:val="4"/>
        <w:rPr>
          <w:b/>
          <w:noProof/>
          <w:szCs w:val="24"/>
        </w:rPr>
      </w:pPr>
      <w:r>
        <w:rPr>
          <w:b/>
          <w:noProof/>
          <w:szCs w:val="24"/>
        </w:rPr>
        <w:lastRenderedPageBreak/>
        <w:t>Revenues and repayments;</w:t>
      </w:r>
    </w:p>
    <w:p w:rsidR="0073489B" w:rsidRDefault="00A46D11">
      <w:pPr>
        <w:ind w:right="141"/>
        <w:rPr>
          <w:noProof/>
          <w:szCs w:val="24"/>
        </w:rPr>
      </w:pPr>
      <w:r>
        <w:rPr>
          <w:noProof/>
          <w:szCs w:val="24"/>
        </w:rPr>
        <w:t>N/A</w:t>
      </w:r>
    </w:p>
    <w:p w:rsidR="0073489B" w:rsidRDefault="00A46D11">
      <w:pPr>
        <w:keepNext/>
        <w:numPr>
          <w:ilvl w:val="0"/>
          <w:numId w:val="96"/>
        </w:numPr>
        <w:ind w:left="284" w:right="142" w:firstLine="0"/>
        <w:outlineLvl w:val="4"/>
        <w:rPr>
          <w:b/>
          <w:noProof/>
          <w:szCs w:val="24"/>
        </w:rPr>
      </w:pPr>
      <w:r>
        <w:rPr>
          <w:b/>
          <w:noProof/>
          <w:szCs w:val="24"/>
        </w:rPr>
        <w:t>The value of equity investments, with respect to previous years;</w:t>
      </w:r>
    </w:p>
    <w:p w:rsidR="0073489B" w:rsidRDefault="00A46D11">
      <w:pPr>
        <w:spacing w:after="60"/>
        <w:ind w:right="141"/>
        <w:rPr>
          <w:noProof/>
          <w:szCs w:val="24"/>
        </w:rPr>
      </w:pPr>
      <w:r>
        <w:rPr>
          <w:noProof/>
          <w:szCs w:val="24"/>
        </w:rPr>
        <w:t xml:space="preserve">N/A </w:t>
      </w:r>
    </w:p>
    <w:p w:rsidR="0073489B" w:rsidRDefault="00A46D11">
      <w:pPr>
        <w:keepNext/>
        <w:numPr>
          <w:ilvl w:val="0"/>
          <w:numId w:val="96"/>
        </w:numPr>
        <w:ind w:left="284" w:right="142" w:firstLine="0"/>
        <w:outlineLvl w:val="4"/>
        <w:rPr>
          <w:b/>
          <w:noProof/>
          <w:szCs w:val="24"/>
        </w:rPr>
      </w:pPr>
      <w:r>
        <w:rPr>
          <w:b/>
          <w:noProof/>
          <w:szCs w:val="24"/>
        </w:rPr>
        <w:t>The accumulated figures on</w:t>
      </w:r>
      <w:r>
        <w:rPr>
          <w:b/>
          <w:noProof/>
          <w:szCs w:val="24"/>
        </w:rPr>
        <w:t xml:space="preserve"> impairments of assets of equity;</w:t>
      </w:r>
    </w:p>
    <w:p w:rsidR="0073489B" w:rsidRDefault="00A46D11">
      <w:pPr>
        <w:spacing w:after="60"/>
        <w:ind w:right="141"/>
        <w:contextualSpacing/>
        <w:rPr>
          <w:noProof/>
        </w:rPr>
      </w:pPr>
      <w:r>
        <w:rPr>
          <w:noProof/>
          <w:szCs w:val="24"/>
        </w:rPr>
        <w:t>N/A</w:t>
      </w:r>
    </w:p>
    <w:p w:rsidR="0073489B" w:rsidRDefault="00A46D11">
      <w:pPr>
        <w:keepNext/>
        <w:numPr>
          <w:ilvl w:val="0"/>
          <w:numId w:val="96"/>
        </w:numPr>
        <w:ind w:left="284" w:right="142" w:firstLine="0"/>
        <w:outlineLvl w:val="4"/>
        <w:rPr>
          <w:b/>
          <w:noProof/>
          <w:szCs w:val="24"/>
        </w:rPr>
      </w:pPr>
      <w:r>
        <w:rPr>
          <w:b/>
          <w:noProof/>
          <w:szCs w:val="24"/>
        </w:rPr>
        <w:t>The target leverage effect, and the achieved leverage effect;</w:t>
      </w:r>
    </w:p>
    <w:p w:rsidR="0073489B" w:rsidRDefault="00A46D11">
      <w:pPr>
        <w:spacing w:after="60"/>
        <w:jc w:val="both"/>
        <w:rPr>
          <w:noProof/>
          <w:szCs w:val="24"/>
          <w:lang w:eastAsia="en-GB"/>
        </w:rPr>
      </w:pPr>
      <w:r>
        <w:rPr>
          <w:noProof/>
          <w:szCs w:val="24"/>
          <w:lang w:eastAsia="en-GB"/>
        </w:rPr>
        <w:t xml:space="preserve">The target leverage effect is 5 to 17, which – given the current budget envelope of 100m – will support a financing amount of 500 million to 1700 million. </w:t>
      </w:r>
    </w:p>
    <w:p w:rsidR="0073489B" w:rsidRDefault="0073489B">
      <w:pPr>
        <w:spacing w:after="60"/>
        <w:jc w:val="both"/>
        <w:rPr>
          <w:noProof/>
          <w:szCs w:val="24"/>
          <w:lang w:eastAsia="en-GB"/>
        </w:rPr>
      </w:pPr>
    </w:p>
    <w:p w:rsidR="0073489B" w:rsidRDefault="00A46D11">
      <w:pPr>
        <w:keepNext/>
        <w:numPr>
          <w:ilvl w:val="0"/>
          <w:numId w:val="14"/>
        </w:numPr>
        <w:tabs>
          <w:tab w:val="num" w:pos="360"/>
        </w:tabs>
        <w:spacing w:before="240"/>
        <w:ind w:left="357" w:hanging="357"/>
        <w:outlineLvl w:val="3"/>
        <w:rPr>
          <w:rFonts w:eastAsia="Times New Roman"/>
          <w:b/>
          <w:bCs/>
          <w:noProof/>
          <w:szCs w:val="24"/>
          <w:u w:val="single"/>
        </w:rPr>
      </w:pPr>
      <w:r>
        <w:rPr>
          <w:rFonts w:eastAsia="Times New Roman"/>
          <w:b/>
          <w:bCs/>
          <w:noProof/>
          <w:szCs w:val="24"/>
          <w:u w:val="single"/>
        </w:rPr>
        <w:t>Strategic importance/relevance</w:t>
      </w:r>
    </w:p>
    <w:p w:rsidR="0073489B" w:rsidRDefault="00A46D11">
      <w:pPr>
        <w:keepNext/>
        <w:numPr>
          <w:ilvl w:val="0"/>
          <w:numId w:val="96"/>
        </w:numPr>
        <w:ind w:left="284" w:right="142" w:firstLine="0"/>
        <w:jc w:val="both"/>
        <w:outlineLvl w:val="4"/>
        <w:rPr>
          <w:b/>
          <w:i/>
          <w:noProof/>
          <w:szCs w:val="24"/>
        </w:rPr>
      </w:pPr>
      <w:r>
        <w:rPr>
          <w:b/>
          <w:noProof/>
          <w:szCs w:val="24"/>
        </w:rPr>
        <w:t>The contribution of the financial instrument to the achievement of the objectives of the programme concerned as measured by the established indicators, including, where applicable, the geographical diversification;</w:t>
      </w:r>
    </w:p>
    <w:p w:rsidR="0073489B" w:rsidRDefault="00A46D11">
      <w:pPr>
        <w:spacing w:after="240"/>
        <w:ind w:right="141"/>
        <w:jc w:val="both"/>
        <w:rPr>
          <w:noProof/>
          <w:szCs w:val="24"/>
          <w:lang w:eastAsia="en-GB"/>
        </w:rPr>
      </w:pPr>
      <w:r>
        <w:rPr>
          <w:noProof/>
          <w:szCs w:val="24"/>
          <w:lang w:eastAsia="en-GB"/>
        </w:rPr>
        <w:t xml:space="preserve">N/A (the </w:t>
      </w:r>
      <w:r>
        <w:rPr>
          <w:noProof/>
          <w:szCs w:val="24"/>
          <w:lang w:eastAsia="en-GB"/>
        </w:rPr>
        <w:t>Instrument is too new to have produced any achievements as at 31/12/2016)</w:t>
      </w:r>
    </w:p>
    <w:p w:rsidR="0073489B" w:rsidRDefault="0073489B">
      <w:pPr>
        <w:spacing w:after="240"/>
        <w:ind w:right="141"/>
        <w:jc w:val="both"/>
        <w:rPr>
          <w:noProof/>
          <w:szCs w:val="24"/>
          <w:lang w:eastAsia="en-GB"/>
        </w:rPr>
      </w:pPr>
    </w:p>
    <w:p w:rsidR="0073489B" w:rsidRDefault="00A46D11">
      <w:pPr>
        <w:keepNext/>
        <w:numPr>
          <w:ilvl w:val="0"/>
          <w:numId w:val="14"/>
        </w:numPr>
        <w:tabs>
          <w:tab w:val="num" w:pos="360"/>
        </w:tabs>
        <w:spacing w:before="240"/>
        <w:ind w:left="357" w:hanging="357"/>
        <w:outlineLvl w:val="3"/>
        <w:rPr>
          <w:rFonts w:eastAsia="Times New Roman"/>
          <w:b/>
          <w:bCs/>
          <w:noProof/>
          <w:szCs w:val="24"/>
          <w:u w:val="single"/>
        </w:rPr>
      </w:pPr>
      <w:r>
        <w:rPr>
          <w:rFonts w:eastAsia="Times New Roman"/>
          <w:b/>
          <w:bCs/>
          <w:noProof/>
          <w:szCs w:val="24"/>
          <w:u w:val="single"/>
        </w:rPr>
        <w:t>Other key points and issues</w:t>
      </w:r>
    </w:p>
    <w:p w:rsidR="0073489B" w:rsidRDefault="00A46D11">
      <w:pPr>
        <w:ind w:right="141"/>
        <w:jc w:val="both"/>
        <w:rPr>
          <w:noProof/>
          <w:szCs w:val="24"/>
        </w:rPr>
      </w:pPr>
      <w:r>
        <w:rPr>
          <w:noProof/>
          <w:szCs w:val="24"/>
          <w:lang w:eastAsia="en-GB"/>
        </w:rPr>
        <w:t>The Broadband Investment Fund under CEF Equity Instrument is in preparatory phase. The scope of envisaged operations will depend on the outcome of negoti</w:t>
      </w:r>
      <w:r>
        <w:rPr>
          <w:noProof/>
          <w:szCs w:val="24"/>
          <w:lang w:eastAsia="en-GB"/>
        </w:rPr>
        <w:t>ations with investors, in particular the capacity of the Fund to attract private capital.</w:t>
      </w:r>
    </w:p>
    <w:p w:rsidR="0073489B" w:rsidRDefault="0073489B">
      <w:pPr>
        <w:pStyle w:val="ListParagraph"/>
        <w:tabs>
          <w:tab w:val="left" w:pos="426"/>
        </w:tabs>
        <w:autoSpaceDE w:val="0"/>
        <w:autoSpaceDN w:val="0"/>
        <w:adjustRightInd w:val="0"/>
        <w:spacing w:after="600"/>
        <w:ind w:right="141"/>
        <w:jc w:val="both"/>
        <w:rPr>
          <w:noProof/>
          <w:szCs w:val="24"/>
        </w:rPr>
      </w:pPr>
    </w:p>
    <w:p w:rsidR="0073489B" w:rsidRDefault="00A46D11">
      <w:pPr>
        <w:pStyle w:val="Heading3"/>
        <w:spacing w:before="120" w:after="120"/>
        <w:ind w:left="553" w:hanging="553"/>
      </w:pPr>
      <w:bookmarkStart w:id="46" w:name="_Equity_Facility_for"/>
      <w:bookmarkStart w:id="47" w:name="_Toc387228756"/>
      <w:bookmarkStart w:id="48" w:name="_Toc388541866"/>
      <w:bookmarkStart w:id="49" w:name="_Toc393281932"/>
      <w:bookmarkStart w:id="50" w:name="_Toc486436747"/>
      <w:bookmarkEnd w:id="46"/>
      <w:r>
        <w:t>Equity Facility for Growth under COSME</w:t>
      </w:r>
      <w:bookmarkEnd w:id="47"/>
      <w:bookmarkEnd w:id="48"/>
      <w:bookmarkEnd w:id="49"/>
      <w:bookmarkEnd w:id="50"/>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49"/>
        <w:gridCol w:w="4739"/>
      </w:tblGrid>
      <w:tr w:rsidR="0073489B">
        <w:trPr>
          <w:trHeight w:val="561"/>
          <w:jc w:val="center"/>
        </w:trPr>
        <w:tc>
          <w:tcPr>
            <w:tcW w:w="2449" w:type="pct"/>
            <w:tcBorders>
              <w:bottom w:val="single" w:sz="4" w:space="0" w:color="auto"/>
            </w:tcBorders>
            <w:shd w:val="clear" w:color="auto" w:fill="auto"/>
            <w:vAlign w:val="center"/>
          </w:tcPr>
          <w:p w:rsidR="0073489B" w:rsidRDefault="00A46D11">
            <w:pPr>
              <w:spacing w:before="60" w:after="60"/>
              <w:rPr>
                <w:noProof/>
                <w:szCs w:val="24"/>
              </w:rPr>
            </w:pPr>
            <w:r>
              <w:rPr>
                <w:b/>
                <w:noProof/>
                <w:szCs w:val="24"/>
              </w:rPr>
              <w:t>Policy DG in charge:</w:t>
            </w:r>
            <w:r>
              <w:rPr>
                <w:noProof/>
                <w:szCs w:val="24"/>
              </w:rPr>
              <w:t xml:space="preserve">  </w:t>
            </w:r>
          </w:p>
        </w:tc>
        <w:tc>
          <w:tcPr>
            <w:tcW w:w="2551" w:type="pct"/>
            <w:tcBorders>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GROW</w:t>
            </w:r>
          </w:p>
        </w:tc>
      </w:tr>
      <w:tr w:rsidR="0073489B">
        <w:trPr>
          <w:trHeight w:val="561"/>
          <w:jc w:val="center"/>
        </w:trPr>
        <w:tc>
          <w:tcPr>
            <w:tcW w:w="2449"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 xml:space="preserve">Implementing DG in charge: </w:t>
            </w:r>
            <w:r>
              <w:rPr>
                <w:noProof/>
                <w:szCs w:val="24"/>
              </w:rPr>
              <w:t xml:space="preserve"> </w:t>
            </w:r>
          </w:p>
        </w:tc>
        <w:tc>
          <w:tcPr>
            <w:tcW w:w="2551"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GROW</w:t>
            </w:r>
          </w:p>
        </w:tc>
      </w:tr>
      <w:tr w:rsidR="0073489B">
        <w:trPr>
          <w:trHeight w:val="561"/>
          <w:jc w:val="center"/>
        </w:trPr>
        <w:tc>
          <w:tcPr>
            <w:tcW w:w="2449"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Operating Body in charge:</w:t>
            </w:r>
          </w:p>
        </w:tc>
        <w:tc>
          <w:tcPr>
            <w:tcW w:w="2551"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EIF</w:t>
            </w:r>
          </w:p>
        </w:tc>
      </w:tr>
      <w:tr w:rsidR="0073489B">
        <w:trPr>
          <w:trHeight w:val="561"/>
          <w:jc w:val="center"/>
        </w:trPr>
        <w:tc>
          <w:tcPr>
            <w:tcW w:w="2449"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 xml:space="preserve">Initial Overall Budget </w:t>
            </w:r>
            <w:r>
              <w:rPr>
                <w:b/>
                <w:noProof/>
                <w:szCs w:val="24"/>
              </w:rPr>
              <w:t>Envelope:</w:t>
            </w:r>
          </w:p>
        </w:tc>
        <w:tc>
          <w:tcPr>
            <w:tcW w:w="2551"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EUR 662 million</w:t>
            </w:r>
            <w:r>
              <w:rPr>
                <w:rStyle w:val="FootnoteReference"/>
                <w:noProof/>
                <w:szCs w:val="24"/>
              </w:rPr>
              <w:footnoteReference w:id="63"/>
            </w:r>
          </w:p>
        </w:tc>
      </w:tr>
      <w:tr w:rsidR="0073489B">
        <w:trPr>
          <w:trHeight w:val="561"/>
          <w:jc w:val="center"/>
        </w:trPr>
        <w:tc>
          <w:tcPr>
            <w:tcW w:w="2449" w:type="pct"/>
            <w:tcBorders>
              <w:top w:val="single" w:sz="4" w:space="0" w:color="auto"/>
            </w:tcBorders>
            <w:shd w:val="clear" w:color="auto" w:fill="auto"/>
            <w:vAlign w:val="center"/>
          </w:tcPr>
          <w:p w:rsidR="0073489B" w:rsidRDefault="00A46D11">
            <w:pPr>
              <w:spacing w:before="60" w:after="60"/>
              <w:rPr>
                <w:b/>
                <w:noProof/>
                <w:szCs w:val="24"/>
              </w:rPr>
            </w:pPr>
            <w:r>
              <w:rPr>
                <w:b/>
                <w:noProof/>
                <w:szCs w:val="24"/>
              </w:rPr>
              <w:t>Current Overall Budget:</w:t>
            </w:r>
          </w:p>
        </w:tc>
        <w:tc>
          <w:tcPr>
            <w:tcW w:w="2551" w:type="pct"/>
            <w:tcBorders>
              <w:top w:val="single" w:sz="4" w:space="0" w:color="auto"/>
            </w:tcBorders>
            <w:shd w:val="clear" w:color="auto" w:fill="auto"/>
            <w:vAlign w:val="center"/>
          </w:tcPr>
          <w:p w:rsidR="0073489B" w:rsidRDefault="00A46D11">
            <w:pPr>
              <w:spacing w:before="60" w:after="60"/>
              <w:jc w:val="center"/>
              <w:rPr>
                <w:noProof/>
                <w:szCs w:val="24"/>
              </w:rPr>
            </w:pPr>
            <w:r>
              <w:rPr>
                <w:noProof/>
                <w:szCs w:val="24"/>
              </w:rPr>
              <w:t>EUR 490 million</w:t>
            </w:r>
            <w:r>
              <w:rPr>
                <w:rStyle w:val="FootnoteReference"/>
                <w:noProof/>
                <w:szCs w:val="24"/>
              </w:rPr>
              <w:footnoteReference w:id="64"/>
            </w:r>
          </w:p>
        </w:tc>
      </w:tr>
    </w:tbl>
    <w:p w:rsidR="0073489B" w:rsidRDefault="0073489B">
      <w:pPr>
        <w:rPr>
          <w:noProof/>
          <w:lang w:eastAsia="fr-FR"/>
        </w:rPr>
      </w:pPr>
    </w:p>
    <w:p w:rsidR="0073489B" w:rsidRDefault="00A46D11">
      <w:pPr>
        <w:pStyle w:val="Heading4"/>
        <w:numPr>
          <w:ilvl w:val="0"/>
          <w:numId w:val="268"/>
        </w:numPr>
        <w:spacing w:before="120"/>
        <w:rPr>
          <w:noProof/>
          <w:lang w:eastAsia="fr-FR"/>
        </w:rPr>
      </w:pPr>
      <w:r>
        <w:rPr>
          <w:noProof/>
        </w:rPr>
        <w:lastRenderedPageBreak/>
        <w:t>Summary</w:t>
      </w:r>
    </w:p>
    <w:p w:rsidR="0073489B" w:rsidRDefault="0073489B">
      <w:pPr>
        <w:ind w:left="360"/>
        <w:contextualSpacing/>
        <w:rPr>
          <w:b/>
          <w:i/>
          <w:noProof/>
          <w:sz w:val="20"/>
          <w:szCs w:val="20"/>
          <w:lang w:eastAsia="fr-FR"/>
        </w:rPr>
      </w:pPr>
    </w:p>
    <w:p w:rsidR="0073489B" w:rsidRDefault="00A46D11">
      <w:pPr>
        <w:spacing w:after="60"/>
        <w:jc w:val="both"/>
        <w:rPr>
          <w:noProof/>
          <w:szCs w:val="24"/>
          <w:lang w:val="en-US"/>
        </w:rPr>
      </w:pPr>
      <w:r>
        <w:rPr>
          <w:noProof/>
          <w:szCs w:val="24"/>
          <w:lang w:val="en-US"/>
        </w:rPr>
        <w:t xml:space="preserve">The equity investments offered for funds investing into European SMEs at the growth and expansion stage are implemented by the EIF under the COSME Delegation Agreement signed </w:t>
      </w:r>
      <w:r>
        <w:rPr>
          <w:noProof/>
          <w:szCs w:val="24"/>
          <w:lang w:val="en-US"/>
        </w:rPr>
        <w:t>in July 2014.</w:t>
      </w:r>
    </w:p>
    <w:p w:rsidR="0073489B" w:rsidRDefault="00A46D11">
      <w:pPr>
        <w:spacing w:after="60"/>
        <w:jc w:val="both"/>
        <w:rPr>
          <w:noProof/>
          <w:szCs w:val="24"/>
          <w:lang w:val="en-US"/>
        </w:rPr>
      </w:pPr>
      <w:r>
        <w:rPr>
          <w:noProof/>
          <w:szCs w:val="24"/>
        </w:rPr>
        <w:t>The overall value of risk capital investments, including venture capital and mezzanine finance, such as subordinated and participating loans, to be mobilised by the EU contribution is expected to range from EUR 2,6 billion to EUR 3,9 billion.</w:t>
      </w:r>
    </w:p>
    <w:p w:rsidR="0073489B" w:rsidRDefault="00A46D11">
      <w:pPr>
        <w:spacing w:after="60"/>
        <w:jc w:val="both"/>
        <w:rPr>
          <w:noProof/>
          <w:szCs w:val="24"/>
          <w:lang w:val="en-US"/>
        </w:rPr>
      </w:pPr>
      <w:r>
        <w:rPr>
          <w:noProof/>
          <w:szCs w:val="24"/>
          <w:lang w:val="en-US"/>
        </w:rPr>
        <w:t xml:space="preserve">Nine fund agreements were signed by the end of 2016 under which investments into 12 SMEs already took place. </w:t>
      </w:r>
    </w:p>
    <w:p w:rsidR="0073489B" w:rsidRDefault="00A46D11">
      <w:pPr>
        <w:spacing w:after="60"/>
        <w:rPr>
          <w:noProof/>
          <w:szCs w:val="24"/>
          <w:lang w:val="en-US"/>
        </w:rPr>
      </w:pPr>
      <w:r>
        <w:rPr>
          <w:noProof/>
          <w:szCs w:val="24"/>
          <w:lang w:val="en-US"/>
        </w:rPr>
        <w:t xml:space="preserve"> </w:t>
      </w:r>
    </w:p>
    <w:p w:rsidR="0073489B" w:rsidRDefault="00A46D11">
      <w:pPr>
        <w:pStyle w:val="Heading4"/>
        <w:numPr>
          <w:ilvl w:val="0"/>
          <w:numId w:val="16"/>
        </w:numPr>
        <w:ind w:left="426" w:hanging="426"/>
        <w:rPr>
          <w:i/>
          <w:noProof/>
          <w:sz w:val="20"/>
          <w:szCs w:val="20"/>
          <w:lang w:val="en-US" w:eastAsia="fr-FR"/>
        </w:rPr>
      </w:pPr>
      <w:r>
        <w:rPr>
          <w:noProof/>
        </w:rPr>
        <w:t>Description</w:t>
      </w:r>
    </w:p>
    <w:p w:rsidR="0073489B" w:rsidRDefault="00A46D11">
      <w:pPr>
        <w:pStyle w:val="Heading5"/>
        <w:numPr>
          <w:ilvl w:val="0"/>
          <w:numId w:val="271"/>
        </w:numPr>
        <w:spacing w:before="120"/>
        <w:ind w:left="284" w:firstLine="0"/>
        <w:rPr>
          <w:noProof/>
        </w:rPr>
      </w:pPr>
      <w:bookmarkStart w:id="51" w:name="_Toc387228758"/>
      <w:r>
        <w:rPr>
          <w:noProof/>
        </w:rPr>
        <w:t>Identification of the financial instrument and the basic act</w:t>
      </w:r>
      <w:bookmarkEnd w:id="51"/>
      <w:r>
        <w:rPr>
          <w:noProof/>
        </w:rPr>
        <w:t>:</w:t>
      </w:r>
    </w:p>
    <w:p w:rsidR="0073489B" w:rsidRDefault="00A46D11">
      <w:pPr>
        <w:spacing w:after="60"/>
        <w:jc w:val="both"/>
        <w:rPr>
          <w:noProof/>
          <w:szCs w:val="24"/>
        </w:rPr>
      </w:pPr>
      <w:r>
        <w:rPr>
          <w:noProof/>
          <w:szCs w:val="24"/>
        </w:rPr>
        <w:t>Regulation (EU) No 1287/2013 of the European Parliament and of the Co</w:t>
      </w:r>
      <w:r>
        <w:rPr>
          <w:noProof/>
          <w:szCs w:val="24"/>
        </w:rPr>
        <w:t>uncil of 11 December 2013 establishing a Programme for the Competitiveness of Enterprises and small and medium-sized enterprises (COSME) (2014 – 2020) and repealing Decision No 1639/2006/EC (O.J. L347 of 20 December 2013).</w:t>
      </w:r>
    </w:p>
    <w:p w:rsidR="0073489B" w:rsidRDefault="00A46D11">
      <w:pPr>
        <w:pStyle w:val="Heading5"/>
        <w:numPr>
          <w:ilvl w:val="0"/>
          <w:numId w:val="272"/>
        </w:numPr>
        <w:spacing w:before="120"/>
        <w:ind w:hanging="76"/>
        <w:jc w:val="both"/>
        <w:rPr>
          <w:b w:val="0"/>
          <w:noProof/>
        </w:rPr>
      </w:pPr>
      <w:bookmarkStart w:id="52" w:name="_Toc387228759"/>
      <w:r>
        <w:rPr>
          <w:noProof/>
        </w:rPr>
        <w:t xml:space="preserve">Description of the financial </w:t>
      </w:r>
      <w:r>
        <w:rPr>
          <w:noProof/>
        </w:rPr>
        <w:t>instrument, implementation arrangements and the    added value of the Union contribution</w:t>
      </w:r>
      <w:bookmarkEnd w:id="52"/>
      <w:r>
        <w:rPr>
          <w:noProof/>
        </w:rPr>
        <w:t>;</w:t>
      </w:r>
    </w:p>
    <w:p w:rsidR="0073489B" w:rsidRDefault="00A46D11">
      <w:pPr>
        <w:keepNext/>
        <w:jc w:val="both"/>
        <w:rPr>
          <w:i/>
          <w:noProof/>
          <w:szCs w:val="24"/>
        </w:rPr>
      </w:pPr>
      <w:r>
        <w:rPr>
          <w:i/>
          <w:noProof/>
          <w:szCs w:val="24"/>
        </w:rPr>
        <w:t>Policy objectives and scope</w:t>
      </w:r>
    </w:p>
    <w:p w:rsidR="0073489B" w:rsidRDefault="00A46D11">
      <w:pPr>
        <w:spacing w:after="60"/>
        <w:jc w:val="both"/>
        <w:rPr>
          <w:noProof/>
          <w:szCs w:val="24"/>
        </w:rPr>
      </w:pPr>
      <w:r>
        <w:rPr>
          <w:noProof/>
          <w:szCs w:val="24"/>
        </w:rPr>
        <w:t>In line with the Europe 2020 strategy, the COSME financial instruments are designed to address the market gaps in access to finance for SM</w:t>
      </w:r>
      <w:r>
        <w:rPr>
          <w:noProof/>
          <w:szCs w:val="24"/>
        </w:rPr>
        <w:t xml:space="preserve">Es in their start-up, growth and transfer phase and to support the creation of a pan-European finance market. </w:t>
      </w:r>
    </w:p>
    <w:p w:rsidR="0073489B" w:rsidRDefault="00A46D11">
      <w:pPr>
        <w:spacing w:after="60"/>
        <w:jc w:val="both"/>
        <w:rPr>
          <w:noProof/>
          <w:szCs w:val="24"/>
        </w:rPr>
      </w:pPr>
      <w:r>
        <w:rPr>
          <w:noProof/>
          <w:szCs w:val="24"/>
        </w:rPr>
        <w:t xml:space="preserve">The overall policy objective of the COSME financial instruments is to improve access to finance for SMEs in the form of equity and debt. Actions </w:t>
      </w:r>
      <w:r>
        <w:rPr>
          <w:noProof/>
          <w:szCs w:val="24"/>
        </w:rPr>
        <w:t xml:space="preserve">shall aim to stimulate the take-up and supply of both equity and debt finance, which may include seed funding, angel funding and quasi-equity financing subject to market demand but excluding asset stripping. </w:t>
      </w:r>
    </w:p>
    <w:p w:rsidR="0073489B" w:rsidRDefault="00A46D11">
      <w:pPr>
        <w:spacing w:after="60"/>
        <w:jc w:val="both"/>
        <w:rPr>
          <w:noProof/>
          <w:szCs w:val="24"/>
        </w:rPr>
      </w:pPr>
      <w:r>
        <w:rPr>
          <w:noProof/>
          <w:szCs w:val="24"/>
        </w:rPr>
        <w:t>In line with the above, the Equity Facility for</w:t>
      </w:r>
      <w:r>
        <w:rPr>
          <w:noProof/>
          <w:szCs w:val="24"/>
        </w:rPr>
        <w:t xml:space="preserve"> Growth (EFG) provides enhanced access to risk capital for which significant market gaps exist in Europe and supports the development of a pan-European risk capital market. The later will be achieved by focusing predominantly on those risk capital funds wh</w:t>
      </w:r>
      <w:r>
        <w:rPr>
          <w:noProof/>
          <w:szCs w:val="24"/>
        </w:rPr>
        <w:t>ich invest cross-border.</w:t>
      </w:r>
    </w:p>
    <w:p w:rsidR="0073489B" w:rsidRDefault="00A46D11">
      <w:pPr>
        <w:jc w:val="both"/>
        <w:rPr>
          <w:i/>
          <w:noProof/>
          <w:szCs w:val="24"/>
        </w:rPr>
      </w:pPr>
      <w:r>
        <w:rPr>
          <w:i/>
          <w:noProof/>
          <w:szCs w:val="24"/>
        </w:rPr>
        <w:t>Implementation arrangements</w:t>
      </w:r>
    </w:p>
    <w:p w:rsidR="0073489B" w:rsidRDefault="00A46D11">
      <w:pPr>
        <w:spacing w:after="60"/>
        <w:jc w:val="both"/>
        <w:rPr>
          <w:noProof/>
          <w:szCs w:val="24"/>
        </w:rPr>
      </w:pPr>
      <w:r>
        <w:rPr>
          <w:noProof/>
          <w:szCs w:val="24"/>
        </w:rPr>
        <w:t xml:space="preserve">The EFG is implemented by the EIF on behalf of the Commission, as a window of a single Union equity financial instrument supporting EU enterprises’ growth and research and innovation from the early </w:t>
      </w:r>
      <w:r>
        <w:rPr>
          <w:noProof/>
          <w:szCs w:val="24"/>
        </w:rPr>
        <w:t>stage, including seed, up to the growth stage. It focuses on funds that provide venture capital and mezzanine finance, such as subordinated and participating loans, to expansion and growth-stage enterprises, in particular those operating across borders, wh</w:t>
      </w:r>
      <w:r>
        <w:rPr>
          <w:noProof/>
          <w:szCs w:val="24"/>
        </w:rPr>
        <w:t>ile having the possibility to make investments in early stage enterprises in conjunction with the equity facility for Research, Development and Innovation (RDI) under Horizon 2020. Support is given in the form of direct investments made by the entrusted en</w:t>
      </w:r>
      <w:r>
        <w:rPr>
          <w:noProof/>
          <w:szCs w:val="24"/>
        </w:rPr>
        <w:t>tity in financial intermediaries that provide equity or quasi-equity financing to SMEs or indirect investments via funds-of-funds as part of the Pan-European VC funds-of-funds project.</w:t>
      </w:r>
    </w:p>
    <w:p w:rsidR="0073489B" w:rsidRDefault="00A46D11">
      <w:pPr>
        <w:spacing w:after="60"/>
        <w:jc w:val="both"/>
        <w:rPr>
          <w:noProof/>
          <w:szCs w:val="24"/>
        </w:rPr>
      </w:pPr>
      <w:r>
        <w:rPr>
          <w:noProof/>
          <w:szCs w:val="24"/>
        </w:rPr>
        <w:t>The Delegation Agreement signed with the EIF on 22 July 2014 ensures th</w:t>
      </w:r>
      <w:r>
        <w:rPr>
          <w:noProof/>
          <w:szCs w:val="24"/>
        </w:rPr>
        <w:t>at the EFG is accessible for a broad range of financial intermediaries provided that these are professionally and independently managed and that the funds are located in one of COSME participating countries. They must display the capacity to successfully s</w:t>
      </w:r>
      <w:r>
        <w:rPr>
          <w:noProof/>
          <w:szCs w:val="24"/>
        </w:rPr>
        <w:t xml:space="preserve">upport SMEs in their growth and expansion phase (to be verified by the EIF during the due diligence phase). From a technical </w:t>
      </w:r>
      <w:r>
        <w:rPr>
          <w:noProof/>
          <w:szCs w:val="24"/>
        </w:rPr>
        <w:lastRenderedPageBreak/>
        <w:t>point of view, the EIF is instructed to invest on a pari-passu basis with other private and public investors. Target final recipien</w:t>
      </w:r>
      <w:r>
        <w:rPr>
          <w:noProof/>
          <w:szCs w:val="24"/>
        </w:rPr>
        <w:t>ts are SMEs in their growth and expansion stage without a specific sector focus. The equity instrument is planned to last until 31 December 2034 (until last operations are wound down).</w:t>
      </w:r>
    </w:p>
    <w:p w:rsidR="0073489B" w:rsidRDefault="00A46D11">
      <w:pPr>
        <w:spacing w:after="60"/>
        <w:jc w:val="both"/>
        <w:rPr>
          <w:rStyle w:val="Hyperlink"/>
          <w:noProof/>
          <w:color w:val="auto"/>
          <w:szCs w:val="24"/>
        </w:rPr>
      </w:pPr>
      <w:r>
        <w:rPr>
          <w:noProof/>
          <w:szCs w:val="24"/>
        </w:rPr>
        <w:t>The EIF is responsible for evaluating and selecting the financial inter</w:t>
      </w:r>
      <w:r>
        <w:rPr>
          <w:noProof/>
          <w:szCs w:val="24"/>
        </w:rPr>
        <w:t xml:space="preserve">mediaries by applying selection criteria and processes set out in the Delegation Agreement. The related continuous open call for expression of interest for financial intermediaries published by the EIF is available at </w:t>
      </w:r>
      <w:hyperlink r:id="rId33" w:history="1">
        <w:r>
          <w:rPr>
            <w:rStyle w:val="Hyperlink"/>
            <w:noProof/>
            <w:color w:val="auto"/>
            <w:szCs w:val="24"/>
          </w:rPr>
          <w:t>http://www.eif.org/what_we_do/equity/single_eu_equity_instrument/cosme_efg/index.htm</w:t>
        </w:r>
      </w:hyperlink>
    </w:p>
    <w:p w:rsidR="0073489B" w:rsidRDefault="00A46D11">
      <w:pPr>
        <w:spacing w:after="60"/>
        <w:jc w:val="both"/>
        <w:rPr>
          <w:noProof/>
          <w:szCs w:val="24"/>
        </w:rPr>
      </w:pPr>
      <w:r>
        <w:rPr>
          <w:noProof/>
          <w:szCs w:val="24"/>
        </w:rPr>
        <w:t>An additional implementation mechanism under the EFG in the form of a contribution to the Pan-European VC fu</w:t>
      </w:r>
      <w:r>
        <w:rPr>
          <w:noProof/>
          <w:szCs w:val="24"/>
        </w:rPr>
        <w:t>nds-of-funds project has been put in place in February 2017 with the signature of the fourth amendment to the Delegation Agreement.</w:t>
      </w:r>
    </w:p>
    <w:p w:rsidR="0073489B" w:rsidRDefault="00A46D11">
      <w:pPr>
        <w:jc w:val="both"/>
        <w:rPr>
          <w:i/>
          <w:noProof/>
          <w:szCs w:val="24"/>
        </w:rPr>
      </w:pPr>
      <w:r>
        <w:rPr>
          <w:i/>
          <w:noProof/>
          <w:szCs w:val="24"/>
        </w:rPr>
        <w:t>Added value</w:t>
      </w:r>
    </w:p>
    <w:p w:rsidR="0073489B" w:rsidRDefault="00A46D11">
      <w:pPr>
        <w:spacing w:after="60"/>
        <w:jc w:val="both"/>
        <w:rPr>
          <w:noProof/>
          <w:szCs w:val="24"/>
        </w:rPr>
      </w:pPr>
      <w:r>
        <w:rPr>
          <w:noProof/>
          <w:szCs w:val="24"/>
        </w:rPr>
        <w:t>The added value for the Union of the Financial Instruments lies, inter alia, in strengthening the internal marke</w:t>
      </w:r>
      <w:r>
        <w:rPr>
          <w:noProof/>
          <w:szCs w:val="24"/>
        </w:rPr>
        <w:t>t for venture capital and in developing a pan-European SME finance market, in transfering best practices and the standardisation of documentation across participating countries, as well as in addressing market failures that cannot be addressed by Member St</w:t>
      </w:r>
      <w:r>
        <w:rPr>
          <w:noProof/>
          <w:szCs w:val="24"/>
        </w:rPr>
        <w:t>ates.</w:t>
      </w:r>
    </w:p>
    <w:p w:rsidR="0073489B" w:rsidRDefault="00A46D11">
      <w:pPr>
        <w:pStyle w:val="Heading5"/>
        <w:spacing w:before="120"/>
        <w:ind w:left="284" w:firstLine="0"/>
        <w:rPr>
          <w:noProof/>
        </w:rPr>
      </w:pPr>
      <w:bookmarkStart w:id="53" w:name="_Toc387228760"/>
      <w:r>
        <w:rPr>
          <w:noProof/>
        </w:rPr>
        <w:t>The financial institutions involved in implementation</w:t>
      </w:r>
      <w:bookmarkEnd w:id="53"/>
      <w:r>
        <w:rPr>
          <w:noProof/>
        </w:rPr>
        <w:t>;</w:t>
      </w:r>
    </w:p>
    <w:p w:rsidR="0073489B" w:rsidRDefault="00A46D11">
      <w:pPr>
        <w:tabs>
          <w:tab w:val="left" w:pos="0"/>
        </w:tabs>
        <w:spacing w:after="60"/>
        <w:rPr>
          <w:noProof/>
          <w:szCs w:val="24"/>
        </w:rPr>
      </w:pPr>
      <w:r>
        <w:rPr>
          <w:noProof/>
          <w:szCs w:val="24"/>
        </w:rPr>
        <w:t>European Investment Fund (EIF ).</w:t>
      </w:r>
    </w:p>
    <w:p w:rsidR="0073489B" w:rsidRDefault="0073489B">
      <w:pPr>
        <w:tabs>
          <w:tab w:val="left" w:pos="0"/>
        </w:tabs>
        <w:spacing w:after="60"/>
        <w:rPr>
          <w:noProof/>
          <w:szCs w:val="24"/>
        </w:rPr>
      </w:pPr>
    </w:p>
    <w:p w:rsidR="0073489B" w:rsidRDefault="00A46D11">
      <w:pPr>
        <w:pStyle w:val="Heading4"/>
        <w:spacing w:before="120"/>
        <w:ind w:left="426" w:hanging="426"/>
        <w:rPr>
          <w:noProof/>
        </w:rPr>
      </w:pPr>
      <w:bookmarkStart w:id="54" w:name="_Toc378357025"/>
      <w:bookmarkStart w:id="55" w:name="_Toc387228761"/>
      <w:bookmarkStart w:id="56" w:name="_Toc388541868"/>
      <w:r>
        <w:rPr>
          <w:noProof/>
        </w:rPr>
        <w:t>Implementation</w:t>
      </w:r>
      <w:bookmarkEnd w:id="54"/>
      <w:bookmarkEnd w:id="55"/>
      <w:bookmarkEnd w:id="56"/>
    </w:p>
    <w:p w:rsidR="0073489B" w:rsidRDefault="00A46D11">
      <w:pPr>
        <w:pStyle w:val="Heading5"/>
        <w:spacing w:before="120"/>
        <w:ind w:left="284" w:firstLine="0"/>
        <w:rPr>
          <w:noProof/>
        </w:rPr>
      </w:pPr>
      <w:bookmarkStart w:id="57" w:name="_Toc387228762"/>
      <w:r>
        <w:rPr>
          <w:noProof/>
        </w:rPr>
        <w:t>The aggregate budgetary commitments and payments from the budget</w:t>
      </w:r>
      <w:bookmarkEnd w:id="57"/>
      <w:r>
        <w:rPr>
          <w:noProof/>
        </w:rPr>
        <w:t>;</w:t>
      </w:r>
    </w:p>
    <w:p w:rsidR="0073489B" w:rsidRDefault="00A46D11">
      <w:pPr>
        <w:tabs>
          <w:tab w:val="right" w:pos="8789"/>
        </w:tabs>
        <w:ind w:right="141"/>
        <w:rPr>
          <w:noProof/>
          <w:szCs w:val="24"/>
        </w:rPr>
      </w:pPr>
      <w:r>
        <w:rPr>
          <w:noProof/>
          <w:szCs w:val="24"/>
        </w:rPr>
        <w:t>Aggregate budgetary commitments as at 31/12/2016</w:t>
      </w:r>
      <w:r>
        <w:rPr>
          <w:noProof/>
          <w:szCs w:val="24"/>
        </w:rPr>
        <w:tab/>
        <w:t xml:space="preserve">               EUR 172 901 364</w:t>
      </w:r>
    </w:p>
    <w:p w:rsidR="0073489B" w:rsidRDefault="00A46D11">
      <w:pPr>
        <w:tabs>
          <w:tab w:val="right" w:pos="8789"/>
        </w:tabs>
        <w:ind w:right="141"/>
        <w:rPr>
          <w:noProof/>
          <w:szCs w:val="24"/>
        </w:rPr>
      </w:pPr>
      <w:r>
        <w:rPr>
          <w:noProof/>
          <w:szCs w:val="24"/>
        </w:rPr>
        <w:t>Aggregate budgetary payments as at 31/12/2016</w:t>
      </w:r>
      <w:r>
        <w:rPr>
          <w:noProof/>
          <w:szCs w:val="24"/>
        </w:rPr>
        <w:tab/>
        <w:t xml:space="preserve">   EUR   56 102 505</w:t>
      </w:r>
    </w:p>
    <w:p w:rsidR="0073489B" w:rsidRDefault="00A46D11">
      <w:pPr>
        <w:pStyle w:val="Heading5"/>
        <w:spacing w:before="120"/>
        <w:ind w:left="284" w:firstLine="0"/>
        <w:rPr>
          <w:noProof/>
        </w:rPr>
      </w:pPr>
      <w:bookmarkStart w:id="58" w:name="_Toc387228763"/>
      <w:r>
        <w:rPr>
          <w:noProof/>
        </w:rPr>
        <w:t>The performance of the financial instrument, including investments realised</w:t>
      </w:r>
      <w:bookmarkEnd w:id="58"/>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73489B">
        <w:trPr>
          <w:jc w:val="center"/>
        </w:trPr>
        <w:tc>
          <w:tcPr>
            <w:tcW w:w="4928" w:type="dxa"/>
            <w:shd w:val="clear" w:color="auto" w:fill="auto"/>
          </w:tcPr>
          <w:p w:rsidR="0073489B" w:rsidRDefault="00A46D11">
            <w:pPr>
              <w:pStyle w:val="ListParagraph"/>
              <w:spacing w:before="60" w:after="60"/>
              <w:ind w:left="0"/>
              <w:jc w:val="both"/>
              <w:rPr>
                <w:noProof/>
                <w:szCs w:val="24"/>
              </w:rPr>
            </w:pPr>
            <w:r>
              <w:rPr>
                <w:noProof/>
                <w:szCs w:val="24"/>
              </w:rPr>
              <w:t xml:space="preserve">Amount of EU Contribution committed to financial intermediaries </w:t>
            </w:r>
          </w:p>
          <w:p w:rsidR="0073489B" w:rsidRDefault="00A46D11">
            <w:pPr>
              <w:pStyle w:val="ListParagraph"/>
              <w:spacing w:before="60" w:after="60"/>
              <w:ind w:left="0"/>
              <w:jc w:val="both"/>
              <w:rPr>
                <w:noProof/>
                <w:szCs w:val="24"/>
              </w:rPr>
            </w:pPr>
            <w:r>
              <w:rPr>
                <w:noProof/>
                <w:szCs w:val="24"/>
              </w:rPr>
              <w:t xml:space="preserve">and the corresponding number of financial intermediaries; </w:t>
            </w:r>
          </w:p>
        </w:tc>
        <w:tc>
          <w:tcPr>
            <w:tcW w:w="4360" w:type="dxa"/>
            <w:shd w:val="clear" w:color="auto" w:fill="auto"/>
          </w:tcPr>
          <w:p w:rsidR="0073489B" w:rsidRDefault="00A46D11">
            <w:pPr>
              <w:spacing w:before="60" w:after="60"/>
              <w:ind w:right="141"/>
              <w:contextualSpacing/>
              <w:jc w:val="center"/>
              <w:rPr>
                <w:noProof/>
                <w:szCs w:val="24"/>
              </w:rPr>
            </w:pPr>
            <w:r>
              <w:rPr>
                <w:noProof/>
                <w:szCs w:val="24"/>
              </w:rPr>
              <w:t>EUR 101,3 million</w:t>
            </w:r>
            <w:r>
              <w:rPr>
                <w:rStyle w:val="FootnoteReference"/>
                <w:noProof/>
                <w:szCs w:val="24"/>
              </w:rPr>
              <w:footnoteReference w:id="65"/>
            </w:r>
          </w:p>
          <w:p w:rsidR="0073489B" w:rsidRDefault="0073489B">
            <w:pPr>
              <w:spacing w:before="60" w:after="60"/>
              <w:ind w:right="141"/>
              <w:contextualSpacing/>
              <w:jc w:val="center"/>
              <w:rPr>
                <w:noProof/>
                <w:szCs w:val="24"/>
              </w:rPr>
            </w:pPr>
          </w:p>
          <w:p w:rsidR="0073489B" w:rsidRDefault="00A46D11">
            <w:pPr>
              <w:spacing w:before="60" w:after="60"/>
              <w:ind w:right="141"/>
              <w:contextualSpacing/>
              <w:jc w:val="center"/>
              <w:rPr>
                <w:noProof/>
                <w:szCs w:val="24"/>
              </w:rPr>
            </w:pPr>
            <w:r>
              <w:rPr>
                <w:noProof/>
                <w:szCs w:val="24"/>
              </w:rPr>
              <w:t>9</w:t>
            </w:r>
          </w:p>
        </w:tc>
      </w:tr>
      <w:tr w:rsidR="0073489B">
        <w:trPr>
          <w:trHeight w:val="1679"/>
          <w:jc w:val="center"/>
        </w:trPr>
        <w:tc>
          <w:tcPr>
            <w:tcW w:w="4928" w:type="dxa"/>
            <w:shd w:val="clear" w:color="auto" w:fill="auto"/>
          </w:tcPr>
          <w:p w:rsidR="0073489B" w:rsidRDefault="00A46D11">
            <w:pPr>
              <w:pStyle w:val="ListParagraph"/>
              <w:spacing w:before="60" w:after="60"/>
              <w:ind w:left="0"/>
              <w:jc w:val="both"/>
              <w:rPr>
                <w:noProof/>
                <w:szCs w:val="24"/>
              </w:rPr>
            </w:pPr>
            <w:r>
              <w:rPr>
                <w:noProof/>
                <w:szCs w:val="24"/>
              </w:rPr>
              <w:t xml:space="preserve">Amount of financing expected to be provided by financial intermediaries to eligible final recipients </w:t>
            </w:r>
          </w:p>
          <w:p w:rsidR="0073489B" w:rsidRDefault="00A46D11">
            <w:pPr>
              <w:pStyle w:val="ListParagraph"/>
              <w:spacing w:before="60" w:after="60"/>
              <w:ind w:left="0"/>
              <w:jc w:val="both"/>
              <w:rPr>
                <w:noProof/>
                <w:szCs w:val="24"/>
                <w:highlight w:val="green"/>
              </w:rPr>
            </w:pPr>
            <w:r>
              <w:rPr>
                <w:noProof/>
                <w:szCs w:val="24"/>
              </w:rPr>
              <w:t>And expected number of eligible final recipients;</w:t>
            </w:r>
          </w:p>
        </w:tc>
        <w:tc>
          <w:tcPr>
            <w:tcW w:w="4360" w:type="dxa"/>
            <w:shd w:val="clear" w:color="auto" w:fill="auto"/>
          </w:tcPr>
          <w:p w:rsidR="0073489B" w:rsidRDefault="00A46D11">
            <w:pPr>
              <w:spacing w:before="60" w:after="60"/>
              <w:ind w:right="141"/>
              <w:contextualSpacing/>
              <w:jc w:val="center"/>
              <w:rPr>
                <w:noProof/>
                <w:szCs w:val="24"/>
              </w:rPr>
            </w:pPr>
            <w:r>
              <w:rPr>
                <w:noProof/>
                <w:szCs w:val="24"/>
              </w:rPr>
              <w:t>EUR 470,6 million</w:t>
            </w:r>
          </w:p>
          <w:p w:rsidR="0073489B" w:rsidRDefault="0073489B">
            <w:pPr>
              <w:spacing w:before="60" w:after="60"/>
              <w:ind w:right="141"/>
              <w:contextualSpacing/>
              <w:jc w:val="center"/>
              <w:rPr>
                <w:noProof/>
                <w:szCs w:val="24"/>
              </w:rPr>
            </w:pPr>
          </w:p>
          <w:p w:rsidR="0073489B" w:rsidRDefault="0073489B">
            <w:pPr>
              <w:spacing w:before="60" w:after="60"/>
              <w:ind w:right="141"/>
              <w:contextualSpacing/>
              <w:jc w:val="center"/>
              <w:rPr>
                <w:noProof/>
                <w:szCs w:val="24"/>
              </w:rPr>
            </w:pPr>
          </w:p>
          <w:p w:rsidR="0073489B" w:rsidRDefault="00A46D11">
            <w:pPr>
              <w:spacing w:before="60" w:after="60"/>
              <w:ind w:right="141"/>
              <w:contextualSpacing/>
              <w:jc w:val="center"/>
              <w:rPr>
                <w:noProof/>
                <w:szCs w:val="24"/>
                <w:highlight w:val="green"/>
              </w:rPr>
            </w:pPr>
            <w:r>
              <w:rPr>
                <w:noProof/>
                <w:szCs w:val="24"/>
              </w:rPr>
              <w:t>64</w:t>
            </w:r>
          </w:p>
        </w:tc>
      </w:tr>
      <w:tr w:rsidR="0073489B">
        <w:trPr>
          <w:jc w:val="center"/>
        </w:trPr>
        <w:tc>
          <w:tcPr>
            <w:tcW w:w="4928" w:type="dxa"/>
            <w:shd w:val="clear" w:color="auto" w:fill="auto"/>
          </w:tcPr>
          <w:p w:rsidR="0073489B" w:rsidRDefault="00A46D11">
            <w:pPr>
              <w:pStyle w:val="ListParagraph"/>
              <w:spacing w:before="60" w:after="60"/>
              <w:ind w:left="0"/>
              <w:jc w:val="both"/>
              <w:rPr>
                <w:noProof/>
                <w:szCs w:val="24"/>
              </w:rPr>
            </w:pPr>
            <w:r>
              <w:rPr>
                <w:noProof/>
                <w:szCs w:val="24"/>
              </w:rPr>
              <w:t>Amount of financing already provided by financial intermediaries to eligible final recipients,</w:t>
            </w:r>
          </w:p>
          <w:p w:rsidR="0073489B" w:rsidRDefault="00A46D11">
            <w:pPr>
              <w:pStyle w:val="ListParagraph"/>
              <w:spacing w:before="60" w:after="60"/>
              <w:ind w:left="0"/>
              <w:jc w:val="both"/>
              <w:rPr>
                <w:noProof/>
                <w:highlight w:val="green"/>
              </w:rPr>
            </w:pPr>
            <w:r>
              <w:rPr>
                <w:noProof/>
                <w:szCs w:val="24"/>
              </w:rPr>
              <w:t xml:space="preserve">and the corresponding number of eligible final recipients; </w:t>
            </w:r>
          </w:p>
        </w:tc>
        <w:tc>
          <w:tcPr>
            <w:tcW w:w="4360" w:type="dxa"/>
            <w:shd w:val="clear" w:color="auto" w:fill="auto"/>
          </w:tcPr>
          <w:p w:rsidR="0073489B" w:rsidRDefault="00A46D11">
            <w:pPr>
              <w:spacing w:before="60" w:after="60"/>
              <w:ind w:right="141"/>
              <w:contextualSpacing/>
              <w:jc w:val="center"/>
              <w:rPr>
                <w:noProof/>
                <w:szCs w:val="24"/>
              </w:rPr>
            </w:pPr>
            <w:r>
              <w:rPr>
                <w:noProof/>
                <w:szCs w:val="24"/>
              </w:rPr>
              <w:t>EUR 64 million</w:t>
            </w:r>
          </w:p>
          <w:p w:rsidR="0073489B" w:rsidRDefault="0073489B">
            <w:pPr>
              <w:spacing w:before="60" w:after="60"/>
              <w:ind w:right="141"/>
              <w:contextualSpacing/>
              <w:jc w:val="center"/>
              <w:rPr>
                <w:noProof/>
                <w:szCs w:val="24"/>
              </w:rPr>
            </w:pPr>
          </w:p>
          <w:p w:rsidR="0073489B" w:rsidRDefault="0073489B">
            <w:pPr>
              <w:spacing w:before="60" w:after="60"/>
              <w:ind w:right="141"/>
              <w:contextualSpacing/>
              <w:jc w:val="center"/>
              <w:rPr>
                <w:noProof/>
                <w:szCs w:val="24"/>
              </w:rPr>
            </w:pPr>
          </w:p>
          <w:p w:rsidR="0073489B" w:rsidRDefault="00A46D11">
            <w:pPr>
              <w:spacing w:before="60" w:after="60"/>
              <w:ind w:right="141"/>
              <w:contextualSpacing/>
              <w:jc w:val="center"/>
              <w:rPr>
                <w:noProof/>
                <w:szCs w:val="24"/>
              </w:rPr>
            </w:pPr>
            <w:r>
              <w:rPr>
                <w:noProof/>
                <w:szCs w:val="24"/>
              </w:rPr>
              <w:t>12</w:t>
            </w:r>
          </w:p>
        </w:tc>
      </w:tr>
      <w:tr w:rsidR="0073489B">
        <w:trPr>
          <w:trHeight w:val="1043"/>
          <w:jc w:val="center"/>
        </w:trPr>
        <w:tc>
          <w:tcPr>
            <w:tcW w:w="4928" w:type="dxa"/>
            <w:shd w:val="clear" w:color="auto" w:fill="auto"/>
          </w:tcPr>
          <w:p w:rsidR="0073489B" w:rsidRDefault="00A46D11">
            <w:pPr>
              <w:pStyle w:val="ListParagraph"/>
              <w:spacing w:before="60" w:after="60"/>
              <w:ind w:left="0"/>
              <w:jc w:val="both"/>
              <w:rPr>
                <w:noProof/>
                <w:highlight w:val="green"/>
              </w:rPr>
            </w:pPr>
            <w:r>
              <w:rPr>
                <w:noProof/>
                <w:szCs w:val="24"/>
              </w:rPr>
              <w:lastRenderedPageBreak/>
              <w:t xml:space="preserve">Amount of investments already made by eligible final recipients due to the </w:t>
            </w:r>
            <w:r>
              <w:rPr>
                <w:noProof/>
                <w:szCs w:val="24"/>
              </w:rPr>
              <w:t>received financing, if applicable.</w:t>
            </w:r>
          </w:p>
        </w:tc>
        <w:tc>
          <w:tcPr>
            <w:tcW w:w="4360" w:type="dxa"/>
            <w:shd w:val="clear" w:color="auto" w:fill="auto"/>
          </w:tcPr>
          <w:p w:rsidR="0073489B" w:rsidRDefault="00A46D11">
            <w:pPr>
              <w:spacing w:before="60" w:after="60"/>
              <w:ind w:right="141"/>
              <w:contextualSpacing/>
              <w:jc w:val="center"/>
              <w:rPr>
                <w:noProof/>
                <w:szCs w:val="24"/>
              </w:rPr>
            </w:pPr>
            <w:r>
              <w:rPr>
                <w:noProof/>
                <w:szCs w:val="24"/>
              </w:rPr>
              <w:t>EUR 160 million</w:t>
            </w:r>
            <w:r>
              <w:rPr>
                <w:rStyle w:val="FootnoteReference"/>
                <w:noProof/>
                <w:szCs w:val="24"/>
              </w:rPr>
              <w:footnoteReference w:id="66"/>
            </w:r>
          </w:p>
        </w:tc>
      </w:tr>
    </w:tbl>
    <w:p w:rsidR="0073489B" w:rsidRDefault="0073489B">
      <w:pPr>
        <w:ind w:left="360" w:right="141"/>
        <w:contextualSpacing/>
        <w:rPr>
          <w:noProof/>
          <w:szCs w:val="24"/>
        </w:rPr>
      </w:pPr>
    </w:p>
    <w:p w:rsidR="0073489B" w:rsidRDefault="00A46D11">
      <w:pPr>
        <w:spacing w:before="160"/>
        <w:jc w:val="both"/>
        <w:rPr>
          <w:i/>
          <w:noProof/>
          <w:szCs w:val="24"/>
        </w:rPr>
      </w:pPr>
      <w:r>
        <w:rPr>
          <w:i/>
          <w:noProof/>
          <w:szCs w:val="24"/>
        </w:rPr>
        <w:t>Additional EFG operational information</w:t>
      </w:r>
    </w:p>
    <w:p w:rsidR="0073489B" w:rsidRDefault="00A46D11">
      <w:pPr>
        <w:ind w:right="141" w:firstLine="3"/>
        <w:contextualSpacing/>
        <w:jc w:val="both"/>
        <w:rPr>
          <w:noProof/>
          <w:szCs w:val="24"/>
        </w:rPr>
      </w:pPr>
      <w:r>
        <w:rPr>
          <w:noProof/>
          <w:szCs w:val="24"/>
        </w:rPr>
        <w:t xml:space="preserve">Out of the nine operations signed at the end of 2016, six relate to Growth and Expansion Stage funds and three to Multi-Stage funds, in combination with the </w:t>
      </w:r>
      <w:r>
        <w:rPr>
          <w:noProof/>
          <w:szCs w:val="24"/>
        </w:rPr>
        <w:t>InnovFin Equity Facility for Early Stage set up under Horizon 2020.</w:t>
      </w:r>
    </w:p>
    <w:p w:rsidR="0073489B" w:rsidRDefault="00A46D11">
      <w:pPr>
        <w:ind w:right="141" w:firstLine="3"/>
        <w:contextualSpacing/>
        <w:jc w:val="both"/>
        <w:rPr>
          <w:noProof/>
          <w:szCs w:val="24"/>
        </w:rPr>
      </w:pPr>
      <w:r>
        <w:rPr>
          <w:noProof/>
          <w:szCs w:val="24"/>
        </w:rPr>
        <w:t>Eight of these operations have been unconditionally closed and the respective fund agreement with all investors have been signed. One signature has occurred on a conditional basis, meaning</w:t>
      </w:r>
      <w:r>
        <w:rPr>
          <w:noProof/>
          <w:szCs w:val="24"/>
        </w:rPr>
        <w:t xml:space="preserve"> that the EIF committed to invest in these funds provided that the fund managers are able to attract sufficient additional funding commitments from other private and public investors to reach a minimum fund size.</w:t>
      </w:r>
    </w:p>
    <w:p w:rsidR="0073489B" w:rsidRDefault="00A46D11">
      <w:pPr>
        <w:pStyle w:val="Heading5"/>
        <w:spacing w:before="120" w:after="240"/>
        <w:ind w:left="284" w:firstLine="0"/>
        <w:jc w:val="both"/>
        <w:rPr>
          <w:noProof/>
        </w:rPr>
      </w:pPr>
      <w:bookmarkStart w:id="59" w:name="_Toc387228764"/>
      <w:r>
        <w:rPr>
          <w:noProof/>
        </w:rPr>
        <w:t>An evaluation of the use of any amounts ret</w:t>
      </w:r>
      <w:r>
        <w:rPr>
          <w:noProof/>
        </w:rPr>
        <w:t>urned to the instrument as internal assigned revenue under paragraph 6</w:t>
      </w:r>
      <w:bookmarkEnd w:id="59"/>
      <w:r>
        <w:rPr>
          <w:noProof/>
        </w:rPr>
        <w:t>;</w:t>
      </w:r>
    </w:p>
    <w:p w:rsidR="0073489B" w:rsidRDefault="00A46D11">
      <w:pPr>
        <w:spacing w:before="60"/>
        <w:ind w:right="141"/>
        <w:contextualSpacing/>
        <w:jc w:val="both"/>
        <w:rPr>
          <w:noProof/>
          <w:szCs w:val="24"/>
        </w:rPr>
      </w:pPr>
      <w:r>
        <w:rPr>
          <w:noProof/>
          <w:szCs w:val="24"/>
        </w:rPr>
        <w:t>Internal assigned revenues of EUR 10,9 million of repayments generated by the second window of the High Growth and Innovative SME Facility established under the predecessor Competitive</w:t>
      </w:r>
      <w:r>
        <w:rPr>
          <w:noProof/>
          <w:szCs w:val="24"/>
        </w:rPr>
        <w:t>ness and Innovation Programme (GIF2 repayments) have been committed towards the EFG in 2016, thereby generating an additional net amount of EUR 10,1 million available for the signature of fund agreements.</w:t>
      </w:r>
    </w:p>
    <w:p w:rsidR="0073489B" w:rsidRDefault="00A46D11">
      <w:pPr>
        <w:pStyle w:val="Heading5"/>
        <w:ind w:left="284" w:firstLine="0"/>
        <w:rPr>
          <w:noProof/>
        </w:rPr>
      </w:pPr>
      <w:bookmarkStart w:id="60" w:name="_Toc387228765"/>
      <w:r>
        <w:rPr>
          <w:noProof/>
        </w:rPr>
        <w:t>The balance of the fiduciary accoun</w:t>
      </w:r>
      <w:bookmarkEnd w:id="60"/>
      <w:r>
        <w:rPr>
          <w:noProof/>
        </w:rPr>
        <w:t>t;</w:t>
      </w:r>
    </w:p>
    <w:p w:rsidR="0073489B" w:rsidRDefault="00A46D11">
      <w:pPr>
        <w:keepNext/>
        <w:spacing w:after="160"/>
        <w:ind w:left="360" w:right="142"/>
        <w:rPr>
          <w:noProof/>
          <w:color w:val="FF00FF"/>
          <w:highlight w:val="yellow"/>
        </w:rPr>
      </w:pPr>
      <w:r>
        <w:rPr>
          <w:noProof/>
        </w:rPr>
        <w:t>Aggregate bal</w:t>
      </w:r>
      <w:r>
        <w:rPr>
          <w:noProof/>
        </w:rPr>
        <w:t>ance of the fiduciary account as at 31/12/2016</w:t>
      </w:r>
      <w:r>
        <w:rPr>
          <w:noProof/>
        </w:rPr>
        <w:tab/>
        <w:t xml:space="preserve">          EUR </w:t>
      </w:r>
      <w:r>
        <w:rPr>
          <w:bCs/>
          <w:noProof/>
          <w:szCs w:val="24"/>
        </w:rPr>
        <w:t>51 250 418</w:t>
      </w:r>
    </w:p>
    <w:p w:rsidR="0073489B" w:rsidRDefault="0073489B">
      <w:pPr>
        <w:rPr>
          <w:noProof/>
        </w:rPr>
      </w:pP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302"/>
      </w:tblGrid>
      <w:tr w:rsidR="0073489B">
        <w:trPr>
          <w:trHeight w:val="352"/>
          <w:jc w:val="center"/>
        </w:trPr>
        <w:tc>
          <w:tcPr>
            <w:tcW w:w="9278" w:type="dxa"/>
            <w:gridSpan w:val="2"/>
            <w:tcBorders>
              <w:top w:val="single" w:sz="4" w:space="0" w:color="auto"/>
              <w:left w:val="single" w:sz="4" w:space="0" w:color="auto"/>
              <w:bottom w:val="single" w:sz="4" w:space="0" w:color="auto"/>
              <w:right w:val="single" w:sz="4" w:space="0" w:color="auto"/>
            </w:tcBorders>
            <w:shd w:val="clear" w:color="auto" w:fill="DAEEF3"/>
          </w:tcPr>
          <w:p w:rsidR="0073489B" w:rsidRDefault="00A46D11">
            <w:pPr>
              <w:pStyle w:val="ListParagraph"/>
              <w:spacing w:before="60" w:after="60"/>
              <w:ind w:left="0" w:right="141"/>
              <w:jc w:val="center"/>
              <w:rPr>
                <w:b/>
                <w:bCs/>
                <w:i/>
                <w:noProof/>
                <w:szCs w:val="24"/>
              </w:rPr>
            </w:pPr>
            <w:r>
              <w:rPr>
                <w:b/>
                <w:bCs/>
                <w:i/>
                <w:noProof/>
                <w:szCs w:val="24"/>
              </w:rPr>
              <w:t xml:space="preserve">                                                                                               In EUR</w:t>
            </w:r>
          </w:p>
        </w:tc>
      </w:tr>
      <w:tr w:rsidR="0073489B">
        <w:trPr>
          <w:trHeight w:val="339"/>
          <w:jc w:val="center"/>
        </w:trPr>
        <w:tc>
          <w:tcPr>
            <w:tcW w:w="5976" w:type="dxa"/>
            <w:shd w:val="clear" w:color="auto" w:fill="auto"/>
            <w:vAlign w:val="center"/>
          </w:tcPr>
          <w:p w:rsidR="0073489B" w:rsidRDefault="00A46D11">
            <w:pPr>
              <w:pStyle w:val="ListParagraph"/>
              <w:spacing w:before="60" w:after="60"/>
              <w:ind w:left="0" w:right="141"/>
              <w:rPr>
                <w:b/>
                <w:bCs/>
                <w:noProof/>
                <w:szCs w:val="24"/>
                <w:u w:val="single"/>
              </w:rPr>
            </w:pPr>
            <w:r>
              <w:rPr>
                <w:b/>
                <w:bCs/>
                <w:noProof/>
                <w:szCs w:val="24"/>
              </w:rPr>
              <w:t>Balance on the fiduciary account (current account)</w:t>
            </w:r>
          </w:p>
        </w:tc>
        <w:tc>
          <w:tcPr>
            <w:tcW w:w="3302"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7 876 856</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0" w:right="141"/>
              <w:rPr>
                <w:b/>
                <w:bCs/>
                <w:noProof/>
                <w:szCs w:val="24"/>
              </w:rPr>
            </w:pPr>
            <w:r>
              <w:rPr>
                <w:b/>
                <w:bCs/>
                <w:noProof/>
                <w:szCs w:val="24"/>
              </w:rPr>
              <w:t xml:space="preserve">Term </w:t>
            </w:r>
            <w:r>
              <w:rPr>
                <w:b/>
                <w:bCs/>
                <w:noProof/>
                <w:szCs w:val="24"/>
              </w:rPr>
              <w:t>deposits/Bonds (if applicable)</w:t>
            </w:r>
          </w:p>
        </w:tc>
        <w:tc>
          <w:tcPr>
            <w:tcW w:w="3302" w:type="dxa"/>
            <w:shd w:val="clear" w:color="auto" w:fill="auto"/>
            <w:vAlign w:val="center"/>
          </w:tcPr>
          <w:p w:rsidR="0073489B" w:rsidRDefault="00A46D11">
            <w:pPr>
              <w:pStyle w:val="ListParagraph"/>
              <w:spacing w:before="60" w:after="60"/>
              <w:ind w:left="0" w:right="141"/>
              <w:jc w:val="center"/>
              <w:rPr>
                <w:b/>
                <w:bCs/>
                <w:noProof/>
                <w:szCs w:val="24"/>
                <w:u w:val="single"/>
              </w:rPr>
            </w:pPr>
            <w:r>
              <w:rPr>
                <w:b/>
                <w:bCs/>
                <w:noProof/>
                <w:szCs w:val="24"/>
                <w:u w:val="single"/>
              </w:rPr>
              <w:t>31 209 297</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&lt; 3 months</w:t>
            </w:r>
          </w:p>
        </w:tc>
        <w:tc>
          <w:tcPr>
            <w:tcW w:w="3302" w:type="dxa"/>
            <w:shd w:val="clear" w:color="auto" w:fill="auto"/>
            <w:vAlign w:val="center"/>
          </w:tcPr>
          <w:p w:rsidR="0073489B" w:rsidRDefault="00A46D11">
            <w:pPr>
              <w:pStyle w:val="ListParagraph"/>
              <w:spacing w:before="60" w:after="60"/>
              <w:ind w:left="0" w:right="141"/>
              <w:jc w:val="center"/>
              <w:rPr>
                <w:bCs/>
                <w:i/>
                <w:noProof/>
                <w:szCs w:val="24"/>
              </w:rPr>
            </w:pPr>
            <w:r>
              <w:rPr>
                <w:bCs/>
                <w:i/>
                <w:noProof/>
                <w:szCs w:val="24"/>
              </w:rPr>
              <w:t>31 209 297</w:t>
            </w:r>
          </w:p>
        </w:tc>
      </w:tr>
      <w:tr w:rsidR="0073489B">
        <w:trPr>
          <w:trHeight w:val="403"/>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&gt; 3 months &lt; 1 year</w:t>
            </w:r>
          </w:p>
        </w:tc>
        <w:tc>
          <w:tcPr>
            <w:tcW w:w="3302"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&gt; 1 year</w:t>
            </w:r>
          </w:p>
        </w:tc>
        <w:tc>
          <w:tcPr>
            <w:tcW w:w="3302"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03"/>
          <w:jc w:val="center"/>
        </w:trPr>
        <w:tc>
          <w:tcPr>
            <w:tcW w:w="5976" w:type="dxa"/>
            <w:shd w:val="clear" w:color="auto" w:fill="auto"/>
            <w:vAlign w:val="center"/>
          </w:tcPr>
          <w:p w:rsidR="0073489B" w:rsidRDefault="00A46D11">
            <w:pPr>
              <w:pStyle w:val="ListParagraph"/>
              <w:spacing w:before="60" w:after="60"/>
              <w:ind w:left="807" w:right="141"/>
              <w:rPr>
                <w:bCs/>
                <w:noProof/>
                <w:szCs w:val="24"/>
              </w:rPr>
            </w:pPr>
            <w:r>
              <w:rPr>
                <w:bCs/>
                <w:noProof/>
                <w:szCs w:val="24"/>
              </w:rPr>
              <w:t>Bonds current</w:t>
            </w:r>
          </w:p>
        </w:tc>
        <w:tc>
          <w:tcPr>
            <w:tcW w:w="3302"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807" w:right="141"/>
              <w:rPr>
                <w:bCs/>
                <w:noProof/>
                <w:szCs w:val="24"/>
              </w:rPr>
            </w:pPr>
            <w:r>
              <w:rPr>
                <w:bCs/>
                <w:noProof/>
                <w:szCs w:val="24"/>
              </w:rPr>
              <w:t>Bonds non-current</w:t>
            </w:r>
          </w:p>
        </w:tc>
        <w:tc>
          <w:tcPr>
            <w:tcW w:w="3302"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0" w:right="141"/>
              <w:rPr>
                <w:b/>
                <w:bCs/>
                <w:noProof/>
                <w:szCs w:val="24"/>
              </w:rPr>
            </w:pPr>
            <w:r>
              <w:rPr>
                <w:b/>
                <w:bCs/>
                <w:noProof/>
                <w:szCs w:val="24"/>
              </w:rPr>
              <w:t>Equity investment (see also point i)</w:t>
            </w:r>
            <w:r>
              <w:rPr>
                <w:rStyle w:val="FootnoteReference"/>
                <w:b/>
                <w:bCs/>
                <w:noProof/>
                <w:szCs w:val="24"/>
              </w:rPr>
              <w:footnoteReference w:id="67"/>
            </w:r>
          </w:p>
        </w:tc>
        <w:tc>
          <w:tcPr>
            <w:tcW w:w="3302" w:type="dxa"/>
            <w:shd w:val="clear" w:color="auto" w:fill="auto"/>
            <w:vAlign w:val="center"/>
          </w:tcPr>
          <w:p w:rsidR="0073489B" w:rsidRDefault="00A46D11">
            <w:pPr>
              <w:pStyle w:val="ListParagraph"/>
              <w:spacing w:before="60" w:after="60"/>
              <w:ind w:left="0" w:right="141"/>
              <w:jc w:val="center"/>
              <w:rPr>
                <w:b/>
                <w:bCs/>
                <w:noProof/>
                <w:szCs w:val="24"/>
                <w:u w:val="single"/>
              </w:rPr>
            </w:pPr>
            <w:r>
              <w:rPr>
                <w:b/>
                <w:bCs/>
                <w:noProof/>
                <w:szCs w:val="24"/>
                <w:u w:val="single"/>
              </w:rPr>
              <w:t>12 162 196</w:t>
            </w:r>
          </w:p>
        </w:tc>
      </w:tr>
      <w:tr w:rsidR="0073489B">
        <w:trPr>
          <w:trHeight w:val="403"/>
          <w:jc w:val="center"/>
        </w:trPr>
        <w:tc>
          <w:tcPr>
            <w:tcW w:w="5976" w:type="dxa"/>
            <w:shd w:val="clear" w:color="auto" w:fill="auto"/>
            <w:vAlign w:val="center"/>
          </w:tcPr>
          <w:p w:rsidR="0073489B" w:rsidRDefault="00A46D11">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302"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2 069</w:t>
            </w:r>
          </w:p>
        </w:tc>
      </w:tr>
      <w:tr w:rsidR="0073489B">
        <w:trPr>
          <w:trHeight w:val="411"/>
          <w:jc w:val="center"/>
        </w:trPr>
        <w:tc>
          <w:tcPr>
            <w:tcW w:w="5976" w:type="dxa"/>
            <w:shd w:val="clear" w:color="auto" w:fill="auto"/>
            <w:vAlign w:val="center"/>
          </w:tcPr>
          <w:p w:rsidR="0073489B" w:rsidRDefault="00A46D11">
            <w:pPr>
              <w:spacing w:before="60" w:after="60"/>
              <w:ind w:right="141"/>
              <w:rPr>
                <w:b/>
                <w:bCs/>
                <w:noProof/>
                <w:szCs w:val="24"/>
              </w:rPr>
            </w:pPr>
            <w:r>
              <w:rPr>
                <w:b/>
                <w:bCs/>
                <w:i/>
                <w:iCs/>
                <w:noProof/>
                <w:szCs w:val="24"/>
              </w:rPr>
              <w:t>= Total assets</w:t>
            </w:r>
          </w:p>
        </w:tc>
        <w:tc>
          <w:tcPr>
            <w:tcW w:w="3302"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51 250 418</w:t>
            </w:r>
          </w:p>
        </w:tc>
      </w:tr>
    </w:tbl>
    <w:p w:rsidR="0073489B" w:rsidRDefault="00A46D11">
      <w:pPr>
        <w:spacing w:after="60"/>
        <w:ind w:right="141" w:firstLine="3"/>
        <w:contextualSpacing/>
        <w:rPr>
          <w:i/>
          <w:noProof/>
          <w:szCs w:val="24"/>
        </w:rPr>
      </w:pPr>
      <w:bookmarkStart w:id="61" w:name="_Toc387228766"/>
      <w:r>
        <w:rPr>
          <w:i/>
          <w:noProof/>
          <w:szCs w:val="24"/>
        </w:rPr>
        <w:t xml:space="preserve">Impact of negative interest rates on COSME-Equity: </w:t>
      </w:r>
    </w:p>
    <w:p w:rsidR="0073489B" w:rsidRDefault="00A46D11">
      <w:pPr>
        <w:spacing w:after="60"/>
        <w:ind w:right="141" w:firstLine="3"/>
        <w:contextualSpacing/>
        <w:jc w:val="both"/>
        <w:rPr>
          <w:i/>
          <w:noProof/>
          <w:szCs w:val="24"/>
        </w:rPr>
      </w:pPr>
      <w:r>
        <w:rPr>
          <w:i/>
          <w:noProof/>
          <w:szCs w:val="24"/>
        </w:rPr>
        <w:lastRenderedPageBreak/>
        <w:t>At the end of 2016, the net interest charge on short term deposits amounted to EUR 66 195. This was due to the deteriorating remuneration conditions for both EUR and SEK</w:t>
      </w:r>
      <w:r>
        <w:rPr>
          <w:i/>
          <w:noProof/>
          <w:szCs w:val="24"/>
        </w:rPr>
        <w:t xml:space="preserve"> deposits held under the EFG. As at year end 2016, the average interest rate for the deposits in EUR was -0,119% (2015: 0,0003%) and in SEK -0,8%. Measures taken in 2016 to minimize the impact of negative interests included</w:t>
      </w:r>
    </w:p>
    <w:p w:rsidR="0073489B" w:rsidRDefault="00A46D11">
      <w:pPr>
        <w:pStyle w:val="ListParagraph"/>
        <w:numPr>
          <w:ilvl w:val="0"/>
          <w:numId w:val="292"/>
        </w:numPr>
        <w:spacing w:after="60"/>
        <w:ind w:right="141"/>
        <w:jc w:val="both"/>
        <w:rPr>
          <w:i/>
          <w:noProof/>
          <w:szCs w:val="24"/>
        </w:rPr>
      </w:pPr>
      <w:r>
        <w:rPr>
          <w:i/>
          <w:noProof/>
          <w:szCs w:val="24"/>
        </w:rPr>
        <w:t>the temporary reduction of the E</w:t>
      </w:r>
      <w:r>
        <w:rPr>
          <w:i/>
          <w:noProof/>
          <w:szCs w:val="24"/>
        </w:rPr>
        <w:t>FG Minimum Reserve, to be reviewed from time to time in the context of the payment estimate/disbursement forecast exercise between the EIF and the Commission;</w:t>
      </w:r>
    </w:p>
    <w:p w:rsidR="0073489B" w:rsidRDefault="00A46D11">
      <w:pPr>
        <w:numPr>
          <w:ilvl w:val="0"/>
          <w:numId w:val="292"/>
        </w:numPr>
        <w:spacing w:after="60"/>
        <w:ind w:right="141"/>
        <w:contextualSpacing/>
        <w:rPr>
          <w:i/>
          <w:noProof/>
          <w:szCs w:val="24"/>
        </w:rPr>
      </w:pPr>
      <w:r>
        <w:rPr>
          <w:i/>
          <w:noProof/>
          <w:szCs w:val="24"/>
        </w:rPr>
        <w:t>the opening of a new financial instrument account with more favorable conditions.</w:t>
      </w:r>
    </w:p>
    <w:p w:rsidR="0073489B" w:rsidRDefault="00A46D11">
      <w:pPr>
        <w:pStyle w:val="Heading5"/>
        <w:ind w:left="284" w:firstLine="0"/>
        <w:rPr>
          <w:b w:val="0"/>
          <w:noProof/>
        </w:rPr>
      </w:pPr>
      <w:r>
        <w:rPr>
          <w:noProof/>
        </w:rPr>
        <w:t xml:space="preserve">Revenues and repayments; </w:t>
      </w:r>
      <w:bookmarkEnd w:id="61"/>
    </w:p>
    <w:p w:rsidR="0073489B" w:rsidRDefault="00A46D11">
      <w:pPr>
        <w:spacing w:after="60"/>
        <w:ind w:left="360" w:right="141"/>
        <w:contextualSpacing/>
        <w:rPr>
          <w:noProof/>
          <w:szCs w:val="24"/>
        </w:rPr>
      </w:pPr>
      <w:r>
        <w:rPr>
          <w:noProof/>
          <w:szCs w:val="24"/>
        </w:rPr>
        <w:t>Aggregate revenues as at 31/12/2016</w:t>
      </w:r>
      <w:r>
        <w:rPr>
          <w:noProof/>
          <w:szCs w:val="24"/>
        </w:rPr>
        <w:tab/>
        <w:t xml:space="preserve">                                                         EUR 6 202</w:t>
      </w:r>
    </w:p>
    <w:p w:rsidR="0073489B" w:rsidRDefault="00A46D11">
      <w:pPr>
        <w:spacing w:after="60"/>
        <w:ind w:left="360" w:right="141"/>
        <w:contextualSpacing/>
        <w:rPr>
          <w:noProof/>
          <w:szCs w:val="24"/>
        </w:rPr>
      </w:pPr>
      <w:r>
        <w:rPr>
          <w:noProof/>
          <w:szCs w:val="24"/>
        </w:rPr>
        <w:t>Aggregate repayments as at 31/12/2016</w:t>
      </w:r>
      <w:r>
        <w:rPr>
          <w:noProof/>
          <w:szCs w:val="24"/>
        </w:rPr>
        <w:tab/>
        <w:t xml:space="preserve">                                                         EUR 8 375</w:t>
      </w:r>
    </w:p>
    <w:p w:rsidR="0073489B" w:rsidRDefault="00A46D11">
      <w:pPr>
        <w:pStyle w:val="Heading5"/>
        <w:spacing w:before="120"/>
        <w:ind w:left="284" w:firstLine="0"/>
        <w:rPr>
          <w:noProof/>
        </w:rPr>
      </w:pPr>
      <w:bookmarkStart w:id="62" w:name="_Toc387228767"/>
      <w:r>
        <w:rPr>
          <w:noProof/>
        </w:rPr>
        <w:t>The value of equity in</w:t>
      </w:r>
      <w:r>
        <w:rPr>
          <w:noProof/>
        </w:rPr>
        <w:t>vestments, with respect to previous years</w:t>
      </w:r>
      <w:bookmarkEnd w:id="62"/>
      <w:r>
        <w:rPr>
          <w:noProof/>
        </w:rPr>
        <w:t>;</w:t>
      </w:r>
    </w:p>
    <w:p w:rsidR="0073489B" w:rsidRDefault="00A46D11">
      <w:pPr>
        <w:spacing w:after="60"/>
        <w:ind w:left="360" w:right="141"/>
        <w:contextualSpacing/>
        <w:rPr>
          <w:noProof/>
          <w:szCs w:val="24"/>
        </w:rPr>
      </w:pPr>
      <w:r>
        <w:rPr>
          <w:noProof/>
          <w:szCs w:val="24"/>
        </w:rPr>
        <w:t>EUR 12 162 196</w:t>
      </w:r>
    </w:p>
    <w:p w:rsidR="0073489B" w:rsidRDefault="00A46D11">
      <w:pPr>
        <w:pStyle w:val="Heading5"/>
        <w:spacing w:before="120"/>
        <w:ind w:left="284" w:firstLine="0"/>
        <w:jc w:val="both"/>
        <w:rPr>
          <w:noProof/>
        </w:rPr>
      </w:pPr>
      <w:bookmarkStart w:id="63" w:name="_Toc387228768"/>
      <w:r>
        <w:rPr>
          <w:noProof/>
        </w:rPr>
        <w:t>The accumulated figures on impairments of assets of equity or risk-sharing instruments, and on called guarantees for guarantee instruments</w:t>
      </w:r>
      <w:bookmarkEnd w:id="63"/>
      <w:r>
        <w:rPr>
          <w:noProof/>
        </w:rPr>
        <w:t>;</w:t>
      </w:r>
    </w:p>
    <w:p w:rsidR="0073489B" w:rsidRDefault="00A46D11">
      <w:pPr>
        <w:spacing w:after="60"/>
        <w:ind w:left="360" w:right="141"/>
        <w:contextualSpacing/>
        <w:rPr>
          <w:noProof/>
          <w:szCs w:val="24"/>
        </w:rPr>
      </w:pPr>
      <w:r>
        <w:rPr>
          <w:noProof/>
          <w:szCs w:val="24"/>
        </w:rPr>
        <w:t>EUR 0</w:t>
      </w:r>
    </w:p>
    <w:p w:rsidR="0073489B" w:rsidRDefault="00A46D11">
      <w:pPr>
        <w:pStyle w:val="Heading5"/>
        <w:spacing w:before="120"/>
        <w:ind w:left="284" w:firstLine="0"/>
        <w:rPr>
          <w:noProof/>
        </w:rPr>
      </w:pPr>
      <w:bookmarkStart w:id="64" w:name="_Toc387228769"/>
      <w:r>
        <w:rPr>
          <w:noProof/>
        </w:rPr>
        <w:t>The target leverage effect, and the achieved leverag</w:t>
      </w:r>
      <w:r>
        <w:rPr>
          <w:noProof/>
        </w:rPr>
        <w:t>e effect</w:t>
      </w:r>
      <w:bookmarkEnd w:id="64"/>
      <w:r>
        <w:rPr>
          <w:noProof/>
        </w:rPr>
        <w:t>;</w:t>
      </w:r>
    </w:p>
    <w:p w:rsidR="0073489B" w:rsidRDefault="00A46D11">
      <w:pPr>
        <w:spacing w:after="60"/>
        <w:ind w:right="141" w:firstLine="3"/>
        <w:contextualSpacing/>
        <w:jc w:val="both"/>
        <w:rPr>
          <w:noProof/>
          <w:szCs w:val="24"/>
        </w:rPr>
      </w:pPr>
      <w:r>
        <w:rPr>
          <w:b/>
          <w:noProof/>
          <w:szCs w:val="24"/>
        </w:rPr>
        <w:t>The target leverage effect</w:t>
      </w:r>
      <w:r>
        <w:rPr>
          <w:noProof/>
          <w:szCs w:val="24"/>
        </w:rPr>
        <w:t xml:space="preserve"> indicated in the COSME legal base is in the 1 to 4 – 1 to 6 range for the equity instrument over the lifetime of the programme, with an overall value of risk capital investments expected to be mobilised by the EU contri</w:t>
      </w:r>
      <w:r>
        <w:rPr>
          <w:noProof/>
          <w:szCs w:val="24"/>
        </w:rPr>
        <w:t>bution ranging from EUR 2,6 billion to EUR 3,9 billion and the number of firms ranging from 360 to 540.</w:t>
      </w:r>
      <w:r>
        <w:rPr>
          <w:rStyle w:val="FootnoteReference"/>
          <w:noProof/>
          <w:szCs w:val="24"/>
        </w:rPr>
        <w:footnoteReference w:id="68"/>
      </w:r>
    </w:p>
    <w:p w:rsidR="0073489B" w:rsidRDefault="00A46D11">
      <w:pPr>
        <w:spacing w:after="60"/>
        <w:ind w:right="141"/>
        <w:contextualSpacing/>
        <w:jc w:val="both"/>
        <w:rPr>
          <w:i/>
          <w:noProof/>
          <w:szCs w:val="24"/>
          <w:lang w:eastAsia="en-GB"/>
        </w:rPr>
      </w:pPr>
      <w:r>
        <w:rPr>
          <w:b/>
          <w:i/>
          <w:noProof/>
          <w:szCs w:val="24"/>
          <w:lang w:eastAsia="en-GB"/>
        </w:rPr>
        <w:t>The achieved leverage effect</w:t>
      </w:r>
      <w:r>
        <w:rPr>
          <w:i/>
          <w:noProof/>
          <w:szCs w:val="24"/>
          <w:lang w:eastAsia="en-GB"/>
        </w:rPr>
        <w:t xml:space="preserve"> </w:t>
      </w:r>
    </w:p>
    <w:p w:rsidR="0073489B" w:rsidRDefault="00A46D11">
      <w:pPr>
        <w:jc w:val="both"/>
        <w:rPr>
          <w:noProof/>
          <w:szCs w:val="24"/>
        </w:rPr>
      </w:pPr>
      <w:r>
        <w:rPr>
          <w:noProof/>
          <w:szCs w:val="24"/>
        </w:rPr>
        <w:t>Based on the cumulative budgetary commitments for the EFG (i.e. EUR 172,9 million) and the total amount of investments al</w:t>
      </w:r>
      <w:r>
        <w:rPr>
          <w:noProof/>
          <w:szCs w:val="24"/>
        </w:rPr>
        <w:t>ready made into eligible final recipients, the achieved leverage effect computed at the end of 2016 amounts to 0,4.</w:t>
      </w:r>
    </w:p>
    <w:p w:rsidR="0073489B" w:rsidRDefault="00A46D11">
      <w:pPr>
        <w:keepNext/>
        <w:jc w:val="both"/>
        <w:rPr>
          <w:noProof/>
          <w:szCs w:val="24"/>
          <w:lang w:eastAsia="en-GB"/>
        </w:rPr>
      </w:pPr>
      <w:r>
        <w:rPr>
          <w:b/>
          <w:i/>
          <w:noProof/>
          <w:szCs w:val="24"/>
          <w:lang w:eastAsia="en-GB"/>
        </w:rPr>
        <w:t>The "Expected Leverage for Signed Operations"</w:t>
      </w:r>
      <w:r>
        <w:rPr>
          <w:i/>
          <w:noProof/>
          <w:szCs w:val="24"/>
          <w:lang w:eastAsia="en-GB"/>
        </w:rPr>
        <w:t xml:space="preserve"> </w:t>
      </w:r>
    </w:p>
    <w:p w:rsidR="0073489B" w:rsidRDefault="00A46D11">
      <w:pPr>
        <w:spacing w:after="60"/>
        <w:jc w:val="both"/>
        <w:rPr>
          <w:noProof/>
          <w:szCs w:val="24"/>
        </w:rPr>
      </w:pPr>
      <w:r>
        <w:rPr>
          <w:noProof/>
          <w:szCs w:val="24"/>
        </w:rPr>
        <w:t>Based on the cumulative budgetary commitments for the EFG (i.e. EUR 172,9 million) and taking</w:t>
      </w:r>
      <w:r>
        <w:rPr>
          <w:noProof/>
          <w:szCs w:val="24"/>
        </w:rPr>
        <w:t xml:space="preserve"> into account the total amount expected to be invested into eligible final recipients under the fund agreements already signed, the expected leverage at the end of 2016 is 2,7.</w:t>
      </w:r>
    </w:p>
    <w:p w:rsidR="0073489B" w:rsidRDefault="00A46D11">
      <w:pPr>
        <w:pStyle w:val="Heading4"/>
        <w:ind w:left="426" w:hanging="426"/>
        <w:rPr>
          <w:noProof/>
        </w:rPr>
      </w:pPr>
      <w:bookmarkStart w:id="65" w:name="_Toc378357026"/>
      <w:bookmarkStart w:id="66" w:name="_Toc387228770"/>
      <w:bookmarkStart w:id="67" w:name="_Toc388541869"/>
      <w:r>
        <w:rPr>
          <w:noProof/>
        </w:rPr>
        <w:t>Strategic importance/relevance</w:t>
      </w:r>
      <w:bookmarkEnd w:id="65"/>
      <w:bookmarkEnd w:id="66"/>
      <w:bookmarkEnd w:id="67"/>
    </w:p>
    <w:p w:rsidR="0073489B" w:rsidRDefault="00A46D11">
      <w:pPr>
        <w:pStyle w:val="Heading5"/>
        <w:spacing w:before="120"/>
        <w:ind w:left="284" w:firstLine="0"/>
        <w:jc w:val="both"/>
        <w:rPr>
          <w:i/>
          <w:noProof/>
        </w:rPr>
      </w:pPr>
      <w:bookmarkStart w:id="68" w:name="_Toc387228771"/>
      <w:bookmarkStart w:id="69" w:name="_Toc378357027"/>
      <w:r>
        <w:rPr>
          <w:noProof/>
        </w:rPr>
        <w:t xml:space="preserve">The contribution of the financial instrument to </w:t>
      </w:r>
      <w:r>
        <w:rPr>
          <w:noProof/>
        </w:rPr>
        <w:t>the achievement of the objectives of the programme concerned as measured by the established indicators, including, where applicable, the geographical diversification</w:t>
      </w:r>
      <w:bookmarkEnd w:id="68"/>
      <w:r>
        <w:rPr>
          <w:noProof/>
        </w:rPr>
        <w:t>;</w:t>
      </w:r>
    </w:p>
    <w:p w:rsidR="0073489B" w:rsidRDefault="00A46D11">
      <w:pPr>
        <w:spacing w:after="60"/>
        <w:jc w:val="both"/>
        <w:rPr>
          <w:noProof/>
          <w:szCs w:val="24"/>
        </w:rPr>
      </w:pPr>
      <w:r>
        <w:rPr>
          <w:noProof/>
          <w:szCs w:val="24"/>
        </w:rPr>
        <w:t xml:space="preserve">At the end of 2016, the EFG contributed to provide more than EUR 64 million of financing </w:t>
      </w:r>
      <w:r>
        <w:rPr>
          <w:noProof/>
          <w:szCs w:val="24"/>
        </w:rPr>
        <w:t>to 12 eligible SMEs in 7 countries (see graph below).</w:t>
      </w:r>
    </w:p>
    <w:p w:rsidR="0073489B" w:rsidRDefault="00A46D11">
      <w:pPr>
        <w:spacing w:after="60"/>
        <w:jc w:val="both"/>
        <w:rPr>
          <w:noProof/>
          <w:szCs w:val="24"/>
        </w:rPr>
      </w:pPr>
      <w:r>
        <w:rPr>
          <w:noProof/>
          <w:lang w:eastAsia="en-GB"/>
        </w:rPr>
        <w:lastRenderedPageBreak/>
        <w:drawing>
          <wp:inline distT="0" distB="0" distL="0" distR="0">
            <wp:extent cx="5621573" cy="4047214"/>
            <wp:effectExtent l="0" t="0" r="17780" b="107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3489B" w:rsidRDefault="0073489B">
      <w:pPr>
        <w:spacing w:after="60"/>
        <w:rPr>
          <w:noProof/>
          <w:szCs w:val="24"/>
        </w:rPr>
      </w:pPr>
    </w:p>
    <w:p w:rsidR="0073489B" w:rsidRDefault="00A46D11">
      <w:pPr>
        <w:pStyle w:val="Heading4"/>
        <w:ind w:left="426" w:hanging="426"/>
        <w:rPr>
          <w:noProof/>
        </w:rPr>
      </w:pPr>
      <w:bookmarkStart w:id="70" w:name="_Toc387228772"/>
      <w:bookmarkStart w:id="71" w:name="_Toc388541870"/>
      <w:r>
        <w:rPr>
          <w:noProof/>
        </w:rPr>
        <w:t>Other key points and issues</w:t>
      </w:r>
      <w:bookmarkEnd w:id="69"/>
      <w:bookmarkEnd w:id="70"/>
      <w:bookmarkEnd w:id="71"/>
    </w:p>
    <w:p w:rsidR="0073489B" w:rsidRDefault="00A46D11">
      <w:pPr>
        <w:pStyle w:val="ListParagraph"/>
        <w:numPr>
          <w:ilvl w:val="3"/>
          <w:numId w:val="1"/>
        </w:numPr>
        <w:ind w:left="142" w:hanging="142"/>
        <w:rPr>
          <w:b/>
          <w:i/>
          <w:noProof/>
          <w:szCs w:val="24"/>
        </w:rPr>
      </w:pPr>
      <w:r>
        <w:rPr>
          <w:b/>
          <w:i/>
          <w:noProof/>
          <w:szCs w:val="24"/>
        </w:rPr>
        <w:t>Main issues for the implementation:</w:t>
      </w:r>
    </w:p>
    <w:p w:rsidR="0073489B" w:rsidRDefault="00A46D11">
      <w:pPr>
        <w:pStyle w:val="ListParagraph"/>
        <w:numPr>
          <w:ilvl w:val="4"/>
          <w:numId w:val="1"/>
        </w:numPr>
        <w:spacing w:after="60"/>
        <w:ind w:left="709" w:hanging="283"/>
        <w:jc w:val="both"/>
        <w:rPr>
          <w:noProof/>
          <w:szCs w:val="24"/>
        </w:rPr>
      </w:pPr>
      <w:r>
        <w:rPr>
          <w:noProof/>
          <w:szCs w:val="24"/>
        </w:rPr>
        <w:t xml:space="preserve">Compared to the due diligence required for the signature of guarantee agreements, the due diligence process for equity is much more complex, and necessitates more time (e.g. due to the fund-raising process involved from various investors) which results in </w:t>
      </w:r>
      <w:r>
        <w:rPr>
          <w:noProof/>
          <w:szCs w:val="24"/>
        </w:rPr>
        <w:t xml:space="preserve">a slower implementation of the EFG. </w:t>
      </w:r>
    </w:p>
    <w:p w:rsidR="0073489B" w:rsidRDefault="00A46D11">
      <w:pPr>
        <w:pStyle w:val="ListParagraph"/>
        <w:numPr>
          <w:ilvl w:val="4"/>
          <w:numId w:val="1"/>
        </w:numPr>
        <w:spacing w:after="60"/>
        <w:ind w:left="709" w:hanging="283"/>
        <w:jc w:val="both"/>
        <w:rPr>
          <w:noProof/>
          <w:szCs w:val="24"/>
        </w:rPr>
      </w:pPr>
      <w:r>
        <w:rPr>
          <w:noProof/>
          <w:szCs w:val="24"/>
        </w:rPr>
        <w:t xml:space="preserve">The implementation of the EFG may slow down even further due to the setting up of a </w:t>
      </w:r>
      <w:r>
        <w:rPr>
          <w:bCs/>
          <w:noProof/>
          <w:lang w:eastAsia="en-GB"/>
        </w:rPr>
        <w:t>new Expansion and Growth Window under the EFSI Equity instrument which has largely the same investment focus as the EFG. As a result, a</w:t>
      </w:r>
      <w:r>
        <w:rPr>
          <w:bCs/>
          <w:noProof/>
          <w:lang w:eastAsia="en-GB"/>
        </w:rPr>
        <w:t>n order of priority has been established whereby the EIF shall endeavour to first absorb investment capacity available under the EFSI Expansion and Growth Window before making use of EFG resources for investments taking place in Member States. The EFG is h</w:t>
      </w:r>
      <w:r>
        <w:rPr>
          <w:bCs/>
          <w:noProof/>
          <w:lang w:eastAsia="en-GB"/>
        </w:rPr>
        <w:t>owever broader in scope as it targets also investments in third countries participating to the COSME programme and these investments will continue to be made under the EFG only.</w:t>
      </w:r>
    </w:p>
    <w:p w:rsidR="0073489B" w:rsidRDefault="00A46D11">
      <w:pPr>
        <w:pStyle w:val="ListParagraph"/>
        <w:numPr>
          <w:ilvl w:val="3"/>
          <w:numId w:val="1"/>
        </w:numPr>
        <w:ind w:left="284" w:hanging="284"/>
        <w:jc w:val="both"/>
        <w:rPr>
          <w:b/>
          <w:i/>
          <w:noProof/>
          <w:szCs w:val="24"/>
        </w:rPr>
      </w:pPr>
      <w:r>
        <w:rPr>
          <w:b/>
          <w:i/>
          <w:noProof/>
          <w:szCs w:val="24"/>
        </w:rPr>
        <w:t>Main risks:</w:t>
      </w:r>
    </w:p>
    <w:p w:rsidR="0073489B" w:rsidRDefault="00A46D11">
      <w:pPr>
        <w:pStyle w:val="ListParagraph"/>
        <w:numPr>
          <w:ilvl w:val="4"/>
          <w:numId w:val="1"/>
        </w:numPr>
        <w:spacing w:after="60"/>
        <w:ind w:left="709" w:hanging="283"/>
        <w:jc w:val="both"/>
        <w:rPr>
          <w:noProof/>
          <w:szCs w:val="24"/>
        </w:rPr>
      </w:pPr>
      <w:r>
        <w:rPr>
          <w:noProof/>
          <w:szCs w:val="24"/>
        </w:rPr>
        <w:t xml:space="preserve">Due to the setting up of the </w:t>
      </w:r>
      <w:r>
        <w:rPr>
          <w:bCs/>
          <w:noProof/>
          <w:lang w:eastAsia="en-GB"/>
        </w:rPr>
        <w:t>Expansion and Growth Window under EFS</w:t>
      </w:r>
      <w:r>
        <w:rPr>
          <w:bCs/>
          <w:noProof/>
          <w:lang w:eastAsia="en-GB"/>
        </w:rPr>
        <w:t>I for equity investments for SMEs and small mid-caps and the established order of priority (see explanation above), not all EFG resources may be absorbed (due to lack of sufficient market demand). Should this be the case, resources will be shifted from the</w:t>
      </w:r>
      <w:r>
        <w:rPr>
          <w:bCs/>
          <w:noProof/>
          <w:lang w:eastAsia="en-GB"/>
        </w:rPr>
        <w:t xml:space="preserve"> EFG to the LFG.</w:t>
      </w:r>
    </w:p>
    <w:p w:rsidR="0073489B" w:rsidRDefault="00A46D11">
      <w:pPr>
        <w:pStyle w:val="ListParagraph"/>
        <w:numPr>
          <w:ilvl w:val="3"/>
          <w:numId w:val="1"/>
        </w:numPr>
        <w:tabs>
          <w:tab w:val="left" w:pos="0"/>
        </w:tabs>
        <w:ind w:left="142" w:hanging="142"/>
        <w:jc w:val="both"/>
        <w:rPr>
          <w:b/>
          <w:i/>
          <w:noProof/>
          <w:szCs w:val="24"/>
        </w:rPr>
      </w:pPr>
      <w:r>
        <w:rPr>
          <w:b/>
          <w:i/>
          <w:noProof/>
          <w:szCs w:val="24"/>
        </w:rPr>
        <w:t>General outlook:</w:t>
      </w:r>
    </w:p>
    <w:p w:rsidR="0073489B" w:rsidRDefault="00A46D11">
      <w:pPr>
        <w:pStyle w:val="ListParagraph"/>
        <w:numPr>
          <w:ilvl w:val="4"/>
          <w:numId w:val="1"/>
        </w:numPr>
        <w:spacing w:after="60"/>
        <w:ind w:left="709" w:hanging="283"/>
        <w:jc w:val="both"/>
        <w:rPr>
          <w:noProof/>
        </w:rPr>
      </w:pPr>
      <w:r>
        <w:rPr>
          <w:noProof/>
          <w:szCs w:val="24"/>
        </w:rPr>
        <w:t>Based on the pipeline report received early 2017, it is expected that the 2014-2016 aggregate budgetary commitments (net of fees) will be fully used for the signature of EFG operations (direct investments).</w:t>
      </w:r>
    </w:p>
    <w:p w:rsidR="0073489B" w:rsidRDefault="0073489B">
      <w:pPr>
        <w:pStyle w:val="ListParagraph"/>
        <w:spacing w:after="60"/>
        <w:ind w:left="426"/>
        <w:rPr>
          <w:noProof/>
        </w:rPr>
      </w:pPr>
    </w:p>
    <w:p w:rsidR="0073489B" w:rsidRDefault="00A46D11">
      <w:pPr>
        <w:pStyle w:val="Heading3"/>
        <w:spacing w:before="120" w:after="120"/>
        <w:ind w:left="553" w:hanging="553"/>
      </w:pPr>
      <w:bookmarkStart w:id="72" w:name="_InnovFin_SME_Venture"/>
      <w:bookmarkStart w:id="73" w:name="_Toc387228774"/>
      <w:bookmarkStart w:id="74" w:name="_Toc388541872"/>
      <w:bookmarkStart w:id="75" w:name="_Toc393281933"/>
      <w:bookmarkStart w:id="76" w:name="_Toc486436748"/>
      <w:bookmarkEnd w:id="72"/>
      <w:r>
        <w:lastRenderedPageBreak/>
        <w:t xml:space="preserve">Equity </w:t>
      </w:r>
      <w:r>
        <w:t>Facility (early-stage capital) for Research and Innovation of Horizon 2020 (InnovFin Equity)</w:t>
      </w:r>
      <w:bookmarkStart w:id="77" w:name="_Toc387228775"/>
      <w:bookmarkStart w:id="78" w:name="_Toc388541873"/>
      <w:bookmarkEnd w:id="73"/>
      <w:bookmarkEnd w:id="74"/>
      <w:bookmarkEnd w:id="75"/>
      <w:bookmarkEnd w:id="76"/>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154"/>
        <w:gridCol w:w="3134"/>
      </w:tblGrid>
      <w:tr w:rsidR="0073489B">
        <w:trPr>
          <w:trHeight w:val="552"/>
          <w:jc w:val="center"/>
        </w:trPr>
        <w:tc>
          <w:tcPr>
            <w:tcW w:w="3313" w:type="pct"/>
            <w:tcBorders>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Policy DG in charge:</w:t>
            </w:r>
          </w:p>
        </w:tc>
        <w:tc>
          <w:tcPr>
            <w:tcW w:w="1687" w:type="pct"/>
            <w:tcBorders>
              <w:bottom w:val="single" w:sz="4" w:space="0" w:color="auto"/>
            </w:tcBorders>
            <w:shd w:val="clear" w:color="auto" w:fill="auto"/>
            <w:vAlign w:val="center"/>
          </w:tcPr>
          <w:p w:rsidR="0073489B" w:rsidRDefault="00A46D11">
            <w:pPr>
              <w:spacing w:before="60" w:after="60"/>
              <w:jc w:val="center"/>
              <w:rPr>
                <w:noProof/>
              </w:rPr>
            </w:pPr>
            <w:r>
              <w:rPr>
                <w:noProof/>
              </w:rPr>
              <w:t>DG RTD</w:t>
            </w:r>
          </w:p>
        </w:tc>
      </w:tr>
      <w:tr w:rsidR="0073489B">
        <w:trPr>
          <w:trHeight w:val="552"/>
          <w:jc w:val="center"/>
        </w:trPr>
        <w:tc>
          <w:tcPr>
            <w:tcW w:w="3313"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 xml:space="preserve">Implementing DG in charge:  </w:t>
            </w:r>
          </w:p>
        </w:tc>
        <w:tc>
          <w:tcPr>
            <w:tcW w:w="1687"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DG RTD</w:t>
            </w:r>
          </w:p>
        </w:tc>
      </w:tr>
      <w:tr w:rsidR="0073489B">
        <w:trPr>
          <w:trHeight w:val="552"/>
          <w:jc w:val="center"/>
        </w:trPr>
        <w:tc>
          <w:tcPr>
            <w:tcW w:w="3313"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Implementing Body in charge:</w:t>
            </w:r>
          </w:p>
        </w:tc>
        <w:tc>
          <w:tcPr>
            <w:tcW w:w="1687"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EIF</w:t>
            </w:r>
          </w:p>
        </w:tc>
      </w:tr>
      <w:tr w:rsidR="0073489B">
        <w:trPr>
          <w:trHeight w:val="552"/>
          <w:jc w:val="center"/>
        </w:trPr>
        <w:tc>
          <w:tcPr>
            <w:tcW w:w="3313" w:type="pct"/>
            <w:tcBorders>
              <w:top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Expected Overall (2014-2020) Programme Budget:</w:t>
            </w:r>
          </w:p>
        </w:tc>
        <w:tc>
          <w:tcPr>
            <w:tcW w:w="1687" w:type="pct"/>
            <w:tcBorders>
              <w:top w:val="single" w:sz="4" w:space="0" w:color="auto"/>
            </w:tcBorders>
            <w:shd w:val="clear" w:color="auto" w:fill="auto"/>
            <w:vAlign w:val="center"/>
          </w:tcPr>
          <w:p w:rsidR="0073489B" w:rsidRDefault="00A46D11">
            <w:pPr>
              <w:spacing w:before="60" w:after="60"/>
              <w:jc w:val="center"/>
              <w:rPr>
                <w:noProof/>
              </w:rPr>
            </w:pPr>
            <w:r>
              <w:rPr>
                <w:noProof/>
              </w:rPr>
              <w:t xml:space="preserve">EUR </w:t>
            </w:r>
            <w:r>
              <w:rPr>
                <w:noProof/>
                <w:szCs w:val="24"/>
                <w:lang w:eastAsia="fr-FR"/>
              </w:rPr>
              <w:t xml:space="preserve"> </w:t>
            </w:r>
            <w:r>
              <w:rPr>
                <w:noProof/>
              </w:rPr>
              <w:t xml:space="preserve">495 </w:t>
            </w:r>
            <w:r>
              <w:rPr>
                <w:noProof/>
              </w:rPr>
              <w:t>million*</w:t>
            </w:r>
          </w:p>
        </w:tc>
      </w:tr>
    </w:tbl>
    <w:p w:rsidR="0073489B" w:rsidRDefault="00A46D11">
      <w:pPr>
        <w:spacing w:before="60"/>
        <w:ind w:left="709"/>
        <w:rPr>
          <w:i/>
          <w:noProof/>
          <w:sz w:val="20"/>
          <w:lang w:val="en-US"/>
        </w:rPr>
      </w:pPr>
      <w:r>
        <w:rPr>
          <w:i/>
          <w:noProof/>
          <w:sz w:val="20"/>
        </w:rPr>
        <w:t>*</w:t>
      </w:r>
      <w:r>
        <w:rPr>
          <w:i/>
          <w:noProof/>
          <w:sz w:val="20"/>
          <w:lang w:val="en-US"/>
        </w:rPr>
        <w:t>This amount includes EFTA appropriations for 2014 and is subject to the outcome of discussions on the budget profile.</w:t>
      </w:r>
    </w:p>
    <w:p w:rsidR="0073489B" w:rsidRDefault="0073489B">
      <w:pPr>
        <w:ind w:left="709"/>
        <w:rPr>
          <w:i/>
          <w:noProof/>
          <w:sz w:val="20"/>
          <w:lang w:val="en-US"/>
        </w:rPr>
      </w:pPr>
    </w:p>
    <w:p w:rsidR="0073489B" w:rsidRDefault="00A46D11">
      <w:pPr>
        <w:pStyle w:val="Heading4"/>
        <w:numPr>
          <w:ilvl w:val="0"/>
          <w:numId w:val="18"/>
        </w:numPr>
        <w:spacing w:before="120"/>
        <w:ind w:left="426" w:hanging="426"/>
        <w:rPr>
          <w:noProof/>
        </w:rPr>
      </w:pPr>
      <w:r>
        <w:rPr>
          <w:noProof/>
        </w:rPr>
        <w:t>Summary</w:t>
      </w:r>
    </w:p>
    <w:p w:rsidR="0073489B" w:rsidRDefault="00A46D11">
      <w:pPr>
        <w:autoSpaceDE w:val="0"/>
        <w:autoSpaceDN w:val="0"/>
        <w:adjustRightInd w:val="0"/>
        <w:spacing w:after="60"/>
        <w:jc w:val="both"/>
        <w:rPr>
          <w:noProof/>
          <w:szCs w:val="24"/>
        </w:rPr>
      </w:pPr>
      <w:r>
        <w:rPr>
          <w:noProof/>
          <w:szCs w:val="24"/>
        </w:rPr>
        <w:t>The InnovFin Equity facility succeeds and refines the GIF-1 scheme under CIP, and is part of a single equity financial</w:t>
      </w:r>
      <w:r>
        <w:rPr>
          <w:noProof/>
          <w:szCs w:val="24"/>
        </w:rPr>
        <w:t xml:space="preserve"> instrument supporting the growth of enterprises and their R&amp;I activities. It is designed to improve access to risk finance by early-stage R&amp;I-driven SMEs and small midcaps through supporting early-stage risk capital funds that invest, on a predominantly c</w:t>
      </w:r>
      <w:r>
        <w:rPr>
          <w:noProof/>
          <w:szCs w:val="24"/>
        </w:rPr>
        <w:t>ross-border basis, in individual enterprises.</w:t>
      </w:r>
    </w:p>
    <w:p w:rsidR="0073489B" w:rsidRDefault="00A46D11">
      <w:pPr>
        <w:autoSpaceDE w:val="0"/>
        <w:autoSpaceDN w:val="0"/>
        <w:adjustRightInd w:val="0"/>
        <w:spacing w:after="60"/>
        <w:jc w:val="both"/>
        <w:rPr>
          <w:noProof/>
          <w:szCs w:val="24"/>
        </w:rPr>
      </w:pPr>
      <w:r>
        <w:rPr>
          <w:noProof/>
          <w:szCs w:val="24"/>
        </w:rPr>
        <w:t>SMEs and small midcaps located in Member States or in Associated Countries are eligible as final recipients. The COSME programme's Equity Facility for Growth complements this facility, which, supported by a set</w:t>
      </w:r>
      <w:r>
        <w:rPr>
          <w:noProof/>
          <w:szCs w:val="24"/>
        </w:rPr>
        <w:t xml:space="preserve"> of accompanying measures, supports the achievement of Horizon 2020 policy objectives.</w:t>
      </w:r>
    </w:p>
    <w:p w:rsidR="0073489B" w:rsidRDefault="00A46D11">
      <w:pPr>
        <w:spacing w:after="60"/>
        <w:jc w:val="both"/>
        <w:rPr>
          <w:noProof/>
          <w:szCs w:val="24"/>
        </w:rPr>
      </w:pPr>
      <w:r>
        <w:rPr>
          <w:noProof/>
          <w:szCs w:val="24"/>
        </w:rPr>
        <w:t>In terms of Union added value, the InnovFin SME Venture Capital complements national and regional schemes that cannot cater for cross-border investments in R&amp;I. The earl</w:t>
      </w:r>
      <w:r>
        <w:rPr>
          <w:noProof/>
          <w:szCs w:val="24"/>
        </w:rPr>
        <w:t>y-stage deals  also have a demonstration effect that can benefit public and private investors across Europe. For the growth phase, only at European level is it possible to achieve the necessary scale and the strong participation of private investors that a</w:t>
      </w:r>
      <w:r>
        <w:rPr>
          <w:noProof/>
          <w:szCs w:val="24"/>
        </w:rPr>
        <w:t>re essential to the functioning of a self-sustaining venture capital market.</w:t>
      </w:r>
    </w:p>
    <w:p w:rsidR="0073489B" w:rsidRDefault="00A46D11">
      <w:pPr>
        <w:spacing w:after="60"/>
        <w:jc w:val="both"/>
        <w:rPr>
          <w:noProof/>
          <w:szCs w:val="24"/>
          <w:lang w:eastAsia="fr-FR"/>
        </w:rPr>
      </w:pPr>
      <w:r>
        <w:rPr>
          <w:noProof/>
          <w:szCs w:val="24"/>
        </w:rPr>
        <w:t xml:space="preserve">Current Overall (2014-2020) Programme Budget amounts to </w:t>
      </w:r>
      <w:r>
        <w:rPr>
          <w:noProof/>
          <w:szCs w:val="24"/>
          <w:lang w:eastAsia="fr-FR"/>
        </w:rPr>
        <w:t>EUR 495 million.</w:t>
      </w:r>
    </w:p>
    <w:p w:rsidR="0073489B" w:rsidRDefault="0073489B">
      <w:pPr>
        <w:spacing w:after="60"/>
        <w:rPr>
          <w:noProof/>
          <w:szCs w:val="24"/>
          <w:lang w:eastAsia="fr-FR"/>
        </w:rPr>
      </w:pPr>
    </w:p>
    <w:p w:rsidR="0073489B" w:rsidRDefault="00A46D11">
      <w:pPr>
        <w:pStyle w:val="Heading4"/>
        <w:numPr>
          <w:ilvl w:val="0"/>
          <w:numId w:val="18"/>
        </w:numPr>
        <w:ind w:left="426" w:hanging="426"/>
        <w:rPr>
          <w:noProof/>
        </w:rPr>
      </w:pPr>
      <w:r>
        <w:rPr>
          <w:noProof/>
        </w:rPr>
        <w:t>Description</w:t>
      </w:r>
      <w:r>
        <w:rPr>
          <w:rStyle w:val="FootnoteReference"/>
          <w:b w:val="0"/>
          <w:bCs w:val="0"/>
          <w:noProof/>
          <w:u w:val="none"/>
        </w:rPr>
        <w:footnoteReference w:id="69"/>
      </w:r>
      <w:bookmarkEnd w:id="77"/>
      <w:bookmarkEnd w:id="78"/>
    </w:p>
    <w:p w:rsidR="0073489B" w:rsidRDefault="00A46D11">
      <w:pPr>
        <w:pStyle w:val="Heading5"/>
        <w:numPr>
          <w:ilvl w:val="0"/>
          <w:numId w:val="17"/>
        </w:numPr>
        <w:spacing w:before="120"/>
        <w:ind w:left="284" w:firstLine="0"/>
        <w:rPr>
          <w:noProof/>
        </w:rPr>
      </w:pPr>
      <w:bookmarkStart w:id="79" w:name="_Toc387228776"/>
      <w:r>
        <w:rPr>
          <w:noProof/>
        </w:rPr>
        <w:t>Identification of the financial instrument and the basic act</w:t>
      </w:r>
      <w:bookmarkEnd w:id="79"/>
      <w:r>
        <w:rPr>
          <w:noProof/>
        </w:rPr>
        <w:t>;</w:t>
      </w:r>
    </w:p>
    <w:p w:rsidR="0073489B" w:rsidRDefault="00A46D11">
      <w:pPr>
        <w:spacing w:after="60"/>
        <w:ind w:right="141" w:firstLine="3"/>
        <w:contextualSpacing/>
        <w:jc w:val="both"/>
        <w:rPr>
          <w:noProof/>
          <w:szCs w:val="24"/>
        </w:rPr>
      </w:pPr>
      <w:r>
        <w:rPr>
          <w:noProof/>
          <w:szCs w:val="24"/>
        </w:rPr>
        <w:t xml:space="preserve">Regulation (EU) No 1291/2013 </w:t>
      </w:r>
      <w:r>
        <w:rPr>
          <w:noProof/>
          <w:szCs w:val="24"/>
        </w:rPr>
        <w:t>of the European Parliament and of the Council of 11 December 2013 establishing Horizon 2020 - the Framework Programme for Research and Innovation (2014-2020) and repealing Decision No 1982/2006/EC.</w:t>
      </w:r>
      <w:r>
        <w:rPr>
          <w:rStyle w:val="FootnoteReference"/>
          <w:noProof/>
          <w:szCs w:val="24"/>
        </w:rPr>
        <w:footnoteReference w:id="70"/>
      </w:r>
    </w:p>
    <w:p w:rsidR="0073489B" w:rsidRDefault="00A46D11">
      <w:pPr>
        <w:spacing w:after="60"/>
        <w:ind w:right="141" w:firstLine="3"/>
        <w:contextualSpacing/>
        <w:jc w:val="both"/>
        <w:rPr>
          <w:noProof/>
          <w:szCs w:val="24"/>
        </w:rPr>
      </w:pPr>
      <w:r>
        <w:rPr>
          <w:noProof/>
          <w:szCs w:val="24"/>
        </w:rPr>
        <w:t>Regulation (EU) No 1290/2013 of the European Parliament a</w:t>
      </w:r>
      <w:r>
        <w:rPr>
          <w:noProof/>
          <w:szCs w:val="24"/>
        </w:rPr>
        <w:t>nd of the Council of 11 December 2013 laying down the rules for participation and dissemination in "Horizon 2020 - the Framework Programme for Research and Innovation (2014-2020)" and repealing Regulation (EC) No 1906/2006.</w:t>
      </w:r>
      <w:r>
        <w:rPr>
          <w:rStyle w:val="FootnoteReference"/>
          <w:noProof/>
          <w:szCs w:val="24"/>
        </w:rPr>
        <w:footnoteReference w:id="71"/>
      </w:r>
      <w:r>
        <w:rPr>
          <w:noProof/>
          <w:szCs w:val="24"/>
        </w:rPr>
        <w:t xml:space="preserve"> </w:t>
      </w:r>
    </w:p>
    <w:p w:rsidR="0073489B" w:rsidRDefault="00A46D11">
      <w:pPr>
        <w:spacing w:after="60"/>
        <w:ind w:right="141" w:firstLine="3"/>
        <w:contextualSpacing/>
        <w:jc w:val="both"/>
        <w:rPr>
          <w:noProof/>
          <w:szCs w:val="24"/>
        </w:rPr>
      </w:pPr>
      <w:r>
        <w:rPr>
          <w:noProof/>
          <w:szCs w:val="24"/>
        </w:rPr>
        <w:lastRenderedPageBreak/>
        <w:t>Council Decision of 3 December</w:t>
      </w:r>
      <w:r>
        <w:rPr>
          <w:noProof/>
          <w:szCs w:val="24"/>
        </w:rPr>
        <w:t xml:space="preserve"> 2013 establishing the specific programme implementing Horizon 2020 - the Framework Programme for Research and Innovation (2014-2020) and repealing Decisions 2006/971/EC, 2006/972/EC, 2006/973/EC, 2006/974/EC and 2006/975/EC.</w:t>
      </w:r>
      <w:r>
        <w:rPr>
          <w:rStyle w:val="FootnoteReference"/>
          <w:noProof/>
          <w:szCs w:val="24"/>
        </w:rPr>
        <w:footnoteReference w:id="72"/>
      </w:r>
    </w:p>
    <w:p w:rsidR="0073489B" w:rsidRDefault="00A46D11">
      <w:pPr>
        <w:spacing w:after="60"/>
        <w:ind w:right="141" w:firstLine="3"/>
        <w:contextualSpacing/>
        <w:jc w:val="both"/>
        <w:rPr>
          <w:noProof/>
          <w:szCs w:val="24"/>
        </w:rPr>
      </w:pPr>
      <w:r>
        <w:rPr>
          <w:b/>
          <w:bCs/>
          <w:noProof/>
          <w:szCs w:val="24"/>
        </w:rPr>
        <w:t xml:space="preserve">Regulation (EU) No 1296/2013 </w:t>
      </w:r>
      <w:r>
        <w:rPr>
          <w:b/>
          <w:bCs/>
          <w:noProof/>
          <w:szCs w:val="24"/>
        </w:rPr>
        <w:t>of the European Parliament and of the Council of 11 December 2013 on a European Union Programme for Employment and Social Innovation (</w:t>
      </w:r>
      <w:r>
        <w:rPr>
          <w:noProof/>
          <w:szCs w:val="24"/>
        </w:rPr>
        <w:t>"</w:t>
      </w:r>
      <w:r>
        <w:rPr>
          <w:b/>
          <w:bCs/>
          <w:noProof/>
          <w:szCs w:val="24"/>
        </w:rPr>
        <w:t>EaSI</w:t>
      </w:r>
      <w:r>
        <w:rPr>
          <w:noProof/>
          <w:szCs w:val="24"/>
        </w:rPr>
        <w:t>"</w:t>
      </w:r>
      <w:r>
        <w:rPr>
          <w:b/>
          <w:bCs/>
          <w:noProof/>
          <w:szCs w:val="24"/>
        </w:rPr>
        <w:t>) and amending Decision No 283/2010/EU establishing a European Progress Microfinance Facility for employment and soc</w:t>
      </w:r>
      <w:r>
        <w:rPr>
          <w:b/>
          <w:bCs/>
          <w:noProof/>
          <w:szCs w:val="24"/>
        </w:rPr>
        <w:t xml:space="preserve">ial inclusion </w:t>
      </w:r>
      <w:r>
        <w:rPr>
          <w:rStyle w:val="FootnoteReference"/>
          <w:b/>
          <w:bCs/>
          <w:noProof/>
          <w:szCs w:val="24"/>
        </w:rPr>
        <w:footnoteReference w:id="73"/>
      </w:r>
    </w:p>
    <w:p w:rsidR="0073489B" w:rsidRDefault="00A46D11">
      <w:pPr>
        <w:pStyle w:val="Heading5"/>
        <w:numPr>
          <w:ilvl w:val="0"/>
          <w:numId w:val="72"/>
        </w:numPr>
        <w:spacing w:before="120"/>
        <w:ind w:left="284" w:firstLine="0"/>
        <w:jc w:val="both"/>
        <w:rPr>
          <w:noProof/>
        </w:rPr>
      </w:pPr>
      <w:bookmarkStart w:id="80" w:name="_Toc387228777"/>
      <w:r>
        <w:rPr>
          <w:noProof/>
        </w:rPr>
        <w:t>Description of the financial instrument, implementation arrangements and the added value of the Union contribution</w:t>
      </w:r>
      <w:bookmarkEnd w:id="80"/>
      <w:r>
        <w:rPr>
          <w:noProof/>
        </w:rPr>
        <w:t>;</w:t>
      </w:r>
    </w:p>
    <w:p w:rsidR="0073489B" w:rsidRDefault="00A46D11">
      <w:pPr>
        <w:autoSpaceDE w:val="0"/>
        <w:autoSpaceDN w:val="0"/>
        <w:adjustRightInd w:val="0"/>
        <w:ind w:firstLine="3"/>
        <w:jc w:val="both"/>
        <w:rPr>
          <w:noProof/>
          <w:szCs w:val="24"/>
        </w:rPr>
      </w:pPr>
      <w:r>
        <w:rPr>
          <w:i/>
          <w:noProof/>
          <w:szCs w:val="24"/>
        </w:rPr>
        <w:t>Policy objectives and scope</w:t>
      </w:r>
    </w:p>
    <w:p w:rsidR="0073489B" w:rsidRDefault="00A46D11">
      <w:pPr>
        <w:autoSpaceDE w:val="0"/>
        <w:autoSpaceDN w:val="0"/>
        <w:adjustRightInd w:val="0"/>
        <w:spacing w:after="60"/>
        <w:ind w:firstLine="3"/>
        <w:jc w:val="both"/>
        <w:rPr>
          <w:noProof/>
          <w:szCs w:val="24"/>
        </w:rPr>
      </w:pPr>
      <w:r>
        <w:rPr>
          <w:noProof/>
          <w:szCs w:val="24"/>
        </w:rPr>
        <w:t>This facility succeeds and refines the GIF-1 scheme under CIP,</w:t>
      </w:r>
      <w:r>
        <w:rPr>
          <w:noProof/>
          <w:szCs w:val="24"/>
          <w:vertAlign w:val="superscript"/>
        </w:rPr>
        <w:footnoteReference w:id="74"/>
      </w:r>
      <w:r>
        <w:rPr>
          <w:noProof/>
          <w:szCs w:val="24"/>
        </w:rPr>
        <w:t xml:space="preserve"> and is part of a single equity f</w:t>
      </w:r>
      <w:r>
        <w:rPr>
          <w:noProof/>
          <w:szCs w:val="24"/>
        </w:rPr>
        <w:t>inancial instrument supporting the growth of enterprises and their R&amp;I activities. It is designed to improve access to risk finance by early-stage R&amp;I-driven SMEs and small midcaps through supporting early-stage risk capital funds that invest, on a predomi</w:t>
      </w:r>
      <w:r>
        <w:rPr>
          <w:noProof/>
          <w:szCs w:val="24"/>
        </w:rPr>
        <w:t>nantly cross-border basis, in individual enterprises. SMEs and small midcaps located in Member States or in Associated Countries are eligible as final recipients. The COSME programme's Equity Facility for Growth (EFG) complements this facility.</w:t>
      </w:r>
    </w:p>
    <w:p w:rsidR="0073489B" w:rsidRDefault="00A46D11">
      <w:pPr>
        <w:autoSpaceDE w:val="0"/>
        <w:autoSpaceDN w:val="0"/>
        <w:adjustRightInd w:val="0"/>
        <w:ind w:firstLine="3"/>
        <w:jc w:val="both"/>
        <w:rPr>
          <w:i/>
          <w:noProof/>
          <w:szCs w:val="24"/>
        </w:rPr>
      </w:pPr>
      <w:r>
        <w:rPr>
          <w:i/>
          <w:noProof/>
          <w:szCs w:val="24"/>
        </w:rPr>
        <w:t>Implementat</w:t>
      </w:r>
      <w:r>
        <w:rPr>
          <w:i/>
          <w:noProof/>
          <w:szCs w:val="24"/>
        </w:rPr>
        <w:t>ion arrangements</w:t>
      </w:r>
    </w:p>
    <w:p w:rsidR="0073489B" w:rsidRDefault="00A46D11">
      <w:pPr>
        <w:spacing w:after="60"/>
        <w:jc w:val="both"/>
        <w:rPr>
          <w:noProof/>
          <w:szCs w:val="24"/>
        </w:rPr>
      </w:pPr>
      <w:r>
        <w:rPr>
          <w:noProof/>
          <w:szCs w:val="24"/>
        </w:rPr>
        <w:t xml:space="preserve">The implementation of the InnovFin Equity facility is made through an entrusted entity, the European Investment Fund (EIF) in Luxembourg, further to the signature of 2 amendments to the Delegation Agreement with the Commission on 15 June  </w:t>
      </w:r>
      <w:r>
        <w:rPr>
          <w:noProof/>
          <w:szCs w:val="24"/>
        </w:rPr>
        <w:t>and 22 July 2016.</w:t>
      </w:r>
    </w:p>
    <w:p w:rsidR="0073489B" w:rsidRDefault="00A46D11">
      <w:pPr>
        <w:spacing w:after="60"/>
        <w:jc w:val="both"/>
        <w:rPr>
          <w:noProof/>
          <w:szCs w:val="24"/>
        </w:rPr>
      </w:pPr>
      <w:r>
        <w:rPr>
          <w:noProof/>
          <w:szCs w:val="24"/>
        </w:rPr>
        <w:t>Financial intermediaries, selected by entrusted entities for the implementation of financial instruments pursuant to Article 139(4) of Regulation (EU, Euratom) No 966/2012 on the basis of open, transparent, proportionate and non-discrimin</w:t>
      </w:r>
      <w:r>
        <w:rPr>
          <w:noProof/>
          <w:szCs w:val="24"/>
        </w:rPr>
        <w:t>atory procedures, may include private financial institutions as well as governmental and semi-governmental financial institutions, national and regional public banks as well as national and regional investment banks.</w:t>
      </w:r>
    </w:p>
    <w:p w:rsidR="0073489B" w:rsidRDefault="00A46D11">
      <w:pPr>
        <w:autoSpaceDE w:val="0"/>
        <w:autoSpaceDN w:val="0"/>
        <w:adjustRightInd w:val="0"/>
        <w:spacing w:after="60"/>
        <w:ind w:firstLine="3"/>
        <w:jc w:val="both"/>
        <w:rPr>
          <w:noProof/>
          <w:szCs w:val="24"/>
        </w:rPr>
      </w:pPr>
      <w:r>
        <w:rPr>
          <w:noProof/>
          <w:szCs w:val="24"/>
        </w:rPr>
        <w:t>The European Investment Fund (EIF) mana</w:t>
      </w:r>
      <w:r>
        <w:rPr>
          <w:noProof/>
          <w:szCs w:val="24"/>
        </w:rPr>
        <w:t>ges equity investments into risk-capital funds, while investing in a wide range of financial intermediaries, including those cooperating with business angels. The funds concerned make VC and quasi-equity (including mezzanine capital) early-stage investment</w:t>
      </w:r>
      <w:r>
        <w:rPr>
          <w:noProof/>
          <w:szCs w:val="24"/>
        </w:rPr>
        <w:t>s in enterprises, which are likely to be mainly SMEs. In the case of multistage funds (i.e., covering both early- and growth-stage investments), funding can be provided pro rata from this facility and COSME's growth-stage equity facility, EFG.</w:t>
      </w:r>
    </w:p>
    <w:p w:rsidR="0073489B" w:rsidRDefault="00A46D11">
      <w:pPr>
        <w:autoSpaceDE w:val="0"/>
        <w:autoSpaceDN w:val="0"/>
        <w:adjustRightInd w:val="0"/>
        <w:spacing w:after="60"/>
        <w:ind w:firstLine="3"/>
        <w:jc w:val="both"/>
        <w:rPr>
          <w:noProof/>
          <w:szCs w:val="24"/>
        </w:rPr>
      </w:pPr>
      <w:r>
        <w:rPr>
          <w:noProof/>
          <w:szCs w:val="24"/>
        </w:rPr>
        <w:t>This is a de</w:t>
      </w:r>
      <w:r>
        <w:rPr>
          <w:noProof/>
          <w:szCs w:val="24"/>
        </w:rPr>
        <w:t>mand-driven facility, with no prior allocations between sectors, countries, or regions. However, the Commission  incentivises EIF, via an appropriate performance indicator, to make a particular effort to ensure that a proportion of final recipients are eco</w:t>
      </w:r>
      <w:r>
        <w:rPr>
          <w:noProof/>
          <w:szCs w:val="24"/>
        </w:rPr>
        <w:t>-innovative SMEs and small midcaps. R&amp;I-driven SMEs or small midcaps wishing to apply for an investment should contact one or more of the funds signing an agreement with EIF.</w:t>
      </w:r>
    </w:p>
    <w:p w:rsidR="0073489B" w:rsidRDefault="00A46D11">
      <w:pPr>
        <w:ind w:firstLine="3"/>
        <w:jc w:val="both"/>
        <w:rPr>
          <w:i/>
          <w:noProof/>
          <w:szCs w:val="24"/>
        </w:rPr>
      </w:pPr>
      <w:r>
        <w:rPr>
          <w:i/>
          <w:noProof/>
          <w:szCs w:val="24"/>
        </w:rPr>
        <w:t>Added value</w:t>
      </w:r>
    </w:p>
    <w:p w:rsidR="0073489B" w:rsidRDefault="00A46D11">
      <w:pPr>
        <w:autoSpaceDE w:val="0"/>
        <w:autoSpaceDN w:val="0"/>
        <w:adjustRightInd w:val="0"/>
        <w:spacing w:after="60"/>
        <w:ind w:firstLine="3"/>
        <w:jc w:val="both"/>
        <w:rPr>
          <w:noProof/>
          <w:szCs w:val="24"/>
        </w:rPr>
      </w:pPr>
      <w:r>
        <w:rPr>
          <w:noProof/>
          <w:szCs w:val="24"/>
        </w:rPr>
        <w:t>In terms of Union added value, the InnovFin Equity facility complemen</w:t>
      </w:r>
      <w:r>
        <w:rPr>
          <w:noProof/>
          <w:szCs w:val="24"/>
        </w:rPr>
        <w:t xml:space="preserve">ts national and regional schemes that cannot cater for cross-border investments in R&amp;I. The early-stage deals  also have a demonstration effect that can benefit public and private investors across Europe. For the growth phase, only at European level is it </w:t>
      </w:r>
      <w:r>
        <w:rPr>
          <w:noProof/>
          <w:szCs w:val="24"/>
        </w:rPr>
        <w:t xml:space="preserve">possible to achieve the necessary scale and </w:t>
      </w:r>
      <w:r>
        <w:rPr>
          <w:noProof/>
          <w:szCs w:val="24"/>
        </w:rPr>
        <w:lastRenderedPageBreak/>
        <w:t>the strong participation of private investors essential to the functioning of a self-sustaining venture capital market.</w:t>
      </w:r>
    </w:p>
    <w:p w:rsidR="0073489B" w:rsidRDefault="00A46D11">
      <w:pPr>
        <w:pStyle w:val="Heading5"/>
        <w:spacing w:before="120"/>
        <w:ind w:left="284" w:firstLine="0"/>
        <w:jc w:val="both"/>
        <w:rPr>
          <w:noProof/>
        </w:rPr>
      </w:pPr>
      <w:bookmarkStart w:id="81" w:name="_Toc387228778"/>
      <w:r>
        <w:rPr>
          <w:noProof/>
        </w:rPr>
        <w:t>The financial institutions involved in implementation</w:t>
      </w:r>
      <w:bookmarkEnd w:id="81"/>
      <w:r>
        <w:rPr>
          <w:noProof/>
        </w:rPr>
        <w:t>;</w:t>
      </w:r>
    </w:p>
    <w:p w:rsidR="0073489B" w:rsidRDefault="00A46D11">
      <w:pPr>
        <w:spacing w:after="60"/>
        <w:jc w:val="both"/>
        <w:rPr>
          <w:noProof/>
          <w:szCs w:val="24"/>
        </w:rPr>
      </w:pPr>
      <w:r>
        <w:rPr>
          <w:noProof/>
          <w:szCs w:val="24"/>
        </w:rPr>
        <w:t>European Investment fund (EIF)</w:t>
      </w:r>
    </w:p>
    <w:p w:rsidR="0073489B" w:rsidRDefault="0073489B">
      <w:pPr>
        <w:spacing w:after="60"/>
        <w:rPr>
          <w:noProof/>
          <w:szCs w:val="24"/>
        </w:rPr>
      </w:pPr>
    </w:p>
    <w:p w:rsidR="0073489B" w:rsidRDefault="00A46D11">
      <w:pPr>
        <w:pStyle w:val="Heading4"/>
        <w:ind w:left="426" w:hanging="426"/>
        <w:rPr>
          <w:noProof/>
        </w:rPr>
      </w:pPr>
      <w:bookmarkStart w:id="82" w:name="_Toc387228779"/>
      <w:bookmarkStart w:id="83" w:name="_Toc388541874"/>
      <w:r>
        <w:rPr>
          <w:noProof/>
        </w:rPr>
        <w:t>Implementation</w:t>
      </w:r>
      <w:bookmarkEnd w:id="82"/>
      <w:bookmarkEnd w:id="83"/>
    </w:p>
    <w:p w:rsidR="0073489B" w:rsidRDefault="00A46D11">
      <w:pPr>
        <w:pStyle w:val="Heading5"/>
        <w:spacing w:before="120"/>
        <w:ind w:left="284" w:firstLine="0"/>
        <w:rPr>
          <w:noProof/>
        </w:rPr>
      </w:pPr>
      <w:bookmarkStart w:id="84" w:name="_Toc387228780"/>
      <w:r>
        <w:rPr>
          <w:noProof/>
        </w:rPr>
        <w:t>The aggregate budgetary commitments and payments from the budget</w:t>
      </w:r>
      <w:bookmarkEnd w:id="84"/>
      <w:r>
        <w:rPr>
          <w:noProof/>
        </w:rPr>
        <w:t>;</w:t>
      </w:r>
    </w:p>
    <w:p w:rsidR="0073489B" w:rsidRDefault="00A46D11">
      <w:pPr>
        <w:rPr>
          <w:noProof/>
        </w:rPr>
      </w:pPr>
      <w:r>
        <w:rPr>
          <w:noProof/>
        </w:rPr>
        <w:t>Aggregate budgetary commitments as at 31/12/2016</w:t>
      </w:r>
      <w:r>
        <w:rPr>
          <w:noProof/>
        </w:rPr>
        <w:tab/>
      </w:r>
      <w:r>
        <w:rPr>
          <w:noProof/>
        </w:rPr>
        <w:tab/>
        <w:t xml:space="preserve">                      EUR 256 050 000 </w:t>
      </w:r>
    </w:p>
    <w:p w:rsidR="0073489B" w:rsidRDefault="00A46D11">
      <w:pPr>
        <w:rPr>
          <w:noProof/>
        </w:rPr>
      </w:pPr>
      <w:r>
        <w:rPr>
          <w:noProof/>
        </w:rPr>
        <w:t>Aggregate budgetary payments as at 31/12/2016</w:t>
      </w:r>
      <w:r>
        <w:rPr>
          <w:noProof/>
        </w:rPr>
        <w:tab/>
      </w:r>
      <w:r>
        <w:rPr>
          <w:noProof/>
        </w:rPr>
        <w:tab/>
        <w:t xml:space="preserve">                      EUR 234 050 000</w:t>
      </w:r>
    </w:p>
    <w:p w:rsidR="0073489B" w:rsidRDefault="00A46D11">
      <w:pPr>
        <w:pStyle w:val="Heading5"/>
        <w:spacing w:before="120"/>
        <w:ind w:left="284" w:firstLine="0"/>
        <w:rPr>
          <w:noProof/>
        </w:rPr>
      </w:pPr>
      <w:bookmarkStart w:id="85" w:name="_Toc387228781"/>
      <w:r>
        <w:rPr>
          <w:noProof/>
        </w:rPr>
        <w:t>The performance of the financial instrument, including investments realised</w:t>
      </w:r>
      <w:bookmarkEnd w:id="85"/>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73489B">
        <w:trPr>
          <w:trHeight w:val="1579"/>
        </w:trPr>
        <w:tc>
          <w:tcPr>
            <w:tcW w:w="4928"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712"/>
            </w:tblGrid>
            <w:tr w:rsidR="0073489B">
              <w:trPr>
                <w:trHeight w:val="553"/>
              </w:trPr>
              <w:tc>
                <w:tcPr>
                  <w:tcW w:w="0" w:type="auto"/>
                </w:tcPr>
                <w:p w:rsidR="0073489B" w:rsidRDefault="00A46D11">
                  <w:pPr>
                    <w:pStyle w:val="ListParagraph"/>
                    <w:spacing w:after="180"/>
                    <w:ind w:left="0" w:right="141"/>
                    <w:jc w:val="both"/>
                    <w:rPr>
                      <w:noProof/>
                      <w:szCs w:val="24"/>
                    </w:rPr>
                  </w:pPr>
                  <w:r>
                    <w:rPr>
                      <w:noProof/>
                      <w:szCs w:val="24"/>
                    </w:rPr>
                    <w:t xml:space="preserve">Amount of EU Contribution committed to financial intermediaries </w:t>
                  </w:r>
                </w:p>
                <w:p w:rsidR="0073489B" w:rsidRDefault="00A46D11">
                  <w:pPr>
                    <w:pStyle w:val="ListParagraph"/>
                    <w:spacing w:after="180"/>
                    <w:ind w:left="0" w:right="141"/>
                    <w:jc w:val="both"/>
                    <w:rPr>
                      <w:noProof/>
                      <w:szCs w:val="24"/>
                    </w:rPr>
                  </w:pPr>
                  <w:r>
                    <w:rPr>
                      <w:noProof/>
                      <w:szCs w:val="24"/>
                    </w:rPr>
                    <w:t xml:space="preserve">and the corresponding number of financial intermediaries; </w:t>
                  </w:r>
                </w:p>
              </w:tc>
            </w:tr>
          </w:tbl>
          <w:p w:rsidR="0073489B" w:rsidRDefault="0073489B">
            <w:pPr>
              <w:pStyle w:val="ListParagraph"/>
              <w:spacing w:after="180"/>
              <w:ind w:left="0" w:right="141"/>
              <w:jc w:val="both"/>
              <w:rPr>
                <w:noProof/>
                <w:szCs w:val="24"/>
              </w:rPr>
            </w:pPr>
          </w:p>
        </w:tc>
        <w:tc>
          <w:tcPr>
            <w:tcW w:w="4360" w:type="dxa"/>
            <w:shd w:val="clear" w:color="auto" w:fill="auto"/>
            <w:vAlign w:val="center"/>
          </w:tcPr>
          <w:p w:rsidR="0073489B" w:rsidRDefault="00A46D11">
            <w:pPr>
              <w:spacing w:before="180" w:after="180"/>
              <w:ind w:right="141"/>
              <w:contextualSpacing/>
              <w:jc w:val="center"/>
              <w:rPr>
                <w:noProof/>
                <w:szCs w:val="24"/>
              </w:rPr>
            </w:pPr>
            <w:r>
              <w:rPr>
                <w:noProof/>
                <w:szCs w:val="24"/>
              </w:rPr>
              <w:t>EUR 164 500 000</w:t>
            </w:r>
          </w:p>
          <w:p w:rsidR="0073489B" w:rsidRDefault="00A46D11">
            <w:pPr>
              <w:spacing w:before="180" w:after="180"/>
              <w:ind w:right="141"/>
              <w:contextualSpacing/>
              <w:jc w:val="center"/>
              <w:rPr>
                <w:noProof/>
                <w:szCs w:val="24"/>
              </w:rPr>
            </w:pPr>
            <w:r>
              <w:rPr>
                <w:noProof/>
                <w:szCs w:val="24"/>
              </w:rPr>
              <w:t>10</w:t>
            </w:r>
          </w:p>
        </w:tc>
      </w:tr>
      <w:tr w:rsidR="0073489B">
        <w:trPr>
          <w:trHeight w:val="1579"/>
        </w:trPr>
        <w:tc>
          <w:tcPr>
            <w:tcW w:w="4928" w:type="dxa"/>
            <w:shd w:val="clear" w:color="auto" w:fill="auto"/>
            <w:vAlign w:val="center"/>
          </w:tcPr>
          <w:p w:rsidR="0073489B" w:rsidRDefault="00A46D11">
            <w:pPr>
              <w:pStyle w:val="ListParagraph"/>
              <w:spacing w:after="180"/>
              <w:ind w:left="0" w:right="141"/>
              <w:jc w:val="both"/>
              <w:rPr>
                <w:noProof/>
                <w:szCs w:val="24"/>
              </w:rPr>
            </w:pPr>
            <w:r>
              <w:rPr>
                <w:noProof/>
                <w:szCs w:val="24"/>
              </w:rPr>
              <w:t xml:space="preserve">Amount of financing expected to </w:t>
            </w:r>
            <w:r>
              <w:rPr>
                <w:noProof/>
                <w:szCs w:val="24"/>
              </w:rPr>
              <w:t>be provided by the instrument (including EU contribution committed) to eligible final recipients,</w:t>
            </w:r>
          </w:p>
          <w:p w:rsidR="0073489B" w:rsidRDefault="00A46D11">
            <w:pPr>
              <w:pStyle w:val="ListParagraph"/>
              <w:spacing w:before="180"/>
              <w:ind w:left="0" w:right="141"/>
              <w:jc w:val="both"/>
              <w:rPr>
                <w:noProof/>
                <w:szCs w:val="24"/>
              </w:rPr>
            </w:pPr>
            <w:r>
              <w:rPr>
                <w:noProof/>
                <w:szCs w:val="24"/>
              </w:rPr>
              <w:t>and corresponding number of eligible final recipients;</w:t>
            </w:r>
          </w:p>
        </w:tc>
        <w:tc>
          <w:tcPr>
            <w:tcW w:w="4360" w:type="dxa"/>
            <w:shd w:val="clear" w:color="auto" w:fill="auto"/>
            <w:vAlign w:val="center"/>
          </w:tcPr>
          <w:p w:rsidR="0073489B" w:rsidRDefault="00A46D11">
            <w:pPr>
              <w:spacing w:before="180" w:after="180"/>
              <w:ind w:right="141"/>
              <w:contextualSpacing/>
              <w:jc w:val="center"/>
              <w:rPr>
                <w:noProof/>
                <w:szCs w:val="24"/>
              </w:rPr>
            </w:pPr>
            <w:r>
              <w:rPr>
                <w:noProof/>
                <w:szCs w:val="24"/>
              </w:rPr>
              <w:t>EUR 565 152 132</w:t>
            </w:r>
          </w:p>
          <w:p w:rsidR="0073489B" w:rsidRDefault="00A46D11">
            <w:pPr>
              <w:spacing w:before="360" w:after="180"/>
              <w:ind w:right="141"/>
              <w:contextualSpacing/>
              <w:jc w:val="center"/>
              <w:rPr>
                <w:noProof/>
                <w:szCs w:val="24"/>
              </w:rPr>
            </w:pPr>
            <w:r>
              <w:rPr>
                <w:noProof/>
                <w:szCs w:val="24"/>
              </w:rPr>
              <w:t>300 eligible FRs</w:t>
            </w:r>
          </w:p>
        </w:tc>
      </w:tr>
      <w:tr w:rsidR="0073489B">
        <w:trPr>
          <w:trHeight w:val="925"/>
        </w:trPr>
        <w:tc>
          <w:tcPr>
            <w:tcW w:w="4928" w:type="dxa"/>
            <w:shd w:val="clear" w:color="auto" w:fill="auto"/>
            <w:vAlign w:val="center"/>
          </w:tcPr>
          <w:p w:rsidR="0073489B" w:rsidRDefault="00A46D11">
            <w:pPr>
              <w:ind w:right="141"/>
              <w:contextualSpacing/>
              <w:jc w:val="both"/>
              <w:rPr>
                <w:noProof/>
                <w:szCs w:val="24"/>
              </w:rPr>
            </w:pPr>
            <w:r>
              <w:rPr>
                <w:noProof/>
                <w:szCs w:val="24"/>
              </w:rPr>
              <w:t xml:space="preserve">Amount of investments expected to be made by eligible final </w:t>
            </w:r>
            <w:r>
              <w:rPr>
                <w:noProof/>
                <w:szCs w:val="24"/>
              </w:rPr>
              <w:t>recipients due to the financing, if applicable</w:t>
            </w:r>
          </w:p>
        </w:tc>
        <w:tc>
          <w:tcPr>
            <w:tcW w:w="4360" w:type="dxa"/>
            <w:shd w:val="clear" w:color="auto" w:fill="auto"/>
            <w:vAlign w:val="center"/>
          </w:tcPr>
          <w:p w:rsidR="0073489B" w:rsidRDefault="00A46D11">
            <w:pPr>
              <w:ind w:right="141"/>
              <w:contextualSpacing/>
              <w:jc w:val="center"/>
              <w:rPr>
                <w:noProof/>
                <w:szCs w:val="24"/>
              </w:rPr>
            </w:pPr>
            <w:r>
              <w:rPr>
                <w:noProof/>
                <w:szCs w:val="24"/>
              </w:rPr>
              <w:t>NA</w:t>
            </w:r>
          </w:p>
        </w:tc>
      </w:tr>
      <w:tr w:rsidR="0073489B">
        <w:trPr>
          <w:trHeight w:val="1034"/>
        </w:trPr>
        <w:tc>
          <w:tcPr>
            <w:tcW w:w="4928" w:type="dxa"/>
            <w:shd w:val="clear" w:color="auto" w:fill="auto"/>
            <w:vAlign w:val="center"/>
          </w:tcPr>
          <w:p w:rsidR="0073489B" w:rsidRDefault="00A46D11">
            <w:pPr>
              <w:pStyle w:val="ListParagraph"/>
              <w:ind w:left="0" w:right="141"/>
              <w:jc w:val="both"/>
              <w:rPr>
                <w:noProof/>
                <w:szCs w:val="24"/>
              </w:rPr>
            </w:pPr>
            <w:r>
              <w:rPr>
                <w:noProof/>
                <w:szCs w:val="24"/>
              </w:rPr>
              <w:t>Amount of financing already provided by the instrument to eligible final recipients,</w:t>
            </w:r>
          </w:p>
          <w:p w:rsidR="0073489B" w:rsidRDefault="00A46D11">
            <w:pPr>
              <w:pStyle w:val="ListParagraph"/>
              <w:spacing w:before="180"/>
              <w:ind w:left="0" w:right="141"/>
              <w:rPr>
                <w:noProof/>
                <w:szCs w:val="24"/>
              </w:rPr>
            </w:pPr>
            <w:r>
              <w:rPr>
                <w:noProof/>
                <w:szCs w:val="24"/>
              </w:rPr>
              <w:t xml:space="preserve">and the corresponding number of recipients; </w:t>
            </w:r>
          </w:p>
        </w:tc>
        <w:tc>
          <w:tcPr>
            <w:tcW w:w="4360" w:type="dxa"/>
            <w:shd w:val="clear" w:color="auto" w:fill="auto"/>
            <w:vAlign w:val="center"/>
          </w:tcPr>
          <w:p w:rsidR="0073489B" w:rsidRDefault="00A46D11">
            <w:pPr>
              <w:ind w:right="141"/>
              <w:contextualSpacing/>
              <w:jc w:val="center"/>
              <w:rPr>
                <w:noProof/>
                <w:szCs w:val="24"/>
                <w:lang w:val="fr-BE"/>
              </w:rPr>
            </w:pPr>
            <w:r>
              <w:rPr>
                <w:noProof/>
                <w:szCs w:val="24"/>
                <w:lang w:val="fr-BE"/>
              </w:rPr>
              <w:t>EUR 15 004 321</w:t>
            </w:r>
          </w:p>
          <w:p w:rsidR="0073489B" w:rsidRDefault="0073489B">
            <w:pPr>
              <w:ind w:right="141"/>
              <w:contextualSpacing/>
              <w:jc w:val="center"/>
              <w:rPr>
                <w:noProof/>
                <w:szCs w:val="24"/>
                <w:lang w:val="fr-BE"/>
              </w:rPr>
            </w:pPr>
          </w:p>
          <w:p w:rsidR="0073489B" w:rsidRDefault="00A46D11">
            <w:pPr>
              <w:ind w:right="141"/>
              <w:contextualSpacing/>
              <w:jc w:val="center"/>
              <w:rPr>
                <w:noProof/>
                <w:szCs w:val="24"/>
                <w:lang w:val="fr-BE"/>
              </w:rPr>
            </w:pPr>
            <w:r>
              <w:rPr>
                <w:noProof/>
                <w:szCs w:val="24"/>
                <w:lang w:val="fr-BE"/>
              </w:rPr>
              <w:t>8 eligible FRs</w:t>
            </w:r>
          </w:p>
        </w:tc>
      </w:tr>
      <w:tr w:rsidR="0073489B">
        <w:trPr>
          <w:trHeight w:val="981"/>
        </w:trPr>
        <w:tc>
          <w:tcPr>
            <w:tcW w:w="4928" w:type="dxa"/>
            <w:shd w:val="clear" w:color="auto" w:fill="auto"/>
            <w:vAlign w:val="center"/>
          </w:tcPr>
          <w:p w:rsidR="0073489B" w:rsidRDefault="00A46D11">
            <w:pPr>
              <w:pStyle w:val="ListParagraph"/>
              <w:ind w:left="0" w:right="141"/>
              <w:jc w:val="both"/>
              <w:rPr>
                <w:noProof/>
                <w:szCs w:val="24"/>
              </w:rPr>
            </w:pPr>
            <w:r>
              <w:rPr>
                <w:noProof/>
                <w:szCs w:val="24"/>
              </w:rPr>
              <w:t xml:space="preserve">Amount of investments already made by </w:t>
            </w:r>
            <w:r>
              <w:rPr>
                <w:noProof/>
                <w:szCs w:val="24"/>
              </w:rPr>
              <w:t>eligible final recipients due to the financing provided through the instrument, if applicable.</w:t>
            </w:r>
          </w:p>
        </w:tc>
        <w:tc>
          <w:tcPr>
            <w:tcW w:w="4360" w:type="dxa"/>
            <w:shd w:val="clear" w:color="auto" w:fill="auto"/>
            <w:vAlign w:val="center"/>
          </w:tcPr>
          <w:p w:rsidR="0073489B" w:rsidRDefault="00A46D11">
            <w:pPr>
              <w:spacing w:before="180" w:after="180"/>
              <w:ind w:right="141"/>
              <w:contextualSpacing/>
              <w:jc w:val="center"/>
              <w:rPr>
                <w:noProof/>
                <w:szCs w:val="24"/>
              </w:rPr>
            </w:pPr>
            <w:r>
              <w:rPr>
                <w:noProof/>
                <w:szCs w:val="24"/>
              </w:rPr>
              <w:t>EUR 15 004 321</w:t>
            </w:r>
          </w:p>
        </w:tc>
      </w:tr>
    </w:tbl>
    <w:p w:rsidR="0073489B" w:rsidRDefault="00A46D11">
      <w:pPr>
        <w:pStyle w:val="Heading5"/>
        <w:spacing w:before="120"/>
        <w:ind w:left="284" w:firstLine="0"/>
        <w:jc w:val="both"/>
        <w:rPr>
          <w:noProof/>
        </w:rPr>
      </w:pPr>
      <w:bookmarkStart w:id="86" w:name="_Toc387228782"/>
      <w:r>
        <w:rPr>
          <w:noProof/>
        </w:rPr>
        <w:t>An evaluation of the use of any amounts returned to the instrument as internal assigned revenue under paragraph 6</w:t>
      </w:r>
      <w:bookmarkEnd w:id="86"/>
      <w:r>
        <w:rPr>
          <w:noProof/>
        </w:rPr>
        <w:t>;</w:t>
      </w:r>
    </w:p>
    <w:p w:rsidR="0073489B" w:rsidRDefault="00A46D11">
      <w:pPr>
        <w:spacing w:after="60"/>
        <w:ind w:right="141"/>
        <w:rPr>
          <w:noProof/>
          <w:szCs w:val="24"/>
        </w:rPr>
      </w:pPr>
      <w:r>
        <w:rPr>
          <w:noProof/>
          <w:szCs w:val="24"/>
        </w:rPr>
        <w:t>EUR 0,4 million</w:t>
      </w:r>
    </w:p>
    <w:p w:rsidR="0073489B" w:rsidRDefault="00A46D11">
      <w:pPr>
        <w:pStyle w:val="Heading5"/>
        <w:spacing w:before="120"/>
        <w:ind w:left="284" w:firstLine="0"/>
        <w:rPr>
          <w:noProof/>
        </w:rPr>
      </w:pPr>
      <w:bookmarkStart w:id="87" w:name="_Toc387228783"/>
      <w:r>
        <w:rPr>
          <w:noProof/>
        </w:rPr>
        <w:t>The balance of</w:t>
      </w:r>
      <w:r>
        <w:rPr>
          <w:noProof/>
        </w:rPr>
        <w:t xml:space="preserve"> the fiduciary accoun</w:t>
      </w:r>
      <w:bookmarkEnd w:id="87"/>
      <w:r>
        <w:rPr>
          <w:noProof/>
        </w:rPr>
        <w:t>t;</w:t>
      </w:r>
    </w:p>
    <w:p w:rsidR="0073489B" w:rsidRDefault="00A46D11">
      <w:pPr>
        <w:keepNext/>
        <w:spacing w:after="160"/>
        <w:ind w:left="360" w:right="142"/>
        <w:rPr>
          <w:noProof/>
          <w:color w:val="FF00FF"/>
          <w:highlight w:val="yellow"/>
        </w:rPr>
      </w:pPr>
      <w:r>
        <w:rPr>
          <w:noProof/>
        </w:rPr>
        <w:t>Aggregate balance of the fiduciary account as at 31/12/2016</w:t>
      </w:r>
      <w:r>
        <w:rPr>
          <w:noProof/>
        </w:rPr>
        <w:tab/>
        <w:t xml:space="preserve">          EUR </w:t>
      </w:r>
      <w:r>
        <w:rPr>
          <w:bCs/>
          <w:noProof/>
          <w:szCs w:val="24"/>
        </w:rPr>
        <w:t>229 020 413</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224"/>
      </w:tblGrid>
      <w:tr w:rsidR="0073489B">
        <w:trPr>
          <w:trHeight w:val="352"/>
          <w:jc w:val="center"/>
        </w:trPr>
        <w:tc>
          <w:tcPr>
            <w:tcW w:w="9200" w:type="dxa"/>
            <w:gridSpan w:val="2"/>
            <w:shd w:val="clear" w:color="auto" w:fill="DAEEF3"/>
          </w:tcPr>
          <w:p w:rsidR="0073489B" w:rsidRDefault="00A46D11">
            <w:pPr>
              <w:pStyle w:val="ListParagraph"/>
              <w:spacing w:before="60" w:after="60"/>
              <w:ind w:left="0" w:right="141"/>
              <w:jc w:val="center"/>
              <w:rPr>
                <w:b/>
                <w:bCs/>
                <w:i/>
                <w:noProof/>
                <w:szCs w:val="24"/>
              </w:rPr>
            </w:pPr>
            <w:r>
              <w:rPr>
                <w:b/>
                <w:bCs/>
                <w:i/>
                <w:noProof/>
                <w:szCs w:val="24"/>
              </w:rPr>
              <w:t xml:space="preserve">                                                                                              In EUR</w:t>
            </w:r>
          </w:p>
        </w:tc>
      </w:tr>
      <w:tr w:rsidR="0073489B">
        <w:trPr>
          <w:trHeight w:val="339"/>
          <w:jc w:val="center"/>
        </w:trPr>
        <w:tc>
          <w:tcPr>
            <w:tcW w:w="5976" w:type="dxa"/>
            <w:shd w:val="clear" w:color="auto" w:fill="auto"/>
            <w:vAlign w:val="center"/>
          </w:tcPr>
          <w:p w:rsidR="0073489B" w:rsidRDefault="00A46D11">
            <w:pPr>
              <w:pStyle w:val="ListParagraph"/>
              <w:spacing w:before="60" w:after="60"/>
              <w:ind w:left="0" w:right="141"/>
              <w:rPr>
                <w:b/>
                <w:bCs/>
                <w:noProof/>
                <w:szCs w:val="24"/>
                <w:u w:val="single"/>
              </w:rPr>
            </w:pPr>
            <w:r>
              <w:rPr>
                <w:b/>
                <w:bCs/>
                <w:noProof/>
                <w:szCs w:val="24"/>
              </w:rPr>
              <w:t>Balance on the fiduciary account (current ac</w:t>
            </w:r>
            <w:r>
              <w:rPr>
                <w:b/>
                <w:bCs/>
                <w:noProof/>
                <w:szCs w:val="24"/>
              </w:rPr>
              <w:t>count)</w:t>
            </w:r>
          </w:p>
        </w:tc>
        <w:tc>
          <w:tcPr>
            <w:tcW w:w="3224" w:type="dxa"/>
            <w:shd w:val="clear" w:color="auto" w:fill="auto"/>
            <w:vAlign w:val="center"/>
          </w:tcPr>
          <w:p w:rsidR="0073489B" w:rsidRDefault="00A46D11">
            <w:pPr>
              <w:pStyle w:val="ListParagraph"/>
              <w:spacing w:before="60" w:after="60"/>
              <w:ind w:left="0" w:right="141"/>
              <w:jc w:val="center"/>
              <w:rPr>
                <w:b/>
                <w:bCs/>
                <w:noProof/>
                <w:szCs w:val="24"/>
              </w:rPr>
            </w:pPr>
            <w:r>
              <w:rPr>
                <w:b/>
                <w:bCs/>
                <w:noProof/>
                <w:szCs w:val="24"/>
              </w:rPr>
              <w:t>116 205 285</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0" w:right="141"/>
              <w:rPr>
                <w:b/>
                <w:bCs/>
                <w:noProof/>
                <w:szCs w:val="24"/>
              </w:rPr>
            </w:pPr>
            <w:r>
              <w:rPr>
                <w:b/>
                <w:bCs/>
                <w:noProof/>
                <w:szCs w:val="24"/>
              </w:rPr>
              <w:t>Term deposits/Bonds (if applicable)</w:t>
            </w:r>
          </w:p>
        </w:tc>
        <w:tc>
          <w:tcPr>
            <w:tcW w:w="3224" w:type="dxa"/>
            <w:shd w:val="clear" w:color="auto" w:fill="auto"/>
            <w:vAlign w:val="center"/>
          </w:tcPr>
          <w:p w:rsidR="0073489B" w:rsidRDefault="00A46D11">
            <w:pPr>
              <w:pStyle w:val="ListParagraph"/>
              <w:spacing w:before="60" w:after="60"/>
              <w:ind w:left="0" w:right="141"/>
              <w:jc w:val="center"/>
              <w:rPr>
                <w:b/>
                <w:bCs/>
                <w:noProof/>
                <w:szCs w:val="24"/>
                <w:u w:val="single"/>
              </w:rPr>
            </w:pPr>
            <w:r>
              <w:rPr>
                <w:b/>
                <w:bCs/>
                <w:noProof/>
                <w:szCs w:val="24"/>
                <w:u w:val="single"/>
              </w:rPr>
              <w:t>104 388 040</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&lt; 3 months</w:t>
            </w:r>
          </w:p>
        </w:tc>
        <w:tc>
          <w:tcPr>
            <w:tcW w:w="3224" w:type="dxa"/>
            <w:shd w:val="clear" w:color="auto" w:fill="auto"/>
            <w:vAlign w:val="center"/>
          </w:tcPr>
          <w:p w:rsidR="0073489B" w:rsidRDefault="00A46D11">
            <w:pPr>
              <w:pStyle w:val="ListParagraph"/>
              <w:spacing w:before="60" w:after="60"/>
              <w:ind w:left="0" w:right="141"/>
              <w:jc w:val="center"/>
              <w:rPr>
                <w:bCs/>
                <w:i/>
                <w:noProof/>
                <w:szCs w:val="24"/>
              </w:rPr>
            </w:pPr>
            <w:r>
              <w:rPr>
                <w:bCs/>
                <w:i/>
                <w:noProof/>
                <w:szCs w:val="24"/>
              </w:rPr>
              <w:t>0</w:t>
            </w:r>
          </w:p>
        </w:tc>
      </w:tr>
      <w:tr w:rsidR="0073489B">
        <w:trPr>
          <w:trHeight w:val="403"/>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&gt; 3 months &lt; 1 year</w:t>
            </w:r>
          </w:p>
        </w:tc>
        <w:tc>
          <w:tcPr>
            <w:tcW w:w="3224" w:type="dxa"/>
            <w:shd w:val="clear" w:color="auto" w:fill="auto"/>
            <w:vAlign w:val="center"/>
          </w:tcPr>
          <w:p w:rsidR="0073489B" w:rsidRDefault="0073489B">
            <w:pPr>
              <w:pStyle w:val="ListParagraph"/>
              <w:spacing w:before="60" w:after="60"/>
              <w:ind w:left="0" w:right="141"/>
              <w:jc w:val="center"/>
              <w:rPr>
                <w:bCs/>
                <w:noProof/>
                <w:szCs w:val="24"/>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&gt; 1 year</w:t>
            </w:r>
          </w:p>
        </w:tc>
        <w:tc>
          <w:tcPr>
            <w:tcW w:w="322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03"/>
          <w:jc w:val="center"/>
        </w:trPr>
        <w:tc>
          <w:tcPr>
            <w:tcW w:w="5976" w:type="dxa"/>
            <w:shd w:val="clear" w:color="auto" w:fill="auto"/>
            <w:vAlign w:val="center"/>
          </w:tcPr>
          <w:p w:rsidR="0073489B" w:rsidRDefault="00A46D11">
            <w:pPr>
              <w:pStyle w:val="ListParagraph"/>
              <w:spacing w:before="60" w:after="60"/>
              <w:ind w:left="807" w:right="141"/>
              <w:rPr>
                <w:bCs/>
                <w:noProof/>
                <w:szCs w:val="24"/>
              </w:rPr>
            </w:pPr>
            <w:r>
              <w:rPr>
                <w:bCs/>
                <w:noProof/>
                <w:szCs w:val="24"/>
              </w:rPr>
              <w:lastRenderedPageBreak/>
              <w:t>Bonds current</w:t>
            </w:r>
          </w:p>
        </w:tc>
        <w:tc>
          <w:tcPr>
            <w:tcW w:w="3224" w:type="dxa"/>
            <w:shd w:val="clear" w:color="auto" w:fill="auto"/>
            <w:vAlign w:val="center"/>
          </w:tcPr>
          <w:p w:rsidR="0073489B" w:rsidRDefault="00A46D11">
            <w:pPr>
              <w:pStyle w:val="ListParagraph"/>
              <w:spacing w:before="60" w:after="60"/>
              <w:ind w:left="0" w:right="141"/>
              <w:jc w:val="center"/>
              <w:rPr>
                <w:bCs/>
                <w:noProof/>
                <w:szCs w:val="24"/>
                <w:u w:val="single"/>
              </w:rPr>
            </w:pPr>
            <w:r>
              <w:rPr>
                <w:bCs/>
                <w:noProof/>
                <w:szCs w:val="24"/>
                <w:u w:val="single"/>
              </w:rPr>
              <w:t>44 135 099</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807" w:right="141"/>
              <w:rPr>
                <w:bCs/>
                <w:noProof/>
                <w:szCs w:val="24"/>
              </w:rPr>
            </w:pPr>
            <w:r>
              <w:rPr>
                <w:bCs/>
                <w:noProof/>
                <w:szCs w:val="24"/>
              </w:rPr>
              <w:t>Bonds non-current</w:t>
            </w:r>
          </w:p>
        </w:tc>
        <w:tc>
          <w:tcPr>
            <w:tcW w:w="3224"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60 252 941</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0" w:right="141"/>
              <w:rPr>
                <w:b/>
                <w:bCs/>
                <w:noProof/>
                <w:szCs w:val="24"/>
              </w:rPr>
            </w:pPr>
            <w:r>
              <w:rPr>
                <w:b/>
                <w:bCs/>
                <w:noProof/>
                <w:szCs w:val="24"/>
              </w:rPr>
              <w:t>Equity investment (see also point i)</w:t>
            </w:r>
            <w:r>
              <w:rPr>
                <w:rStyle w:val="FootnoteReference"/>
                <w:b/>
                <w:bCs/>
                <w:noProof/>
                <w:szCs w:val="24"/>
              </w:rPr>
              <w:footnoteReference w:id="75"/>
            </w:r>
          </w:p>
        </w:tc>
        <w:tc>
          <w:tcPr>
            <w:tcW w:w="3224" w:type="dxa"/>
            <w:shd w:val="clear" w:color="auto" w:fill="auto"/>
            <w:vAlign w:val="center"/>
          </w:tcPr>
          <w:p w:rsidR="0073489B" w:rsidRDefault="00A46D11">
            <w:pPr>
              <w:pStyle w:val="ListParagraph"/>
              <w:spacing w:before="60" w:after="60"/>
              <w:ind w:left="0" w:right="141"/>
              <w:jc w:val="center"/>
              <w:rPr>
                <w:b/>
                <w:bCs/>
                <w:noProof/>
                <w:szCs w:val="24"/>
                <w:u w:val="single"/>
              </w:rPr>
            </w:pPr>
            <w:r>
              <w:rPr>
                <w:b/>
                <w:bCs/>
                <w:noProof/>
                <w:szCs w:val="24"/>
                <w:u w:val="single"/>
              </w:rPr>
              <w:t xml:space="preserve">8 </w:t>
            </w:r>
            <w:r>
              <w:rPr>
                <w:b/>
                <w:bCs/>
                <w:noProof/>
                <w:szCs w:val="24"/>
                <w:u w:val="single"/>
              </w:rPr>
              <w:t>427 088</w:t>
            </w:r>
          </w:p>
        </w:tc>
      </w:tr>
      <w:tr w:rsidR="0073489B">
        <w:trPr>
          <w:trHeight w:val="403"/>
          <w:jc w:val="center"/>
        </w:trPr>
        <w:tc>
          <w:tcPr>
            <w:tcW w:w="5976" w:type="dxa"/>
            <w:shd w:val="clear" w:color="auto" w:fill="auto"/>
            <w:vAlign w:val="center"/>
          </w:tcPr>
          <w:p w:rsidR="0073489B" w:rsidRDefault="00A46D11">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224" w:type="dxa"/>
            <w:shd w:val="clear" w:color="auto" w:fill="auto"/>
            <w:vAlign w:val="center"/>
          </w:tcPr>
          <w:p w:rsidR="0073489B" w:rsidRDefault="00A46D11">
            <w:pPr>
              <w:pStyle w:val="ListParagraph"/>
              <w:spacing w:before="60" w:after="60"/>
              <w:ind w:left="0" w:right="141"/>
              <w:jc w:val="center"/>
              <w:rPr>
                <w:b/>
                <w:bCs/>
                <w:noProof/>
                <w:szCs w:val="24"/>
              </w:rPr>
            </w:pPr>
            <w:r>
              <w:rPr>
                <w:b/>
                <w:bCs/>
                <w:noProof/>
                <w:szCs w:val="24"/>
              </w:rPr>
              <w:t>0</w:t>
            </w:r>
          </w:p>
        </w:tc>
      </w:tr>
      <w:tr w:rsidR="0073489B">
        <w:trPr>
          <w:trHeight w:val="411"/>
          <w:jc w:val="center"/>
        </w:trPr>
        <w:tc>
          <w:tcPr>
            <w:tcW w:w="5976" w:type="dxa"/>
            <w:shd w:val="clear" w:color="auto" w:fill="auto"/>
            <w:vAlign w:val="center"/>
          </w:tcPr>
          <w:p w:rsidR="0073489B" w:rsidRDefault="00A46D11">
            <w:pPr>
              <w:spacing w:before="60" w:after="60"/>
              <w:ind w:right="141"/>
              <w:rPr>
                <w:b/>
                <w:bCs/>
                <w:noProof/>
                <w:szCs w:val="24"/>
              </w:rPr>
            </w:pPr>
            <w:r>
              <w:rPr>
                <w:b/>
                <w:bCs/>
                <w:i/>
                <w:iCs/>
                <w:noProof/>
                <w:szCs w:val="24"/>
              </w:rPr>
              <w:t>= Total assets</w:t>
            </w:r>
          </w:p>
        </w:tc>
        <w:tc>
          <w:tcPr>
            <w:tcW w:w="3224" w:type="dxa"/>
            <w:shd w:val="clear" w:color="auto" w:fill="auto"/>
            <w:vAlign w:val="center"/>
          </w:tcPr>
          <w:p w:rsidR="0073489B" w:rsidRDefault="00A46D11">
            <w:pPr>
              <w:pStyle w:val="ListParagraph"/>
              <w:spacing w:before="60" w:after="60"/>
              <w:ind w:left="0" w:right="141"/>
              <w:jc w:val="center"/>
              <w:rPr>
                <w:b/>
                <w:bCs/>
                <w:noProof/>
                <w:szCs w:val="24"/>
              </w:rPr>
            </w:pPr>
            <w:r>
              <w:rPr>
                <w:b/>
                <w:bCs/>
                <w:noProof/>
                <w:szCs w:val="24"/>
              </w:rPr>
              <w:t>229 020 413</w:t>
            </w:r>
          </w:p>
        </w:tc>
      </w:tr>
    </w:tbl>
    <w:p w:rsidR="0073489B" w:rsidRDefault="00A46D11">
      <w:pPr>
        <w:jc w:val="both"/>
        <w:rPr>
          <w:i/>
          <w:noProof/>
        </w:rPr>
      </w:pPr>
      <w:bookmarkStart w:id="88" w:name="_Toc387228784"/>
      <w:r>
        <w:rPr>
          <w:i/>
          <w:noProof/>
        </w:rPr>
        <w:t>Impact of negative interest rates on InnovFin Venture Capital (Horizon 2020): no impact as at 31/12/2016.</w:t>
      </w:r>
      <w:r>
        <w:rPr>
          <w:rStyle w:val="FootnoteReference"/>
          <w:b/>
          <w:bCs/>
          <w:i/>
          <w:iCs/>
          <w:noProof/>
        </w:rPr>
        <w:footnoteReference w:id="76"/>
      </w:r>
    </w:p>
    <w:p w:rsidR="0073489B" w:rsidRDefault="00A46D11">
      <w:pPr>
        <w:pStyle w:val="Heading5"/>
        <w:spacing w:before="120"/>
        <w:ind w:left="284" w:firstLine="0"/>
        <w:rPr>
          <w:b w:val="0"/>
          <w:noProof/>
        </w:rPr>
      </w:pPr>
      <w:r>
        <w:rPr>
          <w:noProof/>
        </w:rPr>
        <w:t xml:space="preserve">Revenues and repayments; </w:t>
      </w:r>
      <w:bookmarkEnd w:id="88"/>
    </w:p>
    <w:p w:rsidR="0073489B" w:rsidRDefault="00A46D11">
      <w:pPr>
        <w:spacing w:after="60"/>
        <w:ind w:right="141"/>
        <w:rPr>
          <w:noProof/>
        </w:rPr>
      </w:pPr>
      <w:r>
        <w:rPr>
          <w:noProof/>
          <w:szCs w:val="24"/>
        </w:rPr>
        <w:t xml:space="preserve">                                                                                                                      EUR       406 355 </w:t>
      </w:r>
    </w:p>
    <w:p w:rsidR="0073489B" w:rsidRDefault="00A46D11">
      <w:pPr>
        <w:pStyle w:val="Heading5"/>
        <w:spacing w:before="120"/>
        <w:ind w:left="284" w:firstLine="0"/>
        <w:rPr>
          <w:noProof/>
        </w:rPr>
      </w:pPr>
      <w:bookmarkStart w:id="89" w:name="_Toc387228785"/>
      <w:r>
        <w:rPr>
          <w:noProof/>
        </w:rPr>
        <w:t>The value of equity investments, with respect to previous years</w:t>
      </w:r>
      <w:bookmarkEnd w:id="89"/>
      <w:r>
        <w:rPr>
          <w:noProof/>
        </w:rPr>
        <w:t>;</w:t>
      </w:r>
    </w:p>
    <w:p w:rsidR="0073489B" w:rsidRDefault="00A46D11">
      <w:pPr>
        <w:spacing w:after="60"/>
        <w:ind w:right="141"/>
        <w:rPr>
          <w:noProof/>
          <w:szCs w:val="24"/>
        </w:rPr>
      </w:pPr>
      <w:r>
        <w:rPr>
          <w:noProof/>
          <w:szCs w:val="24"/>
        </w:rPr>
        <w:t xml:space="preserve">Equity investments as at 31/12/2016               </w:t>
      </w:r>
      <w:r>
        <w:rPr>
          <w:noProof/>
          <w:szCs w:val="24"/>
        </w:rPr>
        <w:tab/>
      </w:r>
      <w:r>
        <w:rPr>
          <w:noProof/>
          <w:szCs w:val="24"/>
        </w:rPr>
        <w:tab/>
      </w:r>
      <w:r>
        <w:rPr>
          <w:noProof/>
          <w:szCs w:val="24"/>
        </w:rPr>
        <w:tab/>
        <w:t xml:space="preserve"> </w:t>
      </w:r>
      <w:r>
        <w:rPr>
          <w:noProof/>
          <w:szCs w:val="24"/>
        </w:rPr>
        <w:t xml:space="preserve">         EUR     8 427 088</w:t>
      </w:r>
    </w:p>
    <w:p w:rsidR="0073489B" w:rsidRDefault="00A46D11">
      <w:pPr>
        <w:pStyle w:val="Heading5"/>
        <w:spacing w:before="120"/>
        <w:ind w:left="284" w:firstLine="0"/>
        <w:rPr>
          <w:noProof/>
        </w:rPr>
      </w:pPr>
      <w:bookmarkStart w:id="90" w:name="_Toc387228786"/>
      <w:r>
        <w:rPr>
          <w:noProof/>
        </w:rPr>
        <w:t>The accumulated figures on impairments of assets of equity</w:t>
      </w:r>
      <w:bookmarkEnd w:id="90"/>
      <w:r>
        <w:rPr>
          <w:noProof/>
        </w:rPr>
        <w:t>;</w:t>
      </w:r>
    </w:p>
    <w:p w:rsidR="0073489B" w:rsidRDefault="00A46D11">
      <w:pPr>
        <w:rPr>
          <w:noProof/>
        </w:rPr>
      </w:pPr>
      <w:r>
        <w:rPr>
          <w:noProof/>
        </w:rPr>
        <w:t>nihil</w:t>
      </w:r>
    </w:p>
    <w:p w:rsidR="0073489B" w:rsidRDefault="00A46D11">
      <w:pPr>
        <w:pStyle w:val="Heading5"/>
        <w:spacing w:before="120"/>
        <w:ind w:left="284" w:firstLine="0"/>
        <w:rPr>
          <w:noProof/>
        </w:rPr>
      </w:pPr>
      <w:bookmarkStart w:id="91" w:name="_Toc387228787"/>
      <w:r>
        <w:rPr>
          <w:noProof/>
        </w:rPr>
        <w:t>The target leverage effect, and the achieved leverage effect</w:t>
      </w:r>
      <w:bookmarkEnd w:id="91"/>
      <w:r>
        <w:rPr>
          <w:noProof/>
        </w:rPr>
        <w:t>;</w:t>
      </w:r>
    </w:p>
    <w:p w:rsidR="0073489B" w:rsidRDefault="00A46D11">
      <w:pPr>
        <w:spacing w:after="60"/>
        <w:ind w:right="141"/>
        <w:jc w:val="both"/>
        <w:rPr>
          <w:noProof/>
          <w:szCs w:val="24"/>
        </w:rPr>
      </w:pPr>
      <w:r>
        <w:rPr>
          <w:b/>
          <w:noProof/>
          <w:szCs w:val="24"/>
        </w:rPr>
        <w:t>The target leverage</w:t>
      </w:r>
      <w:r>
        <w:rPr>
          <w:noProof/>
          <w:szCs w:val="24"/>
        </w:rPr>
        <w:t xml:space="preserve"> of the Equity facility - defined as the total funding (i.e. Union funding plus co</w:t>
      </w:r>
      <w:r>
        <w:rPr>
          <w:noProof/>
          <w:szCs w:val="24"/>
        </w:rPr>
        <w:t>ntribution from other financial institutions) divided by the Union financial contribution - is around 6, depending on market specificities.</w:t>
      </w:r>
    </w:p>
    <w:p w:rsidR="0073489B" w:rsidRDefault="00A46D11">
      <w:pPr>
        <w:spacing w:after="60"/>
        <w:ind w:right="141"/>
        <w:contextualSpacing/>
        <w:jc w:val="both"/>
        <w:rPr>
          <w:i/>
          <w:noProof/>
          <w:szCs w:val="24"/>
          <w:lang w:eastAsia="en-GB"/>
        </w:rPr>
      </w:pPr>
      <w:r>
        <w:rPr>
          <w:b/>
          <w:i/>
          <w:noProof/>
          <w:szCs w:val="24"/>
          <w:lang w:eastAsia="en-GB"/>
        </w:rPr>
        <w:t>The achieved leverage effect</w:t>
      </w:r>
      <w:r>
        <w:rPr>
          <w:i/>
          <w:noProof/>
          <w:szCs w:val="24"/>
          <w:lang w:eastAsia="en-GB"/>
        </w:rPr>
        <w:t xml:space="preserve"> :0,06</w:t>
      </w:r>
    </w:p>
    <w:p w:rsidR="0073489B" w:rsidRDefault="00A46D11">
      <w:pPr>
        <w:jc w:val="both"/>
        <w:rPr>
          <w:noProof/>
          <w:szCs w:val="24"/>
        </w:rPr>
      </w:pPr>
      <w:r>
        <w:rPr>
          <w:noProof/>
          <w:szCs w:val="24"/>
        </w:rPr>
        <w:t>The total amount invested in eligible final recipients as at 31/12/2016 amounts t</w:t>
      </w:r>
      <w:r>
        <w:rPr>
          <w:noProof/>
          <w:szCs w:val="24"/>
        </w:rPr>
        <w:t>o EUR 15 004 321 for an EU contribution of EUR 256 050 000</w:t>
      </w:r>
    </w:p>
    <w:p w:rsidR="0073489B" w:rsidRDefault="0073489B">
      <w:pPr>
        <w:jc w:val="both"/>
        <w:rPr>
          <w:noProof/>
          <w:szCs w:val="24"/>
        </w:rPr>
      </w:pPr>
    </w:p>
    <w:p w:rsidR="0073489B" w:rsidRDefault="00A46D11">
      <w:pPr>
        <w:keepNext/>
        <w:jc w:val="both"/>
        <w:rPr>
          <w:noProof/>
          <w:szCs w:val="24"/>
          <w:lang w:eastAsia="en-GB"/>
        </w:rPr>
      </w:pPr>
      <w:r>
        <w:rPr>
          <w:b/>
          <w:i/>
          <w:noProof/>
          <w:szCs w:val="24"/>
          <w:lang w:eastAsia="en-GB"/>
        </w:rPr>
        <w:t>The "Expected Leverage for Signed Operations"</w:t>
      </w:r>
      <w:r>
        <w:rPr>
          <w:i/>
          <w:noProof/>
          <w:szCs w:val="24"/>
          <w:lang w:eastAsia="en-GB"/>
        </w:rPr>
        <w:t>:2,21</w:t>
      </w:r>
    </w:p>
    <w:p w:rsidR="0073489B" w:rsidRDefault="00A46D11">
      <w:pPr>
        <w:spacing w:after="60"/>
        <w:jc w:val="both"/>
        <w:rPr>
          <w:noProof/>
          <w:szCs w:val="24"/>
        </w:rPr>
      </w:pPr>
      <w:r>
        <w:rPr>
          <w:noProof/>
          <w:szCs w:val="24"/>
        </w:rPr>
        <w:t>For the 10 operations signed with financial intermediaries as of 31/12/2016, the maximum investment volume available to SMEs amounts to EUR 565,1</w:t>
      </w:r>
      <w:r>
        <w:rPr>
          <w:noProof/>
          <w:szCs w:val="24"/>
        </w:rPr>
        <w:t xml:space="preserve">5 million. Based on the cumulative 2014-2016 budgetary commitments for InnovFin SME VC in (i.e. EUR 256,05 million), the expected leverage for the operations signed in 2016 is 2,21. </w:t>
      </w:r>
    </w:p>
    <w:p w:rsidR="0073489B" w:rsidRDefault="0073489B">
      <w:pPr>
        <w:spacing w:after="60"/>
        <w:ind w:right="141"/>
        <w:jc w:val="both"/>
        <w:rPr>
          <w:noProof/>
          <w:szCs w:val="24"/>
        </w:rPr>
      </w:pPr>
    </w:p>
    <w:p w:rsidR="0073489B" w:rsidRDefault="00A46D11">
      <w:pPr>
        <w:pStyle w:val="Heading4"/>
        <w:ind w:left="426" w:hanging="426"/>
        <w:rPr>
          <w:noProof/>
        </w:rPr>
      </w:pPr>
      <w:bookmarkStart w:id="92" w:name="_Toc387228788"/>
      <w:bookmarkStart w:id="93" w:name="_Toc388541875"/>
      <w:r>
        <w:rPr>
          <w:noProof/>
        </w:rPr>
        <w:t>Strategic importance/relevance</w:t>
      </w:r>
      <w:bookmarkEnd w:id="92"/>
      <w:bookmarkEnd w:id="93"/>
    </w:p>
    <w:p w:rsidR="0073489B" w:rsidRDefault="00A46D11">
      <w:pPr>
        <w:pStyle w:val="Heading5"/>
        <w:spacing w:before="120"/>
        <w:ind w:left="284" w:firstLine="0"/>
        <w:jc w:val="both"/>
        <w:rPr>
          <w:i/>
          <w:noProof/>
        </w:rPr>
      </w:pPr>
      <w:bookmarkStart w:id="94" w:name="_Toc387228789"/>
      <w:r>
        <w:rPr>
          <w:noProof/>
        </w:rPr>
        <w:t>The contribution of the financial instrum</w:t>
      </w:r>
      <w:r>
        <w:rPr>
          <w:noProof/>
        </w:rPr>
        <w:t>ent to the achievement of the objectives of the programme concerned as measured by the established indicators, including, where applicable, the geographical diversification</w:t>
      </w:r>
      <w:bookmarkEnd w:id="94"/>
      <w:r>
        <w:rPr>
          <w:noProof/>
        </w:rPr>
        <w:t>;</w:t>
      </w:r>
    </w:p>
    <w:p w:rsidR="0073489B" w:rsidRDefault="00A46D11">
      <w:pPr>
        <w:spacing w:after="60"/>
        <w:ind w:firstLine="3"/>
        <w:jc w:val="both"/>
        <w:rPr>
          <w:b/>
          <w:noProof/>
          <w:szCs w:val="24"/>
        </w:rPr>
      </w:pPr>
      <w:r>
        <w:rPr>
          <w:noProof/>
          <w:szCs w:val="24"/>
        </w:rPr>
        <w:t>The InnovFin Equity facility , supported by a set of accompanying measures,  suppo</w:t>
      </w:r>
      <w:r>
        <w:rPr>
          <w:noProof/>
          <w:szCs w:val="24"/>
        </w:rPr>
        <w:t>rts the achievement of Horizon 2020 policy objectives. To this end, they are dedicated to consolidating and raising the quality of Europe's science base; promoting research and innovation with a business-driven agenda; and addressing societal challenges, w</w:t>
      </w:r>
      <w:r>
        <w:rPr>
          <w:noProof/>
          <w:szCs w:val="24"/>
        </w:rPr>
        <w:t>ith a focus on activities such as piloting, demonstration, test-beds and market uptake. The budget envelope of EUR 495 million is targeted to mobilize EUR 2,9 billion of new equity investments.</w:t>
      </w:r>
    </w:p>
    <w:p w:rsidR="0073489B" w:rsidRDefault="00A46D11">
      <w:pPr>
        <w:spacing w:after="60"/>
        <w:ind w:firstLine="3"/>
        <w:jc w:val="both"/>
        <w:rPr>
          <w:noProof/>
          <w:szCs w:val="24"/>
        </w:rPr>
      </w:pPr>
      <w:r>
        <w:rPr>
          <w:noProof/>
          <w:szCs w:val="24"/>
        </w:rPr>
        <w:t xml:space="preserve">Generally speaking, the following generic comments can be </w:t>
      </w:r>
      <w:r>
        <w:rPr>
          <w:noProof/>
          <w:szCs w:val="24"/>
        </w:rPr>
        <w:t>outlined, based on the Innovation Union Europe 2020 Flagship Initiative of 2010, which  contains the following commitment:</w:t>
      </w:r>
      <w:r>
        <w:rPr>
          <w:noProof/>
          <w:szCs w:val="24"/>
          <w:vertAlign w:val="superscript"/>
        </w:rPr>
        <w:footnoteReference w:id="77"/>
      </w:r>
    </w:p>
    <w:p w:rsidR="0073489B" w:rsidRDefault="00A46D11">
      <w:pPr>
        <w:spacing w:after="60"/>
        <w:ind w:firstLine="3"/>
        <w:jc w:val="both"/>
        <w:rPr>
          <w:i/>
          <w:noProof/>
          <w:szCs w:val="24"/>
        </w:rPr>
      </w:pPr>
      <w:r>
        <w:rPr>
          <w:i/>
          <w:noProof/>
          <w:szCs w:val="24"/>
        </w:rPr>
        <w:lastRenderedPageBreak/>
        <w:t xml:space="preserve">On the basis of Commission proposals, the EU should </w:t>
      </w:r>
      <w:r>
        <w:rPr>
          <w:bCs/>
          <w:i/>
          <w:noProof/>
          <w:szCs w:val="24"/>
        </w:rPr>
        <w:t xml:space="preserve">put in place financial instruments to attract a major increase in private finance </w:t>
      </w:r>
      <w:r>
        <w:rPr>
          <w:i/>
          <w:noProof/>
          <w:szCs w:val="24"/>
        </w:rPr>
        <w:t>and close the</w:t>
      </w:r>
      <w:r>
        <w:rPr>
          <w:bCs/>
          <w:i/>
          <w:noProof/>
          <w:szCs w:val="24"/>
        </w:rPr>
        <w:t xml:space="preserve"> </w:t>
      </w:r>
      <w:r>
        <w:rPr>
          <w:i/>
          <w:noProof/>
          <w:szCs w:val="24"/>
        </w:rPr>
        <w:t>market gaps in investing in research and innovation. Union contribution should create a major leverage effect and expand on the success of FP7 and</w:t>
      </w:r>
      <w:r>
        <w:rPr>
          <w:b/>
          <w:bCs/>
          <w:i/>
          <w:noProof/>
          <w:szCs w:val="24"/>
        </w:rPr>
        <w:t xml:space="preserve"> </w:t>
      </w:r>
      <w:r>
        <w:rPr>
          <w:i/>
          <w:noProof/>
          <w:szCs w:val="24"/>
        </w:rPr>
        <w:t>CIP.</w:t>
      </w:r>
    </w:p>
    <w:p w:rsidR="0073489B" w:rsidRDefault="00A46D11">
      <w:pPr>
        <w:spacing w:after="60"/>
        <w:ind w:firstLine="3"/>
        <w:jc w:val="both"/>
        <w:rPr>
          <w:i/>
          <w:noProof/>
          <w:szCs w:val="24"/>
        </w:rPr>
      </w:pPr>
      <w:r>
        <w:rPr>
          <w:i/>
          <w:noProof/>
          <w:szCs w:val="24"/>
        </w:rPr>
        <w:t>The Comm</w:t>
      </w:r>
      <w:r>
        <w:rPr>
          <w:i/>
          <w:noProof/>
          <w:szCs w:val="24"/>
        </w:rPr>
        <w:t>ission works with the European Investment Bank Group, national</w:t>
      </w:r>
      <w:r>
        <w:rPr>
          <w:b/>
          <w:bCs/>
          <w:i/>
          <w:noProof/>
          <w:szCs w:val="24"/>
        </w:rPr>
        <w:t xml:space="preserve"> </w:t>
      </w:r>
      <w:r>
        <w:rPr>
          <w:i/>
          <w:noProof/>
          <w:szCs w:val="24"/>
        </w:rPr>
        <w:t>financial intermediaries and private investors to develop proposals addressing the</w:t>
      </w:r>
      <w:r>
        <w:rPr>
          <w:b/>
          <w:bCs/>
          <w:i/>
          <w:noProof/>
          <w:szCs w:val="24"/>
        </w:rPr>
        <w:t xml:space="preserve"> </w:t>
      </w:r>
      <w:r>
        <w:rPr>
          <w:i/>
          <w:noProof/>
          <w:szCs w:val="24"/>
        </w:rPr>
        <w:t>following critical gaps: (i) investment in knowledge transfer and start-ups; (ii)</w:t>
      </w:r>
      <w:r>
        <w:rPr>
          <w:b/>
          <w:bCs/>
          <w:i/>
          <w:noProof/>
          <w:szCs w:val="24"/>
        </w:rPr>
        <w:t xml:space="preserve"> </w:t>
      </w:r>
      <w:r>
        <w:rPr>
          <w:i/>
          <w:noProof/>
          <w:szCs w:val="24"/>
        </w:rPr>
        <w:t>venture capital for fast gro</w:t>
      </w:r>
      <w:r>
        <w:rPr>
          <w:i/>
          <w:noProof/>
          <w:szCs w:val="24"/>
        </w:rPr>
        <w:t>wing firms expanding in EU and global markets; (iii) risk-sharing</w:t>
      </w:r>
      <w:r>
        <w:rPr>
          <w:b/>
          <w:bCs/>
          <w:i/>
          <w:noProof/>
          <w:szCs w:val="24"/>
        </w:rPr>
        <w:t xml:space="preserve"> </w:t>
      </w:r>
      <w:r>
        <w:rPr>
          <w:i/>
          <w:noProof/>
          <w:szCs w:val="24"/>
        </w:rPr>
        <w:t>finance for investments in R&amp;D and innovation projects; and (iv) loans for</w:t>
      </w:r>
      <w:r>
        <w:rPr>
          <w:b/>
          <w:bCs/>
          <w:i/>
          <w:noProof/>
          <w:szCs w:val="24"/>
        </w:rPr>
        <w:t xml:space="preserve"> </w:t>
      </w:r>
      <w:r>
        <w:rPr>
          <w:i/>
          <w:noProof/>
          <w:szCs w:val="24"/>
        </w:rPr>
        <w:t>innovative fast growing SMEs and midcaps. The proposals shall ensure a high</w:t>
      </w:r>
      <w:r>
        <w:rPr>
          <w:b/>
          <w:bCs/>
          <w:i/>
          <w:noProof/>
          <w:szCs w:val="24"/>
        </w:rPr>
        <w:t xml:space="preserve"> </w:t>
      </w:r>
      <w:r>
        <w:rPr>
          <w:i/>
          <w:noProof/>
          <w:szCs w:val="24"/>
        </w:rPr>
        <w:t>leverage effect, efficient management a</w:t>
      </w:r>
      <w:r>
        <w:rPr>
          <w:i/>
          <w:noProof/>
          <w:szCs w:val="24"/>
        </w:rPr>
        <w:t>nd simple access for businesses.</w:t>
      </w:r>
    </w:p>
    <w:p w:rsidR="0073489B" w:rsidRDefault="00A46D11">
      <w:pPr>
        <w:spacing w:after="60"/>
        <w:ind w:firstLine="3"/>
        <w:jc w:val="both"/>
        <w:rPr>
          <w:i/>
          <w:noProof/>
          <w:szCs w:val="24"/>
        </w:rPr>
      </w:pPr>
      <w:r>
        <w:rPr>
          <w:i/>
          <w:noProof/>
          <w:szCs w:val="24"/>
        </w:rPr>
        <w:t>In 2011, the Commission proposed</w:t>
      </w:r>
      <w:r>
        <w:rPr>
          <w:i/>
          <w:noProof/>
          <w:szCs w:val="24"/>
          <w:vertAlign w:val="superscript"/>
        </w:rPr>
        <w:footnoteReference w:id="78"/>
      </w:r>
      <w:r>
        <w:rPr>
          <w:i/>
          <w:noProof/>
          <w:szCs w:val="24"/>
        </w:rPr>
        <w:t xml:space="preserve"> that Horizon 2020 and COSME, the programmes succeeding FP7 and CIP, should jointly support an equity and a debt financial instrument designed to foster the growth of SMEs and small midcaps </w:t>
      </w:r>
      <w:r>
        <w:rPr>
          <w:i/>
          <w:noProof/>
          <w:szCs w:val="24"/>
        </w:rPr>
        <w:t>and their ability to undertake R&amp;I, with Horizon 2020 also providing debt finance for larger entities.</w:t>
      </w:r>
    </w:p>
    <w:p w:rsidR="0073489B" w:rsidRDefault="00A46D11">
      <w:pPr>
        <w:spacing w:after="60"/>
        <w:ind w:firstLine="3"/>
        <w:jc w:val="both"/>
        <w:rPr>
          <w:i/>
          <w:noProof/>
          <w:szCs w:val="24"/>
        </w:rPr>
      </w:pPr>
      <w:r>
        <w:rPr>
          <w:i/>
          <w:noProof/>
          <w:szCs w:val="24"/>
        </w:rPr>
        <w:t>For equity, the Commission proposed that both programmes should make seed, early-stage and growth-stage investments, with Horizon 2020 mainly focusing on</w:t>
      </w:r>
      <w:r>
        <w:rPr>
          <w:i/>
          <w:noProof/>
          <w:szCs w:val="24"/>
        </w:rPr>
        <w:t xml:space="preserve"> risk-capital funds</w:t>
      </w:r>
      <w:r>
        <w:rPr>
          <w:noProof/>
          <w:szCs w:val="24"/>
        </w:rPr>
        <w:t xml:space="preserve"> </w:t>
      </w:r>
      <w:r>
        <w:rPr>
          <w:i/>
          <w:noProof/>
          <w:szCs w:val="24"/>
        </w:rPr>
        <w:t>investing in seed, start-up and early-stage R&amp;I-driven SMEs and small midcaps, and COSME mainly focusing on venture capital, (VC), and mezzanine funds investing in SMEs in the expansion and growth phases.</w:t>
      </w:r>
    </w:p>
    <w:p w:rsidR="0073489B" w:rsidRDefault="0073489B">
      <w:pPr>
        <w:pStyle w:val="ListParagraph"/>
        <w:tabs>
          <w:tab w:val="left" w:pos="142"/>
          <w:tab w:val="left" w:pos="284"/>
        </w:tabs>
        <w:spacing w:after="80"/>
        <w:ind w:left="142"/>
        <w:jc w:val="both"/>
        <w:rPr>
          <w:b/>
          <w:noProof/>
          <w:szCs w:val="24"/>
        </w:rPr>
      </w:pPr>
    </w:p>
    <w:p w:rsidR="0073489B" w:rsidRDefault="00A46D11">
      <w:pPr>
        <w:pStyle w:val="ListParagraph"/>
        <w:tabs>
          <w:tab w:val="left" w:pos="142"/>
          <w:tab w:val="left" w:pos="284"/>
        </w:tabs>
        <w:spacing w:after="80"/>
        <w:ind w:left="142"/>
        <w:jc w:val="both"/>
        <w:rPr>
          <w:b/>
          <w:noProof/>
          <w:szCs w:val="24"/>
        </w:rPr>
      </w:pPr>
      <w:r>
        <w:rPr>
          <w:noProof/>
          <w:szCs w:val="24"/>
        </w:rPr>
        <w:t>Graph</w:t>
      </w:r>
      <w:r>
        <w:rPr>
          <w:b/>
          <w:noProof/>
          <w:szCs w:val="24"/>
        </w:rPr>
        <w:t xml:space="preserve">: </w:t>
      </w:r>
      <w:r>
        <w:rPr>
          <w:b/>
          <w:i/>
          <w:noProof/>
          <w:szCs w:val="24"/>
        </w:rPr>
        <w:t>Geographical distributi</w:t>
      </w:r>
      <w:r>
        <w:rPr>
          <w:b/>
          <w:i/>
          <w:noProof/>
          <w:szCs w:val="24"/>
        </w:rPr>
        <w:t>on of target intermediary size in participating countries</w:t>
      </w:r>
    </w:p>
    <w:p w:rsidR="0073489B" w:rsidRDefault="00A46D11">
      <w:pPr>
        <w:pStyle w:val="ListParagraph"/>
        <w:tabs>
          <w:tab w:val="left" w:pos="142"/>
          <w:tab w:val="left" w:pos="284"/>
        </w:tabs>
        <w:spacing w:after="80"/>
        <w:ind w:left="142"/>
        <w:jc w:val="both"/>
        <w:rPr>
          <w:noProof/>
          <w:szCs w:val="24"/>
        </w:rPr>
      </w:pPr>
      <w:r>
        <w:rPr>
          <w:noProof/>
          <w:lang w:eastAsia="en-GB"/>
        </w:rPr>
        <w:drawing>
          <wp:inline distT="0" distB="0" distL="0" distR="0">
            <wp:extent cx="4572000" cy="279082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489B" w:rsidRDefault="00A46D11">
      <w:pPr>
        <w:pStyle w:val="ListParagraph"/>
        <w:tabs>
          <w:tab w:val="left" w:pos="142"/>
          <w:tab w:val="left" w:pos="284"/>
        </w:tabs>
        <w:spacing w:after="80"/>
        <w:ind w:left="142"/>
        <w:jc w:val="both"/>
        <w:rPr>
          <w:noProof/>
          <w:szCs w:val="24"/>
        </w:rPr>
      </w:pPr>
      <w:r>
        <w:rPr>
          <w:noProof/>
          <w:szCs w:val="24"/>
        </w:rPr>
        <w:br w:type="page"/>
      </w:r>
      <w:r>
        <w:rPr>
          <w:noProof/>
          <w:szCs w:val="24"/>
        </w:rPr>
        <w:lastRenderedPageBreak/>
        <w:t xml:space="preserve">Graph: </w:t>
      </w:r>
      <w:r>
        <w:rPr>
          <w:b/>
          <w:i/>
          <w:noProof/>
          <w:szCs w:val="24"/>
        </w:rPr>
        <w:t>Geographical distribution of investments in final beneficiaries ( in EUR million)</w:t>
      </w:r>
    </w:p>
    <w:p w:rsidR="0073489B" w:rsidRDefault="00A46D11">
      <w:pPr>
        <w:pStyle w:val="ListParagraph"/>
        <w:tabs>
          <w:tab w:val="left" w:pos="142"/>
          <w:tab w:val="left" w:pos="284"/>
        </w:tabs>
        <w:spacing w:after="80"/>
        <w:ind w:left="142"/>
        <w:jc w:val="both"/>
        <w:rPr>
          <w:noProof/>
          <w:szCs w:val="24"/>
        </w:rPr>
      </w:pPr>
      <w:r>
        <w:rPr>
          <w:noProof/>
          <w:lang w:eastAsia="en-GB"/>
        </w:rPr>
        <w:drawing>
          <wp:inline distT="0" distB="0" distL="0" distR="0">
            <wp:extent cx="4285753" cy="2449002"/>
            <wp:effectExtent l="0" t="0" r="19685" b="279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3489B" w:rsidRDefault="00A46D11">
      <w:pPr>
        <w:pStyle w:val="Heading4"/>
        <w:ind w:left="426" w:hanging="426"/>
        <w:rPr>
          <w:noProof/>
          <w:sz w:val="26"/>
          <w:szCs w:val="26"/>
        </w:rPr>
      </w:pPr>
      <w:bookmarkStart w:id="95" w:name="_Toc387228790"/>
      <w:bookmarkStart w:id="96" w:name="_Toc388541876"/>
      <w:r>
        <w:rPr>
          <w:noProof/>
        </w:rPr>
        <w:t>Other key points and issues</w:t>
      </w:r>
      <w:bookmarkEnd w:id="95"/>
      <w:bookmarkEnd w:id="96"/>
    </w:p>
    <w:p w:rsidR="0073489B" w:rsidRDefault="00A46D11">
      <w:pPr>
        <w:pStyle w:val="ListParagraph"/>
        <w:numPr>
          <w:ilvl w:val="0"/>
          <w:numId w:val="108"/>
        </w:numPr>
        <w:tabs>
          <w:tab w:val="left" w:pos="142"/>
        </w:tabs>
        <w:spacing w:after="60"/>
        <w:ind w:left="142" w:hanging="142"/>
        <w:rPr>
          <w:b/>
          <w:noProof/>
          <w:szCs w:val="24"/>
        </w:rPr>
      </w:pPr>
      <w:r>
        <w:rPr>
          <w:b/>
          <w:noProof/>
          <w:szCs w:val="24"/>
        </w:rPr>
        <w:t>Main issues:</w:t>
      </w:r>
    </w:p>
    <w:p w:rsidR="0073489B" w:rsidRDefault="00A46D11">
      <w:pPr>
        <w:pStyle w:val="ListParagraph"/>
        <w:numPr>
          <w:ilvl w:val="0"/>
          <w:numId w:val="243"/>
        </w:numPr>
        <w:jc w:val="both"/>
        <w:rPr>
          <w:noProof/>
          <w:szCs w:val="24"/>
        </w:rPr>
      </w:pPr>
      <w:r>
        <w:rPr>
          <w:noProof/>
          <w:szCs w:val="24"/>
        </w:rPr>
        <w:t>The Union-level InnovFin Equity facility is needed to help impr</w:t>
      </w:r>
      <w:r>
        <w:rPr>
          <w:noProof/>
          <w:szCs w:val="24"/>
        </w:rPr>
        <w:t xml:space="preserve">ove the availability of equity finance for early and growth-stage investments and to boost the development of the Union venture capital market. During the technology transfer and start-up phase, new companies face a 'valley of death' where public research </w:t>
      </w:r>
      <w:r>
        <w:rPr>
          <w:noProof/>
          <w:szCs w:val="24"/>
        </w:rPr>
        <w:t>grants stop and it is not possible to attract private finance. Public support aiming to leverage private seed and start-up funds to fill this gap is currently too fragmented and intermittent, or its management lacks the necessary expertise. Furthermore, mo</w:t>
      </w:r>
      <w:r>
        <w:rPr>
          <w:noProof/>
          <w:szCs w:val="24"/>
        </w:rPr>
        <w:t>st venture capital funds in Europe are too small to support the continued growth of innovative companies and do not have the critical mass to specialize and operate transnationally.</w:t>
      </w:r>
    </w:p>
    <w:p w:rsidR="0073489B" w:rsidRDefault="00A46D11">
      <w:pPr>
        <w:pStyle w:val="ListParagraph"/>
        <w:numPr>
          <w:ilvl w:val="0"/>
          <w:numId w:val="243"/>
        </w:numPr>
        <w:jc w:val="both"/>
        <w:rPr>
          <w:noProof/>
          <w:szCs w:val="24"/>
        </w:rPr>
      </w:pPr>
      <w:r>
        <w:rPr>
          <w:noProof/>
          <w:szCs w:val="24"/>
        </w:rPr>
        <w:t>Specific support actions such as information and coaching activities for S</w:t>
      </w:r>
      <w:r>
        <w:rPr>
          <w:noProof/>
          <w:szCs w:val="24"/>
        </w:rPr>
        <w:t>MEs should be provided. Regional authorities, SMEs associations, chambers of commerce and relevant financial intermediaries may be consulted, where appropriate, in relation to the programming and implementation of these activities.</w:t>
      </w:r>
    </w:p>
    <w:p w:rsidR="0073489B" w:rsidRDefault="00A46D11">
      <w:pPr>
        <w:numPr>
          <w:ilvl w:val="0"/>
          <w:numId w:val="243"/>
        </w:numPr>
        <w:jc w:val="both"/>
        <w:rPr>
          <w:noProof/>
          <w:szCs w:val="24"/>
        </w:rPr>
      </w:pPr>
      <w:r>
        <w:rPr>
          <w:noProof/>
          <w:szCs w:val="24"/>
        </w:rPr>
        <w:t>In the case of condition</w:t>
      </w:r>
      <w:r>
        <w:rPr>
          <w:noProof/>
          <w:szCs w:val="24"/>
        </w:rPr>
        <w:t>al closings, despite the EIF making a firm commitment of investing into a fund it may be that fund managers fail to raise the required additional private and public funding to reach the first closing of a fund.</w:t>
      </w:r>
    </w:p>
    <w:p w:rsidR="0073489B" w:rsidRDefault="00A46D11">
      <w:pPr>
        <w:pStyle w:val="ListParagraph"/>
        <w:numPr>
          <w:ilvl w:val="0"/>
          <w:numId w:val="108"/>
        </w:numPr>
        <w:tabs>
          <w:tab w:val="left" w:pos="142"/>
        </w:tabs>
        <w:spacing w:after="80"/>
        <w:ind w:left="142" w:hanging="142"/>
        <w:rPr>
          <w:b/>
          <w:noProof/>
          <w:szCs w:val="24"/>
        </w:rPr>
      </w:pPr>
      <w:r>
        <w:rPr>
          <w:b/>
          <w:noProof/>
          <w:szCs w:val="24"/>
        </w:rPr>
        <w:t xml:space="preserve">Main risks: </w:t>
      </w:r>
    </w:p>
    <w:p w:rsidR="0073489B" w:rsidRDefault="00A46D11">
      <w:pPr>
        <w:pStyle w:val="ListParagraph"/>
        <w:numPr>
          <w:ilvl w:val="0"/>
          <w:numId w:val="243"/>
        </w:numPr>
        <w:rPr>
          <w:noProof/>
          <w:szCs w:val="24"/>
        </w:rPr>
      </w:pPr>
      <w:r>
        <w:rPr>
          <w:noProof/>
          <w:szCs w:val="24"/>
        </w:rPr>
        <w:t xml:space="preserve">No specific risks identified at </w:t>
      </w:r>
      <w:r>
        <w:rPr>
          <w:noProof/>
          <w:szCs w:val="24"/>
        </w:rPr>
        <w:t>this stage of implementation.</w:t>
      </w:r>
    </w:p>
    <w:p w:rsidR="0073489B" w:rsidRDefault="00A46D11">
      <w:pPr>
        <w:pStyle w:val="ListParagraph"/>
        <w:numPr>
          <w:ilvl w:val="0"/>
          <w:numId w:val="108"/>
        </w:numPr>
        <w:tabs>
          <w:tab w:val="left" w:pos="142"/>
        </w:tabs>
        <w:spacing w:after="80"/>
        <w:ind w:left="142" w:hanging="142"/>
        <w:rPr>
          <w:b/>
          <w:noProof/>
          <w:szCs w:val="24"/>
        </w:rPr>
      </w:pPr>
      <w:r>
        <w:rPr>
          <w:b/>
          <w:noProof/>
          <w:szCs w:val="24"/>
        </w:rPr>
        <w:t>General outlook:</w:t>
      </w:r>
    </w:p>
    <w:p w:rsidR="0073489B" w:rsidRDefault="00A46D11">
      <w:pPr>
        <w:pStyle w:val="ListParagraph"/>
        <w:numPr>
          <w:ilvl w:val="0"/>
          <w:numId w:val="243"/>
        </w:numPr>
        <w:jc w:val="both"/>
        <w:rPr>
          <w:noProof/>
          <w:szCs w:val="24"/>
        </w:rPr>
      </w:pPr>
      <w:r>
        <w:rPr>
          <w:noProof/>
          <w:szCs w:val="24"/>
        </w:rPr>
        <w:t xml:space="preserve">Given the generally pro-cyclical nature of the activities of equity investors, the health of the economy overall is very likely to dominate the evolution of both Europe's VC and BA industries, though some </w:t>
      </w:r>
      <w:r>
        <w:rPr>
          <w:noProof/>
          <w:szCs w:val="24"/>
        </w:rPr>
        <w:t>analysts advocate and predict a considerable downsizing of the VC sector in both Europe and the USA in order for a smaller number of funds to enjoy a reasonable level of return and profitability.</w:t>
      </w:r>
      <w:r>
        <w:rPr>
          <w:noProof/>
          <w:szCs w:val="24"/>
          <w:vertAlign w:val="superscript"/>
        </w:rPr>
        <w:footnoteReference w:id="79"/>
      </w:r>
    </w:p>
    <w:p w:rsidR="0073489B" w:rsidRDefault="00A46D11">
      <w:pPr>
        <w:pStyle w:val="ListParagraph"/>
        <w:numPr>
          <w:ilvl w:val="0"/>
          <w:numId w:val="243"/>
        </w:numPr>
        <w:jc w:val="both"/>
        <w:rPr>
          <w:noProof/>
        </w:rPr>
      </w:pPr>
      <w:r>
        <w:rPr>
          <w:noProof/>
        </w:rPr>
        <w:t xml:space="preserve">The implementation of the Horizon 2020 </w:t>
      </w:r>
      <w:r>
        <w:rPr>
          <w:noProof/>
          <w:szCs w:val="24"/>
        </w:rPr>
        <w:t>InnovFin Equity faci</w:t>
      </w:r>
      <w:r>
        <w:rPr>
          <w:noProof/>
          <w:szCs w:val="24"/>
        </w:rPr>
        <w:t xml:space="preserve">lity has </w:t>
      </w:r>
      <w:r>
        <w:rPr>
          <w:noProof/>
        </w:rPr>
        <w:t>started end of 2015, after the EIF FAFA and the Delegation Agreement for the Horizon 2020 Financial Instruments between the EU (represented by the Commissioner for Research and Innovation), EIB and EIF were signed.</w:t>
      </w:r>
    </w:p>
    <w:p w:rsidR="0073489B" w:rsidRDefault="00A46D11">
      <w:pPr>
        <w:pStyle w:val="Heading3"/>
        <w:spacing w:before="120" w:after="120"/>
        <w:ind w:left="553" w:hanging="553"/>
      </w:pPr>
      <w:bookmarkStart w:id="97" w:name="_Toc486436749"/>
      <w:r>
        <w:lastRenderedPageBreak/>
        <w:t>EaSI Capacity Building Investmen</w:t>
      </w:r>
      <w:r>
        <w:t>ts (EaSI CBI) – 2014 to 2020</w:t>
      </w:r>
      <w:bookmarkEnd w:id="97"/>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95"/>
        <w:gridCol w:w="3793"/>
      </w:tblGrid>
      <w:tr w:rsidR="0073489B">
        <w:trPr>
          <w:trHeight w:val="552"/>
          <w:jc w:val="center"/>
        </w:trPr>
        <w:tc>
          <w:tcPr>
            <w:tcW w:w="2958" w:type="pct"/>
            <w:tcBorders>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Policy DG in charge:</w:t>
            </w:r>
          </w:p>
        </w:tc>
        <w:tc>
          <w:tcPr>
            <w:tcW w:w="2042" w:type="pct"/>
            <w:tcBorders>
              <w:bottom w:val="single" w:sz="4" w:space="0" w:color="auto"/>
            </w:tcBorders>
            <w:shd w:val="clear" w:color="auto" w:fill="auto"/>
            <w:vAlign w:val="center"/>
          </w:tcPr>
          <w:p w:rsidR="0073489B" w:rsidRDefault="00A46D11">
            <w:pPr>
              <w:spacing w:before="60" w:after="60"/>
              <w:jc w:val="center"/>
              <w:rPr>
                <w:noProof/>
              </w:rPr>
            </w:pPr>
            <w:r>
              <w:rPr>
                <w:noProof/>
              </w:rPr>
              <w:t>DG EMPL</w:t>
            </w:r>
          </w:p>
        </w:tc>
      </w:tr>
      <w:tr w:rsidR="0073489B">
        <w:trPr>
          <w:trHeight w:val="552"/>
          <w:jc w:val="center"/>
        </w:trPr>
        <w:tc>
          <w:tcPr>
            <w:tcW w:w="2958"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 xml:space="preserve">Implementing DG in charge:  </w:t>
            </w:r>
          </w:p>
        </w:tc>
        <w:tc>
          <w:tcPr>
            <w:tcW w:w="2042"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DG EMPL</w:t>
            </w:r>
          </w:p>
        </w:tc>
      </w:tr>
      <w:tr w:rsidR="0073489B">
        <w:trPr>
          <w:trHeight w:val="552"/>
          <w:jc w:val="center"/>
        </w:trPr>
        <w:tc>
          <w:tcPr>
            <w:tcW w:w="2958"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Implementing Body in charge:</w:t>
            </w:r>
          </w:p>
        </w:tc>
        <w:tc>
          <w:tcPr>
            <w:tcW w:w="2042"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EIF</w:t>
            </w:r>
          </w:p>
        </w:tc>
      </w:tr>
      <w:tr w:rsidR="0073489B">
        <w:trPr>
          <w:trHeight w:val="552"/>
          <w:jc w:val="center"/>
        </w:trPr>
        <w:tc>
          <w:tcPr>
            <w:tcW w:w="2958" w:type="pct"/>
            <w:tcBorders>
              <w:top w:val="single" w:sz="4" w:space="0" w:color="auto"/>
              <w:bottom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Expected Overall (2014-2020) Programme Budget:</w:t>
            </w:r>
          </w:p>
        </w:tc>
        <w:tc>
          <w:tcPr>
            <w:tcW w:w="2042" w:type="pct"/>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EUR 16 million</w:t>
            </w:r>
            <w:r>
              <w:rPr>
                <w:noProof/>
                <w:szCs w:val="24"/>
                <w:lang w:eastAsia="fr-FR"/>
              </w:rPr>
              <w:t xml:space="preserve"> </w:t>
            </w:r>
          </w:p>
        </w:tc>
      </w:tr>
      <w:tr w:rsidR="0073489B">
        <w:trPr>
          <w:trHeight w:val="552"/>
          <w:jc w:val="center"/>
        </w:trPr>
        <w:tc>
          <w:tcPr>
            <w:tcW w:w="2958" w:type="pct"/>
            <w:tcBorders>
              <w:top w:val="single" w:sz="4" w:space="0" w:color="auto"/>
            </w:tcBorders>
            <w:shd w:val="clear" w:color="auto" w:fill="auto"/>
            <w:vAlign w:val="center"/>
          </w:tcPr>
          <w:p w:rsidR="0073489B" w:rsidRDefault="00A46D11">
            <w:pPr>
              <w:spacing w:before="60" w:after="60"/>
              <w:rPr>
                <w:b/>
                <w:noProof/>
                <w:szCs w:val="24"/>
                <w:lang w:eastAsia="fr-FR"/>
              </w:rPr>
            </w:pPr>
            <w:r>
              <w:rPr>
                <w:b/>
                <w:noProof/>
                <w:szCs w:val="24"/>
                <w:lang w:eastAsia="fr-FR"/>
              </w:rPr>
              <w:t>Executed Budget since beginning until 31/12/2016:</w:t>
            </w:r>
          </w:p>
        </w:tc>
        <w:tc>
          <w:tcPr>
            <w:tcW w:w="2042" w:type="pct"/>
            <w:tcBorders>
              <w:top w:val="single" w:sz="4" w:space="0" w:color="auto"/>
            </w:tcBorders>
            <w:shd w:val="clear" w:color="auto" w:fill="auto"/>
            <w:vAlign w:val="center"/>
          </w:tcPr>
          <w:p w:rsidR="0073489B" w:rsidRDefault="00A46D11">
            <w:pPr>
              <w:spacing w:before="60" w:after="60"/>
              <w:rPr>
                <w:noProof/>
                <w:lang w:val="fr-FR"/>
              </w:rPr>
            </w:pPr>
            <w:r>
              <w:rPr>
                <w:noProof/>
                <w:lang w:val="fr-FR"/>
              </w:rPr>
              <w:t xml:space="preserve">Commitments: EUR 12,72 million </w:t>
            </w:r>
          </w:p>
          <w:p w:rsidR="0073489B" w:rsidRDefault="00A46D11">
            <w:pPr>
              <w:spacing w:before="60" w:after="60"/>
              <w:jc w:val="center"/>
              <w:rPr>
                <w:noProof/>
                <w:lang w:val="fr-BE"/>
              </w:rPr>
            </w:pPr>
            <w:r>
              <w:rPr>
                <w:noProof/>
                <w:lang w:val="fr-FR"/>
              </w:rPr>
              <w:t>Payments: EUR 10,78 million</w:t>
            </w:r>
          </w:p>
        </w:tc>
      </w:tr>
    </w:tbl>
    <w:p w:rsidR="0073489B" w:rsidRDefault="0073489B">
      <w:pPr>
        <w:ind w:left="709"/>
        <w:rPr>
          <w:i/>
          <w:noProof/>
          <w:sz w:val="20"/>
          <w:lang w:val="fr-BE"/>
        </w:rPr>
      </w:pPr>
    </w:p>
    <w:p w:rsidR="0073489B" w:rsidRDefault="00A46D11">
      <w:pPr>
        <w:pStyle w:val="Heading4"/>
        <w:numPr>
          <w:ilvl w:val="0"/>
          <w:numId w:val="288"/>
        </w:numPr>
        <w:spacing w:before="120"/>
        <w:rPr>
          <w:noProof/>
        </w:rPr>
      </w:pPr>
      <w:r>
        <w:rPr>
          <w:noProof/>
        </w:rPr>
        <w:t>Summary</w:t>
      </w:r>
    </w:p>
    <w:p w:rsidR="0073489B" w:rsidRDefault="00A46D11">
      <w:pPr>
        <w:spacing w:after="60"/>
        <w:jc w:val="both"/>
        <w:rPr>
          <w:noProof/>
          <w:szCs w:val="24"/>
          <w:lang w:eastAsia="fr-FR"/>
        </w:rPr>
      </w:pPr>
      <w:r>
        <w:rPr>
          <w:noProof/>
          <w:szCs w:val="24"/>
          <w:lang w:eastAsia="fr-FR"/>
        </w:rPr>
        <w:t xml:space="preserve">EaSI Capacity Building will be implemented by the European Investment Fund in accordance with the amendment of the Delegation Agreement entered into on 19/12/2016 between the European </w:t>
      </w:r>
      <w:r>
        <w:rPr>
          <w:noProof/>
          <w:szCs w:val="24"/>
          <w:lang w:eastAsia="fr-FR"/>
        </w:rPr>
        <w:t>Union, represented by the Commission and EIF. Under the Agreement, the Commission mandated EIF to implement EaSI Capacity Building investments through direct and indirect equity investments in financial intermediaries and loans with an “equity-like” risk p</w:t>
      </w:r>
      <w:r>
        <w:rPr>
          <w:noProof/>
          <w:szCs w:val="24"/>
          <w:lang w:eastAsia="fr-FR"/>
        </w:rPr>
        <w:t>rofile in term of subordination or maturity profile to financial intermediaries that are not allowed to receive equity investments by law or due to regulatory restrictions.</w:t>
      </w:r>
    </w:p>
    <w:p w:rsidR="0073489B" w:rsidRDefault="00A46D11">
      <w:pPr>
        <w:spacing w:after="60"/>
        <w:jc w:val="both"/>
        <w:rPr>
          <w:noProof/>
          <w:szCs w:val="24"/>
          <w:lang w:eastAsia="fr-FR"/>
        </w:rPr>
      </w:pPr>
      <w:r>
        <w:rPr>
          <w:noProof/>
          <w:szCs w:val="24"/>
          <w:lang w:eastAsia="fr-FR"/>
        </w:rPr>
        <w:t>The estimated budget allocation foreseen for the total programming period amounts t</w:t>
      </w:r>
      <w:r>
        <w:rPr>
          <w:noProof/>
          <w:szCs w:val="24"/>
          <w:lang w:eastAsia="fr-FR"/>
        </w:rPr>
        <w:t>o EUR 16 million. The EU contribution (excluding repayments) may be committed until 31 December 2020, however "annual repayments generated by one financial instrument shall be assigned to that financial instrument until 1 January 2024" (source: EaSI Regula</w:t>
      </w:r>
      <w:r>
        <w:rPr>
          <w:noProof/>
          <w:szCs w:val="24"/>
          <w:lang w:eastAsia="fr-FR"/>
        </w:rPr>
        <w:t xml:space="preserve">tion, article 30(4). </w:t>
      </w:r>
    </w:p>
    <w:p w:rsidR="0073489B" w:rsidRDefault="00A46D11">
      <w:pPr>
        <w:spacing w:after="60"/>
        <w:jc w:val="both"/>
        <w:rPr>
          <w:noProof/>
          <w:szCs w:val="24"/>
          <w:lang w:eastAsia="fr-FR"/>
        </w:rPr>
      </w:pPr>
      <w:r>
        <w:rPr>
          <w:noProof/>
          <w:szCs w:val="24"/>
          <w:lang w:eastAsia="fr-FR"/>
        </w:rPr>
        <w:t>Based on the target leverage</w:t>
      </w:r>
      <w:r>
        <w:rPr>
          <w:rStyle w:val="FootnoteReference"/>
          <w:noProof/>
          <w:szCs w:val="24"/>
          <w:lang w:eastAsia="fr-FR"/>
        </w:rPr>
        <w:footnoteReference w:id="80"/>
      </w:r>
      <w:r>
        <w:rPr>
          <w:noProof/>
          <w:szCs w:val="24"/>
          <w:lang w:eastAsia="fr-FR"/>
        </w:rPr>
        <w:t xml:space="preserve"> of the instrument (minimum of 2), it is estimated that the total amount of 16 million used will generate around EUR 32 million investments made to 8-10 Financial Intermediaries and Sub-Intermediaries for the purpose of capacity building.</w:t>
      </w:r>
    </w:p>
    <w:p w:rsidR="0073489B" w:rsidRDefault="00A46D11">
      <w:pPr>
        <w:spacing w:after="60"/>
        <w:jc w:val="both"/>
        <w:rPr>
          <w:noProof/>
          <w:szCs w:val="24"/>
          <w:lang w:eastAsia="fr-FR"/>
        </w:rPr>
      </w:pPr>
      <w:r>
        <w:rPr>
          <w:noProof/>
          <w:szCs w:val="24"/>
          <w:lang w:eastAsia="fr-FR"/>
        </w:rPr>
        <w:t>As regards the du</w:t>
      </w:r>
      <w:r>
        <w:rPr>
          <w:noProof/>
          <w:szCs w:val="24"/>
          <w:lang w:eastAsia="fr-FR"/>
        </w:rPr>
        <w:t>ration, the instrument's winding up date is 31/12/2033.</w:t>
      </w:r>
    </w:p>
    <w:p w:rsidR="0073489B" w:rsidRDefault="0073489B">
      <w:pPr>
        <w:spacing w:after="60"/>
        <w:rPr>
          <w:noProof/>
          <w:szCs w:val="24"/>
          <w:lang w:eastAsia="fr-FR"/>
        </w:rPr>
      </w:pPr>
    </w:p>
    <w:p w:rsidR="0073489B" w:rsidRDefault="00A46D11">
      <w:pPr>
        <w:pStyle w:val="Heading4"/>
        <w:numPr>
          <w:ilvl w:val="0"/>
          <w:numId w:val="18"/>
        </w:numPr>
        <w:ind w:left="426" w:hanging="426"/>
        <w:rPr>
          <w:noProof/>
        </w:rPr>
      </w:pPr>
      <w:r>
        <w:rPr>
          <w:noProof/>
        </w:rPr>
        <w:t>Description</w:t>
      </w:r>
    </w:p>
    <w:p w:rsidR="0073489B" w:rsidRDefault="00A46D11">
      <w:pPr>
        <w:pStyle w:val="Heading5"/>
        <w:numPr>
          <w:ilvl w:val="0"/>
          <w:numId w:val="289"/>
        </w:numPr>
        <w:spacing w:before="120"/>
        <w:rPr>
          <w:noProof/>
        </w:rPr>
      </w:pPr>
      <w:r>
        <w:rPr>
          <w:noProof/>
        </w:rPr>
        <w:t>Identification of the financial instrument and the basic act;</w:t>
      </w:r>
    </w:p>
    <w:p w:rsidR="0073489B" w:rsidRDefault="00A46D11">
      <w:pPr>
        <w:jc w:val="both"/>
        <w:rPr>
          <w:noProof/>
        </w:rPr>
      </w:pPr>
      <w:r>
        <w:rPr>
          <w:noProof/>
        </w:rPr>
        <w:t xml:space="preserve">Regulation (EU) No 1296/2013 of the European Parliament and of the Council of 11 December 2013 on a European Union Programme </w:t>
      </w:r>
      <w:r>
        <w:rPr>
          <w:noProof/>
        </w:rPr>
        <w:t>for Employment and Social Innovation (‘EaSI’).</w:t>
      </w:r>
    </w:p>
    <w:p w:rsidR="0073489B" w:rsidRDefault="0073489B">
      <w:pPr>
        <w:rPr>
          <w:noProof/>
        </w:rPr>
      </w:pPr>
    </w:p>
    <w:p w:rsidR="0073489B" w:rsidRDefault="00A46D11">
      <w:pPr>
        <w:pStyle w:val="Heading5"/>
        <w:numPr>
          <w:ilvl w:val="0"/>
          <w:numId w:val="291"/>
        </w:numPr>
        <w:rPr>
          <w:noProof/>
        </w:rPr>
      </w:pPr>
      <w:r>
        <w:rPr>
          <w:noProof/>
        </w:rPr>
        <w:t>Description of the financial instrument, implementation arrangements and the added value of the Union contribution;</w:t>
      </w:r>
    </w:p>
    <w:p w:rsidR="0073489B" w:rsidRDefault="00A46D11">
      <w:pPr>
        <w:autoSpaceDE w:val="0"/>
        <w:autoSpaceDN w:val="0"/>
        <w:adjustRightInd w:val="0"/>
        <w:ind w:firstLine="3"/>
        <w:jc w:val="both"/>
        <w:rPr>
          <w:i/>
          <w:noProof/>
          <w:szCs w:val="24"/>
        </w:rPr>
      </w:pPr>
      <w:r>
        <w:rPr>
          <w:i/>
          <w:noProof/>
          <w:szCs w:val="24"/>
        </w:rPr>
        <w:t>Policy objectives and scope</w:t>
      </w:r>
    </w:p>
    <w:p w:rsidR="0073489B" w:rsidRDefault="00A46D11">
      <w:pPr>
        <w:autoSpaceDE w:val="0"/>
        <w:autoSpaceDN w:val="0"/>
        <w:adjustRightInd w:val="0"/>
        <w:ind w:firstLine="3"/>
        <w:jc w:val="both"/>
        <w:rPr>
          <w:noProof/>
          <w:szCs w:val="24"/>
        </w:rPr>
      </w:pPr>
      <w:r>
        <w:rPr>
          <w:noProof/>
          <w:szCs w:val="24"/>
        </w:rPr>
        <w:t>The EaSI Capacity Building is one of the Financial instruments foreseen under the Employment and Social Innovation (‘EaSI’) program. The objectives of this financial instrument have been described in Regulation (EU) No 1296/2013 and can be found in Article</w:t>
      </w:r>
      <w:r>
        <w:rPr>
          <w:noProof/>
          <w:szCs w:val="24"/>
        </w:rPr>
        <w:t xml:space="preserve"> 4: </w:t>
      </w:r>
    </w:p>
    <w:p w:rsidR="0073489B" w:rsidRDefault="00A46D11">
      <w:pPr>
        <w:autoSpaceDE w:val="0"/>
        <w:autoSpaceDN w:val="0"/>
        <w:adjustRightInd w:val="0"/>
        <w:ind w:firstLine="3"/>
        <w:jc w:val="both"/>
        <w:rPr>
          <w:noProof/>
          <w:szCs w:val="24"/>
        </w:rPr>
      </w:pPr>
      <w:r>
        <w:rPr>
          <w:noProof/>
          <w:szCs w:val="24"/>
        </w:rPr>
        <w:lastRenderedPageBreak/>
        <w:t>General objective</w:t>
      </w:r>
    </w:p>
    <w:p w:rsidR="0073489B" w:rsidRDefault="00A46D11">
      <w:pPr>
        <w:autoSpaceDE w:val="0"/>
        <w:autoSpaceDN w:val="0"/>
        <w:adjustRightInd w:val="0"/>
        <w:ind w:firstLine="3"/>
        <w:jc w:val="both"/>
        <w:rPr>
          <w:noProof/>
          <w:szCs w:val="24"/>
        </w:rPr>
      </w:pPr>
      <w:r>
        <w:rPr>
          <w:noProof/>
          <w:szCs w:val="24"/>
        </w:rPr>
        <w:t xml:space="preserve">- To promote employment and social inclusion by increasing the availability and accessibility of microfinance for vulnerable people who wish to start up a micro-enterprise as well as for existing micro-enterprises, and by increasing </w:t>
      </w:r>
      <w:r>
        <w:rPr>
          <w:noProof/>
          <w:szCs w:val="24"/>
        </w:rPr>
        <w:t>access to finance for social enterprises.</w:t>
      </w:r>
    </w:p>
    <w:p w:rsidR="0073489B" w:rsidRDefault="00A46D11">
      <w:pPr>
        <w:autoSpaceDE w:val="0"/>
        <w:autoSpaceDN w:val="0"/>
        <w:adjustRightInd w:val="0"/>
        <w:ind w:firstLine="3"/>
        <w:jc w:val="both"/>
        <w:rPr>
          <w:noProof/>
          <w:szCs w:val="24"/>
        </w:rPr>
      </w:pPr>
      <w:r>
        <w:rPr>
          <w:noProof/>
          <w:szCs w:val="24"/>
        </w:rPr>
        <w:t>Specific objectives under Article 26:</w:t>
      </w:r>
      <w:r>
        <w:rPr>
          <w:noProof/>
          <w:szCs w:val="24"/>
        </w:rPr>
        <w:tab/>
        <w:t>build up the institutional capacity of microcredit providers</w:t>
      </w:r>
    </w:p>
    <w:p w:rsidR="0073489B" w:rsidRDefault="0073489B">
      <w:pPr>
        <w:autoSpaceDE w:val="0"/>
        <w:autoSpaceDN w:val="0"/>
        <w:adjustRightInd w:val="0"/>
        <w:ind w:firstLine="3"/>
        <w:jc w:val="both"/>
        <w:rPr>
          <w:noProof/>
          <w:szCs w:val="24"/>
        </w:rPr>
      </w:pPr>
    </w:p>
    <w:p w:rsidR="0073489B" w:rsidRDefault="00A46D11">
      <w:pPr>
        <w:autoSpaceDE w:val="0"/>
        <w:autoSpaceDN w:val="0"/>
        <w:adjustRightInd w:val="0"/>
        <w:ind w:firstLine="3"/>
        <w:jc w:val="both"/>
        <w:rPr>
          <w:noProof/>
          <w:szCs w:val="24"/>
        </w:rPr>
      </w:pPr>
      <w:r>
        <w:rPr>
          <w:noProof/>
          <w:szCs w:val="24"/>
        </w:rPr>
        <w:t>EaSI Capacity Building Investments will be implemented through direct and indirect equity investments in financial</w:t>
      </w:r>
      <w:r>
        <w:rPr>
          <w:noProof/>
          <w:szCs w:val="24"/>
        </w:rPr>
        <w:t xml:space="preserve"> intermediaries and loans with an “equity-like” risk profile in term of subordination or maturity profile to financial intermediaries that are not allowed to receive equity investments by law or due to regulatory restrictions.</w:t>
      </w:r>
    </w:p>
    <w:p w:rsidR="0073489B" w:rsidRDefault="0073489B">
      <w:pPr>
        <w:autoSpaceDE w:val="0"/>
        <w:autoSpaceDN w:val="0"/>
        <w:adjustRightInd w:val="0"/>
        <w:ind w:firstLine="3"/>
        <w:jc w:val="both"/>
        <w:rPr>
          <w:noProof/>
          <w:szCs w:val="24"/>
        </w:rPr>
      </w:pPr>
    </w:p>
    <w:p w:rsidR="0073489B" w:rsidRDefault="00A46D11">
      <w:pPr>
        <w:autoSpaceDE w:val="0"/>
        <w:autoSpaceDN w:val="0"/>
        <w:adjustRightInd w:val="0"/>
        <w:ind w:firstLine="3"/>
        <w:jc w:val="both"/>
        <w:rPr>
          <w:i/>
          <w:noProof/>
          <w:szCs w:val="24"/>
        </w:rPr>
      </w:pPr>
      <w:r>
        <w:rPr>
          <w:i/>
          <w:noProof/>
          <w:szCs w:val="24"/>
        </w:rPr>
        <w:t>Implementation arrangements</w:t>
      </w:r>
    </w:p>
    <w:p w:rsidR="0073489B" w:rsidRDefault="00A46D11">
      <w:pPr>
        <w:ind w:firstLine="3"/>
        <w:jc w:val="both"/>
        <w:rPr>
          <w:noProof/>
          <w:szCs w:val="24"/>
        </w:rPr>
      </w:pPr>
      <w:r>
        <w:rPr>
          <w:noProof/>
          <w:szCs w:val="24"/>
        </w:rPr>
        <w:t xml:space="preserve">EaSI Capacity Building financial instrument is implemented by the European Investment Fund (EIF) on behalf of the European Commission. The amended EaSI Delegation Agreement introducing the set up and the implementation procedures of EaSI Capacity Building </w:t>
      </w:r>
      <w:r>
        <w:rPr>
          <w:noProof/>
          <w:szCs w:val="24"/>
        </w:rPr>
        <w:t>was signed between the EC and the EIF on 19/12/2016.</w:t>
      </w:r>
    </w:p>
    <w:p w:rsidR="0073489B" w:rsidRDefault="0073489B">
      <w:pPr>
        <w:ind w:firstLine="3"/>
        <w:jc w:val="both"/>
        <w:rPr>
          <w:noProof/>
          <w:szCs w:val="24"/>
        </w:rPr>
      </w:pPr>
    </w:p>
    <w:p w:rsidR="0073489B" w:rsidRDefault="00A46D11">
      <w:pPr>
        <w:ind w:firstLine="3"/>
        <w:jc w:val="both"/>
        <w:rPr>
          <w:i/>
          <w:noProof/>
          <w:szCs w:val="24"/>
        </w:rPr>
      </w:pPr>
      <w:r>
        <w:rPr>
          <w:i/>
          <w:noProof/>
          <w:szCs w:val="24"/>
        </w:rPr>
        <w:t>Added value</w:t>
      </w:r>
    </w:p>
    <w:p w:rsidR="0073489B" w:rsidRDefault="00A46D11">
      <w:pPr>
        <w:ind w:firstLine="3"/>
        <w:jc w:val="both"/>
        <w:rPr>
          <w:noProof/>
          <w:szCs w:val="24"/>
        </w:rPr>
      </w:pPr>
      <w:r>
        <w:rPr>
          <w:noProof/>
          <w:szCs w:val="24"/>
        </w:rPr>
        <w:t xml:space="preserve">EaSI Capacity Building Investments aim at building up the institutional capacity of financial intermediaries that have not yet reached sustainability (i.e. break-even, operational capacity, </w:t>
      </w:r>
      <w:r>
        <w:rPr>
          <w:noProof/>
          <w:szCs w:val="24"/>
        </w:rPr>
        <w:t xml:space="preserve">etc.), including greenfield financial intermediaries, or financial intermediaries that are in need of risk capital to expand further their operations, both in the microfinance and in the social entrepreneurship space. The absorption capacity of the market </w:t>
      </w:r>
      <w:r>
        <w:rPr>
          <w:noProof/>
          <w:szCs w:val="24"/>
        </w:rPr>
        <w:t xml:space="preserve">due to the envisaged capacity building investments will be improved. </w:t>
      </w:r>
    </w:p>
    <w:p w:rsidR="0073489B" w:rsidRDefault="0073489B">
      <w:pPr>
        <w:ind w:firstLine="3"/>
        <w:jc w:val="both"/>
        <w:rPr>
          <w:i/>
          <w:noProof/>
          <w:szCs w:val="24"/>
        </w:rPr>
      </w:pPr>
    </w:p>
    <w:p w:rsidR="0073489B" w:rsidRDefault="00A46D11">
      <w:pPr>
        <w:pStyle w:val="Heading5"/>
        <w:spacing w:before="120"/>
        <w:ind w:left="284" w:firstLine="0"/>
        <w:jc w:val="both"/>
        <w:rPr>
          <w:noProof/>
        </w:rPr>
      </w:pPr>
      <w:r>
        <w:rPr>
          <w:noProof/>
        </w:rPr>
        <w:t>The financial institutions involved in implementation;</w:t>
      </w:r>
    </w:p>
    <w:p w:rsidR="0073489B" w:rsidRDefault="00A46D11">
      <w:pPr>
        <w:spacing w:after="60"/>
        <w:rPr>
          <w:noProof/>
          <w:szCs w:val="24"/>
        </w:rPr>
      </w:pPr>
      <w:r>
        <w:rPr>
          <w:noProof/>
          <w:szCs w:val="24"/>
        </w:rPr>
        <w:t>European Investment Fund (EIF).</w:t>
      </w:r>
    </w:p>
    <w:p w:rsidR="0073489B" w:rsidRDefault="0073489B">
      <w:pPr>
        <w:spacing w:after="60"/>
        <w:rPr>
          <w:noProof/>
          <w:szCs w:val="24"/>
        </w:rPr>
      </w:pPr>
    </w:p>
    <w:p w:rsidR="0073489B" w:rsidRDefault="00A46D11">
      <w:pPr>
        <w:pStyle w:val="Heading4"/>
        <w:ind w:left="426" w:hanging="426"/>
        <w:rPr>
          <w:noProof/>
        </w:rPr>
      </w:pPr>
      <w:r>
        <w:rPr>
          <w:noProof/>
        </w:rPr>
        <w:t>Implementation</w:t>
      </w:r>
    </w:p>
    <w:p w:rsidR="0073489B" w:rsidRDefault="00A46D11">
      <w:pPr>
        <w:pStyle w:val="Heading5"/>
        <w:spacing w:before="120"/>
        <w:ind w:left="284" w:firstLine="0"/>
        <w:rPr>
          <w:noProof/>
        </w:rPr>
      </w:pPr>
      <w:r>
        <w:rPr>
          <w:noProof/>
        </w:rPr>
        <w:t>The aggregate budgetary commitments and payments from the budget;</w:t>
      </w:r>
    </w:p>
    <w:p w:rsidR="0073489B" w:rsidRDefault="00A46D11">
      <w:pPr>
        <w:rPr>
          <w:noProof/>
        </w:rPr>
      </w:pPr>
      <w:r>
        <w:rPr>
          <w:noProof/>
        </w:rPr>
        <w:t>Aggregate budget</w:t>
      </w:r>
      <w:r>
        <w:rPr>
          <w:noProof/>
        </w:rPr>
        <w:t>ary commitments as at 31/12/2016</w:t>
      </w:r>
      <w:r>
        <w:rPr>
          <w:noProof/>
        </w:rPr>
        <w:tab/>
      </w:r>
      <w:r>
        <w:rPr>
          <w:noProof/>
        </w:rPr>
        <w:tab/>
        <w:t xml:space="preserve">                      EUR 12 725 384 </w:t>
      </w:r>
    </w:p>
    <w:p w:rsidR="0073489B" w:rsidRDefault="00A46D11">
      <w:pPr>
        <w:rPr>
          <w:noProof/>
        </w:rPr>
      </w:pPr>
      <w:r>
        <w:rPr>
          <w:noProof/>
        </w:rPr>
        <w:t>Aggregate budgetary payments as at 31/12/2016</w:t>
      </w:r>
      <w:r>
        <w:rPr>
          <w:noProof/>
        </w:rPr>
        <w:tab/>
      </w:r>
      <w:r>
        <w:rPr>
          <w:noProof/>
        </w:rPr>
        <w:tab/>
        <w:t xml:space="preserve">                      EUR 10 780 407 </w:t>
      </w:r>
    </w:p>
    <w:p w:rsidR="0073489B" w:rsidRDefault="00A46D11">
      <w:pPr>
        <w:pStyle w:val="Heading5"/>
        <w:spacing w:before="120"/>
        <w:ind w:left="284" w:firstLine="0"/>
        <w:rPr>
          <w:noProof/>
        </w:rPr>
      </w:pPr>
      <w:r>
        <w:rPr>
          <w:noProof/>
        </w:rPr>
        <w:t>The performance of the financial instrument, including investments realised;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5217"/>
      </w:tblGrid>
      <w:tr w:rsidR="0073489B">
        <w:trPr>
          <w:trHeight w:val="1579"/>
        </w:trPr>
        <w:tc>
          <w:tcPr>
            <w:tcW w:w="3396" w:type="dxa"/>
            <w:shd w:val="clear" w:color="auto" w:fill="auto"/>
            <w:vAlign w:val="center"/>
          </w:tcPr>
          <w:p w:rsidR="0073489B" w:rsidRDefault="00A46D11">
            <w:pPr>
              <w:pStyle w:val="ListParagraph"/>
              <w:spacing w:after="180"/>
              <w:ind w:left="0" w:right="141"/>
              <w:jc w:val="both"/>
              <w:rPr>
                <w:noProof/>
                <w:szCs w:val="24"/>
              </w:rPr>
            </w:pPr>
            <w:r>
              <w:rPr>
                <w:noProof/>
                <w:szCs w:val="24"/>
              </w:rPr>
              <w:t xml:space="preserve">Amount of financing </w:t>
            </w:r>
            <w:r>
              <w:rPr>
                <w:noProof/>
                <w:szCs w:val="24"/>
              </w:rPr>
              <w:t>expected to be provided by the instrument (including EU contribution committed) to eligible final recipients (financial intermediaries),</w:t>
            </w:r>
          </w:p>
          <w:p w:rsidR="0073489B" w:rsidRDefault="00A46D11">
            <w:pPr>
              <w:pStyle w:val="ListParagraph"/>
              <w:spacing w:before="180"/>
              <w:ind w:left="0" w:right="141"/>
              <w:jc w:val="both"/>
              <w:rPr>
                <w:noProof/>
                <w:szCs w:val="24"/>
              </w:rPr>
            </w:pPr>
            <w:r>
              <w:rPr>
                <w:noProof/>
                <w:szCs w:val="24"/>
              </w:rPr>
              <w:t>and corresponding number of eligible final recipients;</w:t>
            </w:r>
          </w:p>
        </w:tc>
        <w:tc>
          <w:tcPr>
            <w:tcW w:w="5217" w:type="dxa"/>
            <w:shd w:val="clear" w:color="auto" w:fill="auto"/>
            <w:vAlign w:val="center"/>
          </w:tcPr>
          <w:p w:rsidR="0073489B" w:rsidRDefault="00A46D11">
            <w:pPr>
              <w:ind w:right="141"/>
              <w:contextualSpacing/>
              <w:jc w:val="center"/>
              <w:rPr>
                <w:noProof/>
                <w:szCs w:val="24"/>
              </w:rPr>
            </w:pPr>
            <w:r>
              <w:rPr>
                <w:noProof/>
                <w:szCs w:val="24"/>
              </w:rPr>
              <w:t>Not applicable (no transactions signed with financial intermedia</w:t>
            </w:r>
            <w:r>
              <w:rPr>
                <w:noProof/>
                <w:szCs w:val="24"/>
              </w:rPr>
              <w:t>ries as at 31/12/2016, since the DA amendment introducing the programme was signed on 19/12/2016 only); Target is EUR 32 million for 8-10 financial intermediaries (see above sub §A - Summary)</w:t>
            </w:r>
          </w:p>
          <w:p w:rsidR="0073489B" w:rsidRDefault="0073489B">
            <w:pPr>
              <w:spacing w:before="360" w:after="180"/>
              <w:ind w:right="141"/>
              <w:contextualSpacing/>
              <w:jc w:val="center"/>
              <w:rPr>
                <w:noProof/>
                <w:szCs w:val="24"/>
              </w:rPr>
            </w:pPr>
          </w:p>
          <w:p w:rsidR="0073489B" w:rsidRDefault="0073489B">
            <w:pPr>
              <w:ind w:right="141"/>
              <w:contextualSpacing/>
              <w:jc w:val="center"/>
              <w:rPr>
                <w:noProof/>
                <w:szCs w:val="24"/>
              </w:rPr>
            </w:pPr>
          </w:p>
        </w:tc>
      </w:tr>
      <w:tr w:rsidR="0073489B">
        <w:trPr>
          <w:trHeight w:val="925"/>
        </w:trPr>
        <w:tc>
          <w:tcPr>
            <w:tcW w:w="3396" w:type="dxa"/>
            <w:shd w:val="clear" w:color="auto" w:fill="auto"/>
            <w:vAlign w:val="center"/>
          </w:tcPr>
          <w:p w:rsidR="0073489B" w:rsidRDefault="00A46D11">
            <w:pPr>
              <w:ind w:right="141"/>
              <w:contextualSpacing/>
              <w:jc w:val="both"/>
              <w:rPr>
                <w:noProof/>
                <w:szCs w:val="24"/>
              </w:rPr>
            </w:pPr>
            <w:r>
              <w:rPr>
                <w:noProof/>
                <w:szCs w:val="24"/>
              </w:rPr>
              <w:t xml:space="preserve">Amount of investments expected to be made by eligible final </w:t>
            </w:r>
            <w:r>
              <w:rPr>
                <w:noProof/>
                <w:szCs w:val="24"/>
              </w:rPr>
              <w:t>recipients due to the financing, if applicable</w:t>
            </w:r>
          </w:p>
        </w:tc>
        <w:tc>
          <w:tcPr>
            <w:tcW w:w="5217" w:type="dxa"/>
            <w:shd w:val="clear" w:color="auto" w:fill="auto"/>
            <w:vAlign w:val="center"/>
          </w:tcPr>
          <w:p w:rsidR="0073489B" w:rsidRDefault="00A46D11">
            <w:pPr>
              <w:ind w:right="141"/>
              <w:contextualSpacing/>
              <w:jc w:val="center"/>
              <w:rPr>
                <w:noProof/>
                <w:szCs w:val="24"/>
              </w:rPr>
            </w:pPr>
            <w:r>
              <w:rPr>
                <w:noProof/>
                <w:szCs w:val="24"/>
              </w:rPr>
              <w:t>Not applicable (see above)</w:t>
            </w:r>
          </w:p>
        </w:tc>
      </w:tr>
      <w:tr w:rsidR="0073489B">
        <w:trPr>
          <w:trHeight w:val="1034"/>
        </w:trPr>
        <w:tc>
          <w:tcPr>
            <w:tcW w:w="3396" w:type="dxa"/>
            <w:shd w:val="clear" w:color="auto" w:fill="auto"/>
            <w:vAlign w:val="center"/>
          </w:tcPr>
          <w:p w:rsidR="0073489B" w:rsidRDefault="00A46D11">
            <w:pPr>
              <w:pStyle w:val="ListParagraph"/>
              <w:ind w:left="0" w:right="141"/>
              <w:jc w:val="both"/>
              <w:rPr>
                <w:noProof/>
                <w:szCs w:val="24"/>
              </w:rPr>
            </w:pPr>
            <w:r>
              <w:rPr>
                <w:noProof/>
                <w:szCs w:val="24"/>
              </w:rPr>
              <w:lastRenderedPageBreak/>
              <w:t>Amount of financing already provided by the instrument to eligible final recipients,</w:t>
            </w:r>
          </w:p>
          <w:p w:rsidR="0073489B" w:rsidRDefault="00A46D11">
            <w:pPr>
              <w:pStyle w:val="ListParagraph"/>
              <w:spacing w:before="180"/>
              <w:ind w:left="0" w:right="141"/>
              <w:rPr>
                <w:noProof/>
                <w:szCs w:val="24"/>
              </w:rPr>
            </w:pPr>
            <w:r>
              <w:rPr>
                <w:noProof/>
                <w:szCs w:val="24"/>
              </w:rPr>
              <w:t xml:space="preserve">and the corresponding number of recipients; </w:t>
            </w:r>
          </w:p>
        </w:tc>
        <w:tc>
          <w:tcPr>
            <w:tcW w:w="5217" w:type="dxa"/>
            <w:shd w:val="clear" w:color="auto" w:fill="auto"/>
            <w:vAlign w:val="center"/>
          </w:tcPr>
          <w:p w:rsidR="0073489B" w:rsidRDefault="00A46D11">
            <w:pPr>
              <w:ind w:right="141"/>
              <w:contextualSpacing/>
              <w:jc w:val="center"/>
              <w:rPr>
                <w:noProof/>
                <w:szCs w:val="24"/>
              </w:rPr>
            </w:pPr>
            <w:r>
              <w:rPr>
                <w:noProof/>
                <w:szCs w:val="24"/>
              </w:rPr>
              <w:t>EUR 0 million</w:t>
            </w:r>
          </w:p>
          <w:p w:rsidR="0073489B" w:rsidRDefault="0073489B">
            <w:pPr>
              <w:ind w:right="141"/>
              <w:contextualSpacing/>
              <w:jc w:val="center"/>
              <w:rPr>
                <w:noProof/>
                <w:szCs w:val="24"/>
              </w:rPr>
            </w:pPr>
          </w:p>
          <w:p w:rsidR="0073489B" w:rsidRDefault="00A46D11">
            <w:pPr>
              <w:ind w:right="141"/>
              <w:contextualSpacing/>
              <w:jc w:val="center"/>
              <w:rPr>
                <w:noProof/>
                <w:szCs w:val="24"/>
              </w:rPr>
            </w:pPr>
            <w:r>
              <w:rPr>
                <w:noProof/>
                <w:szCs w:val="24"/>
              </w:rPr>
              <w:t>0</w:t>
            </w:r>
          </w:p>
        </w:tc>
      </w:tr>
      <w:tr w:rsidR="0073489B">
        <w:trPr>
          <w:trHeight w:val="981"/>
        </w:trPr>
        <w:tc>
          <w:tcPr>
            <w:tcW w:w="3396" w:type="dxa"/>
            <w:shd w:val="clear" w:color="auto" w:fill="auto"/>
            <w:vAlign w:val="center"/>
          </w:tcPr>
          <w:p w:rsidR="0073489B" w:rsidRDefault="00A46D11">
            <w:pPr>
              <w:pStyle w:val="ListParagraph"/>
              <w:ind w:left="0" w:right="141"/>
              <w:jc w:val="both"/>
              <w:rPr>
                <w:noProof/>
                <w:szCs w:val="24"/>
              </w:rPr>
            </w:pPr>
            <w:r>
              <w:rPr>
                <w:noProof/>
                <w:szCs w:val="24"/>
              </w:rPr>
              <w:t xml:space="preserve">Amount of investments already </w:t>
            </w:r>
            <w:r>
              <w:rPr>
                <w:noProof/>
                <w:szCs w:val="24"/>
              </w:rPr>
              <w:t>made by eligible final recipients due to the financing provided through the instrument, if applicable.</w:t>
            </w:r>
          </w:p>
        </w:tc>
        <w:tc>
          <w:tcPr>
            <w:tcW w:w="5217" w:type="dxa"/>
            <w:shd w:val="clear" w:color="auto" w:fill="auto"/>
            <w:vAlign w:val="center"/>
          </w:tcPr>
          <w:p w:rsidR="0073489B" w:rsidRDefault="00A46D11">
            <w:pPr>
              <w:spacing w:before="180" w:after="180"/>
              <w:ind w:right="141"/>
              <w:contextualSpacing/>
              <w:jc w:val="center"/>
              <w:rPr>
                <w:noProof/>
                <w:szCs w:val="24"/>
              </w:rPr>
            </w:pPr>
            <w:r>
              <w:rPr>
                <w:noProof/>
                <w:szCs w:val="24"/>
              </w:rPr>
              <w:t>EUR 0 million</w:t>
            </w:r>
          </w:p>
        </w:tc>
      </w:tr>
    </w:tbl>
    <w:p w:rsidR="0073489B" w:rsidRDefault="00A46D11">
      <w:pPr>
        <w:pStyle w:val="Heading5"/>
        <w:spacing w:before="120"/>
        <w:ind w:left="284" w:firstLine="0"/>
        <w:jc w:val="both"/>
        <w:rPr>
          <w:noProof/>
        </w:rPr>
      </w:pPr>
      <w:r>
        <w:rPr>
          <w:noProof/>
        </w:rPr>
        <w:t>An evaluation of the use of any amounts returned to the instrument as internal assigned revenue under paragraph 6;</w:t>
      </w:r>
    </w:p>
    <w:p w:rsidR="0073489B" w:rsidRDefault="00A46D11">
      <w:pPr>
        <w:rPr>
          <w:noProof/>
        </w:rPr>
      </w:pPr>
      <w:r>
        <w:rPr>
          <w:noProof/>
        </w:rPr>
        <w:t>Not yet applicable</w:t>
      </w:r>
    </w:p>
    <w:p w:rsidR="0073489B" w:rsidRDefault="00A46D11">
      <w:pPr>
        <w:pStyle w:val="Heading5"/>
        <w:spacing w:before="120"/>
        <w:ind w:left="284" w:firstLine="0"/>
        <w:rPr>
          <w:noProof/>
        </w:rPr>
      </w:pPr>
      <w:r>
        <w:rPr>
          <w:noProof/>
        </w:rPr>
        <w:t xml:space="preserve">The </w:t>
      </w:r>
      <w:r>
        <w:rPr>
          <w:noProof/>
        </w:rPr>
        <w:t>balance of the fiduciary account;</w:t>
      </w:r>
    </w:p>
    <w:p w:rsidR="0073489B" w:rsidRDefault="00A46D11">
      <w:pPr>
        <w:keepNext/>
        <w:spacing w:after="160"/>
        <w:ind w:left="360" w:right="142"/>
        <w:rPr>
          <w:noProof/>
          <w:color w:val="FF00FF"/>
          <w:highlight w:val="yellow"/>
        </w:rPr>
      </w:pPr>
      <w:r>
        <w:rPr>
          <w:noProof/>
        </w:rPr>
        <w:t>Aggregate balance of the fiduciary account as at 31/12/2016</w:t>
      </w:r>
      <w:r>
        <w:rPr>
          <w:noProof/>
        </w:rPr>
        <w:tab/>
        <w:t>EUR 10 780 407</w:t>
      </w:r>
    </w:p>
    <w:p w:rsidR="0073489B" w:rsidRDefault="0073489B">
      <w:pPr>
        <w:rPr>
          <w:noProof/>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224"/>
      </w:tblGrid>
      <w:tr w:rsidR="0073489B">
        <w:trPr>
          <w:trHeight w:val="352"/>
          <w:jc w:val="center"/>
        </w:trPr>
        <w:tc>
          <w:tcPr>
            <w:tcW w:w="9200" w:type="dxa"/>
            <w:gridSpan w:val="2"/>
            <w:shd w:val="clear" w:color="auto" w:fill="DAEEF3"/>
          </w:tcPr>
          <w:p w:rsidR="0073489B" w:rsidRDefault="00A46D11">
            <w:pPr>
              <w:pStyle w:val="ListParagraph"/>
              <w:spacing w:before="60" w:after="60"/>
              <w:ind w:left="0" w:right="141"/>
              <w:jc w:val="center"/>
              <w:rPr>
                <w:b/>
                <w:bCs/>
                <w:i/>
                <w:noProof/>
                <w:szCs w:val="24"/>
              </w:rPr>
            </w:pPr>
            <w:r>
              <w:rPr>
                <w:b/>
                <w:bCs/>
                <w:i/>
                <w:noProof/>
                <w:szCs w:val="24"/>
              </w:rPr>
              <w:t xml:space="preserve">                                                                                              In EUR</w:t>
            </w:r>
          </w:p>
        </w:tc>
      </w:tr>
      <w:tr w:rsidR="0073489B">
        <w:trPr>
          <w:trHeight w:val="339"/>
          <w:jc w:val="center"/>
        </w:trPr>
        <w:tc>
          <w:tcPr>
            <w:tcW w:w="5976" w:type="dxa"/>
            <w:shd w:val="clear" w:color="auto" w:fill="auto"/>
            <w:vAlign w:val="center"/>
          </w:tcPr>
          <w:p w:rsidR="0073489B" w:rsidRDefault="00A46D11">
            <w:pPr>
              <w:pStyle w:val="ListParagraph"/>
              <w:spacing w:before="60" w:after="60"/>
              <w:ind w:left="0" w:right="141"/>
              <w:rPr>
                <w:b/>
                <w:bCs/>
                <w:noProof/>
                <w:szCs w:val="24"/>
                <w:u w:val="single"/>
              </w:rPr>
            </w:pPr>
            <w:r>
              <w:rPr>
                <w:b/>
                <w:bCs/>
                <w:noProof/>
                <w:szCs w:val="24"/>
              </w:rPr>
              <w:t xml:space="preserve">Balance on the fiduciary account (current </w:t>
            </w:r>
            <w:r>
              <w:rPr>
                <w:b/>
                <w:bCs/>
                <w:noProof/>
                <w:szCs w:val="24"/>
              </w:rPr>
              <w:t>account)</w:t>
            </w:r>
          </w:p>
        </w:tc>
        <w:tc>
          <w:tcPr>
            <w:tcW w:w="3224"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10 780 407</w:t>
            </w:r>
          </w:p>
        </w:tc>
      </w:tr>
      <w:tr w:rsidR="0073489B">
        <w:trPr>
          <w:trHeight w:val="411"/>
          <w:jc w:val="center"/>
        </w:trPr>
        <w:tc>
          <w:tcPr>
            <w:tcW w:w="5976" w:type="dxa"/>
            <w:shd w:val="clear" w:color="auto" w:fill="auto"/>
            <w:vAlign w:val="center"/>
          </w:tcPr>
          <w:p w:rsidR="0073489B" w:rsidRDefault="00A46D11">
            <w:pPr>
              <w:pStyle w:val="ListParagraph"/>
              <w:spacing w:before="60" w:after="60"/>
              <w:ind w:left="0" w:right="141"/>
              <w:rPr>
                <w:b/>
                <w:bCs/>
                <w:noProof/>
                <w:szCs w:val="24"/>
              </w:rPr>
            </w:pPr>
            <w:r>
              <w:rPr>
                <w:b/>
                <w:bCs/>
                <w:noProof/>
                <w:szCs w:val="24"/>
              </w:rPr>
              <w:t>Term deposits/Bonds (if applicable)</w:t>
            </w:r>
          </w:p>
        </w:tc>
        <w:tc>
          <w:tcPr>
            <w:tcW w:w="322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&lt; 3 months</w:t>
            </w:r>
          </w:p>
        </w:tc>
        <w:tc>
          <w:tcPr>
            <w:tcW w:w="3224" w:type="dxa"/>
            <w:shd w:val="clear" w:color="auto" w:fill="auto"/>
            <w:vAlign w:val="center"/>
          </w:tcPr>
          <w:p w:rsidR="0073489B" w:rsidRDefault="0073489B">
            <w:pPr>
              <w:pStyle w:val="ListParagraph"/>
              <w:spacing w:before="60" w:after="60"/>
              <w:ind w:left="0" w:right="141"/>
              <w:jc w:val="center"/>
              <w:rPr>
                <w:bCs/>
                <w:i/>
                <w:noProof/>
                <w:szCs w:val="24"/>
              </w:rPr>
            </w:pPr>
          </w:p>
        </w:tc>
      </w:tr>
      <w:tr w:rsidR="0073489B">
        <w:trPr>
          <w:trHeight w:val="403"/>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&gt; 3 months &lt; 1 year</w:t>
            </w:r>
          </w:p>
        </w:tc>
        <w:tc>
          <w:tcPr>
            <w:tcW w:w="322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382" w:right="141"/>
              <w:rPr>
                <w:bCs/>
                <w:noProof/>
                <w:szCs w:val="24"/>
              </w:rPr>
            </w:pPr>
            <w:r>
              <w:rPr>
                <w:bCs/>
                <w:noProof/>
                <w:szCs w:val="24"/>
              </w:rPr>
              <w:t>Term deposits &gt; 1 year</w:t>
            </w:r>
          </w:p>
        </w:tc>
        <w:tc>
          <w:tcPr>
            <w:tcW w:w="322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03"/>
          <w:jc w:val="center"/>
        </w:trPr>
        <w:tc>
          <w:tcPr>
            <w:tcW w:w="5976" w:type="dxa"/>
            <w:shd w:val="clear" w:color="auto" w:fill="auto"/>
            <w:vAlign w:val="center"/>
          </w:tcPr>
          <w:p w:rsidR="0073489B" w:rsidRDefault="00A46D11">
            <w:pPr>
              <w:pStyle w:val="ListParagraph"/>
              <w:spacing w:before="60" w:after="60"/>
              <w:ind w:left="807" w:right="141"/>
              <w:rPr>
                <w:bCs/>
                <w:noProof/>
                <w:szCs w:val="24"/>
              </w:rPr>
            </w:pPr>
            <w:r>
              <w:rPr>
                <w:bCs/>
                <w:noProof/>
                <w:szCs w:val="24"/>
              </w:rPr>
              <w:t>Bonds current</w:t>
            </w:r>
          </w:p>
        </w:tc>
        <w:tc>
          <w:tcPr>
            <w:tcW w:w="3224" w:type="dxa"/>
            <w:shd w:val="clear" w:color="auto" w:fill="auto"/>
            <w:vAlign w:val="center"/>
          </w:tcPr>
          <w:p w:rsidR="0073489B" w:rsidRDefault="0073489B">
            <w:pPr>
              <w:pStyle w:val="ListParagraph"/>
              <w:spacing w:before="60" w:after="60"/>
              <w:ind w:left="0" w:right="141"/>
              <w:jc w:val="center"/>
              <w:rPr>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807" w:right="141"/>
              <w:rPr>
                <w:bCs/>
                <w:noProof/>
                <w:szCs w:val="24"/>
              </w:rPr>
            </w:pPr>
            <w:r>
              <w:rPr>
                <w:bCs/>
                <w:noProof/>
                <w:szCs w:val="24"/>
              </w:rPr>
              <w:t>Bonds non-current</w:t>
            </w:r>
          </w:p>
        </w:tc>
        <w:tc>
          <w:tcPr>
            <w:tcW w:w="322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11"/>
          <w:jc w:val="center"/>
        </w:trPr>
        <w:tc>
          <w:tcPr>
            <w:tcW w:w="5976" w:type="dxa"/>
            <w:shd w:val="clear" w:color="auto" w:fill="auto"/>
            <w:vAlign w:val="center"/>
          </w:tcPr>
          <w:p w:rsidR="0073489B" w:rsidRDefault="00A46D11">
            <w:pPr>
              <w:pStyle w:val="ListParagraph"/>
              <w:spacing w:before="60" w:after="60"/>
              <w:ind w:left="0" w:right="141"/>
              <w:rPr>
                <w:b/>
                <w:bCs/>
                <w:noProof/>
                <w:szCs w:val="24"/>
              </w:rPr>
            </w:pPr>
            <w:r>
              <w:rPr>
                <w:b/>
                <w:bCs/>
                <w:noProof/>
                <w:szCs w:val="24"/>
              </w:rPr>
              <w:t>Equity investment (see also point i)</w:t>
            </w:r>
          </w:p>
        </w:tc>
        <w:tc>
          <w:tcPr>
            <w:tcW w:w="322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03"/>
          <w:jc w:val="center"/>
        </w:trPr>
        <w:tc>
          <w:tcPr>
            <w:tcW w:w="5976" w:type="dxa"/>
            <w:shd w:val="clear" w:color="auto" w:fill="auto"/>
            <w:vAlign w:val="center"/>
          </w:tcPr>
          <w:p w:rsidR="0073489B" w:rsidRDefault="00A46D11">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224" w:type="dxa"/>
            <w:shd w:val="clear" w:color="auto" w:fill="auto"/>
            <w:vAlign w:val="center"/>
          </w:tcPr>
          <w:p w:rsidR="0073489B" w:rsidRDefault="0073489B">
            <w:pPr>
              <w:pStyle w:val="ListParagraph"/>
              <w:spacing w:before="60" w:after="60"/>
              <w:ind w:left="0" w:right="141"/>
              <w:jc w:val="center"/>
              <w:rPr>
                <w:b/>
                <w:bCs/>
                <w:noProof/>
                <w:szCs w:val="24"/>
              </w:rPr>
            </w:pPr>
          </w:p>
        </w:tc>
      </w:tr>
      <w:tr w:rsidR="0073489B">
        <w:trPr>
          <w:trHeight w:val="411"/>
          <w:jc w:val="center"/>
        </w:trPr>
        <w:tc>
          <w:tcPr>
            <w:tcW w:w="5976" w:type="dxa"/>
            <w:shd w:val="clear" w:color="auto" w:fill="auto"/>
            <w:vAlign w:val="center"/>
          </w:tcPr>
          <w:p w:rsidR="0073489B" w:rsidRDefault="00A46D11">
            <w:pPr>
              <w:spacing w:before="60" w:after="60"/>
              <w:ind w:right="141"/>
              <w:rPr>
                <w:b/>
                <w:bCs/>
                <w:noProof/>
                <w:szCs w:val="24"/>
              </w:rPr>
            </w:pPr>
            <w:r>
              <w:rPr>
                <w:b/>
                <w:bCs/>
                <w:i/>
                <w:iCs/>
                <w:noProof/>
                <w:szCs w:val="24"/>
              </w:rPr>
              <w:t xml:space="preserve">= </w:t>
            </w:r>
            <w:r>
              <w:rPr>
                <w:b/>
                <w:bCs/>
                <w:i/>
                <w:iCs/>
                <w:noProof/>
                <w:szCs w:val="24"/>
              </w:rPr>
              <w:t>Total assets</w:t>
            </w:r>
          </w:p>
        </w:tc>
        <w:tc>
          <w:tcPr>
            <w:tcW w:w="3224" w:type="dxa"/>
            <w:shd w:val="clear" w:color="auto" w:fill="auto"/>
            <w:vAlign w:val="center"/>
          </w:tcPr>
          <w:p w:rsidR="0073489B" w:rsidRDefault="00A46D11">
            <w:pPr>
              <w:pStyle w:val="ListParagraph"/>
              <w:spacing w:before="60" w:after="60"/>
              <w:ind w:left="0" w:right="141"/>
              <w:jc w:val="center"/>
              <w:rPr>
                <w:b/>
                <w:bCs/>
                <w:noProof/>
                <w:szCs w:val="24"/>
              </w:rPr>
            </w:pPr>
            <w:r>
              <w:rPr>
                <w:b/>
                <w:bCs/>
                <w:noProof/>
                <w:szCs w:val="24"/>
              </w:rPr>
              <w:t>10 780 407</w:t>
            </w:r>
          </w:p>
        </w:tc>
      </w:tr>
    </w:tbl>
    <w:p w:rsidR="0073489B" w:rsidRDefault="00A46D11">
      <w:pPr>
        <w:jc w:val="both"/>
        <w:rPr>
          <w:i/>
          <w:noProof/>
        </w:rPr>
      </w:pPr>
      <w:r>
        <w:rPr>
          <w:i/>
          <w:noProof/>
        </w:rPr>
        <w:t xml:space="preserve">Impact of negative interest rates: </w:t>
      </w:r>
    </w:p>
    <w:p w:rsidR="0073489B" w:rsidRDefault="00A46D11">
      <w:pPr>
        <w:jc w:val="both"/>
        <w:rPr>
          <w:i/>
          <w:noProof/>
        </w:rPr>
      </w:pPr>
      <w:r>
        <w:rPr>
          <w:i/>
          <w:noProof/>
        </w:rPr>
        <w:t xml:space="preserve">No impact as at 31/12/2016 due to the fact that the amended EaSI Delegation Agreement introducing the set up and the implementation procedures of EaSI Capacity Building was signed between the EC </w:t>
      </w:r>
      <w:r>
        <w:rPr>
          <w:i/>
          <w:noProof/>
        </w:rPr>
        <w:t>and the EIF on 19/12/2016 and the relevant payment was made on 22/12/2016.</w:t>
      </w:r>
    </w:p>
    <w:p w:rsidR="0073489B" w:rsidRDefault="0073489B">
      <w:pPr>
        <w:jc w:val="both"/>
        <w:rPr>
          <w:i/>
          <w:noProof/>
        </w:rPr>
      </w:pPr>
    </w:p>
    <w:p w:rsidR="0073489B" w:rsidRDefault="00A46D11">
      <w:pPr>
        <w:pStyle w:val="Heading5"/>
        <w:spacing w:before="120"/>
        <w:ind w:left="284" w:firstLine="0"/>
        <w:rPr>
          <w:noProof/>
        </w:rPr>
      </w:pPr>
      <w:r>
        <w:rPr>
          <w:noProof/>
        </w:rPr>
        <w:t xml:space="preserve">Revenues and repayments; </w:t>
      </w:r>
    </w:p>
    <w:p w:rsidR="0073489B" w:rsidRDefault="00A46D11">
      <w:pPr>
        <w:rPr>
          <w:b/>
          <w:noProof/>
        </w:rPr>
      </w:pPr>
      <w:r>
        <w:rPr>
          <w:noProof/>
        </w:rPr>
        <w:t>Not yet applicable</w:t>
      </w:r>
    </w:p>
    <w:p w:rsidR="0073489B" w:rsidRDefault="00A46D11">
      <w:pPr>
        <w:pStyle w:val="Heading5"/>
        <w:spacing w:before="120"/>
        <w:ind w:left="284" w:firstLine="0"/>
        <w:rPr>
          <w:noProof/>
        </w:rPr>
      </w:pPr>
      <w:r>
        <w:rPr>
          <w:noProof/>
        </w:rPr>
        <w:t>The value of equity investments, with respect to previous years;</w:t>
      </w:r>
    </w:p>
    <w:p w:rsidR="0073489B" w:rsidRDefault="00A46D11">
      <w:pPr>
        <w:rPr>
          <w:noProof/>
        </w:rPr>
      </w:pPr>
      <w:r>
        <w:rPr>
          <w:noProof/>
        </w:rPr>
        <w:t>Not yet applicable</w:t>
      </w:r>
    </w:p>
    <w:p w:rsidR="0073489B" w:rsidRDefault="00A46D11">
      <w:pPr>
        <w:pStyle w:val="Heading5"/>
        <w:spacing w:before="120"/>
        <w:ind w:left="284" w:firstLine="0"/>
        <w:rPr>
          <w:noProof/>
        </w:rPr>
      </w:pPr>
      <w:r>
        <w:rPr>
          <w:noProof/>
        </w:rPr>
        <w:t>The accumulated figures on impairments of assets of</w:t>
      </w:r>
      <w:r>
        <w:rPr>
          <w:noProof/>
        </w:rPr>
        <w:t xml:space="preserve"> equity;</w:t>
      </w:r>
    </w:p>
    <w:p w:rsidR="0073489B" w:rsidRDefault="00A46D11">
      <w:pPr>
        <w:rPr>
          <w:noProof/>
        </w:rPr>
      </w:pPr>
      <w:r>
        <w:rPr>
          <w:noProof/>
        </w:rPr>
        <w:t>Not yet applicable</w:t>
      </w:r>
    </w:p>
    <w:p w:rsidR="0073489B" w:rsidRDefault="00A46D11">
      <w:pPr>
        <w:pStyle w:val="Heading5"/>
        <w:spacing w:before="120"/>
        <w:ind w:left="284" w:firstLine="0"/>
        <w:rPr>
          <w:noProof/>
        </w:rPr>
      </w:pPr>
      <w:r>
        <w:rPr>
          <w:noProof/>
        </w:rPr>
        <w:lastRenderedPageBreak/>
        <w:t>The target leverage effect, and the achieved leverage effect;</w:t>
      </w:r>
    </w:p>
    <w:p w:rsidR="0073489B" w:rsidRDefault="00A46D11">
      <w:pPr>
        <w:keepNext/>
        <w:spacing w:before="30" w:after="30"/>
        <w:jc w:val="both"/>
        <w:rPr>
          <w:rFonts w:eastAsiaTheme="minorEastAsia"/>
          <w:noProof/>
          <w:szCs w:val="24"/>
          <w:lang w:eastAsia="en-GB"/>
        </w:rPr>
      </w:pPr>
      <w:r>
        <w:rPr>
          <w:rFonts w:eastAsiaTheme="minorEastAsia"/>
          <w:noProof/>
          <w:szCs w:val="24"/>
          <w:lang w:eastAsia="en-GB"/>
        </w:rPr>
        <w:t>The target minimum leverage effect set is 2 over the lifetime of the financial instrument.</w:t>
      </w:r>
    </w:p>
    <w:p w:rsidR="0073489B" w:rsidRDefault="00A46D11">
      <w:pPr>
        <w:spacing w:before="30" w:after="30"/>
        <w:jc w:val="both"/>
        <w:rPr>
          <w:rFonts w:eastAsiaTheme="minorEastAsia"/>
          <w:noProof/>
          <w:szCs w:val="24"/>
          <w:lang w:eastAsia="en-GB"/>
        </w:rPr>
      </w:pPr>
      <w:r>
        <w:rPr>
          <w:rFonts w:eastAsiaTheme="minorEastAsia"/>
          <w:noProof/>
          <w:szCs w:val="24"/>
          <w:lang w:eastAsia="en-GB"/>
        </w:rPr>
        <w:t>Based on the target leverage of the instrument, it is estimated that the to</w:t>
      </w:r>
      <w:r>
        <w:rPr>
          <w:rFonts w:eastAsiaTheme="minorEastAsia"/>
          <w:noProof/>
          <w:szCs w:val="24"/>
          <w:lang w:eastAsia="en-GB"/>
        </w:rPr>
        <w:t>tal budget envelope of 16 million will generate around EUR 32 million investments made to Financial Intermediaries and Sub-Intermediaries for the purpose of capacity building.</w:t>
      </w:r>
    </w:p>
    <w:p w:rsidR="0073489B" w:rsidRDefault="0073489B">
      <w:pPr>
        <w:spacing w:after="60"/>
        <w:ind w:right="141"/>
        <w:jc w:val="both"/>
        <w:rPr>
          <w:noProof/>
          <w:szCs w:val="24"/>
        </w:rPr>
      </w:pPr>
    </w:p>
    <w:p w:rsidR="0073489B" w:rsidRDefault="00A46D11">
      <w:pPr>
        <w:pStyle w:val="Heading4"/>
        <w:ind w:left="426" w:hanging="426"/>
        <w:rPr>
          <w:noProof/>
        </w:rPr>
      </w:pPr>
      <w:r>
        <w:rPr>
          <w:noProof/>
        </w:rPr>
        <w:t>Strategic importance/relevance</w:t>
      </w:r>
    </w:p>
    <w:p w:rsidR="0073489B" w:rsidRDefault="00A46D11">
      <w:pPr>
        <w:pStyle w:val="Heading5"/>
        <w:spacing w:before="120"/>
        <w:ind w:left="284" w:firstLine="0"/>
        <w:jc w:val="both"/>
        <w:rPr>
          <w:i/>
          <w:noProof/>
        </w:rPr>
      </w:pPr>
      <w:r>
        <w:rPr>
          <w:noProof/>
        </w:rPr>
        <w:t xml:space="preserve">The contribution of the financial instrument to </w:t>
      </w:r>
      <w:r>
        <w:rPr>
          <w:noProof/>
        </w:rPr>
        <w:t>the achievement of the objectives of the programme concerned as measured by the established indicators, including, where applicable, the geographical diversification;</w:t>
      </w:r>
    </w:p>
    <w:p w:rsidR="0073489B" w:rsidRDefault="00A46D11">
      <w:pPr>
        <w:spacing w:after="60"/>
        <w:ind w:firstLine="3"/>
        <w:jc w:val="both"/>
        <w:rPr>
          <w:noProof/>
          <w:szCs w:val="24"/>
        </w:rPr>
      </w:pPr>
      <w:r>
        <w:rPr>
          <w:noProof/>
          <w:szCs w:val="24"/>
        </w:rPr>
        <w:t>The amended EaSI Delegation Agreement introducing the set up and the implementation proce</w:t>
      </w:r>
      <w:r>
        <w:rPr>
          <w:noProof/>
          <w:szCs w:val="24"/>
        </w:rPr>
        <w:t>dures of EaSI Capacity Building was signed between the EC and the EIF on 19/12/2016, therefore, no operations have been inititated within 2016.</w:t>
      </w:r>
    </w:p>
    <w:p w:rsidR="0073489B" w:rsidRDefault="00A46D11">
      <w:pPr>
        <w:pStyle w:val="Heading4"/>
        <w:ind w:left="426" w:hanging="426"/>
        <w:rPr>
          <w:noProof/>
        </w:rPr>
      </w:pPr>
      <w:r>
        <w:rPr>
          <w:noProof/>
        </w:rPr>
        <w:t>Other key points and issues</w:t>
      </w:r>
    </w:p>
    <w:p w:rsidR="0073489B" w:rsidRDefault="0073489B">
      <w:pPr>
        <w:rPr>
          <w:noProof/>
        </w:rPr>
      </w:pPr>
    </w:p>
    <w:p w:rsidR="0073489B" w:rsidRDefault="00A46D11">
      <w:pPr>
        <w:pStyle w:val="ListParagraph"/>
        <w:numPr>
          <w:ilvl w:val="0"/>
          <w:numId w:val="108"/>
        </w:numPr>
        <w:tabs>
          <w:tab w:val="left" w:pos="142"/>
        </w:tabs>
        <w:spacing w:after="60"/>
        <w:ind w:left="142" w:hanging="142"/>
        <w:rPr>
          <w:b/>
          <w:noProof/>
          <w:szCs w:val="24"/>
        </w:rPr>
      </w:pPr>
      <w:r>
        <w:rPr>
          <w:b/>
          <w:noProof/>
          <w:szCs w:val="24"/>
        </w:rPr>
        <w:t>Main issues:</w:t>
      </w:r>
    </w:p>
    <w:p w:rsidR="0073489B" w:rsidRDefault="00A46D11">
      <w:pPr>
        <w:numPr>
          <w:ilvl w:val="0"/>
          <w:numId w:val="108"/>
        </w:numPr>
        <w:jc w:val="both"/>
        <w:rPr>
          <w:noProof/>
          <w:szCs w:val="24"/>
        </w:rPr>
      </w:pPr>
      <w:r>
        <w:rPr>
          <w:noProof/>
          <w:szCs w:val="24"/>
        </w:rPr>
        <w:t>EaSI Capacity Building investments are needed to help improve the availability of equity and building up the institutional capacity of financial intermediaries that have not yet reached sustainability (i.e. break-even, operational capacity, etc.), includin</w:t>
      </w:r>
      <w:r>
        <w:rPr>
          <w:noProof/>
          <w:szCs w:val="24"/>
        </w:rPr>
        <w:t xml:space="preserve">g greenfield financial intermediaries, or financial intermediaries that are in need of risk capital to expand further their operations, both in the microfinance and in the social entrepreneurship space. </w:t>
      </w:r>
    </w:p>
    <w:p w:rsidR="0073489B" w:rsidRDefault="00A46D11">
      <w:pPr>
        <w:numPr>
          <w:ilvl w:val="0"/>
          <w:numId w:val="108"/>
        </w:numPr>
        <w:jc w:val="both"/>
        <w:rPr>
          <w:noProof/>
          <w:szCs w:val="24"/>
        </w:rPr>
      </w:pPr>
      <w:r>
        <w:rPr>
          <w:noProof/>
          <w:szCs w:val="24"/>
        </w:rPr>
        <w:t>EaSI Capacity Building Investments will be implement</w:t>
      </w:r>
      <w:r>
        <w:rPr>
          <w:noProof/>
          <w:szCs w:val="24"/>
        </w:rPr>
        <w:t>ed through direct and indirect equity investments in financial intermediaries and loans with an “equity-like” risk profile in term of subordination or maturity profile to financial intermediaries that are not allowed to receive equity investments by law or</w:t>
      </w:r>
      <w:r>
        <w:rPr>
          <w:noProof/>
          <w:szCs w:val="24"/>
        </w:rPr>
        <w:t xml:space="preserve"> due to regulatory restrictions.</w:t>
      </w:r>
    </w:p>
    <w:p w:rsidR="0073489B" w:rsidRDefault="00A46D11">
      <w:pPr>
        <w:pStyle w:val="ListParagraph"/>
        <w:numPr>
          <w:ilvl w:val="0"/>
          <w:numId w:val="108"/>
        </w:numPr>
        <w:tabs>
          <w:tab w:val="left" w:pos="142"/>
        </w:tabs>
        <w:spacing w:after="80"/>
        <w:ind w:left="142" w:hanging="142"/>
        <w:rPr>
          <w:b/>
          <w:noProof/>
          <w:szCs w:val="24"/>
        </w:rPr>
      </w:pPr>
      <w:r>
        <w:rPr>
          <w:b/>
          <w:noProof/>
          <w:szCs w:val="24"/>
        </w:rPr>
        <w:t xml:space="preserve">Main risks: </w:t>
      </w:r>
    </w:p>
    <w:p w:rsidR="0073489B" w:rsidRDefault="00A46D11">
      <w:pPr>
        <w:pStyle w:val="ListParagraph"/>
        <w:numPr>
          <w:ilvl w:val="0"/>
          <w:numId w:val="108"/>
        </w:numPr>
        <w:tabs>
          <w:tab w:val="left" w:pos="142"/>
        </w:tabs>
        <w:spacing w:after="80"/>
        <w:ind w:left="142" w:hanging="142"/>
        <w:rPr>
          <w:b/>
          <w:noProof/>
          <w:szCs w:val="24"/>
        </w:rPr>
      </w:pPr>
      <w:r>
        <w:rPr>
          <w:noProof/>
          <w:szCs w:val="24"/>
        </w:rPr>
        <w:t>No specific risks identified at this stage of implementation.</w:t>
      </w:r>
    </w:p>
    <w:p w:rsidR="0073489B" w:rsidRDefault="00A46D11">
      <w:pPr>
        <w:pStyle w:val="ListParagraph"/>
        <w:numPr>
          <w:ilvl w:val="0"/>
          <w:numId w:val="108"/>
        </w:numPr>
        <w:tabs>
          <w:tab w:val="left" w:pos="142"/>
        </w:tabs>
        <w:spacing w:after="80"/>
        <w:ind w:left="142" w:hanging="142"/>
        <w:rPr>
          <w:b/>
          <w:noProof/>
          <w:szCs w:val="24"/>
        </w:rPr>
      </w:pPr>
      <w:r>
        <w:rPr>
          <w:b/>
          <w:noProof/>
          <w:szCs w:val="24"/>
        </w:rPr>
        <w:t>General outlook:</w:t>
      </w:r>
    </w:p>
    <w:p w:rsidR="0073489B" w:rsidRDefault="00A46D11">
      <w:pPr>
        <w:pStyle w:val="ListParagraph"/>
        <w:numPr>
          <w:ilvl w:val="0"/>
          <w:numId w:val="108"/>
        </w:numPr>
        <w:spacing w:before="120" w:after="120"/>
        <w:jc w:val="both"/>
        <w:rPr>
          <w:noProof/>
        </w:rPr>
      </w:pPr>
      <w:r>
        <w:rPr>
          <w:noProof/>
        </w:rPr>
        <w:t xml:space="preserve">The implementation of the EaSI Capacity Building </w:t>
      </w:r>
      <w:r>
        <w:rPr>
          <w:noProof/>
          <w:szCs w:val="24"/>
        </w:rPr>
        <w:t xml:space="preserve">has </w:t>
      </w:r>
      <w:r>
        <w:rPr>
          <w:noProof/>
        </w:rPr>
        <w:t>started at the end of 2016, following the signature of the amendment of the De</w:t>
      </w:r>
      <w:r>
        <w:rPr>
          <w:noProof/>
        </w:rPr>
        <w:t xml:space="preserve">legation Agreement of the EaSI Guarantee financial instruments between the EC and the EIF on 19/12/2016. Indicative target results are 8-10 capacity building investments made to Financial Intermediaries and Sub-Intermediaries. The target has been based on </w:t>
      </w:r>
      <w:r>
        <w:rPr>
          <w:noProof/>
        </w:rPr>
        <w:t xml:space="preserve">relevant past experience and market testing.  </w:t>
      </w:r>
    </w:p>
    <w:p w:rsidR="0073489B" w:rsidRDefault="0073489B">
      <w:pPr>
        <w:pStyle w:val="ListParagraph"/>
        <w:tabs>
          <w:tab w:val="left" w:pos="142"/>
        </w:tabs>
        <w:spacing w:after="80"/>
        <w:ind w:left="142"/>
        <w:rPr>
          <w:b/>
          <w:noProof/>
          <w:szCs w:val="24"/>
        </w:rPr>
      </w:pPr>
    </w:p>
    <w:p w:rsidR="0073489B" w:rsidRDefault="0073489B">
      <w:pPr>
        <w:pStyle w:val="ListParagraph"/>
        <w:ind w:left="1083"/>
        <w:jc w:val="both"/>
        <w:rPr>
          <w:noProof/>
        </w:rPr>
      </w:pPr>
    </w:p>
    <w:p w:rsidR="0073489B" w:rsidRDefault="00A46D11">
      <w:pPr>
        <w:pStyle w:val="Heading2"/>
        <w:spacing w:before="240"/>
        <w:jc w:val="both"/>
        <w:rPr>
          <w:noProof/>
        </w:rPr>
      </w:pPr>
      <w:r>
        <w:rPr>
          <w:b w:val="0"/>
          <w:noProof/>
          <w:lang w:eastAsia="fr-FR"/>
        </w:rPr>
        <w:br w:type="page"/>
      </w:r>
      <w:bookmarkStart w:id="98" w:name="_Toc387228792"/>
      <w:bookmarkStart w:id="99" w:name="_Toc388541878"/>
      <w:bookmarkStart w:id="100" w:name="_Toc393281934"/>
      <w:bookmarkStart w:id="101" w:name="_Toc486436750"/>
      <w:r>
        <w:rPr>
          <w:noProof/>
        </w:rPr>
        <w:lastRenderedPageBreak/>
        <w:t>Guarantee Instruments</w:t>
      </w:r>
      <w:bookmarkEnd w:id="98"/>
      <w:bookmarkEnd w:id="99"/>
      <w:bookmarkEnd w:id="100"/>
      <w:bookmarkEnd w:id="101"/>
    </w:p>
    <w:p w:rsidR="0073489B" w:rsidRDefault="00A46D11">
      <w:pPr>
        <w:pStyle w:val="Heading3"/>
        <w:spacing w:before="240" w:after="120"/>
        <w:ind w:left="553"/>
      </w:pPr>
      <w:bookmarkStart w:id="102" w:name="_The_SME_Guarantee"/>
      <w:bookmarkStart w:id="103" w:name="_Toc387228793"/>
      <w:bookmarkStart w:id="104" w:name="_Toc388541879"/>
      <w:bookmarkStart w:id="105" w:name="_Toc393281935"/>
      <w:bookmarkStart w:id="106" w:name="_Toc486436751"/>
      <w:bookmarkEnd w:id="102"/>
      <w:r>
        <w:t>The SME Guarantee Facility (SMEG07) under the Competitiveness and Innovation Framework Programme (CIP)</w:t>
      </w:r>
      <w:bookmarkEnd w:id="103"/>
      <w:bookmarkEnd w:id="104"/>
      <w:bookmarkEnd w:id="105"/>
      <w:bookmarkEnd w:id="106"/>
    </w:p>
    <w:tbl>
      <w:tblPr>
        <w:tblW w:w="9184"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92"/>
        <w:gridCol w:w="4592"/>
      </w:tblGrid>
      <w:tr w:rsidR="0073489B">
        <w:trPr>
          <w:trHeight w:val="569"/>
        </w:trPr>
        <w:tc>
          <w:tcPr>
            <w:tcW w:w="4592" w:type="dxa"/>
            <w:tcBorders>
              <w:bottom w:val="single" w:sz="4" w:space="0" w:color="auto"/>
            </w:tcBorders>
            <w:shd w:val="clear" w:color="auto" w:fill="auto"/>
            <w:vAlign w:val="center"/>
          </w:tcPr>
          <w:p w:rsidR="0073489B" w:rsidRDefault="00A46D11">
            <w:pPr>
              <w:spacing w:before="60" w:after="60"/>
              <w:ind w:left="34"/>
              <w:rPr>
                <w:b/>
                <w:noProof/>
                <w:szCs w:val="24"/>
                <w:lang w:eastAsia="fr-FR"/>
              </w:rPr>
            </w:pPr>
            <w:bookmarkStart w:id="107" w:name="_Toc387228794"/>
            <w:bookmarkStart w:id="108" w:name="_Toc388541880"/>
            <w:r>
              <w:rPr>
                <w:b/>
                <w:noProof/>
                <w:szCs w:val="24"/>
                <w:lang w:eastAsia="fr-FR"/>
              </w:rPr>
              <w:t>Policy DG in charge:</w:t>
            </w:r>
          </w:p>
        </w:tc>
        <w:tc>
          <w:tcPr>
            <w:tcW w:w="4592" w:type="dxa"/>
            <w:tcBorders>
              <w:bottom w:val="single" w:sz="4" w:space="0" w:color="auto"/>
            </w:tcBorders>
            <w:shd w:val="clear" w:color="auto" w:fill="auto"/>
            <w:vAlign w:val="center"/>
          </w:tcPr>
          <w:p w:rsidR="0073489B" w:rsidRDefault="00A46D11">
            <w:pPr>
              <w:spacing w:before="60" w:after="60"/>
              <w:ind w:left="34"/>
              <w:jc w:val="center"/>
              <w:rPr>
                <w:noProof/>
              </w:rPr>
            </w:pPr>
            <w:r>
              <w:rPr>
                <w:noProof/>
              </w:rPr>
              <w:t>DG GROW, with participation of DG ECFIN for the design of th</w:t>
            </w:r>
            <w:r>
              <w:rPr>
                <w:noProof/>
              </w:rPr>
              <w:t>e instruments</w:t>
            </w:r>
          </w:p>
        </w:tc>
      </w:tr>
      <w:tr w:rsidR="0073489B">
        <w:trPr>
          <w:trHeight w:val="569"/>
        </w:trPr>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rPr>
                <w:b/>
                <w:noProof/>
                <w:szCs w:val="24"/>
                <w:lang w:eastAsia="fr-FR"/>
              </w:rPr>
            </w:pPr>
            <w:r>
              <w:rPr>
                <w:b/>
                <w:noProof/>
                <w:szCs w:val="24"/>
                <w:lang w:eastAsia="fr-FR"/>
              </w:rPr>
              <w:t xml:space="preserve">Implementing DG in charge:  </w:t>
            </w:r>
          </w:p>
        </w:tc>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jc w:val="center"/>
              <w:rPr>
                <w:noProof/>
              </w:rPr>
            </w:pPr>
            <w:r>
              <w:rPr>
                <w:noProof/>
              </w:rPr>
              <w:t>DG ECFIN</w:t>
            </w:r>
          </w:p>
        </w:tc>
      </w:tr>
      <w:tr w:rsidR="0073489B">
        <w:trPr>
          <w:trHeight w:val="569"/>
        </w:trPr>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rPr>
                <w:b/>
                <w:noProof/>
                <w:szCs w:val="24"/>
                <w:lang w:eastAsia="fr-FR"/>
              </w:rPr>
            </w:pPr>
            <w:r>
              <w:rPr>
                <w:b/>
                <w:noProof/>
                <w:szCs w:val="24"/>
                <w:lang w:eastAsia="fr-FR"/>
              </w:rPr>
              <w:t>Implementing Body in charge:</w:t>
            </w:r>
          </w:p>
        </w:tc>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jc w:val="center"/>
              <w:rPr>
                <w:noProof/>
              </w:rPr>
            </w:pPr>
            <w:r>
              <w:rPr>
                <w:noProof/>
              </w:rPr>
              <w:t>EIF</w:t>
            </w:r>
          </w:p>
        </w:tc>
      </w:tr>
      <w:tr w:rsidR="0073489B">
        <w:trPr>
          <w:trHeight w:val="569"/>
        </w:trPr>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rPr>
                <w:b/>
                <w:noProof/>
                <w:szCs w:val="24"/>
                <w:lang w:eastAsia="fr-FR"/>
              </w:rPr>
            </w:pPr>
            <w:r>
              <w:rPr>
                <w:b/>
                <w:noProof/>
                <w:szCs w:val="24"/>
                <w:lang w:eastAsia="fr-FR"/>
              </w:rPr>
              <w:t>Initial Overall (2007-2013) Programme Budget:</w:t>
            </w:r>
          </w:p>
        </w:tc>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jc w:val="center"/>
              <w:rPr>
                <w:noProof/>
                <w:highlight w:val="yellow"/>
              </w:rPr>
            </w:pPr>
            <w:r>
              <w:rPr>
                <w:noProof/>
              </w:rPr>
              <w:t>EUR 506* million</w:t>
            </w:r>
          </w:p>
        </w:tc>
      </w:tr>
      <w:tr w:rsidR="0073489B">
        <w:trPr>
          <w:trHeight w:val="569"/>
        </w:trPr>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rPr>
                <w:b/>
                <w:noProof/>
                <w:szCs w:val="24"/>
                <w:highlight w:val="green"/>
                <w:lang w:eastAsia="fr-FR"/>
              </w:rPr>
            </w:pPr>
            <w:r>
              <w:rPr>
                <w:b/>
                <w:noProof/>
                <w:szCs w:val="24"/>
                <w:lang w:eastAsia="fr-FR"/>
              </w:rPr>
              <w:t>Current Overall (2007-2013) Programme Budget**:</w:t>
            </w:r>
          </w:p>
        </w:tc>
        <w:tc>
          <w:tcPr>
            <w:tcW w:w="4592" w:type="dxa"/>
            <w:tcBorders>
              <w:top w:val="single" w:sz="4" w:space="0" w:color="auto"/>
              <w:bottom w:val="single" w:sz="4" w:space="0" w:color="auto"/>
            </w:tcBorders>
            <w:shd w:val="clear" w:color="auto" w:fill="auto"/>
            <w:vAlign w:val="center"/>
          </w:tcPr>
          <w:p w:rsidR="0073489B" w:rsidRDefault="00A46D11">
            <w:pPr>
              <w:spacing w:before="60" w:after="60"/>
              <w:ind w:left="34"/>
              <w:jc w:val="center"/>
              <w:rPr>
                <w:noProof/>
                <w:highlight w:val="yellow"/>
              </w:rPr>
            </w:pPr>
            <w:r>
              <w:rPr>
                <w:noProof/>
              </w:rPr>
              <w:t>EUR 637,8 million</w:t>
            </w:r>
          </w:p>
        </w:tc>
      </w:tr>
      <w:tr w:rsidR="0073489B">
        <w:trPr>
          <w:trHeight w:val="569"/>
        </w:trPr>
        <w:tc>
          <w:tcPr>
            <w:tcW w:w="4592" w:type="dxa"/>
            <w:tcBorders>
              <w:top w:val="single" w:sz="4" w:space="0" w:color="auto"/>
            </w:tcBorders>
            <w:shd w:val="clear" w:color="auto" w:fill="auto"/>
            <w:vAlign w:val="center"/>
          </w:tcPr>
          <w:p w:rsidR="0073489B" w:rsidRDefault="00A46D11">
            <w:pPr>
              <w:spacing w:before="60" w:after="60"/>
              <w:ind w:left="34"/>
              <w:rPr>
                <w:b/>
                <w:noProof/>
                <w:szCs w:val="24"/>
                <w:lang w:eastAsia="fr-FR"/>
              </w:rPr>
            </w:pPr>
            <w:r>
              <w:rPr>
                <w:b/>
                <w:noProof/>
                <w:szCs w:val="24"/>
                <w:lang w:eastAsia="fr-FR"/>
              </w:rPr>
              <w:t>Executed Budget since beginning until</w:t>
            </w:r>
            <w:r>
              <w:rPr>
                <w:b/>
                <w:noProof/>
                <w:szCs w:val="24"/>
                <w:lang w:eastAsia="fr-FR"/>
              </w:rPr>
              <w:t xml:space="preserve"> 31/12/2016***:</w:t>
            </w:r>
          </w:p>
        </w:tc>
        <w:tc>
          <w:tcPr>
            <w:tcW w:w="4592" w:type="dxa"/>
            <w:tcBorders>
              <w:top w:val="single" w:sz="4" w:space="0" w:color="auto"/>
            </w:tcBorders>
            <w:shd w:val="clear" w:color="auto" w:fill="auto"/>
            <w:vAlign w:val="center"/>
          </w:tcPr>
          <w:p w:rsidR="0073489B" w:rsidRDefault="00A46D11">
            <w:pPr>
              <w:spacing w:before="60" w:after="60"/>
              <w:ind w:left="34"/>
              <w:rPr>
                <w:noProof/>
                <w:lang w:val="fr-BE"/>
              </w:rPr>
            </w:pPr>
            <w:r>
              <w:rPr>
                <w:noProof/>
              </w:rPr>
              <w:t xml:space="preserve">    </w:t>
            </w:r>
            <w:r>
              <w:rPr>
                <w:noProof/>
                <w:lang w:val="fr-BE"/>
              </w:rPr>
              <w:t>Commitments:   EUR 649,9 million****</w:t>
            </w:r>
          </w:p>
          <w:p w:rsidR="0073489B" w:rsidRDefault="00A46D11">
            <w:pPr>
              <w:spacing w:before="60"/>
              <w:ind w:left="34"/>
              <w:jc w:val="both"/>
              <w:rPr>
                <w:noProof/>
                <w:highlight w:val="yellow"/>
                <w:lang w:val="fr-BE"/>
              </w:rPr>
            </w:pPr>
            <w:r>
              <w:rPr>
                <w:noProof/>
                <w:lang w:val="fr-BE"/>
              </w:rPr>
              <w:t xml:space="preserve">    Payments:          EUR 424,7 million****</w:t>
            </w:r>
          </w:p>
        </w:tc>
      </w:tr>
    </w:tbl>
    <w:p w:rsidR="0073489B" w:rsidRDefault="0073489B">
      <w:pPr>
        <w:contextualSpacing/>
        <w:rPr>
          <w:i/>
          <w:noProof/>
          <w:sz w:val="20"/>
          <w:lang w:val="fr-BE"/>
        </w:rPr>
      </w:pPr>
    </w:p>
    <w:p w:rsidR="0073489B" w:rsidRDefault="00A46D11">
      <w:pPr>
        <w:contextualSpacing/>
        <w:rPr>
          <w:i/>
          <w:noProof/>
          <w:sz w:val="20"/>
        </w:rPr>
      </w:pPr>
      <w:r>
        <w:rPr>
          <w:i/>
          <w:noProof/>
          <w:sz w:val="20"/>
        </w:rPr>
        <w:t>*Initial voted commitments (SMEG07  506 million EUR).</w:t>
      </w:r>
    </w:p>
    <w:p w:rsidR="0073489B" w:rsidRDefault="00A46D11">
      <w:pPr>
        <w:contextualSpacing/>
        <w:rPr>
          <w:i/>
          <w:noProof/>
          <w:sz w:val="20"/>
        </w:rPr>
      </w:pPr>
      <w:r>
        <w:rPr>
          <w:i/>
          <w:noProof/>
          <w:sz w:val="20"/>
        </w:rPr>
        <w:t>**Including increase in budget commitments from 2008 to 2013.</w:t>
      </w:r>
    </w:p>
    <w:p w:rsidR="0073489B" w:rsidRDefault="00A46D11">
      <w:pPr>
        <w:contextualSpacing/>
        <w:jc w:val="both"/>
        <w:rPr>
          <w:i/>
          <w:noProof/>
          <w:sz w:val="20"/>
        </w:rPr>
      </w:pPr>
      <w:r>
        <w:rPr>
          <w:i/>
          <w:noProof/>
          <w:sz w:val="20"/>
        </w:rPr>
        <w:t xml:space="preserve">***Including EFTA contributions and </w:t>
      </w:r>
      <w:r>
        <w:rPr>
          <w:i/>
          <w:noProof/>
          <w:sz w:val="20"/>
        </w:rPr>
        <w:t>third countries contribution paid by Participating Countries as well as regularised interest.</w:t>
      </w:r>
    </w:p>
    <w:p w:rsidR="0073489B" w:rsidRDefault="00A46D11">
      <w:pPr>
        <w:spacing w:after="240"/>
        <w:contextualSpacing/>
        <w:jc w:val="both"/>
        <w:rPr>
          <w:i/>
          <w:noProof/>
          <w:sz w:val="20"/>
        </w:rPr>
      </w:pPr>
      <w:r>
        <w:rPr>
          <w:i/>
          <w:noProof/>
          <w:sz w:val="20"/>
        </w:rPr>
        <w:t xml:space="preserve">****Including EFTA contributions and third countries contribution paid by Participating Countries as well as regularised interest generated on the trust accounts </w:t>
      </w:r>
      <w:r>
        <w:rPr>
          <w:i/>
          <w:noProof/>
          <w:sz w:val="20"/>
        </w:rPr>
        <w:t>until 31/12/2012. The legal base allowed the possibility of using such additional resources for the purpose of the same instrument only if they were received prior to 31/12/2013.</w:t>
      </w:r>
    </w:p>
    <w:p w:rsidR="0073489B" w:rsidRDefault="0073489B">
      <w:pPr>
        <w:spacing w:after="240"/>
        <w:contextualSpacing/>
        <w:rPr>
          <w:i/>
          <w:noProof/>
          <w:sz w:val="20"/>
        </w:rPr>
      </w:pPr>
    </w:p>
    <w:p w:rsidR="0073489B" w:rsidRDefault="00A46D11">
      <w:pPr>
        <w:pStyle w:val="Heading4"/>
        <w:numPr>
          <w:ilvl w:val="0"/>
          <w:numId w:val="0"/>
        </w:numPr>
        <w:spacing w:before="0"/>
        <w:rPr>
          <w:noProof/>
          <w:lang w:eastAsia="fr-FR"/>
        </w:rPr>
      </w:pPr>
      <w:r>
        <w:rPr>
          <w:noProof/>
        </w:rPr>
        <w:t>A -Summary</w:t>
      </w:r>
      <w:bookmarkEnd w:id="107"/>
      <w:bookmarkEnd w:id="108"/>
    </w:p>
    <w:p w:rsidR="0073489B" w:rsidRDefault="00A46D11">
      <w:pPr>
        <w:spacing w:after="60"/>
        <w:jc w:val="both"/>
        <w:rPr>
          <w:noProof/>
          <w:szCs w:val="24"/>
        </w:rPr>
      </w:pPr>
      <w:r>
        <w:rPr>
          <w:noProof/>
          <w:szCs w:val="24"/>
        </w:rPr>
        <w:t xml:space="preserve">SMEG 07 is part of the </w:t>
      </w:r>
      <w:r>
        <w:rPr>
          <w:b/>
          <w:noProof/>
          <w:szCs w:val="24"/>
        </w:rPr>
        <w:t xml:space="preserve">CIP </w:t>
      </w:r>
      <w:r>
        <w:rPr>
          <w:noProof/>
          <w:szCs w:val="24"/>
        </w:rPr>
        <w:t>market-oriented instruments and has sh</w:t>
      </w:r>
      <w:r>
        <w:rPr>
          <w:noProof/>
          <w:szCs w:val="24"/>
        </w:rPr>
        <w:t xml:space="preserve">own high efficiency and relevance to the current market conditions. Indeed, SMEG07 acts as counter-cyclical measure, ensuring provision of finance to a vulnerable SME segment, which was one of the most hard hit market segments in the wake of the financial </w:t>
      </w:r>
      <w:r>
        <w:rPr>
          <w:noProof/>
          <w:szCs w:val="24"/>
        </w:rPr>
        <w:t xml:space="preserve">crisis. It is a cost-effective financial instrument which is demonstrated by the high leverage ratio: compared to grants, where 1 EUR of budgetary resources provide 1 EUR of financing, the SMEG is expected to support 40 EUR of finance to SMEs for 1 EUR of </w:t>
      </w:r>
      <w:r>
        <w:rPr>
          <w:noProof/>
          <w:szCs w:val="24"/>
        </w:rPr>
        <w:t>the Union contribution.</w:t>
      </w:r>
    </w:p>
    <w:p w:rsidR="0073489B" w:rsidRDefault="00A46D11">
      <w:pPr>
        <w:spacing w:after="60"/>
        <w:jc w:val="both"/>
        <w:rPr>
          <w:noProof/>
          <w:szCs w:val="24"/>
        </w:rPr>
      </w:pPr>
      <w:r>
        <w:rPr>
          <w:noProof/>
          <w:szCs w:val="24"/>
        </w:rPr>
        <w:t>SMEG07 has a wide geographical coverage: as at 30/12/2016, the instrument involves 52 financial intermediaries, which have been providing finance to SMEs in 23 participating countries (the loans associated with that guaranteed amoun</w:t>
      </w:r>
      <w:r>
        <w:rPr>
          <w:noProof/>
          <w:szCs w:val="24"/>
        </w:rPr>
        <w:t>t account for EUR 21,1 billion).</w:t>
      </w:r>
    </w:p>
    <w:p w:rsidR="0073489B" w:rsidRDefault="00A46D11">
      <w:pPr>
        <w:spacing w:after="60"/>
        <w:jc w:val="both"/>
        <w:rPr>
          <w:noProof/>
          <w:szCs w:val="24"/>
        </w:rPr>
      </w:pPr>
      <w:r>
        <w:rPr>
          <w:noProof/>
          <w:szCs w:val="24"/>
        </w:rPr>
        <w:t>According to the 2011 ECA's Performance Audit, the Facility should be able to reach the number of 315 000 supported SME recipients as foreseen in the ex-ante assessment under CIP. This target has already been trespassed, as</w:t>
      </w:r>
      <w:r>
        <w:rPr>
          <w:noProof/>
          <w:szCs w:val="24"/>
        </w:rPr>
        <w:t xml:space="preserve"> 385 772 SMEs were already supported by the end of December 2016.</w:t>
      </w:r>
    </w:p>
    <w:p w:rsidR="0073489B" w:rsidRDefault="00A46D11">
      <w:pPr>
        <w:pStyle w:val="Heading4"/>
        <w:numPr>
          <w:ilvl w:val="0"/>
          <w:numId w:val="0"/>
        </w:numPr>
        <w:rPr>
          <w:noProof/>
        </w:rPr>
      </w:pPr>
      <w:r>
        <w:rPr>
          <w:noProof/>
        </w:rPr>
        <w:lastRenderedPageBreak/>
        <w:t>B - Description</w:t>
      </w:r>
    </w:p>
    <w:p w:rsidR="0073489B" w:rsidRDefault="00A46D11">
      <w:pPr>
        <w:pStyle w:val="Heading5"/>
        <w:numPr>
          <w:ilvl w:val="0"/>
          <w:numId w:val="21"/>
        </w:numPr>
        <w:spacing w:before="120"/>
        <w:ind w:left="284" w:firstLine="0"/>
        <w:jc w:val="both"/>
        <w:rPr>
          <w:noProof/>
        </w:rPr>
      </w:pPr>
      <w:bookmarkStart w:id="109" w:name="_Toc387228795"/>
      <w:r>
        <w:rPr>
          <w:noProof/>
        </w:rPr>
        <w:t>Identification of the financial instrument and the basic act</w:t>
      </w:r>
      <w:bookmarkEnd w:id="109"/>
      <w:r>
        <w:rPr>
          <w:noProof/>
        </w:rPr>
        <w:t>;</w:t>
      </w:r>
    </w:p>
    <w:p w:rsidR="0073489B" w:rsidRDefault="00A46D11">
      <w:pPr>
        <w:spacing w:after="60"/>
        <w:ind w:right="141"/>
        <w:contextualSpacing/>
        <w:jc w:val="both"/>
        <w:rPr>
          <w:noProof/>
          <w:szCs w:val="24"/>
        </w:rPr>
      </w:pPr>
      <w:r>
        <w:rPr>
          <w:noProof/>
          <w:szCs w:val="24"/>
        </w:rPr>
        <w:t xml:space="preserve">Decision No 1639/2006/EC of the European Parliament and of the Council of 24 October 2006 establishing a </w:t>
      </w:r>
      <w:r>
        <w:rPr>
          <w:noProof/>
          <w:szCs w:val="24"/>
        </w:rPr>
        <w:t>Competitiveness and Innovation Framework Programme (2007 to 2013).</w:t>
      </w:r>
      <w:r>
        <w:rPr>
          <w:rStyle w:val="FootnoteReference"/>
          <w:noProof/>
          <w:szCs w:val="24"/>
        </w:rPr>
        <w:footnoteReference w:id="81"/>
      </w:r>
    </w:p>
    <w:p w:rsidR="0073489B" w:rsidRDefault="00A46D11">
      <w:pPr>
        <w:pStyle w:val="Heading5"/>
        <w:numPr>
          <w:ilvl w:val="0"/>
          <w:numId w:val="73"/>
        </w:numPr>
        <w:spacing w:before="120"/>
        <w:ind w:left="284" w:firstLine="0"/>
        <w:jc w:val="both"/>
        <w:rPr>
          <w:noProof/>
        </w:rPr>
      </w:pPr>
      <w:bookmarkStart w:id="110" w:name="_Toc387228796"/>
      <w:r>
        <w:rPr>
          <w:noProof/>
        </w:rPr>
        <w:t>Description of the financial instrument, implementation arrangements and the added value of the Union contribution</w:t>
      </w:r>
      <w:bookmarkEnd w:id="110"/>
      <w:r>
        <w:rPr>
          <w:noProof/>
        </w:rPr>
        <w:t>;</w:t>
      </w:r>
    </w:p>
    <w:p w:rsidR="0073489B" w:rsidRDefault="00A46D11">
      <w:pPr>
        <w:ind w:left="360"/>
        <w:jc w:val="both"/>
        <w:rPr>
          <w:i/>
          <w:noProof/>
          <w:szCs w:val="24"/>
        </w:rPr>
      </w:pPr>
      <w:r>
        <w:rPr>
          <w:i/>
          <w:noProof/>
          <w:szCs w:val="24"/>
        </w:rPr>
        <w:t>Policy objectives and scope</w:t>
      </w:r>
    </w:p>
    <w:p w:rsidR="0073489B" w:rsidRDefault="00A46D11">
      <w:pPr>
        <w:spacing w:after="60"/>
        <w:ind w:firstLine="3"/>
        <w:jc w:val="both"/>
        <w:rPr>
          <w:noProof/>
          <w:szCs w:val="24"/>
        </w:rPr>
      </w:pPr>
      <w:r>
        <w:rPr>
          <w:noProof/>
          <w:szCs w:val="24"/>
        </w:rPr>
        <w:t xml:space="preserve">SMEG 07 is part of the Entrepreneurship and </w:t>
      </w:r>
      <w:r>
        <w:rPr>
          <w:noProof/>
          <w:szCs w:val="24"/>
        </w:rPr>
        <w:t>Innovation Programme (EIP), one of the three specific programmes under the Competitiveness and Innovation Programme (CIP).</w:t>
      </w:r>
    </w:p>
    <w:p w:rsidR="0073489B" w:rsidRDefault="00A46D11">
      <w:pPr>
        <w:spacing w:after="60"/>
        <w:ind w:firstLine="3"/>
        <w:jc w:val="both"/>
        <w:rPr>
          <w:noProof/>
          <w:szCs w:val="24"/>
        </w:rPr>
      </w:pPr>
      <w:r>
        <w:rPr>
          <w:noProof/>
          <w:szCs w:val="24"/>
        </w:rPr>
        <w:t xml:space="preserve">The overall objective of the financial instruments under the CIP is the improvement of access to finance for the start-up and growth </w:t>
      </w:r>
      <w:r>
        <w:rPr>
          <w:noProof/>
          <w:szCs w:val="24"/>
        </w:rPr>
        <w:t>of SMEs in order to support their investment in innovation activities, including eco-innovation. Under the SME Guarantee Facility, this is  done by providing leverage to SME debt financing with a view to increasing the supply of debt finance to SMEs.</w:t>
      </w:r>
    </w:p>
    <w:p w:rsidR="0073489B" w:rsidRDefault="00A46D11">
      <w:pPr>
        <w:jc w:val="both"/>
        <w:rPr>
          <w:i/>
          <w:noProof/>
          <w:szCs w:val="24"/>
        </w:rPr>
      </w:pPr>
      <w:r>
        <w:rPr>
          <w:i/>
          <w:noProof/>
          <w:szCs w:val="24"/>
        </w:rPr>
        <w:t>Imple</w:t>
      </w:r>
      <w:r>
        <w:rPr>
          <w:i/>
          <w:noProof/>
          <w:szCs w:val="24"/>
        </w:rPr>
        <w:t>mentation arrangements</w:t>
      </w:r>
    </w:p>
    <w:p w:rsidR="0073489B" w:rsidRDefault="00A46D11">
      <w:pPr>
        <w:spacing w:after="60"/>
        <w:jc w:val="both"/>
        <w:rPr>
          <w:noProof/>
          <w:szCs w:val="24"/>
        </w:rPr>
      </w:pPr>
      <w:r>
        <w:rPr>
          <w:noProof/>
          <w:szCs w:val="24"/>
        </w:rPr>
        <w:t>SMEG 07 is operated by the EIF under a Fiduciary and Management Agreement ('FMA', signed on 20/9/2007).</w:t>
      </w:r>
    </w:p>
    <w:p w:rsidR="0073489B" w:rsidRDefault="00A46D11">
      <w:pPr>
        <w:autoSpaceDE w:val="0"/>
        <w:autoSpaceDN w:val="0"/>
        <w:adjustRightInd w:val="0"/>
        <w:spacing w:after="60"/>
        <w:jc w:val="both"/>
        <w:rPr>
          <w:noProof/>
          <w:szCs w:val="24"/>
        </w:rPr>
      </w:pPr>
      <w:r>
        <w:rPr>
          <w:noProof/>
          <w:szCs w:val="24"/>
        </w:rPr>
        <w:t xml:space="preserve"> It provides counter- or co-guarantees to guarantee schemes and direct guarantees to Financial Intermediaries operating in eligib</w:t>
      </w:r>
      <w:r>
        <w:rPr>
          <w:noProof/>
          <w:szCs w:val="24"/>
        </w:rPr>
        <w:t>le countries with the aim of increasing lending volumes available to SMEs.</w:t>
      </w:r>
      <w:r>
        <w:rPr>
          <w:noProof/>
        </w:rPr>
        <w:t xml:space="preserve"> The Facility is a demand-driven instrument, with only indicative country-based allocations, in order to ensure wide geographical coverage. The EIF provides a capped guarantee that c</w:t>
      </w:r>
      <w:r>
        <w:rPr>
          <w:noProof/>
        </w:rPr>
        <w:t xml:space="preserve">overs potential losses against a commitment of the financial intermediary to provide more debt financing (loans, leases or guarantees that support loans and leases) to target SMEs. </w:t>
      </w:r>
    </w:p>
    <w:p w:rsidR="0073489B" w:rsidRDefault="00A46D11">
      <w:pPr>
        <w:autoSpaceDE w:val="0"/>
        <w:autoSpaceDN w:val="0"/>
        <w:adjustRightInd w:val="0"/>
        <w:spacing w:after="60"/>
        <w:jc w:val="both"/>
        <w:rPr>
          <w:noProof/>
        </w:rPr>
      </w:pPr>
      <w:r>
        <w:rPr>
          <w:noProof/>
        </w:rPr>
        <w:t xml:space="preserve">Until the end of budgetary commitment period in 2013, </w:t>
      </w:r>
    </w:p>
    <w:p w:rsidR="0073489B" w:rsidRDefault="00A46D11">
      <w:pPr>
        <w:spacing w:after="60"/>
        <w:jc w:val="both"/>
        <w:rPr>
          <w:noProof/>
          <w:szCs w:val="24"/>
        </w:rPr>
      </w:pPr>
      <w:r>
        <w:rPr>
          <w:noProof/>
          <w:szCs w:val="24"/>
        </w:rPr>
        <w:t>- the EIF was respo</w:t>
      </w:r>
      <w:r>
        <w:rPr>
          <w:noProof/>
          <w:szCs w:val="24"/>
        </w:rPr>
        <w:t>nsible for identifying, evaluating, and selecting the Financial Intermediaries ('FIs') according to the Guarantee Policy, which is part of the FMA. The EIF examined, on a continuous basis, proposals collected based on a call for expression of interests.</w:t>
      </w:r>
    </w:p>
    <w:p w:rsidR="0073489B" w:rsidRDefault="00A46D11">
      <w:pPr>
        <w:autoSpaceDE w:val="0"/>
        <w:autoSpaceDN w:val="0"/>
        <w:adjustRightInd w:val="0"/>
        <w:spacing w:after="60"/>
        <w:jc w:val="both"/>
        <w:rPr>
          <w:noProof/>
        </w:rPr>
      </w:pPr>
      <w:r>
        <w:rPr>
          <w:noProof/>
        </w:rPr>
        <w:t xml:space="preserve">- </w:t>
      </w:r>
      <w:r>
        <w:rPr>
          <w:noProof/>
        </w:rPr>
        <w:t>the Designated Service was actively involved in financial intermediary approval process. Each deal was to be approved by the EIF Board of Directors and the Commissions Designated Service. The Designated Service will continue its monitoring and reporting ob</w:t>
      </w:r>
      <w:r>
        <w:rPr>
          <w:noProof/>
        </w:rPr>
        <w:t>ligations until the wind-up of the facility (estimated 2026).</w:t>
      </w:r>
    </w:p>
    <w:p w:rsidR="0073489B" w:rsidRDefault="00A46D11">
      <w:pPr>
        <w:keepNext/>
        <w:autoSpaceDE w:val="0"/>
        <w:autoSpaceDN w:val="0"/>
        <w:adjustRightInd w:val="0"/>
        <w:jc w:val="both"/>
        <w:rPr>
          <w:i/>
          <w:noProof/>
        </w:rPr>
      </w:pPr>
      <w:r>
        <w:rPr>
          <w:i/>
          <w:noProof/>
        </w:rPr>
        <w:t>Value added</w:t>
      </w:r>
    </w:p>
    <w:p w:rsidR="0073489B" w:rsidRDefault="00A46D11">
      <w:pPr>
        <w:autoSpaceDE w:val="0"/>
        <w:autoSpaceDN w:val="0"/>
        <w:adjustRightInd w:val="0"/>
        <w:spacing w:after="60"/>
        <w:jc w:val="both"/>
        <w:rPr>
          <w:noProof/>
        </w:rPr>
      </w:pPr>
      <w:r>
        <w:rPr>
          <w:noProof/>
        </w:rPr>
        <w:t>Thanks to the guarantee provided by the EIF, financial intermediaries either provide more financing to SMEs, or extend their financing to more risky and previously not serviced segme</w:t>
      </w:r>
      <w:r>
        <w:rPr>
          <w:noProof/>
        </w:rPr>
        <w:t>nts of vulnerable SMEs, such as start-ups, young companies and companies lacking sufficient collateral.</w:t>
      </w:r>
    </w:p>
    <w:p w:rsidR="0073489B" w:rsidRDefault="00A46D11">
      <w:pPr>
        <w:spacing w:after="60"/>
        <w:jc w:val="both"/>
        <w:rPr>
          <w:noProof/>
          <w:szCs w:val="24"/>
          <w:lang w:val="en-US"/>
        </w:rPr>
      </w:pPr>
      <w:r>
        <w:rPr>
          <w:noProof/>
          <w:szCs w:val="24"/>
          <w:lang w:val="en-US"/>
        </w:rPr>
        <w:t xml:space="preserve">Regarding the </w:t>
      </w:r>
      <w:r>
        <w:rPr>
          <w:noProof/>
          <w:szCs w:val="24"/>
          <w:u w:val="single"/>
          <w:lang w:val="en-US"/>
        </w:rPr>
        <w:t>sustainability and European value-added</w:t>
      </w:r>
      <w:r>
        <w:rPr>
          <w:noProof/>
          <w:szCs w:val="24"/>
          <w:lang w:val="en-US"/>
        </w:rPr>
        <w:t>,</w:t>
      </w:r>
      <w:r>
        <w:rPr>
          <w:rStyle w:val="FootnoteReference"/>
          <w:noProof/>
          <w:szCs w:val="24"/>
          <w:lang w:val="en-US"/>
        </w:rPr>
        <w:footnoteReference w:id="82"/>
      </w:r>
      <w:r>
        <w:rPr>
          <w:noProof/>
          <w:szCs w:val="24"/>
          <w:lang w:val="en-US"/>
        </w:rPr>
        <w:t xml:space="preserve"> the effectiveness of the instruments used has increased over time; notwithstanding the scope for</w:t>
      </w:r>
      <w:r>
        <w:rPr>
          <w:noProof/>
          <w:szCs w:val="24"/>
          <w:lang w:val="en-US"/>
        </w:rPr>
        <w:t xml:space="preserve"> further improvements, European value-added is evident in the development of facilities that are at the cutting-edge of provision for SMEs.</w:t>
      </w:r>
    </w:p>
    <w:p w:rsidR="0073489B" w:rsidRDefault="00A46D11">
      <w:pPr>
        <w:pStyle w:val="Heading5"/>
        <w:spacing w:before="120"/>
        <w:ind w:left="284" w:firstLine="0"/>
        <w:rPr>
          <w:noProof/>
        </w:rPr>
      </w:pPr>
      <w:bookmarkStart w:id="111" w:name="_Toc387228797"/>
      <w:r>
        <w:rPr>
          <w:noProof/>
        </w:rPr>
        <w:lastRenderedPageBreak/>
        <w:t>The financial institutions involved in implementation</w:t>
      </w:r>
      <w:bookmarkEnd w:id="111"/>
      <w:r>
        <w:rPr>
          <w:noProof/>
        </w:rPr>
        <w:t>;</w:t>
      </w:r>
    </w:p>
    <w:p w:rsidR="0073489B" w:rsidRDefault="00A46D11">
      <w:pPr>
        <w:spacing w:after="60"/>
        <w:rPr>
          <w:noProof/>
          <w:szCs w:val="24"/>
        </w:rPr>
      </w:pPr>
      <w:r>
        <w:rPr>
          <w:noProof/>
          <w:szCs w:val="24"/>
        </w:rPr>
        <w:t>European Investment Fund.</w:t>
      </w:r>
    </w:p>
    <w:p w:rsidR="0073489B" w:rsidRDefault="0073489B">
      <w:pPr>
        <w:spacing w:after="60"/>
        <w:rPr>
          <w:noProof/>
          <w:szCs w:val="24"/>
        </w:rPr>
      </w:pPr>
    </w:p>
    <w:p w:rsidR="0073489B" w:rsidRDefault="00A46D11">
      <w:pPr>
        <w:pStyle w:val="Heading4"/>
        <w:numPr>
          <w:ilvl w:val="0"/>
          <w:numId w:val="273"/>
        </w:numPr>
        <w:ind w:left="284" w:hanging="644"/>
        <w:rPr>
          <w:noProof/>
        </w:rPr>
      </w:pPr>
      <w:bookmarkStart w:id="112" w:name="_Toc387228798"/>
      <w:bookmarkStart w:id="113" w:name="_Toc388541881"/>
      <w:r>
        <w:rPr>
          <w:noProof/>
        </w:rPr>
        <w:t>Implementation</w:t>
      </w:r>
      <w:bookmarkEnd w:id="112"/>
      <w:bookmarkEnd w:id="113"/>
    </w:p>
    <w:p w:rsidR="0073489B" w:rsidRDefault="00A46D11">
      <w:pPr>
        <w:pStyle w:val="Heading5"/>
        <w:spacing w:before="120"/>
        <w:ind w:left="284" w:firstLine="0"/>
        <w:rPr>
          <w:noProof/>
        </w:rPr>
      </w:pPr>
      <w:bookmarkStart w:id="114" w:name="_Toc387228799"/>
      <w:r>
        <w:rPr>
          <w:noProof/>
        </w:rPr>
        <w:t xml:space="preserve">The aggregate </w:t>
      </w:r>
      <w:r>
        <w:rPr>
          <w:noProof/>
        </w:rPr>
        <w:t>budgetary commitments and payments from the budget</w:t>
      </w:r>
      <w:bookmarkEnd w:id="114"/>
      <w:r>
        <w:rPr>
          <w:noProof/>
        </w:rPr>
        <w:t>;</w:t>
      </w:r>
    </w:p>
    <w:p w:rsidR="0073489B" w:rsidRDefault="00A46D11">
      <w:pPr>
        <w:ind w:right="141"/>
        <w:rPr>
          <w:noProof/>
          <w:szCs w:val="24"/>
        </w:rPr>
      </w:pPr>
      <w:bookmarkStart w:id="115" w:name="_Toc387228800"/>
      <w:r>
        <w:rPr>
          <w:noProof/>
          <w:szCs w:val="24"/>
        </w:rPr>
        <w:t>Aggregate budgetary commitments as at 31/12/2016</w:t>
      </w:r>
      <w:r>
        <w:rPr>
          <w:noProof/>
          <w:szCs w:val="24"/>
        </w:rPr>
        <w:tab/>
      </w:r>
      <w:r>
        <w:rPr>
          <w:noProof/>
          <w:szCs w:val="24"/>
        </w:rPr>
        <w:tab/>
        <w:t xml:space="preserve">                      </w:t>
      </w:r>
      <w:r>
        <w:rPr>
          <w:noProof/>
        </w:rPr>
        <w:t>EUR 649 886 744</w:t>
      </w:r>
    </w:p>
    <w:p w:rsidR="0073489B" w:rsidRDefault="00A46D11">
      <w:pPr>
        <w:spacing w:after="200"/>
        <w:ind w:right="141"/>
        <w:rPr>
          <w:noProof/>
          <w:szCs w:val="24"/>
        </w:rPr>
      </w:pPr>
      <w:r>
        <w:rPr>
          <w:noProof/>
          <w:szCs w:val="24"/>
        </w:rPr>
        <w:t>Aggregate budgetary payments as at 31/12/2016</w:t>
      </w:r>
      <w:r>
        <w:rPr>
          <w:noProof/>
          <w:szCs w:val="24"/>
        </w:rPr>
        <w:tab/>
        <w:t xml:space="preserve"> </w:t>
      </w:r>
      <w:r>
        <w:rPr>
          <w:noProof/>
          <w:szCs w:val="24"/>
        </w:rPr>
        <w:tab/>
        <w:t xml:space="preserve">                      </w:t>
      </w:r>
      <w:r>
        <w:rPr>
          <w:noProof/>
        </w:rPr>
        <w:t>EUR 424 703 607</w:t>
      </w:r>
    </w:p>
    <w:p w:rsidR="0073489B" w:rsidRDefault="00A46D11">
      <w:pPr>
        <w:pStyle w:val="Heading5"/>
        <w:spacing w:before="120" w:after="200"/>
        <w:ind w:left="284" w:firstLine="0"/>
        <w:rPr>
          <w:noProof/>
        </w:rPr>
      </w:pPr>
      <w:r>
        <w:rPr>
          <w:noProof/>
        </w:rPr>
        <w:t>The performance of the financi</w:t>
      </w:r>
      <w:r>
        <w:rPr>
          <w:noProof/>
        </w:rPr>
        <w:t>al instrument, including investments realised</w:t>
      </w:r>
      <w:bookmarkEnd w:id="115"/>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355"/>
      </w:tblGrid>
      <w:tr w:rsidR="0073489B">
        <w:trPr>
          <w:trHeight w:val="1749"/>
          <w:jc w:val="center"/>
        </w:trPr>
        <w:tc>
          <w:tcPr>
            <w:tcW w:w="4923" w:type="dxa"/>
            <w:shd w:val="clear" w:color="auto" w:fill="auto"/>
            <w:vAlign w:val="center"/>
          </w:tcPr>
          <w:p w:rsidR="0073489B" w:rsidRDefault="00A46D11">
            <w:pPr>
              <w:pStyle w:val="ListParagraph"/>
              <w:ind w:left="0" w:right="141"/>
              <w:jc w:val="both"/>
              <w:rPr>
                <w:noProof/>
                <w:szCs w:val="24"/>
              </w:rPr>
            </w:pPr>
            <w:r>
              <w:rPr>
                <w:noProof/>
                <w:szCs w:val="24"/>
              </w:rPr>
              <w:t>Amount of EU guarantee expected to be provided by the instrument (including EU contribution committed) to eligible final recipients,</w:t>
            </w:r>
          </w:p>
          <w:p w:rsidR="0073489B" w:rsidRDefault="00A46D11">
            <w:pPr>
              <w:pStyle w:val="ListParagraph"/>
              <w:ind w:left="0" w:right="141"/>
              <w:jc w:val="both"/>
              <w:rPr>
                <w:noProof/>
                <w:szCs w:val="24"/>
              </w:rPr>
            </w:pPr>
            <w:r>
              <w:rPr>
                <w:noProof/>
                <w:szCs w:val="24"/>
              </w:rPr>
              <w:t>and the corresponding number of financial intermediaries;</w:t>
            </w:r>
          </w:p>
        </w:tc>
        <w:tc>
          <w:tcPr>
            <w:tcW w:w="4355" w:type="dxa"/>
            <w:shd w:val="clear" w:color="auto" w:fill="auto"/>
            <w:vAlign w:val="center"/>
          </w:tcPr>
          <w:p w:rsidR="0073489B" w:rsidRDefault="00A46D11">
            <w:pPr>
              <w:ind w:right="141"/>
              <w:contextualSpacing/>
              <w:jc w:val="center"/>
              <w:rPr>
                <w:noProof/>
              </w:rPr>
            </w:pPr>
            <w:r>
              <w:rPr>
                <w:noProof/>
              </w:rPr>
              <w:t>EUR 523,4 million</w:t>
            </w:r>
            <w:r>
              <w:rPr>
                <w:rStyle w:val="FootnoteReference"/>
                <w:noProof/>
              </w:rPr>
              <w:footnoteReference w:id="83"/>
            </w:r>
          </w:p>
          <w:p w:rsidR="0073489B" w:rsidRDefault="0073489B">
            <w:pPr>
              <w:ind w:right="141"/>
              <w:contextualSpacing/>
              <w:jc w:val="center"/>
              <w:rPr>
                <w:noProof/>
              </w:rPr>
            </w:pPr>
          </w:p>
          <w:p w:rsidR="0073489B" w:rsidRDefault="00A46D11">
            <w:pPr>
              <w:ind w:right="141"/>
              <w:contextualSpacing/>
              <w:jc w:val="center"/>
              <w:rPr>
                <w:noProof/>
              </w:rPr>
            </w:pPr>
            <w:r>
              <w:rPr>
                <w:noProof/>
              </w:rPr>
              <w:t xml:space="preserve">52FIs </w:t>
            </w:r>
            <w:r>
              <w:rPr>
                <w:rStyle w:val="FootnoteReference"/>
                <w:noProof/>
              </w:rPr>
              <w:footnoteReference w:id="84"/>
            </w:r>
          </w:p>
        </w:tc>
      </w:tr>
      <w:tr w:rsidR="0073489B">
        <w:trPr>
          <w:trHeight w:val="1353"/>
          <w:jc w:val="center"/>
        </w:trPr>
        <w:tc>
          <w:tcPr>
            <w:tcW w:w="4923" w:type="dxa"/>
            <w:shd w:val="clear" w:color="auto" w:fill="auto"/>
            <w:vAlign w:val="center"/>
          </w:tcPr>
          <w:p w:rsidR="0073489B" w:rsidRDefault="00A46D11">
            <w:pPr>
              <w:ind w:right="141"/>
              <w:contextualSpacing/>
              <w:jc w:val="both"/>
              <w:rPr>
                <w:noProof/>
                <w:szCs w:val="24"/>
              </w:rPr>
            </w:pPr>
            <w:r>
              <w:rPr>
                <w:noProof/>
                <w:szCs w:val="24"/>
              </w:rPr>
              <w:t>Amount of financing expected to be provided by financial intermediaries to eligible final recipients,</w:t>
            </w:r>
          </w:p>
          <w:p w:rsidR="0073489B" w:rsidRDefault="00A46D11">
            <w:pPr>
              <w:ind w:right="141"/>
              <w:contextualSpacing/>
              <w:jc w:val="both"/>
              <w:rPr>
                <w:noProof/>
                <w:szCs w:val="24"/>
              </w:rPr>
            </w:pPr>
            <w:r>
              <w:rPr>
                <w:noProof/>
                <w:szCs w:val="24"/>
              </w:rPr>
              <w:t xml:space="preserve">and expected number of eligible final recipients </w:t>
            </w:r>
          </w:p>
        </w:tc>
        <w:tc>
          <w:tcPr>
            <w:tcW w:w="4355" w:type="dxa"/>
            <w:shd w:val="clear" w:color="auto" w:fill="auto"/>
            <w:vAlign w:val="center"/>
          </w:tcPr>
          <w:p w:rsidR="0073489B" w:rsidRDefault="00A46D11">
            <w:pPr>
              <w:ind w:right="141"/>
              <w:contextualSpacing/>
              <w:jc w:val="center"/>
              <w:rPr>
                <w:noProof/>
              </w:rPr>
            </w:pPr>
            <w:r>
              <w:rPr>
                <w:noProof/>
              </w:rPr>
              <w:t>EUR 23 116,1 million</w:t>
            </w:r>
            <w:r>
              <w:rPr>
                <w:rStyle w:val="FootnoteReference"/>
                <w:noProof/>
              </w:rPr>
              <w:footnoteReference w:id="85"/>
            </w:r>
          </w:p>
          <w:p w:rsidR="0073489B" w:rsidRDefault="0073489B">
            <w:pPr>
              <w:jc w:val="center"/>
              <w:rPr>
                <w:noProof/>
              </w:rPr>
            </w:pPr>
          </w:p>
          <w:p w:rsidR="0073489B" w:rsidRDefault="00A46D11">
            <w:pPr>
              <w:tabs>
                <w:tab w:val="left" w:pos="2510"/>
              </w:tabs>
              <w:jc w:val="center"/>
              <w:rPr>
                <w:noProof/>
              </w:rPr>
            </w:pPr>
            <w:r>
              <w:rPr>
                <w:noProof/>
              </w:rPr>
              <w:t>315.000 FRs</w:t>
            </w:r>
            <w:r>
              <w:rPr>
                <w:rStyle w:val="FootnoteReference"/>
                <w:noProof/>
              </w:rPr>
              <w:footnoteReference w:id="86"/>
            </w:r>
          </w:p>
        </w:tc>
      </w:tr>
      <w:tr w:rsidR="0073489B">
        <w:trPr>
          <w:trHeight w:val="1481"/>
          <w:jc w:val="center"/>
        </w:trPr>
        <w:tc>
          <w:tcPr>
            <w:tcW w:w="4923" w:type="dxa"/>
            <w:shd w:val="clear" w:color="auto" w:fill="auto"/>
            <w:vAlign w:val="center"/>
          </w:tcPr>
          <w:p w:rsidR="0073489B" w:rsidRDefault="00A46D11">
            <w:pPr>
              <w:pStyle w:val="ListParagraph"/>
              <w:spacing w:before="60" w:after="60"/>
              <w:ind w:left="0" w:right="141"/>
              <w:jc w:val="both"/>
              <w:rPr>
                <w:noProof/>
                <w:szCs w:val="24"/>
              </w:rPr>
            </w:pPr>
            <w:r>
              <w:rPr>
                <w:noProof/>
                <w:szCs w:val="24"/>
              </w:rPr>
              <w:t xml:space="preserve">Amount of financing already provided by financial </w:t>
            </w:r>
            <w:r>
              <w:rPr>
                <w:noProof/>
                <w:szCs w:val="24"/>
              </w:rPr>
              <w:t>intermediaries to eligible final recipients,</w:t>
            </w:r>
          </w:p>
          <w:p w:rsidR="0073489B" w:rsidRDefault="00A46D11">
            <w:pPr>
              <w:pStyle w:val="ListParagraph"/>
              <w:spacing w:before="60" w:after="60"/>
              <w:ind w:left="0" w:right="141"/>
              <w:jc w:val="both"/>
              <w:rPr>
                <w:noProof/>
                <w:szCs w:val="24"/>
              </w:rPr>
            </w:pPr>
            <w:r>
              <w:rPr>
                <w:noProof/>
                <w:szCs w:val="24"/>
              </w:rPr>
              <w:t xml:space="preserve">and the corresponding number of eligible final recipients; </w:t>
            </w:r>
          </w:p>
        </w:tc>
        <w:tc>
          <w:tcPr>
            <w:tcW w:w="4355" w:type="dxa"/>
            <w:shd w:val="clear" w:color="auto" w:fill="auto"/>
            <w:vAlign w:val="center"/>
          </w:tcPr>
          <w:p w:rsidR="0073489B" w:rsidRDefault="00A46D11">
            <w:pPr>
              <w:spacing w:after="480"/>
              <w:ind w:right="141"/>
              <w:contextualSpacing/>
              <w:jc w:val="center"/>
              <w:rPr>
                <w:noProof/>
              </w:rPr>
            </w:pPr>
            <w:r>
              <w:rPr>
                <w:noProof/>
              </w:rPr>
              <w:t>EUR 21 101,8 million</w:t>
            </w:r>
            <w:r>
              <w:rPr>
                <w:rStyle w:val="FootnoteReference"/>
                <w:noProof/>
              </w:rPr>
              <w:footnoteReference w:id="87"/>
            </w:r>
          </w:p>
          <w:p w:rsidR="0073489B" w:rsidRDefault="00A46D11">
            <w:pPr>
              <w:spacing w:before="60" w:after="60"/>
              <w:ind w:right="141"/>
              <w:contextualSpacing/>
              <w:jc w:val="center"/>
              <w:rPr>
                <w:noProof/>
              </w:rPr>
            </w:pPr>
            <w:r>
              <w:rPr>
                <w:noProof/>
              </w:rPr>
              <w:t>385 772 FRs</w:t>
            </w:r>
            <w:r>
              <w:rPr>
                <w:rStyle w:val="FootnoteReference"/>
                <w:noProof/>
              </w:rPr>
              <w:footnoteReference w:id="88"/>
            </w:r>
          </w:p>
        </w:tc>
      </w:tr>
      <w:tr w:rsidR="0073489B">
        <w:trPr>
          <w:trHeight w:val="1004"/>
          <w:jc w:val="center"/>
        </w:trPr>
        <w:tc>
          <w:tcPr>
            <w:tcW w:w="4923" w:type="dxa"/>
            <w:shd w:val="clear" w:color="auto" w:fill="auto"/>
            <w:vAlign w:val="center"/>
          </w:tcPr>
          <w:p w:rsidR="0073489B" w:rsidRDefault="00A46D11">
            <w:pPr>
              <w:pStyle w:val="ListParagraph"/>
              <w:spacing w:before="60" w:after="60"/>
              <w:ind w:left="0" w:right="141"/>
              <w:jc w:val="both"/>
              <w:rPr>
                <w:i/>
                <w:noProof/>
                <w:szCs w:val="24"/>
              </w:rPr>
            </w:pPr>
            <w:r>
              <w:rPr>
                <w:noProof/>
                <w:szCs w:val="24"/>
              </w:rPr>
              <w:t>Amount of investments already made by eligible final recipients due to the received financing, if applicable.</w:t>
            </w:r>
          </w:p>
        </w:tc>
        <w:tc>
          <w:tcPr>
            <w:tcW w:w="4355" w:type="dxa"/>
            <w:shd w:val="clear" w:color="auto" w:fill="auto"/>
            <w:vAlign w:val="center"/>
          </w:tcPr>
          <w:p w:rsidR="0073489B" w:rsidRDefault="0073489B">
            <w:pPr>
              <w:spacing w:before="60" w:after="60"/>
              <w:ind w:right="141"/>
              <w:contextualSpacing/>
              <w:jc w:val="center"/>
              <w:rPr>
                <w:noProof/>
              </w:rPr>
            </w:pPr>
          </w:p>
          <w:p w:rsidR="0073489B" w:rsidRDefault="00A46D11">
            <w:pPr>
              <w:spacing w:before="60" w:after="60"/>
              <w:ind w:right="141"/>
              <w:contextualSpacing/>
              <w:jc w:val="center"/>
              <w:rPr>
                <w:noProof/>
              </w:rPr>
            </w:pPr>
            <w:r>
              <w:rPr>
                <w:noProof/>
              </w:rPr>
              <w:t xml:space="preserve">EUR </w:t>
            </w:r>
            <w:r>
              <w:rPr>
                <w:noProof/>
              </w:rPr>
              <w:t>30 858,9 million</w:t>
            </w:r>
            <w:r>
              <w:rPr>
                <w:rStyle w:val="FootnoteReference"/>
                <w:noProof/>
              </w:rPr>
              <w:footnoteReference w:id="89"/>
            </w:r>
          </w:p>
          <w:p w:rsidR="0073489B" w:rsidRDefault="0073489B">
            <w:pPr>
              <w:spacing w:before="60" w:after="60"/>
              <w:ind w:right="141"/>
              <w:contextualSpacing/>
              <w:jc w:val="center"/>
              <w:rPr>
                <w:noProof/>
              </w:rPr>
            </w:pPr>
          </w:p>
        </w:tc>
      </w:tr>
    </w:tbl>
    <w:p w:rsidR="0073489B" w:rsidRDefault="00A46D11">
      <w:pPr>
        <w:spacing w:before="200"/>
        <w:jc w:val="both"/>
        <w:rPr>
          <w:i/>
          <w:noProof/>
          <w:szCs w:val="24"/>
        </w:rPr>
      </w:pPr>
      <w:r>
        <w:rPr>
          <w:i/>
          <w:noProof/>
          <w:szCs w:val="24"/>
        </w:rPr>
        <w:t>Additional operational information</w:t>
      </w:r>
    </w:p>
    <w:p w:rsidR="0073489B" w:rsidRDefault="00A46D11">
      <w:pPr>
        <w:spacing w:after="60"/>
        <w:jc w:val="both"/>
        <w:rPr>
          <w:noProof/>
          <w:szCs w:val="24"/>
        </w:rPr>
      </w:pPr>
      <w:r>
        <w:rPr>
          <w:noProof/>
        </w:rPr>
        <w:t>For the period 2007-2013, EUR 1 275,1</w:t>
      </w:r>
      <w:r>
        <w:rPr>
          <w:rStyle w:val="FootnoteReference"/>
          <w:noProof/>
        </w:rPr>
        <w:footnoteReference w:id="90"/>
      </w:r>
      <w:r>
        <w:rPr>
          <w:noProof/>
        </w:rPr>
        <w:t xml:space="preserve"> million of commitment appropriations were made available for the CIP financial instruments, of which EUR 649,9 million for SMEG. The appropriations were fully committed.</w:t>
      </w:r>
    </w:p>
    <w:p w:rsidR="0073489B" w:rsidRDefault="00A46D11">
      <w:pPr>
        <w:spacing w:after="60"/>
        <w:jc w:val="both"/>
        <w:rPr>
          <w:noProof/>
          <w:szCs w:val="24"/>
        </w:rPr>
      </w:pPr>
      <w:r>
        <w:rPr>
          <w:noProof/>
        </w:rPr>
        <w:lastRenderedPageBreak/>
        <w:t xml:space="preserve">Regarding the payments appropriations for the period 2007-2016, out of the EUR 889,2 </w:t>
      </w:r>
      <w:r>
        <w:rPr>
          <w:noProof/>
        </w:rPr>
        <w:t>million made available for the CIP financial instruments, EUR 424,7 million were paid to the SMEG fiduciary account, managed by the EIF on behalf of the Commission. Funds are drawn down from the fiduciary account as and when defaults occur under SMEG.</w:t>
      </w:r>
    </w:p>
    <w:p w:rsidR="0073489B" w:rsidRDefault="00A46D11">
      <w:pPr>
        <w:shd w:val="clear" w:color="auto" w:fill="FFFFFF"/>
        <w:spacing w:after="60"/>
        <w:jc w:val="both"/>
        <w:rPr>
          <w:noProof/>
        </w:rPr>
      </w:pPr>
      <w:r>
        <w:rPr>
          <w:noProof/>
        </w:rPr>
        <w:t>By t</w:t>
      </w:r>
      <w:r>
        <w:rPr>
          <w:noProof/>
        </w:rPr>
        <w:t xml:space="preserve">he end of December 2016 (latest available figures as at writing date), </w:t>
      </w:r>
    </w:p>
    <w:p w:rsidR="0073489B" w:rsidRDefault="00A46D11">
      <w:pPr>
        <w:shd w:val="clear" w:color="auto" w:fill="FFFFFF"/>
        <w:spacing w:after="60"/>
        <w:jc w:val="both"/>
        <w:rPr>
          <w:noProof/>
        </w:rPr>
      </w:pPr>
      <w:r>
        <w:rPr>
          <w:noProof/>
        </w:rPr>
        <w:t xml:space="preserve">- SMEG 07 consisted of 70 guarantee agreements with 52 Financial Intermediaries from 23 countries, with a total of EUR 523,4 million guarantee cap from the Union budget for direct and </w:t>
      </w:r>
      <w:r>
        <w:rPr>
          <w:noProof/>
        </w:rPr>
        <w:t>counter-guarantees;</w:t>
      </w:r>
    </w:p>
    <w:p w:rsidR="0073489B" w:rsidRDefault="00A46D11">
      <w:pPr>
        <w:shd w:val="clear" w:color="auto" w:fill="FFFFFF"/>
        <w:spacing w:after="60"/>
        <w:jc w:val="both"/>
        <w:rPr>
          <w:noProof/>
          <w:szCs w:val="24"/>
        </w:rPr>
      </w:pPr>
      <w:r>
        <w:rPr>
          <w:noProof/>
        </w:rPr>
        <w:t>- 385 772 SMEs had received debt finance facilitated by financial support provided under SMEG07,</w:t>
      </w:r>
      <w:r>
        <w:rPr>
          <w:noProof/>
          <w:szCs w:val="24"/>
          <w:vertAlign w:val="superscript"/>
        </w:rPr>
        <w:footnoteReference w:id="91"/>
      </w:r>
      <w:r>
        <w:rPr>
          <w:noProof/>
          <w:szCs w:val="24"/>
        </w:rPr>
        <w:t xml:space="preserve"> through nearly 469 269loans;</w:t>
      </w:r>
    </w:p>
    <w:p w:rsidR="0073489B" w:rsidRDefault="00A46D11">
      <w:pPr>
        <w:shd w:val="clear" w:color="auto" w:fill="FFFFFF"/>
        <w:spacing w:after="60"/>
        <w:jc w:val="both"/>
        <w:rPr>
          <w:i/>
          <w:noProof/>
          <w:szCs w:val="24"/>
        </w:rPr>
      </w:pPr>
      <w:r>
        <w:rPr>
          <w:noProof/>
          <w:szCs w:val="24"/>
        </w:rPr>
        <w:t>- the EIF had signed agreements for a cumulative total amount guaranteed of EUR 15 162,91 million.</w:t>
      </w:r>
      <w:r>
        <w:rPr>
          <w:noProof/>
          <w:szCs w:val="24"/>
          <w:vertAlign w:val="superscript"/>
        </w:rPr>
        <w:footnoteReference w:id="92"/>
      </w:r>
      <w:r>
        <w:rPr>
          <w:noProof/>
          <w:szCs w:val="24"/>
        </w:rPr>
        <w:t xml:space="preserve"> The loans</w:t>
      </w:r>
      <w:r>
        <w:rPr>
          <w:noProof/>
          <w:szCs w:val="24"/>
        </w:rPr>
        <w:t xml:space="preserve"> associated with that guaranteed amount account for EUR 21,1 billion.</w:t>
      </w:r>
      <w:r>
        <w:rPr>
          <w:i/>
          <w:noProof/>
          <w:szCs w:val="24"/>
        </w:rPr>
        <w:t xml:space="preserve"> </w:t>
      </w:r>
    </w:p>
    <w:p w:rsidR="0073489B" w:rsidRDefault="00A46D11">
      <w:pPr>
        <w:shd w:val="clear" w:color="auto" w:fill="FFFFFF"/>
        <w:jc w:val="both"/>
        <w:rPr>
          <w:i/>
          <w:noProof/>
          <w:szCs w:val="24"/>
        </w:rPr>
      </w:pPr>
      <w:r>
        <w:rPr>
          <w:i/>
          <w:noProof/>
          <w:szCs w:val="24"/>
        </w:rPr>
        <w:t>SMEG impact on employment</w:t>
      </w:r>
    </w:p>
    <w:p w:rsidR="0073489B" w:rsidRDefault="00A46D11">
      <w:pPr>
        <w:spacing w:after="60"/>
        <w:jc w:val="both"/>
        <w:rPr>
          <w:noProof/>
          <w:szCs w:val="24"/>
        </w:rPr>
      </w:pPr>
      <w:r>
        <w:rPr>
          <w:noProof/>
          <w:szCs w:val="24"/>
        </w:rPr>
        <w:t>For the entire period as of 31 December 2016 (latest available figures as at writing date), SMEG achievements under CIP were as follows:</w:t>
      </w:r>
    </w:p>
    <w:p w:rsidR="0073489B" w:rsidRDefault="00A46D11">
      <w:pPr>
        <w:numPr>
          <w:ilvl w:val="0"/>
          <w:numId w:val="196"/>
        </w:numPr>
        <w:ind w:left="567" w:hanging="141"/>
        <w:jc w:val="both"/>
        <w:rPr>
          <w:noProof/>
          <w:szCs w:val="24"/>
        </w:rPr>
      </w:pPr>
      <w:r>
        <w:rPr>
          <w:noProof/>
          <w:szCs w:val="24"/>
        </w:rPr>
        <w:t>number of employees at</w:t>
      </w:r>
      <w:r>
        <w:rPr>
          <w:noProof/>
          <w:szCs w:val="24"/>
        </w:rPr>
        <w:t xml:space="preserve"> final recipients (supported SMEs) at inclusion date: 1 337 555;</w:t>
      </w:r>
    </w:p>
    <w:p w:rsidR="0073489B" w:rsidRDefault="00A46D11">
      <w:pPr>
        <w:numPr>
          <w:ilvl w:val="0"/>
          <w:numId w:val="196"/>
        </w:numPr>
        <w:autoSpaceDE w:val="0"/>
        <w:autoSpaceDN w:val="0"/>
        <w:adjustRightInd w:val="0"/>
        <w:ind w:left="567" w:right="141" w:hanging="141"/>
        <w:jc w:val="both"/>
        <w:rPr>
          <w:noProof/>
          <w:szCs w:val="24"/>
        </w:rPr>
      </w:pPr>
      <w:r>
        <w:rPr>
          <w:noProof/>
          <w:szCs w:val="24"/>
        </w:rPr>
        <w:t>number of jobs created or maintained: 385 772.</w:t>
      </w:r>
      <w:r>
        <w:rPr>
          <w:noProof/>
          <w:szCs w:val="24"/>
          <w:vertAlign w:val="superscript"/>
        </w:rPr>
        <w:footnoteReference w:id="93"/>
      </w:r>
    </w:p>
    <w:p w:rsidR="0073489B" w:rsidRDefault="00A46D11">
      <w:pPr>
        <w:pStyle w:val="Heading5"/>
        <w:ind w:left="284" w:firstLine="0"/>
        <w:jc w:val="both"/>
        <w:rPr>
          <w:noProof/>
        </w:rPr>
      </w:pPr>
      <w:bookmarkStart w:id="116" w:name="_Toc387228801"/>
      <w:r>
        <w:rPr>
          <w:noProof/>
        </w:rPr>
        <w:t>An evaluation of the use of any amounts returned to the instrument as internal assigned revenue under paragraph 6</w:t>
      </w:r>
      <w:bookmarkEnd w:id="116"/>
      <w:r>
        <w:rPr>
          <w:noProof/>
        </w:rPr>
        <w:t xml:space="preserve">; </w:t>
      </w:r>
    </w:p>
    <w:p w:rsidR="0073489B" w:rsidRDefault="00A46D11">
      <w:pPr>
        <w:spacing w:after="60"/>
        <w:jc w:val="both"/>
        <w:rPr>
          <w:noProof/>
          <w:szCs w:val="24"/>
        </w:rPr>
      </w:pPr>
      <w:r>
        <w:rPr>
          <w:noProof/>
        </w:rPr>
        <w:t xml:space="preserve">For the period 2007-2016, </w:t>
      </w:r>
      <w:r>
        <w:rPr>
          <w:noProof/>
        </w:rPr>
        <w:t>the amount of EUR 12,1 million returned to the instrument (point (h))</w:t>
      </w:r>
      <w:r>
        <w:rPr>
          <w:rFonts w:eastAsia="Times New Roman"/>
          <w:noProof/>
          <w:lang w:eastAsia="en-GB"/>
        </w:rPr>
        <w:t xml:space="preserve"> has been more than 60% used for further transactions in line with the policy objectives of the Programme.</w:t>
      </w:r>
    </w:p>
    <w:p w:rsidR="0073489B" w:rsidRDefault="00A46D11">
      <w:pPr>
        <w:pStyle w:val="Heading5"/>
        <w:ind w:left="284" w:firstLine="0"/>
        <w:jc w:val="both"/>
        <w:rPr>
          <w:noProof/>
        </w:rPr>
      </w:pPr>
      <w:bookmarkStart w:id="117" w:name="_Toc387228802"/>
      <w:r>
        <w:rPr>
          <w:noProof/>
        </w:rPr>
        <w:t>The balance of the fiduciary account;</w:t>
      </w:r>
      <w:bookmarkEnd w:id="117"/>
    </w:p>
    <w:p w:rsidR="0073489B" w:rsidRDefault="00A46D11">
      <w:pPr>
        <w:spacing w:after="200"/>
        <w:ind w:left="360" w:right="141"/>
        <w:jc w:val="both"/>
        <w:rPr>
          <w:noProof/>
          <w:szCs w:val="24"/>
          <w:lang w:eastAsia="en-GB"/>
        </w:rPr>
      </w:pPr>
      <w:bookmarkStart w:id="118" w:name="_Toc387228803"/>
      <w:r>
        <w:rPr>
          <w:noProof/>
          <w:szCs w:val="24"/>
        </w:rPr>
        <w:t>Aggregate balance of the fiduciary account</w:t>
      </w:r>
      <w:r>
        <w:rPr>
          <w:noProof/>
          <w:szCs w:val="24"/>
        </w:rPr>
        <w:t xml:space="preserve"> as at 31/12/2016</w:t>
      </w:r>
      <w:r>
        <w:rPr>
          <w:noProof/>
          <w:szCs w:val="24"/>
        </w:rPr>
        <w:tab/>
      </w:r>
      <w:r>
        <w:rPr>
          <w:noProof/>
        </w:rPr>
        <w:t>EUR 99 616 452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060"/>
      </w:tblGrid>
      <w:tr w:rsidR="0073489B">
        <w:trPr>
          <w:trHeight w:val="386"/>
        </w:trPr>
        <w:tc>
          <w:tcPr>
            <w:tcW w:w="9180" w:type="dxa"/>
            <w:gridSpan w:val="2"/>
            <w:shd w:val="clear" w:color="auto" w:fill="DAEEF3"/>
          </w:tcPr>
          <w:p w:rsidR="0073489B" w:rsidRDefault="00A46D11">
            <w:pPr>
              <w:pStyle w:val="ListParagraph"/>
              <w:spacing w:before="60" w:after="60"/>
              <w:ind w:left="0" w:right="141"/>
              <w:jc w:val="center"/>
              <w:rPr>
                <w:b/>
                <w:bCs/>
                <w:i/>
                <w:noProof/>
                <w:szCs w:val="24"/>
              </w:rPr>
            </w:pPr>
            <w:r>
              <w:rPr>
                <w:b/>
                <w:bCs/>
                <w:i/>
                <w:noProof/>
                <w:szCs w:val="24"/>
              </w:rPr>
              <w:t xml:space="preserve">                                                                                                    In EUR</w:t>
            </w:r>
          </w:p>
        </w:tc>
      </w:tr>
      <w:tr w:rsidR="0073489B">
        <w:tc>
          <w:tcPr>
            <w:tcW w:w="6120" w:type="dxa"/>
            <w:shd w:val="clear" w:color="auto" w:fill="auto"/>
          </w:tcPr>
          <w:p w:rsidR="0073489B" w:rsidRDefault="00A46D11">
            <w:pPr>
              <w:pStyle w:val="ListParagraph"/>
              <w:spacing w:before="60" w:after="60"/>
              <w:ind w:left="33" w:right="141"/>
              <w:rPr>
                <w:b/>
                <w:bCs/>
                <w:noProof/>
                <w:szCs w:val="24"/>
                <w:u w:val="single"/>
              </w:rPr>
            </w:pPr>
            <w:r>
              <w:rPr>
                <w:b/>
                <w:bCs/>
                <w:noProof/>
                <w:szCs w:val="24"/>
              </w:rPr>
              <w:t>Balance on the fiduciary account (current account)</w:t>
            </w:r>
          </w:p>
        </w:tc>
        <w:tc>
          <w:tcPr>
            <w:tcW w:w="3060" w:type="dxa"/>
            <w:shd w:val="clear" w:color="auto" w:fill="auto"/>
            <w:vAlign w:val="center"/>
          </w:tcPr>
          <w:p w:rsidR="0073489B" w:rsidRDefault="00A46D11">
            <w:pPr>
              <w:pStyle w:val="ListParagraph"/>
              <w:spacing w:before="60" w:after="60"/>
              <w:ind w:left="0" w:right="141"/>
              <w:jc w:val="center"/>
              <w:rPr>
                <w:b/>
                <w:noProof/>
                <w:highlight w:val="yellow"/>
                <w:u w:val="single"/>
              </w:rPr>
            </w:pPr>
            <w:r>
              <w:rPr>
                <w:noProof/>
              </w:rPr>
              <w:t>14 003 876</w:t>
            </w:r>
          </w:p>
        </w:tc>
      </w:tr>
      <w:tr w:rsidR="0073489B">
        <w:tc>
          <w:tcPr>
            <w:tcW w:w="6120" w:type="dxa"/>
            <w:shd w:val="clear" w:color="auto" w:fill="auto"/>
          </w:tcPr>
          <w:p w:rsidR="0073489B" w:rsidRDefault="00A46D11">
            <w:pPr>
              <w:pStyle w:val="ListParagraph"/>
              <w:spacing w:before="60" w:after="60"/>
              <w:ind w:left="33" w:right="141"/>
              <w:rPr>
                <w:b/>
                <w:bCs/>
                <w:noProof/>
                <w:szCs w:val="24"/>
                <w:u w:val="single"/>
              </w:rPr>
            </w:pPr>
            <w:r>
              <w:rPr>
                <w:b/>
                <w:bCs/>
                <w:noProof/>
                <w:szCs w:val="24"/>
              </w:rPr>
              <w:t>Term deposits/Bonds (if applicable)</w:t>
            </w:r>
          </w:p>
        </w:tc>
        <w:tc>
          <w:tcPr>
            <w:tcW w:w="3060" w:type="dxa"/>
            <w:shd w:val="clear" w:color="auto" w:fill="auto"/>
            <w:vAlign w:val="center"/>
          </w:tcPr>
          <w:p w:rsidR="0073489B" w:rsidRDefault="00A46D11">
            <w:pPr>
              <w:pStyle w:val="ListParagraph"/>
              <w:spacing w:before="60" w:after="60"/>
              <w:ind w:left="0" w:right="141"/>
              <w:jc w:val="center"/>
              <w:rPr>
                <w:b/>
                <w:noProof/>
                <w:highlight w:val="yellow"/>
                <w:u w:val="single"/>
              </w:rPr>
            </w:pPr>
            <w:r>
              <w:rPr>
                <w:noProof/>
              </w:rPr>
              <w:t>85 606 573</w:t>
            </w:r>
          </w:p>
        </w:tc>
      </w:tr>
      <w:tr w:rsidR="0073489B">
        <w:tc>
          <w:tcPr>
            <w:tcW w:w="6120" w:type="dxa"/>
            <w:shd w:val="clear" w:color="auto" w:fill="auto"/>
          </w:tcPr>
          <w:p w:rsidR="0073489B" w:rsidRDefault="00A46D11">
            <w:pPr>
              <w:pStyle w:val="ListParagraph"/>
              <w:spacing w:before="60" w:after="60"/>
              <w:ind w:left="459" w:right="141"/>
              <w:rPr>
                <w:bCs/>
                <w:noProof/>
                <w:szCs w:val="24"/>
              </w:rPr>
            </w:pPr>
            <w:r>
              <w:rPr>
                <w:bCs/>
                <w:noProof/>
                <w:szCs w:val="24"/>
              </w:rPr>
              <w:t>Term</w:t>
            </w:r>
            <w:r>
              <w:rPr>
                <w:bCs/>
                <w:noProof/>
                <w:szCs w:val="24"/>
              </w:rPr>
              <w:t xml:space="preserve"> deposits &lt; 3 months (cash equivalent)</w:t>
            </w:r>
          </w:p>
        </w:tc>
        <w:tc>
          <w:tcPr>
            <w:tcW w:w="3060" w:type="dxa"/>
            <w:shd w:val="clear" w:color="auto" w:fill="auto"/>
            <w:vAlign w:val="center"/>
          </w:tcPr>
          <w:p w:rsidR="0073489B" w:rsidRDefault="00A46D11">
            <w:pPr>
              <w:pStyle w:val="ListParagraph"/>
              <w:spacing w:before="60" w:after="60"/>
              <w:ind w:left="0" w:right="141"/>
              <w:jc w:val="center"/>
              <w:rPr>
                <w:b/>
                <w:i/>
                <w:noProof/>
                <w:highlight w:val="yellow"/>
                <w:u w:val="single"/>
              </w:rPr>
            </w:pPr>
            <w:r>
              <w:rPr>
                <w:i/>
                <w:noProof/>
              </w:rPr>
              <w:t>85 606 573</w:t>
            </w:r>
          </w:p>
        </w:tc>
      </w:tr>
      <w:tr w:rsidR="0073489B">
        <w:tc>
          <w:tcPr>
            <w:tcW w:w="6120" w:type="dxa"/>
            <w:shd w:val="clear" w:color="auto" w:fill="auto"/>
          </w:tcPr>
          <w:p w:rsidR="0073489B" w:rsidRDefault="00A46D11">
            <w:pPr>
              <w:pStyle w:val="ListParagraph"/>
              <w:spacing w:before="60" w:after="60"/>
              <w:ind w:left="459" w:right="141"/>
              <w:rPr>
                <w:bCs/>
                <w:noProof/>
                <w:szCs w:val="24"/>
                <w:u w:val="single"/>
              </w:rPr>
            </w:pPr>
            <w:r>
              <w:rPr>
                <w:bCs/>
                <w:noProof/>
                <w:szCs w:val="24"/>
              </w:rPr>
              <w:t>Term deposits &gt; 3 month &lt; 1 year (current assets)</w:t>
            </w:r>
          </w:p>
        </w:tc>
        <w:tc>
          <w:tcPr>
            <w:tcW w:w="3060" w:type="dxa"/>
            <w:shd w:val="clear" w:color="auto" w:fill="auto"/>
            <w:vAlign w:val="center"/>
          </w:tcPr>
          <w:p w:rsidR="0073489B" w:rsidRDefault="00A46D11">
            <w:pPr>
              <w:pStyle w:val="ListParagraph"/>
              <w:spacing w:before="60" w:after="60"/>
              <w:ind w:left="0" w:right="141"/>
              <w:jc w:val="center"/>
              <w:rPr>
                <w:i/>
                <w:noProof/>
              </w:rPr>
            </w:pPr>
            <w:r>
              <w:rPr>
                <w:i/>
                <w:noProof/>
              </w:rPr>
              <w:t>N/A</w:t>
            </w:r>
          </w:p>
        </w:tc>
      </w:tr>
      <w:tr w:rsidR="0073489B">
        <w:tc>
          <w:tcPr>
            <w:tcW w:w="6120" w:type="dxa"/>
            <w:shd w:val="clear" w:color="auto" w:fill="auto"/>
          </w:tcPr>
          <w:p w:rsidR="0073489B" w:rsidRDefault="00A46D11">
            <w:pPr>
              <w:pStyle w:val="ListParagraph"/>
              <w:spacing w:before="60" w:after="60"/>
              <w:ind w:left="459" w:right="141"/>
              <w:rPr>
                <w:bCs/>
                <w:noProof/>
                <w:szCs w:val="24"/>
                <w:u w:val="single"/>
              </w:rPr>
            </w:pPr>
            <w:r>
              <w:rPr>
                <w:bCs/>
                <w:noProof/>
                <w:szCs w:val="24"/>
              </w:rPr>
              <w:t>Term deposits &gt; 1 year (non-current assets)</w:t>
            </w:r>
          </w:p>
        </w:tc>
        <w:tc>
          <w:tcPr>
            <w:tcW w:w="3060" w:type="dxa"/>
            <w:shd w:val="clear" w:color="auto" w:fill="auto"/>
            <w:vAlign w:val="center"/>
          </w:tcPr>
          <w:p w:rsidR="0073489B" w:rsidRDefault="00A46D11">
            <w:pPr>
              <w:pStyle w:val="ListParagraph"/>
              <w:spacing w:before="60" w:after="60"/>
              <w:ind w:left="0" w:right="141"/>
              <w:jc w:val="center"/>
              <w:rPr>
                <w:b/>
                <w:i/>
                <w:noProof/>
              </w:rPr>
            </w:pPr>
            <w:r>
              <w:rPr>
                <w:i/>
                <w:noProof/>
              </w:rPr>
              <w:t>N/A</w:t>
            </w:r>
          </w:p>
        </w:tc>
      </w:tr>
      <w:tr w:rsidR="0073489B">
        <w:tc>
          <w:tcPr>
            <w:tcW w:w="6120" w:type="dxa"/>
            <w:shd w:val="clear" w:color="auto" w:fill="auto"/>
          </w:tcPr>
          <w:p w:rsidR="0073489B" w:rsidRDefault="00A46D11">
            <w:pPr>
              <w:pStyle w:val="ListParagraph"/>
              <w:spacing w:before="60" w:after="60"/>
              <w:ind w:left="885" w:right="141"/>
              <w:rPr>
                <w:bCs/>
                <w:noProof/>
                <w:szCs w:val="24"/>
                <w:u w:val="single"/>
              </w:rPr>
            </w:pPr>
            <w:r>
              <w:rPr>
                <w:bCs/>
                <w:noProof/>
                <w:szCs w:val="24"/>
              </w:rPr>
              <w:t>Bonds current</w:t>
            </w:r>
          </w:p>
        </w:tc>
        <w:tc>
          <w:tcPr>
            <w:tcW w:w="3060" w:type="dxa"/>
            <w:shd w:val="clear" w:color="auto" w:fill="auto"/>
            <w:vAlign w:val="center"/>
          </w:tcPr>
          <w:p w:rsidR="0073489B" w:rsidRDefault="00A46D11">
            <w:pPr>
              <w:pStyle w:val="ListParagraph"/>
              <w:spacing w:before="60" w:after="60"/>
              <w:ind w:left="0" w:right="141"/>
              <w:jc w:val="center"/>
              <w:rPr>
                <w:b/>
                <w:i/>
                <w:noProof/>
              </w:rPr>
            </w:pPr>
            <w:r>
              <w:rPr>
                <w:i/>
                <w:noProof/>
              </w:rPr>
              <w:t>N/A</w:t>
            </w:r>
          </w:p>
        </w:tc>
      </w:tr>
      <w:tr w:rsidR="0073489B">
        <w:tc>
          <w:tcPr>
            <w:tcW w:w="6120" w:type="dxa"/>
            <w:shd w:val="clear" w:color="auto" w:fill="auto"/>
          </w:tcPr>
          <w:p w:rsidR="0073489B" w:rsidRDefault="00A46D11">
            <w:pPr>
              <w:pStyle w:val="ListParagraph"/>
              <w:spacing w:before="60" w:after="60"/>
              <w:ind w:left="885" w:right="141"/>
              <w:rPr>
                <w:bCs/>
                <w:noProof/>
                <w:szCs w:val="24"/>
                <w:u w:val="single"/>
              </w:rPr>
            </w:pPr>
            <w:r>
              <w:rPr>
                <w:bCs/>
                <w:noProof/>
                <w:szCs w:val="24"/>
              </w:rPr>
              <w:t>Bonds non-current</w:t>
            </w:r>
          </w:p>
        </w:tc>
        <w:tc>
          <w:tcPr>
            <w:tcW w:w="3060" w:type="dxa"/>
            <w:shd w:val="clear" w:color="auto" w:fill="auto"/>
            <w:vAlign w:val="center"/>
          </w:tcPr>
          <w:p w:rsidR="0073489B" w:rsidRDefault="00A46D11">
            <w:pPr>
              <w:pStyle w:val="ListParagraph"/>
              <w:spacing w:before="60" w:after="60"/>
              <w:ind w:left="0" w:right="141"/>
              <w:jc w:val="center"/>
              <w:rPr>
                <w:b/>
                <w:i/>
                <w:noProof/>
              </w:rPr>
            </w:pPr>
            <w:r>
              <w:rPr>
                <w:i/>
                <w:noProof/>
              </w:rPr>
              <w:t>N/A</w:t>
            </w:r>
          </w:p>
        </w:tc>
      </w:tr>
      <w:tr w:rsidR="0073489B">
        <w:tc>
          <w:tcPr>
            <w:tcW w:w="6120" w:type="dxa"/>
            <w:shd w:val="clear" w:color="auto" w:fill="auto"/>
          </w:tcPr>
          <w:p w:rsidR="0073489B" w:rsidRDefault="00A46D11">
            <w:pPr>
              <w:spacing w:before="60" w:after="60"/>
              <w:ind w:left="33"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73489B" w:rsidRDefault="00A46D11">
            <w:pPr>
              <w:pStyle w:val="ListParagraph"/>
              <w:spacing w:before="60" w:after="60"/>
              <w:ind w:left="0" w:right="141"/>
              <w:jc w:val="center"/>
              <w:rPr>
                <w:b/>
                <w:noProof/>
                <w:highlight w:val="yellow"/>
                <w:u w:val="single"/>
              </w:rPr>
            </w:pPr>
            <w:r>
              <w:rPr>
                <w:noProof/>
              </w:rPr>
              <w:t xml:space="preserve">          6 003</w:t>
            </w:r>
          </w:p>
        </w:tc>
      </w:tr>
      <w:tr w:rsidR="0073489B">
        <w:tc>
          <w:tcPr>
            <w:tcW w:w="6120" w:type="dxa"/>
            <w:shd w:val="clear" w:color="auto" w:fill="auto"/>
          </w:tcPr>
          <w:p w:rsidR="0073489B" w:rsidRDefault="00A46D11">
            <w:pPr>
              <w:spacing w:before="60" w:after="60"/>
              <w:ind w:left="33" w:right="141"/>
              <w:rPr>
                <w:b/>
                <w:bCs/>
                <w:noProof/>
                <w:szCs w:val="24"/>
              </w:rPr>
            </w:pPr>
            <w:r>
              <w:rPr>
                <w:b/>
                <w:bCs/>
                <w:i/>
                <w:iCs/>
                <w:noProof/>
                <w:szCs w:val="24"/>
              </w:rPr>
              <w:t xml:space="preserve">= Total </w:t>
            </w:r>
            <w:r>
              <w:rPr>
                <w:b/>
                <w:bCs/>
                <w:i/>
                <w:iCs/>
                <w:noProof/>
                <w:szCs w:val="24"/>
              </w:rPr>
              <w:t>assets</w:t>
            </w:r>
          </w:p>
        </w:tc>
        <w:tc>
          <w:tcPr>
            <w:tcW w:w="3060" w:type="dxa"/>
            <w:shd w:val="clear" w:color="auto" w:fill="auto"/>
            <w:vAlign w:val="center"/>
          </w:tcPr>
          <w:p w:rsidR="0073489B" w:rsidRDefault="00A46D11">
            <w:pPr>
              <w:pStyle w:val="ListParagraph"/>
              <w:spacing w:before="60" w:after="60"/>
              <w:ind w:left="0" w:right="141"/>
              <w:jc w:val="center"/>
              <w:rPr>
                <w:b/>
                <w:noProof/>
                <w:highlight w:val="yellow"/>
                <w:u w:val="single"/>
              </w:rPr>
            </w:pPr>
            <w:r>
              <w:rPr>
                <w:noProof/>
              </w:rPr>
              <w:t>99 616 452</w:t>
            </w:r>
          </w:p>
        </w:tc>
      </w:tr>
    </w:tbl>
    <w:p w:rsidR="0073489B" w:rsidRDefault="00A46D11">
      <w:pPr>
        <w:pStyle w:val="Heading5"/>
        <w:numPr>
          <w:ilvl w:val="0"/>
          <w:numId w:val="0"/>
        </w:numPr>
        <w:spacing w:before="160"/>
        <w:ind w:left="284"/>
        <w:rPr>
          <w:b w:val="0"/>
          <w:noProof/>
        </w:rPr>
      </w:pPr>
      <w:r>
        <w:rPr>
          <w:b w:val="0"/>
          <w:i/>
          <w:noProof/>
        </w:rPr>
        <w:lastRenderedPageBreak/>
        <w:t>Impact of negative interest rates on SMEG 07: no impact as at 31/12/2016</w:t>
      </w:r>
      <w:r>
        <w:rPr>
          <w:rStyle w:val="FootnoteReference"/>
          <w:b w:val="0"/>
          <w:i/>
          <w:noProof/>
        </w:rPr>
        <w:footnoteReference w:id="94"/>
      </w:r>
    </w:p>
    <w:p w:rsidR="0073489B" w:rsidRDefault="00A46D11">
      <w:pPr>
        <w:pStyle w:val="Heading5"/>
        <w:spacing w:before="160"/>
        <w:ind w:left="284" w:firstLine="0"/>
        <w:rPr>
          <w:noProof/>
        </w:rPr>
      </w:pPr>
      <w:r>
        <w:rPr>
          <w:noProof/>
        </w:rPr>
        <w:t>Revenues and repayments (Art.140. 6)</w:t>
      </w:r>
      <w:bookmarkEnd w:id="118"/>
      <w:r>
        <w:rPr>
          <w:noProof/>
        </w:rPr>
        <w:t>;</w:t>
      </w:r>
    </w:p>
    <w:p w:rsidR="0073489B" w:rsidRDefault="00A46D11">
      <w:pPr>
        <w:spacing w:after="60"/>
        <w:ind w:right="141"/>
        <w:contextualSpacing/>
        <w:rPr>
          <w:noProof/>
        </w:rPr>
      </w:pPr>
      <w:bookmarkStart w:id="119" w:name="_Toc387228804"/>
      <w:r>
        <w:rPr>
          <w:noProof/>
        </w:rPr>
        <w:t>Revenues of the year 2016</w:t>
      </w:r>
      <w:r>
        <w:rPr>
          <w:noProof/>
        </w:rPr>
        <w:tab/>
      </w:r>
      <w:r>
        <w:rPr>
          <w:noProof/>
        </w:rPr>
        <w:tab/>
      </w:r>
      <w:r>
        <w:rPr>
          <w:noProof/>
        </w:rPr>
        <w:tab/>
      </w:r>
      <w:r>
        <w:rPr>
          <w:noProof/>
        </w:rPr>
        <w:tab/>
      </w:r>
      <w:r>
        <w:rPr>
          <w:noProof/>
        </w:rPr>
        <w:tab/>
        <w:t xml:space="preserve">                      EUR 2 124 043</w:t>
      </w:r>
    </w:p>
    <w:p w:rsidR="0073489B" w:rsidRDefault="00A46D11">
      <w:pPr>
        <w:spacing w:after="60"/>
        <w:ind w:right="141"/>
        <w:contextualSpacing/>
        <w:rPr>
          <w:noProof/>
        </w:rPr>
      </w:pPr>
      <w:r>
        <w:rPr>
          <w:noProof/>
        </w:rPr>
        <w:t>Repayments of the year 2016</w:t>
      </w:r>
      <w:r>
        <w:rPr>
          <w:noProof/>
        </w:rPr>
        <w:tab/>
      </w:r>
      <w:r>
        <w:rPr>
          <w:noProof/>
        </w:rPr>
        <w:tab/>
      </w:r>
      <w:r>
        <w:rPr>
          <w:noProof/>
        </w:rPr>
        <w:tab/>
      </w:r>
      <w:r>
        <w:rPr>
          <w:noProof/>
        </w:rPr>
        <w:tab/>
      </w:r>
      <w:r>
        <w:rPr>
          <w:noProof/>
        </w:rPr>
        <w:tab/>
      </w:r>
      <w:r>
        <w:rPr>
          <w:noProof/>
        </w:rPr>
        <w:tab/>
        <w:t xml:space="preserve">          EUR             </w:t>
      </w:r>
      <w:r>
        <w:rPr>
          <w:noProof/>
        </w:rPr>
        <w:t xml:space="preserve">  0</w:t>
      </w:r>
    </w:p>
    <w:p w:rsidR="0073489B" w:rsidRDefault="0073489B">
      <w:pPr>
        <w:spacing w:after="60"/>
        <w:ind w:right="141"/>
        <w:contextualSpacing/>
        <w:rPr>
          <w:noProof/>
        </w:rPr>
      </w:pPr>
    </w:p>
    <w:p w:rsidR="0073489B" w:rsidRDefault="00A46D11">
      <w:pPr>
        <w:spacing w:after="60"/>
        <w:ind w:right="141"/>
        <w:contextualSpacing/>
        <w:rPr>
          <w:noProof/>
        </w:rPr>
      </w:pPr>
      <w:r>
        <w:rPr>
          <w:noProof/>
        </w:rPr>
        <w:t>Aggregate additional resources regularised for the instrument as at 31/12/2016</w:t>
      </w:r>
    </w:p>
    <w:p w:rsidR="0073489B" w:rsidRDefault="00A46D11">
      <w:pPr>
        <w:spacing w:after="60"/>
        <w:ind w:right="141"/>
        <w:contextualSpacing/>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EUR 21 773 583</w:t>
      </w:r>
      <w:r>
        <w:rPr>
          <w:rStyle w:val="FootnoteReference"/>
          <w:noProof/>
        </w:rPr>
        <w:footnoteReference w:id="95"/>
      </w:r>
    </w:p>
    <w:p w:rsidR="0073489B" w:rsidRDefault="0073489B">
      <w:pPr>
        <w:spacing w:after="60"/>
        <w:ind w:right="141"/>
        <w:contextualSpacing/>
        <w:rPr>
          <w:noProof/>
          <w:szCs w:val="24"/>
        </w:rPr>
      </w:pPr>
    </w:p>
    <w:p w:rsidR="0073489B" w:rsidRDefault="00A46D11">
      <w:pPr>
        <w:pStyle w:val="Heading5"/>
        <w:spacing w:before="120"/>
        <w:ind w:left="284" w:firstLine="0"/>
        <w:rPr>
          <w:noProof/>
        </w:rPr>
      </w:pPr>
      <w:r>
        <w:rPr>
          <w:noProof/>
        </w:rPr>
        <w:t>The value of equity investments, with respect to previous years</w:t>
      </w:r>
      <w:bookmarkEnd w:id="119"/>
      <w:r>
        <w:rPr>
          <w:noProof/>
        </w:rPr>
        <w:t>;</w:t>
      </w:r>
    </w:p>
    <w:p w:rsidR="0073489B" w:rsidRDefault="00A46D11">
      <w:pPr>
        <w:spacing w:after="60"/>
        <w:ind w:right="141"/>
        <w:rPr>
          <w:noProof/>
          <w:szCs w:val="24"/>
        </w:rPr>
      </w:pPr>
      <w:r>
        <w:rPr>
          <w:noProof/>
        </w:rPr>
        <w:t>NA</w:t>
      </w:r>
    </w:p>
    <w:p w:rsidR="0073489B" w:rsidRDefault="00A46D11">
      <w:pPr>
        <w:pStyle w:val="Heading5"/>
        <w:spacing w:before="120"/>
        <w:ind w:left="284" w:firstLine="0"/>
        <w:rPr>
          <w:noProof/>
        </w:rPr>
      </w:pPr>
      <w:bookmarkStart w:id="120" w:name="_Toc387228805"/>
      <w:r>
        <w:rPr>
          <w:noProof/>
        </w:rPr>
        <w:t xml:space="preserve">The accumulated figures on called guarantees for guarantee </w:t>
      </w:r>
      <w:r>
        <w:rPr>
          <w:noProof/>
        </w:rPr>
        <w:t>instruments</w:t>
      </w:r>
      <w:bookmarkEnd w:id="120"/>
      <w:r>
        <w:rPr>
          <w:noProof/>
        </w:rPr>
        <w:t>;</w:t>
      </w:r>
    </w:p>
    <w:tbl>
      <w:tblPr>
        <w:tblW w:w="9180" w:type="dxa"/>
        <w:shd w:val="clear" w:color="auto" w:fill="FFFFFF"/>
        <w:tblLayout w:type="fixed"/>
        <w:tblLook w:val="04A0" w:firstRow="1" w:lastRow="0" w:firstColumn="1" w:lastColumn="0" w:noHBand="0" w:noVBand="1"/>
      </w:tblPr>
      <w:tblGrid>
        <w:gridCol w:w="6228"/>
        <w:gridCol w:w="2952"/>
      </w:tblGrid>
      <w:tr w:rsidR="0073489B">
        <w:trPr>
          <w:trHeight w:val="574"/>
        </w:trPr>
        <w:tc>
          <w:tcPr>
            <w:tcW w:w="6228" w:type="dxa"/>
            <w:shd w:val="clear" w:color="auto" w:fill="FFFFFF"/>
            <w:vAlign w:val="center"/>
          </w:tcPr>
          <w:p w:rsidR="0073489B" w:rsidRDefault="00A46D11">
            <w:pPr>
              <w:keepLines/>
              <w:spacing w:after="60"/>
              <w:contextualSpacing/>
              <w:rPr>
                <w:noProof/>
                <w:szCs w:val="24"/>
              </w:rPr>
            </w:pPr>
            <w:r>
              <w:rPr>
                <w:noProof/>
                <w:szCs w:val="24"/>
              </w:rPr>
              <w:t>Called guarantees as at 31/12/2016</w:t>
            </w:r>
          </w:p>
        </w:tc>
        <w:tc>
          <w:tcPr>
            <w:tcW w:w="2952" w:type="dxa"/>
            <w:shd w:val="clear" w:color="auto" w:fill="FFFFFF"/>
            <w:vAlign w:val="center"/>
          </w:tcPr>
          <w:p w:rsidR="0073489B" w:rsidRDefault="00A46D11">
            <w:pPr>
              <w:keepLines/>
              <w:spacing w:after="60"/>
              <w:rPr>
                <w:noProof/>
                <w:szCs w:val="24"/>
              </w:rPr>
            </w:pPr>
            <w:r>
              <w:rPr>
                <w:noProof/>
                <w:szCs w:val="24"/>
              </w:rPr>
              <w:t xml:space="preserve">              </w:t>
            </w:r>
            <w:r>
              <w:rPr>
                <w:noProof/>
              </w:rPr>
              <w:t>EUR 292 633 832</w:t>
            </w:r>
            <w:r>
              <w:rPr>
                <w:b/>
                <w:bCs/>
                <w:noProof/>
                <w:szCs w:val="24"/>
              </w:rPr>
              <w:t xml:space="preserve"> </w:t>
            </w:r>
          </w:p>
        </w:tc>
      </w:tr>
    </w:tbl>
    <w:p w:rsidR="0073489B" w:rsidRDefault="00A46D11">
      <w:pPr>
        <w:pStyle w:val="Heading5"/>
        <w:keepNext w:val="0"/>
        <w:spacing w:before="60"/>
        <w:ind w:left="284" w:firstLine="0"/>
        <w:jc w:val="both"/>
        <w:rPr>
          <w:noProof/>
        </w:rPr>
      </w:pPr>
      <w:bookmarkStart w:id="121" w:name="_Toc387228806"/>
      <w:r>
        <w:rPr>
          <w:noProof/>
        </w:rPr>
        <w:t>The target leverage effect, and the achieved leverage effect</w:t>
      </w:r>
      <w:bookmarkEnd w:id="121"/>
      <w:r>
        <w:rPr>
          <w:noProof/>
        </w:rPr>
        <w:t>;</w:t>
      </w:r>
    </w:p>
    <w:p w:rsidR="0073489B" w:rsidRDefault="00A46D11">
      <w:pPr>
        <w:tabs>
          <w:tab w:val="num" w:pos="1080"/>
        </w:tabs>
        <w:spacing w:after="60"/>
        <w:jc w:val="both"/>
        <w:rPr>
          <w:noProof/>
          <w:szCs w:val="24"/>
        </w:rPr>
      </w:pPr>
      <w:r>
        <w:rPr>
          <w:noProof/>
        </w:rPr>
        <w:t>The achieved leverage effect for CIP SMEG 07 at the level of entrusted entity (total loan volume received by the r</w:t>
      </w:r>
      <w:r>
        <w:rPr>
          <w:noProof/>
        </w:rPr>
        <w:t>ecipient SMEs / EU guarantee cap amount) is approx. 40</w:t>
      </w:r>
      <w:r>
        <w:rPr>
          <w:noProof/>
          <w:szCs w:val="24"/>
        </w:rPr>
        <w:t>.</w:t>
      </w:r>
      <w:r>
        <w:rPr>
          <w:noProof/>
          <w:szCs w:val="24"/>
          <w:vertAlign w:val="superscript"/>
        </w:rPr>
        <w:footnoteReference w:id="96"/>
      </w:r>
      <w:r>
        <w:rPr>
          <w:noProof/>
          <w:szCs w:val="24"/>
        </w:rPr>
        <w:t xml:space="preserve"> </w:t>
      </w:r>
    </w:p>
    <w:p w:rsidR="0073489B" w:rsidRDefault="00A46D11">
      <w:pPr>
        <w:tabs>
          <w:tab w:val="num" w:pos="1080"/>
        </w:tabs>
        <w:spacing w:after="60"/>
        <w:jc w:val="both"/>
        <w:rPr>
          <w:noProof/>
          <w:szCs w:val="24"/>
        </w:rPr>
      </w:pPr>
      <w:r>
        <w:rPr>
          <w:noProof/>
          <w:szCs w:val="24"/>
        </w:rPr>
        <w:t xml:space="preserve">The expected CIP SMEG07 leverage effect for signed operations (calculated as </w:t>
      </w:r>
      <w:r>
        <w:rPr>
          <w:noProof/>
          <w:color w:val="000000"/>
        </w:rPr>
        <w:t>"Estimated SME financing"</w:t>
      </w:r>
      <w:r>
        <w:rPr>
          <w:noProof/>
          <w:szCs w:val="24"/>
        </w:rPr>
        <w:t xml:space="preserve"> / EU guarantee cap amount) is estimated around 44</w:t>
      </w:r>
      <w:r>
        <w:rPr>
          <w:rStyle w:val="FootnoteReference"/>
          <w:noProof/>
          <w:szCs w:val="24"/>
        </w:rPr>
        <w:footnoteReference w:id="97"/>
      </w:r>
      <w:r>
        <w:rPr>
          <w:noProof/>
          <w:szCs w:val="24"/>
        </w:rPr>
        <w:t xml:space="preserve"> for the entire duration of the programme.</w:t>
      </w:r>
    </w:p>
    <w:p w:rsidR="0073489B" w:rsidRDefault="0073489B">
      <w:pPr>
        <w:tabs>
          <w:tab w:val="num" w:pos="1080"/>
        </w:tabs>
        <w:spacing w:after="60"/>
        <w:rPr>
          <w:noProof/>
          <w:szCs w:val="24"/>
        </w:rPr>
      </w:pPr>
    </w:p>
    <w:p w:rsidR="0073489B" w:rsidRDefault="00A46D11">
      <w:pPr>
        <w:pStyle w:val="Heading4"/>
        <w:ind w:left="426" w:hanging="426"/>
        <w:rPr>
          <w:noProof/>
        </w:rPr>
      </w:pPr>
      <w:bookmarkStart w:id="122" w:name="_Toc387228807"/>
      <w:bookmarkStart w:id="123" w:name="_Toc388541882"/>
      <w:r>
        <w:rPr>
          <w:noProof/>
        </w:rPr>
        <w:t>Strategic importance/relevance</w:t>
      </w:r>
      <w:bookmarkEnd w:id="122"/>
      <w:bookmarkEnd w:id="123"/>
    </w:p>
    <w:p w:rsidR="0073489B" w:rsidRDefault="00A46D11">
      <w:pPr>
        <w:pStyle w:val="Heading5"/>
        <w:spacing w:before="120"/>
        <w:ind w:left="284" w:firstLine="0"/>
        <w:jc w:val="both"/>
        <w:rPr>
          <w:noProof/>
        </w:rPr>
      </w:pPr>
      <w:bookmarkStart w:id="124" w:name="_Toc387228808"/>
      <w:r>
        <w:rPr>
          <w:noProof/>
        </w:rPr>
        <w:t>The contribution of the financial instrument to the achievement of the objectives of the programme concerned as measured by the established indicators, including, where applicable, the geographical diversification</w:t>
      </w:r>
      <w:bookmarkEnd w:id="124"/>
      <w:r>
        <w:rPr>
          <w:noProof/>
        </w:rPr>
        <w:t>;</w:t>
      </w:r>
    </w:p>
    <w:p w:rsidR="0073489B" w:rsidRDefault="00A46D11">
      <w:pPr>
        <w:pStyle w:val="ListParagraph"/>
        <w:spacing w:after="60"/>
        <w:ind w:left="0"/>
        <w:jc w:val="both"/>
        <w:rPr>
          <w:noProof/>
          <w:szCs w:val="24"/>
        </w:rPr>
      </w:pPr>
      <w:r>
        <w:rPr>
          <w:noProof/>
          <w:szCs w:val="24"/>
        </w:rPr>
        <w:t>As at 31/1</w:t>
      </w:r>
      <w:r>
        <w:rPr>
          <w:noProof/>
          <w:szCs w:val="24"/>
        </w:rPr>
        <w:t>2/2016, the SMEG07 already contributed to provide more than 2</w:t>
      </w:r>
      <w:r>
        <w:rPr>
          <w:noProof/>
        </w:rPr>
        <w:t xml:space="preserve">1,1 billion EUR of financing to nearly </w:t>
      </w:r>
      <w:r>
        <w:rPr>
          <w:noProof/>
          <w:szCs w:val="24"/>
        </w:rPr>
        <w:t>3</w:t>
      </w:r>
      <w:r>
        <w:rPr>
          <w:noProof/>
        </w:rPr>
        <w:t>86 000 Final Recipients (SMEs) through more than 469 000 underlying loans, accounting for an estimated 30,86</w:t>
      </w:r>
      <w:r>
        <w:rPr>
          <w:noProof/>
          <w:szCs w:val="24"/>
        </w:rPr>
        <w:t xml:space="preserve"> billion EUR investment amount</w:t>
      </w:r>
      <w:r>
        <w:rPr>
          <w:noProof/>
        </w:rPr>
        <w:t>,</w:t>
      </w:r>
      <w:r>
        <w:rPr>
          <w:noProof/>
          <w:szCs w:val="24"/>
        </w:rPr>
        <w:t xml:space="preserve">  and had thus a</w:t>
      </w:r>
      <w:r>
        <w:rPr>
          <w:noProof/>
          <w:szCs w:val="24"/>
        </w:rPr>
        <w:t xml:space="preserve">n important impact on the real economy of the EU as described below.  </w:t>
      </w:r>
    </w:p>
    <w:p w:rsidR="0073489B" w:rsidRDefault="00A46D11">
      <w:pPr>
        <w:shd w:val="clear" w:color="auto" w:fill="FFFFFF"/>
        <w:spacing w:after="60"/>
        <w:jc w:val="both"/>
        <w:rPr>
          <w:noProof/>
          <w:szCs w:val="24"/>
          <w:lang w:val="en-IE"/>
        </w:rPr>
      </w:pPr>
      <w:r>
        <w:rPr>
          <w:noProof/>
          <w:szCs w:val="24"/>
          <w:lang w:val="en-US"/>
        </w:rPr>
        <w:t xml:space="preserve">The latest evaluations related to GIF and SMEG financial instruments </w:t>
      </w:r>
      <w:r>
        <w:rPr>
          <w:noProof/>
          <w:szCs w:val="24"/>
          <w:lang w:val="en-IE"/>
        </w:rPr>
        <w:t xml:space="preserve">reiterated that </w:t>
      </w:r>
      <w:r>
        <w:rPr>
          <w:noProof/>
          <w:szCs w:val="24"/>
          <w:lang w:val="en-US"/>
        </w:rPr>
        <w:t xml:space="preserve">the financial instruments </w:t>
      </w:r>
      <w:r>
        <w:rPr>
          <w:noProof/>
          <w:szCs w:val="24"/>
          <w:lang w:val="en-IE"/>
        </w:rPr>
        <w:t xml:space="preserve">appeared to be on track to achieve the targets set and confirmed that the </w:t>
      </w:r>
      <w:r>
        <w:rPr>
          <w:noProof/>
          <w:szCs w:val="24"/>
          <w:lang w:val="en-IE"/>
        </w:rPr>
        <w:t>effectiveness of the financial instruments has increased over time. In more detail, regarding:</w:t>
      </w:r>
    </w:p>
    <w:p w:rsidR="0073489B" w:rsidRDefault="00A46D11">
      <w:pPr>
        <w:spacing w:before="160"/>
        <w:ind w:left="360" w:right="141"/>
        <w:jc w:val="both"/>
        <w:rPr>
          <w:i/>
          <w:noProof/>
          <w:szCs w:val="24"/>
          <w:lang w:val="en-US"/>
        </w:rPr>
      </w:pPr>
      <w:r>
        <w:rPr>
          <w:i/>
          <w:noProof/>
          <w:szCs w:val="24"/>
          <w:lang w:val="en-US"/>
        </w:rPr>
        <w:t>a) Effectiveness and efficiency</w:t>
      </w:r>
    </w:p>
    <w:p w:rsidR="0073489B" w:rsidRDefault="00A46D11">
      <w:pPr>
        <w:spacing w:after="60"/>
        <w:ind w:right="141"/>
        <w:jc w:val="both"/>
        <w:rPr>
          <w:noProof/>
          <w:szCs w:val="24"/>
          <w:lang w:val="en-US"/>
        </w:rPr>
      </w:pPr>
      <w:r>
        <w:rPr>
          <w:noProof/>
          <w:szCs w:val="24"/>
          <w:lang w:val="en-US"/>
        </w:rPr>
        <w:t>The financial instruments appear to be on track to achieve the targets set and seem to be acquiring a certain momentum that may l</w:t>
      </w:r>
      <w:r>
        <w:rPr>
          <w:noProof/>
          <w:szCs w:val="24"/>
          <w:lang w:val="en-US"/>
        </w:rPr>
        <w:t>ead them to exceed expectations.</w:t>
      </w:r>
      <w:r>
        <w:rPr>
          <w:noProof/>
          <w:szCs w:val="24"/>
          <w:vertAlign w:val="superscript"/>
          <w:lang w:val="en-US"/>
        </w:rPr>
        <w:t xml:space="preserve"> </w:t>
      </w:r>
      <w:r>
        <w:rPr>
          <w:noProof/>
          <w:szCs w:val="24"/>
          <w:vertAlign w:val="superscript"/>
          <w:lang w:val="en-US"/>
        </w:rPr>
        <w:footnoteReference w:id="98"/>
      </w:r>
    </w:p>
    <w:p w:rsidR="0073489B" w:rsidRDefault="00A46D11">
      <w:pPr>
        <w:spacing w:after="60"/>
        <w:jc w:val="both"/>
        <w:rPr>
          <w:noProof/>
          <w:szCs w:val="24"/>
          <w:lang w:val="en-US"/>
        </w:rPr>
      </w:pPr>
      <w:r>
        <w:rPr>
          <w:noProof/>
          <w:szCs w:val="24"/>
          <w:lang w:val="en-US"/>
        </w:rPr>
        <w:t xml:space="preserve">In addition, there have been improvements in monitoring systems at the level of both EIF (entrusted entity) and financial intermediaries involved in implementation which contributed </w:t>
      </w:r>
      <w:r>
        <w:rPr>
          <w:noProof/>
          <w:szCs w:val="24"/>
          <w:lang w:val="en-US"/>
        </w:rPr>
        <w:lastRenderedPageBreak/>
        <w:t>to tracking comprehensively performance</w:t>
      </w:r>
      <w:r>
        <w:rPr>
          <w:noProof/>
          <w:szCs w:val="24"/>
          <w:lang w:val="en-US"/>
        </w:rPr>
        <w:t xml:space="preserve"> of the instrument and thus more effectively pursuing the policy objectives of the instrument.</w:t>
      </w:r>
    </w:p>
    <w:p w:rsidR="0073489B" w:rsidRDefault="00A46D11">
      <w:pPr>
        <w:tabs>
          <w:tab w:val="num" w:pos="1080"/>
        </w:tabs>
        <w:spacing w:before="160"/>
        <w:ind w:left="360"/>
        <w:jc w:val="both"/>
        <w:rPr>
          <w:i/>
          <w:noProof/>
          <w:szCs w:val="24"/>
        </w:rPr>
      </w:pPr>
      <w:r>
        <w:rPr>
          <w:i/>
          <w:noProof/>
          <w:szCs w:val="24"/>
        </w:rPr>
        <w:t>b) Relevance</w:t>
      </w:r>
    </w:p>
    <w:p w:rsidR="0073489B" w:rsidRDefault="00A46D11">
      <w:pPr>
        <w:tabs>
          <w:tab w:val="num" w:pos="1080"/>
        </w:tabs>
        <w:ind w:firstLine="3"/>
        <w:jc w:val="both"/>
        <w:rPr>
          <w:noProof/>
          <w:szCs w:val="24"/>
        </w:rPr>
      </w:pPr>
      <w:r>
        <w:rPr>
          <w:noProof/>
          <w:szCs w:val="24"/>
        </w:rPr>
        <w:t>The relevance of the instrument as assessed by the recipient SMEs is significant</w:t>
      </w:r>
      <w:r>
        <w:rPr>
          <w:noProof/>
          <w:szCs w:val="24"/>
          <w:vertAlign w:val="superscript"/>
        </w:rPr>
        <w:footnoteReference w:id="99"/>
      </w:r>
      <w:r>
        <w:rPr>
          <w:noProof/>
          <w:szCs w:val="24"/>
        </w:rPr>
        <w:t xml:space="preserve">: </w:t>
      </w:r>
    </w:p>
    <w:p w:rsidR="0073489B" w:rsidRDefault="00A46D11">
      <w:pPr>
        <w:numPr>
          <w:ilvl w:val="2"/>
          <w:numId w:val="197"/>
        </w:numPr>
        <w:ind w:left="142" w:hanging="142"/>
        <w:jc w:val="both"/>
        <w:rPr>
          <w:noProof/>
          <w:szCs w:val="24"/>
        </w:rPr>
      </w:pPr>
      <w:r>
        <w:rPr>
          <w:noProof/>
          <w:szCs w:val="24"/>
        </w:rPr>
        <w:t>46% stated that the EU financing scheme was the only option avai</w:t>
      </w:r>
      <w:r>
        <w:rPr>
          <w:noProof/>
          <w:szCs w:val="24"/>
        </w:rPr>
        <w:t>lable for them to get financing,</w:t>
      </w:r>
    </w:p>
    <w:p w:rsidR="0073489B" w:rsidRDefault="00A46D11">
      <w:pPr>
        <w:numPr>
          <w:ilvl w:val="2"/>
          <w:numId w:val="197"/>
        </w:numPr>
        <w:ind w:left="142" w:hanging="142"/>
        <w:jc w:val="both"/>
        <w:rPr>
          <w:noProof/>
          <w:szCs w:val="24"/>
        </w:rPr>
      </w:pPr>
      <w:r>
        <w:rPr>
          <w:noProof/>
          <w:szCs w:val="24"/>
        </w:rPr>
        <w:t>18% stated that without the EU support they would have received only part of the funding needed, 42% stated that the EU support helped them to get additional finance and</w:t>
      </w:r>
    </w:p>
    <w:p w:rsidR="0073489B" w:rsidRDefault="00A46D11">
      <w:pPr>
        <w:numPr>
          <w:ilvl w:val="2"/>
          <w:numId w:val="197"/>
        </w:numPr>
        <w:ind w:left="142" w:hanging="142"/>
        <w:jc w:val="both"/>
        <w:rPr>
          <w:noProof/>
          <w:szCs w:val="24"/>
        </w:rPr>
      </w:pPr>
      <w:r>
        <w:rPr>
          <w:noProof/>
          <w:szCs w:val="24"/>
        </w:rPr>
        <w:t>64% stated that EU support was crucial to find the fi</w:t>
      </w:r>
      <w:r>
        <w:rPr>
          <w:noProof/>
          <w:szCs w:val="24"/>
        </w:rPr>
        <w:t>nance needed.</w:t>
      </w:r>
    </w:p>
    <w:p w:rsidR="0073489B" w:rsidRDefault="00A46D11">
      <w:pPr>
        <w:ind w:firstLine="3"/>
        <w:jc w:val="both"/>
        <w:rPr>
          <w:noProof/>
          <w:szCs w:val="24"/>
        </w:rPr>
      </w:pPr>
      <w:r>
        <w:rPr>
          <w:noProof/>
          <w:szCs w:val="24"/>
        </w:rPr>
        <w:t>In this regard, the SMEG Facility has a wide geographical coverage. The instrument involves 5</w:t>
      </w:r>
      <w:r>
        <w:rPr>
          <w:noProof/>
        </w:rPr>
        <w:t>2</w:t>
      </w:r>
      <w:r>
        <w:rPr>
          <w:noProof/>
          <w:szCs w:val="24"/>
        </w:rPr>
        <w:t xml:space="preserve"> financial intermediaries, which have been providing finance to SMEs in 2</w:t>
      </w:r>
      <w:r>
        <w:rPr>
          <w:noProof/>
        </w:rPr>
        <w:t>3</w:t>
      </w:r>
      <w:r>
        <w:rPr>
          <w:noProof/>
          <w:szCs w:val="24"/>
        </w:rPr>
        <w:t xml:space="preserve"> participating countries.</w:t>
      </w:r>
    </w:p>
    <w:p w:rsidR="0073489B" w:rsidRDefault="00A46D11">
      <w:pPr>
        <w:tabs>
          <w:tab w:val="num" w:pos="1080"/>
        </w:tabs>
        <w:ind w:firstLine="3"/>
        <w:jc w:val="both"/>
        <w:rPr>
          <w:noProof/>
          <w:szCs w:val="24"/>
        </w:rPr>
      </w:pPr>
      <w:r>
        <w:rPr>
          <w:noProof/>
          <w:szCs w:val="24"/>
        </w:rPr>
        <w:t xml:space="preserve">Based on the financing volumes supported so far </w:t>
      </w:r>
      <w:r>
        <w:rPr>
          <w:noProof/>
          <w:szCs w:val="24"/>
        </w:rPr>
        <w:t>(see the relevant sections above), the CIP</w:t>
      </w:r>
      <w:r>
        <w:rPr>
          <w:b/>
          <w:noProof/>
          <w:szCs w:val="24"/>
        </w:rPr>
        <w:t xml:space="preserve"> </w:t>
      </w:r>
      <w:r>
        <w:rPr>
          <w:noProof/>
          <w:szCs w:val="24"/>
        </w:rPr>
        <w:t xml:space="preserve">market-oriented instruments under both GIF and SMEG have shown high efficiency and relevance in addressing current market conditions, dominated in recent years by a tightening of credit conditions and more </w:t>
      </w:r>
      <w:r>
        <w:rPr>
          <w:noProof/>
          <w:szCs w:val="24"/>
        </w:rPr>
        <w:t>difficult access to finance for SMEs. The SMEG Facility is a counter-cyclical instrument and has helped final recipients to face difficulties arising from the economic conditions since the crisis, namely to obtain or maintain access to finance and to creat</w:t>
      </w:r>
      <w:r>
        <w:rPr>
          <w:noProof/>
          <w:szCs w:val="24"/>
        </w:rPr>
        <w:t>e or maintain jobs over the period.</w:t>
      </w:r>
    </w:p>
    <w:p w:rsidR="0073489B" w:rsidRDefault="00A46D11">
      <w:pPr>
        <w:tabs>
          <w:tab w:val="num" w:pos="1080"/>
        </w:tabs>
        <w:ind w:firstLine="3"/>
        <w:jc w:val="both"/>
        <w:rPr>
          <w:noProof/>
          <w:szCs w:val="24"/>
        </w:rPr>
      </w:pPr>
      <w:r>
        <w:rPr>
          <w:noProof/>
          <w:szCs w:val="24"/>
        </w:rPr>
        <w:t xml:space="preserve">In this respect, although the overall effect of EU programmes on SMEs' financing remains limited (by nature, EU intervention is limited to market gaps or sub-optimal market situations, meaning by far the largest part of </w:t>
      </w:r>
      <w:r>
        <w:rPr>
          <w:noProof/>
          <w:szCs w:val="24"/>
        </w:rPr>
        <w:t>financing is provided by banking and finance market players), the Facility did, however, make a very positive contribution to the development and sustainability of EU SMEs.</w:t>
      </w:r>
    </w:p>
    <w:p w:rsidR="0073489B" w:rsidRDefault="0073489B">
      <w:pPr>
        <w:tabs>
          <w:tab w:val="num" w:pos="1080"/>
        </w:tabs>
        <w:ind w:firstLine="3"/>
        <w:jc w:val="both"/>
        <w:rPr>
          <w:noProof/>
        </w:rPr>
      </w:pPr>
    </w:p>
    <w:p w:rsidR="0073489B" w:rsidRDefault="00A46D11">
      <w:pPr>
        <w:tabs>
          <w:tab w:val="num" w:pos="1080"/>
        </w:tabs>
        <w:ind w:firstLine="3"/>
        <w:rPr>
          <w:b/>
          <w:i/>
          <w:noProof/>
        </w:rPr>
      </w:pPr>
      <w:r>
        <w:rPr>
          <w:noProof/>
        </w:rPr>
        <w:t xml:space="preserve">Graph: </w:t>
      </w:r>
      <w:r>
        <w:rPr>
          <w:b/>
          <w:i/>
          <w:noProof/>
        </w:rPr>
        <w:t>Geographical distribution of SMEG Loan amounts, million EUR</w:t>
      </w:r>
      <w:r>
        <w:rPr>
          <w:rStyle w:val="FootnoteReference"/>
          <w:b/>
          <w:i/>
          <w:noProof/>
        </w:rPr>
        <w:footnoteReference w:id="100"/>
      </w:r>
    </w:p>
    <w:p w:rsidR="0073489B" w:rsidRDefault="00A46D11">
      <w:pPr>
        <w:tabs>
          <w:tab w:val="num" w:pos="1080"/>
        </w:tabs>
        <w:ind w:firstLine="3"/>
        <w:rPr>
          <w:b/>
          <w:i/>
          <w:noProof/>
        </w:rPr>
      </w:pPr>
      <w:r>
        <w:rPr>
          <w:noProof/>
          <w:lang w:eastAsia="en-GB"/>
        </w:rPr>
        <w:drawing>
          <wp:inline distT="0" distB="0" distL="0" distR="0">
            <wp:extent cx="5748793" cy="3522428"/>
            <wp:effectExtent l="0" t="0" r="23495"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3489B" w:rsidRDefault="00A46D11">
      <w:pPr>
        <w:pStyle w:val="Heading4"/>
        <w:spacing w:before="160"/>
        <w:ind w:left="426" w:hanging="426"/>
        <w:jc w:val="both"/>
        <w:rPr>
          <w:noProof/>
        </w:rPr>
      </w:pPr>
      <w:bookmarkStart w:id="125" w:name="_Toc387228809"/>
      <w:bookmarkStart w:id="126" w:name="_Toc388541883"/>
      <w:r>
        <w:rPr>
          <w:noProof/>
        </w:rPr>
        <w:lastRenderedPageBreak/>
        <w:t>Other key po</w:t>
      </w:r>
      <w:r>
        <w:rPr>
          <w:noProof/>
        </w:rPr>
        <w:t>ints and issues</w:t>
      </w:r>
      <w:bookmarkEnd w:id="125"/>
      <w:bookmarkEnd w:id="126"/>
    </w:p>
    <w:p w:rsidR="0073489B" w:rsidRDefault="00A46D11">
      <w:pPr>
        <w:pStyle w:val="ListParagraph"/>
        <w:numPr>
          <w:ilvl w:val="0"/>
          <w:numId w:val="108"/>
        </w:numPr>
        <w:autoSpaceDE w:val="0"/>
        <w:autoSpaceDN w:val="0"/>
        <w:adjustRightInd w:val="0"/>
        <w:ind w:left="0" w:right="141" w:hanging="142"/>
        <w:jc w:val="both"/>
        <w:rPr>
          <w:noProof/>
          <w:szCs w:val="24"/>
        </w:rPr>
      </w:pPr>
      <w:r>
        <w:rPr>
          <w:noProof/>
          <w:szCs w:val="24"/>
        </w:rPr>
        <w:t>During the SMEG implementation period, the following presumptions have been identified as necessary:</w:t>
      </w:r>
    </w:p>
    <w:p w:rsidR="0073489B" w:rsidRDefault="00A46D11">
      <w:pPr>
        <w:pStyle w:val="ListParagraph"/>
        <w:numPr>
          <w:ilvl w:val="0"/>
          <w:numId w:val="158"/>
        </w:numPr>
        <w:ind w:left="567" w:hanging="283"/>
        <w:jc w:val="both"/>
        <w:rPr>
          <w:bCs/>
          <w:noProof/>
          <w:szCs w:val="24"/>
        </w:rPr>
      </w:pPr>
      <w:r>
        <w:rPr>
          <w:noProof/>
          <w:szCs w:val="24"/>
        </w:rPr>
        <w:t xml:space="preserve">a clear and complete target goal of the financial instrument so as there </w:t>
      </w:r>
      <w:r>
        <w:rPr>
          <w:bCs/>
          <w:i/>
          <w:noProof/>
          <w:szCs w:val="24"/>
        </w:rPr>
        <w:t>is no ambiguity as to what needs to be achieved in terms of SME ac</w:t>
      </w:r>
      <w:r>
        <w:rPr>
          <w:bCs/>
          <w:i/>
          <w:noProof/>
          <w:szCs w:val="24"/>
        </w:rPr>
        <w:t>cess to finance</w:t>
      </w:r>
      <w:r>
        <w:rPr>
          <w:bCs/>
          <w:noProof/>
          <w:szCs w:val="24"/>
        </w:rPr>
        <w:t xml:space="preserve"> (including keeping potential deadweight as small as possible);</w:t>
      </w:r>
    </w:p>
    <w:p w:rsidR="0073489B" w:rsidRDefault="00A46D11">
      <w:pPr>
        <w:numPr>
          <w:ilvl w:val="0"/>
          <w:numId w:val="158"/>
        </w:numPr>
        <w:ind w:left="567" w:hanging="283"/>
        <w:contextualSpacing/>
        <w:jc w:val="both"/>
        <w:rPr>
          <w:noProof/>
          <w:szCs w:val="24"/>
        </w:rPr>
      </w:pPr>
      <w:r>
        <w:rPr>
          <w:noProof/>
          <w:szCs w:val="24"/>
        </w:rPr>
        <w:t xml:space="preserve">a first class delivery mechanism, such as the EIF, that has proven expertise in working with </w:t>
      </w:r>
      <w:r>
        <w:rPr>
          <w:bCs/>
          <w:i/>
          <w:noProof/>
          <w:szCs w:val="24"/>
        </w:rPr>
        <w:t>the SME loan and guarantee provision chain</w:t>
      </w:r>
      <w:r>
        <w:rPr>
          <w:noProof/>
          <w:szCs w:val="24"/>
        </w:rPr>
        <w:t xml:space="preserve"> at European level;</w:t>
      </w:r>
    </w:p>
    <w:p w:rsidR="0073489B" w:rsidRDefault="00A46D11">
      <w:pPr>
        <w:numPr>
          <w:ilvl w:val="0"/>
          <w:numId w:val="158"/>
        </w:numPr>
        <w:ind w:left="567" w:hanging="283"/>
        <w:contextualSpacing/>
        <w:jc w:val="both"/>
        <w:rPr>
          <w:bCs/>
          <w:i/>
          <w:noProof/>
          <w:szCs w:val="24"/>
        </w:rPr>
      </w:pPr>
      <w:r>
        <w:rPr>
          <w:noProof/>
          <w:szCs w:val="24"/>
        </w:rPr>
        <w:t>sufficient flexibility</w:t>
      </w:r>
      <w:r>
        <w:rPr>
          <w:noProof/>
          <w:szCs w:val="24"/>
        </w:rPr>
        <w:t xml:space="preserve"> in the structure of the programme </w:t>
      </w:r>
      <w:r>
        <w:rPr>
          <w:bCs/>
          <w:i/>
          <w:noProof/>
          <w:szCs w:val="24"/>
        </w:rPr>
        <w:t>to accommodate and sustain shifts in the SME credit market (including force majeure and crisis conditions);</w:t>
      </w:r>
    </w:p>
    <w:p w:rsidR="0073489B" w:rsidRDefault="00A46D11">
      <w:pPr>
        <w:numPr>
          <w:ilvl w:val="0"/>
          <w:numId w:val="158"/>
        </w:numPr>
        <w:spacing w:after="60"/>
        <w:ind w:left="567" w:hanging="283"/>
        <w:jc w:val="both"/>
        <w:rPr>
          <w:noProof/>
          <w:szCs w:val="24"/>
        </w:rPr>
      </w:pPr>
      <w:r>
        <w:rPr>
          <w:noProof/>
          <w:szCs w:val="24"/>
        </w:rPr>
        <w:t>in line with suggestions from the European Court of Auditors, the new generation of guarantee financial instrumen</w:t>
      </w:r>
      <w:r>
        <w:rPr>
          <w:noProof/>
          <w:szCs w:val="24"/>
        </w:rPr>
        <w:t xml:space="preserve">ts has been designed by considering, </w:t>
      </w:r>
      <w:r>
        <w:rPr>
          <w:i/>
          <w:noProof/>
          <w:szCs w:val="24"/>
        </w:rPr>
        <w:t>inter alia</w:t>
      </w:r>
      <w:r>
        <w:rPr>
          <w:noProof/>
          <w:szCs w:val="24"/>
        </w:rPr>
        <w:t>, the following:</w:t>
      </w:r>
    </w:p>
    <w:p w:rsidR="0073489B" w:rsidRDefault="00A46D11">
      <w:pPr>
        <w:numPr>
          <w:ilvl w:val="1"/>
          <w:numId w:val="172"/>
        </w:numPr>
        <w:ind w:left="993" w:hanging="142"/>
        <w:jc w:val="both"/>
        <w:rPr>
          <w:noProof/>
          <w:szCs w:val="24"/>
        </w:rPr>
      </w:pPr>
      <w:r>
        <w:rPr>
          <w:noProof/>
          <w:szCs w:val="24"/>
        </w:rPr>
        <w:t>improved definition of the target group (final recipients) and reduced deadweight of the instrument;</w:t>
      </w:r>
    </w:p>
    <w:p w:rsidR="0073489B" w:rsidRDefault="00A46D11">
      <w:pPr>
        <w:numPr>
          <w:ilvl w:val="1"/>
          <w:numId w:val="172"/>
        </w:numPr>
        <w:spacing w:after="60"/>
        <w:ind w:left="993" w:hanging="142"/>
        <w:jc w:val="both"/>
        <w:rPr>
          <w:noProof/>
          <w:szCs w:val="24"/>
        </w:rPr>
      </w:pPr>
      <w:r>
        <w:rPr>
          <w:noProof/>
          <w:szCs w:val="24"/>
        </w:rPr>
        <w:t xml:space="preserve">selection of the Financial Intermediaries performed on the basis of open, transparent, </w:t>
      </w:r>
      <w:r>
        <w:rPr>
          <w:noProof/>
          <w:szCs w:val="24"/>
        </w:rPr>
        <w:t>objective and non-discriminatory procedures.</w:t>
      </w:r>
    </w:p>
    <w:p w:rsidR="0073489B" w:rsidRDefault="0073489B">
      <w:pPr>
        <w:pStyle w:val="ListParagraph"/>
        <w:autoSpaceDE w:val="0"/>
        <w:autoSpaceDN w:val="0"/>
        <w:adjustRightInd w:val="0"/>
        <w:ind w:left="0" w:right="141"/>
        <w:jc w:val="both"/>
        <w:rPr>
          <w:noProof/>
          <w:szCs w:val="24"/>
        </w:rPr>
      </w:pPr>
    </w:p>
    <w:p w:rsidR="0073489B" w:rsidRDefault="00A46D11">
      <w:pPr>
        <w:pStyle w:val="ListParagraph"/>
        <w:numPr>
          <w:ilvl w:val="0"/>
          <w:numId w:val="108"/>
        </w:numPr>
        <w:autoSpaceDE w:val="0"/>
        <w:autoSpaceDN w:val="0"/>
        <w:adjustRightInd w:val="0"/>
        <w:ind w:left="0" w:right="141" w:hanging="142"/>
        <w:jc w:val="both"/>
        <w:rPr>
          <w:noProof/>
          <w:szCs w:val="24"/>
        </w:rPr>
      </w:pPr>
      <w:r>
        <w:rPr>
          <w:noProof/>
          <w:szCs w:val="24"/>
        </w:rPr>
        <w:t>The monitoring visits carried out by both the EIF and the Commission for SMEG07 during 2016 allowed to confirm the eligibility of financial intermediaries (FI's) and final recipients, contractual compliance (tr</w:t>
      </w:r>
      <w:r>
        <w:rPr>
          <w:noProof/>
          <w:szCs w:val="24"/>
        </w:rPr>
        <w:t xml:space="preserve">ansposal of the Commission's requirements into the contractual documentation), process compliance (observance of processes prescribed by the Commission) and performance (achievement of predefined targets/objectives). The EIF monitoring report 2016 did not </w:t>
      </w:r>
      <w:r>
        <w:rPr>
          <w:noProof/>
          <w:szCs w:val="24"/>
        </w:rPr>
        <w:t>indicate major deviations.</w:t>
      </w:r>
    </w:p>
    <w:p w:rsidR="0073489B" w:rsidRDefault="0073489B">
      <w:pPr>
        <w:pStyle w:val="ListParagraph"/>
        <w:autoSpaceDE w:val="0"/>
        <w:autoSpaceDN w:val="0"/>
        <w:adjustRightInd w:val="0"/>
        <w:ind w:left="0" w:right="141"/>
        <w:rPr>
          <w:noProof/>
          <w:szCs w:val="24"/>
        </w:rPr>
      </w:pPr>
    </w:p>
    <w:p w:rsidR="0073489B" w:rsidRDefault="00A46D11">
      <w:pPr>
        <w:pStyle w:val="ListParagraph"/>
        <w:keepNext/>
        <w:numPr>
          <w:ilvl w:val="0"/>
          <w:numId w:val="109"/>
        </w:numPr>
        <w:autoSpaceDE w:val="0"/>
        <w:autoSpaceDN w:val="0"/>
        <w:adjustRightInd w:val="0"/>
        <w:spacing w:before="480"/>
        <w:ind w:left="0" w:right="142" w:hanging="142"/>
        <w:jc w:val="both"/>
        <w:rPr>
          <w:noProof/>
          <w:szCs w:val="24"/>
        </w:rPr>
      </w:pPr>
      <w:r>
        <w:rPr>
          <w:noProof/>
          <w:szCs w:val="24"/>
        </w:rPr>
        <w:t>Audits and internal controls:</w:t>
      </w:r>
    </w:p>
    <w:p w:rsidR="0073489B" w:rsidRDefault="00A46D11">
      <w:pPr>
        <w:numPr>
          <w:ilvl w:val="1"/>
          <w:numId w:val="109"/>
        </w:numPr>
        <w:shd w:val="clear" w:color="auto" w:fill="FFFFFF"/>
        <w:spacing w:after="60"/>
        <w:ind w:left="567" w:right="77" w:hanging="283"/>
        <w:jc w:val="both"/>
        <w:rPr>
          <w:noProof/>
          <w:szCs w:val="24"/>
          <w:lang w:val="en-US"/>
        </w:rPr>
      </w:pPr>
      <w:r>
        <w:rPr>
          <w:noProof/>
          <w:szCs w:val="24"/>
          <w:lang w:val="en-US"/>
        </w:rPr>
        <w:t>As stated in ECFIN L2's 2016 Annual Activity Report, no issue is pending.</w:t>
      </w:r>
    </w:p>
    <w:p w:rsidR="0073489B" w:rsidRDefault="00A46D11">
      <w:pPr>
        <w:numPr>
          <w:ilvl w:val="1"/>
          <w:numId w:val="109"/>
        </w:numPr>
        <w:shd w:val="clear" w:color="auto" w:fill="FFFFFF"/>
        <w:spacing w:after="60"/>
        <w:ind w:left="567" w:right="77" w:hanging="283"/>
        <w:jc w:val="both"/>
        <w:rPr>
          <w:noProof/>
          <w:szCs w:val="24"/>
          <w:lang w:val="en-US"/>
        </w:rPr>
      </w:pPr>
      <w:r>
        <w:rPr>
          <w:noProof/>
          <w:szCs w:val="24"/>
          <w:lang w:val="en-US"/>
        </w:rPr>
        <w:t>A positive Statement of Assurance was received from the EIF as at 19/4/2017.</w:t>
      </w:r>
    </w:p>
    <w:p w:rsidR="0073489B" w:rsidRDefault="00A46D11">
      <w:pPr>
        <w:numPr>
          <w:ilvl w:val="1"/>
          <w:numId w:val="109"/>
        </w:numPr>
        <w:shd w:val="clear" w:color="auto" w:fill="FFFFFF"/>
        <w:spacing w:before="60" w:after="160"/>
        <w:ind w:left="567" w:right="86" w:hanging="283"/>
        <w:jc w:val="both"/>
        <w:rPr>
          <w:noProof/>
        </w:rPr>
      </w:pPr>
      <w:r>
        <w:rPr>
          <w:noProof/>
        </w:rPr>
        <w:t>In August 2012 the ECFIN Unit R4 has launched a</w:t>
      </w:r>
      <w:r>
        <w:rPr>
          <w:noProof/>
        </w:rPr>
        <w:t>n ex-post control of the EIF guarantee calls paid under CIP-SMEG 07 Facility. The provisional scope and objective of this ex-post control includes reviewing of the sample of guarantee calls initiated since 2007 to-date with the objective to examine their l</w:t>
      </w:r>
      <w:r>
        <w:rPr>
          <w:noProof/>
        </w:rPr>
        <w:t>egality and regularity and to review related sound financial management aspects. L2 Financial Intermediaries (FI) have been sampled. ECFIN L2 received R4's related report on the 31st of August 2015. After thorough investigations and detailed review of R4's</w:t>
      </w:r>
      <w:r>
        <w:rPr>
          <w:noProof/>
        </w:rPr>
        <w:t xml:space="preserve"> observations in coordination with the EIF, ECFIN L2 replied to R4 as at 9/11/2015 (ref. ARES(2015)5484815), rejecting most of the observations. R4 accepted those extensive explanations in its final report (officially finalized on 23/12/2015 and sent to EC</w:t>
      </w:r>
      <w:r>
        <w:rPr>
          <w:noProof/>
        </w:rPr>
        <w:t>FIN L Director on 4/1/2016 – ref. ARES(2015)6031782), which confirms a Most Likely Error Rate (MLER) nearing 0% (0,002%), hugely below the materiality threshold and acceptable error rate of 2%. Thus, R4 concludes that "there is reasonable assurance that SM</w:t>
      </w:r>
      <w:r>
        <w:rPr>
          <w:noProof/>
        </w:rPr>
        <w:t xml:space="preserve">EG07 guarantee calls and related payments and recoveries were implemented in compliance with the legal, regulatory and contractual provisions".  </w:t>
      </w:r>
    </w:p>
    <w:p w:rsidR="0073489B" w:rsidRDefault="00A46D11">
      <w:pPr>
        <w:numPr>
          <w:ilvl w:val="1"/>
          <w:numId w:val="109"/>
        </w:numPr>
        <w:shd w:val="clear" w:color="auto" w:fill="FFFFFF"/>
        <w:spacing w:before="60" w:after="160"/>
        <w:ind w:left="567" w:right="86" w:hanging="283"/>
        <w:jc w:val="both"/>
        <w:rPr>
          <w:noProof/>
        </w:rPr>
      </w:pPr>
      <w:r>
        <w:rPr>
          <w:rFonts w:eastAsia="MS Mincho"/>
          <w:noProof/>
          <w:lang w:eastAsia="ja-JP"/>
        </w:rPr>
        <w:t>The ECA carried out a performance audit on the guarantees supported by the EU budget , for which ECFIN L2 acco</w:t>
      </w:r>
      <w:r>
        <w:rPr>
          <w:rFonts w:eastAsia="MS Mincho"/>
          <w:noProof/>
          <w:lang w:eastAsia="ja-JP"/>
        </w:rPr>
        <w:t>mpanied the ECA on a visit to a FI on 14/7/2016: the final report on the overall audit has not been communicated to ECFIN</w:t>
      </w:r>
      <w:r>
        <w:rPr>
          <w:noProof/>
        </w:rPr>
        <w:t xml:space="preserve"> as at writing date.</w:t>
      </w:r>
    </w:p>
    <w:p w:rsidR="0073489B" w:rsidRDefault="00A46D11">
      <w:pPr>
        <w:numPr>
          <w:ilvl w:val="1"/>
          <w:numId w:val="109"/>
        </w:numPr>
        <w:shd w:val="clear" w:color="auto" w:fill="FFFFFF"/>
        <w:ind w:right="86"/>
        <w:jc w:val="both"/>
        <w:rPr>
          <w:rFonts w:eastAsia="MS Mincho"/>
          <w:noProof/>
          <w:lang w:eastAsia="ja-JP"/>
        </w:rPr>
      </w:pPr>
      <w:r>
        <w:rPr>
          <w:noProof/>
          <w:szCs w:val="24"/>
          <w:lang w:val="en-US"/>
        </w:rPr>
        <w:lastRenderedPageBreak/>
        <w:t>T</w:t>
      </w:r>
      <w:r>
        <w:rPr>
          <w:rFonts w:eastAsia="MS Mincho"/>
          <w:noProof/>
          <w:lang w:eastAsia="ja-JP"/>
        </w:rPr>
        <w:t xml:space="preserve">he second part of the monitoring of the EIF on 'return and de-commitments of funds' was successfully carried out </w:t>
      </w:r>
      <w:r>
        <w:rPr>
          <w:rFonts w:eastAsia="MS Mincho"/>
          <w:noProof/>
          <w:lang w:eastAsia="ja-JP"/>
        </w:rPr>
        <w:t>as of 11/11/2016, with a view to assessing the compliance of the effective operations under the procedure on the “Transfer of revenues and repayments to Horizon 2020 and COSME (</w:t>
      </w:r>
      <w:r>
        <w:rPr>
          <w:noProof/>
        </w:rPr>
        <w:t>Ares(2015)4949413)"</w:t>
      </w:r>
      <w:r>
        <w:rPr>
          <w:rFonts w:eastAsia="MS Mincho"/>
          <w:noProof/>
          <w:lang w:eastAsia="ja-JP"/>
        </w:rPr>
        <w:t>, based on the relevant Recovery Orders issued in 2016.</w:t>
      </w:r>
    </w:p>
    <w:p w:rsidR="0073489B" w:rsidRDefault="00A46D11">
      <w:pPr>
        <w:numPr>
          <w:ilvl w:val="1"/>
          <w:numId w:val="109"/>
        </w:numPr>
        <w:shd w:val="clear" w:color="auto" w:fill="FFFFFF"/>
        <w:ind w:right="86"/>
        <w:jc w:val="both"/>
        <w:rPr>
          <w:noProof/>
        </w:rPr>
      </w:pPr>
      <w:r>
        <w:rPr>
          <w:rFonts w:eastAsia="MS Mincho"/>
          <w:noProof/>
          <w:lang w:eastAsia="ja-JP"/>
        </w:rPr>
        <w:t xml:space="preserve"> As </w:t>
      </w:r>
      <w:r>
        <w:rPr>
          <w:rFonts w:eastAsia="MS Mincho"/>
          <w:noProof/>
          <w:lang w:eastAsia="ja-JP"/>
        </w:rPr>
        <w:t>regards the 2016 monitoring visit to the EIF, having as scope the review of the performance and findings of the EIF in a desk-review of a FI carried out by the EIF, no finding was identified.</w:t>
      </w:r>
    </w:p>
    <w:p w:rsidR="0073489B" w:rsidRDefault="00A46D11">
      <w:pPr>
        <w:numPr>
          <w:ilvl w:val="1"/>
          <w:numId w:val="109"/>
        </w:numPr>
        <w:shd w:val="clear" w:color="auto" w:fill="FFFFFF"/>
        <w:spacing w:before="60" w:after="160"/>
        <w:ind w:left="567" w:right="77" w:hanging="283"/>
        <w:jc w:val="both"/>
        <w:rPr>
          <w:noProof/>
          <w:szCs w:val="24"/>
        </w:rPr>
      </w:pPr>
      <w:r>
        <w:rPr>
          <w:noProof/>
          <w:szCs w:val="24"/>
        </w:rPr>
        <w:t xml:space="preserve">Efficiency indicators regarding SMEG: </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 xml:space="preserve">number of findings/minor </w:t>
      </w:r>
      <w:r>
        <w:rPr>
          <w:rFonts w:ascii="Times New Roman" w:hAnsi="Times New Roman"/>
          <w:noProof/>
          <w:sz w:val="24"/>
          <w:szCs w:val="24"/>
        </w:rPr>
        <w:t>observations (stemming from ECFIN's monitoring activities): no findings, 3 minor observations (of which, 100% closed as at writing date);</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 xml:space="preserve">number of OLAF inquiries: none; </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IAS inquiries: none;</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open recommendations in action plans establi</w:t>
      </w:r>
      <w:r>
        <w:rPr>
          <w:rFonts w:ascii="Times New Roman" w:hAnsi="Times New Roman"/>
          <w:noProof/>
          <w:sz w:val="24"/>
          <w:szCs w:val="24"/>
        </w:rPr>
        <w:t xml:space="preserve">shed following ECA, IAS, IAC or ex-post control recommendations: none; </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operations outside official 2016 procedures: none;</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erroneous operations in 2016: none;</w:t>
      </w:r>
    </w:p>
    <w:p w:rsidR="0073489B" w:rsidRDefault="00A46D11">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return to fiduciary account in 2016 linked to errors: none;</w:t>
      </w:r>
    </w:p>
    <w:p w:rsidR="0073489B" w:rsidRDefault="00A46D11">
      <w:pPr>
        <w:pStyle w:val="AARTableText"/>
        <w:numPr>
          <w:ilvl w:val="2"/>
          <w:numId w:val="160"/>
        </w:numPr>
        <w:spacing w:before="60" w:after="120" w:line="276" w:lineRule="auto"/>
        <w:ind w:left="993" w:hanging="142"/>
        <w:jc w:val="both"/>
        <w:rPr>
          <w:rFonts w:ascii="Times New Roman" w:hAnsi="Times New Roman"/>
          <w:noProof/>
          <w:sz w:val="24"/>
          <w:szCs w:val="24"/>
        </w:rPr>
      </w:pPr>
      <w:r>
        <w:rPr>
          <w:rFonts w:ascii="Times New Roman" w:hAnsi="Times New Roman"/>
          <w:noProof/>
          <w:sz w:val="24"/>
          <w:szCs w:val="24"/>
        </w:rPr>
        <w:t>results on the ch</w:t>
      </w:r>
      <w:r>
        <w:rPr>
          <w:rFonts w:ascii="Times New Roman" w:hAnsi="Times New Roman"/>
          <w:noProof/>
          <w:sz w:val="24"/>
          <w:szCs w:val="24"/>
        </w:rPr>
        <w:t xml:space="preserve">ecks on the balance of the TA in 2016: no errors/discrepancies. </w:t>
      </w:r>
    </w:p>
    <w:p w:rsidR="0073489B" w:rsidRDefault="00A46D11">
      <w:pPr>
        <w:pStyle w:val="ListParagraph"/>
        <w:numPr>
          <w:ilvl w:val="0"/>
          <w:numId w:val="109"/>
        </w:numPr>
        <w:autoSpaceDE w:val="0"/>
        <w:autoSpaceDN w:val="0"/>
        <w:adjustRightInd w:val="0"/>
        <w:spacing w:before="60"/>
        <w:ind w:left="0" w:right="141" w:hanging="142"/>
        <w:jc w:val="both"/>
        <w:rPr>
          <w:noProof/>
          <w:szCs w:val="24"/>
          <w:lang w:val="en-IE"/>
        </w:rPr>
      </w:pPr>
      <w:r>
        <w:rPr>
          <w:noProof/>
          <w:szCs w:val="24"/>
        </w:rPr>
        <w:t>Regarding the SMEG, which is a counter-cyclical instrument, there was a high demand for guarantees by financial intermediaries during the period 2007-2013; indeed, the share of the SMEG instr</w:t>
      </w:r>
      <w:r>
        <w:rPr>
          <w:noProof/>
          <w:szCs w:val="24"/>
        </w:rPr>
        <w:t>ument in the total CIP budget (SMEG and GIF) was increased compared to the original split between the two Facilities, in line with the specific market needs.</w:t>
      </w:r>
    </w:p>
    <w:p w:rsidR="0073489B" w:rsidRDefault="00A46D11">
      <w:pPr>
        <w:spacing w:before="60"/>
        <w:jc w:val="both"/>
        <w:rPr>
          <w:noProof/>
          <w:szCs w:val="24"/>
        </w:rPr>
      </w:pPr>
      <w:r>
        <w:rPr>
          <w:noProof/>
          <w:szCs w:val="24"/>
          <w:lang w:val="en-IE"/>
        </w:rPr>
        <w:t>T</w:t>
      </w:r>
      <w:r>
        <w:rPr>
          <w:noProof/>
          <w:szCs w:val="24"/>
        </w:rPr>
        <w:t xml:space="preserve">he commitment period for the SME Guarantee facility ended on 31 December 2013 but the instrument </w:t>
      </w:r>
      <w:r>
        <w:rPr>
          <w:noProof/>
          <w:szCs w:val="24"/>
        </w:rPr>
        <w:t>will exist until it is wound up after 2026.</w:t>
      </w:r>
    </w:p>
    <w:p w:rsidR="0073489B" w:rsidRDefault="00A46D11">
      <w:pPr>
        <w:spacing w:before="60"/>
        <w:jc w:val="both"/>
        <w:rPr>
          <w:noProof/>
          <w:szCs w:val="24"/>
        </w:rPr>
      </w:pPr>
      <w:r>
        <w:rPr>
          <w:noProof/>
          <w:szCs w:val="24"/>
        </w:rPr>
        <w:t>The successor of SMEG is the Loan Guarantee Facility (LGF) under COSME, further detailed in this document.</w:t>
      </w:r>
    </w:p>
    <w:p w:rsidR="0073489B" w:rsidRDefault="00A46D11">
      <w:pPr>
        <w:pStyle w:val="Heading3"/>
        <w:pBdr>
          <w:left w:val="single" w:sz="4" w:space="9" w:color="auto"/>
        </w:pBdr>
        <w:spacing w:before="120" w:after="120"/>
        <w:ind w:left="553"/>
      </w:pPr>
      <w:bookmarkStart w:id="127" w:name="_European_Progress_Microfinance"/>
      <w:bookmarkEnd w:id="127"/>
      <w:r>
        <w:br w:type="page"/>
      </w:r>
      <w:bookmarkStart w:id="128" w:name="_Ref387227013"/>
      <w:bookmarkStart w:id="129" w:name="_Toc387228811"/>
      <w:bookmarkStart w:id="130" w:name="_Toc388541885"/>
      <w:bookmarkStart w:id="131" w:name="_Toc393281936"/>
      <w:bookmarkStart w:id="132" w:name="_Toc486436752"/>
      <w:r>
        <w:lastRenderedPageBreak/>
        <w:t>European Progress Microfinance Guarantee Facility (EPMF – G)</w:t>
      </w:r>
      <w:bookmarkEnd w:id="128"/>
      <w:bookmarkEnd w:id="129"/>
      <w:bookmarkEnd w:id="130"/>
      <w:bookmarkEnd w:id="131"/>
      <w:bookmarkEnd w:id="132"/>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4"/>
      </w:tblGrid>
      <w:tr w:rsidR="0073489B">
        <w:trPr>
          <w:trHeight w:val="626"/>
          <w:jc w:val="center"/>
        </w:trPr>
        <w:tc>
          <w:tcPr>
            <w:tcW w:w="4644" w:type="dxa"/>
            <w:tcBorders>
              <w:bottom w:val="single" w:sz="4" w:space="0" w:color="auto"/>
              <w:right w:val="single" w:sz="4" w:space="0" w:color="auto"/>
            </w:tcBorders>
            <w:shd w:val="clear" w:color="auto" w:fill="auto"/>
            <w:vAlign w:val="center"/>
          </w:tcPr>
          <w:p w:rsidR="0073489B" w:rsidRDefault="00A46D11">
            <w:pPr>
              <w:spacing w:after="60"/>
              <w:rPr>
                <w:b/>
                <w:noProof/>
                <w:szCs w:val="24"/>
                <w:lang w:eastAsia="fr-FR"/>
              </w:rPr>
            </w:pPr>
            <w:bookmarkStart w:id="133" w:name="_Toc387228812"/>
            <w:bookmarkStart w:id="134" w:name="_Toc388541886"/>
            <w:r>
              <w:rPr>
                <w:b/>
                <w:noProof/>
                <w:szCs w:val="24"/>
                <w:lang w:eastAsia="fr-FR"/>
              </w:rPr>
              <w:t>Policy DG in charge:</w:t>
            </w:r>
          </w:p>
        </w:tc>
        <w:tc>
          <w:tcPr>
            <w:tcW w:w="4644" w:type="dxa"/>
            <w:tcBorders>
              <w:top w:val="single" w:sz="4" w:space="0" w:color="auto"/>
              <w:left w:val="single" w:sz="4" w:space="0" w:color="auto"/>
              <w:bottom w:val="single" w:sz="4" w:space="0" w:color="auto"/>
            </w:tcBorders>
            <w:shd w:val="clear" w:color="auto" w:fill="auto"/>
            <w:vAlign w:val="center"/>
          </w:tcPr>
          <w:p w:rsidR="0073489B" w:rsidRDefault="00A46D11">
            <w:pPr>
              <w:spacing w:after="60"/>
              <w:jc w:val="center"/>
              <w:rPr>
                <w:noProof/>
              </w:rPr>
            </w:pPr>
            <w:r>
              <w:rPr>
                <w:noProof/>
              </w:rPr>
              <w:t xml:space="preserve">DG EMPL, with </w:t>
            </w:r>
            <w:r>
              <w:rPr>
                <w:noProof/>
              </w:rPr>
              <w:t>participation of DG ECFIN for the design of the instruments</w:t>
            </w:r>
          </w:p>
        </w:tc>
      </w:tr>
      <w:tr w:rsidR="0073489B">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rsidR="0073489B" w:rsidRDefault="00A46D11">
            <w:pPr>
              <w:spacing w:after="60"/>
              <w:rPr>
                <w:b/>
                <w:noProof/>
                <w:szCs w:val="24"/>
                <w:lang w:eastAsia="fr-FR"/>
              </w:rPr>
            </w:pPr>
            <w:r>
              <w:rPr>
                <w:b/>
                <w:noProof/>
                <w:szCs w:val="24"/>
                <w:lang w:eastAsia="fr-FR"/>
              </w:rPr>
              <w:t xml:space="preserve">Implementing DG in charge:  </w:t>
            </w:r>
          </w:p>
        </w:tc>
        <w:tc>
          <w:tcPr>
            <w:tcW w:w="4644" w:type="dxa"/>
            <w:tcBorders>
              <w:top w:val="single" w:sz="4" w:space="0" w:color="auto"/>
              <w:left w:val="single" w:sz="4" w:space="0" w:color="auto"/>
              <w:bottom w:val="single" w:sz="4" w:space="0" w:color="auto"/>
            </w:tcBorders>
            <w:shd w:val="clear" w:color="auto" w:fill="auto"/>
            <w:vAlign w:val="center"/>
          </w:tcPr>
          <w:p w:rsidR="0073489B" w:rsidRDefault="00A46D11">
            <w:pPr>
              <w:spacing w:after="60"/>
              <w:jc w:val="center"/>
              <w:rPr>
                <w:noProof/>
              </w:rPr>
            </w:pPr>
            <w:r>
              <w:rPr>
                <w:noProof/>
              </w:rPr>
              <w:t>DG EMPL</w:t>
            </w:r>
          </w:p>
        </w:tc>
      </w:tr>
      <w:tr w:rsidR="0073489B">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rsidR="0073489B" w:rsidRDefault="00A46D11">
            <w:pPr>
              <w:spacing w:after="60"/>
              <w:rPr>
                <w:b/>
                <w:noProof/>
                <w:szCs w:val="24"/>
                <w:lang w:eastAsia="fr-FR"/>
              </w:rPr>
            </w:pPr>
            <w:r>
              <w:rPr>
                <w:b/>
                <w:noProof/>
                <w:szCs w:val="24"/>
                <w:lang w:eastAsia="fr-FR"/>
              </w:rPr>
              <w:t>Implementing Body in charge:</w:t>
            </w:r>
          </w:p>
        </w:tc>
        <w:tc>
          <w:tcPr>
            <w:tcW w:w="4644" w:type="dxa"/>
            <w:tcBorders>
              <w:top w:val="single" w:sz="4" w:space="0" w:color="auto"/>
              <w:left w:val="single" w:sz="4" w:space="0" w:color="auto"/>
              <w:bottom w:val="single" w:sz="4" w:space="0" w:color="auto"/>
            </w:tcBorders>
            <w:shd w:val="clear" w:color="auto" w:fill="auto"/>
            <w:vAlign w:val="center"/>
          </w:tcPr>
          <w:p w:rsidR="0073489B" w:rsidRDefault="00A46D11">
            <w:pPr>
              <w:spacing w:after="60"/>
              <w:jc w:val="center"/>
              <w:rPr>
                <w:noProof/>
              </w:rPr>
            </w:pPr>
            <w:r>
              <w:rPr>
                <w:noProof/>
              </w:rPr>
              <w:t>EIF</w:t>
            </w:r>
          </w:p>
        </w:tc>
      </w:tr>
      <w:tr w:rsidR="0073489B">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rsidR="0073489B" w:rsidRDefault="00A46D11">
            <w:pPr>
              <w:spacing w:after="60"/>
              <w:rPr>
                <w:b/>
                <w:noProof/>
                <w:szCs w:val="24"/>
                <w:lang w:eastAsia="fr-FR"/>
              </w:rPr>
            </w:pPr>
            <w:r>
              <w:rPr>
                <w:b/>
                <w:noProof/>
                <w:szCs w:val="24"/>
                <w:lang w:eastAsia="fr-FR"/>
              </w:rPr>
              <w:t>Initial Overall (2007-2013) Programme Budget:</w:t>
            </w:r>
          </w:p>
        </w:tc>
        <w:tc>
          <w:tcPr>
            <w:tcW w:w="4644" w:type="dxa"/>
            <w:tcBorders>
              <w:top w:val="single" w:sz="4" w:space="0" w:color="auto"/>
              <w:left w:val="single" w:sz="4" w:space="0" w:color="auto"/>
              <w:bottom w:val="single" w:sz="4" w:space="0" w:color="auto"/>
            </w:tcBorders>
            <w:shd w:val="clear" w:color="auto" w:fill="auto"/>
            <w:vAlign w:val="center"/>
          </w:tcPr>
          <w:p w:rsidR="0073489B" w:rsidRDefault="00A46D11">
            <w:pPr>
              <w:spacing w:after="60"/>
              <w:jc w:val="center"/>
              <w:rPr>
                <w:noProof/>
              </w:rPr>
            </w:pPr>
            <w:r>
              <w:rPr>
                <w:noProof/>
              </w:rPr>
              <w:t>EUR 25 million (appropriations as approved by the Budgetary Authority)</w:t>
            </w:r>
          </w:p>
        </w:tc>
      </w:tr>
      <w:tr w:rsidR="0073489B">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rsidR="0073489B" w:rsidRDefault="00A46D11">
            <w:pPr>
              <w:spacing w:after="60"/>
              <w:rPr>
                <w:b/>
                <w:noProof/>
                <w:szCs w:val="24"/>
                <w:lang w:eastAsia="fr-FR"/>
              </w:rPr>
            </w:pPr>
            <w:r>
              <w:rPr>
                <w:b/>
                <w:noProof/>
                <w:szCs w:val="24"/>
                <w:lang w:eastAsia="fr-FR"/>
              </w:rPr>
              <w:t>Current Overall (2007-2013) Programme Budget:</w:t>
            </w:r>
          </w:p>
        </w:tc>
        <w:tc>
          <w:tcPr>
            <w:tcW w:w="4644" w:type="dxa"/>
            <w:tcBorders>
              <w:top w:val="single" w:sz="4" w:space="0" w:color="auto"/>
              <w:left w:val="single" w:sz="4" w:space="0" w:color="auto"/>
              <w:bottom w:val="single" w:sz="4" w:space="0" w:color="auto"/>
            </w:tcBorders>
            <w:shd w:val="clear" w:color="auto" w:fill="auto"/>
            <w:vAlign w:val="center"/>
          </w:tcPr>
          <w:p w:rsidR="0073489B" w:rsidRDefault="00A46D11">
            <w:pPr>
              <w:spacing w:after="60"/>
              <w:jc w:val="center"/>
              <w:rPr>
                <w:noProof/>
              </w:rPr>
            </w:pPr>
            <w:r>
              <w:rPr>
                <w:noProof/>
              </w:rPr>
              <w:t>EUR 23,6 million (including any changes in the course of the programme)</w:t>
            </w:r>
          </w:p>
        </w:tc>
      </w:tr>
      <w:tr w:rsidR="0073489B">
        <w:trPr>
          <w:trHeight w:val="552"/>
          <w:jc w:val="center"/>
        </w:trPr>
        <w:tc>
          <w:tcPr>
            <w:tcW w:w="4644" w:type="dxa"/>
            <w:tcBorders>
              <w:top w:val="single" w:sz="4" w:space="0" w:color="auto"/>
              <w:right w:val="single" w:sz="4" w:space="0" w:color="auto"/>
            </w:tcBorders>
            <w:shd w:val="clear" w:color="auto" w:fill="auto"/>
            <w:vAlign w:val="center"/>
          </w:tcPr>
          <w:p w:rsidR="0073489B" w:rsidRDefault="00A46D11">
            <w:pPr>
              <w:spacing w:after="60"/>
              <w:rPr>
                <w:b/>
                <w:noProof/>
                <w:szCs w:val="24"/>
                <w:lang w:eastAsia="fr-FR"/>
              </w:rPr>
            </w:pPr>
            <w:r>
              <w:rPr>
                <w:b/>
                <w:noProof/>
                <w:szCs w:val="24"/>
                <w:lang w:eastAsia="fr-FR"/>
              </w:rPr>
              <w:t>Executed Budget since beginning until 31/12/2016:</w:t>
            </w:r>
          </w:p>
        </w:tc>
        <w:tc>
          <w:tcPr>
            <w:tcW w:w="4644" w:type="dxa"/>
            <w:tcBorders>
              <w:top w:val="single" w:sz="4" w:space="0" w:color="auto"/>
              <w:left w:val="single" w:sz="4" w:space="0" w:color="auto"/>
              <w:bottom w:val="single" w:sz="4" w:space="0" w:color="auto"/>
            </w:tcBorders>
            <w:shd w:val="clear" w:color="auto" w:fill="auto"/>
            <w:vAlign w:val="center"/>
          </w:tcPr>
          <w:p w:rsidR="0073489B" w:rsidRDefault="00A46D11">
            <w:pPr>
              <w:spacing w:after="60"/>
              <w:rPr>
                <w:noProof/>
                <w:lang w:val="fr-BE"/>
              </w:rPr>
            </w:pPr>
            <w:r>
              <w:rPr>
                <w:noProof/>
              </w:rPr>
              <w:t xml:space="preserve">      </w:t>
            </w:r>
            <w:r>
              <w:rPr>
                <w:noProof/>
                <w:lang w:val="fr-BE"/>
              </w:rPr>
              <w:t>Commitments:      EUR 23,6 million</w:t>
            </w:r>
          </w:p>
          <w:p w:rsidR="0073489B" w:rsidRDefault="00A46D11">
            <w:pPr>
              <w:spacing w:after="60"/>
              <w:jc w:val="center"/>
              <w:rPr>
                <w:noProof/>
                <w:lang w:val="fr-BE"/>
              </w:rPr>
            </w:pPr>
            <w:r>
              <w:rPr>
                <w:noProof/>
                <w:lang w:val="fr-BE"/>
              </w:rPr>
              <w:t xml:space="preserve"> Payments:             EUR 22,55 million*</w:t>
            </w:r>
          </w:p>
        </w:tc>
      </w:tr>
    </w:tbl>
    <w:p w:rsidR="0073489B" w:rsidRDefault="00A46D11">
      <w:pPr>
        <w:spacing w:before="60"/>
        <w:ind w:left="360" w:right="141"/>
        <w:rPr>
          <w:i/>
          <w:noProof/>
          <w:sz w:val="21"/>
          <w:szCs w:val="21"/>
        </w:rPr>
      </w:pPr>
      <w:r>
        <w:rPr>
          <w:i/>
          <w:noProof/>
          <w:sz w:val="21"/>
          <w:szCs w:val="21"/>
        </w:rPr>
        <w:t xml:space="preserve">* </w:t>
      </w:r>
      <w:r>
        <w:rPr>
          <w:i/>
          <w:noProof/>
          <w:sz w:val="21"/>
          <w:szCs w:val="21"/>
        </w:rPr>
        <w:t>including regularized interest of EUR 0,34 million.</w:t>
      </w:r>
    </w:p>
    <w:p w:rsidR="0073489B" w:rsidRDefault="0073489B">
      <w:pPr>
        <w:pStyle w:val="Heading4"/>
        <w:numPr>
          <w:ilvl w:val="0"/>
          <w:numId w:val="0"/>
        </w:numPr>
        <w:spacing w:before="120"/>
        <w:ind w:left="360"/>
        <w:rPr>
          <w:noProof/>
        </w:rPr>
      </w:pPr>
    </w:p>
    <w:p w:rsidR="0073489B" w:rsidRDefault="00A46D11">
      <w:pPr>
        <w:pStyle w:val="Heading4"/>
        <w:numPr>
          <w:ilvl w:val="0"/>
          <w:numId w:val="22"/>
        </w:numPr>
        <w:spacing w:before="120"/>
        <w:jc w:val="both"/>
        <w:rPr>
          <w:noProof/>
        </w:rPr>
      </w:pPr>
      <w:r>
        <w:rPr>
          <w:noProof/>
        </w:rPr>
        <w:t>Summary</w:t>
      </w:r>
    </w:p>
    <w:p w:rsidR="0073489B" w:rsidRDefault="00A46D11">
      <w:pPr>
        <w:spacing w:after="140"/>
        <w:jc w:val="both"/>
        <w:rPr>
          <w:noProof/>
          <w:szCs w:val="24"/>
        </w:rPr>
      </w:pPr>
      <w:r>
        <w:rPr>
          <w:noProof/>
          <w:szCs w:val="24"/>
        </w:rPr>
        <w:t xml:space="preserve">The EPMF Guarantee Facility has been implemented by the European Investment Fund in accordance with the Fiduciary and Management Agreement entered into on 1 July 2010 between the European Union, </w:t>
      </w:r>
      <w:r>
        <w:rPr>
          <w:noProof/>
          <w:szCs w:val="24"/>
        </w:rPr>
        <w:t>represented by the Commission and EIF. Under the Agreement, the Commission mandated EIF to provide direct guarantees and counter guarantees on micro credit loans in its own name, but on account and risk of the European Union.</w:t>
      </w:r>
    </w:p>
    <w:p w:rsidR="0073489B" w:rsidRDefault="00A46D11">
      <w:pPr>
        <w:spacing w:after="140"/>
        <w:jc w:val="both"/>
        <w:rPr>
          <w:noProof/>
          <w:szCs w:val="24"/>
        </w:rPr>
      </w:pPr>
      <w:r>
        <w:rPr>
          <w:noProof/>
          <w:szCs w:val="24"/>
        </w:rPr>
        <w:t>In accordance with the Agreeme</w:t>
      </w:r>
      <w:r>
        <w:rPr>
          <w:noProof/>
          <w:szCs w:val="24"/>
        </w:rPr>
        <w:t>nt, the Project Signing Period runs from July 1, 2010 until 31 December 2016, or any later date as notified in writing by the Commission to EIF.</w:t>
      </w:r>
    </w:p>
    <w:p w:rsidR="0073489B" w:rsidRDefault="00A46D11">
      <w:pPr>
        <w:spacing w:after="140"/>
        <w:jc w:val="both"/>
        <w:rPr>
          <w:noProof/>
          <w:szCs w:val="24"/>
        </w:rPr>
      </w:pPr>
      <w:r>
        <w:rPr>
          <w:noProof/>
          <w:szCs w:val="24"/>
        </w:rPr>
        <w:t>The aim of the instrument is to increase access to and availability of microfinance. The instrument covers part</w:t>
      </w:r>
      <w:r>
        <w:rPr>
          <w:noProof/>
          <w:szCs w:val="24"/>
        </w:rPr>
        <w:t xml:space="preserve"> of the losses incurred under the guarantees up to a pre-determined cap amount by setting maximum Guarantee rate of 75% and maximum Guarantee cap rate at 20% - hence requiring a minimum leverage effect of 6,67.</w:t>
      </w:r>
    </w:p>
    <w:p w:rsidR="0073489B" w:rsidRDefault="00A46D11">
      <w:pPr>
        <w:spacing w:after="140"/>
        <w:jc w:val="both"/>
        <w:rPr>
          <w:noProof/>
          <w:szCs w:val="24"/>
        </w:rPr>
      </w:pPr>
      <w:r>
        <w:rPr>
          <w:noProof/>
          <w:szCs w:val="24"/>
        </w:rPr>
        <w:t>As of 30/09/2016, EIF has signed 36 guarantee</w:t>
      </w:r>
      <w:r>
        <w:rPr>
          <w:noProof/>
          <w:szCs w:val="24"/>
        </w:rPr>
        <w:t xml:space="preserve"> agreements in 18 member states for a total cap amount of EUR 20,96 million, supporting EUR 235,63 million of aggregate volume of micro-loans. During the implementation of the Facility, 19 713 micro-borrowers and vulnerable persons and 37 038 jobs have bee</w:t>
      </w:r>
      <w:r>
        <w:rPr>
          <w:noProof/>
          <w:szCs w:val="24"/>
        </w:rPr>
        <w:t>n supported.</w:t>
      </w:r>
    </w:p>
    <w:p w:rsidR="0073489B" w:rsidRDefault="00A46D11">
      <w:pPr>
        <w:spacing w:after="140"/>
        <w:jc w:val="both"/>
        <w:rPr>
          <w:noProof/>
          <w:szCs w:val="24"/>
        </w:rPr>
      </w:pPr>
      <w:r>
        <w:rPr>
          <w:noProof/>
          <w:szCs w:val="24"/>
        </w:rPr>
        <w:t>As of 30/09/2016, the European Progress Microfinance Facility including both Guarantees (EPMF-G) and Funded instruments (EPMF – FCP FIS) already provided 56 221 micro-loans to final recipients reaching the volume of EUR 471,7 million.</w:t>
      </w:r>
    </w:p>
    <w:p w:rsidR="0073489B" w:rsidRDefault="00A46D11">
      <w:pPr>
        <w:pStyle w:val="Heading4"/>
        <w:numPr>
          <w:ilvl w:val="0"/>
          <w:numId w:val="22"/>
        </w:numPr>
        <w:ind w:left="426" w:hanging="426"/>
        <w:jc w:val="both"/>
        <w:rPr>
          <w:noProof/>
          <w:sz w:val="20"/>
          <w:szCs w:val="20"/>
        </w:rPr>
      </w:pPr>
      <w:r>
        <w:rPr>
          <w:noProof/>
        </w:rPr>
        <w:t>Descript</w:t>
      </w:r>
      <w:r>
        <w:rPr>
          <w:noProof/>
        </w:rPr>
        <w:t>ion</w:t>
      </w:r>
      <w:bookmarkEnd w:id="133"/>
      <w:bookmarkEnd w:id="134"/>
    </w:p>
    <w:p w:rsidR="0073489B" w:rsidRDefault="00A46D11">
      <w:pPr>
        <w:pStyle w:val="Heading5"/>
        <w:numPr>
          <w:ilvl w:val="0"/>
          <w:numId w:val="23"/>
        </w:numPr>
        <w:spacing w:before="120"/>
        <w:ind w:left="284" w:firstLine="0"/>
        <w:jc w:val="both"/>
        <w:rPr>
          <w:noProof/>
        </w:rPr>
      </w:pPr>
      <w:bookmarkStart w:id="135" w:name="_Toc387228813"/>
      <w:r>
        <w:rPr>
          <w:noProof/>
        </w:rPr>
        <w:t>Identification of the financial instrument and the basic act</w:t>
      </w:r>
      <w:bookmarkEnd w:id="135"/>
      <w:r>
        <w:rPr>
          <w:noProof/>
        </w:rPr>
        <w:t>;</w:t>
      </w:r>
    </w:p>
    <w:p w:rsidR="0073489B" w:rsidRDefault="00A46D11">
      <w:pPr>
        <w:spacing w:after="60"/>
        <w:ind w:right="141"/>
        <w:contextualSpacing/>
        <w:jc w:val="both"/>
        <w:rPr>
          <w:noProof/>
          <w:szCs w:val="24"/>
        </w:rPr>
      </w:pPr>
      <w:r>
        <w:rPr>
          <w:noProof/>
          <w:szCs w:val="24"/>
        </w:rPr>
        <w:t>Decision No 283/2010/EU</w:t>
      </w:r>
      <w:r>
        <w:rPr>
          <w:rStyle w:val="FootnoteReference"/>
          <w:noProof/>
          <w:szCs w:val="24"/>
        </w:rPr>
        <w:footnoteReference w:id="101"/>
      </w:r>
      <w:r>
        <w:rPr>
          <w:noProof/>
          <w:szCs w:val="24"/>
        </w:rPr>
        <w:t xml:space="preserve"> of the European Parliament and of the Council of 25 March 2010 establishing a European Progress Microfinance Facility for employment and social inclusion.</w:t>
      </w:r>
      <w:r>
        <w:rPr>
          <w:rStyle w:val="FootnoteReference"/>
          <w:noProof/>
          <w:szCs w:val="24"/>
        </w:rPr>
        <w:footnoteReference w:id="102"/>
      </w:r>
    </w:p>
    <w:p w:rsidR="0073489B" w:rsidRDefault="00A46D11">
      <w:pPr>
        <w:pStyle w:val="Heading5"/>
        <w:numPr>
          <w:ilvl w:val="0"/>
          <w:numId w:val="75"/>
        </w:numPr>
        <w:spacing w:before="120"/>
        <w:ind w:left="284" w:firstLine="0"/>
        <w:jc w:val="both"/>
        <w:rPr>
          <w:noProof/>
        </w:rPr>
      </w:pPr>
      <w:bookmarkStart w:id="136" w:name="_Toc387228814"/>
      <w:r>
        <w:rPr>
          <w:noProof/>
        </w:rPr>
        <w:lastRenderedPageBreak/>
        <w:t>Description of the financial instrument, implementation arrangements and the added value of the Union contribution</w:t>
      </w:r>
      <w:bookmarkEnd w:id="136"/>
      <w:r>
        <w:rPr>
          <w:noProof/>
        </w:rPr>
        <w:t>;</w:t>
      </w:r>
    </w:p>
    <w:p w:rsidR="0073489B" w:rsidRDefault="00A46D11">
      <w:pPr>
        <w:jc w:val="both"/>
        <w:rPr>
          <w:i/>
          <w:noProof/>
          <w:szCs w:val="24"/>
        </w:rPr>
      </w:pPr>
      <w:r>
        <w:rPr>
          <w:i/>
          <w:noProof/>
          <w:szCs w:val="24"/>
        </w:rPr>
        <w:t>Policy objectives and scope</w:t>
      </w:r>
    </w:p>
    <w:p w:rsidR="0073489B" w:rsidRDefault="00A46D11">
      <w:pPr>
        <w:spacing w:after="60"/>
        <w:jc w:val="both"/>
        <w:rPr>
          <w:noProof/>
          <w:szCs w:val="24"/>
        </w:rPr>
      </w:pPr>
      <w:r>
        <w:rPr>
          <w:noProof/>
          <w:szCs w:val="24"/>
        </w:rPr>
        <w:t>The aim of the European Progress Microfinance Guarantee Facility is to enhance access to microfinance by reducin</w:t>
      </w:r>
      <w:r>
        <w:rPr>
          <w:noProof/>
          <w:szCs w:val="24"/>
        </w:rPr>
        <w:t xml:space="preserve">g microfinance providers' risk. </w:t>
      </w:r>
    </w:p>
    <w:p w:rsidR="0073489B" w:rsidRDefault="00A46D11">
      <w:pPr>
        <w:keepNext/>
        <w:spacing w:after="20"/>
        <w:jc w:val="both"/>
        <w:rPr>
          <w:noProof/>
          <w:szCs w:val="24"/>
        </w:rPr>
      </w:pPr>
      <w:r>
        <w:rPr>
          <w:noProof/>
          <w:szCs w:val="24"/>
        </w:rPr>
        <w:t>The EPMF Facility provides Union resources to increase access to, and availability of, microfinance for:</w:t>
      </w:r>
    </w:p>
    <w:p w:rsidR="0073489B" w:rsidRDefault="00A46D11">
      <w:pPr>
        <w:numPr>
          <w:ilvl w:val="0"/>
          <w:numId w:val="103"/>
        </w:numPr>
        <w:ind w:left="284" w:hanging="284"/>
        <w:jc w:val="both"/>
        <w:rPr>
          <w:noProof/>
          <w:szCs w:val="24"/>
        </w:rPr>
      </w:pPr>
      <w:r>
        <w:rPr>
          <w:noProof/>
          <w:szCs w:val="24"/>
        </w:rPr>
        <w:t xml:space="preserve">persons who have lost or are at risk of losing their job, or who have difficulties entering or re-entering the labour </w:t>
      </w:r>
      <w:r>
        <w:rPr>
          <w:noProof/>
          <w:szCs w:val="24"/>
        </w:rPr>
        <w:t xml:space="preserve">market, as well as persons who are facing the threat of social exclusion or vulnerable persons who are in a disadvantaged position with regard to access to the conventional credit market and who want to start or further develop their own micro-enterprise, </w:t>
      </w:r>
      <w:r>
        <w:rPr>
          <w:noProof/>
          <w:szCs w:val="24"/>
        </w:rPr>
        <w:t>including self-employment,</w:t>
      </w:r>
    </w:p>
    <w:p w:rsidR="0073489B" w:rsidRDefault="00A46D11">
      <w:pPr>
        <w:numPr>
          <w:ilvl w:val="0"/>
          <w:numId w:val="103"/>
        </w:numPr>
        <w:spacing w:after="20"/>
        <w:ind w:left="284" w:hanging="284"/>
        <w:jc w:val="both"/>
        <w:rPr>
          <w:noProof/>
          <w:szCs w:val="24"/>
        </w:rPr>
      </w:pPr>
      <w:r>
        <w:rPr>
          <w:noProof/>
          <w:szCs w:val="24"/>
        </w:rPr>
        <w:t>micro-enterprises, especially in the social economy, as well as micro-enterprises which employ persons referred to in point (a).</w:t>
      </w:r>
    </w:p>
    <w:p w:rsidR="0073489B" w:rsidRDefault="00A46D11">
      <w:pPr>
        <w:keepNext/>
        <w:jc w:val="both"/>
        <w:rPr>
          <w:i/>
          <w:noProof/>
          <w:szCs w:val="24"/>
        </w:rPr>
      </w:pPr>
      <w:r>
        <w:rPr>
          <w:i/>
          <w:noProof/>
          <w:szCs w:val="24"/>
        </w:rPr>
        <w:t>Implementation arrangements</w:t>
      </w:r>
    </w:p>
    <w:p w:rsidR="0073489B" w:rsidRDefault="00A46D11">
      <w:pPr>
        <w:shd w:val="clear" w:color="auto" w:fill="FFFFFF"/>
        <w:spacing w:after="60"/>
        <w:ind w:right="141" w:firstLine="3"/>
        <w:jc w:val="both"/>
        <w:rPr>
          <w:noProof/>
          <w:szCs w:val="24"/>
        </w:rPr>
      </w:pPr>
      <w:r>
        <w:rPr>
          <w:noProof/>
          <w:szCs w:val="24"/>
        </w:rPr>
        <w:t>The Commission empowers and mandates the EIF to provide EU Guarantees in</w:t>
      </w:r>
      <w:r>
        <w:rPr>
          <w:noProof/>
          <w:szCs w:val="24"/>
        </w:rPr>
        <w:t xml:space="preserve"> its own name but on behalf of and at the risk of the Commission, under a Financial management Agreement ('FMA', signed 01/07/2010). </w:t>
      </w:r>
    </w:p>
    <w:p w:rsidR="0073489B" w:rsidRDefault="00A46D11">
      <w:pPr>
        <w:shd w:val="clear" w:color="auto" w:fill="FFFFFF"/>
        <w:spacing w:after="60"/>
        <w:ind w:right="141" w:firstLine="3"/>
        <w:jc w:val="both"/>
        <w:rPr>
          <w:noProof/>
          <w:szCs w:val="24"/>
        </w:rPr>
      </w:pPr>
      <w:r>
        <w:rPr>
          <w:noProof/>
          <w:szCs w:val="24"/>
        </w:rPr>
        <w:t>The EIF is responsible for identifying, investigating, evaluating and selecting the Financial Intermediaries ('FI') by app</w:t>
      </w:r>
      <w:r>
        <w:rPr>
          <w:noProof/>
          <w:szCs w:val="24"/>
        </w:rPr>
        <w:t>lying selection criteria and processes set out in Annex 1 of the FMA: Operational Guidelines. Under the FMA, the EIF examines, on a continuous basis, proposals collected based on a call for expression of interest.</w:t>
      </w:r>
    </w:p>
    <w:p w:rsidR="0073489B" w:rsidRDefault="00A46D11">
      <w:pPr>
        <w:keepNext/>
        <w:spacing w:after="60"/>
        <w:jc w:val="both"/>
        <w:rPr>
          <w:noProof/>
          <w:szCs w:val="24"/>
        </w:rPr>
      </w:pPr>
      <w:r>
        <w:rPr>
          <w:noProof/>
          <w:szCs w:val="24"/>
        </w:rPr>
        <w:t>The EPMF Guarantee Facility provides cappe</w:t>
      </w:r>
      <w:r>
        <w:rPr>
          <w:noProof/>
          <w:szCs w:val="24"/>
        </w:rPr>
        <w:t>d guarantees up to 20% to portfolios, which include micro-credit loans granted by intermediaries to micro–enterprises, including self-employed persons. The micro-credit guarantee covers up to 75% of the individual micro-credit loans included in the respect</w:t>
      </w:r>
      <w:r>
        <w:rPr>
          <w:noProof/>
          <w:szCs w:val="24"/>
        </w:rPr>
        <w:t>ive portfolio.</w:t>
      </w:r>
    </w:p>
    <w:p w:rsidR="0073489B" w:rsidRDefault="00A46D11">
      <w:pPr>
        <w:shd w:val="clear" w:color="auto" w:fill="FFFFFF"/>
        <w:spacing w:after="60"/>
        <w:ind w:right="141"/>
        <w:jc w:val="both"/>
        <w:rPr>
          <w:noProof/>
          <w:szCs w:val="24"/>
        </w:rPr>
      </w:pPr>
      <w:r>
        <w:rPr>
          <w:noProof/>
          <w:szCs w:val="24"/>
        </w:rPr>
        <w:t>Guarantees provided by the EIF in accordance with the Agreement shall be open to any intermediaries being public or private bodies established on national, regional and local levels in the Member States, which provide microfinance to persons</w:t>
      </w:r>
      <w:r>
        <w:rPr>
          <w:noProof/>
          <w:szCs w:val="24"/>
        </w:rPr>
        <w:t xml:space="preserve"> and micro-enterprises in the Member States, such as financial institutions, microfinance institutions, guarantee institutions or any other institution authorised to provide microfinance instruments.</w:t>
      </w:r>
    </w:p>
    <w:p w:rsidR="0073489B" w:rsidRDefault="00A46D11">
      <w:pPr>
        <w:keepNext/>
        <w:spacing w:after="60"/>
        <w:jc w:val="both"/>
        <w:rPr>
          <w:noProof/>
          <w:szCs w:val="24"/>
        </w:rPr>
      </w:pPr>
      <w:r>
        <w:rPr>
          <w:noProof/>
          <w:szCs w:val="24"/>
        </w:rPr>
        <w:t>The EPMF Guarantee Facility is implemented via direct gu</w:t>
      </w:r>
      <w:r>
        <w:rPr>
          <w:noProof/>
          <w:szCs w:val="24"/>
        </w:rPr>
        <w:t>arantees and counter-guarantees. The implementation foresees also support measures, such as communication activities, monitoring, control, audit and evaluation which are directly necessary for the effective and efficient implementation of the Decision No 2</w:t>
      </w:r>
      <w:r>
        <w:rPr>
          <w:noProof/>
          <w:szCs w:val="24"/>
        </w:rPr>
        <w:t>83/2010/EU and for the achievement of its objectives.</w:t>
      </w:r>
    </w:p>
    <w:p w:rsidR="0073489B" w:rsidRDefault="00A46D11">
      <w:pPr>
        <w:keepNext/>
        <w:jc w:val="both"/>
        <w:rPr>
          <w:noProof/>
          <w:szCs w:val="24"/>
        </w:rPr>
      </w:pPr>
      <w:r>
        <w:rPr>
          <w:noProof/>
          <w:szCs w:val="24"/>
        </w:rPr>
        <w:t>EPMF Guarantee Facility is subject to the following requirements and restrictions that have to be respected by the participating Microfinance providers:</w:t>
      </w:r>
    </w:p>
    <w:p w:rsidR="0073489B" w:rsidRDefault="00A46D11">
      <w:pPr>
        <w:keepNext/>
        <w:keepLines/>
        <w:numPr>
          <w:ilvl w:val="0"/>
          <w:numId w:val="161"/>
        </w:numPr>
        <w:spacing w:before="60"/>
        <w:jc w:val="both"/>
        <w:rPr>
          <w:noProof/>
          <w:szCs w:val="24"/>
        </w:rPr>
      </w:pPr>
      <w:r>
        <w:rPr>
          <w:noProof/>
          <w:szCs w:val="24"/>
        </w:rPr>
        <w:t>Additionality</w:t>
      </w:r>
    </w:p>
    <w:p w:rsidR="0073489B" w:rsidRDefault="00A46D11">
      <w:pPr>
        <w:keepNext/>
        <w:keepLines/>
        <w:numPr>
          <w:ilvl w:val="0"/>
          <w:numId w:val="161"/>
        </w:numPr>
        <w:jc w:val="both"/>
        <w:rPr>
          <w:noProof/>
          <w:szCs w:val="24"/>
        </w:rPr>
      </w:pPr>
      <w:r>
        <w:rPr>
          <w:noProof/>
          <w:szCs w:val="24"/>
        </w:rPr>
        <w:t>Promotion and visibility</w:t>
      </w:r>
    </w:p>
    <w:p w:rsidR="0073489B" w:rsidRDefault="00A46D11">
      <w:pPr>
        <w:keepNext/>
        <w:keepLines/>
        <w:numPr>
          <w:ilvl w:val="0"/>
          <w:numId w:val="161"/>
        </w:numPr>
        <w:jc w:val="both"/>
        <w:rPr>
          <w:noProof/>
          <w:szCs w:val="24"/>
        </w:rPr>
      </w:pPr>
      <w:r>
        <w:rPr>
          <w:noProof/>
          <w:szCs w:val="24"/>
        </w:rPr>
        <w:t>Monitoring</w:t>
      </w:r>
      <w:r>
        <w:rPr>
          <w:noProof/>
          <w:szCs w:val="24"/>
        </w:rPr>
        <w:t>, control and audit</w:t>
      </w:r>
    </w:p>
    <w:p w:rsidR="0073489B" w:rsidRDefault="00A46D11">
      <w:pPr>
        <w:keepNext/>
        <w:keepLines/>
        <w:numPr>
          <w:ilvl w:val="0"/>
          <w:numId w:val="161"/>
        </w:numPr>
        <w:jc w:val="both"/>
        <w:rPr>
          <w:noProof/>
          <w:szCs w:val="24"/>
        </w:rPr>
      </w:pPr>
      <w:r>
        <w:rPr>
          <w:noProof/>
          <w:szCs w:val="24"/>
        </w:rPr>
        <w:t>Compliance with State aid rules</w:t>
      </w:r>
    </w:p>
    <w:p w:rsidR="0073489B" w:rsidRDefault="00A46D11">
      <w:pPr>
        <w:numPr>
          <w:ilvl w:val="0"/>
          <w:numId w:val="161"/>
        </w:numPr>
        <w:spacing w:after="60"/>
        <w:ind w:left="1434" w:hanging="357"/>
        <w:jc w:val="both"/>
        <w:rPr>
          <w:noProof/>
          <w:szCs w:val="24"/>
        </w:rPr>
      </w:pPr>
      <w:r>
        <w:rPr>
          <w:noProof/>
          <w:szCs w:val="24"/>
        </w:rPr>
        <w:t>Reporting</w:t>
      </w:r>
    </w:p>
    <w:p w:rsidR="0073489B" w:rsidRDefault="00A46D11">
      <w:pPr>
        <w:spacing w:after="60"/>
        <w:jc w:val="both"/>
        <w:rPr>
          <w:noProof/>
          <w:szCs w:val="24"/>
        </w:rPr>
      </w:pPr>
      <w:r>
        <w:rPr>
          <w:noProof/>
          <w:szCs w:val="24"/>
        </w:rPr>
        <w:t>The Facility also seeks to promote a balanced geographic distribution and the set target is to cover at least 12 Member States until 31 December 2016. As of 30/09/2016, the Facility covers 18 Me</w:t>
      </w:r>
      <w:r>
        <w:rPr>
          <w:noProof/>
          <w:szCs w:val="24"/>
        </w:rPr>
        <w:t>mber States. The EPMF Guarantee Facility shall remain in full force and effect until 31 December 2020. However, as the budget of the EPMF Guarantee Facility has been fully utilised by Q2 2014, no new transactions took place.</w:t>
      </w:r>
    </w:p>
    <w:p w:rsidR="0073489B" w:rsidRDefault="00A46D11">
      <w:pPr>
        <w:jc w:val="both"/>
        <w:rPr>
          <w:i/>
          <w:noProof/>
          <w:szCs w:val="24"/>
        </w:rPr>
      </w:pPr>
      <w:r>
        <w:rPr>
          <w:i/>
          <w:noProof/>
          <w:szCs w:val="24"/>
        </w:rPr>
        <w:lastRenderedPageBreak/>
        <w:t>Added value</w:t>
      </w:r>
    </w:p>
    <w:p w:rsidR="0073489B" w:rsidRDefault="00A46D11">
      <w:pPr>
        <w:spacing w:after="60"/>
        <w:jc w:val="both"/>
        <w:rPr>
          <w:noProof/>
        </w:rPr>
      </w:pPr>
      <w:r>
        <w:rPr>
          <w:noProof/>
          <w:szCs w:val="24"/>
        </w:rPr>
        <w:t>This Facility allow</w:t>
      </w:r>
      <w:r>
        <w:rPr>
          <w:noProof/>
          <w:szCs w:val="24"/>
        </w:rPr>
        <w:t>s microfinance providers to reach out to target groups, who could normally not be served; for instance, because persons from these groups could not provide sufficient collateral or because the interest rates, which they would have to pay in accordance to t</w:t>
      </w:r>
      <w:r>
        <w:rPr>
          <w:noProof/>
          <w:szCs w:val="24"/>
        </w:rPr>
        <w:t>heir actual risk, profile are too high.</w:t>
      </w:r>
    </w:p>
    <w:p w:rsidR="0073489B" w:rsidRDefault="00A46D11">
      <w:pPr>
        <w:pStyle w:val="Heading5"/>
        <w:spacing w:before="120"/>
        <w:ind w:left="284" w:firstLine="0"/>
        <w:rPr>
          <w:noProof/>
        </w:rPr>
      </w:pPr>
      <w:bookmarkStart w:id="137" w:name="_Toc387228815"/>
      <w:r>
        <w:rPr>
          <w:noProof/>
        </w:rPr>
        <w:t>The financial institutions involved in implementation</w:t>
      </w:r>
      <w:bookmarkEnd w:id="137"/>
      <w:r>
        <w:rPr>
          <w:noProof/>
        </w:rPr>
        <w:t xml:space="preserve">; </w:t>
      </w:r>
    </w:p>
    <w:p w:rsidR="0073489B" w:rsidRDefault="00A46D11">
      <w:pPr>
        <w:shd w:val="clear" w:color="auto" w:fill="FFFFFF"/>
        <w:spacing w:after="60"/>
        <w:ind w:right="141" w:firstLine="3"/>
        <w:rPr>
          <w:noProof/>
          <w:szCs w:val="24"/>
        </w:rPr>
      </w:pPr>
      <w:r>
        <w:rPr>
          <w:noProof/>
          <w:szCs w:val="24"/>
        </w:rPr>
        <w:t>European Investment fund (EIF).</w:t>
      </w:r>
    </w:p>
    <w:p w:rsidR="0073489B" w:rsidRDefault="0073489B">
      <w:pPr>
        <w:shd w:val="clear" w:color="auto" w:fill="FFFFFF"/>
        <w:spacing w:after="60"/>
        <w:ind w:right="141" w:firstLine="3"/>
        <w:rPr>
          <w:noProof/>
          <w:szCs w:val="24"/>
        </w:rPr>
      </w:pPr>
    </w:p>
    <w:p w:rsidR="0073489B" w:rsidRDefault="00A46D11">
      <w:pPr>
        <w:pStyle w:val="Heading4"/>
        <w:rPr>
          <w:noProof/>
        </w:rPr>
      </w:pPr>
      <w:bookmarkStart w:id="138" w:name="_Toc387228816"/>
      <w:bookmarkStart w:id="139" w:name="_Toc388541887"/>
      <w:r>
        <w:rPr>
          <w:noProof/>
        </w:rPr>
        <w:t>Implementation</w:t>
      </w:r>
      <w:bookmarkEnd w:id="138"/>
      <w:bookmarkEnd w:id="139"/>
    </w:p>
    <w:p w:rsidR="0073489B" w:rsidRDefault="00A46D11">
      <w:pPr>
        <w:pStyle w:val="Heading5"/>
        <w:spacing w:before="120"/>
        <w:ind w:left="284" w:firstLine="0"/>
        <w:rPr>
          <w:noProof/>
        </w:rPr>
      </w:pPr>
      <w:bookmarkStart w:id="140" w:name="_Toc387228817"/>
      <w:r>
        <w:rPr>
          <w:noProof/>
        </w:rPr>
        <w:t>The aggregate budgetary commitments and payments from the budget</w:t>
      </w:r>
      <w:bookmarkEnd w:id="140"/>
      <w:r>
        <w:rPr>
          <w:noProof/>
        </w:rPr>
        <w:t>;</w:t>
      </w:r>
    </w:p>
    <w:p w:rsidR="0073489B" w:rsidRDefault="00A46D11">
      <w:pPr>
        <w:ind w:left="360" w:right="141"/>
        <w:rPr>
          <w:noProof/>
          <w:szCs w:val="24"/>
        </w:rPr>
      </w:pPr>
      <w:r>
        <w:rPr>
          <w:noProof/>
          <w:szCs w:val="24"/>
        </w:rPr>
        <w:t xml:space="preserve">Aggregate budgetary commitments as at 31/12/2016 </w:t>
      </w:r>
      <w:r>
        <w:rPr>
          <w:noProof/>
          <w:szCs w:val="24"/>
        </w:rPr>
        <w:tab/>
        <w:t xml:space="preserve">                    EUR 23 600 000</w:t>
      </w:r>
    </w:p>
    <w:p w:rsidR="0073489B" w:rsidRDefault="00A46D11">
      <w:pPr>
        <w:ind w:left="360" w:right="141"/>
        <w:rPr>
          <w:noProof/>
          <w:szCs w:val="24"/>
        </w:rPr>
      </w:pPr>
      <w:r>
        <w:rPr>
          <w:noProof/>
          <w:szCs w:val="24"/>
        </w:rPr>
        <w:t>Aggregate budgetary payments as at      31/12/2016</w:t>
      </w:r>
      <w:r>
        <w:rPr>
          <w:noProof/>
          <w:szCs w:val="24"/>
        </w:rPr>
        <w:tab/>
      </w:r>
      <w:r>
        <w:rPr>
          <w:noProof/>
          <w:szCs w:val="24"/>
        </w:rPr>
        <w:tab/>
        <w:t xml:space="preserve">        EUR 22 549 387 </w:t>
      </w:r>
    </w:p>
    <w:p w:rsidR="0073489B" w:rsidRDefault="00A46D11">
      <w:pPr>
        <w:pStyle w:val="Heading5"/>
        <w:spacing w:before="120" w:after="160"/>
        <w:ind w:left="284" w:firstLine="0"/>
        <w:rPr>
          <w:b w:val="0"/>
          <w:noProof/>
        </w:rPr>
      </w:pPr>
      <w:bookmarkStart w:id="141" w:name="_Toc387228818"/>
      <w:r>
        <w:rPr>
          <w:noProof/>
        </w:rPr>
        <w:t>The performance of the financial instrument, including investments realised</w:t>
      </w:r>
      <w:bookmarkEnd w:id="141"/>
      <w:r>
        <w:rPr>
          <w:noProof/>
        </w:rPr>
        <w:t xml:space="preserve"> </w:t>
      </w:r>
      <w:r>
        <w:rPr>
          <w:b w:val="0"/>
          <w:noProof/>
        </w:rPr>
        <w:t>(as of 30/09/2016);</w:t>
      </w:r>
      <w:r>
        <w:rPr>
          <w:rStyle w:val="FootnoteReference"/>
          <w:b w:val="0"/>
          <w:noProof/>
        </w:rPr>
        <w:footnoteReference w:id="103"/>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70"/>
      </w:tblGrid>
      <w:tr w:rsidR="0073489B">
        <w:trPr>
          <w:trHeight w:val="1384"/>
          <w:jc w:val="center"/>
        </w:trPr>
        <w:tc>
          <w:tcPr>
            <w:tcW w:w="4962" w:type="dxa"/>
            <w:shd w:val="clear" w:color="auto" w:fill="auto"/>
            <w:vAlign w:val="center"/>
          </w:tcPr>
          <w:p w:rsidR="0073489B" w:rsidRDefault="00A46D11">
            <w:pPr>
              <w:pStyle w:val="ListParagraph"/>
              <w:spacing w:before="60" w:after="60"/>
              <w:ind w:left="34" w:right="141"/>
              <w:jc w:val="both"/>
              <w:rPr>
                <w:noProof/>
                <w:szCs w:val="24"/>
              </w:rPr>
            </w:pPr>
            <w:r>
              <w:rPr>
                <w:noProof/>
                <w:szCs w:val="24"/>
              </w:rPr>
              <w:t>Amount of financing expected to be provided by the instrument (including EU contribution committed) to eligible final recipients,</w:t>
            </w:r>
          </w:p>
          <w:p w:rsidR="0073489B" w:rsidRDefault="00A46D11">
            <w:pPr>
              <w:pStyle w:val="ListParagraph"/>
              <w:spacing w:before="60" w:after="60"/>
              <w:ind w:left="34" w:right="141"/>
              <w:jc w:val="both"/>
              <w:rPr>
                <w:i/>
                <w:noProof/>
                <w:szCs w:val="24"/>
                <w:highlight w:val="green"/>
              </w:rPr>
            </w:pPr>
            <w:r>
              <w:rPr>
                <w:noProof/>
                <w:szCs w:val="24"/>
              </w:rPr>
              <w:t>and corresponding number of eligible final recipients;</w:t>
            </w:r>
          </w:p>
        </w:tc>
        <w:tc>
          <w:tcPr>
            <w:tcW w:w="4270" w:type="dxa"/>
            <w:vAlign w:val="center"/>
          </w:tcPr>
          <w:p w:rsidR="0073489B" w:rsidRDefault="00A46D11">
            <w:pPr>
              <w:spacing w:before="60"/>
              <w:ind w:left="34" w:right="141"/>
              <w:contextualSpacing/>
              <w:jc w:val="center"/>
              <w:rPr>
                <w:noProof/>
                <w:szCs w:val="24"/>
                <w:lang w:val="fr-BE"/>
              </w:rPr>
            </w:pPr>
            <w:r>
              <w:rPr>
                <w:noProof/>
                <w:szCs w:val="24"/>
                <w:lang w:val="fr-BE"/>
              </w:rPr>
              <w:t xml:space="preserve">EUR 286,48 million </w:t>
            </w:r>
          </w:p>
          <w:p w:rsidR="0073489B" w:rsidRDefault="0073489B">
            <w:pPr>
              <w:ind w:left="34" w:right="141"/>
              <w:contextualSpacing/>
              <w:jc w:val="center"/>
              <w:rPr>
                <w:noProof/>
                <w:szCs w:val="24"/>
                <w:lang w:val="fr-BE"/>
              </w:rPr>
            </w:pPr>
          </w:p>
          <w:p w:rsidR="0073489B" w:rsidRDefault="00A46D11">
            <w:pPr>
              <w:spacing w:before="60"/>
              <w:ind w:left="34" w:right="141"/>
              <w:contextualSpacing/>
              <w:jc w:val="center"/>
              <w:rPr>
                <w:noProof/>
                <w:szCs w:val="24"/>
              </w:rPr>
            </w:pPr>
            <w:r>
              <w:rPr>
                <w:noProof/>
                <w:szCs w:val="24"/>
              </w:rPr>
              <w:t>25 508  eligible FRs</w:t>
            </w:r>
            <w:r>
              <w:rPr>
                <w:rStyle w:val="FootnoteReference"/>
                <w:noProof/>
                <w:szCs w:val="24"/>
              </w:rPr>
              <w:footnoteReference w:id="104"/>
            </w:r>
            <w:r>
              <w:rPr>
                <w:noProof/>
                <w:szCs w:val="24"/>
              </w:rPr>
              <w:t xml:space="preserve"> </w:t>
            </w:r>
          </w:p>
        </w:tc>
      </w:tr>
      <w:tr w:rsidR="0073489B">
        <w:trPr>
          <w:trHeight w:val="425"/>
          <w:jc w:val="center"/>
        </w:trPr>
        <w:tc>
          <w:tcPr>
            <w:tcW w:w="4962" w:type="dxa"/>
            <w:shd w:val="clear" w:color="auto" w:fill="auto"/>
            <w:vAlign w:val="center"/>
          </w:tcPr>
          <w:p w:rsidR="0073489B" w:rsidRDefault="00A46D11">
            <w:pPr>
              <w:keepNext/>
              <w:spacing w:before="60" w:after="60"/>
              <w:ind w:right="142"/>
              <w:contextualSpacing/>
              <w:jc w:val="both"/>
              <w:rPr>
                <w:noProof/>
                <w:szCs w:val="24"/>
              </w:rPr>
            </w:pPr>
            <w:r>
              <w:rPr>
                <w:noProof/>
              </w:rPr>
              <w:t xml:space="preserve">Amount committed to financial intermediaries </w:t>
            </w:r>
          </w:p>
        </w:tc>
        <w:tc>
          <w:tcPr>
            <w:tcW w:w="4270" w:type="dxa"/>
            <w:vAlign w:val="center"/>
          </w:tcPr>
          <w:p w:rsidR="0073489B" w:rsidRDefault="00A46D11">
            <w:pPr>
              <w:keepNext/>
              <w:spacing w:before="60" w:after="60"/>
              <w:ind w:left="34" w:right="142"/>
              <w:contextualSpacing/>
              <w:jc w:val="center"/>
              <w:rPr>
                <w:noProof/>
                <w:szCs w:val="24"/>
              </w:rPr>
            </w:pPr>
            <w:r>
              <w:rPr>
                <w:noProof/>
                <w:szCs w:val="24"/>
              </w:rPr>
              <w:t>EUR 20,96 million</w:t>
            </w:r>
            <w:r>
              <w:rPr>
                <w:rStyle w:val="FootnoteReference"/>
                <w:noProof/>
                <w:szCs w:val="24"/>
              </w:rPr>
              <w:footnoteReference w:id="105"/>
            </w:r>
          </w:p>
        </w:tc>
      </w:tr>
      <w:tr w:rsidR="0073489B">
        <w:trPr>
          <w:trHeight w:val="774"/>
          <w:jc w:val="center"/>
        </w:trPr>
        <w:tc>
          <w:tcPr>
            <w:tcW w:w="4962" w:type="dxa"/>
            <w:shd w:val="clear" w:color="auto" w:fill="auto"/>
            <w:vAlign w:val="center"/>
          </w:tcPr>
          <w:p w:rsidR="0073489B" w:rsidRDefault="00A46D11">
            <w:pPr>
              <w:spacing w:before="60" w:after="60"/>
              <w:ind w:left="34" w:right="141"/>
              <w:contextualSpacing/>
              <w:jc w:val="both"/>
              <w:rPr>
                <w:noProof/>
                <w:szCs w:val="24"/>
              </w:rPr>
            </w:pPr>
            <w:r>
              <w:rPr>
                <w:noProof/>
                <w:szCs w:val="24"/>
              </w:rPr>
              <w:t>Amount of investments expected to be made by eligible final recipients due to the financing, if applicable</w:t>
            </w:r>
          </w:p>
        </w:tc>
        <w:tc>
          <w:tcPr>
            <w:tcW w:w="4270" w:type="dxa"/>
            <w:vAlign w:val="center"/>
          </w:tcPr>
          <w:p w:rsidR="0073489B" w:rsidRDefault="00A46D11">
            <w:pPr>
              <w:spacing w:before="60" w:after="60"/>
              <w:ind w:left="34" w:right="141"/>
              <w:contextualSpacing/>
              <w:jc w:val="center"/>
              <w:rPr>
                <w:noProof/>
                <w:szCs w:val="24"/>
              </w:rPr>
            </w:pPr>
            <w:r>
              <w:rPr>
                <w:noProof/>
                <w:szCs w:val="24"/>
              </w:rPr>
              <w:t>EUR 409,25 million</w:t>
            </w:r>
            <w:r>
              <w:rPr>
                <w:rStyle w:val="FootnoteReference"/>
                <w:noProof/>
                <w:szCs w:val="24"/>
              </w:rPr>
              <w:footnoteReference w:id="106"/>
            </w:r>
            <w:r>
              <w:rPr>
                <w:noProof/>
                <w:szCs w:val="24"/>
              </w:rPr>
              <w:t xml:space="preserve"> </w:t>
            </w:r>
          </w:p>
        </w:tc>
      </w:tr>
      <w:tr w:rsidR="0073489B">
        <w:trPr>
          <w:trHeight w:val="1011"/>
          <w:jc w:val="center"/>
        </w:trPr>
        <w:tc>
          <w:tcPr>
            <w:tcW w:w="4962" w:type="dxa"/>
            <w:shd w:val="clear" w:color="auto" w:fill="auto"/>
            <w:vAlign w:val="center"/>
          </w:tcPr>
          <w:p w:rsidR="0073489B" w:rsidRDefault="00A46D11">
            <w:pPr>
              <w:pStyle w:val="ListParagraph"/>
              <w:ind w:left="34" w:right="141"/>
              <w:jc w:val="both"/>
              <w:rPr>
                <w:noProof/>
                <w:szCs w:val="24"/>
              </w:rPr>
            </w:pPr>
            <w:r>
              <w:rPr>
                <w:noProof/>
                <w:szCs w:val="24"/>
              </w:rPr>
              <w:t xml:space="preserve">Amount of financing already provided by the instrument to </w:t>
            </w:r>
            <w:r>
              <w:rPr>
                <w:noProof/>
                <w:szCs w:val="24"/>
              </w:rPr>
              <w:t>eligible final recipients,</w:t>
            </w:r>
          </w:p>
          <w:p w:rsidR="0073489B" w:rsidRDefault="00A46D11">
            <w:pPr>
              <w:pStyle w:val="ListParagraph"/>
              <w:ind w:left="34" w:right="141"/>
              <w:jc w:val="both"/>
              <w:rPr>
                <w:noProof/>
                <w:szCs w:val="24"/>
              </w:rPr>
            </w:pPr>
            <w:r>
              <w:rPr>
                <w:noProof/>
                <w:szCs w:val="24"/>
              </w:rPr>
              <w:t xml:space="preserve">and the corresponding number of recipients; </w:t>
            </w:r>
          </w:p>
        </w:tc>
        <w:tc>
          <w:tcPr>
            <w:tcW w:w="4270" w:type="dxa"/>
            <w:vAlign w:val="center"/>
          </w:tcPr>
          <w:p w:rsidR="0073489B" w:rsidRDefault="00A46D11">
            <w:pPr>
              <w:ind w:left="34" w:right="141"/>
              <w:contextualSpacing/>
              <w:jc w:val="center"/>
              <w:rPr>
                <w:noProof/>
                <w:szCs w:val="24"/>
              </w:rPr>
            </w:pPr>
            <w:r>
              <w:rPr>
                <w:noProof/>
                <w:szCs w:val="24"/>
              </w:rPr>
              <w:t xml:space="preserve">EUR 235,6 million </w:t>
            </w:r>
          </w:p>
          <w:p w:rsidR="0073489B" w:rsidRDefault="0073489B">
            <w:pPr>
              <w:ind w:left="34" w:right="141"/>
              <w:contextualSpacing/>
              <w:jc w:val="center"/>
              <w:rPr>
                <w:noProof/>
                <w:szCs w:val="24"/>
              </w:rPr>
            </w:pPr>
          </w:p>
          <w:p w:rsidR="0073489B" w:rsidRDefault="00A46D11">
            <w:pPr>
              <w:ind w:left="34" w:right="141"/>
              <w:contextualSpacing/>
              <w:jc w:val="center"/>
              <w:rPr>
                <w:noProof/>
                <w:szCs w:val="24"/>
              </w:rPr>
            </w:pPr>
            <w:r>
              <w:rPr>
                <w:noProof/>
                <w:szCs w:val="24"/>
              </w:rPr>
              <w:t>19 713 eligible FRs</w:t>
            </w:r>
          </w:p>
        </w:tc>
      </w:tr>
      <w:tr w:rsidR="0073489B">
        <w:trPr>
          <w:trHeight w:val="943"/>
          <w:jc w:val="center"/>
        </w:trPr>
        <w:tc>
          <w:tcPr>
            <w:tcW w:w="4962" w:type="dxa"/>
            <w:shd w:val="clear" w:color="auto" w:fill="auto"/>
            <w:vAlign w:val="center"/>
          </w:tcPr>
          <w:p w:rsidR="0073489B" w:rsidRDefault="00A46D11">
            <w:pPr>
              <w:pStyle w:val="ListParagraph"/>
              <w:ind w:left="34" w:right="141"/>
              <w:jc w:val="both"/>
              <w:rPr>
                <w:noProof/>
              </w:rPr>
            </w:pPr>
            <w:r>
              <w:rPr>
                <w:noProof/>
                <w:szCs w:val="24"/>
              </w:rPr>
              <w:t>Amount of investments already made by eligible final recipients due to the financing provided through the instrument, if applicable.</w:t>
            </w:r>
          </w:p>
        </w:tc>
        <w:tc>
          <w:tcPr>
            <w:tcW w:w="4270" w:type="dxa"/>
            <w:vAlign w:val="center"/>
          </w:tcPr>
          <w:p w:rsidR="0073489B" w:rsidRDefault="00A46D11">
            <w:pPr>
              <w:ind w:left="34" w:right="141"/>
              <w:contextualSpacing/>
              <w:jc w:val="center"/>
              <w:rPr>
                <w:noProof/>
                <w:szCs w:val="24"/>
              </w:rPr>
            </w:pPr>
            <w:r>
              <w:rPr>
                <w:noProof/>
                <w:szCs w:val="24"/>
              </w:rPr>
              <w:t xml:space="preserve">EUR 336,5 </w:t>
            </w:r>
            <w:r>
              <w:rPr>
                <w:noProof/>
                <w:szCs w:val="24"/>
              </w:rPr>
              <w:t>million</w:t>
            </w:r>
            <w:r>
              <w:rPr>
                <w:rStyle w:val="FootnoteReference"/>
                <w:noProof/>
                <w:szCs w:val="24"/>
              </w:rPr>
              <w:footnoteReference w:id="107"/>
            </w:r>
            <w:r>
              <w:rPr>
                <w:noProof/>
                <w:szCs w:val="24"/>
              </w:rPr>
              <w:t xml:space="preserve"> </w:t>
            </w:r>
          </w:p>
        </w:tc>
      </w:tr>
    </w:tbl>
    <w:p w:rsidR="0073489B" w:rsidRDefault="00A46D11">
      <w:pPr>
        <w:spacing w:before="200"/>
        <w:jc w:val="both"/>
        <w:rPr>
          <w:i/>
          <w:noProof/>
          <w:szCs w:val="24"/>
        </w:rPr>
      </w:pPr>
      <w:r>
        <w:rPr>
          <w:i/>
          <w:noProof/>
          <w:szCs w:val="24"/>
        </w:rPr>
        <w:t>Impact on employment</w:t>
      </w:r>
    </w:p>
    <w:p w:rsidR="0073489B" w:rsidRDefault="00A46D11">
      <w:pPr>
        <w:spacing w:after="60"/>
        <w:ind w:firstLine="3"/>
        <w:jc w:val="both"/>
        <w:rPr>
          <w:noProof/>
          <w:szCs w:val="24"/>
        </w:rPr>
      </w:pPr>
      <w:r>
        <w:rPr>
          <w:noProof/>
          <w:szCs w:val="24"/>
        </w:rPr>
        <w:t xml:space="preserve">For the entire period as of 30 September 2016, EPMF achievements for the Guarantee Facility component of the programme were as follows: </w:t>
      </w:r>
    </w:p>
    <w:p w:rsidR="0073489B" w:rsidRDefault="00A46D11">
      <w:pPr>
        <w:numPr>
          <w:ilvl w:val="0"/>
          <w:numId w:val="162"/>
        </w:numPr>
        <w:ind w:left="567" w:hanging="142"/>
        <w:jc w:val="both"/>
        <w:rPr>
          <w:noProof/>
          <w:szCs w:val="24"/>
        </w:rPr>
      </w:pPr>
      <w:r>
        <w:rPr>
          <w:noProof/>
          <w:szCs w:val="24"/>
        </w:rPr>
        <w:t>Number of micro-loans: 20 980</w:t>
      </w:r>
    </w:p>
    <w:p w:rsidR="0073489B" w:rsidRDefault="00A46D11">
      <w:pPr>
        <w:numPr>
          <w:ilvl w:val="0"/>
          <w:numId w:val="162"/>
        </w:numPr>
        <w:ind w:left="567" w:hanging="142"/>
        <w:jc w:val="both"/>
        <w:rPr>
          <w:noProof/>
          <w:szCs w:val="24"/>
        </w:rPr>
      </w:pPr>
      <w:r>
        <w:rPr>
          <w:noProof/>
          <w:szCs w:val="24"/>
        </w:rPr>
        <w:t>Total amount of micro-loans: EUR  235,6 million</w:t>
      </w:r>
    </w:p>
    <w:p w:rsidR="0073489B" w:rsidRDefault="00A46D11">
      <w:pPr>
        <w:numPr>
          <w:ilvl w:val="0"/>
          <w:numId w:val="162"/>
        </w:numPr>
        <w:spacing w:after="60"/>
        <w:ind w:left="567" w:hanging="142"/>
        <w:jc w:val="both"/>
        <w:rPr>
          <w:noProof/>
          <w:szCs w:val="24"/>
        </w:rPr>
      </w:pPr>
      <w:r>
        <w:rPr>
          <w:noProof/>
          <w:szCs w:val="24"/>
        </w:rPr>
        <w:t xml:space="preserve">Total </w:t>
      </w:r>
      <w:r>
        <w:rPr>
          <w:noProof/>
          <w:szCs w:val="24"/>
        </w:rPr>
        <w:t>number of employees (in the supported micro-enterprises): 37 038</w:t>
      </w:r>
    </w:p>
    <w:p w:rsidR="0073489B" w:rsidRDefault="00A46D11">
      <w:pPr>
        <w:spacing w:before="200"/>
        <w:jc w:val="both"/>
        <w:rPr>
          <w:i/>
          <w:noProof/>
          <w:szCs w:val="24"/>
        </w:rPr>
      </w:pPr>
      <w:r>
        <w:rPr>
          <w:i/>
          <w:noProof/>
          <w:szCs w:val="24"/>
        </w:rPr>
        <w:lastRenderedPageBreak/>
        <w:t>Additional operational information</w:t>
      </w:r>
    </w:p>
    <w:p w:rsidR="0073489B" w:rsidRDefault="00A46D11">
      <w:pPr>
        <w:numPr>
          <w:ilvl w:val="0"/>
          <w:numId w:val="162"/>
        </w:numPr>
        <w:ind w:left="567" w:hanging="142"/>
        <w:jc w:val="both"/>
        <w:rPr>
          <w:noProof/>
          <w:szCs w:val="24"/>
        </w:rPr>
      </w:pPr>
      <w:r>
        <w:rPr>
          <w:noProof/>
          <w:szCs w:val="24"/>
        </w:rPr>
        <w:t xml:space="preserve">As of 30/09/2016, 36 Guarantee Agreements have been signed in 18 Member States for a total guarantee cap amount of EUR 20,96 million. </w:t>
      </w:r>
    </w:p>
    <w:p w:rsidR="0073489B" w:rsidRDefault="00A46D11">
      <w:pPr>
        <w:numPr>
          <w:ilvl w:val="0"/>
          <w:numId w:val="162"/>
        </w:numPr>
        <w:ind w:left="567" w:hanging="142"/>
        <w:jc w:val="both"/>
        <w:rPr>
          <w:noProof/>
          <w:szCs w:val="24"/>
        </w:rPr>
      </w:pPr>
      <w:r>
        <w:rPr>
          <w:noProof/>
          <w:szCs w:val="24"/>
        </w:rPr>
        <w:t>In 2017, the demand f</w:t>
      </w:r>
      <w:r>
        <w:rPr>
          <w:noProof/>
          <w:szCs w:val="24"/>
        </w:rPr>
        <w:t>rom microfinance providers will remain significant and the new EaSI Microfinance Guarantee (EPMF-G successor programme) is already covering fast and effectively the needs of the microfinance market.</w:t>
      </w:r>
    </w:p>
    <w:p w:rsidR="0073489B" w:rsidRDefault="0073489B">
      <w:pPr>
        <w:spacing w:before="200"/>
        <w:ind w:right="142"/>
        <w:contextualSpacing/>
        <w:jc w:val="both"/>
        <w:rPr>
          <w:i/>
          <w:noProof/>
          <w:szCs w:val="24"/>
        </w:rPr>
      </w:pPr>
    </w:p>
    <w:p w:rsidR="0073489B" w:rsidRDefault="00A46D11">
      <w:pPr>
        <w:spacing w:before="200"/>
        <w:ind w:right="142"/>
        <w:contextualSpacing/>
        <w:jc w:val="both"/>
        <w:rPr>
          <w:i/>
          <w:noProof/>
          <w:szCs w:val="24"/>
        </w:rPr>
      </w:pPr>
      <w:r>
        <w:rPr>
          <w:i/>
          <w:noProof/>
          <w:szCs w:val="24"/>
        </w:rPr>
        <w:t>Additional information at the aggregate EPMF level, incl</w:t>
      </w:r>
      <w:r>
        <w:rPr>
          <w:i/>
          <w:noProof/>
          <w:szCs w:val="24"/>
        </w:rPr>
        <w:t xml:space="preserve">uding both Guarantee facility and Funded instruments </w:t>
      </w:r>
    </w:p>
    <w:p w:rsidR="0073489B" w:rsidRDefault="00A46D11">
      <w:pPr>
        <w:numPr>
          <w:ilvl w:val="0"/>
          <w:numId w:val="110"/>
        </w:numPr>
        <w:spacing w:after="80"/>
        <w:ind w:right="142"/>
        <w:contextualSpacing/>
        <w:jc w:val="both"/>
        <w:rPr>
          <w:noProof/>
        </w:rPr>
      </w:pPr>
      <w:r>
        <w:rPr>
          <w:noProof/>
          <w:szCs w:val="24"/>
        </w:rPr>
        <w:t xml:space="preserve">As of 30/09/2016 the European Progress Microfinance Facility including both Guarantees (EPMF- G) and Funded instruments (EPMF – FCP FIS) already provided 56 221 micro-loans to final recipients reaching </w:t>
      </w:r>
      <w:r>
        <w:rPr>
          <w:noProof/>
          <w:szCs w:val="24"/>
        </w:rPr>
        <w:t>the volume of EUR 471,7 million, compared to the initial programme target of 46,000 micro-loans with the volume of EUR 500 million. The Facility has already surpassed the micro-loans initial target by 22%.</w:t>
      </w:r>
    </w:p>
    <w:p w:rsidR="0073489B" w:rsidRDefault="00A46D11">
      <w:pPr>
        <w:pStyle w:val="Heading5"/>
        <w:spacing w:after="160"/>
        <w:ind w:left="284" w:firstLine="0"/>
        <w:jc w:val="both"/>
        <w:rPr>
          <w:noProof/>
        </w:rPr>
      </w:pPr>
      <w:bookmarkStart w:id="142" w:name="_Toc387228819"/>
      <w:r>
        <w:rPr>
          <w:noProof/>
        </w:rPr>
        <w:t>An evaluation of the use of any amounts returned t</w:t>
      </w:r>
      <w:r>
        <w:rPr>
          <w:noProof/>
        </w:rPr>
        <w:t>o the instrument as internal assigned revenue under paragraph 6</w:t>
      </w:r>
      <w:bookmarkEnd w:id="142"/>
      <w:r>
        <w:rPr>
          <w:noProof/>
        </w:rPr>
        <w:t>;</w:t>
      </w:r>
    </w:p>
    <w:p w:rsidR="0073489B" w:rsidRDefault="00A46D11">
      <w:pPr>
        <w:ind w:right="141"/>
        <w:contextualSpacing/>
        <w:jc w:val="both"/>
        <w:rPr>
          <w:noProof/>
          <w:szCs w:val="24"/>
        </w:rPr>
      </w:pPr>
      <w:r>
        <w:rPr>
          <w:noProof/>
        </w:rPr>
        <w:t>Given the high demand for additional commitments due to the success of the EPMF Guarantee facility all the proceeds (see point (h)) received of the fiduciary account were used for the purpose</w:t>
      </w:r>
      <w:r>
        <w:rPr>
          <w:noProof/>
        </w:rPr>
        <w:t>s of the Facility (as foreseen in the FMA).</w:t>
      </w:r>
    </w:p>
    <w:p w:rsidR="0073489B" w:rsidRDefault="00A46D11">
      <w:pPr>
        <w:pStyle w:val="Heading5"/>
        <w:spacing w:before="120"/>
        <w:ind w:left="284" w:firstLine="0"/>
        <w:rPr>
          <w:noProof/>
        </w:rPr>
      </w:pPr>
      <w:bookmarkStart w:id="143" w:name="_Toc387228820"/>
      <w:r>
        <w:rPr>
          <w:noProof/>
        </w:rPr>
        <w:t>The balance of the fiduciary account</w:t>
      </w:r>
      <w:bookmarkEnd w:id="143"/>
      <w:r>
        <w:rPr>
          <w:noProof/>
        </w:rPr>
        <w:t>;</w:t>
      </w:r>
    </w:p>
    <w:p w:rsidR="0073489B" w:rsidRDefault="00A46D11">
      <w:pPr>
        <w:tabs>
          <w:tab w:val="left" w:pos="6946"/>
        </w:tabs>
        <w:spacing w:after="160"/>
        <w:ind w:left="360" w:right="141"/>
        <w:rPr>
          <w:noProof/>
          <w:szCs w:val="24"/>
        </w:rPr>
      </w:pPr>
      <w:r>
        <w:rPr>
          <w:noProof/>
          <w:szCs w:val="24"/>
        </w:rPr>
        <w:t>At the end of the financial year 31/12/2015                                             EUR  9 597 622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73489B">
        <w:tc>
          <w:tcPr>
            <w:tcW w:w="9288" w:type="dxa"/>
            <w:gridSpan w:val="2"/>
            <w:shd w:val="clear" w:color="auto" w:fill="DAEEF3"/>
          </w:tcPr>
          <w:p w:rsidR="0073489B" w:rsidRDefault="00A46D11">
            <w:pPr>
              <w:spacing w:before="100" w:after="100"/>
              <w:ind w:right="141"/>
              <w:contextualSpacing/>
              <w:jc w:val="center"/>
              <w:rPr>
                <w:b/>
                <w:bCs/>
                <w:i/>
                <w:noProof/>
                <w:szCs w:val="24"/>
              </w:rPr>
            </w:pPr>
            <w:r>
              <w:rPr>
                <w:b/>
                <w:bCs/>
                <w:i/>
                <w:noProof/>
                <w:szCs w:val="24"/>
              </w:rPr>
              <w:t xml:space="preserve">                                                                                                     In EUR</w:t>
            </w:r>
          </w:p>
        </w:tc>
      </w:tr>
      <w:tr w:rsidR="0073489B">
        <w:tc>
          <w:tcPr>
            <w:tcW w:w="6228" w:type="dxa"/>
            <w:shd w:val="clear" w:color="auto" w:fill="auto"/>
          </w:tcPr>
          <w:p w:rsidR="0073489B" w:rsidRDefault="00A46D11">
            <w:pPr>
              <w:spacing w:before="100" w:after="100"/>
              <w:ind w:right="141"/>
              <w:contextualSpacing/>
              <w:rPr>
                <w:b/>
                <w:bCs/>
                <w:noProof/>
                <w:szCs w:val="24"/>
                <w:u w:val="single"/>
              </w:rPr>
            </w:pPr>
            <w:r>
              <w:rPr>
                <w:b/>
                <w:bCs/>
                <w:noProof/>
                <w:szCs w:val="24"/>
              </w:rPr>
              <w:t>Balance on the fiduciary account (current account)</w:t>
            </w:r>
          </w:p>
        </w:tc>
        <w:tc>
          <w:tcPr>
            <w:tcW w:w="3060" w:type="dxa"/>
            <w:shd w:val="clear" w:color="auto" w:fill="auto"/>
            <w:vAlign w:val="center"/>
          </w:tcPr>
          <w:p w:rsidR="0073489B" w:rsidRDefault="00A46D11">
            <w:pPr>
              <w:spacing w:before="100" w:after="100"/>
              <w:ind w:right="141"/>
              <w:contextualSpacing/>
              <w:jc w:val="center"/>
              <w:rPr>
                <w:bCs/>
                <w:noProof/>
                <w:szCs w:val="24"/>
              </w:rPr>
            </w:pPr>
            <w:r>
              <w:rPr>
                <w:bCs/>
                <w:noProof/>
                <w:szCs w:val="24"/>
              </w:rPr>
              <w:t>2 618 043</w:t>
            </w:r>
          </w:p>
        </w:tc>
      </w:tr>
      <w:tr w:rsidR="0073489B">
        <w:tc>
          <w:tcPr>
            <w:tcW w:w="6228" w:type="dxa"/>
            <w:shd w:val="clear" w:color="auto" w:fill="auto"/>
          </w:tcPr>
          <w:p w:rsidR="0073489B" w:rsidRDefault="00A46D11">
            <w:pPr>
              <w:spacing w:before="100" w:after="100"/>
              <w:ind w:right="141"/>
              <w:contextualSpacing/>
              <w:rPr>
                <w:b/>
                <w:bCs/>
                <w:noProof/>
                <w:szCs w:val="24"/>
                <w:u w:val="single"/>
              </w:rPr>
            </w:pPr>
            <w:r>
              <w:rPr>
                <w:b/>
                <w:bCs/>
                <w:noProof/>
                <w:szCs w:val="24"/>
              </w:rPr>
              <w:t>Term deposits/Bonds (if applicable)</w:t>
            </w:r>
          </w:p>
        </w:tc>
        <w:tc>
          <w:tcPr>
            <w:tcW w:w="3060" w:type="dxa"/>
            <w:shd w:val="clear" w:color="auto" w:fill="auto"/>
          </w:tcPr>
          <w:p w:rsidR="0073489B" w:rsidRDefault="00A46D11">
            <w:pPr>
              <w:spacing w:before="100" w:after="100"/>
              <w:ind w:right="141"/>
              <w:contextualSpacing/>
              <w:jc w:val="center"/>
              <w:rPr>
                <w:b/>
                <w:bCs/>
                <w:noProof/>
                <w:szCs w:val="24"/>
                <w:u w:val="single"/>
              </w:rPr>
            </w:pPr>
            <w:r>
              <w:rPr>
                <w:noProof/>
              </w:rPr>
              <w:t xml:space="preserve">6 957 654 </w:t>
            </w:r>
          </w:p>
        </w:tc>
      </w:tr>
      <w:tr w:rsidR="0073489B">
        <w:tc>
          <w:tcPr>
            <w:tcW w:w="6228" w:type="dxa"/>
            <w:shd w:val="clear" w:color="auto" w:fill="auto"/>
          </w:tcPr>
          <w:p w:rsidR="0073489B" w:rsidRDefault="00A46D11">
            <w:pPr>
              <w:spacing w:before="100" w:after="100"/>
              <w:ind w:left="426" w:right="141"/>
              <w:contextualSpacing/>
              <w:rPr>
                <w:bCs/>
                <w:noProof/>
                <w:szCs w:val="24"/>
              </w:rPr>
            </w:pPr>
            <w:r>
              <w:rPr>
                <w:bCs/>
                <w:noProof/>
                <w:szCs w:val="24"/>
              </w:rPr>
              <w:t xml:space="preserve">Term deposits &lt; 3 months (cash </w:t>
            </w:r>
            <w:r>
              <w:rPr>
                <w:bCs/>
                <w:noProof/>
                <w:szCs w:val="24"/>
              </w:rPr>
              <w:t>equivalent)</w:t>
            </w:r>
          </w:p>
        </w:tc>
        <w:tc>
          <w:tcPr>
            <w:tcW w:w="3060" w:type="dxa"/>
            <w:shd w:val="clear" w:color="auto" w:fill="auto"/>
          </w:tcPr>
          <w:p w:rsidR="0073489B" w:rsidRDefault="00A46D11">
            <w:pPr>
              <w:spacing w:before="100" w:after="100"/>
              <w:ind w:right="141"/>
              <w:contextualSpacing/>
              <w:jc w:val="center"/>
              <w:rPr>
                <w:bCs/>
                <w:i/>
                <w:noProof/>
                <w:szCs w:val="24"/>
              </w:rPr>
            </w:pPr>
            <w:r>
              <w:rPr>
                <w:i/>
                <w:noProof/>
              </w:rPr>
              <w:t>6 957 654</w:t>
            </w:r>
          </w:p>
        </w:tc>
      </w:tr>
      <w:tr w:rsidR="0073489B">
        <w:tc>
          <w:tcPr>
            <w:tcW w:w="6228" w:type="dxa"/>
            <w:shd w:val="clear" w:color="auto" w:fill="auto"/>
          </w:tcPr>
          <w:p w:rsidR="0073489B" w:rsidRDefault="00A46D11">
            <w:pPr>
              <w:spacing w:before="100" w:after="100"/>
              <w:ind w:left="426" w:right="141"/>
              <w:contextualSpacing/>
              <w:rPr>
                <w:bCs/>
                <w:noProof/>
                <w:szCs w:val="24"/>
                <w:u w:val="single"/>
              </w:rPr>
            </w:pPr>
            <w:r>
              <w:rPr>
                <w:bCs/>
                <w:noProof/>
                <w:szCs w:val="24"/>
              </w:rPr>
              <w:t>Term deposits &gt; 3 months &lt; 1 year (current assets)</w:t>
            </w:r>
          </w:p>
        </w:tc>
        <w:tc>
          <w:tcPr>
            <w:tcW w:w="3060" w:type="dxa"/>
            <w:shd w:val="clear" w:color="auto" w:fill="auto"/>
            <w:vAlign w:val="center"/>
          </w:tcPr>
          <w:p w:rsidR="0073489B" w:rsidRDefault="0073489B">
            <w:pPr>
              <w:spacing w:before="100" w:after="100"/>
              <w:ind w:right="141"/>
              <w:contextualSpacing/>
              <w:jc w:val="center"/>
              <w:rPr>
                <w:b/>
                <w:bCs/>
                <w:i/>
                <w:noProof/>
                <w:szCs w:val="24"/>
                <w:u w:val="single"/>
              </w:rPr>
            </w:pPr>
          </w:p>
        </w:tc>
      </w:tr>
      <w:tr w:rsidR="0073489B">
        <w:tc>
          <w:tcPr>
            <w:tcW w:w="6228" w:type="dxa"/>
            <w:shd w:val="clear" w:color="auto" w:fill="auto"/>
          </w:tcPr>
          <w:p w:rsidR="0073489B" w:rsidRDefault="00A46D11">
            <w:pPr>
              <w:spacing w:before="100" w:after="100"/>
              <w:ind w:left="426" w:right="141"/>
              <w:contextualSpacing/>
              <w:rPr>
                <w:bCs/>
                <w:noProof/>
                <w:szCs w:val="24"/>
                <w:u w:val="single"/>
              </w:rPr>
            </w:pPr>
            <w:r>
              <w:rPr>
                <w:bCs/>
                <w:noProof/>
                <w:szCs w:val="24"/>
              </w:rPr>
              <w:t>Term deposits &gt; 1 year (non-current assets)</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left="851" w:right="141"/>
              <w:contextualSpacing/>
              <w:rPr>
                <w:bCs/>
                <w:noProof/>
                <w:szCs w:val="24"/>
                <w:u w:val="single"/>
              </w:rPr>
            </w:pPr>
            <w:r>
              <w:rPr>
                <w:bCs/>
                <w:noProof/>
                <w:szCs w:val="24"/>
              </w:rPr>
              <w:t>Bonds current</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left="851" w:right="141"/>
              <w:contextualSpacing/>
              <w:rPr>
                <w:bCs/>
                <w:noProof/>
                <w:szCs w:val="24"/>
                <w:u w:val="single"/>
              </w:rPr>
            </w:pPr>
            <w:r>
              <w:rPr>
                <w:bCs/>
                <w:noProof/>
                <w:szCs w:val="24"/>
              </w:rPr>
              <w:t>Bonds non-current</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73489B" w:rsidRDefault="00A46D11">
            <w:pPr>
              <w:spacing w:before="100" w:after="100"/>
              <w:ind w:right="141"/>
              <w:contextualSpacing/>
              <w:jc w:val="center"/>
              <w:rPr>
                <w:bCs/>
                <w:noProof/>
                <w:szCs w:val="24"/>
              </w:rPr>
            </w:pPr>
            <w:r>
              <w:rPr>
                <w:bCs/>
                <w:noProof/>
                <w:szCs w:val="24"/>
              </w:rPr>
              <w:t>21 925</w:t>
            </w:r>
          </w:p>
        </w:tc>
      </w:tr>
      <w:tr w:rsidR="0073489B">
        <w:tc>
          <w:tcPr>
            <w:tcW w:w="6228" w:type="dxa"/>
            <w:shd w:val="clear" w:color="auto" w:fill="auto"/>
          </w:tcPr>
          <w:p w:rsidR="0073489B" w:rsidRDefault="00A46D11">
            <w:pPr>
              <w:spacing w:before="100" w:after="100"/>
              <w:ind w:right="141"/>
              <w:rPr>
                <w:b/>
                <w:bCs/>
                <w:noProof/>
                <w:szCs w:val="24"/>
              </w:rPr>
            </w:pPr>
            <w:r>
              <w:rPr>
                <w:b/>
                <w:bCs/>
                <w:i/>
                <w:iCs/>
                <w:noProof/>
                <w:szCs w:val="24"/>
              </w:rPr>
              <w:t>= Total assets</w:t>
            </w:r>
          </w:p>
        </w:tc>
        <w:tc>
          <w:tcPr>
            <w:tcW w:w="3060" w:type="dxa"/>
            <w:shd w:val="clear" w:color="auto" w:fill="auto"/>
            <w:vAlign w:val="center"/>
          </w:tcPr>
          <w:p w:rsidR="0073489B" w:rsidRDefault="00A46D11">
            <w:pPr>
              <w:spacing w:before="100" w:after="100"/>
              <w:ind w:right="141"/>
              <w:contextualSpacing/>
              <w:jc w:val="center"/>
              <w:rPr>
                <w:bCs/>
                <w:noProof/>
                <w:szCs w:val="24"/>
              </w:rPr>
            </w:pPr>
            <w:r>
              <w:rPr>
                <w:bCs/>
                <w:noProof/>
                <w:szCs w:val="24"/>
              </w:rPr>
              <w:t>9 597 622</w:t>
            </w:r>
          </w:p>
        </w:tc>
      </w:tr>
    </w:tbl>
    <w:p w:rsidR="0073489B" w:rsidRDefault="00A46D11">
      <w:pPr>
        <w:pStyle w:val="Heading5"/>
        <w:numPr>
          <w:ilvl w:val="0"/>
          <w:numId w:val="0"/>
        </w:numPr>
        <w:spacing w:before="160"/>
        <w:ind w:left="360" w:hanging="76"/>
        <w:rPr>
          <w:b w:val="0"/>
          <w:noProof/>
        </w:rPr>
      </w:pPr>
      <w:bookmarkStart w:id="144" w:name="_Toc387228821"/>
      <w:r>
        <w:rPr>
          <w:b w:val="0"/>
          <w:bCs/>
          <w:i/>
          <w:iCs/>
          <w:noProof/>
        </w:rPr>
        <w:t xml:space="preserve">Impact of negative interest rates </w:t>
      </w:r>
      <w:r>
        <w:rPr>
          <w:b w:val="0"/>
          <w:bCs/>
          <w:i/>
          <w:iCs/>
          <w:noProof/>
        </w:rPr>
        <w:t>on EPMF-G : no impact as at 31/12/2016.</w:t>
      </w:r>
      <w:r>
        <w:rPr>
          <w:rStyle w:val="FootnoteReference"/>
          <w:b w:val="0"/>
          <w:bCs/>
          <w:i/>
          <w:iCs/>
          <w:noProof/>
        </w:rPr>
        <w:footnoteReference w:id="108"/>
      </w:r>
    </w:p>
    <w:p w:rsidR="0073489B" w:rsidRDefault="00A46D11">
      <w:pPr>
        <w:pStyle w:val="Heading5"/>
        <w:spacing w:before="200"/>
        <w:ind w:left="284" w:firstLine="0"/>
        <w:rPr>
          <w:noProof/>
        </w:rPr>
      </w:pPr>
      <w:r>
        <w:rPr>
          <w:noProof/>
        </w:rPr>
        <w:t xml:space="preserve">Revenues and repayments; </w:t>
      </w:r>
      <w:bookmarkEnd w:id="144"/>
    </w:p>
    <w:p w:rsidR="0073489B" w:rsidRDefault="00A46D11">
      <w:pPr>
        <w:tabs>
          <w:tab w:val="right" w:pos="8222"/>
        </w:tabs>
        <w:spacing w:after="60"/>
        <w:ind w:left="360" w:right="141" w:hanging="357"/>
        <w:jc w:val="center"/>
        <w:rPr>
          <w:noProof/>
          <w:szCs w:val="24"/>
        </w:rPr>
      </w:pPr>
      <w:r>
        <w:rPr>
          <w:noProof/>
          <w:szCs w:val="24"/>
        </w:rPr>
        <w:t>Revenues of the year 2016</w:t>
      </w:r>
      <w:r>
        <w:rPr>
          <w:noProof/>
          <w:szCs w:val="24"/>
        </w:rPr>
        <w:tab/>
        <w:t xml:space="preserve">      EUR       47 228</w:t>
      </w:r>
    </w:p>
    <w:p w:rsidR="0073489B" w:rsidRDefault="00A46D11">
      <w:pPr>
        <w:tabs>
          <w:tab w:val="right" w:pos="8222"/>
        </w:tabs>
        <w:spacing w:after="60"/>
        <w:ind w:left="360" w:right="141" w:hanging="357"/>
        <w:jc w:val="center"/>
        <w:rPr>
          <w:noProof/>
          <w:szCs w:val="24"/>
        </w:rPr>
      </w:pPr>
      <w:r>
        <w:rPr>
          <w:noProof/>
          <w:szCs w:val="24"/>
        </w:rPr>
        <w:t>Aggregate revenues as at 31/12/2016</w:t>
      </w:r>
      <w:r>
        <w:rPr>
          <w:noProof/>
          <w:szCs w:val="24"/>
        </w:rPr>
        <w:tab/>
        <w:t xml:space="preserve">    EUR 1 007 305</w:t>
      </w:r>
    </w:p>
    <w:p w:rsidR="0073489B" w:rsidRDefault="00A46D11">
      <w:pPr>
        <w:tabs>
          <w:tab w:val="right" w:pos="8222"/>
        </w:tabs>
        <w:spacing w:after="60"/>
        <w:ind w:left="360" w:right="141" w:hanging="357"/>
        <w:rPr>
          <w:noProof/>
          <w:szCs w:val="24"/>
        </w:rPr>
      </w:pPr>
      <w:r>
        <w:rPr>
          <w:noProof/>
          <w:szCs w:val="24"/>
        </w:rPr>
        <w:lastRenderedPageBreak/>
        <w:t>Repayments of the year 2016</w:t>
      </w:r>
      <w:r>
        <w:rPr>
          <w:noProof/>
          <w:szCs w:val="24"/>
        </w:rPr>
        <w:tab/>
        <w:t>EUR 0</w:t>
      </w:r>
    </w:p>
    <w:p w:rsidR="0073489B" w:rsidRDefault="00A46D11">
      <w:pPr>
        <w:tabs>
          <w:tab w:val="right" w:pos="8222"/>
        </w:tabs>
        <w:spacing w:after="60"/>
        <w:ind w:left="360" w:right="141" w:hanging="357"/>
        <w:rPr>
          <w:noProof/>
          <w:szCs w:val="24"/>
        </w:rPr>
      </w:pPr>
      <w:r>
        <w:rPr>
          <w:noProof/>
          <w:szCs w:val="24"/>
        </w:rPr>
        <w:t>Aggregate repayments as at 31/12/2016</w:t>
      </w:r>
      <w:r>
        <w:rPr>
          <w:noProof/>
          <w:szCs w:val="24"/>
        </w:rPr>
        <w:tab/>
        <w:t>EUR 0</w:t>
      </w:r>
    </w:p>
    <w:p w:rsidR="0073489B" w:rsidRDefault="00A46D11">
      <w:pPr>
        <w:tabs>
          <w:tab w:val="right" w:pos="8222"/>
        </w:tabs>
        <w:spacing w:after="60"/>
        <w:ind w:left="360" w:right="141" w:hanging="357"/>
        <w:rPr>
          <w:noProof/>
          <w:szCs w:val="24"/>
        </w:rPr>
      </w:pPr>
      <w:r>
        <w:rPr>
          <w:noProof/>
          <w:szCs w:val="24"/>
        </w:rPr>
        <w:t>Additional resources regularised in 2016 for the instrument</w:t>
      </w:r>
      <w:r>
        <w:rPr>
          <w:noProof/>
          <w:szCs w:val="24"/>
        </w:rPr>
        <w:tab/>
        <w:t>EUR 0</w:t>
      </w:r>
    </w:p>
    <w:p w:rsidR="0073489B" w:rsidRDefault="00A46D11">
      <w:pPr>
        <w:tabs>
          <w:tab w:val="right" w:pos="8222"/>
        </w:tabs>
        <w:spacing w:after="60"/>
        <w:ind w:left="360" w:right="141" w:hanging="357"/>
        <w:rPr>
          <w:noProof/>
          <w:szCs w:val="24"/>
        </w:rPr>
      </w:pPr>
      <w:r>
        <w:rPr>
          <w:noProof/>
          <w:szCs w:val="24"/>
        </w:rPr>
        <w:t>Aggregate additional resources as at 31/12/2016</w:t>
      </w:r>
      <w:r>
        <w:rPr>
          <w:noProof/>
          <w:szCs w:val="24"/>
        </w:rPr>
        <w:tab/>
        <w:t>EUR 349 387</w:t>
      </w:r>
    </w:p>
    <w:p w:rsidR="0073489B" w:rsidRDefault="00A46D11">
      <w:pPr>
        <w:pStyle w:val="Heading5"/>
        <w:spacing w:before="120"/>
        <w:ind w:left="284" w:firstLine="0"/>
        <w:rPr>
          <w:noProof/>
        </w:rPr>
      </w:pPr>
      <w:bookmarkStart w:id="145" w:name="_Toc387228822"/>
      <w:r>
        <w:rPr>
          <w:noProof/>
        </w:rPr>
        <w:t>The value of equity investments, with respect to previous years</w:t>
      </w:r>
      <w:bookmarkEnd w:id="145"/>
      <w:r>
        <w:rPr>
          <w:noProof/>
        </w:rPr>
        <w:t>;</w:t>
      </w:r>
    </w:p>
    <w:p w:rsidR="0073489B" w:rsidRDefault="00A46D11">
      <w:pPr>
        <w:spacing w:after="60"/>
        <w:ind w:left="426"/>
        <w:rPr>
          <w:noProof/>
          <w:szCs w:val="24"/>
        </w:rPr>
      </w:pPr>
      <w:r>
        <w:rPr>
          <w:noProof/>
          <w:szCs w:val="24"/>
        </w:rPr>
        <w:t>NA</w:t>
      </w:r>
    </w:p>
    <w:p w:rsidR="0073489B" w:rsidRDefault="00A46D11">
      <w:pPr>
        <w:pStyle w:val="Heading5"/>
        <w:spacing w:before="120"/>
        <w:ind w:left="284" w:firstLine="0"/>
        <w:jc w:val="both"/>
        <w:rPr>
          <w:noProof/>
        </w:rPr>
      </w:pPr>
      <w:bookmarkStart w:id="146" w:name="_Toc387228823"/>
      <w:r>
        <w:rPr>
          <w:noProof/>
        </w:rPr>
        <w:t>The accumulated figures on impairments on called guarantees fo</w:t>
      </w:r>
      <w:r>
        <w:rPr>
          <w:noProof/>
        </w:rPr>
        <w:t>r guarantee instruments</w:t>
      </w:r>
      <w:bookmarkEnd w:id="146"/>
      <w:r>
        <w:rPr>
          <w:noProof/>
        </w:rPr>
        <w:t>;</w:t>
      </w:r>
    </w:p>
    <w:tbl>
      <w:tblPr>
        <w:tblW w:w="8556" w:type="dxa"/>
        <w:shd w:val="clear" w:color="auto" w:fill="FFFFFF"/>
        <w:tblLook w:val="04A0" w:firstRow="1" w:lastRow="0" w:firstColumn="1" w:lastColumn="0" w:noHBand="0" w:noVBand="1"/>
      </w:tblPr>
      <w:tblGrid>
        <w:gridCol w:w="8334"/>
        <w:gridCol w:w="222"/>
      </w:tblGrid>
      <w:tr w:rsidR="0073489B">
        <w:trPr>
          <w:trHeight w:val="474"/>
        </w:trPr>
        <w:tc>
          <w:tcPr>
            <w:tcW w:w="0" w:type="auto"/>
            <w:shd w:val="clear" w:color="auto" w:fill="FFFFFF"/>
            <w:vAlign w:val="center"/>
          </w:tcPr>
          <w:p w:rsidR="0073489B" w:rsidRDefault="00A46D11">
            <w:pPr>
              <w:rPr>
                <w:noProof/>
              </w:rPr>
            </w:pPr>
            <w:r>
              <w:rPr>
                <w:noProof/>
              </w:rPr>
              <w:t>Called  guarantees as at 31/12/2016</w:t>
            </w:r>
            <w:r>
              <w:rPr>
                <w:noProof/>
              </w:rPr>
              <w:tab/>
              <w:t xml:space="preserve">                                               EUR  12 124 582</w:t>
            </w:r>
          </w:p>
        </w:tc>
        <w:tc>
          <w:tcPr>
            <w:tcW w:w="0" w:type="auto"/>
            <w:shd w:val="clear" w:color="auto" w:fill="FFFFFF"/>
            <w:vAlign w:val="center"/>
          </w:tcPr>
          <w:p w:rsidR="0073489B" w:rsidRDefault="0073489B">
            <w:pPr>
              <w:rPr>
                <w:noProof/>
                <w:highlight w:val="yellow"/>
              </w:rPr>
            </w:pPr>
          </w:p>
        </w:tc>
      </w:tr>
    </w:tbl>
    <w:p w:rsidR="0073489B" w:rsidRDefault="00A46D11">
      <w:pPr>
        <w:pStyle w:val="Heading5"/>
        <w:spacing w:before="120"/>
        <w:ind w:left="284" w:firstLine="0"/>
        <w:rPr>
          <w:noProof/>
        </w:rPr>
      </w:pPr>
      <w:bookmarkStart w:id="147" w:name="_Toc387228824"/>
      <w:r>
        <w:rPr>
          <w:noProof/>
        </w:rPr>
        <w:t>The target leverage effect, and the achieved leverage effect</w:t>
      </w:r>
      <w:bookmarkEnd w:id="147"/>
      <w:r>
        <w:rPr>
          <w:noProof/>
        </w:rPr>
        <w:t>;</w:t>
      </w:r>
    </w:p>
    <w:p w:rsidR="0073489B" w:rsidRDefault="00A46D11">
      <w:pPr>
        <w:spacing w:after="100"/>
        <w:jc w:val="both"/>
        <w:rPr>
          <w:noProof/>
          <w:szCs w:val="24"/>
        </w:rPr>
      </w:pPr>
      <w:r>
        <w:rPr>
          <w:noProof/>
          <w:szCs w:val="24"/>
        </w:rPr>
        <w:t xml:space="preserve">As of 30/09/2016, based on the signed Guarantee agreements, the </w:t>
      </w:r>
      <w:r>
        <w:rPr>
          <w:noProof/>
          <w:szCs w:val="24"/>
        </w:rPr>
        <w:t>expected volumes of micro-loans to final recipients are estimated to EUR 286,48 million and the total EU contribution committed is EUR 23,6 million which brings the expected leverage effect to 12,14 which is much higher than the minimum target leverage est</w:t>
      </w:r>
      <w:r>
        <w:rPr>
          <w:noProof/>
          <w:szCs w:val="24"/>
        </w:rPr>
        <w:t>imated at 6,67.</w:t>
      </w:r>
    </w:p>
    <w:p w:rsidR="0073489B" w:rsidRDefault="00A46D11">
      <w:pPr>
        <w:spacing w:after="100"/>
        <w:jc w:val="both"/>
        <w:rPr>
          <w:noProof/>
          <w:szCs w:val="24"/>
        </w:rPr>
      </w:pPr>
      <w:r>
        <w:rPr>
          <w:noProof/>
          <w:szCs w:val="24"/>
        </w:rPr>
        <w:t>As for achieved leverage until 30/09/2016, the total EU contribution commmitteed of EUR 23,6 million has supported so far EUR 235,6 million of new micro-loans, implying a leverage nearing 10.</w:t>
      </w:r>
    </w:p>
    <w:p w:rsidR="0073489B" w:rsidRDefault="0073489B">
      <w:pPr>
        <w:spacing w:after="100"/>
        <w:rPr>
          <w:noProof/>
          <w:szCs w:val="24"/>
        </w:rPr>
      </w:pPr>
    </w:p>
    <w:p w:rsidR="0073489B" w:rsidRDefault="00A46D11">
      <w:pPr>
        <w:pStyle w:val="Heading4"/>
        <w:rPr>
          <w:noProof/>
        </w:rPr>
      </w:pPr>
      <w:bookmarkStart w:id="148" w:name="_Ref387227020"/>
      <w:bookmarkStart w:id="149" w:name="_Toc387228825"/>
      <w:bookmarkStart w:id="150" w:name="_Toc388541888"/>
      <w:r>
        <w:rPr>
          <w:noProof/>
        </w:rPr>
        <w:t>Strategic importance/relevance</w:t>
      </w:r>
      <w:bookmarkEnd w:id="148"/>
      <w:bookmarkEnd w:id="149"/>
      <w:bookmarkEnd w:id="150"/>
    </w:p>
    <w:p w:rsidR="0073489B" w:rsidRDefault="00A46D11">
      <w:pPr>
        <w:pStyle w:val="Heading5"/>
        <w:spacing w:before="120"/>
        <w:ind w:left="284" w:firstLine="0"/>
        <w:jc w:val="both"/>
        <w:rPr>
          <w:noProof/>
        </w:rPr>
      </w:pPr>
      <w:bookmarkStart w:id="151" w:name="_Toc387228826"/>
      <w:r>
        <w:rPr>
          <w:noProof/>
        </w:rPr>
        <w:t>The contribution</w:t>
      </w:r>
      <w:r>
        <w:rPr>
          <w:noProof/>
        </w:rPr>
        <w:t xml:space="preserve"> of the financial instrument to the achievement of the objectives of the programme concerned as measured by the established indicators, including, where applicable, the geographical diversification</w:t>
      </w:r>
      <w:bookmarkEnd w:id="151"/>
      <w:r>
        <w:rPr>
          <w:noProof/>
        </w:rPr>
        <w:t>;</w:t>
      </w:r>
    </w:p>
    <w:p w:rsidR="0073489B" w:rsidRDefault="00A46D11">
      <w:pPr>
        <w:jc w:val="both"/>
        <w:rPr>
          <w:noProof/>
          <w:szCs w:val="24"/>
        </w:rPr>
      </w:pPr>
      <w:r>
        <w:rPr>
          <w:noProof/>
          <w:szCs w:val="24"/>
        </w:rPr>
        <w:t>As at 30/9/2016, the EPMF-G already contributed to provid</w:t>
      </w:r>
      <w:r>
        <w:rPr>
          <w:noProof/>
          <w:szCs w:val="24"/>
        </w:rPr>
        <w:t>e more than 235,6 million EUR of financing to 19 713 Final Recipients through 20 980 underlying loans, accounting for an estimated 336,5 million EUR investment amount.</w:t>
      </w:r>
    </w:p>
    <w:p w:rsidR="0073489B" w:rsidRDefault="00A46D11">
      <w:pPr>
        <w:jc w:val="both"/>
        <w:rPr>
          <w:i/>
          <w:noProof/>
          <w:szCs w:val="24"/>
        </w:rPr>
      </w:pPr>
      <w:r>
        <w:rPr>
          <w:i/>
          <w:noProof/>
          <w:szCs w:val="24"/>
        </w:rPr>
        <w:t>See below some information on the impact of EU Financial Instruments for micro-entrepren</w:t>
      </w:r>
      <w:r>
        <w:rPr>
          <w:i/>
          <w:noProof/>
          <w:szCs w:val="24"/>
        </w:rPr>
        <w:t>eurs SMEs (The economic environment for micro-finance).</w:t>
      </w:r>
      <w:r>
        <w:rPr>
          <w:i/>
          <w:noProof/>
          <w:vertAlign w:val="superscript"/>
        </w:rPr>
        <w:footnoteReference w:id="109"/>
      </w:r>
      <w:r>
        <w:rPr>
          <w:i/>
          <w:noProof/>
          <w:szCs w:val="24"/>
        </w:rPr>
        <w:t xml:space="preserve"> </w:t>
      </w:r>
    </w:p>
    <w:p w:rsidR="0073489B" w:rsidRDefault="00A46D11">
      <w:pPr>
        <w:spacing w:after="60"/>
        <w:ind w:firstLine="3"/>
        <w:jc w:val="both"/>
        <w:rPr>
          <w:noProof/>
          <w:szCs w:val="24"/>
        </w:rPr>
      </w:pPr>
      <w:r>
        <w:rPr>
          <w:noProof/>
          <w:szCs w:val="24"/>
        </w:rPr>
        <w:t>At the aggregate EPMF Facility level (including both Guarantee and Funded Instruments),</w:t>
      </w:r>
      <w:r>
        <w:rPr>
          <w:noProof/>
          <w:szCs w:val="24"/>
          <w:vertAlign w:val="superscript"/>
        </w:rPr>
        <w:footnoteReference w:id="110"/>
      </w:r>
      <w:r>
        <w:rPr>
          <w:noProof/>
          <w:szCs w:val="24"/>
        </w:rPr>
        <w:t xml:space="preserve"> the gender breakdown for the 14 873 natural persons benefitting from loans under the Facility show that consi</w:t>
      </w:r>
      <w:r>
        <w:rPr>
          <w:noProof/>
          <w:szCs w:val="24"/>
        </w:rPr>
        <w:t>derable outreach to females was achieved (36,8% of the micro-borrowers guaranteed were women).</w:t>
      </w:r>
    </w:p>
    <w:p w:rsidR="0073489B" w:rsidRDefault="00A46D11">
      <w:pPr>
        <w:spacing w:after="60"/>
        <w:ind w:firstLine="3"/>
        <w:jc w:val="both"/>
        <w:rPr>
          <w:bCs/>
          <w:noProof/>
          <w:szCs w:val="24"/>
        </w:rPr>
      </w:pPr>
      <w:r>
        <w:rPr>
          <w:noProof/>
          <w:szCs w:val="24"/>
        </w:rPr>
        <w:t>In addition, 48,8% of individual micro-borrowers who received support under the Facility so far, were either unemployed or inactive at the time they received the</w:t>
      </w:r>
      <w:r>
        <w:rPr>
          <w:noProof/>
          <w:szCs w:val="24"/>
        </w:rPr>
        <w:t xml:space="preserve">ir loan. </w:t>
      </w:r>
    </w:p>
    <w:p w:rsidR="0073489B" w:rsidRDefault="00A46D11">
      <w:pPr>
        <w:autoSpaceDE w:val="0"/>
        <w:autoSpaceDN w:val="0"/>
        <w:adjustRightInd w:val="0"/>
        <w:spacing w:after="60"/>
        <w:ind w:firstLine="3"/>
        <w:jc w:val="both"/>
        <w:rPr>
          <w:bCs/>
          <w:noProof/>
          <w:szCs w:val="24"/>
        </w:rPr>
      </w:pPr>
      <w:r>
        <w:rPr>
          <w:bCs/>
          <w:noProof/>
          <w:szCs w:val="24"/>
        </w:rPr>
        <w:t>At Facility level, individuals which were final recipients of micro-loans were, by and large, educated at the secondary level (40,9%). Nevertheless, EPMF continues to be of importance in serving the financing needs of individuals with more substa</w:t>
      </w:r>
      <w:r>
        <w:rPr>
          <w:bCs/>
          <w:noProof/>
          <w:szCs w:val="24"/>
        </w:rPr>
        <w:t>ntial education beyond the secondary level (40,8%).</w:t>
      </w:r>
    </w:p>
    <w:p w:rsidR="0073489B" w:rsidRDefault="00A46D11">
      <w:pPr>
        <w:autoSpaceDE w:val="0"/>
        <w:autoSpaceDN w:val="0"/>
        <w:adjustRightInd w:val="0"/>
        <w:spacing w:after="60"/>
        <w:ind w:firstLine="3"/>
        <w:jc w:val="both"/>
        <w:rPr>
          <w:bCs/>
          <w:noProof/>
          <w:szCs w:val="24"/>
        </w:rPr>
      </w:pPr>
      <w:r>
        <w:rPr>
          <w:bCs/>
          <w:noProof/>
          <w:szCs w:val="24"/>
        </w:rPr>
        <w:lastRenderedPageBreak/>
        <w:t>Regarding the age group, with respect to final recipients who are natural persons the outreach to individuals in disadvantaged age groups (younger and older people combined) remains at noteworthy levels (</w:t>
      </w:r>
      <w:r>
        <w:rPr>
          <w:bCs/>
          <w:noProof/>
          <w:szCs w:val="24"/>
        </w:rPr>
        <w:t xml:space="preserve">17,9%). </w:t>
      </w:r>
    </w:p>
    <w:p w:rsidR="0073489B" w:rsidRDefault="0073489B">
      <w:pPr>
        <w:autoSpaceDE w:val="0"/>
        <w:autoSpaceDN w:val="0"/>
        <w:adjustRightInd w:val="0"/>
        <w:spacing w:after="60"/>
        <w:ind w:firstLine="3"/>
        <w:jc w:val="both"/>
        <w:rPr>
          <w:bCs/>
          <w:noProof/>
          <w:szCs w:val="24"/>
        </w:rPr>
      </w:pPr>
    </w:p>
    <w:p w:rsidR="0073489B" w:rsidRDefault="00A46D11">
      <w:pPr>
        <w:autoSpaceDE w:val="0"/>
        <w:autoSpaceDN w:val="0"/>
        <w:adjustRightInd w:val="0"/>
        <w:spacing w:after="60"/>
        <w:jc w:val="both"/>
        <w:rPr>
          <w:bCs/>
          <w:i/>
          <w:noProof/>
          <w:szCs w:val="24"/>
          <w:lang w:val="en-US"/>
        </w:rPr>
      </w:pPr>
      <w:r>
        <w:rPr>
          <w:bCs/>
          <w:i/>
          <w:noProof/>
          <w:szCs w:val="24"/>
        </w:rPr>
        <w:t xml:space="preserve">The share of each participating country in the total amount of financing already provided (EUR 235,6 million as of 30/09/2016) by the EPMF – G instrument to eligible final recipients is presented in the following graph. </w:t>
      </w:r>
      <w:r>
        <w:rPr>
          <w:bCs/>
          <w:i/>
          <w:noProof/>
          <w:szCs w:val="24"/>
          <w:lang w:val="en-US"/>
        </w:rPr>
        <w:t xml:space="preserve"> </w:t>
      </w:r>
    </w:p>
    <w:p w:rsidR="0073489B" w:rsidRDefault="00A46D11">
      <w:pPr>
        <w:autoSpaceDE w:val="0"/>
        <w:autoSpaceDN w:val="0"/>
        <w:adjustRightInd w:val="0"/>
        <w:spacing w:after="60"/>
        <w:ind w:firstLine="3"/>
        <w:jc w:val="both"/>
        <w:rPr>
          <w:bCs/>
          <w:noProof/>
          <w:szCs w:val="24"/>
        </w:rPr>
      </w:pPr>
      <w:r>
        <w:rPr>
          <w:bCs/>
          <w:noProof/>
          <w:szCs w:val="24"/>
        </w:rPr>
        <w:t xml:space="preserve"> </w:t>
      </w:r>
    </w:p>
    <w:p w:rsidR="0073489B" w:rsidRDefault="00A46D11">
      <w:pPr>
        <w:autoSpaceDE w:val="0"/>
        <w:autoSpaceDN w:val="0"/>
        <w:adjustRightInd w:val="0"/>
        <w:spacing w:after="60"/>
        <w:ind w:firstLine="3"/>
        <w:rPr>
          <w:bCs/>
          <w:noProof/>
          <w:szCs w:val="24"/>
        </w:rPr>
      </w:pPr>
      <w:r>
        <w:rPr>
          <w:noProof/>
          <w:lang w:eastAsia="en-GB"/>
        </w:rPr>
        <w:drawing>
          <wp:inline distT="0" distB="0" distL="0" distR="0">
            <wp:extent cx="5760720" cy="3963035"/>
            <wp:effectExtent l="0" t="0" r="1143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3489B" w:rsidRDefault="0073489B">
      <w:pPr>
        <w:autoSpaceDE w:val="0"/>
        <w:autoSpaceDN w:val="0"/>
        <w:adjustRightInd w:val="0"/>
        <w:spacing w:after="60"/>
        <w:ind w:firstLine="3"/>
        <w:rPr>
          <w:bCs/>
          <w:noProof/>
          <w:szCs w:val="24"/>
        </w:rPr>
      </w:pPr>
    </w:p>
    <w:p w:rsidR="0073489B" w:rsidRDefault="00A46D11">
      <w:pPr>
        <w:pStyle w:val="Heading4"/>
        <w:jc w:val="both"/>
        <w:rPr>
          <w:noProof/>
        </w:rPr>
      </w:pPr>
      <w:bookmarkStart w:id="152" w:name="_Toc387228827"/>
      <w:bookmarkStart w:id="153" w:name="_Toc388541889"/>
      <w:r>
        <w:rPr>
          <w:noProof/>
        </w:rPr>
        <w:t xml:space="preserve">Key points and </w:t>
      </w:r>
      <w:r>
        <w:rPr>
          <w:noProof/>
        </w:rPr>
        <w:t>issues</w:t>
      </w:r>
      <w:bookmarkEnd w:id="152"/>
      <w:bookmarkEnd w:id="153"/>
    </w:p>
    <w:p w:rsidR="0073489B" w:rsidRDefault="00A46D11">
      <w:pPr>
        <w:numPr>
          <w:ilvl w:val="0"/>
          <w:numId w:val="110"/>
        </w:numPr>
        <w:autoSpaceDE w:val="0"/>
        <w:autoSpaceDN w:val="0"/>
        <w:adjustRightInd w:val="0"/>
        <w:ind w:left="284" w:right="142" w:hanging="142"/>
        <w:contextualSpacing/>
        <w:jc w:val="both"/>
        <w:rPr>
          <w:b/>
          <w:i/>
          <w:noProof/>
          <w:szCs w:val="24"/>
        </w:rPr>
      </w:pPr>
      <w:r>
        <w:rPr>
          <w:b/>
          <w:i/>
          <w:noProof/>
          <w:szCs w:val="24"/>
        </w:rPr>
        <w:t>Main issues for the implementation &amp; general outlook:</w:t>
      </w:r>
    </w:p>
    <w:p w:rsidR="0073489B" w:rsidRDefault="00A46D11">
      <w:pPr>
        <w:numPr>
          <w:ilvl w:val="1"/>
          <w:numId w:val="110"/>
        </w:numPr>
        <w:autoSpaceDE w:val="0"/>
        <w:autoSpaceDN w:val="0"/>
        <w:adjustRightInd w:val="0"/>
        <w:spacing w:after="60"/>
        <w:ind w:left="709" w:right="142" w:hanging="142"/>
        <w:contextualSpacing/>
        <w:jc w:val="both"/>
        <w:rPr>
          <w:noProof/>
          <w:szCs w:val="24"/>
        </w:rPr>
      </w:pPr>
      <w:r>
        <w:rPr>
          <w:noProof/>
          <w:szCs w:val="24"/>
        </w:rPr>
        <w:t xml:space="preserve"> In terms of the number of micro-loans disbursed, the European microfinance sector as a whole continued to grow in 2016, which is also reflected by the guarantee activity under EPMF. The continuously decreasing bank lending, the limited capacity of nationa</w:t>
      </w:r>
      <w:r>
        <w:rPr>
          <w:noProof/>
          <w:szCs w:val="24"/>
        </w:rPr>
        <w:t>l governments to support microfinance and the strong market demand for microfinance still suggest that there is a clear rationale for intervention at EU-level by providing risk-sharing solutions to Microfinance providers.</w:t>
      </w:r>
    </w:p>
    <w:p w:rsidR="0073489B" w:rsidRDefault="00A46D11">
      <w:pPr>
        <w:numPr>
          <w:ilvl w:val="1"/>
          <w:numId w:val="110"/>
        </w:numPr>
        <w:autoSpaceDE w:val="0"/>
        <w:autoSpaceDN w:val="0"/>
        <w:adjustRightInd w:val="0"/>
        <w:spacing w:after="60"/>
        <w:ind w:left="709" w:right="142" w:hanging="142"/>
        <w:contextualSpacing/>
        <w:jc w:val="both"/>
        <w:rPr>
          <w:noProof/>
          <w:szCs w:val="24"/>
        </w:rPr>
      </w:pPr>
      <w:r>
        <w:rPr>
          <w:noProof/>
          <w:szCs w:val="24"/>
        </w:rPr>
        <w:t xml:space="preserve"> Room for improvement has been ide</w:t>
      </w:r>
      <w:r>
        <w:rPr>
          <w:noProof/>
          <w:szCs w:val="24"/>
        </w:rPr>
        <w:t>ntified for accompanying mentoring and training for micro-entrepreneurs since it is considered as important factor for the sustainability of the micro-enterprises. The issue of Microfinance providers’ institutional capacity concerning mainly small non-bank</w:t>
      </w:r>
      <w:r>
        <w:rPr>
          <w:noProof/>
          <w:szCs w:val="24"/>
        </w:rPr>
        <w:t xml:space="preserve"> microfinance institutions is a bottleneck which hurdles the disbursement of the agreed micro-loans and affects negatively their prospects in the microfinance market.</w:t>
      </w:r>
    </w:p>
    <w:p w:rsidR="0073489B" w:rsidRDefault="00A46D11">
      <w:pPr>
        <w:numPr>
          <w:ilvl w:val="1"/>
          <w:numId w:val="110"/>
        </w:numPr>
        <w:autoSpaceDE w:val="0"/>
        <w:autoSpaceDN w:val="0"/>
        <w:adjustRightInd w:val="0"/>
        <w:spacing w:after="60"/>
        <w:ind w:left="709" w:right="142" w:hanging="142"/>
        <w:contextualSpacing/>
        <w:jc w:val="both"/>
        <w:rPr>
          <w:noProof/>
          <w:szCs w:val="24"/>
        </w:rPr>
      </w:pPr>
      <w:r>
        <w:rPr>
          <w:noProof/>
          <w:szCs w:val="24"/>
        </w:rPr>
        <w:t xml:space="preserve"> The provision of regulatory capital relief under the Guarantee Agreements has been ident</w:t>
      </w:r>
      <w:r>
        <w:rPr>
          <w:noProof/>
          <w:szCs w:val="24"/>
        </w:rPr>
        <w:t xml:space="preserve">ified as important issue in attracting qualified microfinance providers. During the negotiations with EIF many Intermediaries, mainly banks, raised this issue </w:t>
      </w:r>
      <w:r>
        <w:rPr>
          <w:noProof/>
          <w:szCs w:val="24"/>
        </w:rPr>
        <w:lastRenderedPageBreak/>
        <w:t>especially when EIF asked Intermediaries to pass the EPMF benefit to the final recipients through</w:t>
      </w:r>
      <w:r>
        <w:rPr>
          <w:noProof/>
          <w:szCs w:val="24"/>
        </w:rPr>
        <w:t xml:space="preserve"> price reduction.</w:t>
      </w:r>
    </w:p>
    <w:p w:rsidR="0073489B" w:rsidRDefault="0073489B">
      <w:pPr>
        <w:autoSpaceDE w:val="0"/>
        <w:autoSpaceDN w:val="0"/>
        <w:adjustRightInd w:val="0"/>
        <w:ind w:left="709" w:right="142"/>
        <w:contextualSpacing/>
        <w:rPr>
          <w:noProof/>
        </w:rPr>
      </w:pPr>
    </w:p>
    <w:p w:rsidR="0073489B" w:rsidRDefault="00A46D11">
      <w:pPr>
        <w:numPr>
          <w:ilvl w:val="0"/>
          <w:numId w:val="110"/>
        </w:numPr>
        <w:autoSpaceDE w:val="0"/>
        <w:autoSpaceDN w:val="0"/>
        <w:adjustRightInd w:val="0"/>
        <w:ind w:left="284" w:right="141" w:hanging="142"/>
        <w:contextualSpacing/>
        <w:jc w:val="both"/>
        <w:rPr>
          <w:noProof/>
          <w:szCs w:val="24"/>
        </w:rPr>
      </w:pPr>
      <w:r>
        <w:rPr>
          <w:b/>
          <w:i/>
          <w:noProof/>
          <w:szCs w:val="24"/>
        </w:rPr>
        <w:t>Main risks and solutions in place to mitigate these</w:t>
      </w:r>
      <w:r>
        <w:rPr>
          <w:noProof/>
          <w:szCs w:val="24"/>
        </w:rPr>
        <w:t xml:space="preserve">: </w:t>
      </w:r>
    </w:p>
    <w:p w:rsidR="0073489B" w:rsidRDefault="00A46D11">
      <w:pPr>
        <w:numPr>
          <w:ilvl w:val="1"/>
          <w:numId w:val="110"/>
        </w:numPr>
        <w:autoSpaceDE w:val="0"/>
        <w:autoSpaceDN w:val="0"/>
        <w:adjustRightInd w:val="0"/>
        <w:spacing w:after="60"/>
        <w:ind w:left="709" w:right="141" w:hanging="142"/>
        <w:contextualSpacing/>
        <w:jc w:val="both"/>
        <w:rPr>
          <w:noProof/>
          <w:szCs w:val="24"/>
        </w:rPr>
      </w:pPr>
      <w:r>
        <w:rPr>
          <w:noProof/>
          <w:szCs w:val="24"/>
        </w:rPr>
        <w:t xml:space="preserve"> Contractual and process compliance of the microfinance providers is ensured through contractual reporting and monitoring after the signature of the guarantee agreements in accordance</w:t>
      </w:r>
      <w:r>
        <w:rPr>
          <w:noProof/>
          <w:szCs w:val="24"/>
        </w:rPr>
        <w:t xml:space="preserve"> with the EIF internal procedures. </w:t>
      </w:r>
    </w:p>
    <w:p w:rsidR="0073489B" w:rsidRDefault="00A46D11">
      <w:pPr>
        <w:numPr>
          <w:ilvl w:val="1"/>
          <w:numId w:val="110"/>
        </w:numPr>
        <w:autoSpaceDE w:val="0"/>
        <w:autoSpaceDN w:val="0"/>
        <w:adjustRightInd w:val="0"/>
        <w:spacing w:after="60"/>
        <w:ind w:left="709" w:right="141" w:hanging="142"/>
        <w:contextualSpacing/>
        <w:jc w:val="both"/>
        <w:rPr>
          <w:noProof/>
          <w:szCs w:val="24"/>
        </w:rPr>
      </w:pPr>
      <w:r>
        <w:rPr>
          <w:noProof/>
          <w:szCs w:val="24"/>
        </w:rPr>
        <w:t xml:space="preserve"> In addition, the Commission safeguards that the requirements included in the Facility's Fiduciary and Management Agreement are fully respected by both EIF and the microfinance providers. </w:t>
      </w:r>
    </w:p>
    <w:p w:rsidR="0073489B" w:rsidRDefault="00A46D11">
      <w:pPr>
        <w:numPr>
          <w:ilvl w:val="1"/>
          <w:numId w:val="110"/>
        </w:numPr>
        <w:autoSpaceDE w:val="0"/>
        <w:autoSpaceDN w:val="0"/>
        <w:adjustRightInd w:val="0"/>
        <w:spacing w:after="60"/>
        <w:ind w:left="709" w:right="141" w:hanging="142"/>
        <w:contextualSpacing/>
        <w:jc w:val="both"/>
        <w:rPr>
          <w:noProof/>
          <w:szCs w:val="24"/>
        </w:rPr>
      </w:pPr>
      <w:r>
        <w:rPr>
          <w:noProof/>
          <w:szCs w:val="24"/>
        </w:rPr>
        <w:t xml:space="preserve"> In order to encourage utilisat</w:t>
      </w:r>
      <w:r>
        <w:rPr>
          <w:noProof/>
          <w:szCs w:val="24"/>
        </w:rPr>
        <w:t>ion by the microfinance provider, a commitment fee is charged if not at least specific percentage of the Agreed Portfolio is reached during a contractually defined Availability Period.</w:t>
      </w:r>
    </w:p>
    <w:p w:rsidR="0073489B" w:rsidRDefault="00A46D11">
      <w:pPr>
        <w:numPr>
          <w:ilvl w:val="1"/>
          <w:numId w:val="110"/>
        </w:numPr>
        <w:autoSpaceDE w:val="0"/>
        <w:autoSpaceDN w:val="0"/>
        <w:adjustRightInd w:val="0"/>
        <w:ind w:left="709" w:right="141" w:hanging="142"/>
        <w:contextualSpacing/>
        <w:jc w:val="both"/>
        <w:rPr>
          <w:noProof/>
          <w:szCs w:val="24"/>
        </w:rPr>
      </w:pPr>
      <w:r>
        <w:rPr>
          <w:noProof/>
          <w:szCs w:val="24"/>
        </w:rPr>
        <w:t xml:space="preserve"> Furthermore, the observance of specific requirements set out in the Fa</w:t>
      </w:r>
      <w:r>
        <w:rPr>
          <w:noProof/>
          <w:szCs w:val="24"/>
        </w:rPr>
        <w:t>cility's Fiduciary and Management Agreement with regard to reporting, monitoring and auditing, data protection, promotion and visibility, protects the interests of the Union against any risks of contractual, processes and performance non-compliance.</w:t>
      </w:r>
    </w:p>
    <w:p w:rsidR="0073489B" w:rsidRDefault="0073489B">
      <w:pPr>
        <w:pStyle w:val="ListParagraph"/>
        <w:autoSpaceDE w:val="0"/>
        <w:autoSpaceDN w:val="0"/>
        <w:adjustRightInd w:val="0"/>
        <w:ind w:left="709" w:right="141"/>
        <w:rPr>
          <w:noProof/>
          <w:szCs w:val="24"/>
        </w:rPr>
      </w:pPr>
    </w:p>
    <w:p w:rsidR="0073489B" w:rsidRDefault="00A46D11">
      <w:pPr>
        <w:pStyle w:val="Heading3"/>
        <w:spacing w:before="480" w:after="120"/>
        <w:ind w:left="553" w:hanging="553"/>
      </w:pPr>
      <w:bookmarkStart w:id="154" w:name="_EaSI_Microfinance_and"/>
      <w:bookmarkStart w:id="155" w:name="_Ref387223784"/>
      <w:bookmarkStart w:id="156" w:name="_Toc387228829"/>
      <w:bookmarkStart w:id="157" w:name="_Toc388541891"/>
      <w:bookmarkStart w:id="158" w:name="_Toc393281937"/>
      <w:bookmarkStart w:id="159" w:name="_Toc486436753"/>
      <w:bookmarkEnd w:id="154"/>
      <w:r>
        <w:t xml:space="preserve">EaSI Microfinance and Social </w:t>
      </w:r>
      <w:bookmarkEnd w:id="155"/>
      <w:bookmarkEnd w:id="156"/>
      <w:bookmarkEnd w:id="157"/>
      <w:bookmarkEnd w:id="158"/>
      <w:r>
        <w:t>Entrepreneurship</w:t>
      </w:r>
      <w:bookmarkEnd w:id="159"/>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rsidR="0073489B">
        <w:trPr>
          <w:trHeight w:val="348"/>
        </w:trPr>
        <w:tc>
          <w:tcPr>
            <w:tcW w:w="2500" w:type="pct"/>
            <w:tcBorders>
              <w:bottom w:val="single" w:sz="4" w:space="0" w:color="auto"/>
            </w:tcBorders>
            <w:shd w:val="clear" w:color="auto" w:fill="auto"/>
            <w:vAlign w:val="center"/>
          </w:tcPr>
          <w:p w:rsidR="0073489B" w:rsidRDefault="00A46D11">
            <w:pPr>
              <w:keepNext/>
              <w:keepLines/>
              <w:spacing w:before="80" w:after="80"/>
              <w:rPr>
                <w:noProof/>
                <w:szCs w:val="24"/>
              </w:rPr>
            </w:pPr>
            <w:bookmarkStart w:id="160" w:name="_Toc387228830"/>
            <w:bookmarkStart w:id="161" w:name="_Toc388541892"/>
            <w:r>
              <w:rPr>
                <w:b/>
                <w:noProof/>
                <w:szCs w:val="24"/>
              </w:rPr>
              <w:t>Policy DG in charge:</w:t>
            </w:r>
            <w:r>
              <w:rPr>
                <w:noProof/>
                <w:szCs w:val="24"/>
              </w:rPr>
              <w:t xml:space="preserve">  </w:t>
            </w:r>
          </w:p>
        </w:tc>
        <w:tc>
          <w:tcPr>
            <w:tcW w:w="2500" w:type="pct"/>
            <w:tcBorders>
              <w:bottom w:val="single" w:sz="4" w:space="0" w:color="auto"/>
            </w:tcBorders>
            <w:shd w:val="clear" w:color="auto" w:fill="auto"/>
            <w:vAlign w:val="center"/>
          </w:tcPr>
          <w:p w:rsidR="0073489B" w:rsidRDefault="00A46D11">
            <w:pPr>
              <w:keepNext/>
              <w:keepLines/>
              <w:spacing w:before="80" w:after="80"/>
              <w:jc w:val="center"/>
              <w:rPr>
                <w:noProof/>
                <w:szCs w:val="24"/>
              </w:rPr>
            </w:pPr>
            <w:r>
              <w:rPr>
                <w:noProof/>
                <w:szCs w:val="24"/>
              </w:rPr>
              <w:t>DG EMPL</w:t>
            </w:r>
          </w:p>
        </w:tc>
      </w:tr>
      <w:tr w:rsidR="0073489B">
        <w:trPr>
          <w:trHeight w:val="340"/>
        </w:trPr>
        <w:tc>
          <w:tcPr>
            <w:tcW w:w="2500" w:type="pct"/>
            <w:tcBorders>
              <w:top w:val="single" w:sz="4" w:space="0" w:color="auto"/>
              <w:bottom w:val="single" w:sz="4" w:space="0" w:color="auto"/>
            </w:tcBorders>
            <w:shd w:val="clear" w:color="auto" w:fill="auto"/>
            <w:vAlign w:val="center"/>
          </w:tcPr>
          <w:p w:rsidR="0073489B" w:rsidRDefault="00A46D11">
            <w:pPr>
              <w:keepNext/>
              <w:keepLines/>
              <w:spacing w:before="80" w:after="80"/>
              <w:rPr>
                <w:noProof/>
                <w:szCs w:val="24"/>
              </w:rPr>
            </w:pPr>
            <w:r>
              <w:rPr>
                <w:b/>
                <w:noProof/>
                <w:szCs w:val="24"/>
              </w:rPr>
              <w:t>Implementing DG in charge:</w:t>
            </w:r>
            <w:r>
              <w:rPr>
                <w:noProof/>
                <w:szCs w:val="24"/>
              </w:rPr>
              <w:t xml:space="preserve">  </w:t>
            </w:r>
          </w:p>
        </w:tc>
        <w:tc>
          <w:tcPr>
            <w:tcW w:w="2500" w:type="pct"/>
            <w:tcBorders>
              <w:top w:val="single" w:sz="4" w:space="0" w:color="auto"/>
              <w:bottom w:val="single" w:sz="4" w:space="0" w:color="auto"/>
            </w:tcBorders>
            <w:shd w:val="clear" w:color="auto" w:fill="auto"/>
            <w:vAlign w:val="center"/>
          </w:tcPr>
          <w:p w:rsidR="0073489B" w:rsidRDefault="00A46D11">
            <w:pPr>
              <w:keepNext/>
              <w:keepLines/>
              <w:spacing w:before="80" w:after="80"/>
              <w:jc w:val="center"/>
              <w:rPr>
                <w:noProof/>
                <w:szCs w:val="24"/>
              </w:rPr>
            </w:pPr>
            <w:r>
              <w:rPr>
                <w:noProof/>
                <w:szCs w:val="24"/>
              </w:rPr>
              <w:t>DG EMPL</w:t>
            </w:r>
          </w:p>
        </w:tc>
      </w:tr>
      <w:tr w:rsidR="0073489B">
        <w:trPr>
          <w:trHeight w:val="200"/>
        </w:trPr>
        <w:tc>
          <w:tcPr>
            <w:tcW w:w="2500" w:type="pct"/>
            <w:tcBorders>
              <w:top w:val="single" w:sz="4" w:space="0" w:color="auto"/>
              <w:bottom w:val="single" w:sz="4" w:space="0" w:color="auto"/>
            </w:tcBorders>
            <w:shd w:val="clear" w:color="auto" w:fill="auto"/>
            <w:vAlign w:val="center"/>
          </w:tcPr>
          <w:p w:rsidR="0073489B" w:rsidRDefault="00A46D11">
            <w:pPr>
              <w:keepNext/>
              <w:keepLines/>
              <w:spacing w:before="80" w:after="80"/>
              <w:rPr>
                <w:noProof/>
                <w:szCs w:val="24"/>
              </w:rPr>
            </w:pPr>
            <w:r>
              <w:rPr>
                <w:b/>
                <w:noProof/>
                <w:szCs w:val="24"/>
              </w:rPr>
              <w:t>Implementing Body in charge:</w:t>
            </w:r>
          </w:p>
        </w:tc>
        <w:tc>
          <w:tcPr>
            <w:tcW w:w="2500" w:type="pct"/>
            <w:tcBorders>
              <w:top w:val="single" w:sz="4" w:space="0" w:color="auto"/>
              <w:bottom w:val="single" w:sz="4" w:space="0" w:color="auto"/>
            </w:tcBorders>
            <w:shd w:val="clear" w:color="auto" w:fill="auto"/>
            <w:vAlign w:val="center"/>
          </w:tcPr>
          <w:p w:rsidR="0073489B" w:rsidRDefault="00A46D11">
            <w:pPr>
              <w:keepNext/>
              <w:keepLines/>
              <w:spacing w:before="80" w:after="80"/>
              <w:jc w:val="center"/>
              <w:rPr>
                <w:noProof/>
                <w:szCs w:val="24"/>
              </w:rPr>
            </w:pPr>
            <w:r>
              <w:rPr>
                <w:noProof/>
                <w:szCs w:val="24"/>
              </w:rPr>
              <w:t>EIF</w:t>
            </w:r>
          </w:p>
        </w:tc>
      </w:tr>
      <w:tr w:rsidR="0073489B">
        <w:trPr>
          <w:trHeight w:val="146"/>
        </w:trPr>
        <w:tc>
          <w:tcPr>
            <w:tcW w:w="2500" w:type="pct"/>
            <w:tcBorders>
              <w:top w:val="single" w:sz="4" w:space="0" w:color="auto"/>
              <w:bottom w:val="single" w:sz="4" w:space="0" w:color="auto"/>
            </w:tcBorders>
            <w:shd w:val="clear" w:color="auto" w:fill="auto"/>
            <w:vAlign w:val="center"/>
          </w:tcPr>
          <w:p w:rsidR="0073489B" w:rsidRDefault="00A46D11">
            <w:pPr>
              <w:keepNext/>
              <w:keepLines/>
              <w:spacing w:before="80" w:after="80"/>
              <w:rPr>
                <w:noProof/>
                <w:szCs w:val="24"/>
              </w:rPr>
            </w:pPr>
            <w:r>
              <w:rPr>
                <w:b/>
                <w:noProof/>
                <w:szCs w:val="24"/>
              </w:rPr>
              <w:t>Initial Overall Budget Envelope:</w:t>
            </w:r>
          </w:p>
        </w:tc>
        <w:tc>
          <w:tcPr>
            <w:tcW w:w="2500" w:type="pct"/>
            <w:tcBorders>
              <w:top w:val="single" w:sz="4" w:space="0" w:color="auto"/>
              <w:bottom w:val="single" w:sz="4" w:space="0" w:color="auto"/>
            </w:tcBorders>
            <w:shd w:val="clear" w:color="auto" w:fill="auto"/>
            <w:vAlign w:val="center"/>
          </w:tcPr>
          <w:p w:rsidR="0073489B" w:rsidRDefault="00A46D11">
            <w:pPr>
              <w:keepNext/>
              <w:keepLines/>
              <w:spacing w:before="80" w:after="80"/>
              <w:jc w:val="center"/>
              <w:rPr>
                <w:noProof/>
                <w:szCs w:val="24"/>
              </w:rPr>
            </w:pPr>
            <w:r>
              <w:rPr>
                <w:noProof/>
                <w:szCs w:val="24"/>
              </w:rPr>
              <w:t xml:space="preserve">     EUR 96 million </w:t>
            </w:r>
            <w:r>
              <w:rPr>
                <w:noProof/>
                <w:szCs w:val="24"/>
                <w:vertAlign w:val="superscript"/>
              </w:rPr>
              <w:footnoteReference w:id="111"/>
            </w:r>
          </w:p>
        </w:tc>
      </w:tr>
      <w:tr w:rsidR="0073489B">
        <w:trPr>
          <w:trHeight w:val="297"/>
        </w:trPr>
        <w:tc>
          <w:tcPr>
            <w:tcW w:w="2500" w:type="pct"/>
            <w:tcBorders>
              <w:top w:val="single" w:sz="4" w:space="0" w:color="auto"/>
            </w:tcBorders>
            <w:shd w:val="clear" w:color="auto" w:fill="auto"/>
            <w:vAlign w:val="center"/>
          </w:tcPr>
          <w:p w:rsidR="0073489B" w:rsidRDefault="00A46D11">
            <w:pPr>
              <w:keepNext/>
              <w:keepLines/>
              <w:spacing w:before="80" w:after="80"/>
              <w:rPr>
                <w:b/>
                <w:noProof/>
                <w:szCs w:val="24"/>
              </w:rPr>
            </w:pPr>
            <w:r>
              <w:rPr>
                <w:b/>
                <w:noProof/>
                <w:szCs w:val="24"/>
              </w:rPr>
              <w:t>Expected Overall Budget as at 31/12/2016:</w:t>
            </w:r>
          </w:p>
        </w:tc>
        <w:tc>
          <w:tcPr>
            <w:tcW w:w="2500" w:type="pct"/>
            <w:tcBorders>
              <w:top w:val="single" w:sz="4" w:space="0" w:color="auto"/>
            </w:tcBorders>
            <w:shd w:val="clear" w:color="auto" w:fill="auto"/>
            <w:vAlign w:val="center"/>
          </w:tcPr>
          <w:p w:rsidR="0073489B" w:rsidRDefault="00A46D11">
            <w:pPr>
              <w:keepNext/>
              <w:keepLines/>
              <w:spacing w:before="80" w:after="80"/>
              <w:jc w:val="center"/>
              <w:rPr>
                <w:noProof/>
                <w:szCs w:val="24"/>
              </w:rPr>
            </w:pPr>
            <w:r>
              <w:rPr>
                <w:noProof/>
                <w:szCs w:val="24"/>
              </w:rPr>
              <w:t xml:space="preserve">EUR 96 </w:t>
            </w:r>
            <w:r>
              <w:rPr>
                <w:noProof/>
                <w:szCs w:val="24"/>
              </w:rPr>
              <w:t>million</w:t>
            </w:r>
            <w:r>
              <w:rPr>
                <w:rStyle w:val="FootnoteReference"/>
                <w:noProof/>
                <w:szCs w:val="24"/>
              </w:rPr>
              <w:footnoteReference w:id="112"/>
            </w:r>
          </w:p>
        </w:tc>
      </w:tr>
    </w:tbl>
    <w:p w:rsidR="0073489B" w:rsidRDefault="0073489B">
      <w:pPr>
        <w:pStyle w:val="Heading4"/>
        <w:numPr>
          <w:ilvl w:val="0"/>
          <w:numId w:val="0"/>
        </w:numPr>
        <w:spacing w:before="120" w:after="160"/>
        <w:ind w:left="426"/>
        <w:rPr>
          <w:noProof/>
        </w:rPr>
      </w:pPr>
    </w:p>
    <w:p w:rsidR="0073489B" w:rsidRDefault="00A46D11">
      <w:pPr>
        <w:pStyle w:val="Heading4"/>
        <w:numPr>
          <w:ilvl w:val="0"/>
          <w:numId w:val="24"/>
        </w:numPr>
        <w:spacing w:before="120"/>
        <w:ind w:left="423" w:hanging="423"/>
        <w:rPr>
          <w:noProof/>
        </w:rPr>
      </w:pPr>
      <w:r>
        <w:rPr>
          <w:noProof/>
        </w:rPr>
        <w:t>Summary</w:t>
      </w:r>
    </w:p>
    <w:p w:rsidR="0073489B" w:rsidRDefault="00A46D11">
      <w:pPr>
        <w:jc w:val="both"/>
        <w:rPr>
          <w:noProof/>
          <w:szCs w:val="24"/>
        </w:rPr>
      </w:pPr>
      <w:r>
        <w:rPr>
          <w:noProof/>
          <w:szCs w:val="24"/>
        </w:rPr>
        <w:t>As has been shown by ex-ante evaluations,</w:t>
      </w:r>
      <w:r>
        <w:rPr>
          <w:rStyle w:val="FootnoteReference"/>
          <w:noProof/>
          <w:szCs w:val="24"/>
        </w:rPr>
        <w:footnoteReference w:id="113"/>
      </w:r>
      <w:r>
        <w:rPr>
          <w:noProof/>
          <w:szCs w:val="24"/>
        </w:rPr>
        <w:t xml:space="preserve"> it is essential to provide financial instruments for microfinance and social enterprises in order to successfully achieve the objectives of the EaSI programme. In line with the outcome of ex ante evaluations, debt finance, risk-sharing instruments, and eq</w:t>
      </w:r>
      <w:r>
        <w:rPr>
          <w:noProof/>
          <w:szCs w:val="24"/>
        </w:rPr>
        <w:t>uity investments are likely to be used.</w:t>
      </w:r>
    </w:p>
    <w:p w:rsidR="0073489B" w:rsidRDefault="0073489B">
      <w:pPr>
        <w:spacing w:before="200" w:after="60"/>
        <w:jc w:val="both"/>
        <w:rPr>
          <w:noProof/>
          <w:szCs w:val="24"/>
        </w:rPr>
      </w:pPr>
    </w:p>
    <w:p w:rsidR="0073489B" w:rsidRDefault="00A46D11">
      <w:pPr>
        <w:pStyle w:val="Heading4"/>
        <w:numPr>
          <w:ilvl w:val="0"/>
          <w:numId w:val="24"/>
        </w:numPr>
        <w:ind w:hanging="357"/>
        <w:jc w:val="both"/>
        <w:rPr>
          <w:noProof/>
        </w:rPr>
      </w:pPr>
      <w:r>
        <w:rPr>
          <w:noProof/>
        </w:rPr>
        <w:lastRenderedPageBreak/>
        <w:t>Description</w:t>
      </w:r>
      <w:bookmarkEnd w:id="160"/>
      <w:bookmarkEnd w:id="161"/>
    </w:p>
    <w:p w:rsidR="0073489B" w:rsidRDefault="00A46D11">
      <w:pPr>
        <w:pStyle w:val="Heading5"/>
        <w:numPr>
          <w:ilvl w:val="0"/>
          <w:numId w:val="25"/>
        </w:numPr>
        <w:spacing w:before="120"/>
        <w:ind w:left="284" w:firstLine="0"/>
        <w:jc w:val="both"/>
        <w:rPr>
          <w:noProof/>
        </w:rPr>
      </w:pPr>
      <w:bookmarkStart w:id="162" w:name="_Toc387228831"/>
      <w:r>
        <w:rPr>
          <w:noProof/>
        </w:rPr>
        <w:t>Identification of the financial instrument and the basic act</w:t>
      </w:r>
      <w:bookmarkEnd w:id="162"/>
      <w:r>
        <w:rPr>
          <w:noProof/>
        </w:rPr>
        <w:t>;</w:t>
      </w:r>
    </w:p>
    <w:p w:rsidR="0073489B" w:rsidRDefault="00A46D11">
      <w:pPr>
        <w:spacing w:after="60"/>
        <w:ind w:right="141"/>
        <w:contextualSpacing/>
        <w:jc w:val="both"/>
        <w:rPr>
          <w:noProof/>
          <w:szCs w:val="24"/>
        </w:rPr>
      </w:pPr>
      <w:r>
        <w:rPr>
          <w:noProof/>
          <w:szCs w:val="24"/>
        </w:rPr>
        <w:t>Regulation (EU) No 1296/2013 of the European Parliament and of the Council of 11 December 2013 on a European Union Programme for Employment a</w:t>
      </w:r>
      <w:r>
        <w:rPr>
          <w:noProof/>
          <w:szCs w:val="24"/>
        </w:rPr>
        <w:t>nd Social Innovation ("EaSI") and amending Decision No 283/2010/EU establishing a European Progress Microfinance Facility for employment and social inclusion.</w:t>
      </w:r>
      <w:r>
        <w:rPr>
          <w:rStyle w:val="FootnoteReference"/>
          <w:noProof/>
          <w:szCs w:val="24"/>
        </w:rPr>
        <w:footnoteReference w:id="114"/>
      </w:r>
    </w:p>
    <w:p w:rsidR="0073489B" w:rsidRDefault="00A46D11">
      <w:pPr>
        <w:pStyle w:val="Heading5"/>
        <w:numPr>
          <w:ilvl w:val="0"/>
          <w:numId w:val="76"/>
        </w:numPr>
        <w:spacing w:before="120"/>
        <w:ind w:left="284" w:firstLine="0"/>
        <w:jc w:val="both"/>
        <w:rPr>
          <w:noProof/>
        </w:rPr>
      </w:pPr>
      <w:bookmarkStart w:id="163" w:name="_Toc387228832"/>
      <w:r>
        <w:rPr>
          <w:noProof/>
        </w:rPr>
        <w:t xml:space="preserve">Description of the financial instrument, implementation arrangements and the added value of the </w:t>
      </w:r>
      <w:r>
        <w:rPr>
          <w:noProof/>
        </w:rPr>
        <w:t>Union contribution</w:t>
      </w:r>
      <w:bookmarkEnd w:id="163"/>
      <w:r>
        <w:rPr>
          <w:noProof/>
        </w:rPr>
        <w:t>;</w:t>
      </w:r>
    </w:p>
    <w:p w:rsidR="0073489B" w:rsidRDefault="00A46D11">
      <w:pPr>
        <w:ind w:left="360" w:right="141"/>
        <w:jc w:val="both"/>
        <w:rPr>
          <w:i/>
          <w:noProof/>
          <w:szCs w:val="24"/>
        </w:rPr>
      </w:pPr>
      <w:r>
        <w:rPr>
          <w:i/>
          <w:noProof/>
          <w:szCs w:val="24"/>
        </w:rPr>
        <w:t>Policy objectives and scope</w:t>
      </w:r>
    </w:p>
    <w:p w:rsidR="0073489B" w:rsidRDefault="00A46D11">
      <w:pPr>
        <w:spacing w:after="60"/>
        <w:ind w:left="360" w:right="141"/>
        <w:jc w:val="both"/>
        <w:rPr>
          <w:noProof/>
          <w:szCs w:val="24"/>
        </w:rPr>
      </w:pPr>
      <w:r>
        <w:rPr>
          <w:noProof/>
          <w:szCs w:val="24"/>
        </w:rPr>
        <w:t xml:space="preserve">EaSI Microfinance and Social Entrepreneurship aims at fulfilling the following objectives: </w:t>
      </w:r>
    </w:p>
    <w:p w:rsidR="0073489B" w:rsidRDefault="00A46D11">
      <w:pPr>
        <w:numPr>
          <w:ilvl w:val="0"/>
          <w:numId w:val="110"/>
        </w:numPr>
        <w:ind w:right="141" w:hanging="218"/>
        <w:jc w:val="both"/>
        <w:rPr>
          <w:noProof/>
          <w:szCs w:val="24"/>
          <w:lang w:val="en"/>
        </w:rPr>
      </w:pPr>
      <w:r>
        <w:rPr>
          <w:noProof/>
          <w:szCs w:val="24"/>
          <w:lang w:val="en"/>
        </w:rPr>
        <w:t>to increase access to, and the availability of, microfinance for vulnerable groups who want to set up or develop the</w:t>
      </w:r>
      <w:r>
        <w:rPr>
          <w:noProof/>
          <w:szCs w:val="24"/>
          <w:lang w:val="en"/>
        </w:rPr>
        <w:t>ir business as well as for existing micro-enterprises,</w:t>
      </w:r>
    </w:p>
    <w:p w:rsidR="0073489B" w:rsidRDefault="00A46D11">
      <w:pPr>
        <w:numPr>
          <w:ilvl w:val="0"/>
          <w:numId w:val="110"/>
        </w:numPr>
        <w:ind w:right="141" w:hanging="218"/>
        <w:jc w:val="both"/>
        <w:rPr>
          <w:noProof/>
          <w:szCs w:val="24"/>
          <w:lang w:val="en"/>
        </w:rPr>
      </w:pPr>
      <w:r>
        <w:rPr>
          <w:noProof/>
          <w:szCs w:val="24"/>
          <w:lang w:val="en"/>
        </w:rPr>
        <w:t>to build up the institutional capacity of microcredit providers,</w:t>
      </w:r>
    </w:p>
    <w:p w:rsidR="0073489B" w:rsidRDefault="00A46D11">
      <w:pPr>
        <w:numPr>
          <w:ilvl w:val="0"/>
          <w:numId w:val="110"/>
        </w:numPr>
        <w:ind w:right="141" w:hanging="218"/>
        <w:jc w:val="both"/>
        <w:rPr>
          <w:noProof/>
          <w:szCs w:val="24"/>
          <w:lang w:val="en"/>
        </w:rPr>
      </w:pPr>
      <w:r>
        <w:rPr>
          <w:noProof/>
          <w:szCs w:val="24"/>
          <w:lang w:val="en"/>
        </w:rPr>
        <w:t>to support the development of social enterprises, in particular by facilitating access to finance.</w:t>
      </w:r>
    </w:p>
    <w:p w:rsidR="0073489B" w:rsidRDefault="00A46D11">
      <w:pPr>
        <w:spacing w:after="60"/>
        <w:ind w:right="141"/>
        <w:jc w:val="both"/>
        <w:rPr>
          <w:noProof/>
          <w:szCs w:val="24"/>
        </w:rPr>
      </w:pPr>
      <w:r>
        <w:rPr>
          <w:noProof/>
          <w:szCs w:val="24"/>
        </w:rPr>
        <w:t xml:space="preserve">The instruments provide support not </w:t>
      </w:r>
      <w:r>
        <w:rPr>
          <w:noProof/>
          <w:szCs w:val="24"/>
        </w:rPr>
        <w:t>directly to final recipients, but rather to relevant intermediaries, i.e. microfinance providers and social enterprise investors.</w:t>
      </w:r>
    </w:p>
    <w:p w:rsidR="0073489B" w:rsidRDefault="00A46D11">
      <w:pPr>
        <w:spacing w:after="60"/>
        <w:ind w:left="360" w:right="141"/>
        <w:jc w:val="both"/>
        <w:rPr>
          <w:noProof/>
          <w:szCs w:val="24"/>
        </w:rPr>
      </w:pPr>
      <w:r>
        <w:rPr>
          <w:noProof/>
        </w:rPr>
        <w:t>"Microfinance Instrument" targets:</w:t>
      </w:r>
    </w:p>
    <w:p w:rsidR="0073489B" w:rsidRDefault="00A46D11">
      <w:pPr>
        <w:numPr>
          <w:ilvl w:val="0"/>
          <w:numId w:val="163"/>
        </w:numPr>
        <w:ind w:left="426" w:right="141" w:hanging="142"/>
        <w:jc w:val="both"/>
        <w:rPr>
          <w:noProof/>
          <w:szCs w:val="24"/>
        </w:rPr>
      </w:pPr>
      <w:r>
        <w:rPr>
          <w:i/>
          <w:noProof/>
          <w:szCs w:val="24"/>
        </w:rPr>
        <w:t xml:space="preserve">Vulnerable people, </w:t>
      </w:r>
      <w:r>
        <w:rPr>
          <w:noProof/>
          <w:szCs w:val="24"/>
        </w:rPr>
        <w:t>i.e. persons who are in a disadvantaged position with regard to access t</w:t>
      </w:r>
      <w:r>
        <w:rPr>
          <w:noProof/>
          <w:szCs w:val="24"/>
        </w:rPr>
        <w:t>o the conventional credit market and who want to start or further develop their own micro-enterprise, including self-employment; (the Regulation gives special focus to young people as vulnerable group).</w:t>
      </w:r>
    </w:p>
    <w:p w:rsidR="0073489B" w:rsidRDefault="00A46D11">
      <w:pPr>
        <w:numPr>
          <w:ilvl w:val="0"/>
          <w:numId w:val="163"/>
        </w:numPr>
        <w:ind w:left="426" w:right="141" w:hanging="142"/>
        <w:jc w:val="both"/>
        <w:rPr>
          <w:noProof/>
          <w:szCs w:val="24"/>
        </w:rPr>
      </w:pPr>
      <w:r>
        <w:rPr>
          <w:i/>
          <w:noProof/>
          <w:szCs w:val="24"/>
        </w:rPr>
        <w:t>Micro-enterprises,</w:t>
      </w:r>
      <w:r>
        <w:rPr>
          <w:noProof/>
          <w:szCs w:val="24"/>
        </w:rPr>
        <w:t xml:space="preserve"> meaning an enterprise, including a</w:t>
      </w:r>
      <w:r>
        <w:rPr>
          <w:noProof/>
          <w:szCs w:val="24"/>
        </w:rPr>
        <w:t xml:space="preserve"> self- employed person, that employs fewer than 10 people and whose annual turnover or annual balance sheet total does not exceed EUR 2 million, in accordance with Commission Recommendation 2003/361/EC (OJ L124/36, 20.05.2003).</w:t>
      </w:r>
    </w:p>
    <w:p w:rsidR="0073489B" w:rsidRDefault="00A46D11">
      <w:pPr>
        <w:ind w:left="360" w:right="141"/>
        <w:jc w:val="both"/>
        <w:rPr>
          <w:noProof/>
          <w:szCs w:val="24"/>
          <w:lang w:val="fr-BE"/>
        </w:rPr>
      </w:pPr>
      <w:r>
        <w:rPr>
          <w:i/>
          <w:noProof/>
          <w:szCs w:val="24"/>
          <w:lang w:val="fr-BE"/>
        </w:rPr>
        <w:t>"Social Entrepreneurship fin</w:t>
      </w:r>
      <w:r>
        <w:rPr>
          <w:i/>
          <w:noProof/>
          <w:szCs w:val="24"/>
          <w:lang w:val="fr-BE"/>
        </w:rPr>
        <w:t>ancial Instrument"</w:t>
      </w:r>
      <w:r>
        <w:rPr>
          <w:noProof/>
          <w:szCs w:val="24"/>
          <w:lang w:val="fr-BE"/>
        </w:rPr>
        <w:t xml:space="preserve"> will target </w:t>
      </w:r>
    </w:p>
    <w:p w:rsidR="0073489B" w:rsidRDefault="00A46D11">
      <w:pPr>
        <w:numPr>
          <w:ilvl w:val="0"/>
          <w:numId w:val="164"/>
        </w:numPr>
        <w:spacing w:after="60"/>
        <w:ind w:left="426" w:right="141" w:hanging="142"/>
        <w:jc w:val="both"/>
        <w:rPr>
          <w:noProof/>
          <w:szCs w:val="24"/>
        </w:rPr>
      </w:pPr>
      <w:r>
        <w:rPr>
          <w:noProof/>
          <w:szCs w:val="24"/>
        </w:rPr>
        <w:t>social enterprises, regardless of their legal form.</w:t>
      </w:r>
      <w:r>
        <w:rPr>
          <w:rStyle w:val="FootnoteReference"/>
          <w:noProof/>
          <w:szCs w:val="24"/>
        </w:rPr>
        <w:footnoteReference w:id="115"/>
      </w:r>
    </w:p>
    <w:p w:rsidR="0073489B" w:rsidRDefault="00A46D11">
      <w:pPr>
        <w:ind w:left="360" w:right="141"/>
        <w:jc w:val="both"/>
        <w:rPr>
          <w:noProof/>
          <w:szCs w:val="24"/>
        </w:rPr>
      </w:pPr>
      <w:r>
        <w:rPr>
          <w:i/>
          <w:noProof/>
          <w:szCs w:val="24"/>
        </w:rPr>
        <w:t>Implementation arrangements</w:t>
      </w:r>
      <w:r>
        <w:rPr>
          <w:noProof/>
          <w:szCs w:val="24"/>
        </w:rPr>
        <w:t xml:space="preserve"> </w:t>
      </w:r>
    </w:p>
    <w:p w:rsidR="0073489B" w:rsidRDefault="00A46D11">
      <w:pPr>
        <w:spacing w:after="60"/>
        <w:ind w:right="141" w:firstLine="3"/>
        <w:jc w:val="both"/>
        <w:rPr>
          <w:iCs/>
          <w:noProof/>
          <w:szCs w:val="24"/>
        </w:rPr>
      </w:pPr>
      <w:r>
        <w:rPr>
          <w:iCs/>
          <w:noProof/>
          <w:szCs w:val="24"/>
        </w:rPr>
        <w:t>The Delegation Agreement between EC and the EIF was signed on 22/06/2015 and amended on 16/12/2016 introducing the EFSI frontloading provision</w:t>
      </w:r>
      <w:r>
        <w:rPr>
          <w:iCs/>
          <w:noProof/>
          <w:szCs w:val="24"/>
        </w:rPr>
        <w:t xml:space="preserve"> and on 19/12/2016 introducing the set up and the implementation process of EaSI Capacity Building.</w:t>
      </w:r>
    </w:p>
    <w:p w:rsidR="0073489B" w:rsidRDefault="00A46D11">
      <w:pPr>
        <w:ind w:right="141" w:firstLine="3"/>
        <w:jc w:val="both"/>
        <w:rPr>
          <w:iCs/>
          <w:noProof/>
          <w:szCs w:val="24"/>
        </w:rPr>
      </w:pPr>
      <w:r>
        <w:rPr>
          <w:i/>
          <w:noProof/>
          <w:szCs w:val="24"/>
        </w:rPr>
        <w:t xml:space="preserve">Added value </w:t>
      </w:r>
    </w:p>
    <w:p w:rsidR="0073489B" w:rsidRDefault="00A46D11">
      <w:pPr>
        <w:ind w:right="141" w:firstLine="3"/>
        <w:jc w:val="both"/>
        <w:rPr>
          <w:noProof/>
          <w:szCs w:val="24"/>
        </w:rPr>
      </w:pPr>
      <w:r>
        <w:rPr>
          <w:iCs/>
          <w:noProof/>
          <w:szCs w:val="24"/>
        </w:rPr>
        <w:t>The Delegation Agreement signed with the EIF ensures that EaSI Microfinance and Social Entrepreneurship is accessible for a broad range of fina</w:t>
      </w:r>
      <w:r>
        <w:rPr>
          <w:iCs/>
          <w:noProof/>
          <w:szCs w:val="24"/>
        </w:rPr>
        <w:t>ncial intermediaries (</w:t>
      </w:r>
      <w:r>
        <w:rPr>
          <w:iCs/>
          <w:noProof/>
          <w:szCs w:val="24"/>
          <w:lang w:val="en"/>
        </w:rPr>
        <w:t xml:space="preserve">microcredit </w:t>
      </w:r>
      <w:r>
        <w:rPr>
          <w:iCs/>
          <w:noProof/>
          <w:szCs w:val="24"/>
          <w:lang w:val="en"/>
        </w:rPr>
        <w:lastRenderedPageBreak/>
        <w:t>providers, both banks and non-banks, and social enterprise investors)</w:t>
      </w:r>
      <w:r>
        <w:rPr>
          <w:iCs/>
          <w:noProof/>
          <w:szCs w:val="24"/>
        </w:rPr>
        <w:t xml:space="preserve"> which are experienced in financial transactions with self-employed and micro-entreprises.</w:t>
      </w:r>
    </w:p>
    <w:p w:rsidR="0073489B" w:rsidRDefault="00A46D11">
      <w:pPr>
        <w:spacing w:after="60"/>
        <w:ind w:right="141"/>
        <w:jc w:val="both"/>
        <w:rPr>
          <w:noProof/>
          <w:szCs w:val="24"/>
        </w:rPr>
      </w:pPr>
      <w:r>
        <w:rPr>
          <w:iCs/>
          <w:noProof/>
          <w:szCs w:val="24"/>
        </w:rPr>
        <w:t>From a technical point of view, the EIF is instructed to provi</w:t>
      </w:r>
      <w:r>
        <w:rPr>
          <w:iCs/>
          <w:noProof/>
          <w:szCs w:val="24"/>
        </w:rPr>
        <w:t>de guarantees to the financial intermediaries to cover a portion of expected losses of a portfolio of newly generated self-employed and micro-entreprises transactions with a higher risk profile.</w:t>
      </w:r>
    </w:p>
    <w:p w:rsidR="0073489B" w:rsidRDefault="00A46D11">
      <w:pPr>
        <w:pStyle w:val="Heading5"/>
        <w:spacing w:before="120"/>
        <w:ind w:left="284" w:firstLine="0"/>
        <w:jc w:val="both"/>
        <w:rPr>
          <w:noProof/>
        </w:rPr>
      </w:pPr>
      <w:bookmarkStart w:id="164" w:name="_Toc387228833"/>
      <w:r>
        <w:rPr>
          <w:noProof/>
        </w:rPr>
        <w:t>The financial institutions involved in implementation</w:t>
      </w:r>
      <w:bookmarkEnd w:id="164"/>
      <w:r>
        <w:rPr>
          <w:noProof/>
        </w:rPr>
        <w:t>;</w:t>
      </w:r>
    </w:p>
    <w:p w:rsidR="0073489B" w:rsidRDefault="00A46D11">
      <w:pPr>
        <w:shd w:val="clear" w:color="auto" w:fill="FFFFFF"/>
        <w:spacing w:after="60"/>
        <w:ind w:left="360" w:right="141"/>
        <w:jc w:val="both"/>
        <w:rPr>
          <w:noProof/>
          <w:szCs w:val="24"/>
        </w:rPr>
      </w:pPr>
      <w:r>
        <w:rPr>
          <w:noProof/>
          <w:szCs w:val="24"/>
        </w:rPr>
        <w:t>European Investment Fund (EIF).</w:t>
      </w:r>
    </w:p>
    <w:p w:rsidR="0073489B" w:rsidRDefault="00A46D11">
      <w:pPr>
        <w:shd w:val="clear" w:color="auto" w:fill="FFFFFF"/>
        <w:spacing w:after="60"/>
        <w:ind w:left="360" w:right="141"/>
        <w:jc w:val="both"/>
        <w:rPr>
          <w:noProof/>
          <w:szCs w:val="24"/>
        </w:rPr>
      </w:pPr>
      <w:r>
        <w:rPr>
          <w:noProof/>
          <w:szCs w:val="24"/>
        </w:rPr>
        <w:t>http://www.eif.org/what_we_do/microfinance/easi/</w:t>
      </w:r>
    </w:p>
    <w:p w:rsidR="0073489B" w:rsidRDefault="00A46D11">
      <w:pPr>
        <w:shd w:val="clear" w:color="auto" w:fill="FFFFFF"/>
        <w:spacing w:after="60"/>
        <w:ind w:left="360" w:right="141"/>
        <w:rPr>
          <w:noProof/>
          <w:szCs w:val="24"/>
        </w:rPr>
      </w:pPr>
      <w:r>
        <w:rPr>
          <w:noProof/>
          <w:szCs w:val="24"/>
        </w:rPr>
        <w:t xml:space="preserve"> </w:t>
      </w:r>
    </w:p>
    <w:p w:rsidR="0073489B" w:rsidRDefault="00A46D11">
      <w:pPr>
        <w:pStyle w:val="Heading4"/>
        <w:rPr>
          <w:noProof/>
        </w:rPr>
      </w:pPr>
      <w:bookmarkStart w:id="165" w:name="_Toc387228834"/>
      <w:bookmarkStart w:id="166" w:name="_Toc388541893"/>
      <w:r>
        <w:rPr>
          <w:noProof/>
        </w:rPr>
        <w:t>Implementation</w:t>
      </w:r>
      <w:bookmarkEnd w:id="165"/>
      <w:bookmarkEnd w:id="166"/>
    </w:p>
    <w:p w:rsidR="0073489B" w:rsidRDefault="00A46D11">
      <w:pPr>
        <w:pStyle w:val="Heading5"/>
        <w:spacing w:before="120"/>
        <w:ind w:left="284" w:firstLine="0"/>
        <w:rPr>
          <w:noProof/>
        </w:rPr>
      </w:pPr>
      <w:bookmarkStart w:id="167" w:name="_Toc387228835"/>
      <w:r>
        <w:rPr>
          <w:noProof/>
        </w:rPr>
        <w:t>The aggregate budgetary commitments and payments from the budget</w:t>
      </w:r>
      <w:bookmarkEnd w:id="167"/>
      <w:r>
        <w:rPr>
          <w:noProof/>
        </w:rPr>
        <w:t>;</w:t>
      </w:r>
    </w:p>
    <w:p w:rsidR="0073489B" w:rsidRDefault="00A46D11">
      <w:pPr>
        <w:spacing w:after="60"/>
        <w:ind w:left="360" w:right="141"/>
        <w:rPr>
          <w:noProof/>
        </w:rPr>
      </w:pPr>
      <w:r>
        <w:rPr>
          <w:noProof/>
        </w:rPr>
        <w:t>Aggregate budgetary commitments as at 31/12/2016                             EUR  68 799 200</w:t>
      </w:r>
    </w:p>
    <w:p w:rsidR="0073489B" w:rsidRDefault="00A46D11">
      <w:pPr>
        <w:spacing w:after="60"/>
        <w:ind w:left="360" w:right="141"/>
        <w:rPr>
          <w:noProof/>
          <w:szCs w:val="24"/>
        </w:rPr>
      </w:pPr>
      <w:r>
        <w:rPr>
          <w:noProof/>
        </w:rPr>
        <w:t>Aggregate budgetary payments as at 31/12/2016</w:t>
      </w:r>
      <w:r>
        <w:rPr>
          <w:noProof/>
          <w:sz w:val="22"/>
        </w:rPr>
        <w:t xml:space="preserve">                                       </w:t>
      </w:r>
      <w:r>
        <w:rPr>
          <w:noProof/>
        </w:rPr>
        <w:t>EUR  42 227 944</w:t>
      </w:r>
    </w:p>
    <w:p w:rsidR="0073489B" w:rsidRDefault="0073489B">
      <w:pPr>
        <w:spacing w:after="60"/>
        <w:ind w:left="360" w:right="141"/>
        <w:rPr>
          <w:noProof/>
        </w:rPr>
      </w:pPr>
    </w:p>
    <w:p w:rsidR="0073489B" w:rsidRDefault="00A46D11">
      <w:pPr>
        <w:pStyle w:val="Heading5"/>
        <w:spacing w:before="120"/>
        <w:ind w:left="284" w:firstLine="0"/>
        <w:jc w:val="both"/>
        <w:rPr>
          <w:i/>
          <w:noProof/>
        </w:rPr>
      </w:pPr>
      <w:bookmarkStart w:id="168" w:name="_Toc387228836"/>
      <w:r>
        <w:rPr>
          <w:noProof/>
        </w:rPr>
        <w:t>The performance of the financial instrument, including investments realised</w:t>
      </w:r>
      <w:bookmarkEnd w:id="168"/>
      <w:r>
        <w:rPr>
          <w:noProof/>
        </w:rPr>
        <w:t xml:space="preserve"> (as of 31/12/2016);</w:t>
      </w:r>
      <w:r>
        <w:rPr>
          <w:rStyle w:val="FootnoteReference"/>
          <w:noProof/>
        </w:rPr>
        <w:footnoteReference w:id="116"/>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20"/>
      </w:tblGrid>
      <w:tr w:rsidR="0073489B">
        <w:trPr>
          <w:trHeight w:val="3299"/>
          <w:jc w:val="center"/>
        </w:trPr>
        <w:tc>
          <w:tcPr>
            <w:tcW w:w="4421" w:type="dxa"/>
            <w:shd w:val="clear" w:color="auto" w:fill="auto"/>
            <w:vAlign w:val="center"/>
          </w:tcPr>
          <w:p w:rsidR="0073489B" w:rsidRDefault="00A46D11">
            <w:pPr>
              <w:spacing w:before="60" w:after="60"/>
              <w:ind w:left="357" w:right="142" w:hanging="357"/>
              <w:contextualSpacing/>
              <w:rPr>
                <w:noProof/>
                <w:szCs w:val="24"/>
              </w:rPr>
            </w:pPr>
            <w:r>
              <w:rPr>
                <w:noProof/>
                <w:szCs w:val="24"/>
              </w:rPr>
              <w:t>Amount of financing expected to be provided by the instru</w:t>
            </w:r>
            <w:r>
              <w:rPr>
                <w:noProof/>
                <w:szCs w:val="24"/>
              </w:rPr>
              <w:t>ment (including EU contribution committed) to eligible final recipients,</w:t>
            </w:r>
          </w:p>
          <w:p w:rsidR="0073489B" w:rsidRDefault="00A46D11">
            <w:pPr>
              <w:spacing w:before="60" w:after="60"/>
              <w:ind w:left="357" w:right="142" w:hanging="357"/>
              <w:contextualSpacing/>
              <w:rPr>
                <w:noProof/>
                <w:szCs w:val="24"/>
              </w:rPr>
            </w:pPr>
            <w:r>
              <w:rPr>
                <w:noProof/>
                <w:szCs w:val="24"/>
              </w:rPr>
              <w:t xml:space="preserve">- </w:t>
            </w:r>
            <w:r>
              <w:rPr>
                <w:i/>
                <w:noProof/>
                <w:szCs w:val="24"/>
              </w:rPr>
              <w:t>of which expected to be provided thanks to combined EaSI/EFSI resources</w:t>
            </w:r>
          </w:p>
          <w:p w:rsidR="0073489B" w:rsidRDefault="00A46D11">
            <w:pPr>
              <w:spacing w:after="60"/>
              <w:ind w:left="34" w:right="141"/>
              <w:contextualSpacing/>
              <w:rPr>
                <w:noProof/>
                <w:szCs w:val="24"/>
              </w:rPr>
            </w:pPr>
            <w:r>
              <w:rPr>
                <w:noProof/>
                <w:szCs w:val="24"/>
              </w:rPr>
              <w:t>and corresponding number of eligible final recipients;</w:t>
            </w:r>
          </w:p>
          <w:p w:rsidR="0073489B" w:rsidRDefault="0073489B">
            <w:pPr>
              <w:spacing w:before="60" w:after="60"/>
              <w:ind w:left="34" w:right="141"/>
              <w:contextualSpacing/>
              <w:rPr>
                <w:noProof/>
                <w:szCs w:val="24"/>
              </w:rPr>
            </w:pPr>
          </w:p>
          <w:p w:rsidR="0073489B" w:rsidRDefault="00A46D11">
            <w:pPr>
              <w:spacing w:before="60" w:after="60"/>
              <w:ind w:left="34" w:right="141"/>
              <w:contextualSpacing/>
              <w:rPr>
                <w:i/>
                <w:noProof/>
                <w:szCs w:val="24"/>
              </w:rPr>
            </w:pPr>
            <w:r>
              <w:rPr>
                <w:i/>
                <w:noProof/>
                <w:szCs w:val="24"/>
              </w:rPr>
              <w:t>-  of which for Microfinance</w:t>
            </w:r>
            <w:r>
              <w:rPr>
                <w:i/>
                <w:noProof/>
                <w:szCs w:val="24"/>
              </w:rPr>
              <w:tab/>
            </w:r>
          </w:p>
          <w:p w:rsidR="0073489B" w:rsidRDefault="0073489B">
            <w:pPr>
              <w:spacing w:before="60" w:after="60"/>
              <w:ind w:left="34" w:right="142"/>
              <w:contextualSpacing/>
              <w:rPr>
                <w:i/>
                <w:noProof/>
                <w:szCs w:val="24"/>
              </w:rPr>
            </w:pPr>
          </w:p>
          <w:p w:rsidR="0073489B" w:rsidRDefault="00A46D11">
            <w:pPr>
              <w:spacing w:before="60" w:after="60"/>
              <w:ind w:left="34" w:right="142"/>
              <w:contextualSpacing/>
              <w:rPr>
                <w:i/>
                <w:noProof/>
                <w:szCs w:val="24"/>
                <w:highlight w:val="green"/>
              </w:rPr>
            </w:pPr>
            <w:r>
              <w:rPr>
                <w:i/>
                <w:noProof/>
                <w:szCs w:val="24"/>
              </w:rPr>
              <w:t>-  of which for Social</w:t>
            </w:r>
            <w:r>
              <w:rPr>
                <w:i/>
                <w:noProof/>
                <w:szCs w:val="24"/>
              </w:rPr>
              <w:t xml:space="preserve"> entrepreneurship</w:t>
            </w:r>
          </w:p>
        </w:tc>
        <w:tc>
          <w:tcPr>
            <w:tcW w:w="4420" w:type="dxa"/>
            <w:shd w:val="clear" w:color="auto" w:fill="auto"/>
            <w:vAlign w:val="center"/>
          </w:tcPr>
          <w:p w:rsidR="0073489B" w:rsidRDefault="0073489B">
            <w:pPr>
              <w:spacing w:before="60"/>
              <w:ind w:right="141"/>
              <w:contextualSpacing/>
              <w:jc w:val="center"/>
              <w:rPr>
                <w:noProof/>
                <w:szCs w:val="24"/>
              </w:rPr>
            </w:pPr>
          </w:p>
          <w:p w:rsidR="0073489B" w:rsidRDefault="00A46D11">
            <w:pPr>
              <w:spacing w:before="60"/>
              <w:ind w:right="141"/>
              <w:contextualSpacing/>
              <w:jc w:val="center"/>
              <w:rPr>
                <w:noProof/>
                <w:szCs w:val="24"/>
                <w:lang w:val="fr-FR"/>
              </w:rPr>
            </w:pPr>
            <w:r>
              <w:rPr>
                <w:noProof/>
                <w:szCs w:val="24"/>
                <w:lang w:val="fr-FR"/>
              </w:rPr>
              <w:t>EUR 753,58 million</w:t>
            </w:r>
          </w:p>
          <w:p w:rsidR="0073489B" w:rsidRDefault="0073489B">
            <w:pPr>
              <w:ind w:left="34" w:right="141"/>
              <w:contextualSpacing/>
              <w:jc w:val="center"/>
              <w:rPr>
                <w:noProof/>
                <w:szCs w:val="24"/>
                <w:lang w:val="fr-FR"/>
              </w:rPr>
            </w:pPr>
          </w:p>
          <w:p w:rsidR="0073489B" w:rsidRDefault="0073489B">
            <w:pPr>
              <w:spacing w:before="60" w:after="60"/>
              <w:ind w:left="34" w:right="141"/>
              <w:contextualSpacing/>
              <w:jc w:val="center"/>
              <w:rPr>
                <w:noProof/>
                <w:szCs w:val="24"/>
                <w:lang w:val="fr-FR"/>
              </w:rPr>
            </w:pPr>
          </w:p>
          <w:p w:rsidR="0073489B" w:rsidRDefault="0073489B">
            <w:pPr>
              <w:spacing w:before="60" w:after="60"/>
              <w:ind w:left="34" w:right="141"/>
              <w:contextualSpacing/>
              <w:jc w:val="center"/>
              <w:rPr>
                <w:noProof/>
                <w:szCs w:val="24"/>
                <w:lang w:val="fr-FR"/>
              </w:rPr>
            </w:pPr>
          </w:p>
          <w:p w:rsidR="0073489B" w:rsidRDefault="00A46D11">
            <w:pPr>
              <w:spacing w:before="60" w:after="60"/>
              <w:ind w:left="34" w:right="141"/>
              <w:contextualSpacing/>
              <w:jc w:val="center"/>
              <w:rPr>
                <w:i/>
                <w:noProof/>
                <w:szCs w:val="24"/>
                <w:lang w:val="fr-FR"/>
              </w:rPr>
            </w:pPr>
            <w:r>
              <w:rPr>
                <w:i/>
                <w:noProof/>
                <w:szCs w:val="24"/>
                <w:lang w:val="fr-FR"/>
              </w:rPr>
              <w:t>EUR 19,08 million</w:t>
            </w:r>
          </w:p>
          <w:p w:rsidR="0073489B" w:rsidRDefault="0073489B">
            <w:pPr>
              <w:spacing w:before="60" w:after="60"/>
              <w:ind w:left="34" w:right="141"/>
              <w:contextualSpacing/>
              <w:jc w:val="center"/>
              <w:rPr>
                <w:noProof/>
                <w:szCs w:val="24"/>
                <w:lang w:val="fr-FR"/>
              </w:rPr>
            </w:pPr>
          </w:p>
          <w:p w:rsidR="0073489B" w:rsidRDefault="00A46D11">
            <w:pPr>
              <w:ind w:left="34" w:right="141"/>
              <w:contextualSpacing/>
              <w:jc w:val="center"/>
              <w:rPr>
                <w:noProof/>
                <w:szCs w:val="24"/>
                <w:lang w:val="fr-FR"/>
              </w:rPr>
            </w:pPr>
            <w:r>
              <w:rPr>
                <w:noProof/>
                <w:szCs w:val="24"/>
                <w:lang w:val="fr-FR"/>
              </w:rPr>
              <w:t>55 815 eligible FRs</w:t>
            </w:r>
          </w:p>
          <w:p w:rsidR="0073489B" w:rsidRDefault="0073489B">
            <w:pPr>
              <w:spacing w:before="60" w:after="60"/>
              <w:ind w:left="34" w:right="141"/>
              <w:contextualSpacing/>
              <w:jc w:val="center"/>
              <w:rPr>
                <w:noProof/>
                <w:szCs w:val="24"/>
                <w:lang w:val="fr-FR"/>
              </w:rPr>
            </w:pPr>
          </w:p>
          <w:p w:rsidR="0073489B" w:rsidRDefault="00A46D11">
            <w:pPr>
              <w:spacing w:after="60"/>
              <w:ind w:left="34" w:right="141"/>
              <w:contextualSpacing/>
              <w:jc w:val="center"/>
              <w:rPr>
                <w:i/>
                <w:noProof/>
                <w:szCs w:val="24"/>
                <w:lang w:val="fr-FR"/>
              </w:rPr>
            </w:pPr>
            <w:r>
              <w:rPr>
                <w:i/>
                <w:noProof/>
                <w:szCs w:val="24"/>
                <w:lang w:val="fr-FR"/>
              </w:rPr>
              <w:t>EUR 637,49</w:t>
            </w:r>
            <w:r>
              <w:rPr>
                <w:i/>
                <w:noProof/>
                <w:lang w:val="fr-FR"/>
              </w:rPr>
              <w:t xml:space="preserve"> </w:t>
            </w:r>
            <w:r>
              <w:rPr>
                <w:i/>
                <w:noProof/>
                <w:szCs w:val="24"/>
                <w:lang w:val="fr-FR"/>
              </w:rPr>
              <w:t>million</w:t>
            </w:r>
          </w:p>
          <w:p w:rsidR="0073489B" w:rsidRDefault="00A46D11">
            <w:pPr>
              <w:spacing w:before="60" w:after="60"/>
              <w:ind w:left="34" w:right="141"/>
              <w:contextualSpacing/>
              <w:jc w:val="center"/>
              <w:rPr>
                <w:i/>
                <w:noProof/>
                <w:szCs w:val="24"/>
                <w:lang w:val="fr-FR"/>
              </w:rPr>
            </w:pPr>
            <w:r>
              <w:rPr>
                <w:i/>
                <w:noProof/>
                <w:szCs w:val="24"/>
                <w:lang w:val="fr-FR"/>
              </w:rPr>
              <w:t>54 507 eligible FRs</w:t>
            </w:r>
          </w:p>
          <w:p w:rsidR="0073489B" w:rsidRDefault="00A46D11">
            <w:pPr>
              <w:spacing w:before="60" w:after="60"/>
              <w:ind w:left="34" w:right="141"/>
              <w:contextualSpacing/>
              <w:jc w:val="center"/>
              <w:rPr>
                <w:i/>
                <w:noProof/>
                <w:szCs w:val="24"/>
                <w:lang w:val="fr-FR"/>
              </w:rPr>
            </w:pPr>
            <w:r>
              <w:rPr>
                <w:i/>
                <w:noProof/>
                <w:szCs w:val="24"/>
                <w:lang w:val="fr-FR"/>
              </w:rPr>
              <w:t>EUR 116,08 million</w:t>
            </w:r>
          </w:p>
          <w:p w:rsidR="0073489B" w:rsidRDefault="00A46D11">
            <w:pPr>
              <w:spacing w:before="60" w:after="60"/>
              <w:ind w:left="34" w:right="141"/>
              <w:contextualSpacing/>
              <w:jc w:val="center"/>
              <w:rPr>
                <w:noProof/>
                <w:szCs w:val="24"/>
                <w:highlight w:val="green"/>
                <w:lang w:val="fr-FR"/>
              </w:rPr>
            </w:pPr>
            <w:r>
              <w:rPr>
                <w:i/>
                <w:noProof/>
                <w:szCs w:val="24"/>
                <w:lang w:val="fr-FR"/>
              </w:rPr>
              <w:t>1 308 eligible FRs</w:t>
            </w:r>
          </w:p>
        </w:tc>
      </w:tr>
      <w:tr w:rsidR="0073489B">
        <w:trPr>
          <w:trHeight w:val="627"/>
          <w:jc w:val="center"/>
        </w:trPr>
        <w:tc>
          <w:tcPr>
            <w:tcW w:w="4421" w:type="dxa"/>
            <w:shd w:val="clear" w:color="auto" w:fill="auto"/>
            <w:vAlign w:val="center"/>
          </w:tcPr>
          <w:p w:rsidR="0073489B" w:rsidRDefault="00A46D11">
            <w:pPr>
              <w:keepNext/>
              <w:spacing w:before="60" w:after="60"/>
              <w:ind w:right="142"/>
              <w:contextualSpacing/>
              <w:rPr>
                <w:noProof/>
              </w:rPr>
            </w:pPr>
            <w:r>
              <w:rPr>
                <w:noProof/>
              </w:rPr>
              <w:lastRenderedPageBreak/>
              <w:t>Amount committed to financial intermediaries</w:t>
            </w:r>
          </w:p>
          <w:p w:rsidR="0073489B" w:rsidRDefault="00A46D11">
            <w:pPr>
              <w:spacing w:before="60" w:after="60"/>
              <w:ind w:left="34" w:right="141"/>
              <w:contextualSpacing/>
              <w:rPr>
                <w:i/>
                <w:noProof/>
                <w:szCs w:val="24"/>
              </w:rPr>
            </w:pPr>
            <w:r>
              <w:rPr>
                <w:i/>
                <w:noProof/>
                <w:szCs w:val="24"/>
              </w:rPr>
              <w:t>-  of which for Microfinance</w:t>
            </w:r>
            <w:r>
              <w:rPr>
                <w:i/>
                <w:noProof/>
                <w:szCs w:val="24"/>
              </w:rPr>
              <w:tab/>
            </w:r>
          </w:p>
          <w:p w:rsidR="0073489B" w:rsidRDefault="00A46D11">
            <w:pPr>
              <w:spacing w:before="60" w:after="60"/>
              <w:ind w:left="34" w:right="141"/>
              <w:contextualSpacing/>
              <w:rPr>
                <w:i/>
                <w:noProof/>
                <w:szCs w:val="24"/>
              </w:rPr>
            </w:pPr>
            <w:r>
              <w:rPr>
                <w:i/>
                <w:noProof/>
                <w:szCs w:val="24"/>
              </w:rPr>
              <w:t>-  of which for Social</w:t>
            </w:r>
            <w:r>
              <w:rPr>
                <w:i/>
                <w:noProof/>
                <w:szCs w:val="24"/>
              </w:rPr>
              <w:t xml:space="preserve"> Entrepreneurship</w:t>
            </w:r>
          </w:p>
          <w:p w:rsidR="0073489B" w:rsidRDefault="00A46D11">
            <w:pPr>
              <w:spacing w:before="60" w:after="60"/>
              <w:ind w:left="34" w:right="141"/>
              <w:contextualSpacing/>
              <w:rPr>
                <w:i/>
                <w:noProof/>
                <w:szCs w:val="24"/>
              </w:rPr>
            </w:pPr>
            <w:r>
              <w:rPr>
                <w:i/>
                <w:noProof/>
                <w:szCs w:val="24"/>
              </w:rPr>
              <w:t>- of which Operations made possible thanks to combined EaSI/EFSI resources</w:t>
            </w:r>
          </w:p>
          <w:p w:rsidR="0073489B" w:rsidRDefault="00A46D11">
            <w:pPr>
              <w:spacing w:before="60" w:after="60"/>
              <w:ind w:left="34" w:right="141"/>
              <w:contextualSpacing/>
              <w:rPr>
                <w:noProof/>
                <w:szCs w:val="24"/>
              </w:rPr>
            </w:pPr>
            <w:r>
              <w:rPr>
                <w:noProof/>
                <w:szCs w:val="24"/>
              </w:rPr>
              <w:t>And the corresponding number of financial intermediaries:</w:t>
            </w:r>
          </w:p>
          <w:p w:rsidR="0073489B" w:rsidRDefault="00A46D11">
            <w:pPr>
              <w:spacing w:before="60" w:after="60"/>
              <w:ind w:left="34" w:right="141"/>
              <w:contextualSpacing/>
              <w:rPr>
                <w:noProof/>
                <w:szCs w:val="24"/>
              </w:rPr>
            </w:pPr>
            <w:r>
              <w:rPr>
                <w:noProof/>
                <w:szCs w:val="24"/>
              </w:rPr>
              <w:t xml:space="preserve">- </w:t>
            </w:r>
            <w:r>
              <w:rPr>
                <w:i/>
                <w:noProof/>
                <w:szCs w:val="24"/>
              </w:rPr>
              <w:t>of which support thanks to combined EaSI/EFSI resources</w:t>
            </w:r>
            <w:r>
              <w:rPr>
                <w:noProof/>
                <w:szCs w:val="24"/>
              </w:rPr>
              <w:t xml:space="preserve"> </w:t>
            </w:r>
          </w:p>
        </w:tc>
        <w:tc>
          <w:tcPr>
            <w:tcW w:w="4420" w:type="dxa"/>
            <w:shd w:val="clear" w:color="auto" w:fill="auto"/>
          </w:tcPr>
          <w:p w:rsidR="0073489B" w:rsidRDefault="00A46D11">
            <w:pPr>
              <w:keepNext/>
              <w:spacing w:before="60" w:after="60"/>
              <w:ind w:right="142"/>
              <w:contextualSpacing/>
              <w:jc w:val="center"/>
              <w:rPr>
                <w:i/>
                <w:noProof/>
                <w:szCs w:val="24"/>
              </w:rPr>
            </w:pPr>
            <w:r>
              <w:rPr>
                <w:noProof/>
                <w:szCs w:val="24"/>
              </w:rPr>
              <w:t xml:space="preserve">EUR 59,41 million </w:t>
            </w:r>
            <w:r>
              <w:rPr>
                <w:i/>
                <w:noProof/>
                <w:szCs w:val="24"/>
              </w:rPr>
              <w:t>(total guarantee cap amount)</w:t>
            </w:r>
          </w:p>
          <w:p w:rsidR="0073489B" w:rsidRDefault="00A46D11">
            <w:pPr>
              <w:keepNext/>
              <w:spacing w:before="60" w:after="60"/>
              <w:ind w:left="34" w:right="142"/>
              <w:contextualSpacing/>
              <w:jc w:val="center"/>
              <w:rPr>
                <w:i/>
                <w:noProof/>
                <w:szCs w:val="24"/>
                <w:lang w:val="fr-BE"/>
              </w:rPr>
            </w:pPr>
            <w:r>
              <w:rPr>
                <w:i/>
                <w:noProof/>
                <w:szCs w:val="24"/>
                <w:lang w:val="fr-BE"/>
              </w:rPr>
              <w:t>EUR 50,35 million</w:t>
            </w:r>
          </w:p>
          <w:p w:rsidR="0073489B" w:rsidRDefault="00A46D11">
            <w:pPr>
              <w:keepNext/>
              <w:spacing w:before="60" w:after="60"/>
              <w:ind w:left="34" w:right="142"/>
              <w:contextualSpacing/>
              <w:jc w:val="center"/>
              <w:rPr>
                <w:i/>
                <w:noProof/>
                <w:szCs w:val="24"/>
                <w:lang w:val="fr-BE"/>
              </w:rPr>
            </w:pPr>
            <w:r>
              <w:rPr>
                <w:i/>
                <w:noProof/>
                <w:szCs w:val="24"/>
                <w:lang w:val="fr-BE"/>
              </w:rPr>
              <w:t>EUR   9,06 million</w:t>
            </w:r>
          </w:p>
          <w:p w:rsidR="0073489B" w:rsidRDefault="0073489B">
            <w:pPr>
              <w:keepNext/>
              <w:spacing w:before="60" w:after="60"/>
              <w:ind w:left="34" w:right="142"/>
              <w:contextualSpacing/>
              <w:jc w:val="center"/>
              <w:rPr>
                <w:noProof/>
                <w:szCs w:val="24"/>
                <w:lang w:val="fr-BE"/>
              </w:rPr>
            </w:pPr>
          </w:p>
          <w:p w:rsidR="0073489B" w:rsidRDefault="00A46D11">
            <w:pPr>
              <w:keepNext/>
              <w:spacing w:before="60" w:after="60"/>
              <w:ind w:left="34" w:right="142"/>
              <w:contextualSpacing/>
              <w:jc w:val="center"/>
              <w:rPr>
                <w:i/>
                <w:noProof/>
                <w:szCs w:val="24"/>
                <w:lang w:val="fr-BE"/>
              </w:rPr>
            </w:pPr>
            <w:r>
              <w:rPr>
                <w:i/>
                <w:noProof/>
                <w:szCs w:val="24"/>
                <w:lang w:val="fr-BE"/>
              </w:rPr>
              <w:t>EUR 1,68 million</w:t>
            </w:r>
          </w:p>
          <w:p w:rsidR="0073489B" w:rsidRDefault="0073489B">
            <w:pPr>
              <w:keepNext/>
              <w:spacing w:before="60" w:after="60"/>
              <w:ind w:left="34" w:right="142"/>
              <w:contextualSpacing/>
              <w:jc w:val="center"/>
              <w:rPr>
                <w:noProof/>
                <w:szCs w:val="24"/>
                <w:lang w:val="fr-BE"/>
              </w:rPr>
            </w:pPr>
          </w:p>
          <w:p w:rsidR="0073489B" w:rsidRDefault="00A46D11">
            <w:pPr>
              <w:keepNext/>
              <w:spacing w:before="60" w:after="60"/>
              <w:ind w:left="34" w:right="142"/>
              <w:contextualSpacing/>
              <w:jc w:val="center"/>
              <w:rPr>
                <w:noProof/>
                <w:szCs w:val="24"/>
              </w:rPr>
            </w:pPr>
            <w:r>
              <w:rPr>
                <w:noProof/>
                <w:szCs w:val="24"/>
              </w:rPr>
              <w:t>36</w:t>
            </w:r>
          </w:p>
          <w:p w:rsidR="0073489B" w:rsidRDefault="00A46D11">
            <w:pPr>
              <w:keepNext/>
              <w:spacing w:before="60" w:after="60"/>
              <w:ind w:left="34" w:right="142"/>
              <w:contextualSpacing/>
              <w:jc w:val="center"/>
              <w:rPr>
                <w:i/>
                <w:noProof/>
                <w:szCs w:val="24"/>
              </w:rPr>
            </w:pPr>
            <w:r>
              <w:rPr>
                <w:i/>
                <w:noProof/>
                <w:szCs w:val="24"/>
              </w:rPr>
              <w:t>2</w:t>
            </w:r>
          </w:p>
        </w:tc>
      </w:tr>
      <w:tr w:rsidR="0073489B">
        <w:trPr>
          <w:trHeight w:val="1926"/>
          <w:jc w:val="center"/>
        </w:trPr>
        <w:tc>
          <w:tcPr>
            <w:tcW w:w="4421" w:type="dxa"/>
            <w:shd w:val="clear" w:color="auto" w:fill="auto"/>
            <w:vAlign w:val="center"/>
          </w:tcPr>
          <w:p w:rsidR="0073489B" w:rsidRDefault="00A46D11">
            <w:pPr>
              <w:spacing w:before="60" w:after="60"/>
              <w:ind w:left="34" w:right="142"/>
              <w:contextualSpacing/>
              <w:rPr>
                <w:noProof/>
                <w:szCs w:val="24"/>
              </w:rPr>
            </w:pPr>
            <w:r>
              <w:rPr>
                <w:noProof/>
                <w:szCs w:val="24"/>
              </w:rPr>
              <w:t>Amount of investments expected to be made by eligible final recipients due to the financing, if applicable</w:t>
            </w:r>
          </w:p>
          <w:p w:rsidR="0073489B" w:rsidRDefault="0073489B">
            <w:pPr>
              <w:spacing w:before="60" w:after="60"/>
              <w:ind w:left="34" w:right="141"/>
              <w:contextualSpacing/>
              <w:rPr>
                <w:noProof/>
                <w:szCs w:val="24"/>
              </w:rPr>
            </w:pPr>
          </w:p>
          <w:p w:rsidR="0073489B" w:rsidRDefault="00A46D11">
            <w:pPr>
              <w:spacing w:before="60" w:after="60"/>
              <w:ind w:left="34" w:right="141"/>
              <w:contextualSpacing/>
              <w:rPr>
                <w:i/>
                <w:noProof/>
                <w:szCs w:val="24"/>
              </w:rPr>
            </w:pPr>
            <w:r>
              <w:rPr>
                <w:i/>
                <w:noProof/>
                <w:szCs w:val="24"/>
              </w:rPr>
              <w:t>-  of which for Microfinance</w:t>
            </w:r>
            <w:r>
              <w:rPr>
                <w:i/>
                <w:noProof/>
                <w:szCs w:val="24"/>
              </w:rPr>
              <w:tab/>
            </w:r>
          </w:p>
          <w:p w:rsidR="0073489B" w:rsidRDefault="00A46D11">
            <w:pPr>
              <w:spacing w:before="60" w:after="60"/>
              <w:ind w:left="34" w:right="141"/>
              <w:contextualSpacing/>
              <w:rPr>
                <w:noProof/>
                <w:szCs w:val="24"/>
              </w:rPr>
            </w:pPr>
            <w:r>
              <w:rPr>
                <w:i/>
                <w:noProof/>
                <w:szCs w:val="24"/>
              </w:rPr>
              <w:t>-  of which for Social entrepreneurship</w:t>
            </w:r>
          </w:p>
        </w:tc>
        <w:tc>
          <w:tcPr>
            <w:tcW w:w="4420" w:type="dxa"/>
            <w:shd w:val="clear" w:color="auto" w:fill="auto"/>
            <w:vAlign w:val="center"/>
          </w:tcPr>
          <w:p w:rsidR="0073489B" w:rsidRDefault="00A46D11">
            <w:pPr>
              <w:spacing w:before="60" w:after="60"/>
              <w:ind w:left="34" w:right="141"/>
              <w:contextualSpacing/>
              <w:rPr>
                <w:noProof/>
                <w:szCs w:val="24"/>
              </w:rPr>
            </w:pPr>
            <w:r>
              <w:rPr>
                <w:noProof/>
                <w:szCs w:val="24"/>
              </w:rPr>
              <w:t xml:space="preserve">                 EUR 1 076,54 million</w:t>
            </w:r>
            <w:r>
              <w:rPr>
                <w:rStyle w:val="FootnoteReference"/>
                <w:noProof/>
                <w:szCs w:val="24"/>
              </w:rPr>
              <w:footnoteReference w:id="117"/>
            </w:r>
            <w:r>
              <w:rPr>
                <w:noProof/>
                <w:szCs w:val="24"/>
              </w:rPr>
              <w:t xml:space="preserve"> </w:t>
            </w:r>
          </w:p>
          <w:p w:rsidR="0073489B" w:rsidRDefault="0073489B">
            <w:pPr>
              <w:spacing w:before="60" w:after="60"/>
              <w:ind w:left="34" w:right="141"/>
              <w:contextualSpacing/>
              <w:jc w:val="center"/>
              <w:rPr>
                <w:noProof/>
                <w:szCs w:val="24"/>
              </w:rPr>
            </w:pPr>
          </w:p>
          <w:p w:rsidR="0073489B" w:rsidRDefault="0073489B">
            <w:pPr>
              <w:spacing w:before="60" w:after="60"/>
              <w:ind w:left="34" w:right="141"/>
              <w:contextualSpacing/>
              <w:jc w:val="center"/>
              <w:rPr>
                <w:noProof/>
                <w:szCs w:val="24"/>
              </w:rPr>
            </w:pPr>
          </w:p>
          <w:p w:rsidR="0073489B" w:rsidRDefault="0073489B">
            <w:pPr>
              <w:spacing w:before="60" w:after="60"/>
              <w:ind w:left="34" w:right="141"/>
              <w:contextualSpacing/>
              <w:jc w:val="center"/>
              <w:rPr>
                <w:noProof/>
                <w:szCs w:val="24"/>
              </w:rPr>
            </w:pPr>
          </w:p>
          <w:p w:rsidR="0073489B" w:rsidRDefault="00A46D11">
            <w:pPr>
              <w:spacing w:before="60" w:after="60"/>
              <w:ind w:left="34" w:right="141"/>
              <w:contextualSpacing/>
              <w:jc w:val="center"/>
              <w:rPr>
                <w:i/>
                <w:noProof/>
                <w:szCs w:val="24"/>
              </w:rPr>
            </w:pPr>
            <w:r>
              <w:rPr>
                <w:noProof/>
                <w:szCs w:val="24"/>
              </w:rPr>
              <w:t xml:space="preserve">  </w:t>
            </w:r>
            <w:r>
              <w:rPr>
                <w:i/>
                <w:noProof/>
                <w:szCs w:val="24"/>
              </w:rPr>
              <w:t>EUR 910,71</w:t>
            </w:r>
            <w:r>
              <w:rPr>
                <w:i/>
                <w:noProof/>
              </w:rPr>
              <w:t xml:space="preserve"> </w:t>
            </w:r>
            <w:r>
              <w:rPr>
                <w:i/>
                <w:noProof/>
                <w:szCs w:val="24"/>
              </w:rPr>
              <w:t>million</w:t>
            </w:r>
          </w:p>
          <w:p w:rsidR="0073489B" w:rsidRDefault="00A46D11">
            <w:pPr>
              <w:spacing w:before="60" w:after="60"/>
              <w:ind w:left="34" w:right="141"/>
              <w:contextualSpacing/>
              <w:jc w:val="center"/>
              <w:rPr>
                <w:noProof/>
                <w:szCs w:val="24"/>
              </w:rPr>
            </w:pPr>
            <w:r>
              <w:rPr>
                <w:i/>
                <w:noProof/>
                <w:szCs w:val="24"/>
              </w:rPr>
              <w:t xml:space="preserve">  EUR 165,83</w:t>
            </w:r>
            <w:r>
              <w:rPr>
                <w:i/>
                <w:noProof/>
              </w:rPr>
              <w:t xml:space="preserve"> </w:t>
            </w:r>
            <w:r>
              <w:rPr>
                <w:i/>
                <w:noProof/>
                <w:szCs w:val="24"/>
              </w:rPr>
              <w:t>million</w:t>
            </w:r>
          </w:p>
        </w:tc>
      </w:tr>
      <w:tr w:rsidR="0073489B">
        <w:trPr>
          <w:trHeight w:val="708"/>
          <w:jc w:val="center"/>
        </w:trPr>
        <w:tc>
          <w:tcPr>
            <w:tcW w:w="4421" w:type="dxa"/>
            <w:shd w:val="clear" w:color="auto" w:fill="auto"/>
            <w:vAlign w:val="center"/>
          </w:tcPr>
          <w:p w:rsidR="0073489B" w:rsidRDefault="00A46D11">
            <w:pPr>
              <w:spacing w:before="60" w:after="60"/>
              <w:ind w:left="34" w:right="142"/>
              <w:contextualSpacing/>
              <w:rPr>
                <w:noProof/>
                <w:szCs w:val="24"/>
              </w:rPr>
            </w:pPr>
            <w:r>
              <w:rPr>
                <w:noProof/>
                <w:szCs w:val="24"/>
              </w:rPr>
              <w:t>Amount of financing already provided by the instrument to eligible final recipients,</w:t>
            </w:r>
          </w:p>
          <w:p w:rsidR="0073489B" w:rsidRDefault="00A46D11">
            <w:pPr>
              <w:spacing w:before="60" w:after="60"/>
              <w:ind w:left="34" w:right="142"/>
              <w:contextualSpacing/>
              <w:rPr>
                <w:i/>
                <w:noProof/>
                <w:szCs w:val="24"/>
              </w:rPr>
            </w:pPr>
            <w:r>
              <w:rPr>
                <w:noProof/>
                <w:szCs w:val="24"/>
              </w:rPr>
              <w:t xml:space="preserve">- </w:t>
            </w:r>
            <w:r>
              <w:rPr>
                <w:i/>
                <w:noProof/>
                <w:szCs w:val="24"/>
              </w:rPr>
              <w:t>of which for Microfinance</w:t>
            </w:r>
          </w:p>
          <w:p w:rsidR="0073489B" w:rsidRDefault="00A46D11">
            <w:pPr>
              <w:spacing w:before="60" w:after="60"/>
              <w:ind w:left="34" w:right="142"/>
              <w:contextualSpacing/>
              <w:rPr>
                <w:i/>
                <w:noProof/>
                <w:szCs w:val="24"/>
              </w:rPr>
            </w:pPr>
            <w:r>
              <w:rPr>
                <w:noProof/>
                <w:szCs w:val="24"/>
              </w:rPr>
              <w:t xml:space="preserve">- </w:t>
            </w:r>
            <w:r>
              <w:rPr>
                <w:i/>
                <w:noProof/>
                <w:szCs w:val="24"/>
              </w:rPr>
              <w:t>of which for Social Entrepreneurship</w:t>
            </w:r>
          </w:p>
          <w:p w:rsidR="0073489B" w:rsidRDefault="00A46D11">
            <w:pPr>
              <w:spacing w:before="60" w:after="60"/>
              <w:ind w:left="34" w:right="142"/>
              <w:contextualSpacing/>
              <w:rPr>
                <w:i/>
                <w:noProof/>
                <w:szCs w:val="24"/>
              </w:rPr>
            </w:pPr>
            <w:r>
              <w:rPr>
                <w:noProof/>
                <w:szCs w:val="24"/>
              </w:rPr>
              <w:t xml:space="preserve">- of wich provided thanks </w:t>
            </w:r>
            <w:r>
              <w:rPr>
                <w:i/>
                <w:noProof/>
                <w:szCs w:val="24"/>
              </w:rPr>
              <w:t>to combined EaSI/EFSI resources</w:t>
            </w:r>
          </w:p>
          <w:p w:rsidR="0073489B" w:rsidRDefault="00A46D11">
            <w:pPr>
              <w:spacing w:before="240" w:after="240"/>
              <w:ind w:left="34" w:right="141"/>
              <w:contextualSpacing/>
              <w:rPr>
                <w:noProof/>
                <w:szCs w:val="24"/>
              </w:rPr>
            </w:pPr>
            <w:r>
              <w:rPr>
                <w:noProof/>
                <w:szCs w:val="24"/>
              </w:rPr>
              <w:t xml:space="preserve">and the corresponding number of recipients; </w:t>
            </w:r>
          </w:p>
          <w:p w:rsidR="0073489B" w:rsidRDefault="00A46D11">
            <w:pPr>
              <w:spacing w:before="60" w:after="60"/>
              <w:ind w:left="34" w:right="141"/>
              <w:contextualSpacing/>
              <w:rPr>
                <w:i/>
                <w:noProof/>
                <w:szCs w:val="24"/>
              </w:rPr>
            </w:pPr>
            <w:r>
              <w:rPr>
                <w:i/>
                <w:noProof/>
                <w:szCs w:val="24"/>
              </w:rPr>
              <w:t>-  of which for Microfinance</w:t>
            </w:r>
            <w:r>
              <w:rPr>
                <w:i/>
                <w:noProof/>
                <w:szCs w:val="24"/>
              </w:rPr>
              <w:tab/>
            </w:r>
          </w:p>
          <w:p w:rsidR="0073489B" w:rsidRDefault="00A46D11">
            <w:pPr>
              <w:spacing w:before="60" w:after="60"/>
              <w:ind w:left="34" w:right="141"/>
              <w:contextualSpacing/>
              <w:rPr>
                <w:i/>
                <w:noProof/>
                <w:szCs w:val="24"/>
              </w:rPr>
            </w:pPr>
            <w:r>
              <w:rPr>
                <w:i/>
                <w:noProof/>
                <w:szCs w:val="24"/>
              </w:rPr>
              <w:t>-  of which for Social Entrepreneurship</w:t>
            </w:r>
          </w:p>
          <w:p w:rsidR="0073489B" w:rsidRDefault="00A46D11">
            <w:pPr>
              <w:spacing w:before="60" w:after="60"/>
              <w:ind w:left="34" w:right="141"/>
              <w:contextualSpacing/>
              <w:rPr>
                <w:noProof/>
                <w:szCs w:val="24"/>
              </w:rPr>
            </w:pPr>
            <w:r>
              <w:rPr>
                <w:i/>
                <w:noProof/>
                <w:szCs w:val="24"/>
              </w:rPr>
              <w:t>- of which supported thanks to combined EaSI/EFSI resources</w:t>
            </w:r>
          </w:p>
        </w:tc>
        <w:tc>
          <w:tcPr>
            <w:tcW w:w="4420" w:type="dxa"/>
            <w:shd w:val="clear" w:color="auto" w:fill="auto"/>
            <w:vAlign w:val="center"/>
          </w:tcPr>
          <w:p w:rsidR="0073489B" w:rsidRDefault="0073489B">
            <w:pPr>
              <w:ind w:left="34" w:right="141"/>
              <w:contextualSpacing/>
              <w:jc w:val="center"/>
              <w:rPr>
                <w:noProof/>
                <w:szCs w:val="24"/>
              </w:rPr>
            </w:pPr>
          </w:p>
          <w:p w:rsidR="0073489B" w:rsidRDefault="00A46D11">
            <w:pPr>
              <w:ind w:left="34" w:right="141"/>
              <w:contextualSpacing/>
              <w:jc w:val="center"/>
              <w:rPr>
                <w:noProof/>
                <w:szCs w:val="24"/>
                <w:lang w:val="fr-FR"/>
              </w:rPr>
            </w:pPr>
            <w:r>
              <w:rPr>
                <w:noProof/>
                <w:szCs w:val="24"/>
                <w:lang w:val="fr-FR"/>
              </w:rPr>
              <w:t xml:space="preserve">EUR 157,96 million </w:t>
            </w:r>
          </w:p>
          <w:p w:rsidR="0073489B" w:rsidRDefault="0073489B">
            <w:pPr>
              <w:ind w:left="34" w:right="141"/>
              <w:contextualSpacing/>
              <w:jc w:val="center"/>
              <w:rPr>
                <w:noProof/>
                <w:szCs w:val="24"/>
                <w:lang w:val="fr-FR"/>
              </w:rPr>
            </w:pPr>
          </w:p>
          <w:p w:rsidR="0073489B" w:rsidRDefault="00A46D11">
            <w:pPr>
              <w:ind w:left="34" w:right="141"/>
              <w:contextualSpacing/>
              <w:jc w:val="center"/>
              <w:rPr>
                <w:i/>
                <w:noProof/>
                <w:szCs w:val="24"/>
                <w:lang w:val="fr-FR"/>
              </w:rPr>
            </w:pPr>
            <w:r>
              <w:rPr>
                <w:i/>
                <w:noProof/>
                <w:szCs w:val="24"/>
                <w:lang w:val="fr-FR"/>
              </w:rPr>
              <w:t>EUR 152,29 million</w:t>
            </w:r>
          </w:p>
          <w:p w:rsidR="0073489B" w:rsidRDefault="00A46D11">
            <w:pPr>
              <w:ind w:left="34" w:right="141"/>
              <w:contextualSpacing/>
              <w:jc w:val="center"/>
              <w:rPr>
                <w:i/>
                <w:noProof/>
                <w:szCs w:val="24"/>
                <w:lang w:val="fr-FR"/>
              </w:rPr>
            </w:pPr>
            <w:r>
              <w:rPr>
                <w:i/>
                <w:noProof/>
                <w:szCs w:val="24"/>
                <w:lang w:val="fr-FR"/>
              </w:rPr>
              <w:t>EUR 5,67 million</w:t>
            </w:r>
          </w:p>
          <w:p w:rsidR="0073489B" w:rsidRDefault="00A46D11">
            <w:pPr>
              <w:ind w:left="34" w:right="141"/>
              <w:contextualSpacing/>
              <w:jc w:val="center"/>
              <w:rPr>
                <w:i/>
                <w:noProof/>
                <w:szCs w:val="24"/>
                <w:lang w:val="fr-FR"/>
              </w:rPr>
            </w:pPr>
            <w:r>
              <w:rPr>
                <w:i/>
                <w:noProof/>
                <w:szCs w:val="24"/>
                <w:lang w:val="fr-FR"/>
              </w:rPr>
              <w:t>EUR 0 million</w:t>
            </w:r>
          </w:p>
          <w:p w:rsidR="0073489B" w:rsidRDefault="0073489B">
            <w:pPr>
              <w:ind w:right="141"/>
              <w:contextualSpacing/>
              <w:rPr>
                <w:noProof/>
                <w:szCs w:val="24"/>
                <w:lang w:val="fr-FR"/>
              </w:rPr>
            </w:pPr>
          </w:p>
          <w:p w:rsidR="0073489B" w:rsidRDefault="0073489B">
            <w:pPr>
              <w:ind w:right="141"/>
              <w:contextualSpacing/>
              <w:jc w:val="center"/>
              <w:rPr>
                <w:noProof/>
                <w:szCs w:val="24"/>
                <w:lang w:val="fr-FR"/>
              </w:rPr>
            </w:pPr>
          </w:p>
          <w:p w:rsidR="0073489B" w:rsidRDefault="00A46D11">
            <w:pPr>
              <w:ind w:right="141"/>
              <w:contextualSpacing/>
              <w:jc w:val="center"/>
              <w:rPr>
                <w:noProof/>
                <w:szCs w:val="24"/>
                <w:lang w:val="fr-FR"/>
              </w:rPr>
            </w:pPr>
            <w:r>
              <w:rPr>
                <w:noProof/>
                <w:szCs w:val="24"/>
                <w:lang w:val="fr-FR"/>
              </w:rPr>
              <w:t>12 804 eligible FRs</w:t>
            </w:r>
          </w:p>
          <w:p w:rsidR="0073489B" w:rsidRDefault="0073489B">
            <w:pPr>
              <w:ind w:right="141"/>
              <w:contextualSpacing/>
              <w:jc w:val="center"/>
              <w:rPr>
                <w:noProof/>
                <w:szCs w:val="24"/>
                <w:lang w:val="fr-FR"/>
              </w:rPr>
            </w:pPr>
          </w:p>
          <w:p w:rsidR="0073489B" w:rsidRDefault="0073489B">
            <w:pPr>
              <w:ind w:right="141"/>
              <w:contextualSpacing/>
              <w:jc w:val="center"/>
              <w:rPr>
                <w:noProof/>
                <w:szCs w:val="24"/>
                <w:lang w:val="fr-FR"/>
              </w:rPr>
            </w:pPr>
          </w:p>
          <w:p w:rsidR="0073489B" w:rsidRDefault="00A46D11">
            <w:pPr>
              <w:ind w:right="141"/>
              <w:contextualSpacing/>
              <w:jc w:val="center"/>
              <w:rPr>
                <w:i/>
                <w:noProof/>
                <w:szCs w:val="24"/>
                <w:lang w:val="fr-FR"/>
              </w:rPr>
            </w:pPr>
            <w:r>
              <w:rPr>
                <w:i/>
                <w:noProof/>
                <w:szCs w:val="24"/>
                <w:lang w:val="fr-FR"/>
              </w:rPr>
              <w:t>12 741 eligible FRs</w:t>
            </w:r>
          </w:p>
          <w:p w:rsidR="0073489B" w:rsidRDefault="00A46D11">
            <w:pPr>
              <w:ind w:right="141"/>
              <w:contextualSpacing/>
              <w:jc w:val="center"/>
              <w:rPr>
                <w:i/>
                <w:noProof/>
                <w:szCs w:val="24"/>
                <w:lang w:val="fr-FR"/>
              </w:rPr>
            </w:pPr>
            <w:r>
              <w:rPr>
                <w:i/>
                <w:noProof/>
                <w:szCs w:val="24"/>
                <w:lang w:val="fr-FR"/>
              </w:rPr>
              <w:t>63 eligible FRs</w:t>
            </w:r>
          </w:p>
          <w:p w:rsidR="0073489B" w:rsidRDefault="00A46D11">
            <w:pPr>
              <w:ind w:left="34" w:right="141"/>
              <w:contextualSpacing/>
              <w:jc w:val="center"/>
              <w:rPr>
                <w:noProof/>
                <w:szCs w:val="24"/>
                <w:highlight w:val="yellow"/>
                <w:lang w:val="fr-FR"/>
              </w:rPr>
            </w:pPr>
            <w:r>
              <w:rPr>
                <w:i/>
                <w:noProof/>
                <w:szCs w:val="24"/>
              </w:rPr>
              <w:t>0 FRs</w:t>
            </w:r>
          </w:p>
        </w:tc>
      </w:tr>
      <w:tr w:rsidR="0073489B">
        <w:trPr>
          <w:trHeight w:val="1842"/>
          <w:jc w:val="center"/>
        </w:trPr>
        <w:tc>
          <w:tcPr>
            <w:tcW w:w="4421" w:type="dxa"/>
            <w:shd w:val="clear" w:color="auto" w:fill="auto"/>
            <w:vAlign w:val="center"/>
          </w:tcPr>
          <w:p w:rsidR="0073489B" w:rsidRDefault="00A46D11">
            <w:pPr>
              <w:spacing w:before="60" w:after="60"/>
              <w:ind w:left="34" w:right="142"/>
              <w:contextualSpacing/>
              <w:rPr>
                <w:noProof/>
                <w:szCs w:val="24"/>
              </w:rPr>
            </w:pPr>
            <w:r>
              <w:rPr>
                <w:noProof/>
                <w:szCs w:val="24"/>
              </w:rPr>
              <w:t>Amount of investments already made by eligible final recipients due to the financing provided through the instrument, if applicable.</w:t>
            </w:r>
          </w:p>
          <w:p w:rsidR="0073489B" w:rsidRDefault="0073489B">
            <w:pPr>
              <w:ind w:left="34" w:right="141"/>
              <w:contextualSpacing/>
              <w:rPr>
                <w:noProof/>
                <w:szCs w:val="24"/>
              </w:rPr>
            </w:pPr>
          </w:p>
          <w:p w:rsidR="0073489B" w:rsidRDefault="00A46D11">
            <w:pPr>
              <w:spacing w:before="60" w:after="60"/>
              <w:ind w:left="34" w:right="141"/>
              <w:contextualSpacing/>
              <w:rPr>
                <w:i/>
                <w:noProof/>
                <w:szCs w:val="24"/>
              </w:rPr>
            </w:pPr>
            <w:r>
              <w:rPr>
                <w:i/>
                <w:noProof/>
                <w:szCs w:val="24"/>
              </w:rPr>
              <w:t>-  of</w:t>
            </w:r>
            <w:r>
              <w:rPr>
                <w:i/>
                <w:noProof/>
                <w:szCs w:val="24"/>
              </w:rPr>
              <w:t xml:space="preserve"> which for Microfinance</w:t>
            </w:r>
            <w:r>
              <w:rPr>
                <w:i/>
                <w:noProof/>
                <w:szCs w:val="24"/>
              </w:rPr>
              <w:tab/>
            </w:r>
          </w:p>
          <w:p w:rsidR="0073489B" w:rsidRDefault="00A46D11">
            <w:pPr>
              <w:spacing w:before="60" w:after="60"/>
              <w:ind w:left="34" w:right="141"/>
              <w:contextualSpacing/>
              <w:rPr>
                <w:i/>
                <w:noProof/>
                <w:szCs w:val="24"/>
              </w:rPr>
            </w:pPr>
            <w:r>
              <w:rPr>
                <w:i/>
                <w:noProof/>
                <w:szCs w:val="24"/>
              </w:rPr>
              <w:t>-  of which for Social Entrepreneurship</w:t>
            </w:r>
          </w:p>
          <w:p w:rsidR="0073489B" w:rsidRDefault="00A46D11">
            <w:pPr>
              <w:spacing w:before="60" w:after="60"/>
              <w:ind w:left="34" w:right="141"/>
              <w:contextualSpacing/>
              <w:rPr>
                <w:noProof/>
              </w:rPr>
            </w:pPr>
            <w:r>
              <w:rPr>
                <w:i/>
                <w:noProof/>
                <w:szCs w:val="24"/>
              </w:rPr>
              <w:t>- of which thanks to combined EaSI/EFSI resources</w:t>
            </w:r>
          </w:p>
        </w:tc>
        <w:tc>
          <w:tcPr>
            <w:tcW w:w="4420" w:type="dxa"/>
            <w:shd w:val="clear" w:color="auto" w:fill="auto"/>
            <w:vAlign w:val="center"/>
          </w:tcPr>
          <w:p w:rsidR="0073489B" w:rsidRDefault="00A46D11">
            <w:pPr>
              <w:ind w:left="34" w:right="141"/>
              <w:contextualSpacing/>
              <w:jc w:val="center"/>
              <w:rPr>
                <w:noProof/>
                <w:szCs w:val="24"/>
              </w:rPr>
            </w:pPr>
            <w:r>
              <w:rPr>
                <w:noProof/>
                <w:szCs w:val="24"/>
              </w:rPr>
              <w:t xml:space="preserve">EUR 225,65 million  </w:t>
            </w:r>
          </w:p>
          <w:p w:rsidR="0073489B" w:rsidRDefault="0073489B">
            <w:pPr>
              <w:ind w:left="34" w:right="141"/>
              <w:contextualSpacing/>
              <w:jc w:val="center"/>
              <w:rPr>
                <w:noProof/>
                <w:szCs w:val="24"/>
              </w:rPr>
            </w:pPr>
          </w:p>
          <w:p w:rsidR="0073489B" w:rsidRDefault="0073489B">
            <w:pPr>
              <w:ind w:left="34" w:right="141"/>
              <w:contextualSpacing/>
              <w:jc w:val="center"/>
              <w:rPr>
                <w:noProof/>
                <w:szCs w:val="24"/>
              </w:rPr>
            </w:pPr>
          </w:p>
          <w:p w:rsidR="0073489B" w:rsidRDefault="0073489B">
            <w:pPr>
              <w:ind w:left="34" w:right="141"/>
              <w:contextualSpacing/>
              <w:jc w:val="center"/>
              <w:rPr>
                <w:noProof/>
                <w:szCs w:val="24"/>
              </w:rPr>
            </w:pPr>
          </w:p>
          <w:p w:rsidR="0073489B" w:rsidRDefault="0073489B">
            <w:pPr>
              <w:ind w:left="34" w:right="141"/>
              <w:contextualSpacing/>
              <w:jc w:val="center"/>
              <w:rPr>
                <w:noProof/>
                <w:szCs w:val="24"/>
              </w:rPr>
            </w:pPr>
          </w:p>
          <w:p w:rsidR="0073489B" w:rsidRDefault="00A46D11">
            <w:pPr>
              <w:ind w:left="34" w:right="141"/>
              <w:contextualSpacing/>
              <w:jc w:val="center"/>
              <w:rPr>
                <w:noProof/>
                <w:szCs w:val="24"/>
              </w:rPr>
            </w:pPr>
            <w:r>
              <w:rPr>
                <w:noProof/>
                <w:szCs w:val="24"/>
              </w:rPr>
              <w:t>EUR 217,55</w:t>
            </w:r>
            <w:r>
              <w:rPr>
                <w:noProof/>
              </w:rPr>
              <w:t xml:space="preserve"> </w:t>
            </w:r>
            <w:r>
              <w:rPr>
                <w:noProof/>
                <w:szCs w:val="24"/>
              </w:rPr>
              <w:t>million</w:t>
            </w:r>
          </w:p>
          <w:p w:rsidR="0073489B" w:rsidRDefault="00A46D11">
            <w:pPr>
              <w:ind w:left="34" w:right="141"/>
              <w:contextualSpacing/>
              <w:jc w:val="center"/>
              <w:rPr>
                <w:noProof/>
                <w:szCs w:val="24"/>
              </w:rPr>
            </w:pPr>
            <w:r>
              <w:rPr>
                <w:noProof/>
                <w:szCs w:val="24"/>
              </w:rPr>
              <w:t>EUR 8,1 million</w:t>
            </w:r>
          </w:p>
          <w:p w:rsidR="0073489B" w:rsidRDefault="00A46D11">
            <w:pPr>
              <w:ind w:left="34" w:right="141"/>
              <w:contextualSpacing/>
              <w:jc w:val="center"/>
              <w:rPr>
                <w:i/>
                <w:noProof/>
                <w:szCs w:val="24"/>
              </w:rPr>
            </w:pPr>
            <w:r>
              <w:rPr>
                <w:noProof/>
                <w:szCs w:val="24"/>
              </w:rPr>
              <w:t>EUR 0 million</w:t>
            </w:r>
          </w:p>
        </w:tc>
      </w:tr>
    </w:tbl>
    <w:p w:rsidR="0073489B" w:rsidRDefault="0073489B">
      <w:pPr>
        <w:spacing w:before="200"/>
        <w:jc w:val="both"/>
        <w:rPr>
          <w:i/>
          <w:noProof/>
          <w:szCs w:val="24"/>
        </w:rPr>
      </w:pPr>
    </w:p>
    <w:p w:rsidR="0073489B" w:rsidRDefault="00A46D11">
      <w:pPr>
        <w:spacing w:before="200"/>
        <w:jc w:val="both"/>
        <w:rPr>
          <w:i/>
          <w:noProof/>
          <w:szCs w:val="24"/>
        </w:rPr>
      </w:pPr>
      <w:r>
        <w:rPr>
          <w:i/>
          <w:noProof/>
          <w:szCs w:val="24"/>
        </w:rPr>
        <w:lastRenderedPageBreak/>
        <w:t>Impact on employment</w:t>
      </w:r>
    </w:p>
    <w:p w:rsidR="0073489B" w:rsidRDefault="00A46D11">
      <w:pPr>
        <w:spacing w:after="60"/>
        <w:ind w:firstLine="3"/>
        <w:jc w:val="both"/>
        <w:rPr>
          <w:noProof/>
          <w:szCs w:val="24"/>
        </w:rPr>
      </w:pPr>
      <w:r>
        <w:rPr>
          <w:noProof/>
          <w:szCs w:val="24"/>
        </w:rPr>
        <w:t xml:space="preserve">For the entire period as of 31 December 2016 (latest available operational data as at 30/09/2016), EaSI achievements for the Microfinance Guarantee Instrument were as follows: </w:t>
      </w:r>
    </w:p>
    <w:p w:rsidR="0073489B" w:rsidRDefault="00A46D11">
      <w:pPr>
        <w:numPr>
          <w:ilvl w:val="0"/>
          <w:numId w:val="162"/>
        </w:numPr>
        <w:ind w:left="567" w:hanging="142"/>
        <w:jc w:val="both"/>
        <w:rPr>
          <w:noProof/>
          <w:szCs w:val="24"/>
        </w:rPr>
      </w:pPr>
      <w:r>
        <w:rPr>
          <w:noProof/>
          <w:szCs w:val="24"/>
        </w:rPr>
        <w:t>Number of micro-loans: 13 021</w:t>
      </w:r>
    </w:p>
    <w:p w:rsidR="0073489B" w:rsidRDefault="00A46D11">
      <w:pPr>
        <w:numPr>
          <w:ilvl w:val="0"/>
          <w:numId w:val="162"/>
        </w:numPr>
        <w:ind w:left="567" w:hanging="142"/>
        <w:jc w:val="both"/>
        <w:rPr>
          <w:noProof/>
          <w:szCs w:val="24"/>
        </w:rPr>
      </w:pPr>
      <w:r>
        <w:rPr>
          <w:noProof/>
          <w:szCs w:val="24"/>
        </w:rPr>
        <w:t>Total amount of micro-loans: EUR  152,29 million</w:t>
      </w:r>
    </w:p>
    <w:p w:rsidR="0073489B" w:rsidRDefault="00A46D11">
      <w:pPr>
        <w:numPr>
          <w:ilvl w:val="0"/>
          <w:numId w:val="162"/>
        </w:numPr>
        <w:ind w:left="567" w:hanging="142"/>
        <w:jc w:val="both"/>
        <w:rPr>
          <w:noProof/>
          <w:szCs w:val="24"/>
        </w:rPr>
      </w:pPr>
      <w:r>
        <w:rPr>
          <w:noProof/>
          <w:szCs w:val="24"/>
        </w:rPr>
        <w:t>Total number of employees (in the supported micro-entreprises): 21 161</w:t>
      </w:r>
    </w:p>
    <w:p w:rsidR="0073489B" w:rsidRDefault="0073489B">
      <w:pPr>
        <w:ind w:left="567"/>
        <w:jc w:val="both"/>
        <w:rPr>
          <w:noProof/>
          <w:szCs w:val="24"/>
        </w:rPr>
      </w:pPr>
    </w:p>
    <w:p w:rsidR="0073489B" w:rsidRDefault="00A46D11">
      <w:pPr>
        <w:jc w:val="both"/>
        <w:rPr>
          <w:noProof/>
          <w:szCs w:val="24"/>
        </w:rPr>
      </w:pPr>
      <w:r>
        <w:rPr>
          <w:noProof/>
          <w:szCs w:val="24"/>
        </w:rPr>
        <w:t xml:space="preserve">EaSI achievements for the Social Entrepreneurship Guarantee Instrument were as follows: </w:t>
      </w:r>
    </w:p>
    <w:p w:rsidR="0073489B" w:rsidRDefault="00A46D11">
      <w:pPr>
        <w:numPr>
          <w:ilvl w:val="0"/>
          <w:numId w:val="162"/>
        </w:numPr>
        <w:ind w:left="567" w:hanging="142"/>
        <w:jc w:val="both"/>
        <w:rPr>
          <w:noProof/>
          <w:szCs w:val="24"/>
        </w:rPr>
      </w:pPr>
      <w:r>
        <w:rPr>
          <w:noProof/>
          <w:szCs w:val="24"/>
        </w:rPr>
        <w:t>Number of loans to social enterprises : 64</w:t>
      </w:r>
    </w:p>
    <w:p w:rsidR="0073489B" w:rsidRDefault="00A46D11">
      <w:pPr>
        <w:numPr>
          <w:ilvl w:val="0"/>
          <w:numId w:val="162"/>
        </w:numPr>
        <w:ind w:left="567" w:hanging="142"/>
        <w:jc w:val="both"/>
        <w:rPr>
          <w:noProof/>
          <w:szCs w:val="24"/>
        </w:rPr>
      </w:pPr>
      <w:r>
        <w:rPr>
          <w:noProof/>
          <w:szCs w:val="24"/>
        </w:rPr>
        <w:t xml:space="preserve">Total amount of loan to social enterprises : EUR </w:t>
      </w:r>
      <w:r>
        <w:rPr>
          <w:noProof/>
          <w:szCs w:val="24"/>
        </w:rPr>
        <w:t>5,67 million</w:t>
      </w:r>
    </w:p>
    <w:p w:rsidR="0073489B" w:rsidRDefault="00A46D11">
      <w:pPr>
        <w:numPr>
          <w:ilvl w:val="0"/>
          <w:numId w:val="162"/>
        </w:numPr>
        <w:ind w:left="567" w:hanging="142"/>
        <w:jc w:val="both"/>
        <w:rPr>
          <w:noProof/>
          <w:szCs w:val="24"/>
        </w:rPr>
      </w:pPr>
      <w:r>
        <w:rPr>
          <w:noProof/>
          <w:szCs w:val="24"/>
        </w:rPr>
        <w:t>Total number of employees (in the supported social entrerprises): 1 168</w:t>
      </w:r>
    </w:p>
    <w:p w:rsidR="0073489B" w:rsidRDefault="0073489B">
      <w:pPr>
        <w:jc w:val="both"/>
        <w:rPr>
          <w:i/>
          <w:noProof/>
          <w:szCs w:val="24"/>
        </w:rPr>
      </w:pPr>
    </w:p>
    <w:p w:rsidR="0073489B" w:rsidRDefault="00A46D11">
      <w:pPr>
        <w:jc w:val="both"/>
        <w:rPr>
          <w:i/>
          <w:noProof/>
          <w:szCs w:val="24"/>
        </w:rPr>
      </w:pPr>
      <w:r>
        <w:rPr>
          <w:i/>
          <w:noProof/>
          <w:szCs w:val="24"/>
        </w:rPr>
        <w:t>Additional operational information</w:t>
      </w:r>
    </w:p>
    <w:p w:rsidR="0073489B" w:rsidRDefault="00A46D11">
      <w:pPr>
        <w:pStyle w:val="ListParagraph"/>
        <w:numPr>
          <w:ilvl w:val="0"/>
          <w:numId w:val="212"/>
        </w:numPr>
        <w:spacing w:after="60"/>
        <w:jc w:val="both"/>
        <w:rPr>
          <w:noProof/>
          <w:szCs w:val="24"/>
        </w:rPr>
      </w:pPr>
      <w:r>
        <w:rPr>
          <w:noProof/>
          <w:szCs w:val="24"/>
        </w:rPr>
        <w:t>As of 31/12/2016, 40 Guarantee Agreements (33 Microfinance, 7 Social Entrepreneurship) have been signed in 20 Member States for a total</w:t>
      </w:r>
      <w:r>
        <w:rPr>
          <w:noProof/>
          <w:szCs w:val="24"/>
        </w:rPr>
        <w:t xml:space="preserve"> guarantee cap amount of EUR 59,41 million.</w:t>
      </w:r>
    </w:p>
    <w:p w:rsidR="0073489B" w:rsidRDefault="0073489B">
      <w:pPr>
        <w:spacing w:after="60"/>
        <w:jc w:val="both"/>
        <w:rPr>
          <w:noProof/>
          <w:szCs w:val="24"/>
        </w:rPr>
      </w:pPr>
    </w:p>
    <w:p w:rsidR="0073489B" w:rsidRDefault="00A46D11">
      <w:pPr>
        <w:spacing w:after="60"/>
        <w:jc w:val="both"/>
        <w:rPr>
          <w:noProof/>
          <w:szCs w:val="24"/>
        </w:rPr>
      </w:pPr>
      <w:r>
        <w:rPr>
          <w:noProof/>
          <w:szCs w:val="24"/>
        </w:rPr>
        <w:t>EaSI Microfinance Guarantee</w:t>
      </w:r>
      <w:r>
        <w:rPr>
          <w:noProof/>
        </w:rPr>
        <w:t xml:space="preserve"> </w:t>
      </w:r>
      <w:r>
        <w:rPr>
          <w:noProof/>
          <w:szCs w:val="24"/>
        </w:rPr>
        <w:t>Instrument</w:t>
      </w:r>
    </w:p>
    <w:p w:rsidR="0073489B" w:rsidRDefault="00A46D11">
      <w:pPr>
        <w:pStyle w:val="ListParagraph"/>
        <w:numPr>
          <w:ilvl w:val="0"/>
          <w:numId w:val="212"/>
        </w:numPr>
        <w:spacing w:after="60"/>
        <w:jc w:val="both"/>
        <w:rPr>
          <w:noProof/>
          <w:szCs w:val="24"/>
        </w:rPr>
      </w:pPr>
      <w:r>
        <w:rPr>
          <w:noProof/>
          <w:szCs w:val="24"/>
        </w:rPr>
        <w:t>The original EU contribution of EUR 56 million earmarked for the EaSI Microfinance Guarantee has already been entirely used by the end of 2016, i.e. after 1,5 years of oper</w:t>
      </w:r>
      <w:r>
        <w:rPr>
          <w:noProof/>
          <w:szCs w:val="24"/>
        </w:rPr>
        <w:t>ation. In 2017, the demand from microfinance providers will remain significant but the available resources of the new EaSI Microfinance Guarantee (EPMF-G successor programme) will not be sufficient to cover it. Therefore, apart from the EFSI frontloading s</w:t>
      </w:r>
      <w:r>
        <w:rPr>
          <w:noProof/>
          <w:szCs w:val="24"/>
        </w:rPr>
        <w:t xml:space="preserve">igned in December 2016 under the Amendment No. 1 of the Delegation Agreement, a top up of EUR 100 million is envisaged. </w:t>
      </w:r>
    </w:p>
    <w:p w:rsidR="0073489B" w:rsidRDefault="0073489B">
      <w:pPr>
        <w:spacing w:after="60"/>
        <w:jc w:val="both"/>
        <w:rPr>
          <w:noProof/>
          <w:szCs w:val="24"/>
        </w:rPr>
      </w:pPr>
    </w:p>
    <w:p w:rsidR="0073489B" w:rsidRDefault="00A46D11">
      <w:pPr>
        <w:spacing w:after="60"/>
        <w:jc w:val="both"/>
        <w:rPr>
          <w:noProof/>
          <w:szCs w:val="24"/>
        </w:rPr>
      </w:pPr>
      <w:r>
        <w:rPr>
          <w:noProof/>
          <w:szCs w:val="24"/>
        </w:rPr>
        <w:t>EaSI Social Entrepreneurship Guarantee Instrument</w:t>
      </w:r>
    </w:p>
    <w:p w:rsidR="0073489B" w:rsidRDefault="00A46D11">
      <w:pPr>
        <w:spacing w:after="60"/>
        <w:ind w:left="709" w:right="141" w:hanging="709"/>
        <w:jc w:val="both"/>
        <w:rPr>
          <w:noProof/>
          <w:szCs w:val="24"/>
        </w:rPr>
      </w:pPr>
      <w:r>
        <w:rPr>
          <w:noProof/>
          <w:szCs w:val="24"/>
        </w:rPr>
        <w:t>•</w:t>
      </w:r>
      <w:r>
        <w:rPr>
          <w:noProof/>
          <w:szCs w:val="24"/>
        </w:rPr>
        <w:tab/>
        <w:t>Based on forecasts subject to variations a further EUR 11,25 million in operations</w:t>
      </w:r>
      <w:r>
        <w:rPr>
          <w:noProof/>
          <w:szCs w:val="24"/>
        </w:rPr>
        <w:t xml:space="preserve"> is expected to be signed with Financial intermediaries for Social Entrepreneurship by the end of 2017.</w:t>
      </w:r>
    </w:p>
    <w:p w:rsidR="0073489B" w:rsidRDefault="00A46D11">
      <w:pPr>
        <w:pStyle w:val="Heading5"/>
        <w:spacing w:before="120"/>
        <w:ind w:left="284" w:firstLine="0"/>
        <w:jc w:val="both"/>
        <w:rPr>
          <w:noProof/>
        </w:rPr>
      </w:pPr>
      <w:bookmarkStart w:id="169" w:name="_Toc387228837"/>
      <w:r>
        <w:rPr>
          <w:noProof/>
        </w:rPr>
        <w:t>An evaluation of the use of any amounts returned to the instrument as internal assigned revenue under paragraph 6</w:t>
      </w:r>
      <w:bookmarkEnd w:id="169"/>
      <w:r>
        <w:rPr>
          <w:noProof/>
        </w:rPr>
        <w:t>;</w:t>
      </w:r>
    </w:p>
    <w:p w:rsidR="0073489B" w:rsidRDefault="00A46D11">
      <w:pPr>
        <w:spacing w:after="60"/>
        <w:ind w:right="-48"/>
        <w:rPr>
          <w:noProof/>
          <w:szCs w:val="24"/>
        </w:rPr>
      </w:pPr>
      <w:r>
        <w:rPr>
          <w:noProof/>
          <w:szCs w:val="24"/>
        </w:rPr>
        <w:t>Not applicable for 2016.</w:t>
      </w:r>
      <w:r>
        <w:rPr>
          <w:i/>
          <w:noProof/>
          <w:szCs w:val="24"/>
        </w:rPr>
        <w:t xml:space="preserve"> </w:t>
      </w:r>
    </w:p>
    <w:p w:rsidR="0073489B" w:rsidRDefault="00A46D11">
      <w:pPr>
        <w:pStyle w:val="Heading5"/>
        <w:spacing w:before="120"/>
        <w:ind w:left="284" w:firstLine="0"/>
        <w:rPr>
          <w:noProof/>
        </w:rPr>
      </w:pPr>
      <w:bookmarkStart w:id="170" w:name="_Toc387228838"/>
      <w:r>
        <w:rPr>
          <w:noProof/>
        </w:rPr>
        <w:t>The balance</w:t>
      </w:r>
      <w:r>
        <w:rPr>
          <w:noProof/>
        </w:rPr>
        <w:t xml:space="preserve"> of the fiduciary account</w:t>
      </w:r>
      <w:bookmarkEnd w:id="170"/>
      <w:r>
        <w:rPr>
          <w:noProof/>
        </w:rPr>
        <w:t>;</w:t>
      </w:r>
    </w:p>
    <w:p w:rsidR="0073489B" w:rsidRDefault="00A46D11">
      <w:pPr>
        <w:tabs>
          <w:tab w:val="left" w:pos="6946"/>
        </w:tabs>
        <w:spacing w:after="160"/>
        <w:ind w:left="360" w:right="141"/>
        <w:rPr>
          <w:noProof/>
          <w:szCs w:val="24"/>
        </w:rPr>
      </w:pPr>
      <w:r>
        <w:rPr>
          <w:noProof/>
          <w:szCs w:val="24"/>
        </w:rPr>
        <w:t>At the end of the financial year 31/12/2016                                        EUR  38 857 289</w:t>
      </w:r>
    </w:p>
    <w:p w:rsidR="0073489B" w:rsidRDefault="0073489B">
      <w:pPr>
        <w:tabs>
          <w:tab w:val="left" w:pos="6946"/>
        </w:tabs>
        <w:spacing w:after="160"/>
        <w:ind w:left="360" w:right="141"/>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73489B">
        <w:tc>
          <w:tcPr>
            <w:tcW w:w="9288" w:type="dxa"/>
            <w:gridSpan w:val="2"/>
            <w:shd w:val="clear" w:color="auto" w:fill="DAEEF3"/>
          </w:tcPr>
          <w:p w:rsidR="0073489B" w:rsidRDefault="00A46D11">
            <w:pPr>
              <w:spacing w:before="100" w:after="100"/>
              <w:ind w:right="141"/>
              <w:contextualSpacing/>
              <w:jc w:val="center"/>
              <w:rPr>
                <w:b/>
                <w:bCs/>
                <w:i/>
                <w:noProof/>
                <w:szCs w:val="24"/>
              </w:rPr>
            </w:pPr>
            <w:r>
              <w:rPr>
                <w:b/>
                <w:bCs/>
                <w:i/>
                <w:noProof/>
                <w:szCs w:val="24"/>
              </w:rPr>
              <w:t xml:space="preserve">                                                                                                     In EUR</w:t>
            </w:r>
          </w:p>
        </w:tc>
      </w:tr>
      <w:tr w:rsidR="0073489B">
        <w:tc>
          <w:tcPr>
            <w:tcW w:w="6228" w:type="dxa"/>
            <w:shd w:val="clear" w:color="auto" w:fill="auto"/>
          </w:tcPr>
          <w:p w:rsidR="0073489B" w:rsidRDefault="00A46D11">
            <w:pPr>
              <w:spacing w:before="100" w:after="100"/>
              <w:ind w:right="141"/>
              <w:contextualSpacing/>
              <w:rPr>
                <w:b/>
                <w:bCs/>
                <w:noProof/>
                <w:szCs w:val="24"/>
                <w:u w:val="single"/>
              </w:rPr>
            </w:pPr>
            <w:r>
              <w:rPr>
                <w:b/>
                <w:bCs/>
                <w:noProof/>
                <w:szCs w:val="24"/>
              </w:rPr>
              <w:t xml:space="preserve">Balance on the </w:t>
            </w:r>
            <w:r>
              <w:rPr>
                <w:b/>
                <w:bCs/>
                <w:noProof/>
                <w:szCs w:val="24"/>
              </w:rPr>
              <w:t>fiduciary account (current account)</w:t>
            </w:r>
          </w:p>
        </w:tc>
        <w:tc>
          <w:tcPr>
            <w:tcW w:w="3060" w:type="dxa"/>
            <w:shd w:val="clear" w:color="auto" w:fill="auto"/>
            <w:vAlign w:val="center"/>
          </w:tcPr>
          <w:p w:rsidR="0073489B" w:rsidRDefault="00A46D11">
            <w:pPr>
              <w:spacing w:before="100" w:after="100"/>
              <w:ind w:right="141"/>
              <w:contextualSpacing/>
              <w:jc w:val="center"/>
              <w:rPr>
                <w:bCs/>
                <w:noProof/>
                <w:szCs w:val="24"/>
              </w:rPr>
            </w:pPr>
            <w:r>
              <w:rPr>
                <w:bCs/>
                <w:noProof/>
                <w:szCs w:val="24"/>
              </w:rPr>
              <w:t>22 608 834</w:t>
            </w:r>
          </w:p>
        </w:tc>
      </w:tr>
      <w:tr w:rsidR="0073489B">
        <w:tc>
          <w:tcPr>
            <w:tcW w:w="6228" w:type="dxa"/>
            <w:shd w:val="clear" w:color="auto" w:fill="auto"/>
          </w:tcPr>
          <w:p w:rsidR="0073489B" w:rsidRDefault="00A46D11">
            <w:pPr>
              <w:spacing w:before="100" w:after="100"/>
              <w:ind w:right="141"/>
              <w:contextualSpacing/>
              <w:rPr>
                <w:b/>
                <w:bCs/>
                <w:noProof/>
                <w:szCs w:val="24"/>
                <w:u w:val="single"/>
              </w:rPr>
            </w:pPr>
            <w:r>
              <w:rPr>
                <w:b/>
                <w:bCs/>
                <w:noProof/>
                <w:szCs w:val="24"/>
              </w:rPr>
              <w:t>Term deposits/Bonds (if applicable)</w:t>
            </w:r>
          </w:p>
        </w:tc>
        <w:tc>
          <w:tcPr>
            <w:tcW w:w="3060" w:type="dxa"/>
            <w:shd w:val="clear" w:color="auto" w:fill="auto"/>
          </w:tcPr>
          <w:p w:rsidR="0073489B" w:rsidRDefault="00A46D11">
            <w:pPr>
              <w:spacing w:before="100" w:after="100"/>
              <w:ind w:right="141"/>
              <w:contextualSpacing/>
              <w:jc w:val="center"/>
              <w:rPr>
                <w:b/>
                <w:bCs/>
                <w:noProof/>
                <w:szCs w:val="24"/>
                <w:u w:val="single"/>
              </w:rPr>
            </w:pPr>
            <w:r>
              <w:rPr>
                <w:noProof/>
              </w:rPr>
              <w:t>15 146 401</w:t>
            </w:r>
          </w:p>
        </w:tc>
      </w:tr>
      <w:tr w:rsidR="0073489B">
        <w:tc>
          <w:tcPr>
            <w:tcW w:w="6228" w:type="dxa"/>
            <w:shd w:val="clear" w:color="auto" w:fill="auto"/>
          </w:tcPr>
          <w:p w:rsidR="0073489B" w:rsidRDefault="00A46D11">
            <w:pPr>
              <w:spacing w:before="100" w:after="100"/>
              <w:ind w:left="426" w:right="141"/>
              <w:contextualSpacing/>
              <w:rPr>
                <w:bCs/>
                <w:noProof/>
                <w:szCs w:val="24"/>
              </w:rPr>
            </w:pPr>
            <w:r>
              <w:rPr>
                <w:bCs/>
                <w:noProof/>
                <w:szCs w:val="24"/>
              </w:rPr>
              <w:t>Term deposits &lt; 3 months (cash equivalent)</w:t>
            </w:r>
          </w:p>
        </w:tc>
        <w:tc>
          <w:tcPr>
            <w:tcW w:w="3060" w:type="dxa"/>
            <w:shd w:val="clear" w:color="auto" w:fill="auto"/>
          </w:tcPr>
          <w:p w:rsidR="0073489B" w:rsidRDefault="00A46D11">
            <w:pPr>
              <w:spacing w:before="100" w:after="100"/>
              <w:ind w:right="141"/>
              <w:contextualSpacing/>
              <w:jc w:val="center"/>
              <w:rPr>
                <w:bCs/>
                <w:i/>
                <w:noProof/>
                <w:szCs w:val="24"/>
              </w:rPr>
            </w:pPr>
            <w:r>
              <w:rPr>
                <w:i/>
                <w:noProof/>
              </w:rPr>
              <w:t>15 146 401</w:t>
            </w:r>
          </w:p>
        </w:tc>
      </w:tr>
      <w:tr w:rsidR="0073489B">
        <w:tc>
          <w:tcPr>
            <w:tcW w:w="6228" w:type="dxa"/>
            <w:shd w:val="clear" w:color="auto" w:fill="auto"/>
          </w:tcPr>
          <w:p w:rsidR="0073489B" w:rsidRDefault="00A46D11">
            <w:pPr>
              <w:spacing w:before="100" w:after="100"/>
              <w:ind w:left="426" w:right="141"/>
              <w:contextualSpacing/>
              <w:rPr>
                <w:bCs/>
                <w:noProof/>
                <w:szCs w:val="24"/>
                <w:u w:val="single"/>
              </w:rPr>
            </w:pPr>
            <w:r>
              <w:rPr>
                <w:bCs/>
                <w:noProof/>
                <w:szCs w:val="24"/>
              </w:rPr>
              <w:t>Term deposits &gt; 3 months &lt; 1 year (current assets)</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left="426" w:right="141"/>
              <w:contextualSpacing/>
              <w:rPr>
                <w:bCs/>
                <w:noProof/>
                <w:szCs w:val="24"/>
                <w:u w:val="single"/>
              </w:rPr>
            </w:pPr>
            <w:r>
              <w:rPr>
                <w:bCs/>
                <w:noProof/>
                <w:szCs w:val="24"/>
              </w:rPr>
              <w:t>Term deposits &gt; 1 year (non-current assets)</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left="851" w:right="141"/>
              <w:contextualSpacing/>
              <w:rPr>
                <w:bCs/>
                <w:noProof/>
                <w:szCs w:val="24"/>
                <w:u w:val="single"/>
              </w:rPr>
            </w:pPr>
            <w:r>
              <w:rPr>
                <w:bCs/>
                <w:noProof/>
                <w:szCs w:val="24"/>
              </w:rPr>
              <w:lastRenderedPageBreak/>
              <w:t xml:space="preserve">Bonds </w:t>
            </w:r>
            <w:r>
              <w:rPr>
                <w:bCs/>
                <w:noProof/>
                <w:szCs w:val="24"/>
              </w:rPr>
              <w:t>current</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left="851" w:right="141"/>
              <w:contextualSpacing/>
              <w:rPr>
                <w:bCs/>
                <w:noProof/>
                <w:szCs w:val="24"/>
                <w:u w:val="single"/>
              </w:rPr>
            </w:pPr>
            <w:r>
              <w:rPr>
                <w:bCs/>
                <w:noProof/>
                <w:szCs w:val="24"/>
              </w:rPr>
              <w:t>Bonds non-current</w:t>
            </w:r>
          </w:p>
        </w:tc>
        <w:tc>
          <w:tcPr>
            <w:tcW w:w="3060" w:type="dxa"/>
            <w:shd w:val="clear" w:color="auto" w:fill="auto"/>
            <w:vAlign w:val="center"/>
          </w:tcPr>
          <w:p w:rsidR="0073489B" w:rsidRDefault="0073489B">
            <w:pPr>
              <w:spacing w:before="100" w:after="100"/>
              <w:ind w:right="141"/>
              <w:contextualSpacing/>
              <w:jc w:val="center"/>
              <w:rPr>
                <w:b/>
                <w:bCs/>
                <w:noProof/>
                <w:szCs w:val="24"/>
                <w:u w:val="single"/>
              </w:rPr>
            </w:pPr>
          </w:p>
        </w:tc>
      </w:tr>
      <w:tr w:rsidR="0073489B">
        <w:tc>
          <w:tcPr>
            <w:tcW w:w="6228" w:type="dxa"/>
            <w:shd w:val="clear" w:color="auto" w:fill="auto"/>
          </w:tcPr>
          <w:p w:rsidR="0073489B" w:rsidRDefault="00A46D11">
            <w:pPr>
              <w:spacing w:before="100" w:after="10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73489B" w:rsidRDefault="00A46D11">
            <w:pPr>
              <w:spacing w:before="100" w:after="100"/>
              <w:ind w:right="141"/>
              <w:contextualSpacing/>
              <w:jc w:val="center"/>
              <w:rPr>
                <w:bCs/>
                <w:noProof/>
                <w:szCs w:val="24"/>
              </w:rPr>
            </w:pPr>
            <w:r>
              <w:rPr>
                <w:bCs/>
                <w:noProof/>
                <w:szCs w:val="24"/>
              </w:rPr>
              <w:t>1 102 054</w:t>
            </w:r>
          </w:p>
        </w:tc>
      </w:tr>
      <w:tr w:rsidR="0073489B">
        <w:tc>
          <w:tcPr>
            <w:tcW w:w="6228" w:type="dxa"/>
            <w:shd w:val="clear" w:color="auto" w:fill="auto"/>
          </w:tcPr>
          <w:p w:rsidR="0073489B" w:rsidRDefault="00A46D11">
            <w:pPr>
              <w:spacing w:before="100" w:after="100"/>
              <w:ind w:right="141"/>
              <w:rPr>
                <w:b/>
                <w:bCs/>
                <w:noProof/>
                <w:szCs w:val="24"/>
              </w:rPr>
            </w:pPr>
            <w:r>
              <w:rPr>
                <w:b/>
                <w:bCs/>
                <w:i/>
                <w:iCs/>
                <w:noProof/>
                <w:szCs w:val="24"/>
              </w:rPr>
              <w:t>= Total assets</w:t>
            </w:r>
          </w:p>
        </w:tc>
        <w:tc>
          <w:tcPr>
            <w:tcW w:w="3060" w:type="dxa"/>
            <w:shd w:val="clear" w:color="auto" w:fill="auto"/>
            <w:vAlign w:val="center"/>
          </w:tcPr>
          <w:p w:rsidR="0073489B" w:rsidRDefault="00A46D11">
            <w:pPr>
              <w:spacing w:before="100" w:after="100"/>
              <w:ind w:right="141"/>
              <w:contextualSpacing/>
              <w:jc w:val="center"/>
              <w:rPr>
                <w:bCs/>
                <w:noProof/>
                <w:szCs w:val="24"/>
              </w:rPr>
            </w:pPr>
            <w:r>
              <w:rPr>
                <w:bCs/>
                <w:noProof/>
                <w:szCs w:val="24"/>
              </w:rPr>
              <w:t>38 857 289</w:t>
            </w:r>
          </w:p>
        </w:tc>
      </w:tr>
    </w:tbl>
    <w:p w:rsidR="0073489B" w:rsidRDefault="00A46D11">
      <w:pPr>
        <w:spacing w:after="60"/>
        <w:ind w:left="360" w:right="141"/>
        <w:rPr>
          <w:i/>
          <w:noProof/>
          <w:szCs w:val="24"/>
        </w:rPr>
      </w:pPr>
      <w:r>
        <w:rPr>
          <w:i/>
          <w:noProof/>
          <w:szCs w:val="24"/>
        </w:rPr>
        <w:t>Impact of negative interests for EaSi : no impact in 2016.</w:t>
      </w:r>
      <w:r>
        <w:rPr>
          <w:rStyle w:val="FootnoteReference"/>
          <w:i/>
          <w:noProof/>
          <w:szCs w:val="24"/>
        </w:rPr>
        <w:footnoteReference w:id="118"/>
      </w:r>
    </w:p>
    <w:p w:rsidR="0073489B" w:rsidRDefault="00A46D11">
      <w:pPr>
        <w:pStyle w:val="Heading5"/>
        <w:spacing w:before="120"/>
        <w:ind w:left="284" w:firstLine="0"/>
        <w:rPr>
          <w:noProof/>
        </w:rPr>
      </w:pPr>
      <w:bookmarkStart w:id="171" w:name="_Toc387228839"/>
      <w:r>
        <w:rPr>
          <w:noProof/>
        </w:rPr>
        <w:t xml:space="preserve">Revenues and repayments; </w:t>
      </w:r>
      <w:bookmarkEnd w:id="171"/>
    </w:p>
    <w:p w:rsidR="0073489B" w:rsidRDefault="00A46D11">
      <w:pPr>
        <w:ind w:left="284"/>
        <w:rPr>
          <w:noProof/>
        </w:rPr>
      </w:pPr>
      <w:r>
        <w:rPr>
          <w:noProof/>
        </w:rPr>
        <w:t xml:space="preserve">Revenues of the year 2016                                                                            EUR 20 776 </w:t>
      </w:r>
    </w:p>
    <w:p w:rsidR="0073489B" w:rsidRDefault="00A46D11">
      <w:pPr>
        <w:ind w:left="284"/>
        <w:rPr>
          <w:noProof/>
        </w:rPr>
      </w:pPr>
      <w:r>
        <w:rPr>
          <w:noProof/>
        </w:rPr>
        <w:t>Aggregate revenues as at 31/12/2016                                                           EUR 24 561</w:t>
      </w:r>
    </w:p>
    <w:p w:rsidR="0073489B" w:rsidRDefault="00A46D11">
      <w:pPr>
        <w:ind w:left="284"/>
        <w:rPr>
          <w:noProof/>
        </w:rPr>
      </w:pPr>
      <w:r>
        <w:rPr>
          <w:noProof/>
        </w:rPr>
        <w:t xml:space="preserve">Repayments of the year 2016           </w:t>
      </w:r>
      <w:r>
        <w:rPr>
          <w:noProof/>
        </w:rPr>
        <w:t xml:space="preserve">                                                            EUR           0</w:t>
      </w:r>
    </w:p>
    <w:p w:rsidR="0073489B" w:rsidRDefault="00A46D11">
      <w:pPr>
        <w:ind w:left="284"/>
        <w:rPr>
          <w:noProof/>
        </w:rPr>
      </w:pPr>
      <w:r>
        <w:rPr>
          <w:noProof/>
        </w:rPr>
        <w:t>Aggregate additional resources regularised in 2016 for the instrument       EUR          0</w:t>
      </w:r>
    </w:p>
    <w:p w:rsidR="0073489B" w:rsidRDefault="00A46D11">
      <w:pPr>
        <w:pStyle w:val="Heading5"/>
        <w:spacing w:before="120"/>
        <w:ind w:left="284" w:firstLine="0"/>
        <w:rPr>
          <w:noProof/>
        </w:rPr>
      </w:pPr>
      <w:bookmarkStart w:id="172" w:name="_Toc387228840"/>
      <w:r>
        <w:rPr>
          <w:noProof/>
        </w:rPr>
        <w:t>The value of equity investments, with respect to previous years</w:t>
      </w:r>
      <w:bookmarkEnd w:id="172"/>
      <w:r>
        <w:rPr>
          <w:noProof/>
        </w:rPr>
        <w:t>;</w:t>
      </w:r>
    </w:p>
    <w:p w:rsidR="0073489B" w:rsidRDefault="00A46D11">
      <w:pPr>
        <w:spacing w:after="60"/>
        <w:ind w:left="360" w:right="141"/>
        <w:contextualSpacing/>
        <w:rPr>
          <w:noProof/>
          <w:szCs w:val="24"/>
        </w:rPr>
      </w:pPr>
      <w:r>
        <w:rPr>
          <w:noProof/>
          <w:szCs w:val="24"/>
        </w:rPr>
        <w:t>Not yet applicable.</w:t>
      </w:r>
    </w:p>
    <w:p w:rsidR="0073489B" w:rsidRDefault="00A46D11">
      <w:pPr>
        <w:pStyle w:val="Heading5"/>
        <w:spacing w:before="120"/>
        <w:ind w:left="284" w:firstLine="0"/>
        <w:jc w:val="both"/>
        <w:rPr>
          <w:noProof/>
        </w:rPr>
      </w:pPr>
      <w:bookmarkStart w:id="173" w:name="_Toc387228841"/>
      <w:r>
        <w:rPr>
          <w:noProof/>
        </w:rPr>
        <w:t xml:space="preserve">The </w:t>
      </w:r>
      <w:r>
        <w:rPr>
          <w:noProof/>
        </w:rPr>
        <w:t>accumulated figures on impairments of assets of equity or risk-sharing instruments, and on called guarantees for guarantee instruments</w:t>
      </w:r>
      <w:bookmarkEnd w:id="173"/>
      <w:r>
        <w:rPr>
          <w:noProof/>
        </w:rPr>
        <w:t>;</w:t>
      </w:r>
    </w:p>
    <w:p w:rsidR="0073489B" w:rsidRDefault="00A46D11">
      <w:pPr>
        <w:spacing w:after="60"/>
        <w:ind w:left="360" w:right="141"/>
        <w:contextualSpacing/>
        <w:rPr>
          <w:noProof/>
          <w:szCs w:val="24"/>
        </w:rPr>
      </w:pPr>
      <w:r>
        <w:rPr>
          <w:noProof/>
          <w:szCs w:val="24"/>
        </w:rPr>
        <w:t>Called guarantees as at 31/12/2016:                                                           EUR 552 551</w:t>
      </w:r>
    </w:p>
    <w:p w:rsidR="0073489B" w:rsidRDefault="00A46D11">
      <w:pPr>
        <w:pStyle w:val="Heading5"/>
        <w:spacing w:before="120"/>
        <w:ind w:left="284" w:firstLine="0"/>
        <w:rPr>
          <w:noProof/>
        </w:rPr>
      </w:pPr>
      <w:bookmarkStart w:id="174" w:name="_Toc387228842"/>
      <w:r>
        <w:rPr>
          <w:noProof/>
        </w:rPr>
        <w:t>The target lev</w:t>
      </w:r>
      <w:r>
        <w:rPr>
          <w:noProof/>
        </w:rPr>
        <w:t>erage effect, and the achieved leverage effect</w:t>
      </w:r>
      <w:bookmarkEnd w:id="174"/>
      <w:r>
        <w:rPr>
          <w:noProof/>
        </w:rPr>
        <w:t>;</w:t>
      </w:r>
    </w:p>
    <w:p w:rsidR="0073489B" w:rsidRDefault="00A46D11">
      <w:pPr>
        <w:autoSpaceDE w:val="0"/>
        <w:autoSpaceDN w:val="0"/>
        <w:adjustRightInd w:val="0"/>
        <w:spacing w:after="60"/>
        <w:ind w:right="141" w:firstLine="3"/>
        <w:jc w:val="both"/>
        <w:rPr>
          <w:noProof/>
          <w:szCs w:val="24"/>
        </w:rPr>
      </w:pPr>
      <w:r>
        <w:rPr>
          <w:noProof/>
          <w:szCs w:val="24"/>
        </w:rPr>
        <w:t>The target leverage effect, agreed with the EIF in the Delegation agreement, is 5,5 over the lifetime of the financial instrument for the guarantees part (which with the Union contribution of EUR 96 million i</w:t>
      </w:r>
      <w:r>
        <w:rPr>
          <w:noProof/>
          <w:szCs w:val="24"/>
        </w:rPr>
        <w:t xml:space="preserve">s intended to support about EUR 528 million of financing volumes) and not yet available for the funded instruments funds. </w:t>
      </w:r>
    </w:p>
    <w:p w:rsidR="0073489B" w:rsidRDefault="00A46D11">
      <w:pPr>
        <w:autoSpaceDE w:val="0"/>
        <w:autoSpaceDN w:val="0"/>
        <w:adjustRightInd w:val="0"/>
        <w:spacing w:after="60"/>
        <w:ind w:right="141" w:firstLine="3"/>
        <w:jc w:val="both"/>
        <w:rPr>
          <w:noProof/>
          <w:szCs w:val="24"/>
        </w:rPr>
      </w:pPr>
      <w:r>
        <w:rPr>
          <w:noProof/>
          <w:szCs w:val="24"/>
        </w:rPr>
        <w:t>As of 31/12/2016, based on the signed Guarantee agreements, the expected volumes of loans to final recipients are estimated to EUR 75</w:t>
      </w:r>
      <w:r>
        <w:rPr>
          <w:noProof/>
          <w:szCs w:val="24"/>
        </w:rPr>
        <w:t>3,58 million and the total EU Contribution Committed is EUR 69,61 million (EUR 68,79 million of aggregate budgetary commitments plus EUR 0,81 millon of EFSI exposure) which brings the expected leverage effect for Signed Operations to approx. 11 (minimum ta</w:t>
      </w:r>
      <w:r>
        <w:rPr>
          <w:noProof/>
          <w:szCs w:val="24"/>
        </w:rPr>
        <w:t>rget leverage was set at 5,5).</w:t>
      </w:r>
    </w:p>
    <w:p w:rsidR="0073489B" w:rsidRDefault="00A46D11">
      <w:pPr>
        <w:autoSpaceDE w:val="0"/>
        <w:autoSpaceDN w:val="0"/>
        <w:adjustRightInd w:val="0"/>
        <w:spacing w:after="60"/>
        <w:ind w:right="141" w:firstLine="3"/>
        <w:rPr>
          <w:noProof/>
          <w:szCs w:val="24"/>
        </w:rPr>
      </w:pPr>
      <w:r>
        <w:rPr>
          <w:noProof/>
          <w:szCs w:val="24"/>
        </w:rPr>
        <w:t>As for achieved leverage, until 30/09/2016 (latest operational data available), the total EU Contribution Committed of  EUR 68,79 million has supported so far EUR 157,96 million of new micro-loans and loans to social entrerpr</w:t>
      </w:r>
      <w:r>
        <w:rPr>
          <w:noProof/>
          <w:szCs w:val="24"/>
        </w:rPr>
        <w:t>ises, implying a leverage of 2,3.</w:t>
      </w:r>
    </w:p>
    <w:p w:rsidR="0073489B" w:rsidRDefault="0073489B">
      <w:pPr>
        <w:autoSpaceDE w:val="0"/>
        <w:autoSpaceDN w:val="0"/>
        <w:adjustRightInd w:val="0"/>
        <w:spacing w:after="60"/>
        <w:ind w:right="141" w:firstLine="3"/>
        <w:rPr>
          <w:noProof/>
          <w:szCs w:val="24"/>
        </w:rPr>
      </w:pPr>
    </w:p>
    <w:p w:rsidR="0073489B" w:rsidRDefault="00A46D11">
      <w:pPr>
        <w:pStyle w:val="Heading4"/>
        <w:rPr>
          <w:noProof/>
        </w:rPr>
      </w:pPr>
      <w:bookmarkStart w:id="175" w:name="_Toc387228843"/>
      <w:bookmarkStart w:id="176" w:name="_Toc388541894"/>
      <w:r>
        <w:rPr>
          <w:noProof/>
        </w:rPr>
        <w:t>Strategic importance/relevance</w:t>
      </w:r>
      <w:bookmarkEnd w:id="175"/>
      <w:bookmarkEnd w:id="176"/>
    </w:p>
    <w:p w:rsidR="0073489B" w:rsidRDefault="00A46D11">
      <w:pPr>
        <w:pStyle w:val="Heading5"/>
        <w:spacing w:before="120"/>
        <w:ind w:left="284" w:firstLine="0"/>
        <w:jc w:val="both"/>
        <w:rPr>
          <w:i/>
          <w:noProof/>
        </w:rPr>
      </w:pPr>
      <w:bookmarkStart w:id="177" w:name="_Toc387228844"/>
      <w:r>
        <w:rPr>
          <w:noProof/>
        </w:rPr>
        <w:t>The contribution of the financial instrument to the achievement of the objectives of the programme concerned as measured by the established indicators, including, where applicable, the geogr</w:t>
      </w:r>
      <w:r>
        <w:rPr>
          <w:noProof/>
        </w:rPr>
        <w:t>aphical diversification</w:t>
      </w:r>
      <w:bookmarkEnd w:id="177"/>
      <w:r>
        <w:rPr>
          <w:noProof/>
        </w:rPr>
        <w:t>;</w:t>
      </w:r>
    </w:p>
    <w:p w:rsidR="0073489B" w:rsidRDefault="00A46D11">
      <w:pPr>
        <w:jc w:val="both"/>
        <w:rPr>
          <w:noProof/>
          <w:szCs w:val="24"/>
        </w:rPr>
      </w:pPr>
      <w:r>
        <w:rPr>
          <w:noProof/>
          <w:szCs w:val="24"/>
        </w:rPr>
        <w:t>As at 30/9/2016, the EaSI -G already contributed to provide more than 157,96 million EUR of financing to 12 804 Final Recipients through 13 085 underlying loans, accounting for an estimated 225,65 million EUR investment amount.</w:t>
      </w:r>
    </w:p>
    <w:p w:rsidR="0073489B" w:rsidRDefault="0073489B">
      <w:pPr>
        <w:spacing w:after="60"/>
        <w:ind w:firstLine="3"/>
        <w:jc w:val="both"/>
        <w:rPr>
          <w:noProof/>
          <w:szCs w:val="24"/>
        </w:rPr>
      </w:pPr>
    </w:p>
    <w:p w:rsidR="0073489B" w:rsidRDefault="00A46D11">
      <w:pPr>
        <w:spacing w:after="60"/>
        <w:ind w:firstLine="3"/>
        <w:jc w:val="both"/>
        <w:rPr>
          <w:noProof/>
          <w:szCs w:val="24"/>
        </w:rPr>
      </w:pPr>
      <w:r>
        <w:rPr>
          <w:noProof/>
          <w:szCs w:val="24"/>
        </w:rPr>
        <w:t>For the EaSI Guarantee microfinance window,</w:t>
      </w:r>
      <w:r>
        <w:rPr>
          <w:noProof/>
          <w:szCs w:val="24"/>
          <w:vertAlign w:val="superscript"/>
        </w:rPr>
        <w:footnoteReference w:id="119"/>
      </w:r>
      <w:r>
        <w:rPr>
          <w:noProof/>
          <w:szCs w:val="24"/>
        </w:rPr>
        <w:t xml:space="preserve"> the gender breakdown show that considerable outreach to females is already achieved (34,9% of the micro-borrowers guaranteed were women).</w:t>
      </w:r>
    </w:p>
    <w:p w:rsidR="0073489B" w:rsidRDefault="00A46D11">
      <w:pPr>
        <w:spacing w:after="60"/>
        <w:ind w:firstLine="3"/>
        <w:jc w:val="both"/>
        <w:rPr>
          <w:bCs/>
          <w:noProof/>
          <w:szCs w:val="24"/>
        </w:rPr>
      </w:pPr>
      <w:r>
        <w:rPr>
          <w:noProof/>
          <w:szCs w:val="24"/>
        </w:rPr>
        <w:lastRenderedPageBreak/>
        <w:t>In addition, 19,3% of individual micro-borrowers who received support und</w:t>
      </w:r>
      <w:r>
        <w:rPr>
          <w:noProof/>
          <w:szCs w:val="24"/>
        </w:rPr>
        <w:t xml:space="preserve">er the Facility so far, were either unemployed or inactive at the time they received their loan. </w:t>
      </w:r>
    </w:p>
    <w:p w:rsidR="0073489B" w:rsidRDefault="00A46D11">
      <w:pPr>
        <w:autoSpaceDE w:val="0"/>
        <w:autoSpaceDN w:val="0"/>
        <w:adjustRightInd w:val="0"/>
        <w:spacing w:after="60"/>
        <w:ind w:firstLine="3"/>
        <w:jc w:val="both"/>
        <w:rPr>
          <w:bCs/>
          <w:noProof/>
          <w:szCs w:val="24"/>
        </w:rPr>
      </w:pPr>
      <w:r>
        <w:rPr>
          <w:bCs/>
          <w:noProof/>
          <w:szCs w:val="24"/>
        </w:rPr>
        <w:t xml:space="preserve">Individuals which were final recipients of micro-loans were, by and large, educated at the secondary level (36,1%). Nevertheless, EaSI continues to be of </w:t>
      </w:r>
      <w:r>
        <w:rPr>
          <w:bCs/>
          <w:noProof/>
          <w:szCs w:val="24"/>
        </w:rPr>
        <w:t>importance in serving the financing needs of individuals with more substantial education beyond the secondary level (50%).</w:t>
      </w:r>
    </w:p>
    <w:p w:rsidR="0073489B" w:rsidRDefault="00A46D11">
      <w:pPr>
        <w:autoSpaceDE w:val="0"/>
        <w:autoSpaceDN w:val="0"/>
        <w:adjustRightInd w:val="0"/>
        <w:spacing w:after="60"/>
        <w:ind w:firstLine="3"/>
        <w:jc w:val="both"/>
        <w:rPr>
          <w:bCs/>
          <w:noProof/>
          <w:szCs w:val="24"/>
        </w:rPr>
      </w:pPr>
      <w:r>
        <w:rPr>
          <w:bCs/>
          <w:noProof/>
          <w:szCs w:val="24"/>
        </w:rPr>
        <w:t>Regarding the age group, with respect to final recipients who are natural persons the outreach to individuals in disadvantaged age gr</w:t>
      </w:r>
      <w:r>
        <w:rPr>
          <w:bCs/>
          <w:noProof/>
          <w:szCs w:val="24"/>
        </w:rPr>
        <w:t xml:space="preserve">oups (younger and older people combined) is 10,6%. </w:t>
      </w:r>
    </w:p>
    <w:p w:rsidR="0073489B" w:rsidRDefault="0073489B">
      <w:pPr>
        <w:autoSpaceDE w:val="0"/>
        <w:autoSpaceDN w:val="0"/>
        <w:adjustRightInd w:val="0"/>
        <w:spacing w:after="60"/>
        <w:ind w:firstLine="3"/>
        <w:jc w:val="both"/>
        <w:rPr>
          <w:bCs/>
          <w:noProof/>
          <w:szCs w:val="24"/>
        </w:rPr>
      </w:pPr>
    </w:p>
    <w:p w:rsidR="0073489B" w:rsidRDefault="00A46D11">
      <w:pPr>
        <w:autoSpaceDE w:val="0"/>
        <w:autoSpaceDN w:val="0"/>
        <w:adjustRightInd w:val="0"/>
        <w:spacing w:after="60"/>
        <w:jc w:val="both"/>
        <w:rPr>
          <w:bCs/>
          <w:i/>
          <w:noProof/>
          <w:szCs w:val="24"/>
          <w:lang w:val="en-US"/>
        </w:rPr>
      </w:pPr>
      <w:r>
        <w:rPr>
          <w:bCs/>
          <w:i/>
          <w:noProof/>
          <w:szCs w:val="24"/>
        </w:rPr>
        <w:t>The share of each participating country in the total amount of financing already provided (EUR 152,29 million as of 30/09/2016) by the EaSI Guarantee instrument (Microfinance window) to eligible final re</w:t>
      </w:r>
      <w:r>
        <w:rPr>
          <w:bCs/>
          <w:i/>
          <w:noProof/>
          <w:szCs w:val="24"/>
        </w:rPr>
        <w:t xml:space="preserve">cipients is presented in the following graph. </w:t>
      </w:r>
      <w:r>
        <w:rPr>
          <w:bCs/>
          <w:i/>
          <w:noProof/>
          <w:szCs w:val="24"/>
          <w:lang w:val="en-US"/>
        </w:rPr>
        <w:t xml:space="preserve"> </w:t>
      </w:r>
    </w:p>
    <w:p w:rsidR="0073489B" w:rsidRDefault="0073489B">
      <w:pPr>
        <w:autoSpaceDE w:val="0"/>
        <w:autoSpaceDN w:val="0"/>
        <w:adjustRightInd w:val="0"/>
        <w:spacing w:after="60"/>
        <w:jc w:val="both"/>
        <w:rPr>
          <w:bCs/>
          <w:i/>
          <w:noProof/>
          <w:szCs w:val="24"/>
          <w:lang w:val="en-US"/>
        </w:rPr>
      </w:pPr>
    </w:p>
    <w:p w:rsidR="0073489B" w:rsidRDefault="00A46D11">
      <w:pPr>
        <w:autoSpaceDE w:val="0"/>
        <w:autoSpaceDN w:val="0"/>
        <w:adjustRightInd w:val="0"/>
        <w:spacing w:after="60"/>
        <w:jc w:val="both"/>
        <w:rPr>
          <w:bCs/>
          <w:i/>
          <w:noProof/>
          <w:szCs w:val="24"/>
          <w:lang w:val="en-US"/>
        </w:rPr>
      </w:pPr>
      <w:r>
        <w:rPr>
          <w:noProof/>
          <w:lang w:eastAsia="en-GB"/>
        </w:rPr>
        <w:drawing>
          <wp:inline distT="0" distB="0" distL="0" distR="0">
            <wp:extent cx="5760720" cy="3788013"/>
            <wp:effectExtent l="0" t="0" r="11430"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3489B" w:rsidRDefault="0073489B">
      <w:pPr>
        <w:autoSpaceDE w:val="0"/>
        <w:autoSpaceDN w:val="0"/>
        <w:adjustRightInd w:val="0"/>
        <w:spacing w:after="60"/>
        <w:jc w:val="both"/>
        <w:rPr>
          <w:bCs/>
          <w:i/>
          <w:noProof/>
          <w:szCs w:val="24"/>
          <w:lang w:val="en-US"/>
        </w:rPr>
      </w:pPr>
    </w:p>
    <w:p w:rsidR="0073489B" w:rsidRDefault="00A46D11">
      <w:pPr>
        <w:spacing w:after="60"/>
        <w:ind w:firstLine="3"/>
        <w:jc w:val="both"/>
        <w:rPr>
          <w:noProof/>
          <w:szCs w:val="24"/>
        </w:rPr>
      </w:pPr>
      <w:r>
        <w:rPr>
          <w:noProof/>
          <w:szCs w:val="24"/>
        </w:rPr>
        <w:t>For the EaSI Guarantee social entrepreneurship window,</w:t>
      </w:r>
      <w:r>
        <w:rPr>
          <w:noProof/>
          <w:szCs w:val="24"/>
          <w:vertAlign w:val="superscript"/>
        </w:rPr>
        <w:footnoteReference w:id="120"/>
      </w:r>
      <w:r>
        <w:rPr>
          <w:noProof/>
          <w:szCs w:val="24"/>
        </w:rPr>
        <w:t xml:space="preserve"> the reporting data collected shows that 39% of the social enterprises benefitting from the EaSI Guarantee have as main activity producing and/or dis</w:t>
      </w:r>
      <w:r>
        <w:rPr>
          <w:noProof/>
          <w:szCs w:val="24"/>
        </w:rPr>
        <w:t>tributing healthy and /or affordable food.</w:t>
      </w:r>
    </w:p>
    <w:p w:rsidR="0073489B" w:rsidRDefault="00A46D11">
      <w:pPr>
        <w:autoSpaceDE w:val="0"/>
        <w:autoSpaceDN w:val="0"/>
        <w:adjustRightInd w:val="0"/>
        <w:spacing w:after="60"/>
        <w:jc w:val="both"/>
        <w:rPr>
          <w:bCs/>
          <w:noProof/>
          <w:szCs w:val="24"/>
        </w:rPr>
      </w:pPr>
      <w:r>
        <w:rPr>
          <w:bCs/>
          <w:noProof/>
          <w:szCs w:val="24"/>
        </w:rPr>
        <w:t xml:space="preserve">The vast majority of social enterprises supported (98,3%) have an annual turnover of less than 2 million EUR. </w:t>
      </w:r>
    </w:p>
    <w:p w:rsidR="0073489B" w:rsidRDefault="00A46D11">
      <w:pPr>
        <w:autoSpaceDE w:val="0"/>
        <w:autoSpaceDN w:val="0"/>
        <w:adjustRightInd w:val="0"/>
        <w:spacing w:after="60"/>
        <w:jc w:val="both"/>
        <w:rPr>
          <w:bCs/>
          <w:noProof/>
          <w:szCs w:val="24"/>
          <w:lang w:val="en-US"/>
        </w:rPr>
      </w:pPr>
      <w:r>
        <w:rPr>
          <w:bCs/>
          <w:noProof/>
          <w:szCs w:val="24"/>
          <w:lang w:val="en-US"/>
        </w:rPr>
        <w:t>59,65% of the social enterprises supported reinvest up to 65% of their profits/surplus in the delivery</w:t>
      </w:r>
      <w:r>
        <w:rPr>
          <w:bCs/>
          <w:noProof/>
          <w:szCs w:val="24"/>
          <w:lang w:val="en-US"/>
        </w:rPr>
        <w:t xml:space="preserve"> of the social aim within the social enterprise.</w:t>
      </w:r>
    </w:p>
    <w:p w:rsidR="0073489B" w:rsidRDefault="00A46D11">
      <w:pPr>
        <w:autoSpaceDE w:val="0"/>
        <w:autoSpaceDN w:val="0"/>
        <w:adjustRightInd w:val="0"/>
        <w:spacing w:after="60"/>
        <w:jc w:val="both"/>
        <w:rPr>
          <w:bCs/>
          <w:i/>
          <w:noProof/>
          <w:szCs w:val="24"/>
          <w:lang w:val="en-US"/>
        </w:rPr>
      </w:pPr>
      <w:r>
        <w:rPr>
          <w:bCs/>
          <w:i/>
          <w:noProof/>
          <w:szCs w:val="24"/>
          <w:lang w:val="en-US"/>
        </w:rPr>
        <w:lastRenderedPageBreak/>
        <w:t>The share of each participating country in the total amount of financing already provided (EUR 5,67 million as of 30/09/2016) by the EaSI Guarantee instrument (Social Entrepreneursip window) to eligible fina</w:t>
      </w:r>
      <w:r>
        <w:rPr>
          <w:bCs/>
          <w:i/>
          <w:noProof/>
          <w:szCs w:val="24"/>
          <w:lang w:val="en-US"/>
        </w:rPr>
        <w:t xml:space="preserve">l recipients is presented in the following graph.  </w:t>
      </w:r>
    </w:p>
    <w:p w:rsidR="0073489B" w:rsidRDefault="00A46D11">
      <w:pPr>
        <w:spacing w:after="60"/>
        <w:rPr>
          <w:noProof/>
          <w:szCs w:val="24"/>
        </w:rPr>
      </w:pPr>
      <w:r>
        <w:rPr>
          <w:noProof/>
          <w:lang w:eastAsia="en-GB"/>
        </w:rPr>
        <w:drawing>
          <wp:inline distT="0" distB="0" distL="0" distR="0">
            <wp:extent cx="4643562" cy="3538330"/>
            <wp:effectExtent l="0" t="0" r="24130"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szCs w:val="24"/>
        </w:rPr>
        <w:t xml:space="preserve"> </w:t>
      </w:r>
    </w:p>
    <w:p w:rsidR="0073489B" w:rsidRDefault="00A46D11">
      <w:pPr>
        <w:pStyle w:val="Heading4"/>
        <w:rPr>
          <w:noProof/>
        </w:rPr>
      </w:pPr>
      <w:r>
        <w:rPr>
          <w:noProof/>
        </w:rPr>
        <w:t>Other key points and issues</w:t>
      </w:r>
    </w:p>
    <w:p w:rsidR="0073489B" w:rsidRDefault="00A46D11">
      <w:pPr>
        <w:numPr>
          <w:ilvl w:val="0"/>
          <w:numId w:val="111"/>
        </w:numPr>
        <w:autoSpaceDE w:val="0"/>
        <w:autoSpaceDN w:val="0"/>
        <w:adjustRightInd w:val="0"/>
        <w:ind w:left="142" w:right="141" w:hanging="284"/>
        <w:contextualSpacing/>
        <w:rPr>
          <w:b/>
          <w:i/>
          <w:noProof/>
          <w:szCs w:val="24"/>
        </w:rPr>
      </w:pPr>
      <w:r>
        <w:rPr>
          <w:b/>
          <w:i/>
          <w:noProof/>
          <w:szCs w:val="24"/>
        </w:rPr>
        <w:t>Main issues for the implementation:</w:t>
      </w:r>
    </w:p>
    <w:p w:rsidR="0073489B" w:rsidRDefault="00A46D11">
      <w:pPr>
        <w:numPr>
          <w:ilvl w:val="1"/>
          <w:numId w:val="111"/>
        </w:numPr>
        <w:spacing w:after="60"/>
        <w:ind w:right="141"/>
        <w:contextualSpacing/>
        <w:jc w:val="both"/>
        <w:rPr>
          <w:noProof/>
          <w:szCs w:val="24"/>
        </w:rPr>
      </w:pPr>
      <w:r>
        <w:rPr>
          <w:noProof/>
          <w:szCs w:val="24"/>
        </w:rPr>
        <w:t>At the current stage, EaSI Guarantee financial instrument is fully deployed covering the already anticipated increased market demand. The</w:t>
      </w:r>
      <w:r>
        <w:rPr>
          <w:noProof/>
          <w:szCs w:val="24"/>
        </w:rPr>
        <w:t xml:space="preserve"> Union budgetary commitments for the years 2017-2020 have been frontloaded in order to make them available as of December 2016, enabling the EIF to sign operations more quickly to keep pace with the market demand. In general, in the area of microfinance, t</w:t>
      </w:r>
      <w:r>
        <w:rPr>
          <w:noProof/>
          <w:szCs w:val="24"/>
        </w:rPr>
        <w:t>he available funding has reached the available commitments so the main issues arising for the implementation of the instrument are the necessity to ensure additional and on time available funding in order to facilitate the ongoing implementation and increa</w:t>
      </w:r>
      <w:r>
        <w:rPr>
          <w:noProof/>
          <w:szCs w:val="24"/>
        </w:rPr>
        <w:t>sed demand of the Programme.</w:t>
      </w:r>
    </w:p>
    <w:p w:rsidR="0073489B" w:rsidRDefault="00A46D11">
      <w:pPr>
        <w:numPr>
          <w:ilvl w:val="0"/>
          <w:numId w:val="111"/>
        </w:numPr>
        <w:autoSpaceDE w:val="0"/>
        <w:autoSpaceDN w:val="0"/>
        <w:adjustRightInd w:val="0"/>
        <w:ind w:left="142" w:right="141" w:hanging="284"/>
        <w:contextualSpacing/>
        <w:rPr>
          <w:b/>
          <w:i/>
          <w:noProof/>
          <w:szCs w:val="24"/>
        </w:rPr>
      </w:pPr>
      <w:r>
        <w:rPr>
          <w:b/>
          <w:i/>
          <w:noProof/>
          <w:szCs w:val="24"/>
        </w:rPr>
        <w:t>Main risks:</w:t>
      </w:r>
    </w:p>
    <w:p w:rsidR="0073489B" w:rsidRDefault="00A46D11">
      <w:pPr>
        <w:numPr>
          <w:ilvl w:val="1"/>
          <w:numId w:val="111"/>
        </w:numPr>
        <w:spacing w:after="60"/>
        <w:ind w:right="141"/>
        <w:contextualSpacing/>
        <w:jc w:val="both"/>
        <w:rPr>
          <w:noProof/>
          <w:szCs w:val="24"/>
        </w:rPr>
      </w:pPr>
      <w:r>
        <w:rPr>
          <w:noProof/>
          <w:szCs w:val="24"/>
        </w:rPr>
        <w:t>The risks related to social enterprises are linked to the fact that that market has not yet developed and the EU financial instrument has to help building it. Given the level of its development and the changes in th</w:t>
      </w:r>
      <w:r>
        <w:rPr>
          <w:noProof/>
          <w:szCs w:val="24"/>
        </w:rPr>
        <w:t>e socio-economic environment, the market also tends to change very rapidly. This might cause a situation where the instrument in question may not be fit anymore for future situations.</w:t>
      </w:r>
    </w:p>
    <w:p w:rsidR="0073489B" w:rsidRDefault="00A46D11">
      <w:pPr>
        <w:numPr>
          <w:ilvl w:val="0"/>
          <w:numId w:val="111"/>
        </w:numPr>
        <w:ind w:left="142" w:right="141" w:hanging="284"/>
        <w:contextualSpacing/>
        <w:rPr>
          <w:b/>
          <w:i/>
          <w:noProof/>
          <w:szCs w:val="24"/>
        </w:rPr>
      </w:pPr>
      <w:r>
        <w:rPr>
          <w:b/>
          <w:i/>
          <w:noProof/>
          <w:szCs w:val="24"/>
        </w:rPr>
        <w:t>General outlook:</w:t>
      </w:r>
    </w:p>
    <w:p w:rsidR="0073489B" w:rsidRDefault="00A46D11">
      <w:pPr>
        <w:numPr>
          <w:ilvl w:val="1"/>
          <w:numId w:val="111"/>
        </w:numPr>
        <w:spacing w:after="60"/>
        <w:ind w:right="141"/>
        <w:contextualSpacing/>
        <w:jc w:val="both"/>
        <w:rPr>
          <w:noProof/>
          <w:szCs w:val="24"/>
        </w:rPr>
      </w:pPr>
      <w:r>
        <w:rPr>
          <w:noProof/>
          <w:szCs w:val="24"/>
        </w:rPr>
        <w:t xml:space="preserve">In the area of social entrepreneurship there was an </w:t>
      </w:r>
      <w:r>
        <w:rPr>
          <w:noProof/>
          <w:szCs w:val="24"/>
        </w:rPr>
        <w:t>initially slower take up but taking into account the novelty of the offer, this is not unusual. Based on the pipeline, we expect significantly higher levels of implementation in the next years. In the area of Microfinance, EaSI has already committed to fin</w:t>
      </w:r>
      <w:r>
        <w:rPr>
          <w:noProof/>
          <w:szCs w:val="24"/>
        </w:rPr>
        <w:t>ancial intermediaries the amount of EUR 50,35</w:t>
      </w:r>
      <w:r>
        <w:rPr>
          <w:noProof/>
        </w:rPr>
        <w:t xml:space="preserve"> </w:t>
      </w:r>
      <w:r>
        <w:rPr>
          <w:noProof/>
          <w:szCs w:val="24"/>
        </w:rPr>
        <w:t>million (90% of the total amount of EUR 56 million foreseen for Microfinance) within a period of only 15 months of initial implementation (30/9/2015-31/12/2016).</w:t>
      </w:r>
    </w:p>
    <w:p w:rsidR="0073489B" w:rsidRDefault="00A46D11">
      <w:pPr>
        <w:pStyle w:val="Heading3"/>
        <w:spacing w:before="480" w:after="120"/>
        <w:ind w:left="553"/>
      </w:pPr>
      <w:bookmarkStart w:id="178" w:name="_Loan_Guarantee_Facility"/>
      <w:bookmarkStart w:id="179" w:name="_Toc387228847"/>
      <w:bookmarkStart w:id="180" w:name="_Toc388541897"/>
      <w:bookmarkStart w:id="181" w:name="_Toc393281938"/>
      <w:bookmarkStart w:id="182" w:name="_Toc486436754"/>
      <w:bookmarkEnd w:id="178"/>
      <w:r>
        <w:lastRenderedPageBreak/>
        <w:t>Loan Guarantee Facility under COSME</w:t>
      </w:r>
      <w:bookmarkEnd w:id="179"/>
      <w:bookmarkEnd w:id="180"/>
      <w:bookmarkEnd w:id="181"/>
      <w:bookmarkEnd w:id="182"/>
    </w:p>
    <w:tbl>
      <w:tblPr>
        <w:tblpPr w:leftFromText="180" w:rightFromText="180" w:vertAnchor="text" w:horzAnchor="margin" w:tblpXSpec="right" w:tblpY="214"/>
        <w:tblW w:w="91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899"/>
        <w:gridCol w:w="4231"/>
      </w:tblGrid>
      <w:tr w:rsidR="0073489B">
        <w:trPr>
          <w:trHeight w:val="443"/>
        </w:trPr>
        <w:tc>
          <w:tcPr>
            <w:tcW w:w="4899" w:type="dxa"/>
            <w:tcBorders>
              <w:bottom w:val="single" w:sz="4" w:space="0" w:color="auto"/>
            </w:tcBorders>
            <w:shd w:val="clear" w:color="auto" w:fill="auto"/>
            <w:vAlign w:val="center"/>
          </w:tcPr>
          <w:p w:rsidR="0073489B" w:rsidRDefault="00A46D11">
            <w:pPr>
              <w:spacing w:before="80" w:after="80"/>
              <w:rPr>
                <w:noProof/>
                <w:szCs w:val="24"/>
              </w:rPr>
            </w:pPr>
            <w:bookmarkStart w:id="183" w:name="_Toc387228848"/>
            <w:bookmarkStart w:id="184" w:name="_Toc388541898"/>
            <w:r>
              <w:rPr>
                <w:b/>
                <w:noProof/>
                <w:szCs w:val="24"/>
              </w:rPr>
              <w:t>Policy DG in</w:t>
            </w:r>
            <w:r>
              <w:rPr>
                <w:b/>
                <w:noProof/>
                <w:szCs w:val="24"/>
              </w:rPr>
              <w:t xml:space="preserve"> charge: </w:t>
            </w:r>
            <w:r>
              <w:rPr>
                <w:noProof/>
                <w:szCs w:val="24"/>
              </w:rPr>
              <w:t xml:space="preserve"> </w:t>
            </w:r>
          </w:p>
        </w:tc>
        <w:tc>
          <w:tcPr>
            <w:tcW w:w="4231" w:type="dxa"/>
            <w:tcBorders>
              <w:bottom w:val="single" w:sz="4" w:space="0" w:color="auto"/>
            </w:tcBorders>
            <w:vAlign w:val="center"/>
          </w:tcPr>
          <w:p w:rsidR="0073489B" w:rsidRDefault="00A46D11">
            <w:pPr>
              <w:spacing w:before="80" w:after="80"/>
              <w:jc w:val="center"/>
              <w:rPr>
                <w:noProof/>
                <w:szCs w:val="24"/>
              </w:rPr>
            </w:pPr>
            <w:r>
              <w:rPr>
                <w:noProof/>
                <w:szCs w:val="24"/>
              </w:rPr>
              <w:t>DG GROW</w:t>
            </w:r>
          </w:p>
        </w:tc>
      </w:tr>
      <w:tr w:rsidR="0073489B">
        <w:trPr>
          <w:trHeight w:val="430"/>
        </w:trPr>
        <w:tc>
          <w:tcPr>
            <w:tcW w:w="4899" w:type="dxa"/>
            <w:tcBorders>
              <w:top w:val="single" w:sz="4" w:space="0" w:color="auto"/>
              <w:bottom w:val="single" w:sz="4" w:space="0" w:color="auto"/>
            </w:tcBorders>
            <w:shd w:val="clear" w:color="auto" w:fill="auto"/>
            <w:vAlign w:val="center"/>
          </w:tcPr>
          <w:p w:rsidR="0073489B" w:rsidRDefault="00A46D11">
            <w:pPr>
              <w:spacing w:before="80" w:after="80"/>
              <w:rPr>
                <w:noProof/>
                <w:szCs w:val="24"/>
              </w:rPr>
            </w:pPr>
            <w:r>
              <w:rPr>
                <w:b/>
                <w:noProof/>
                <w:szCs w:val="24"/>
              </w:rPr>
              <w:t>Implementing DG in charge:</w:t>
            </w:r>
            <w:r>
              <w:rPr>
                <w:noProof/>
                <w:szCs w:val="24"/>
              </w:rPr>
              <w:t xml:space="preserve">  </w:t>
            </w:r>
          </w:p>
        </w:tc>
        <w:tc>
          <w:tcPr>
            <w:tcW w:w="4231" w:type="dxa"/>
            <w:tcBorders>
              <w:top w:val="single" w:sz="4" w:space="0" w:color="auto"/>
              <w:bottom w:val="single" w:sz="4" w:space="0" w:color="auto"/>
            </w:tcBorders>
            <w:vAlign w:val="center"/>
          </w:tcPr>
          <w:p w:rsidR="0073489B" w:rsidRDefault="00A46D11">
            <w:pPr>
              <w:spacing w:before="80" w:after="80"/>
              <w:jc w:val="center"/>
              <w:rPr>
                <w:noProof/>
                <w:szCs w:val="24"/>
              </w:rPr>
            </w:pPr>
            <w:r>
              <w:rPr>
                <w:noProof/>
                <w:szCs w:val="24"/>
              </w:rPr>
              <w:t>DG GROW</w:t>
            </w:r>
          </w:p>
        </w:tc>
      </w:tr>
      <w:tr w:rsidR="0073489B">
        <w:trPr>
          <w:trHeight w:val="422"/>
        </w:trPr>
        <w:tc>
          <w:tcPr>
            <w:tcW w:w="4899" w:type="dxa"/>
            <w:tcBorders>
              <w:top w:val="single" w:sz="4" w:space="0" w:color="auto"/>
              <w:bottom w:val="single" w:sz="4" w:space="0" w:color="auto"/>
            </w:tcBorders>
            <w:shd w:val="clear" w:color="auto" w:fill="auto"/>
            <w:vAlign w:val="center"/>
          </w:tcPr>
          <w:p w:rsidR="0073489B" w:rsidRDefault="00A46D11">
            <w:pPr>
              <w:spacing w:before="80" w:after="80"/>
              <w:rPr>
                <w:noProof/>
                <w:szCs w:val="24"/>
              </w:rPr>
            </w:pPr>
            <w:r>
              <w:rPr>
                <w:b/>
                <w:noProof/>
                <w:szCs w:val="24"/>
              </w:rPr>
              <w:t>Operating Body in charge:</w:t>
            </w:r>
          </w:p>
        </w:tc>
        <w:tc>
          <w:tcPr>
            <w:tcW w:w="4231" w:type="dxa"/>
            <w:tcBorders>
              <w:top w:val="single" w:sz="4" w:space="0" w:color="auto"/>
              <w:bottom w:val="single" w:sz="4" w:space="0" w:color="auto"/>
            </w:tcBorders>
            <w:vAlign w:val="center"/>
          </w:tcPr>
          <w:p w:rsidR="0073489B" w:rsidRDefault="00A46D11">
            <w:pPr>
              <w:spacing w:before="80" w:after="80"/>
              <w:jc w:val="center"/>
              <w:rPr>
                <w:noProof/>
                <w:szCs w:val="24"/>
              </w:rPr>
            </w:pPr>
            <w:r>
              <w:rPr>
                <w:noProof/>
                <w:szCs w:val="24"/>
              </w:rPr>
              <w:t>EIF</w:t>
            </w:r>
          </w:p>
        </w:tc>
      </w:tr>
      <w:tr w:rsidR="0073489B">
        <w:trPr>
          <w:trHeight w:val="105"/>
        </w:trPr>
        <w:tc>
          <w:tcPr>
            <w:tcW w:w="4899" w:type="dxa"/>
            <w:tcBorders>
              <w:top w:val="single" w:sz="4" w:space="0" w:color="auto"/>
              <w:bottom w:val="single" w:sz="4" w:space="0" w:color="auto"/>
            </w:tcBorders>
            <w:shd w:val="clear" w:color="auto" w:fill="auto"/>
            <w:vAlign w:val="center"/>
          </w:tcPr>
          <w:p w:rsidR="0073489B" w:rsidRDefault="00A46D11">
            <w:pPr>
              <w:spacing w:before="80" w:after="80"/>
              <w:rPr>
                <w:noProof/>
                <w:szCs w:val="24"/>
              </w:rPr>
            </w:pPr>
            <w:r>
              <w:rPr>
                <w:b/>
                <w:noProof/>
                <w:szCs w:val="24"/>
              </w:rPr>
              <w:t>Initial Overall Budget Envelope:</w:t>
            </w:r>
          </w:p>
        </w:tc>
        <w:tc>
          <w:tcPr>
            <w:tcW w:w="4231" w:type="dxa"/>
            <w:tcBorders>
              <w:top w:val="single" w:sz="4" w:space="0" w:color="auto"/>
              <w:bottom w:val="single" w:sz="4" w:space="0" w:color="auto"/>
            </w:tcBorders>
            <w:vAlign w:val="center"/>
          </w:tcPr>
          <w:p w:rsidR="0073489B" w:rsidRDefault="00A46D11">
            <w:pPr>
              <w:spacing w:before="80" w:after="80"/>
              <w:jc w:val="center"/>
              <w:rPr>
                <w:noProof/>
                <w:szCs w:val="24"/>
              </w:rPr>
            </w:pPr>
            <w:r>
              <w:rPr>
                <w:noProof/>
                <w:szCs w:val="24"/>
              </w:rPr>
              <w:t>EUR 717 million</w:t>
            </w:r>
            <w:r>
              <w:rPr>
                <w:rStyle w:val="FootnoteReference"/>
                <w:noProof/>
                <w:szCs w:val="24"/>
              </w:rPr>
              <w:footnoteReference w:id="121"/>
            </w:r>
          </w:p>
        </w:tc>
      </w:tr>
      <w:tr w:rsidR="0073489B">
        <w:trPr>
          <w:trHeight w:val="156"/>
        </w:trPr>
        <w:tc>
          <w:tcPr>
            <w:tcW w:w="4899" w:type="dxa"/>
            <w:tcBorders>
              <w:bottom w:val="single" w:sz="4" w:space="0" w:color="auto"/>
            </w:tcBorders>
            <w:shd w:val="clear" w:color="auto" w:fill="auto"/>
            <w:vAlign w:val="center"/>
          </w:tcPr>
          <w:p w:rsidR="0073489B" w:rsidRDefault="00A46D11">
            <w:pPr>
              <w:spacing w:before="80" w:after="80"/>
              <w:rPr>
                <w:b/>
                <w:noProof/>
                <w:szCs w:val="24"/>
              </w:rPr>
            </w:pPr>
            <w:r>
              <w:rPr>
                <w:b/>
                <w:noProof/>
                <w:szCs w:val="24"/>
              </w:rPr>
              <w:t>Current Overall Budget:</w:t>
            </w:r>
          </w:p>
        </w:tc>
        <w:tc>
          <w:tcPr>
            <w:tcW w:w="4231" w:type="dxa"/>
            <w:tcBorders>
              <w:bottom w:val="single" w:sz="4" w:space="0" w:color="auto"/>
            </w:tcBorders>
            <w:vAlign w:val="center"/>
          </w:tcPr>
          <w:p w:rsidR="0073489B" w:rsidRDefault="00A46D11">
            <w:pPr>
              <w:spacing w:before="80" w:after="80"/>
              <w:jc w:val="center"/>
              <w:rPr>
                <w:noProof/>
                <w:szCs w:val="24"/>
              </w:rPr>
            </w:pPr>
            <w:r>
              <w:rPr>
                <w:noProof/>
                <w:szCs w:val="24"/>
              </w:rPr>
              <w:t>EUR 970 million</w:t>
            </w:r>
            <w:r>
              <w:rPr>
                <w:rStyle w:val="FootnoteReference"/>
                <w:noProof/>
                <w:szCs w:val="24"/>
              </w:rPr>
              <w:footnoteReference w:id="122"/>
            </w:r>
          </w:p>
        </w:tc>
      </w:tr>
    </w:tbl>
    <w:p w:rsidR="0073489B" w:rsidRDefault="0073489B">
      <w:pPr>
        <w:pStyle w:val="Heading4"/>
        <w:numPr>
          <w:ilvl w:val="0"/>
          <w:numId w:val="0"/>
        </w:numPr>
        <w:spacing w:before="120" w:after="160"/>
        <w:rPr>
          <w:noProof/>
        </w:rPr>
      </w:pPr>
    </w:p>
    <w:p w:rsidR="0073489B" w:rsidRDefault="00A46D11">
      <w:pPr>
        <w:pStyle w:val="Heading4"/>
        <w:numPr>
          <w:ilvl w:val="0"/>
          <w:numId w:val="26"/>
        </w:numPr>
        <w:spacing w:before="120"/>
        <w:rPr>
          <w:noProof/>
        </w:rPr>
      </w:pPr>
      <w:r>
        <w:rPr>
          <w:noProof/>
        </w:rPr>
        <w:t>Summary</w:t>
      </w:r>
    </w:p>
    <w:p w:rsidR="0073489B" w:rsidRDefault="00A46D11">
      <w:pPr>
        <w:spacing w:after="60"/>
        <w:jc w:val="both"/>
        <w:rPr>
          <w:noProof/>
          <w:szCs w:val="24"/>
          <w:lang w:val="en-US"/>
        </w:rPr>
      </w:pPr>
      <w:r>
        <w:rPr>
          <w:noProof/>
          <w:szCs w:val="24"/>
          <w:lang w:val="en-US"/>
        </w:rPr>
        <w:t>The successful roll-out of the LGF continued in 2016, also thanks</w:t>
      </w:r>
      <w:r>
        <w:rPr>
          <w:noProof/>
          <w:szCs w:val="24"/>
          <w:lang w:val="en-US"/>
        </w:rPr>
        <w:t xml:space="preserve"> to the additional risk bearing capacity available from the SME Window of EFSI, with more than 143 000 SMEs already having received financing, with a strong focus on the smaller and younger SMEs which have more difficulties in getting the financing due to </w:t>
      </w:r>
      <w:r>
        <w:rPr>
          <w:noProof/>
          <w:szCs w:val="24"/>
          <w:lang w:val="en-US"/>
        </w:rPr>
        <w:t>risk considerations.</w:t>
      </w:r>
    </w:p>
    <w:p w:rsidR="0073489B" w:rsidRDefault="0073489B">
      <w:pPr>
        <w:spacing w:before="200" w:after="60"/>
        <w:rPr>
          <w:noProof/>
          <w:szCs w:val="24"/>
        </w:rPr>
      </w:pPr>
    </w:p>
    <w:p w:rsidR="0073489B" w:rsidRDefault="00A46D11">
      <w:pPr>
        <w:pStyle w:val="Heading4"/>
        <w:numPr>
          <w:ilvl w:val="0"/>
          <w:numId w:val="26"/>
        </w:numPr>
        <w:rPr>
          <w:i/>
          <w:noProof/>
        </w:rPr>
      </w:pPr>
      <w:r>
        <w:rPr>
          <w:noProof/>
        </w:rPr>
        <w:t>Description</w:t>
      </w:r>
      <w:bookmarkEnd w:id="183"/>
      <w:bookmarkEnd w:id="184"/>
    </w:p>
    <w:p w:rsidR="0073489B" w:rsidRDefault="00A46D11">
      <w:pPr>
        <w:pStyle w:val="Heading5"/>
        <w:numPr>
          <w:ilvl w:val="0"/>
          <w:numId w:val="27"/>
        </w:numPr>
        <w:spacing w:before="120"/>
        <w:ind w:left="284" w:firstLine="0"/>
        <w:jc w:val="both"/>
        <w:rPr>
          <w:noProof/>
        </w:rPr>
      </w:pPr>
      <w:bookmarkStart w:id="185" w:name="_Toc387228849"/>
      <w:r>
        <w:rPr>
          <w:noProof/>
        </w:rPr>
        <w:t>Identification of the financial instrument and the basic act</w:t>
      </w:r>
      <w:bookmarkEnd w:id="185"/>
      <w:r>
        <w:rPr>
          <w:noProof/>
        </w:rPr>
        <w:t>;</w:t>
      </w:r>
    </w:p>
    <w:p w:rsidR="0073489B" w:rsidRDefault="00A46D11">
      <w:pPr>
        <w:spacing w:after="60"/>
        <w:ind w:firstLine="3"/>
        <w:jc w:val="both"/>
        <w:rPr>
          <w:noProof/>
          <w:szCs w:val="24"/>
        </w:rPr>
      </w:pPr>
      <w:r>
        <w:rPr>
          <w:noProof/>
          <w:szCs w:val="24"/>
        </w:rPr>
        <w:t>Regulation (</w:t>
      </w:r>
      <w:r>
        <w:rPr>
          <w:noProof/>
        </w:rPr>
        <w:t>EU</w:t>
      </w:r>
      <w:r>
        <w:rPr>
          <w:noProof/>
          <w:szCs w:val="24"/>
        </w:rPr>
        <w:t>) No 1287/2013 of the European Parliament and of the Council of 11 December 2013 establishing a Programme for the Competitiveness of Enterprises a</w:t>
      </w:r>
      <w:r>
        <w:rPr>
          <w:noProof/>
          <w:szCs w:val="24"/>
        </w:rPr>
        <w:t>nd small and medium-sized enterprises (COSME) (2014 – 2020) and repealing Decision No 1639/2006/EC (O.J. L347, 20.12.2013).</w:t>
      </w:r>
    </w:p>
    <w:p w:rsidR="0073489B" w:rsidRDefault="00A46D11">
      <w:pPr>
        <w:pStyle w:val="Heading5"/>
        <w:numPr>
          <w:ilvl w:val="0"/>
          <w:numId w:val="77"/>
        </w:numPr>
        <w:spacing w:before="120"/>
        <w:ind w:left="284" w:firstLine="0"/>
        <w:jc w:val="both"/>
        <w:rPr>
          <w:noProof/>
        </w:rPr>
      </w:pPr>
      <w:bookmarkStart w:id="186" w:name="_Toc387228850"/>
      <w:r>
        <w:rPr>
          <w:noProof/>
        </w:rPr>
        <w:t>Description of the financial instrument, implementation arrangements and the added value of the Union contribution</w:t>
      </w:r>
      <w:bookmarkEnd w:id="186"/>
      <w:r>
        <w:rPr>
          <w:noProof/>
        </w:rPr>
        <w:t>;</w:t>
      </w:r>
    </w:p>
    <w:p w:rsidR="0073489B" w:rsidRDefault="00A46D11">
      <w:pPr>
        <w:jc w:val="both"/>
        <w:rPr>
          <w:i/>
          <w:noProof/>
          <w:szCs w:val="24"/>
        </w:rPr>
      </w:pPr>
      <w:r>
        <w:rPr>
          <w:i/>
          <w:noProof/>
          <w:szCs w:val="24"/>
        </w:rPr>
        <w:t xml:space="preserve">Policy </w:t>
      </w:r>
      <w:r>
        <w:rPr>
          <w:i/>
          <w:noProof/>
          <w:szCs w:val="24"/>
        </w:rPr>
        <w:t>objectives and scope</w:t>
      </w:r>
    </w:p>
    <w:p w:rsidR="0073489B" w:rsidRDefault="00A46D11">
      <w:pPr>
        <w:spacing w:after="60"/>
        <w:jc w:val="both"/>
        <w:rPr>
          <w:noProof/>
          <w:szCs w:val="24"/>
        </w:rPr>
      </w:pPr>
      <w:r>
        <w:rPr>
          <w:noProof/>
          <w:szCs w:val="24"/>
        </w:rPr>
        <w:t xml:space="preserve">In line with the Europe 2020 strategy, the overall policy objective of the COSME Financial Instruments is to improve access to finance for SMEs in </w:t>
      </w:r>
      <w:r>
        <w:rPr>
          <w:noProof/>
        </w:rPr>
        <w:t>the</w:t>
      </w:r>
      <w:r>
        <w:rPr>
          <w:noProof/>
          <w:szCs w:val="24"/>
        </w:rPr>
        <w:t xml:space="preserve"> form of equity and debt. Under the LGF, this will be achieved by incentivising finan</w:t>
      </w:r>
      <w:r>
        <w:rPr>
          <w:noProof/>
          <w:szCs w:val="24"/>
        </w:rPr>
        <w:t>cial intermediaries to provide financing to those SMEs which the financial intermediary would under its normal business practices not finance due to the higher risks involved.</w:t>
      </w:r>
    </w:p>
    <w:p w:rsidR="0073489B" w:rsidRDefault="00A46D11">
      <w:pPr>
        <w:keepNext/>
        <w:spacing w:after="60"/>
        <w:ind w:right="142"/>
        <w:jc w:val="both"/>
        <w:rPr>
          <w:noProof/>
          <w:szCs w:val="24"/>
        </w:rPr>
      </w:pPr>
      <w:r>
        <w:rPr>
          <w:noProof/>
          <w:szCs w:val="24"/>
        </w:rPr>
        <w:t>The Loan Guarantee Facility</w:t>
      </w:r>
      <w:r>
        <w:rPr>
          <w:noProof/>
        </w:rPr>
        <w:t xml:space="preserve"> (LGF) </w:t>
      </w:r>
      <w:r>
        <w:rPr>
          <w:noProof/>
          <w:szCs w:val="24"/>
        </w:rPr>
        <w:t>provides:</w:t>
      </w:r>
    </w:p>
    <w:p w:rsidR="0073489B" w:rsidRDefault="00A46D11">
      <w:pPr>
        <w:keepNext/>
        <w:numPr>
          <w:ilvl w:val="0"/>
          <w:numId w:val="140"/>
        </w:numPr>
        <w:ind w:left="567" w:right="142" w:hanging="567"/>
        <w:jc w:val="both"/>
        <w:rPr>
          <w:noProof/>
          <w:szCs w:val="24"/>
        </w:rPr>
      </w:pPr>
      <w:r>
        <w:rPr>
          <w:noProof/>
          <w:szCs w:val="24"/>
        </w:rPr>
        <w:t xml:space="preserve">counter-guarantees and other risk </w:t>
      </w:r>
      <w:r>
        <w:rPr>
          <w:noProof/>
          <w:szCs w:val="24"/>
        </w:rPr>
        <w:t>sharing arrangements for guarantee schemes;</w:t>
      </w:r>
    </w:p>
    <w:p w:rsidR="0073489B" w:rsidRDefault="00A46D11">
      <w:pPr>
        <w:numPr>
          <w:ilvl w:val="0"/>
          <w:numId w:val="140"/>
        </w:numPr>
        <w:ind w:left="567" w:right="141" w:hanging="567"/>
        <w:jc w:val="both"/>
        <w:rPr>
          <w:noProof/>
          <w:szCs w:val="24"/>
        </w:rPr>
      </w:pPr>
      <w:r>
        <w:rPr>
          <w:noProof/>
          <w:szCs w:val="24"/>
        </w:rPr>
        <w:t>direct guarantees and other risk sharing arrangements for any other financial intermediaries meeting the eligibility criteria.</w:t>
      </w:r>
    </w:p>
    <w:p w:rsidR="0073489B" w:rsidRDefault="00A46D11">
      <w:pPr>
        <w:spacing w:after="60"/>
        <w:jc w:val="both"/>
        <w:rPr>
          <w:noProof/>
          <w:szCs w:val="24"/>
        </w:rPr>
      </w:pPr>
      <w:r>
        <w:rPr>
          <w:noProof/>
          <w:szCs w:val="24"/>
        </w:rPr>
        <w:lastRenderedPageBreak/>
        <w:t>The LGF consists of:</w:t>
      </w:r>
    </w:p>
    <w:p w:rsidR="0073489B" w:rsidRDefault="00A46D11">
      <w:pPr>
        <w:numPr>
          <w:ilvl w:val="0"/>
          <w:numId w:val="140"/>
        </w:numPr>
        <w:ind w:left="567" w:right="141" w:hanging="567"/>
        <w:jc w:val="both"/>
        <w:rPr>
          <w:noProof/>
          <w:szCs w:val="24"/>
        </w:rPr>
      </w:pPr>
      <w:r>
        <w:rPr>
          <w:noProof/>
          <w:szCs w:val="24"/>
        </w:rPr>
        <w:t>capped portfolio guarantees for debt financing covering any type</w:t>
      </w:r>
      <w:r>
        <w:rPr>
          <w:noProof/>
          <w:szCs w:val="24"/>
        </w:rPr>
        <w:t xml:space="preserve"> of loans, including subordinated and participating loans, bank guarantees, leasing transactions and working capital financing;</w:t>
      </w:r>
    </w:p>
    <w:p w:rsidR="0073489B" w:rsidRDefault="00A46D11">
      <w:pPr>
        <w:numPr>
          <w:ilvl w:val="0"/>
          <w:numId w:val="140"/>
        </w:numPr>
        <w:ind w:left="567" w:right="141" w:hanging="567"/>
        <w:jc w:val="both"/>
        <w:rPr>
          <w:noProof/>
          <w:szCs w:val="24"/>
        </w:rPr>
      </w:pPr>
      <w:r>
        <w:rPr>
          <w:noProof/>
          <w:szCs w:val="24"/>
        </w:rPr>
        <w:t xml:space="preserve">securitisation of SME debt finance portfolios, providing guarantee coverage on a part of the mezzanine tranche of a securitised </w:t>
      </w:r>
      <w:r>
        <w:rPr>
          <w:noProof/>
          <w:szCs w:val="24"/>
        </w:rPr>
        <w:t>SME lending portfolio coupled with an undertaking by the originating institutions to build up a new SME loan portfolio.</w:t>
      </w:r>
    </w:p>
    <w:p w:rsidR="0073489B" w:rsidRDefault="00A46D11">
      <w:pPr>
        <w:spacing w:after="60"/>
        <w:jc w:val="both"/>
        <w:rPr>
          <w:noProof/>
          <w:szCs w:val="24"/>
        </w:rPr>
      </w:pPr>
      <w:r>
        <w:rPr>
          <w:noProof/>
          <w:szCs w:val="24"/>
        </w:rPr>
        <w:t>The LGF covers, except for loans in the securitised portfolio, loans up to EUR 150 000 and with a minimum maturity of 12 months. The LGF</w:t>
      </w:r>
      <w:r>
        <w:rPr>
          <w:noProof/>
          <w:szCs w:val="24"/>
        </w:rPr>
        <w:t xml:space="preserve"> may also cover loans above EUR 150 000 in cases where SMEs would not meet the </w:t>
      </w:r>
      <w:r>
        <w:rPr>
          <w:rFonts w:eastAsia="Times New Roman"/>
          <w:bCs/>
          <w:noProof/>
          <w:szCs w:val="24"/>
          <w:lang w:eastAsia="fr-FR"/>
        </w:rPr>
        <w:t>innovation criteria specified</w:t>
      </w:r>
      <w:r>
        <w:rPr>
          <w:noProof/>
          <w:szCs w:val="24"/>
        </w:rPr>
        <w:t xml:space="preserve"> under the SME window of the Debt Facility of the Horizon 2020 programme (the InnovFin SME Guarantee Facility). </w:t>
      </w:r>
    </w:p>
    <w:p w:rsidR="0073489B" w:rsidRDefault="00A46D11">
      <w:pPr>
        <w:jc w:val="both"/>
        <w:rPr>
          <w:i/>
          <w:noProof/>
          <w:szCs w:val="24"/>
        </w:rPr>
      </w:pPr>
      <w:r>
        <w:rPr>
          <w:i/>
          <w:noProof/>
          <w:szCs w:val="24"/>
        </w:rPr>
        <w:t>Implementation arrangements</w:t>
      </w:r>
    </w:p>
    <w:p w:rsidR="0073489B" w:rsidRDefault="00A46D11">
      <w:pPr>
        <w:spacing w:after="60"/>
        <w:jc w:val="both"/>
        <w:rPr>
          <w:noProof/>
          <w:szCs w:val="24"/>
        </w:rPr>
      </w:pPr>
      <w:r>
        <w:rPr>
          <w:noProof/>
          <w:szCs w:val="24"/>
        </w:rPr>
        <w:t>The LGF</w:t>
      </w:r>
      <w:r>
        <w:rPr>
          <w:noProof/>
          <w:szCs w:val="24"/>
        </w:rPr>
        <w:t xml:space="preserve"> is implemented by the EIF on behalf of the Commission, </w:t>
      </w:r>
      <w:r>
        <w:rPr>
          <w:rFonts w:eastAsia="Times New Roman"/>
          <w:bCs/>
          <w:noProof/>
          <w:szCs w:val="24"/>
          <w:lang w:eastAsia="fr-FR"/>
        </w:rPr>
        <w:t>as part of the single EU debt financial instrument for EU enterprises’ growth and research and innovation (R&amp;I), together with the InnovFin SME Guarantee Facility set up under the Horizon 2020 program</w:t>
      </w:r>
      <w:r>
        <w:rPr>
          <w:rFonts w:eastAsia="Times New Roman"/>
          <w:bCs/>
          <w:noProof/>
          <w:szCs w:val="24"/>
          <w:lang w:eastAsia="fr-FR"/>
        </w:rPr>
        <w:t>me</w:t>
      </w:r>
      <w:r>
        <w:rPr>
          <w:noProof/>
          <w:szCs w:val="24"/>
        </w:rPr>
        <w:t>. The Delegation Agreement signed with the EIF on 22 July 2014 ensures that the LGF is accessible for a broad range of financial intermediaries (guarantee societies, national promotional institutes, commercial banks, cooperatives, etc.) which are experie</w:t>
      </w:r>
      <w:r>
        <w:rPr>
          <w:noProof/>
          <w:szCs w:val="24"/>
        </w:rPr>
        <w:t>nced in financial transactions with SMEs or which have the capacity to enter into financial transactions with SMEs.</w:t>
      </w:r>
    </w:p>
    <w:p w:rsidR="0073489B" w:rsidRDefault="00A46D11">
      <w:pPr>
        <w:spacing w:after="60"/>
        <w:jc w:val="both"/>
        <w:rPr>
          <w:noProof/>
          <w:szCs w:val="24"/>
        </w:rPr>
      </w:pPr>
      <w:r>
        <w:rPr>
          <w:noProof/>
          <w:szCs w:val="24"/>
        </w:rPr>
        <w:t xml:space="preserve">Target final recipients under the capped portfolio guarantees and the securitisation transactions are SMEs without a specific sector focus. </w:t>
      </w:r>
      <w:r>
        <w:rPr>
          <w:noProof/>
          <w:szCs w:val="24"/>
        </w:rPr>
        <w:t>The guarantee instrument is planned to last until 31 December 2034 (until last operations are wound down). Individual guarantee agreements to be signed by the entrusted entity will have a maximum duration of 10 years.</w:t>
      </w:r>
    </w:p>
    <w:p w:rsidR="0073489B" w:rsidRDefault="00A46D11">
      <w:pPr>
        <w:spacing w:after="60"/>
        <w:jc w:val="both"/>
        <w:rPr>
          <w:noProof/>
          <w:szCs w:val="24"/>
        </w:rPr>
      </w:pPr>
      <w:r>
        <w:rPr>
          <w:noProof/>
          <w:szCs w:val="24"/>
        </w:rPr>
        <w:t>The LGF may also contribute to the fin</w:t>
      </w:r>
      <w:r>
        <w:rPr>
          <w:noProof/>
          <w:szCs w:val="24"/>
        </w:rPr>
        <w:t>ancial instruments to be deployed under the SME initiative, a joint instrument combining EU funds available under COSME and/or Horizon 2020 and ESIF resources in cooperation with EIB/EIF with a view to generate additional lending to SMEs in specific Member</w:t>
      </w:r>
      <w:r>
        <w:rPr>
          <w:noProof/>
          <w:szCs w:val="24"/>
        </w:rPr>
        <w:t xml:space="preserve"> States. This contribution may take the form of uncapped portfolio guarantees or guarantees on the middle mezzanine tranche of securitisation operations.</w:t>
      </w:r>
    </w:p>
    <w:p w:rsidR="0073489B" w:rsidRDefault="00A46D11">
      <w:pPr>
        <w:spacing w:after="60"/>
        <w:jc w:val="both"/>
        <w:rPr>
          <w:noProof/>
          <w:szCs w:val="24"/>
        </w:rPr>
      </w:pPr>
      <w:r>
        <w:rPr>
          <w:noProof/>
          <w:szCs w:val="24"/>
        </w:rPr>
        <w:t>The EIF is responsible for evaluating and selecting the financial intermediaries by applying selection</w:t>
      </w:r>
      <w:r>
        <w:rPr>
          <w:noProof/>
          <w:szCs w:val="24"/>
        </w:rPr>
        <w:t xml:space="preserve"> criteria and processes set out in the Delegation Agreement. The related open call for expression of interest for financial intermediaries published by the EIF is available at</w:t>
      </w:r>
    </w:p>
    <w:p w:rsidR="0073489B" w:rsidRDefault="00A46D11">
      <w:pPr>
        <w:spacing w:after="60"/>
        <w:jc w:val="both"/>
        <w:rPr>
          <w:noProof/>
          <w:szCs w:val="24"/>
        </w:rPr>
      </w:pPr>
      <w:hyperlink r:id="rId41" w:history="1">
        <w:r>
          <w:rPr>
            <w:rStyle w:val="Hyperlink"/>
            <w:noProof/>
            <w:color w:val="auto"/>
            <w:szCs w:val="24"/>
          </w:rPr>
          <w:t>http://www.eif.org/what_we_do/guarantees/single_eu_debt_instrument/cosme-loan-facility-growth/index.htm</w:t>
        </w:r>
      </w:hyperlink>
    </w:p>
    <w:p w:rsidR="0073489B" w:rsidRDefault="00A46D11">
      <w:pPr>
        <w:jc w:val="both"/>
        <w:rPr>
          <w:i/>
          <w:noProof/>
          <w:szCs w:val="24"/>
        </w:rPr>
      </w:pPr>
      <w:r>
        <w:rPr>
          <w:i/>
          <w:noProof/>
          <w:szCs w:val="24"/>
        </w:rPr>
        <w:t>Added value</w:t>
      </w:r>
    </w:p>
    <w:p w:rsidR="0073489B" w:rsidRDefault="00A46D11">
      <w:pPr>
        <w:spacing w:after="60"/>
        <w:jc w:val="both"/>
        <w:rPr>
          <w:noProof/>
          <w:szCs w:val="24"/>
        </w:rPr>
      </w:pPr>
      <w:r>
        <w:rPr>
          <w:noProof/>
          <w:szCs w:val="24"/>
        </w:rPr>
        <w:t>The EIF provides under the LGF (counter-)guarantees for a portfolio of newly generated SMEs transact</w:t>
      </w:r>
      <w:r>
        <w:rPr>
          <w:noProof/>
          <w:szCs w:val="24"/>
        </w:rPr>
        <w:t>ions which have a higher risk profile than transactions offered by the financial intermediary under its normal business practice, thereby providing financing to SMEs who otherwise would not be able to obtain financing.</w:t>
      </w:r>
    </w:p>
    <w:p w:rsidR="0073489B" w:rsidRDefault="00A46D11">
      <w:pPr>
        <w:pStyle w:val="Heading5"/>
        <w:spacing w:before="120"/>
        <w:ind w:left="284" w:firstLine="0"/>
        <w:rPr>
          <w:noProof/>
        </w:rPr>
      </w:pPr>
      <w:bookmarkStart w:id="187" w:name="_Toc387228851"/>
      <w:r>
        <w:rPr>
          <w:noProof/>
        </w:rPr>
        <w:t>The financial institutions involved i</w:t>
      </w:r>
      <w:r>
        <w:rPr>
          <w:noProof/>
        </w:rPr>
        <w:t>n implementation</w:t>
      </w:r>
      <w:bookmarkEnd w:id="187"/>
      <w:r>
        <w:rPr>
          <w:noProof/>
        </w:rPr>
        <w:t>;</w:t>
      </w:r>
    </w:p>
    <w:p w:rsidR="0073489B" w:rsidRDefault="00A46D11">
      <w:pPr>
        <w:spacing w:after="60"/>
        <w:rPr>
          <w:noProof/>
          <w:szCs w:val="24"/>
        </w:rPr>
      </w:pPr>
      <w:r>
        <w:rPr>
          <w:noProof/>
          <w:szCs w:val="24"/>
        </w:rPr>
        <w:t xml:space="preserve">European Investment Fund (EIF) </w:t>
      </w:r>
    </w:p>
    <w:p w:rsidR="0073489B" w:rsidRDefault="0073489B">
      <w:pPr>
        <w:spacing w:after="60"/>
        <w:rPr>
          <w:noProof/>
          <w:szCs w:val="24"/>
        </w:rPr>
      </w:pPr>
    </w:p>
    <w:p w:rsidR="0073489B" w:rsidRDefault="00A46D11">
      <w:pPr>
        <w:pStyle w:val="Heading4"/>
        <w:rPr>
          <w:noProof/>
        </w:rPr>
      </w:pPr>
      <w:bookmarkStart w:id="188" w:name="_Toc387228852"/>
      <w:bookmarkStart w:id="189" w:name="_Toc388541899"/>
      <w:r>
        <w:rPr>
          <w:noProof/>
        </w:rPr>
        <w:lastRenderedPageBreak/>
        <w:t>Implementation</w:t>
      </w:r>
      <w:bookmarkEnd w:id="188"/>
      <w:bookmarkEnd w:id="189"/>
    </w:p>
    <w:p w:rsidR="0073489B" w:rsidRDefault="00A46D11">
      <w:pPr>
        <w:pStyle w:val="Heading5"/>
        <w:spacing w:before="120"/>
        <w:ind w:left="284" w:firstLine="0"/>
        <w:rPr>
          <w:noProof/>
        </w:rPr>
      </w:pPr>
      <w:bookmarkStart w:id="190" w:name="_Toc387228853"/>
      <w:r>
        <w:rPr>
          <w:noProof/>
        </w:rPr>
        <w:t>The aggregate budgetary commitments and payments from the budget</w:t>
      </w:r>
      <w:bookmarkEnd w:id="190"/>
      <w:r>
        <w:rPr>
          <w:noProof/>
        </w:rPr>
        <w:t>;</w:t>
      </w:r>
    </w:p>
    <w:p w:rsidR="0073489B" w:rsidRDefault="00A46D11">
      <w:pPr>
        <w:keepNext/>
        <w:tabs>
          <w:tab w:val="right" w:pos="8505"/>
        </w:tabs>
        <w:ind w:left="68" w:right="142"/>
        <w:rPr>
          <w:noProof/>
          <w:szCs w:val="24"/>
        </w:rPr>
      </w:pPr>
      <w:r>
        <w:rPr>
          <w:noProof/>
          <w:szCs w:val="24"/>
        </w:rPr>
        <w:t>Aggregate budgetary commitments as at 31/12/2016</w:t>
      </w:r>
      <w:r>
        <w:rPr>
          <w:noProof/>
          <w:szCs w:val="24"/>
        </w:rPr>
        <w:tab/>
        <w:t xml:space="preserve">EUR 375 525 065 </w:t>
      </w:r>
    </w:p>
    <w:p w:rsidR="0073489B" w:rsidRDefault="00A46D11">
      <w:pPr>
        <w:keepNext/>
        <w:tabs>
          <w:tab w:val="right" w:pos="8505"/>
        </w:tabs>
        <w:spacing w:after="160"/>
        <w:ind w:left="425" w:right="142" w:hanging="357"/>
        <w:rPr>
          <w:noProof/>
          <w:szCs w:val="24"/>
        </w:rPr>
      </w:pPr>
      <w:r>
        <w:rPr>
          <w:noProof/>
          <w:szCs w:val="24"/>
        </w:rPr>
        <w:t>Aggregate budgetary payments as at 31/12/2016</w:t>
      </w:r>
      <w:r>
        <w:rPr>
          <w:noProof/>
          <w:szCs w:val="24"/>
        </w:rPr>
        <w:tab/>
        <w:t xml:space="preserve">EUR 182 966 </w:t>
      </w:r>
      <w:r>
        <w:rPr>
          <w:noProof/>
          <w:szCs w:val="24"/>
        </w:rPr>
        <w:t>661</w:t>
      </w:r>
    </w:p>
    <w:p w:rsidR="0073489B" w:rsidRDefault="00A46D11">
      <w:pPr>
        <w:pStyle w:val="Heading5"/>
        <w:spacing w:before="200" w:after="160"/>
        <w:ind w:left="284" w:firstLine="0"/>
        <w:rPr>
          <w:i/>
          <w:noProof/>
        </w:rPr>
      </w:pPr>
      <w:bookmarkStart w:id="191" w:name="_Toc387228854"/>
      <w:r>
        <w:rPr>
          <w:noProof/>
        </w:rPr>
        <w:t>The performance of the financial instrument, including investments realised</w:t>
      </w:r>
      <w:bookmarkEnd w:id="191"/>
      <w:r>
        <w:rPr>
          <w:noProof/>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793"/>
      </w:tblGrid>
      <w:tr w:rsidR="0073489B">
        <w:trPr>
          <w:trHeight w:val="1811"/>
        </w:trPr>
        <w:tc>
          <w:tcPr>
            <w:tcW w:w="5245" w:type="dxa"/>
            <w:shd w:val="clear" w:color="auto" w:fill="auto"/>
            <w:vAlign w:val="center"/>
          </w:tcPr>
          <w:p w:rsidR="0073489B" w:rsidRDefault="00A46D11">
            <w:pPr>
              <w:pStyle w:val="ListParagraph"/>
              <w:spacing w:after="100"/>
              <w:ind w:left="0"/>
              <w:jc w:val="both"/>
              <w:rPr>
                <w:noProof/>
                <w:szCs w:val="24"/>
              </w:rPr>
            </w:pPr>
            <w:r>
              <w:rPr>
                <w:noProof/>
                <w:szCs w:val="24"/>
              </w:rPr>
              <w:t xml:space="preserve">Amount of EU Contribution committed to financial intermediaries, </w:t>
            </w:r>
          </w:p>
          <w:p w:rsidR="0073489B" w:rsidRDefault="00A46D11">
            <w:pPr>
              <w:pStyle w:val="ListParagraph"/>
              <w:spacing w:after="120"/>
              <w:ind w:left="0"/>
              <w:jc w:val="both"/>
              <w:rPr>
                <w:i/>
                <w:noProof/>
                <w:szCs w:val="24"/>
              </w:rPr>
            </w:pPr>
            <w:r>
              <w:rPr>
                <w:i/>
                <w:noProof/>
                <w:szCs w:val="24"/>
              </w:rPr>
              <w:t>out of which thanks to combined COSME/EFSI resources,</w:t>
            </w:r>
          </w:p>
          <w:p w:rsidR="0073489B" w:rsidRDefault="00A46D11">
            <w:pPr>
              <w:pStyle w:val="ListParagraph"/>
              <w:spacing w:after="100"/>
              <w:ind w:left="0"/>
              <w:jc w:val="both"/>
              <w:rPr>
                <w:noProof/>
                <w:szCs w:val="24"/>
              </w:rPr>
            </w:pPr>
            <w:r>
              <w:rPr>
                <w:noProof/>
                <w:szCs w:val="24"/>
              </w:rPr>
              <w:t>and the corresponding number of financial intermediarie</w:t>
            </w:r>
            <w:r>
              <w:rPr>
                <w:noProof/>
                <w:szCs w:val="24"/>
              </w:rPr>
              <w:t>s ,</w:t>
            </w:r>
          </w:p>
          <w:p w:rsidR="0073489B" w:rsidRDefault="00A46D11">
            <w:pPr>
              <w:pStyle w:val="ListParagraph"/>
              <w:spacing w:after="60"/>
              <w:ind w:left="0"/>
              <w:jc w:val="both"/>
              <w:rPr>
                <w:noProof/>
                <w:szCs w:val="24"/>
              </w:rPr>
            </w:pPr>
            <w:r>
              <w:rPr>
                <w:i/>
                <w:noProof/>
                <w:szCs w:val="24"/>
              </w:rPr>
              <w:t>out of which thanks to combined COSME/EFSI resources</w:t>
            </w:r>
            <w:r>
              <w:rPr>
                <w:noProof/>
                <w:szCs w:val="24"/>
              </w:rPr>
              <w:t>;</w:t>
            </w:r>
          </w:p>
        </w:tc>
        <w:tc>
          <w:tcPr>
            <w:tcW w:w="3793" w:type="dxa"/>
            <w:shd w:val="clear" w:color="auto" w:fill="auto"/>
            <w:vAlign w:val="center"/>
          </w:tcPr>
          <w:p w:rsidR="0073489B" w:rsidRDefault="00A46D11">
            <w:pPr>
              <w:spacing w:after="100"/>
              <w:ind w:right="141"/>
              <w:contextualSpacing/>
              <w:jc w:val="center"/>
              <w:rPr>
                <w:i/>
                <w:noProof/>
                <w:szCs w:val="24"/>
                <w:lang w:val="fr-BE"/>
              </w:rPr>
            </w:pPr>
            <w:r>
              <w:rPr>
                <w:noProof/>
                <w:szCs w:val="24"/>
                <w:lang w:val="fr-BE"/>
              </w:rPr>
              <w:t>EUR 611,7 million</w:t>
            </w:r>
            <w:r>
              <w:rPr>
                <w:noProof/>
                <w:szCs w:val="24"/>
                <w:lang w:val="fr-BE"/>
              </w:rPr>
              <w:br/>
            </w:r>
            <w:r>
              <w:rPr>
                <w:noProof/>
                <w:szCs w:val="24"/>
                <w:lang w:val="fr-BE"/>
              </w:rPr>
              <w:br/>
            </w:r>
            <w:r>
              <w:rPr>
                <w:i/>
                <w:noProof/>
                <w:szCs w:val="24"/>
                <w:lang w:val="fr-BE"/>
              </w:rPr>
              <w:t>EUR 495,1 million</w:t>
            </w:r>
            <w:r>
              <w:rPr>
                <w:i/>
                <w:noProof/>
                <w:szCs w:val="24"/>
                <w:lang w:val="fr-BE"/>
              </w:rPr>
              <w:br/>
            </w:r>
          </w:p>
          <w:p w:rsidR="0073489B" w:rsidRDefault="00A46D11">
            <w:pPr>
              <w:spacing w:after="100"/>
              <w:ind w:right="141"/>
              <w:contextualSpacing/>
              <w:jc w:val="center"/>
              <w:rPr>
                <w:noProof/>
                <w:szCs w:val="24"/>
                <w:lang w:val="fr-BE"/>
              </w:rPr>
            </w:pPr>
            <w:r>
              <w:rPr>
                <w:noProof/>
                <w:szCs w:val="24"/>
                <w:lang w:val="fr-BE"/>
              </w:rPr>
              <w:t>61 FIs</w:t>
            </w:r>
            <w:r>
              <w:rPr>
                <w:noProof/>
                <w:szCs w:val="24"/>
                <w:lang w:val="fr-BE"/>
              </w:rPr>
              <w:br/>
            </w:r>
          </w:p>
          <w:p w:rsidR="0073489B" w:rsidRDefault="00A46D11">
            <w:pPr>
              <w:spacing w:after="100"/>
              <w:ind w:right="141"/>
              <w:contextualSpacing/>
              <w:jc w:val="center"/>
              <w:rPr>
                <w:i/>
                <w:noProof/>
                <w:szCs w:val="24"/>
              </w:rPr>
            </w:pPr>
            <w:r>
              <w:rPr>
                <w:i/>
                <w:noProof/>
                <w:szCs w:val="24"/>
              </w:rPr>
              <w:t>52 FIs</w:t>
            </w:r>
          </w:p>
          <w:p w:rsidR="0073489B" w:rsidRDefault="0073489B">
            <w:pPr>
              <w:spacing w:after="100"/>
              <w:ind w:right="141"/>
              <w:contextualSpacing/>
              <w:jc w:val="center"/>
              <w:rPr>
                <w:noProof/>
                <w:szCs w:val="24"/>
              </w:rPr>
            </w:pPr>
          </w:p>
        </w:tc>
      </w:tr>
      <w:tr w:rsidR="0073489B">
        <w:trPr>
          <w:trHeight w:val="1233"/>
        </w:trPr>
        <w:tc>
          <w:tcPr>
            <w:tcW w:w="5245" w:type="dxa"/>
            <w:shd w:val="clear" w:color="auto" w:fill="auto"/>
            <w:vAlign w:val="center"/>
          </w:tcPr>
          <w:p w:rsidR="0073489B" w:rsidRDefault="00A46D11">
            <w:pPr>
              <w:pStyle w:val="ListParagraph"/>
              <w:spacing w:after="100"/>
              <w:ind w:left="0"/>
              <w:jc w:val="both"/>
              <w:rPr>
                <w:noProof/>
                <w:szCs w:val="24"/>
              </w:rPr>
            </w:pPr>
            <w:r>
              <w:rPr>
                <w:noProof/>
                <w:szCs w:val="24"/>
              </w:rPr>
              <w:t>Amount of financing expected to be provided by financial intermediaries to eligible final recipients,</w:t>
            </w:r>
          </w:p>
          <w:p w:rsidR="0073489B" w:rsidRDefault="00A46D11">
            <w:pPr>
              <w:pStyle w:val="ListParagraph"/>
              <w:spacing w:after="100"/>
              <w:ind w:left="0"/>
              <w:jc w:val="both"/>
              <w:rPr>
                <w:noProof/>
                <w:szCs w:val="24"/>
              </w:rPr>
            </w:pPr>
            <w:r>
              <w:rPr>
                <w:i/>
                <w:noProof/>
                <w:szCs w:val="24"/>
              </w:rPr>
              <w:t xml:space="preserve">out of which thanks to combined </w:t>
            </w:r>
            <w:r>
              <w:rPr>
                <w:i/>
                <w:noProof/>
                <w:szCs w:val="24"/>
              </w:rPr>
              <w:t>COSME/EFSI resources</w:t>
            </w:r>
            <w:r>
              <w:rPr>
                <w:noProof/>
                <w:szCs w:val="24"/>
              </w:rPr>
              <w:t xml:space="preserve"> ,</w:t>
            </w:r>
          </w:p>
          <w:p w:rsidR="0073489B" w:rsidRDefault="00A46D11">
            <w:pPr>
              <w:pStyle w:val="ListParagraph"/>
              <w:spacing w:after="100"/>
              <w:ind w:left="0"/>
              <w:jc w:val="both"/>
              <w:rPr>
                <w:noProof/>
                <w:szCs w:val="24"/>
              </w:rPr>
            </w:pPr>
            <w:r>
              <w:rPr>
                <w:noProof/>
                <w:szCs w:val="24"/>
              </w:rPr>
              <w:t>and expected number of eligible final recipients</w:t>
            </w:r>
          </w:p>
          <w:p w:rsidR="0073489B" w:rsidRDefault="00A46D11">
            <w:pPr>
              <w:pStyle w:val="ListParagraph"/>
              <w:spacing w:after="60"/>
              <w:ind w:left="0"/>
              <w:jc w:val="both"/>
              <w:rPr>
                <w:noProof/>
                <w:szCs w:val="24"/>
              </w:rPr>
            </w:pPr>
            <w:r>
              <w:rPr>
                <w:i/>
                <w:noProof/>
                <w:szCs w:val="24"/>
              </w:rPr>
              <w:t>out of which thanks to combined COSME/EFSI resources</w:t>
            </w:r>
            <w:r>
              <w:rPr>
                <w:noProof/>
                <w:szCs w:val="24"/>
              </w:rPr>
              <w:t>;</w:t>
            </w:r>
          </w:p>
        </w:tc>
        <w:tc>
          <w:tcPr>
            <w:tcW w:w="3793" w:type="dxa"/>
            <w:shd w:val="clear" w:color="auto" w:fill="auto"/>
            <w:vAlign w:val="center"/>
          </w:tcPr>
          <w:p w:rsidR="0073489B" w:rsidRDefault="00A46D11">
            <w:pPr>
              <w:spacing w:after="100"/>
              <w:ind w:right="142"/>
              <w:contextualSpacing/>
              <w:jc w:val="center"/>
              <w:rPr>
                <w:noProof/>
                <w:szCs w:val="24"/>
                <w:lang w:val="fr-BE"/>
              </w:rPr>
            </w:pPr>
            <w:r>
              <w:rPr>
                <w:noProof/>
                <w:szCs w:val="24"/>
                <w:lang w:val="fr-BE"/>
              </w:rPr>
              <w:t xml:space="preserve">EUR 18 904,7 million </w:t>
            </w:r>
            <w:r>
              <w:rPr>
                <w:noProof/>
                <w:szCs w:val="24"/>
                <w:lang w:val="fr-BE"/>
              </w:rPr>
              <w:br/>
            </w:r>
          </w:p>
          <w:p w:rsidR="0073489B" w:rsidRDefault="00A46D11">
            <w:pPr>
              <w:spacing w:after="100"/>
              <w:ind w:right="142"/>
              <w:contextualSpacing/>
              <w:jc w:val="center"/>
              <w:rPr>
                <w:i/>
                <w:noProof/>
                <w:szCs w:val="24"/>
                <w:lang w:val="fr-BE"/>
              </w:rPr>
            </w:pPr>
            <w:r>
              <w:rPr>
                <w:i/>
                <w:noProof/>
                <w:szCs w:val="24"/>
                <w:lang w:val="fr-BE"/>
              </w:rPr>
              <w:t>EUR 16 194,8 million</w:t>
            </w:r>
            <w:r>
              <w:rPr>
                <w:i/>
                <w:noProof/>
                <w:szCs w:val="24"/>
                <w:lang w:val="fr-BE"/>
              </w:rPr>
              <w:br/>
            </w:r>
          </w:p>
          <w:p w:rsidR="0073489B" w:rsidRDefault="00A46D11">
            <w:pPr>
              <w:spacing w:after="100"/>
              <w:ind w:right="142"/>
              <w:contextualSpacing/>
              <w:jc w:val="center"/>
              <w:rPr>
                <w:noProof/>
                <w:szCs w:val="24"/>
                <w:lang w:val="fr-BE"/>
              </w:rPr>
            </w:pPr>
            <w:r>
              <w:rPr>
                <w:noProof/>
                <w:szCs w:val="24"/>
                <w:lang w:val="fr-BE"/>
              </w:rPr>
              <w:t>291 000 Eligible FRs</w:t>
            </w:r>
          </w:p>
          <w:p w:rsidR="0073489B" w:rsidRDefault="00A46D11">
            <w:pPr>
              <w:spacing w:after="100"/>
              <w:ind w:right="142"/>
              <w:contextualSpacing/>
              <w:jc w:val="center"/>
              <w:rPr>
                <w:noProof/>
                <w:szCs w:val="24"/>
              </w:rPr>
            </w:pPr>
            <w:r>
              <w:rPr>
                <w:i/>
                <w:noProof/>
                <w:szCs w:val="24"/>
              </w:rPr>
              <w:t>249 000 Eligible FRs</w:t>
            </w:r>
          </w:p>
        </w:tc>
      </w:tr>
      <w:tr w:rsidR="0073489B">
        <w:trPr>
          <w:trHeight w:val="1111"/>
        </w:trPr>
        <w:tc>
          <w:tcPr>
            <w:tcW w:w="5245" w:type="dxa"/>
            <w:shd w:val="clear" w:color="auto" w:fill="auto"/>
            <w:vAlign w:val="center"/>
          </w:tcPr>
          <w:p w:rsidR="0073489B" w:rsidRDefault="00A46D11">
            <w:pPr>
              <w:pStyle w:val="ListParagraph"/>
              <w:spacing w:after="100"/>
              <w:ind w:left="0"/>
              <w:jc w:val="both"/>
              <w:rPr>
                <w:noProof/>
                <w:szCs w:val="24"/>
              </w:rPr>
            </w:pPr>
            <w:r>
              <w:rPr>
                <w:noProof/>
                <w:szCs w:val="24"/>
              </w:rPr>
              <w:t xml:space="preserve">Amount of financing already provided by </w:t>
            </w:r>
            <w:r>
              <w:rPr>
                <w:noProof/>
                <w:szCs w:val="24"/>
              </w:rPr>
              <w:t>financial intermediaries to eligible final recipients,</w:t>
            </w:r>
          </w:p>
          <w:p w:rsidR="0073489B" w:rsidRDefault="00A46D11">
            <w:pPr>
              <w:pStyle w:val="ListParagraph"/>
              <w:spacing w:after="100"/>
              <w:ind w:left="0"/>
              <w:jc w:val="both"/>
              <w:rPr>
                <w:noProof/>
                <w:szCs w:val="24"/>
              </w:rPr>
            </w:pPr>
            <w:r>
              <w:rPr>
                <w:i/>
                <w:noProof/>
                <w:szCs w:val="24"/>
              </w:rPr>
              <w:t>out of which thanks to combined COSME/EFSI resources;</w:t>
            </w:r>
          </w:p>
          <w:p w:rsidR="0073489B" w:rsidRDefault="00A46D11">
            <w:pPr>
              <w:pStyle w:val="ListParagraph"/>
              <w:spacing w:after="100"/>
              <w:ind w:left="0"/>
              <w:jc w:val="both"/>
              <w:rPr>
                <w:noProof/>
                <w:szCs w:val="24"/>
              </w:rPr>
            </w:pPr>
            <w:r>
              <w:rPr>
                <w:noProof/>
                <w:szCs w:val="24"/>
              </w:rPr>
              <w:t>and the corresponding number of eligible final recipients,</w:t>
            </w:r>
          </w:p>
          <w:p w:rsidR="0073489B" w:rsidRDefault="00A46D11">
            <w:pPr>
              <w:pStyle w:val="ListParagraph"/>
              <w:spacing w:after="60"/>
              <w:ind w:left="0"/>
              <w:jc w:val="both"/>
              <w:rPr>
                <w:noProof/>
              </w:rPr>
            </w:pPr>
            <w:r>
              <w:rPr>
                <w:i/>
                <w:noProof/>
                <w:szCs w:val="24"/>
              </w:rPr>
              <w:t>out of which thanks to combined COSME/EFSI resources</w:t>
            </w:r>
            <w:r>
              <w:rPr>
                <w:noProof/>
                <w:szCs w:val="24"/>
              </w:rPr>
              <w:t xml:space="preserve">; </w:t>
            </w:r>
          </w:p>
        </w:tc>
        <w:tc>
          <w:tcPr>
            <w:tcW w:w="3793" w:type="dxa"/>
            <w:shd w:val="clear" w:color="auto" w:fill="auto"/>
            <w:vAlign w:val="center"/>
          </w:tcPr>
          <w:p w:rsidR="0073489B" w:rsidRDefault="00A46D11">
            <w:pPr>
              <w:spacing w:after="100"/>
              <w:ind w:right="141"/>
              <w:contextualSpacing/>
              <w:jc w:val="center"/>
              <w:rPr>
                <w:noProof/>
                <w:szCs w:val="24"/>
                <w:lang w:val="fr-BE"/>
              </w:rPr>
            </w:pPr>
            <w:r>
              <w:rPr>
                <w:noProof/>
                <w:szCs w:val="24"/>
                <w:lang w:val="fr-BE"/>
              </w:rPr>
              <w:t xml:space="preserve">EUR 5 547,2 million </w:t>
            </w:r>
            <w:r>
              <w:rPr>
                <w:noProof/>
                <w:szCs w:val="24"/>
                <w:lang w:val="fr-BE"/>
              </w:rPr>
              <w:br/>
            </w:r>
          </w:p>
          <w:p w:rsidR="0073489B" w:rsidRDefault="00A46D11">
            <w:pPr>
              <w:spacing w:after="100"/>
              <w:ind w:right="141"/>
              <w:contextualSpacing/>
              <w:jc w:val="center"/>
              <w:rPr>
                <w:i/>
                <w:noProof/>
                <w:szCs w:val="24"/>
                <w:lang w:val="fr-BE"/>
              </w:rPr>
            </w:pPr>
            <w:r>
              <w:rPr>
                <w:i/>
                <w:noProof/>
                <w:szCs w:val="24"/>
                <w:lang w:val="fr-BE"/>
              </w:rPr>
              <w:t>EUR 3 555,8</w:t>
            </w:r>
            <w:r>
              <w:rPr>
                <w:i/>
                <w:noProof/>
                <w:szCs w:val="24"/>
                <w:lang w:val="fr-BE"/>
              </w:rPr>
              <w:t xml:space="preserve"> million</w:t>
            </w:r>
            <w:r>
              <w:rPr>
                <w:i/>
                <w:noProof/>
                <w:szCs w:val="24"/>
                <w:lang w:val="fr-BE"/>
              </w:rPr>
              <w:br/>
            </w:r>
          </w:p>
          <w:p w:rsidR="0073489B" w:rsidRDefault="00A46D11">
            <w:pPr>
              <w:spacing w:after="100"/>
              <w:ind w:right="141"/>
              <w:contextualSpacing/>
              <w:jc w:val="center"/>
              <w:rPr>
                <w:noProof/>
                <w:szCs w:val="24"/>
                <w:lang w:val="fr-BE"/>
              </w:rPr>
            </w:pPr>
            <w:r>
              <w:rPr>
                <w:noProof/>
                <w:szCs w:val="24"/>
                <w:lang w:val="fr-BE"/>
              </w:rPr>
              <w:t>143 344 Eligible FRs</w:t>
            </w:r>
            <w:r>
              <w:rPr>
                <w:noProof/>
                <w:szCs w:val="24"/>
                <w:lang w:val="fr-BE"/>
              </w:rPr>
              <w:br/>
            </w:r>
          </w:p>
          <w:p w:rsidR="0073489B" w:rsidRDefault="00A46D11">
            <w:pPr>
              <w:spacing w:after="100"/>
              <w:ind w:right="141"/>
              <w:contextualSpacing/>
              <w:jc w:val="center"/>
              <w:rPr>
                <w:noProof/>
                <w:szCs w:val="24"/>
              </w:rPr>
            </w:pPr>
            <w:r>
              <w:rPr>
                <w:i/>
                <w:noProof/>
                <w:szCs w:val="24"/>
              </w:rPr>
              <w:t>58 656 Eligible FRs</w:t>
            </w:r>
          </w:p>
        </w:tc>
      </w:tr>
      <w:tr w:rsidR="0073489B">
        <w:trPr>
          <w:trHeight w:val="719"/>
        </w:trPr>
        <w:tc>
          <w:tcPr>
            <w:tcW w:w="5245" w:type="dxa"/>
            <w:shd w:val="clear" w:color="auto" w:fill="auto"/>
            <w:vAlign w:val="center"/>
          </w:tcPr>
          <w:p w:rsidR="0073489B" w:rsidRDefault="00A46D11">
            <w:pPr>
              <w:pStyle w:val="ListParagraph"/>
              <w:spacing w:before="60" w:after="60"/>
              <w:ind w:left="0"/>
              <w:jc w:val="both"/>
              <w:rPr>
                <w:noProof/>
                <w:szCs w:val="24"/>
              </w:rPr>
            </w:pPr>
            <w:r>
              <w:rPr>
                <w:noProof/>
                <w:szCs w:val="24"/>
              </w:rPr>
              <w:t>Amount of investments already made by eligible final recipients due to the received financing, if applicable.</w:t>
            </w:r>
          </w:p>
        </w:tc>
        <w:tc>
          <w:tcPr>
            <w:tcW w:w="3793" w:type="dxa"/>
            <w:shd w:val="clear" w:color="auto" w:fill="auto"/>
            <w:vAlign w:val="center"/>
          </w:tcPr>
          <w:p w:rsidR="0073489B" w:rsidRDefault="00A46D11">
            <w:pPr>
              <w:spacing w:after="100"/>
              <w:ind w:right="141"/>
              <w:contextualSpacing/>
              <w:jc w:val="center"/>
              <w:rPr>
                <w:noProof/>
                <w:szCs w:val="24"/>
              </w:rPr>
            </w:pPr>
            <w:r>
              <w:rPr>
                <w:noProof/>
                <w:szCs w:val="24"/>
              </w:rPr>
              <w:t>EUR 7 766 million</w:t>
            </w:r>
            <w:r>
              <w:rPr>
                <w:rStyle w:val="FootnoteReference"/>
                <w:noProof/>
                <w:szCs w:val="24"/>
              </w:rPr>
              <w:footnoteReference w:id="123"/>
            </w:r>
          </w:p>
          <w:p w:rsidR="0073489B" w:rsidRDefault="0073489B">
            <w:pPr>
              <w:spacing w:after="100"/>
              <w:ind w:right="141"/>
              <w:contextualSpacing/>
              <w:jc w:val="center"/>
              <w:rPr>
                <w:noProof/>
                <w:szCs w:val="24"/>
                <w:lang w:val="fr-BE"/>
              </w:rPr>
            </w:pPr>
          </w:p>
        </w:tc>
      </w:tr>
    </w:tbl>
    <w:p w:rsidR="0073489B" w:rsidRDefault="00A46D11">
      <w:pPr>
        <w:spacing w:before="160"/>
        <w:jc w:val="both"/>
        <w:rPr>
          <w:i/>
          <w:noProof/>
          <w:szCs w:val="24"/>
        </w:rPr>
      </w:pPr>
      <w:bookmarkStart w:id="192" w:name="_Toc387228855"/>
      <w:r>
        <w:rPr>
          <w:i/>
          <w:noProof/>
          <w:szCs w:val="24"/>
        </w:rPr>
        <w:t>Additional LGF operational information</w:t>
      </w:r>
    </w:p>
    <w:p w:rsidR="0073489B" w:rsidRDefault="00A46D11">
      <w:pPr>
        <w:ind w:right="141" w:firstLine="3"/>
        <w:contextualSpacing/>
        <w:jc w:val="both"/>
        <w:rPr>
          <w:noProof/>
        </w:rPr>
      </w:pPr>
      <w:r>
        <w:rPr>
          <w:rFonts w:eastAsia="Times New Roman"/>
          <w:noProof/>
          <w:szCs w:val="24"/>
          <w:lang w:eastAsia="fr-FR"/>
        </w:rPr>
        <w:t xml:space="preserve">As the resources available under </w:t>
      </w:r>
      <w:r>
        <w:rPr>
          <w:rFonts w:eastAsia="Times New Roman"/>
          <w:noProof/>
          <w:szCs w:val="24"/>
          <w:lang w:eastAsia="fr-FR"/>
        </w:rPr>
        <w:t>the LGF were not sufficient to satisfy market demand (i.e. total of applications received from Financial Intermediaries by the EIF) for the financing of SMEs, a second amendment of the COSME Delegation Agreement was signed in July 2015, allowing for the co</w:t>
      </w:r>
      <w:r>
        <w:rPr>
          <w:rFonts w:eastAsia="Times New Roman"/>
          <w:noProof/>
          <w:szCs w:val="24"/>
          <w:lang w:eastAsia="fr-FR"/>
        </w:rPr>
        <w:t>mbination of LGF resources with additional risk-bearing capacity under the SME Window of the European Fund for Strategic Investment (EFSI) so as to avoid disruption of the succesful rollout of the LGF.  Thanks to EFSI, the COSME LGF Enhancement continued i</w:t>
      </w:r>
      <w:r>
        <w:rPr>
          <w:rFonts w:eastAsia="Times New Roman"/>
          <w:noProof/>
          <w:szCs w:val="24"/>
          <w:lang w:eastAsia="fr-FR"/>
        </w:rPr>
        <w:t>ts accelerated roll-out in 2016.</w:t>
      </w:r>
    </w:p>
    <w:p w:rsidR="0073489B" w:rsidRDefault="0073489B">
      <w:pPr>
        <w:ind w:right="141" w:firstLine="3"/>
        <w:contextualSpacing/>
        <w:jc w:val="both"/>
        <w:rPr>
          <w:rFonts w:eastAsia="Times New Roman"/>
          <w:noProof/>
          <w:szCs w:val="24"/>
          <w:lang w:eastAsia="fr-FR"/>
        </w:rPr>
      </w:pPr>
    </w:p>
    <w:p w:rsidR="0073489B" w:rsidRDefault="00A46D11">
      <w:pPr>
        <w:ind w:right="141" w:firstLine="3"/>
        <w:contextualSpacing/>
        <w:jc w:val="both"/>
        <w:rPr>
          <w:rFonts w:eastAsia="Times New Roman"/>
          <w:noProof/>
          <w:szCs w:val="24"/>
          <w:lang w:eastAsia="fr-FR"/>
        </w:rPr>
      </w:pPr>
      <w:r>
        <w:rPr>
          <w:noProof/>
          <w:szCs w:val="24"/>
        </w:rPr>
        <w:lastRenderedPageBreak/>
        <w:t xml:space="preserve">A third amendment to the COSME Delegation Agreement was signed in April 2016 to allow for the implementation of the securitisation option under the SME Initiative. </w:t>
      </w:r>
      <w:r>
        <w:rPr>
          <w:bCs/>
          <w:noProof/>
        </w:rPr>
        <w:t xml:space="preserve">Italy opted in 2016 for a combination of resources with COSME under this option. </w:t>
      </w:r>
    </w:p>
    <w:p w:rsidR="0073489B" w:rsidRDefault="00A46D11">
      <w:pPr>
        <w:pStyle w:val="Heading5"/>
        <w:spacing w:before="200"/>
        <w:ind w:left="284" w:firstLine="0"/>
        <w:jc w:val="both"/>
        <w:rPr>
          <w:noProof/>
        </w:rPr>
      </w:pPr>
      <w:r>
        <w:rPr>
          <w:noProof/>
        </w:rPr>
        <w:t>An evaluation of the use of any amounts returned to the instrument as internal assigned revenue under paragraph 6</w:t>
      </w:r>
      <w:bookmarkEnd w:id="192"/>
      <w:r>
        <w:rPr>
          <w:noProof/>
        </w:rPr>
        <w:t>;</w:t>
      </w:r>
    </w:p>
    <w:p w:rsidR="0073489B" w:rsidRDefault="00A46D11">
      <w:pPr>
        <w:ind w:left="360" w:right="142"/>
        <w:contextualSpacing/>
        <w:rPr>
          <w:noProof/>
          <w:szCs w:val="24"/>
        </w:rPr>
      </w:pPr>
      <w:r>
        <w:rPr>
          <w:noProof/>
          <w:szCs w:val="24"/>
        </w:rPr>
        <w:t>NA.</w:t>
      </w:r>
    </w:p>
    <w:p w:rsidR="0073489B" w:rsidRDefault="00A46D11">
      <w:pPr>
        <w:pStyle w:val="Heading5"/>
        <w:spacing w:before="120" w:after="240"/>
        <w:ind w:left="284" w:firstLine="0"/>
        <w:rPr>
          <w:noProof/>
        </w:rPr>
      </w:pPr>
      <w:bookmarkStart w:id="193" w:name="_Toc387228856"/>
      <w:r>
        <w:rPr>
          <w:noProof/>
        </w:rPr>
        <w:t>The balance of the fiduciary account</w:t>
      </w:r>
      <w:bookmarkEnd w:id="193"/>
      <w:r>
        <w:rPr>
          <w:noProof/>
        </w:rPr>
        <w:t>;</w:t>
      </w:r>
    </w:p>
    <w:p w:rsidR="0073489B" w:rsidRDefault="00A46D11">
      <w:pPr>
        <w:keepNext/>
        <w:spacing w:after="160"/>
        <w:ind w:left="360" w:right="142"/>
        <w:rPr>
          <w:noProof/>
          <w:color w:val="FF00FF"/>
          <w:highlight w:val="yellow"/>
        </w:rPr>
      </w:pPr>
      <w:r>
        <w:rPr>
          <w:noProof/>
        </w:rPr>
        <w:t>Aggregate balance</w:t>
      </w:r>
      <w:r>
        <w:rPr>
          <w:noProof/>
        </w:rPr>
        <w:t xml:space="preserve"> of the fiduciary account as at 31/12/2016</w:t>
      </w:r>
      <w:r>
        <w:rPr>
          <w:noProof/>
        </w:rPr>
        <w:tab/>
        <w:t xml:space="preserve">          EUR 160 286 016</w:t>
      </w:r>
    </w:p>
    <w:p w:rsidR="0073489B" w:rsidRDefault="0073489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3244"/>
      </w:tblGrid>
      <w:tr w:rsidR="0073489B">
        <w:trPr>
          <w:trHeight w:val="389"/>
        </w:trPr>
        <w:tc>
          <w:tcPr>
            <w:tcW w:w="9280" w:type="dxa"/>
            <w:gridSpan w:val="2"/>
            <w:shd w:val="clear" w:color="auto" w:fill="DAEEF3"/>
          </w:tcPr>
          <w:p w:rsidR="0073489B" w:rsidRDefault="00A46D11">
            <w:pPr>
              <w:pStyle w:val="ListParagraph"/>
              <w:spacing w:before="60" w:after="60"/>
              <w:ind w:left="0" w:right="621"/>
              <w:rPr>
                <w:b/>
                <w:bCs/>
                <w:noProof/>
                <w:szCs w:val="24"/>
                <w:u w:val="single"/>
              </w:rPr>
            </w:pPr>
            <w:bookmarkStart w:id="194" w:name="_Toc387228857"/>
            <w:r>
              <w:rPr>
                <w:b/>
                <w:bCs/>
                <w:i/>
                <w:noProof/>
                <w:szCs w:val="24"/>
              </w:rPr>
              <w:t xml:space="preserve">                                                                                                                       In EUR</w:t>
            </w:r>
          </w:p>
        </w:tc>
      </w:tr>
      <w:tr w:rsidR="0073489B">
        <w:trPr>
          <w:trHeight w:val="402"/>
        </w:trPr>
        <w:tc>
          <w:tcPr>
            <w:tcW w:w="6036" w:type="dxa"/>
            <w:shd w:val="clear" w:color="auto" w:fill="auto"/>
          </w:tcPr>
          <w:p w:rsidR="0073489B" w:rsidRDefault="00A46D11">
            <w:pPr>
              <w:pStyle w:val="ListParagraph"/>
              <w:spacing w:before="60" w:after="60"/>
              <w:ind w:left="0" w:right="141"/>
              <w:rPr>
                <w:b/>
                <w:bCs/>
                <w:noProof/>
                <w:szCs w:val="24"/>
                <w:u w:val="single"/>
              </w:rPr>
            </w:pPr>
            <w:r>
              <w:rPr>
                <w:b/>
                <w:bCs/>
                <w:noProof/>
                <w:szCs w:val="24"/>
              </w:rPr>
              <w:t>Balance on the fiduciary account (current account)</w:t>
            </w:r>
          </w:p>
        </w:tc>
        <w:tc>
          <w:tcPr>
            <w:tcW w:w="3244"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 xml:space="preserve">33 160 </w:t>
            </w:r>
            <w:r>
              <w:rPr>
                <w:bCs/>
                <w:noProof/>
                <w:szCs w:val="24"/>
              </w:rPr>
              <w:t>065</w:t>
            </w:r>
            <w:r>
              <w:rPr>
                <w:rStyle w:val="FootnoteReference"/>
                <w:bCs/>
                <w:noProof/>
                <w:szCs w:val="24"/>
              </w:rPr>
              <w:footnoteReference w:id="124"/>
            </w:r>
          </w:p>
        </w:tc>
      </w:tr>
      <w:tr w:rsidR="0073489B">
        <w:trPr>
          <w:trHeight w:val="389"/>
        </w:trPr>
        <w:tc>
          <w:tcPr>
            <w:tcW w:w="6036" w:type="dxa"/>
            <w:shd w:val="clear" w:color="auto" w:fill="auto"/>
          </w:tcPr>
          <w:p w:rsidR="0073489B" w:rsidRDefault="00A46D11">
            <w:pPr>
              <w:pStyle w:val="ListParagraph"/>
              <w:spacing w:before="60" w:after="60"/>
              <w:ind w:left="0" w:right="141"/>
              <w:rPr>
                <w:b/>
                <w:bCs/>
                <w:noProof/>
                <w:szCs w:val="24"/>
                <w:u w:val="single"/>
              </w:rPr>
            </w:pPr>
            <w:r>
              <w:rPr>
                <w:b/>
                <w:bCs/>
                <w:noProof/>
                <w:szCs w:val="24"/>
              </w:rPr>
              <w:t>Term deposits/Bonds (if applicable)</w:t>
            </w:r>
          </w:p>
        </w:tc>
        <w:tc>
          <w:tcPr>
            <w:tcW w:w="3244" w:type="dxa"/>
            <w:shd w:val="clear" w:color="auto" w:fill="auto"/>
            <w:vAlign w:val="center"/>
          </w:tcPr>
          <w:p w:rsidR="0073489B" w:rsidRDefault="00A46D11">
            <w:pPr>
              <w:pStyle w:val="ListParagraph"/>
              <w:spacing w:before="60" w:after="60"/>
              <w:ind w:left="0" w:right="141"/>
              <w:jc w:val="center"/>
              <w:rPr>
                <w:b/>
                <w:bCs/>
                <w:noProof/>
                <w:szCs w:val="24"/>
                <w:u w:val="single"/>
              </w:rPr>
            </w:pPr>
            <w:r>
              <w:rPr>
                <w:bCs/>
                <w:noProof/>
                <w:szCs w:val="24"/>
              </w:rPr>
              <w:t>127 125 187</w:t>
            </w:r>
          </w:p>
        </w:tc>
      </w:tr>
      <w:tr w:rsidR="0073489B">
        <w:trPr>
          <w:trHeight w:val="402"/>
        </w:trPr>
        <w:tc>
          <w:tcPr>
            <w:tcW w:w="6036" w:type="dxa"/>
            <w:shd w:val="clear" w:color="auto" w:fill="auto"/>
          </w:tcPr>
          <w:p w:rsidR="0073489B" w:rsidRDefault="00A46D11">
            <w:pPr>
              <w:pStyle w:val="ListParagraph"/>
              <w:spacing w:before="60" w:after="60"/>
              <w:ind w:left="426" w:right="141"/>
              <w:rPr>
                <w:bCs/>
                <w:noProof/>
                <w:szCs w:val="24"/>
              </w:rPr>
            </w:pPr>
            <w:r>
              <w:rPr>
                <w:bCs/>
                <w:noProof/>
                <w:szCs w:val="24"/>
              </w:rPr>
              <w:t>Term deposits &lt; 3 months (cash equivalent)</w:t>
            </w:r>
          </w:p>
        </w:tc>
        <w:tc>
          <w:tcPr>
            <w:tcW w:w="3244" w:type="dxa"/>
            <w:shd w:val="clear" w:color="auto" w:fill="auto"/>
            <w:vAlign w:val="center"/>
          </w:tcPr>
          <w:p w:rsidR="0073489B" w:rsidRDefault="00A46D11">
            <w:pPr>
              <w:pStyle w:val="ListParagraph"/>
              <w:spacing w:before="60" w:after="60"/>
              <w:ind w:left="0" w:right="141"/>
              <w:jc w:val="center"/>
              <w:rPr>
                <w:bCs/>
                <w:i/>
                <w:noProof/>
                <w:szCs w:val="24"/>
              </w:rPr>
            </w:pPr>
            <w:r>
              <w:rPr>
                <w:bCs/>
                <w:i/>
                <w:noProof/>
                <w:szCs w:val="24"/>
              </w:rPr>
              <w:t>127 125 187</w:t>
            </w:r>
          </w:p>
        </w:tc>
      </w:tr>
      <w:tr w:rsidR="0073489B">
        <w:trPr>
          <w:trHeight w:val="389"/>
        </w:trPr>
        <w:tc>
          <w:tcPr>
            <w:tcW w:w="6036" w:type="dxa"/>
            <w:shd w:val="clear" w:color="auto" w:fill="auto"/>
          </w:tcPr>
          <w:p w:rsidR="0073489B" w:rsidRDefault="00A46D11">
            <w:pPr>
              <w:pStyle w:val="ListParagraph"/>
              <w:spacing w:before="60" w:after="60"/>
              <w:ind w:left="426" w:right="141"/>
              <w:rPr>
                <w:bCs/>
                <w:noProof/>
                <w:szCs w:val="24"/>
                <w:u w:val="single"/>
              </w:rPr>
            </w:pPr>
            <w:r>
              <w:rPr>
                <w:bCs/>
                <w:noProof/>
                <w:szCs w:val="24"/>
              </w:rPr>
              <w:t>Term deposits &gt; 3 months &lt; 1 year (current assets)</w:t>
            </w:r>
          </w:p>
        </w:tc>
        <w:tc>
          <w:tcPr>
            <w:tcW w:w="324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02"/>
        </w:trPr>
        <w:tc>
          <w:tcPr>
            <w:tcW w:w="6036" w:type="dxa"/>
            <w:shd w:val="clear" w:color="auto" w:fill="auto"/>
          </w:tcPr>
          <w:p w:rsidR="0073489B" w:rsidRDefault="00A46D11">
            <w:pPr>
              <w:pStyle w:val="ListParagraph"/>
              <w:spacing w:before="60" w:after="60"/>
              <w:ind w:left="426" w:right="141"/>
              <w:rPr>
                <w:bCs/>
                <w:noProof/>
                <w:szCs w:val="24"/>
                <w:u w:val="single"/>
              </w:rPr>
            </w:pPr>
            <w:r>
              <w:rPr>
                <w:bCs/>
                <w:noProof/>
                <w:szCs w:val="24"/>
              </w:rPr>
              <w:t>Term deposits &gt; 1 year (non-current assets)</w:t>
            </w:r>
          </w:p>
        </w:tc>
        <w:tc>
          <w:tcPr>
            <w:tcW w:w="324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389"/>
        </w:trPr>
        <w:tc>
          <w:tcPr>
            <w:tcW w:w="6036" w:type="dxa"/>
            <w:shd w:val="clear" w:color="auto" w:fill="auto"/>
          </w:tcPr>
          <w:p w:rsidR="0073489B" w:rsidRDefault="00A46D11">
            <w:pPr>
              <w:pStyle w:val="ListParagraph"/>
              <w:spacing w:before="60" w:after="60"/>
              <w:ind w:left="851" w:right="141"/>
              <w:rPr>
                <w:bCs/>
                <w:noProof/>
                <w:szCs w:val="24"/>
                <w:u w:val="single"/>
              </w:rPr>
            </w:pPr>
            <w:r>
              <w:rPr>
                <w:bCs/>
                <w:noProof/>
                <w:szCs w:val="24"/>
              </w:rPr>
              <w:t>Bonds current</w:t>
            </w:r>
          </w:p>
        </w:tc>
        <w:tc>
          <w:tcPr>
            <w:tcW w:w="324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389"/>
        </w:trPr>
        <w:tc>
          <w:tcPr>
            <w:tcW w:w="6036" w:type="dxa"/>
            <w:shd w:val="clear" w:color="auto" w:fill="auto"/>
          </w:tcPr>
          <w:p w:rsidR="0073489B" w:rsidRDefault="00A46D11">
            <w:pPr>
              <w:pStyle w:val="ListParagraph"/>
              <w:spacing w:before="60" w:after="60"/>
              <w:ind w:left="851" w:right="141"/>
              <w:rPr>
                <w:bCs/>
                <w:noProof/>
                <w:szCs w:val="24"/>
                <w:u w:val="single"/>
              </w:rPr>
            </w:pPr>
            <w:r>
              <w:rPr>
                <w:bCs/>
                <w:noProof/>
                <w:szCs w:val="24"/>
              </w:rPr>
              <w:t>Bonds non-current</w:t>
            </w:r>
          </w:p>
        </w:tc>
        <w:tc>
          <w:tcPr>
            <w:tcW w:w="3244" w:type="dxa"/>
            <w:shd w:val="clear" w:color="auto" w:fill="auto"/>
            <w:vAlign w:val="center"/>
          </w:tcPr>
          <w:p w:rsidR="0073489B" w:rsidRDefault="0073489B">
            <w:pPr>
              <w:pStyle w:val="ListParagraph"/>
              <w:spacing w:before="60" w:after="60"/>
              <w:ind w:left="0" w:right="141"/>
              <w:jc w:val="center"/>
              <w:rPr>
                <w:b/>
                <w:bCs/>
                <w:noProof/>
                <w:szCs w:val="24"/>
                <w:u w:val="single"/>
              </w:rPr>
            </w:pPr>
          </w:p>
        </w:tc>
      </w:tr>
      <w:tr w:rsidR="0073489B">
        <w:trPr>
          <w:trHeight w:val="402"/>
        </w:trPr>
        <w:tc>
          <w:tcPr>
            <w:tcW w:w="6036" w:type="dxa"/>
            <w:shd w:val="clear" w:color="auto" w:fill="auto"/>
          </w:tcPr>
          <w:p w:rsidR="0073489B" w:rsidRDefault="00A46D11">
            <w:pPr>
              <w:spacing w:before="60" w:after="60"/>
              <w:ind w:right="141"/>
              <w:contextualSpacing/>
              <w:rPr>
                <w:b/>
                <w:bCs/>
                <w:noProof/>
                <w:szCs w:val="24"/>
                <w:u w:val="single"/>
              </w:rPr>
            </w:pPr>
            <w:r>
              <w:rPr>
                <w:b/>
                <w:bCs/>
                <w:i/>
                <w:iCs/>
                <w:noProof/>
                <w:szCs w:val="24"/>
              </w:rPr>
              <w:t xml:space="preserve">Other  </w:t>
            </w:r>
            <w:r>
              <w:rPr>
                <w:b/>
                <w:bCs/>
                <w:i/>
                <w:iCs/>
                <w:noProof/>
                <w:szCs w:val="24"/>
              </w:rPr>
              <w:t>assets</w:t>
            </w:r>
            <w:r>
              <w:rPr>
                <w:b/>
                <w:bCs/>
                <w:noProof/>
                <w:szCs w:val="24"/>
              </w:rPr>
              <w:t xml:space="preserve"> (if applicable)</w:t>
            </w:r>
          </w:p>
        </w:tc>
        <w:tc>
          <w:tcPr>
            <w:tcW w:w="3244" w:type="dxa"/>
            <w:shd w:val="clear" w:color="auto" w:fill="auto"/>
            <w:vAlign w:val="center"/>
          </w:tcPr>
          <w:p w:rsidR="0073489B" w:rsidRDefault="00A46D11">
            <w:pPr>
              <w:pStyle w:val="ListParagraph"/>
              <w:spacing w:before="60" w:after="60"/>
              <w:ind w:left="0" w:right="141"/>
              <w:jc w:val="center"/>
              <w:rPr>
                <w:b/>
                <w:bCs/>
                <w:noProof/>
                <w:szCs w:val="24"/>
                <w:u w:val="single"/>
              </w:rPr>
            </w:pPr>
            <w:r>
              <w:rPr>
                <w:bCs/>
                <w:noProof/>
                <w:szCs w:val="24"/>
              </w:rPr>
              <w:t>764</w:t>
            </w:r>
          </w:p>
        </w:tc>
      </w:tr>
      <w:tr w:rsidR="0073489B">
        <w:trPr>
          <w:trHeight w:val="402"/>
        </w:trPr>
        <w:tc>
          <w:tcPr>
            <w:tcW w:w="6036" w:type="dxa"/>
            <w:shd w:val="clear" w:color="auto" w:fill="auto"/>
          </w:tcPr>
          <w:p w:rsidR="0073489B" w:rsidRDefault="00A46D11">
            <w:pPr>
              <w:spacing w:before="60" w:after="60"/>
              <w:ind w:right="141"/>
              <w:rPr>
                <w:b/>
                <w:bCs/>
                <w:noProof/>
                <w:szCs w:val="24"/>
              </w:rPr>
            </w:pPr>
            <w:r>
              <w:rPr>
                <w:b/>
                <w:bCs/>
                <w:i/>
                <w:iCs/>
                <w:noProof/>
                <w:szCs w:val="24"/>
              </w:rPr>
              <w:t>= Total assets</w:t>
            </w:r>
          </w:p>
        </w:tc>
        <w:tc>
          <w:tcPr>
            <w:tcW w:w="3244"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160 286 016</w:t>
            </w:r>
          </w:p>
        </w:tc>
      </w:tr>
    </w:tbl>
    <w:p w:rsidR="0073489B" w:rsidRDefault="00A46D11">
      <w:pPr>
        <w:pStyle w:val="Heading5"/>
        <w:numPr>
          <w:ilvl w:val="0"/>
          <w:numId w:val="0"/>
        </w:numPr>
        <w:ind w:left="284"/>
        <w:rPr>
          <w:noProof/>
        </w:rPr>
      </w:pPr>
      <w:r>
        <w:rPr>
          <w:b w:val="0"/>
          <w:bCs/>
          <w:i/>
          <w:iCs/>
          <w:noProof/>
        </w:rPr>
        <w:t>Impact of negative interest rates on COSME LGF: No impact as at 31/12/2016.</w:t>
      </w:r>
      <w:r>
        <w:rPr>
          <w:rStyle w:val="FootnoteReference"/>
          <w:b w:val="0"/>
          <w:bCs/>
          <w:i/>
          <w:iCs/>
          <w:noProof/>
        </w:rPr>
        <w:footnoteReference w:id="125"/>
      </w:r>
    </w:p>
    <w:p w:rsidR="0073489B" w:rsidRDefault="00A46D11">
      <w:pPr>
        <w:pStyle w:val="Heading5"/>
        <w:ind w:left="284" w:firstLine="0"/>
        <w:rPr>
          <w:noProof/>
        </w:rPr>
      </w:pPr>
      <w:r>
        <w:rPr>
          <w:noProof/>
        </w:rPr>
        <w:t>Revenues and repayments</w:t>
      </w:r>
      <w:bookmarkEnd w:id="194"/>
      <w:r>
        <w:rPr>
          <w:noProof/>
        </w:rPr>
        <w:t>;</w:t>
      </w:r>
    </w:p>
    <w:p w:rsidR="0073489B" w:rsidRDefault="00A46D11">
      <w:pPr>
        <w:spacing w:after="60"/>
        <w:ind w:left="360" w:right="142"/>
        <w:contextualSpacing/>
        <w:rPr>
          <w:noProof/>
          <w:szCs w:val="24"/>
          <w:lang w:val="fr-BE"/>
        </w:rPr>
      </w:pPr>
      <w:r>
        <w:rPr>
          <w:noProof/>
          <w:lang w:val="fr-BE"/>
        </w:rPr>
        <w:t>Cumulative Revenues as at 31/12/2016:</w:t>
      </w:r>
      <w:r>
        <w:rPr>
          <w:noProof/>
          <w:lang w:val="fr-BE"/>
        </w:rPr>
        <w:tab/>
      </w:r>
      <w:r>
        <w:rPr>
          <w:noProof/>
          <w:lang w:val="fr-BE"/>
        </w:rPr>
        <w:tab/>
      </w:r>
      <w:r>
        <w:rPr>
          <w:noProof/>
          <w:szCs w:val="24"/>
          <w:lang w:val="fr-BE"/>
        </w:rPr>
        <w:t xml:space="preserve">                                     </w:t>
      </w:r>
      <w:r>
        <w:rPr>
          <w:noProof/>
          <w:lang w:val="fr-BE"/>
        </w:rPr>
        <w:t>EUR 2</w:t>
      </w:r>
      <w:r>
        <w:rPr>
          <w:noProof/>
          <w:szCs w:val="24"/>
          <w:lang w:val="fr-BE"/>
        </w:rPr>
        <w:t>92 263</w:t>
      </w:r>
      <w:r>
        <w:rPr>
          <w:rStyle w:val="FootnoteReference"/>
          <w:noProof/>
          <w:szCs w:val="24"/>
          <w:lang w:val="fr-BE"/>
        </w:rPr>
        <w:footnoteReference w:id="126"/>
      </w:r>
    </w:p>
    <w:p w:rsidR="0073489B" w:rsidRDefault="00A46D11">
      <w:pPr>
        <w:spacing w:after="60"/>
        <w:ind w:left="360" w:right="142"/>
        <w:contextualSpacing/>
        <w:rPr>
          <w:noProof/>
          <w:szCs w:val="24"/>
        </w:rPr>
      </w:pPr>
      <w:r>
        <w:rPr>
          <w:noProof/>
          <w:szCs w:val="24"/>
        </w:rPr>
        <w:t>Cumulative Repayments as at 31/12/2016:</w:t>
      </w:r>
      <w:r>
        <w:rPr>
          <w:noProof/>
          <w:szCs w:val="24"/>
        </w:rPr>
        <w:tab/>
        <w:t xml:space="preserve">                                     EUR            0</w:t>
      </w:r>
    </w:p>
    <w:p w:rsidR="0073489B" w:rsidRDefault="00A46D11">
      <w:pPr>
        <w:pStyle w:val="Heading5"/>
        <w:spacing w:before="120"/>
        <w:ind w:left="284" w:firstLine="0"/>
        <w:rPr>
          <w:noProof/>
        </w:rPr>
      </w:pPr>
      <w:bookmarkStart w:id="195" w:name="_Toc387228858"/>
      <w:r>
        <w:rPr>
          <w:noProof/>
        </w:rPr>
        <w:t>The value of equity investments, with respect to previous years</w:t>
      </w:r>
      <w:bookmarkEnd w:id="195"/>
      <w:r>
        <w:rPr>
          <w:noProof/>
        </w:rPr>
        <w:t>;</w:t>
      </w:r>
    </w:p>
    <w:p w:rsidR="0073489B" w:rsidRDefault="00A46D11">
      <w:pPr>
        <w:spacing w:after="60"/>
        <w:ind w:left="360" w:right="142"/>
        <w:contextualSpacing/>
        <w:rPr>
          <w:noProof/>
          <w:szCs w:val="24"/>
        </w:rPr>
      </w:pPr>
      <w:r>
        <w:rPr>
          <w:noProof/>
          <w:szCs w:val="24"/>
        </w:rPr>
        <w:t>NA.</w:t>
      </w:r>
    </w:p>
    <w:p w:rsidR="0073489B" w:rsidRDefault="00A46D11">
      <w:pPr>
        <w:pStyle w:val="Heading5"/>
        <w:spacing w:before="120"/>
        <w:ind w:left="284" w:firstLine="0"/>
        <w:jc w:val="both"/>
        <w:rPr>
          <w:noProof/>
        </w:rPr>
      </w:pPr>
      <w:bookmarkStart w:id="196" w:name="_Toc387228859"/>
      <w:r>
        <w:rPr>
          <w:noProof/>
        </w:rPr>
        <w:t xml:space="preserve">The accumulated figures on impairments of assets of equity or risk-sharing instruments, and </w:t>
      </w:r>
      <w:r>
        <w:rPr>
          <w:noProof/>
        </w:rPr>
        <w:t>on called guarantees for guarantee instruments</w:t>
      </w:r>
      <w:bookmarkEnd w:id="196"/>
      <w:r>
        <w:rPr>
          <w:noProof/>
        </w:rPr>
        <w:t>;</w:t>
      </w:r>
    </w:p>
    <w:p w:rsidR="0073489B" w:rsidRDefault="00A46D11">
      <w:pPr>
        <w:spacing w:after="60"/>
        <w:ind w:left="479" w:right="142"/>
        <w:contextualSpacing/>
        <w:rPr>
          <w:noProof/>
          <w:szCs w:val="24"/>
        </w:rPr>
      </w:pPr>
      <w:r>
        <w:rPr>
          <w:noProof/>
          <w:szCs w:val="24"/>
        </w:rPr>
        <w:t xml:space="preserve">EUR 4 790 471 </w:t>
      </w:r>
    </w:p>
    <w:p w:rsidR="0073489B" w:rsidRDefault="00A46D11">
      <w:pPr>
        <w:pStyle w:val="Heading5"/>
        <w:spacing w:before="120"/>
        <w:ind w:left="284" w:firstLine="0"/>
        <w:jc w:val="both"/>
        <w:rPr>
          <w:b w:val="0"/>
          <w:noProof/>
        </w:rPr>
      </w:pPr>
      <w:bookmarkStart w:id="197" w:name="_Toc387228860"/>
      <w:r>
        <w:rPr>
          <w:noProof/>
        </w:rPr>
        <w:lastRenderedPageBreak/>
        <w:t>The target leverage effect, and the achieved leverage effect</w:t>
      </w:r>
      <w:bookmarkEnd w:id="197"/>
      <w:r>
        <w:rPr>
          <w:rStyle w:val="FootnoteReference"/>
          <w:noProof/>
        </w:rPr>
        <w:footnoteReference w:id="127"/>
      </w:r>
      <w:r>
        <w:rPr>
          <w:noProof/>
        </w:rPr>
        <w:t>;</w:t>
      </w:r>
    </w:p>
    <w:p w:rsidR="0073489B" w:rsidRDefault="00A46D11">
      <w:pPr>
        <w:spacing w:after="60"/>
        <w:jc w:val="both"/>
        <w:rPr>
          <w:noProof/>
          <w:szCs w:val="24"/>
        </w:rPr>
      </w:pPr>
      <w:r>
        <w:rPr>
          <w:noProof/>
          <w:szCs w:val="24"/>
        </w:rPr>
        <w:t>The target leverage effect indicated in the COSME legal base is in the 1 to 20 – 1 to 30 range for the debt instrument over the li</w:t>
      </w:r>
      <w:r>
        <w:rPr>
          <w:noProof/>
          <w:szCs w:val="24"/>
        </w:rPr>
        <w:t>fetime of the programme, with an overall value of financing expected to be mobilised by the EU contribution ranging from EUR 14,3 billion to EUR 21,5 billion and the number of firms ranging from 220 000 to 330 000.</w:t>
      </w:r>
      <w:r>
        <w:rPr>
          <w:rStyle w:val="FootnoteReference"/>
          <w:noProof/>
          <w:szCs w:val="24"/>
        </w:rPr>
        <w:footnoteReference w:id="128"/>
      </w:r>
    </w:p>
    <w:p w:rsidR="0073489B" w:rsidRDefault="00A46D11">
      <w:pPr>
        <w:jc w:val="both"/>
        <w:rPr>
          <w:noProof/>
          <w:szCs w:val="24"/>
          <w:lang w:eastAsia="en-GB"/>
        </w:rPr>
      </w:pPr>
      <w:r>
        <w:rPr>
          <w:b/>
          <w:i/>
          <w:noProof/>
          <w:szCs w:val="24"/>
          <w:lang w:eastAsia="en-GB"/>
        </w:rPr>
        <w:t>The achieved leverage effect</w:t>
      </w:r>
      <w:r>
        <w:rPr>
          <w:noProof/>
          <w:szCs w:val="24"/>
          <w:lang w:eastAsia="en-GB"/>
        </w:rPr>
        <w:t xml:space="preserve"> </w:t>
      </w:r>
    </w:p>
    <w:p w:rsidR="0073489B" w:rsidRDefault="00A46D11">
      <w:pPr>
        <w:spacing w:after="60"/>
        <w:jc w:val="both"/>
        <w:rPr>
          <w:noProof/>
          <w:szCs w:val="24"/>
        </w:rPr>
      </w:pPr>
      <w:r>
        <w:rPr>
          <w:noProof/>
          <w:szCs w:val="24"/>
        </w:rPr>
        <w:t>Based on t</w:t>
      </w:r>
      <w:r>
        <w:rPr>
          <w:noProof/>
          <w:szCs w:val="24"/>
        </w:rPr>
        <w:t xml:space="preserve">he amount of financing provided by financial intermediaries to eligible final recipients compared to the aggregate budgetary commitments as at 31 December 2016, including the actual EFSI exposure, the leverage achieved amounts to 9,7. </w:t>
      </w:r>
    </w:p>
    <w:p w:rsidR="0073489B" w:rsidRDefault="00A46D11">
      <w:pPr>
        <w:keepNext/>
        <w:jc w:val="both"/>
        <w:rPr>
          <w:noProof/>
          <w:szCs w:val="24"/>
          <w:lang w:eastAsia="en-GB"/>
        </w:rPr>
      </w:pPr>
      <w:r>
        <w:rPr>
          <w:b/>
          <w:i/>
          <w:noProof/>
          <w:szCs w:val="24"/>
          <w:lang w:eastAsia="en-GB"/>
        </w:rPr>
        <w:t>The "Expected Levera</w:t>
      </w:r>
      <w:r>
        <w:rPr>
          <w:b/>
          <w:i/>
          <w:noProof/>
          <w:szCs w:val="24"/>
          <w:lang w:eastAsia="en-GB"/>
        </w:rPr>
        <w:t>ge for Signed Operations"</w:t>
      </w:r>
      <w:r>
        <w:rPr>
          <w:i/>
          <w:noProof/>
          <w:szCs w:val="24"/>
          <w:lang w:eastAsia="en-GB"/>
        </w:rPr>
        <w:t xml:space="preserve"> </w:t>
      </w:r>
    </w:p>
    <w:p w:rsidR="0073489B" w:rsidRDefault="00A46D11">
      <w:pPr>
        <w:spacing w:after="60"/>
        <w:jc w:val="both"/>
        <w:rPr>
          <w:noProof/>
          <w:szCs w:val="24"/>
        </w:rPr>
      </w:pPr>
      <w:r>
        <w:rPr>
          <w:noProof/>
          <w:szCs w:val="24"/>
        </w:rPr>
        <w:t>Based on the maximum amount of financing available to SMEs under the operations signed with financial intermediaries as at 31 December 2016, the expected leverage is 32,9.</w:t>
      </w:r>
    </w:p>
    <w:p w:rsidR="0073489B" w:rsidRDefault="0073489B">
      <w:pPr>
        <w:spacing w:after="60"/>
        <w:rPr>
          <w:noProof/>
          <w:lang w:eastAsia="en-GB"/>
        </w:rPr>
      </w:pPr>
    </w:p>
    <w:p w:rsidR="0073489B" w:rsidRDefault="00A46D11">
      <w:pPr>
        <w:pStyle w:val="Heading4"/>
        <w:ind w:left="426" w:hanging="426"/>
        <w:rPr>
          <w:noProof/>
        </w:rPr>
      </w:pPr>
      <w:bookmarkStart w:id="198" w:name="_Toc387228861"/>
      <w:bookmarkStart w:id="199" w:name="_Toc388541900"/>
      <w:r>
        <w:rPr>
          <w:noProof/>
        </w:rPr>
        <w:t>Strategic importance/relevance</w:t>
      </w:r>
      <w:bookmarkEnd w:id="198"/>
      <w:bookmarkEnd w:id="199"/>
    </w:p>
    <w:p w:rsidR="0073489B" w:rsidRDefault="00A46D11">
      <w:pPr>
        <w:pStyle w:val="Heading5"/>
        <w:spacing w:before="120" w:after="120"/>
        <w:ind w:left="284" w:firstLine="0"/>
        <w:jc w:val="both"/>
        <w:rPr>
          <w:noProof/>
        </w:rPr>
      </w:pPr>
      <w:bookmarkStart w:id="200" w:name="_Toc387228862"/>
      <w:r>
        <w:rPr>
          <w:noProof/>
        </w:rPr>
        <w:t>The contribution of the f</w:t>
      </w:r>
      <w:r>
        <w:rPr>
          <w:noProof/>
        </w:rPr>
        <w:t>inancial instrument to the achievement of the objectives of the programme concerned as measured by the established indicators, including, where applicable, the geographical diversification</w:t>
      </w:r>
      <w:bookmarkEnd w:id="200"/>
      <w:r>
        <w:rPr>
          <w:noProof/>
        </w:rPr>
        <w:t>;</w:t>
      </w:r>
    </w:p>
    <w:p w:rsidR="0073489B" w:rsidRDefault="00A46D11">
      <w:pPr>
        <w:spacing w:after="60"/>
        <w:jc w:val="both"/>
        <w:rPr>
          <w:noProof/>
          <w:szCs w:val="24"/>
        </w:rPr>
      </w:pPr>
      <w:r>
        <w:rPr>
          <w:noProof/>
          <w:szCs w:val="24"/>
        </w:rPr>
        <w:t>As at 31 December 2016, the LGF already contributed to provide aro</w:t>
      </w:r>
      <w:r>
        <w:rPr>
          <w:noProof/>
          <w:szCs w:val="24"/>
        </w:rPr>
        <w:t xml:space="preserve">und EUR 5 547 million of financing to more than 143 000 SMEs, also thanks to the support from the EFSI guarantee. </w:t>
      </w:r>
    </w:p>
    <w:p w:rsidR="0073489B" w:rsidRDefault="00A46D11">
      <w:pPr>
        <w:spacing w:after="60"/>
        <w:jc w:val="both"/>
        <w:rPr>
          <w:rFonts w:eastAsia="Times New Roman"/>
          <w:noProof/>
          <w:szCs w:val="24"/>
          <w:lang w:eastAsia="fr-FR"/>
        </w:rPr>
      </w:pPr>
      <w:r>
        <w:rPr>
          <w:rFonts w:eastAsia="Times New Roman"/>
          <w:noProof/>
          <w:szCs w:val="24"/>
          <w:lang w:eastAsia="fr-FR"/>
        </w:rPr>
        <w:t xml:space="preserve">This shows that the LGF, by providing financing to riskier SMEs that otherwise would not have had access to such financing, has an important </w:t>
      </w:r>
      <w:r>
        <w:rPr>
          <w:rFonts w:eastAsia="Times New Roman"/>
          <w:noProof/>
          <w:szCs w:val="24"/>
          <w:lang w:eastAsia="fr-FR"/>
        </w:rPr>
        <w:t>impact on the real economy in the EU and other participating countries of the COSME programme. Furthermore, the combination of resources with EFSI allows addressing sub-optimal investment situations in the Member States at a much faster pace than would hav</w:t>
      </w:r>
      <w:r>
        <w:rPr>
          <w:rFonts w:eastAsia="Times New Roman"/>
          <w:noProof/>
          <w:szCs w:val="24"/>
          <w:lang w:eastAsia="fr-FR"/>
        </w:rPr>
        <w:t>e been possible under LGF on its own, significantly speeding up the much needed financing of the economy.</w:t>
      </w:r>
    </w:p>
    <w:p w:rsidR="0073489B" w:rsidRDefault="00A46D11">
      <w:pPr>
        <w:spacing w:after="60"/>
        <w:jc w:val="both"/>
        <w:rPr>
          <w:noProof/>
          <w:szCs w:val="24"/>
        </w:rPr>
      </w:pPr>
      <w:r>
        <w:rPr>
          <w:noProof/>
          <w:szCs w:val="24"/>
        </w:rPr>
        <w:t>At the end of 2016, 67 guarantee agreements have been signed with 61 financial intermediaries located in 25 participating countries, with actual finan</w:t>
      </w:r>
      <w:r>
        <w:rPr>
          <w:noProof/>
          <w:szCs w:val="24"/>
        </w:rPr>
        <w:t>cing already provided to SMEs in 21 countries, as set out in the graphs below.</w:t>
      </w:r>
    </w:p>
    <w:p w:rsidR="0073489B" w:rsidRDefault="00A46D11">
      <w:pPr>
        <w:spacing w:after="60"/>
        <w:jc w:val="both"/>
        <w:rPr>
          <w:noProof/>
          <w:szCs w:val="24"/>
        </w:rPr>
      </w:pPr>
      <w:r>
        <w:rPr>
          <w:noProof/>
          <w:szCs w:val="24"/>
        </w:rPr>
        <w:t xml:space="preserve">Available implementation data shows that the LGF more specifically supports the smaller and younger SMEs where it is recognized that they encounter more difficulties to get the </w:t>
      </w:r>
      <w:r>
        <w:rPr>
          <w:noProof/>
          <w:szCs w:val="24"/>
        </w:rPr>
        <w:t>financing they need. Under the LGF, more than 91% of the SMEs having got financing have below 10 employees and 45% are start-ups.</w:t>
      </w:r>
    </w:p>
    <w:p w:rsidR="0073489B" w:rsidRDefault="00A46D11">
      <w:pPr>
        <w:spacing w:after="60"/>
        <w:jc w:val="both"/>
        <w:rPr>
          <w:noProof/>
          <w:szCs w:val="24"/>
        </w:rPr>
      </w:pPr>
      <w:r>
        <w:rPr>
          <w:noProof/>
          <w:szCs w:val="24"/>
        </w:rPr>
        <w:t>While it is still premature to fully assess the impact of the LGF, an initial analysis on a reduced sample base indicates that</w:t>
      </w:r>
      <w:r>
        <w:rPr>
          <w:noProof/>
          <w:szCs w:val="24"/>
        </w:rPr>
        <w:t>, on average, SMEs who benefitted from a guarantee under the LGF have significant increases in annual turnover (+ 16,4%) and in employment (+ 9,4%) at the end of 2015.</w:t>
      </w:r>
    </w:p>
    <w:p w:rsidR="0073489B" w:rsidRDefault="0073489B">
      <w:pPr>
        <w:spacing w:after="60"/>
        <w:rPr>
          <w:noProof/>
          <w:szCs w:val="24"/>
        </w:rPr>
      </w:pPr>
    </w:p>
    <w:p w:rsidR="0073489B" w:rsidRDefault="00A46D11">
      <w:pPr>
        <w:spacing w:after="60"/>
        <w:rPr>
          <w:noProof/>
          <w:szCs w:val="24"/>
        </w:rPr>
      </w:pPr>
      <w:r>
        <w:rPr>
          <w:noProof/>
          <w:szCs w:val="24"/>
        </w:rPr>
        <w:br w:type="page"/>
      </w:r>
      <w:r>
        <w:rPr>
          <w:noProof/>
          <w:szCs w:val="24"/>
        </w:rPr>
        <w:lastRenderedPageBreak/>
        <w:t xml:space="preserve">Graph: </w:t>
      </w:r>
      <w:r>
        <w:rPr>
          <w:b/>
          <w:i/>
          <w:noProof/>
          <w:szCs w:val="24"/>
        </w:rPr>
        <w:t>Geographical distribution of LGF net signatures in participating countries</w:t>
      </w:r>
    </w:p>
    <w:p w:rsidR="0073489B" w:rsidRDefault="00A46D11">
      <w:pPr>
        <w:spacing w:after="60"/>
        <w:rPr>
          <w:noProof/>
          <w:szCs w:val="24"/>
        </w:rPr>
      </w:pPr>
      <w:r>
        <w:rPr>
          <w:noProof/>
          <w:lang w:eastAsia="en-GB"/>
        </w:rPr>
        <w:drawing>
          <wp:inline distT="0" distB="0" distL="0" distR="0">
            <wp:extent cx="5812404" cy="4204508"/>
            <wp:effectExtent l="0" t="0" r="0" b="5715"/>
            <wp:docPr id="7" name="Picture 2"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serted picture RelID:1"/>
                    <pic:cNvPicPr>
                      <a:picLocks noChangeAspect="1"/>
                    </pic:cNvPicPr>
                  </pic:nvPicPr>
                  <pic:blipFill>
                    <a:blip r:embed="rId42"/>
                    <a:stretch>
                      <a:fillRect/>
                    </a:stretch>
                  </pic:blipFill>
                  <pic:spPr>
                    <a:xfrm>
                      <a:off x="0" y="0"/>
                      <a:ext cx="5824344" cy="4213145"/>
                    </a:xfrm>
                    <a:prstGeom prst="rect">
                      <a:avLst/>
                    </a:prstGeom>
                  </pic:spPr>
                </pic:pic>
              </a:graphicData>
            </a:graphic>
          </wp:inline>
        </w:drawing>
      </w:r>
    </w:p>
    <w:p w:rsidR="0073489B" w:rsidRDefault="0073489B">
      <w:pPr>
        <w:spacing w:after="60"/>
        <w:rPr>
          <w:noProof/>
          <w:szCs w:val="24"/>
        </w:rPr>
      </w:pPr>
    </w:p>
    <w:p w:rsidR="0073489B" w:rsidRDefault="00A46D11">
      <w:pPr>
        <w:spacing w:after="60"/>
        <w:rPr>
          <w:noProof/>
        </w:rPr>
      </w:pPr>
      <w:r>
        <w:rPr>
          <w:noProof/>
          <w:szCs w:val="24"/>
        </w:rPr>
        <w:br w:type="page"/>
      </w:r>
      <w:r>
        <w:rPr>
          <w:noProof/>
          <w:szCs w:val="24"/>
        </w:rPr>
        <w:lastRenderedPageBreak/>
        <w:t xml:space="preserve">Graph: </w:t>
      </w:r>
      <w:r>
        <w:rPr>
          <w:b/>
          <w:bCs/>
          <w:i/>
          <w:noProof/>
        </w:rPr>
        <w:t>Geographical distribution of SMEs  (by amount of financing received)</w:t>
      </w:r>
    </w:p>
    <w:p w:rsidR="0073489B" w:rsidRDefault="0073489B">
      <w:pPr>
        <w:spacing w:after="60"/>
        <w:rPr>
          <w:noProof/>
          <w:szCs w:val="24"/>
        </w:rPr>
      </w:pPr>
    </w:p>
    <w:p w:rsidR="0073489B" w:rsidRDefault="00A46D11">
      <w:pPr>
        <w:spacing w:after="60"/>
        <w:rPr>
          <w:noProof/>
          <w:szCs w:val="24"/>
        </w:rPr>
      </w:pPr>
      <w:r>
        <w:rPr>
          <w:noProof/>
          <w:lang w:eastAsia="en-GB"/>
        </w:rPr>
        <w:drawing>
          <wp:inline distT="0" distB="0" distL="0" distR="0">
            <wp:extent cx="5760720" cy="5119821"/>
            <wp:effectExtent l="0" t="0" r="1143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3489B" w:rsidRDefault="0073489B">
      <w:pPr>
        <w:spacing w:after="60"/>
        <w:rPr>
          <w:noProof/>
          <w:szCs w:val="24"/>
        </w:rPr>
      </w:pPr>
    </w:p>
    <w:p w:rsidR="0073489B" w:rsidRDefault="00A46D11">
      <w:pPr>
        <w:pStyle w:val="Heading4"/>
        <w:rPr>
          <w:noProof/>
        </w:rPr>
      </w:pPr>
      <w:bookmarkStart w:id="201" w:name="_Toc387228863"/>
      <w:bookmarkStart w:id="202" w:name="_Toc388541901"/>
      <w:r>
        <w:rPr>
          <w:noProof/>
        </w:rPr>
        <w:t>Other key points and issues</w:t>
      </w:r>
      <w:bookmarkEnd w:id="201"/>
      <w:bookmarkEnd w:id="202"/>
    </w:p>
    <w:p w:rsidR="0073489B" w:rsidRDefault="00A46D11">
      <w:pPr>
        <w:pStyle w:val="ListParagraph"/>
        <w:numPr>
          <w:ilvl w:val="0"/>
          <w:numId w:val="141"/>
        </w:numPr>
        <w:ind w:left="284" w:hanging="142"/>
        <w:rPr>
          <w:b/>
          <w:i/>
          <w:noProof/>
          <w:szCs w:val="24"/>
        </w:rPr>
      </w:pPr>
      <w:r>
        <w:rPr>
          <w:b/>
          <w:i/>
          <w:noProof/>
          <w:szCs w:val="24"/>
        </w:rPr>
        <w:t xml:space="preserve"> Main issues for the implementation:</w:t>
      </w:r>
    </w:p>
    <w:p w:rsidR="0073489B" w:rsidRDefault="00A46D11">
      <w:pPr>
        <w:pStyle w:val="ListParagraph"/>
        <w:numPr>
          <w:ilvl w:val="1"/>
          <w:numId w:val="141"/>
        </w:numPr>
        <w:autoSpaceDE w:val="0"/>
        <w:autoSpaceDN w:val="0"/>
        <w:adjustRightInd w:val="0"/>
        <w:spacing w:after="60"/>
        <w:ind w:left="567" w:right="141" w:hanging="283"/>
        <w:jc w:val="both"/>
        <w:rPr>
          <w:noProof/>
          <w:szCs w:val="24"/>
        </w:rPr>
      </w:pPr>
      <w:r>
        <w:rPr>
          <w:noProof/>
          <w:szCs w:val="24"/>
        </w:rPr>
        <w:t>It is crucial to continue to provide sufficient resources towards the LGF in order to avoid any disruption in l</w:t>
      </w:r>
      <w:r>
        <w:rPr>
          <w:noProof/>
          <w:szCs w:val="24"/>
        </w:rPr>
        <w:t>ater years of the programme as financial intermediaries start to apply for follow-on transactions to their current guarantee or counter-guarantee agreements.</w:t>
      </w:r>
    </w:p>
    <w:p w:rsidR="0073489B" w:rsidRDefault="00A46D11">
      <w:pPr>
        <w:pStyle w:val="ListParagraph"/>
        <w:numPr>
          <w:ilvl w:val="0"/>
          <w:numId w:val="141"/>
        </w:numPr>
        <w:ind w:left="284" w:hanging="142"/>
        <w:jc w:val="both"/>
        <w:rPr>
          <w:b/>
          <w:i/>
          <w:noProof/>
          <w:szCs w:val="24"/>
        </w:rPr>
      </w:pPr>
      <w:r>
        <w:rPr>
          <w:b/>
          <w:i/>
          <w:noProof/>
          <w:szCs w:val="24"/>
        </w:rPr>
        <w:t>Main risks:</w:t>
      </w:r>
    </w:p>
    <w:p w:rsidR="0073489B" w:rsidRDefault="00A46D11">
      <w:pPr>
        <w:pStyle w:val="ListParagraph"/>
        <w:numPr>
          <w:ilvl w:val="1"/>
          <w:numId w:val="141"/>
        </w:numPr>
        <w:spacing w:after="60"/>
        <w:ind w:left="567" w:hanging="283"/>
        <w:jc w:val="both"/>
        <w:rPr>
          <w:noProof/>
          <w:szCs w:val="24"/>
        </w:rPr>
      </w:pPr>
      <w:r>
        <w:rPr>
          <w:noProof/>
          <w:szCs w:val="24"/>
        </w:rPr>
        <w:t>No risks were identified with regard to eligibility of financial intermediaries and fi</w:t>
      </w:r>
      <w:r>
        <w:rPr>
          <w:noProof/>
          <w:szCs w:val="24"/>
        </w:rPr>
        <w:t>nal recipients, contractual compliance process and performance.</w:t>
      </w:r>
    </w:p>
    <w:p w:rsidR="0073489B" w:rsidRDefault="00A46D11">
      <w:pPr>
        <w:pStyle w:val="ListParagraph"/>
        <w:keepNext/>
        <w:numPr>
          <w:ilvl w:val="0"/>
          <w:numId w:val="141"/>
        </w:numPr>
        <w:ind w:left="284" w:hanging="142"/>
        <w:jc w:val="both"/>
        <w:rPr>
          <w:b/>
          <w:i/>
          <w:noProof/>
          <w:szCs w:val="24"/>
        </w:rPr>
      </w:pPr>
      <w:r>
        <w:rPr>
          <w:b/>
          <w:i/>
          <w:noProof/>
          <w:szCs w:val="24"/>
        </w:rPr>
        <w:t>General outlook:</w:t>
      </w:r>
    </w:p>
    <w:p w:rsidR="0073489B" w:rsidRDefault="00A46D11">
      <w:pPr>
        <w:pStyle w:val="ListParagraph"/>
        <w:numPr>
          <w:ilvl w:val="1"/>
          <w:numId w:val="141"/>
        </w:numPr>
        <w:autoSpaceDE w:val="0"/>
        <w:autoSpaceDN w:val="0"/>
        <w:adjustRightInd w:val="0"/>
        <w:spacing w:after="60"/>
        <w:ind w:left="567" w:right="141" w:hanging="283"/>
        <w:jc w:val="both"/>
        <w:rPr>
          <w:noProof/>
          <w:szCs w:val="24"/>
        </w:rPr>
      </w:pPr>
      <w:r>
        <w:rPr>
          <w:noProof/>
          <w:szCs w:val="24"/>
        </w:rPr>
        <w:t xml:space="preserve">Thanks to the conversion of the temporary additional risk-bearing capacity provided under EFSI into a permament top-up mechanism of the resources available for the LGF, it is </w:t>
      </w:r>
      <w:r>
        <w:rPr>
          <w:noProof/>
          <w:szCs w:val="24"/>
        </w:rPr>
        <w:t>expected that the continuous strong market demand can be met for the next years.</w:t>
      </w:r>
    </w:p>
    <w:p w:rsidR="0073489B" w:rsidRDefault="0073489B">
      <w:pPr>
        <w:pStyle w:val="ListParagraph"/>
        <w:spacing w:after="60"/>
        <w:ind w:left="567"/>
        <w:rPr>
          <w:noProof/>
          <w:szCs w:val="24"/>
        </w:rPr>
      </w:pPr>
    </w:p>
    <w:p w:rsidR="0073489B" w:rsidRDefault="00A46D11">
      <w:pPr>
        <w:pStyle w:val="Heading3"/>
        <w:spacing w:before="480" w:after="120"/>
        <w:ind w:left="553"/>
      </w:pPr>
      <w:bookmarkStart w:id="203" w:name="_RSI_(Pilot_guarantee"/>
      <w:bookmarkStart w:id="204" w:name="_Toc393281939"/>
      <w:bookmarkStart w:id="205" w:name="_Toc486436755"/>
      <w:bookmarkEnd w:id="203"/>
      <w:r>
        <w:lastRenderedPageBreak/>
        <w:t>RSI (Pilot guarantee facility for R&amp;I-driven SMEs and Small Midcaps) under FP7</w:t>
      </w:r>
      <w:bookmarkEnd w:id="204"/>
      <w:bookmarkEnd w:id="205"/>
      <w: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66"/>
        <w:gridCol w:w="4606"/>
      </w:tblGrid>
      <w:tr w:rsidR="0073489B">
        <w:trPr>
          <w:trHeight w:val="534"/>
        </w:trPr>
        <w:tc>
          <w:tcPr>
            <w:tcW w:w="4566" w:type="dxa"/>
            <w:tcBorders>
              <w:bottom w:val="single" w:sz="4" w:space="0" w:color="auto"/>
            </w:tcBorders>
            <w:shd w:val="clear" w:color="auto" w:fill="auto"/>
            <w:vAlign w:val="center"/>
          </w:tcPr>
          <w:p w:rsidR="0073489B" w:rsidRDefault="00A46D11">
            <w:pPr>
              <w:spacing w:before="60" w:after="60"/>
              <w:rPr>
                <w:noProof/>
                <w:szCs w:val="24"/>
              </w:rPr>
            </w:pPr>
            <w:bookmarkStart w:id="206" w:name="_Toc387228866"/>
            <w:bookmarkStart w:id="207" w:name="_Toc388541904"/>
            <w:r>
              <w:rPr>
                <w:b/>
                <w:noProof/>
                <w:szCs w:val="24"/>
              </w:rPr>
              <w:t>Policy DG in charge:</w:t>
            </w:r>
            <w:r>
              <w:rPr>
                <w:noProof/>
                <w:szCs w:val="24"/>
              </w:rPr>
              <w:t xml:space="preserve">  </w:t>
            </w:r>
          </w:p>
        </w:tc>
        <w:tc>
          <w:tcPr>
            <w:tcW w:w="4606" w:type="dxa"/>
            <w:tcBorders>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RTD</w:t>
            </w:r>
          </w:p>
        </w:tc>
      </w:tr>
      <w:tr w:rsidR="0073489B">
        <w:trPr>
          <w:trHeight w:val="534"/>
        </w:trPr>
        <w:tc>
          <w:tcPr>
            <w:tcW w:w="4566"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 xml:space="preserve">Implementing DG in charge: </w:t>
            </w:r>
            <w:r>
              <w:rPr>
                <w:noProof/>
                <w:szCs w:val="24"/>
              </w:rPr>
              <w:t xml:space="preserve"> </w:t>
            </w:r>
          </w:p>
        </w:tc>
        <w:tc>
          <w:tcPr>
            <w:tcW w:w="4606" w:type="dxa"/>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RTD</w:t>
            </w:r>
          </w:p>
        </w:tc>
      </w:tr>
      <w:tr w:rsidR="0073489B">
        <w:trPr>
          <w:trHeight w:val="534"/>
        </w:trPr>
        <w:tc>
          <w:tcPr>
            <w:tcW w:w="4566"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Operating Body in charge:</w:t>
            </w:r>
          </w:p>
        </w:tc>
        <w:tc>
          <w:tcPr>
            <w:tcW w:w="4606" w:type="dxa"/>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EIF</w:t>
            </w:r>
          </w:p>
        </w:tc>
      </w:tr>
      <w:tr w:rsidR="0073489B">
        <w:trPr>
          <w:trHeight w:val="534"/>
        </w:trPr>
        <w:tc>
          <w:tcPr>
            <w:tcW w:w="4566"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Initial Overall Budget Envelope:</w:t>
            </w:r>
          </w:p>
        </w:tc>
        <w:tc>
          <w:tcPr>
            <w:tcW w:w="4606" w:type="dxa"/>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EUR 270 million</w:t>
            </w:r>
          </w:p>
        </w:tc>
      </w:tr>
      <w:tr w:rsidR="0073489B">
        <w:trPr>
          <w:trHeight w:val="534"/>
        </w:trPr>
        <w:tc>
          <w:tcPr>
            <w:tcW w:w="4566" w:type="dxa"/>
            <w:tcBorders>
              <w:top w:val="single" w:sz="4" w:space="0" w:color="auto"/>
            </w:tcBorders>
            <w:shd w:val="clear" w:color="auto" w:fill="auto"/>
            <w:vAlign w:val="center"/>
          </w:tcPr>
          <w:p w:rsidR="0073489B" w:rsidRDefault="00A46D11">
            <w:pPr>
              <w:spacing w:before="60" w:after="60"/>
              <w:rPr>
                <w:b/>
                <w:noProof/>
                <w:szCs w:val="24"/>
              </w:rPr>
            </w:pPr>
            <w:r>
              <w:rPr>
                <w:b/>
                <w:noProof/>
                <w:szCs w:val="24"/>
              </w:rPr>
              <w:t>Current Overall Budget:</w:t>
            </w:r>
          </w:p>
        </w:tc>
        <w:tc>
          <w:tcPr>
            <w:tcW w:w="4606" w:type="dxa"/>
            <w:tcBorders>
              <w:top w:val="single" w:sz="4" w:space="0" w:color="auto"/>
            </w:tcBorders>
            <w:shd w:val="clear" w:color="auto" w:fill="auto"/>
            <w:vAlign w:val="center"/>
          </w:tcPr>
          <w:p w:rsidR="0073489B" w:rsidRDefault="00A46D11">
            <w:pPr>
              <w:spacing w:before="60" w:after="60"/>
              <w:jc w:val="center"/>
              <w:rPr>
                <w:noProof/>
                <w:szCs w:val="24"/>
              </w:rPr>
            </w:pPr>
            <w:r>
              <w:rPr>
                <w:noProof/>
                <w:szCs w:val="24"/>
              </w:rPr>
              <w:t>EUR 270 million</w:t>
            </w:r>
          </w:p>
        </w:tc>
      </w:tr>
    </w:tbl>
    <w:p w:rsidR="0073489B" w:rsidRDefault="0073489B">
      <w:pPr>
        <w:pStyle w:val="Heading4"/>
        <w:numPr>
          <w:ilvl w:val="0"/>
          <w:numId w:val="0"/>
        </w:numPr>
        <w:spacing w:before="120" w:after="160"/>
        <w:ind w:left="360"/>
        <w:rPr>
          <w:noProof/>
        </w:rPr>
      </w:pPr>
    </w:p>
    <w:p w:rsidR="0073489B" w:rsidRDefault="00A46D11">
      <w:pPr>
        <w:pStyle w:val="Heading4"/>
        <w:numPr>
          <w:ilvl w:val="0"/>
          <w:numId w:val="28"/>
        </w:numPr>
        <w:spacing w:before="120"/>
        <w:rPr>
          <w:noProof/>
        </w:rPr>
      </w:pPr>
      <w:r>
        <w:rPr>
          <w:noProof/>
        </w:rPr>
        <w:t>Summary</w:t>
      </w:r>
    </w:p>
    <w:bookmarkEnd w:id="206"/>
    <w:bookmarkEnd w:id="207"/>
    <w:p w:rsidR="0073489B" w:rsidRDefault="00A46D11">
      <w:pPr>
        <w:spacing w:after="60"/>
        <w:jc w:val="both"/>
        <w:rPr>
          <w:noProof/>
          <w:szCs w:val="24"/>
        </w:rPr>
      </w:pPr>
      <w:r>
        <w:rPr>
          <w:noProof/>
          <w:szCs w:val="24"/>
        </w:rPr>
        <w:t xml:space="preserve">RSI (Risk-Sharing Instrument for SMEs and small midcaps, with maximum 499 employees) was launched to improve access loan finance for RDI investments. </w:t>
      </w:r>
      <w:r>
        <w:rPr>
          <w:noProof/>
          <w:szCs w:val="24"/>
        </w:rPr>
        <w:t>The RSI guarantee facility is part of the RSFF implementation and is carried out by the European Investment Fund (EIF).</w:t>
      </w:r>
    </w:p>
    <w:p w:rsidR="0073489B" w:rsidRDefault="00A46D11">
      <w:pPr>
        <w:spacing w:after="60"/>
        <w:jc w:val="both"/>
        <w:rPr>
          <w:noProof/>
          <w:szCs w:val="24"/>
        </w:rPr>
      </w:pPr>
      <w:r>
        <w:rPr>
          <w:noProof/>
          <w:szCs w:val="24"/>
        </w:rPr>
        <w:t>The Risk-Sharing Instrument has so far provided over EUR 2,33 billion in guarantees and counter-guarantees to 35 banks and guarantee soc</w:t>
      </w:r>
      <w:r>
        <w:rPr>
          <w:noProof/>
          <w:szCs w:val="24"/>
        </w:rPr>
        <w:t>ieties: this has enabled them to support up to an estimated 4 146 innovative SMEs and small midcaps (estimated corresponding investment amount: EUR 4 660 million).</w:t>
      </w:r>
      <w:r>
        <w:rPr>
          <w:noProof/>
        </w:rPr>
        <w:t xml:space="preserve"> </w:t>
      </w:r>
      <w:r>
        <w:rPr>
          <w:noProof/>
          <w:szCs w:val="24"/>
        </w:rPr>
        <w:t>In only two years' time, these financial intermediaries now cover 17 countries in the Europe</w:t>
      </w:r>
      <w:r>
        <w:rPr>
          <w:noProof/>
          <w:szCs w:val="24"/>
        </w:rPr>
        <w:t>an Union and Associated Countries.</w:t>
      </w:r>
    </w:p>
    <w:p w:rsidR="0073489B" w:rsidRDefault="00A46D11">
      <w:pPr>
        <w:pStyle w:val="Heading4"/>
        <w:numPr>
          <w:ilvl w:val="0"/>
          <w:numId w:val="28"/>
        </w:numPr>
        <w:rPr>
          <w:i/>
          <w:noProof/>
          <w:sz w:val="20"/>
          <w:szCs w:val="20"/>
          <w:lang w:eastAsia="fr-FR"/>
        </w:rPr>
      </w:pPr>
      <w:r>
        <w:rPr>
          <w:noProof/>
        </w:rPr>
        <w:t>Description</w:t>
      </w:r>
    </w:p>
    <w:p w:rsidR="0073489B" w:rsidRDefault="00A46D11">
      <w:pPr>
        <w:pStyle w:val="Heading5"/>
        <w:numPr>
          <w:ilvl w:val="0"/>
          <w:numId w:val="29"/>
        </w:numPr>
        <w:spacing w:before="120"/>
        <w:ind w:left="284" w:firstLine="0"/>
        <w:rPr>
          <w:noProof/>
        </w:rPr>
      </w:pPr>
      <w:bookmarkStart w:id="208" w:name="_Toc387228867"/>
      <w:r>
        <w:rPr>
          <w:noProof/>
        </w:rPr>
        <w:t>Identification of the financial instrument and the basic act</w:t>
      </w:r>
      <w:bookmarkEnd w:id="208"/>
      <w:r>
        <w:rPr>
          <w:noProof/>
        </w:rPr>
        <w:t>;</w:t>
      </w:r>
    </w:p>
    <w:p w:rsidR="0073489B" w:rsidRDefault="00A46D11">
      <w:pPr>
        <w:spacing w:after="60"/>
        <w:ind w:right="141" w:firstLine="3"/>
        <w:jc w:val="both"/>
        <w:rPr>
          <w:noProof/>
          <w:szCs w:val="24"/>
        </w:rPr>
      </w:pPr>
      <w:r>
        <w:rPr>
          <w:noProof/>
          <w:szCs w:val="24"/>
        </w:rPr>
        <w:t xml:space="preserve">Decision No 1982/2006/EC of the European Parliament and of the Council of 18 December 2006 concerning the Seventh Framework Programme of the </w:t>
      </w:r>
      <w:r>
        <w:rPr>
          <w:noProof/>
          <w:szCs w:val="24"/>
        </w:rPr>
        <w:t>European Community for research, technological development and demonstration activities (2007-2013) (OJ L 412, 30.12.2006, p. 1).</w:t>
      </w:r>
    </w:p>
    <w:p w:rsidR="0073489B" w:rsidRDefault="00A46D11">
      <w:pPr>
        <w:spacing w:after="60"/>
        <w:ind w:right="141" w:firstLine="3"/>
        <w:jc w:val="both"/>
        <w:rPr>
          <w:noProof/>
          <w:szCs w:val="24"/>
        </w:rPr>
      </w:pPr>
      <w:r>
        <w:rPr>
          <w:noProof/>
          <w:szCs w:val="24"/>
        </w:rPr>
        <w:t>Council Decision 2006/971/EC of 19 December 2006 concerning the specific programme ‘Cooperation’ implementing the Seventh Fram</w:t>
      </w:r>
      <w:r>
        <w:rPr>
          <w:noProof/>
          <w:szCs w:val="24"/>
        </w:rPr>
        <w:t>ework Programme of the European Community for research, technological development and demonstration activities (2007 to 2013) (OJ L 400, 30.12.2006, p. 86).</w:t>
      </w:r>
    </w:p>
    <w:p w:rsidR="0073489B" w:rsidRDefault="00A46D11">
      <w:pPr>
        <w:spacing w:after="60"/>
        <w:ind w:right="141" w:firstLine="3"/>
        <w:jc w:val="both"/>
        <w:rPr>
          <w:noProof/>
          <w:szCs w:val="24"/>
        </w:rPr>
      </w:pPr>
      <w:r>
        <w:rPr>
          <w:noProof/>
          <w:szCs w:val="24"/>
        </w:rPr>
        <w:t>Council Decision 2006/974/EC of 19 December 2006 on the Specific Programme: ‘Capacities’ implementi</w:t>
      </w:r>
      <w:r>
        <w:rPr>
          <w:noProof/>
          <w:szCs w:val="24"/>
        </w:rPr>
        <w:t>ng the Seventh Framework Programme of the European Community for research, technological development and demonstration activities (2007 to 2013) (OJ L 400, 30.12.2006, p. 299).</w:t>
      </w:r>
    </w:p>
    <w:p w:rsidR="0073489B" w:rsidRDefault="00A46D11">
      <w:pPr>
        <w:pStyle w:val="Heading5"/>
        <w:numPr>
          <w:ilvl w:val="0"/>
          <w:numId w:val="78"/>
        </w:numPr>
        <w:spacing w:before="120"/>
        <w:ind w:left="284" w:firstLine="0"/>
        <w:jc w:val="both"/>
        <w:rPr>
          <w:noProof/>
        </w:rPr>
      </w:pPr>
      <w:bookmarkStart w:id="209" w:name="_Toc387228868"/>
      <w:r>
        <w:rPr>
          <w:noProof/>
        </w:rPr>
        <w:t xml:space="preserve">Description of the financial instrument, implementation arrangements and the </w:t>
      </w:r>
      <w:r>
        <w:rPr>
          <w:noProof/>
        </w:rPr>
        <w:t>added value of the Union contribution</w:t>
      </w:r>
      <w:bookmarkEnd w:id="209"/>
      <w:r>
        <w:rPr>
          <w:noProof/>
        </w:rPr>
        <w:t>;</w:t>
      </w:r>
    </w:p>
    <w:p w:rsidR="0073489B" w:rsidRDefault="00A46D11">
      <w:pPr>
        <w:ind w:right="141"/>
        <w:jc w:val="both"/>
        <w:rPr>
          <w:i/>
          <w:noProof/>
          <w:szCs w:val="24"/>
        </w:rPr>
      </w:pPr>
      <w:r>
        <w:rPr>
          <w:i/>
          <w:noProof/>
          <w:szCs w:val="24"/>
        </w:rPr>
        <w:t>Policy objectives and scope</w:t>
      </w:r>
    </w:p>
    <w:p w:rsidR="0073489B" w:rsidRDefault="00A46D11">
      <w:pPr>
        <w:spacing w:after="60"/>
        <w:ind w:right="141"/>
        <w:jc w:val="both"/>
        <w:rPr>
          <w:noProof/>
          <w:szCs w:val="24"/>
        </w:rPr>
      </w:pPr>
      <w:r>
        <w:rPr>
          <w:noProof/>
          <w:szCs w:val="24"/>
        </w:rPr>
        <w:t>The RSFF, co-developed by the European Commission and the EIB, was established in June 2007. In early 2012, within this programme a new pilot guarantee facility, RSI (Risk-Sharing Instrumen</w:t>
      </w:r>
      <w:r>
        <w:rPr>
          <w:noProof/>
          <w:szCs w:val="24"/>
        </w:rPr>
        <w:t xml:space="preserve">t for SMEs and small midcaps, with maximum 499 employees) was launched to improve access loan finance for RDI investments. </w:t>
      </w:r>
    </w:p>
    <w:p w:rsidR="0073489B" w:rsidRDefault="00A46D11">
      <w:pPr>
        <w:ind w:right="141"/>
        <w:jc w:val="both"/>
        <w:rPr>
          <w:i/>
          <w:noProof/>
          <w:szCs w:val="24"/>
        </w:rPr>
      </w:pPr>
      <w:r>
        <w:rPr>
          <w:i/>
          <w:noProof/>
          <w:szCs w:val="24"/>
        </w:rPr>
        <w:t>Implementation arrangements</w:t>
      </w:r>
    </w:p>
    <w:p w:rsidR="0073489B" w:rsidRDefault="00A46D11">
      <w:pPr>
        <w:spacing w:after="60"/>
        <w:ind w:right="141"/>
        <w:jc w:val="both"/>
        <w:rPr>
          <w:noProof/>
          <w:szCs w:val="24"/>
        </w:rPr>
      </w:pPr>
      <w:r>
        <w:rPr>
          <w:noProof/>
          <w:szCs w:val="24"/>
        </w:rPr>
        <w:t xml:space="preserve">The RSI guarantee facility is part of the RSFF implementation (see the relevant section in this report) </w:t>
      </w:r>
      <w:r>
        <w:rPr>
          <w:noProof/>
          <w:szCs w:val="24"/>
        </w:rPr>
        <w:t>and is carried out by the European Investment Fund (EIF). No new commitment were made since 31/12/2013.</w:t>
      </w:r>
    </w:p>
    <w:p w:rsidR="0073489B" w:rsidRDefault="00A46D11">
      <w:pPr>
        <w:ind w:right="141"/>
        <w:jc w:val="both"/>
        <w:rPr>
          <w:i/>
          <w:noProof/>
          <w:szCs w:val="24"/>
        </w:rPr>
      </w:pPr>
      <w:r>
        <w:rPr>
          <w:i/>
          <w:noProof/>
          <w:szCs w:val="24"/>
        </w:rPr>
        <w:lastRenderedPageBreak/>
        <w:t>Added value</w:t>
      </w:r>
    </w:p>
    <w:p w:rsidR="0073489B" w:rsidRDefault="00A46D11">
      <w:pPr>
        <w:spacing w:after="60"/>
        <w:ind w:right="141"/>
        <w:jc w:val="both"/>
        <w:rPr>
          <w:noProof/>
          <w:szCs w:val="24"/>
        </w:rPr>
      </w:pPr>
      <w:r>
        <w:rPr>
          <w:noProof/>
          <w:szCs w:val="24"/>
        </w:rPr>
        <w:t>RSI is a dedicated guarantee facility for loan and lease finance addressing the finance gap for innovative SMEs and Small Midcaps (with up t</w:t>
      </w:r>
      <w:r>
        <w:rPr>
          <w:noProof/>
          <w:szCs w:val="24"/>
        </w:rPr>
        <w:t>o 499 employees). Through risk-sharing via guarantees provided by the EIF to financial intermediaries, it made a significant contribution to support innovative smaller companies by improving their access to loan finance.</w:t>
      </w:r>
    </w:p>
    <w:p w:rsidR="0073489B" w:rsidRDefault="00A46D11">
      <w:pPr>
        <w:pStyle w:val="Heading5"/>
        <w:spacing w:before="120"/>
        <w:ind w:left="284" w:firstLine="0"/>
        <w:rPr>
          <w:noProof/>
        </w:rPr>
      </w:pPr>
      <w:bookmarkStart w:id="210" w:name="_Toc387228869"/>
      <w:r>
        <w:rPr>
          <w:noProof/>
        </w:rPr>
        <w:t>The financial institutions involved</w:t>
      </w:r>
      <w:r>
        <w:rPr>
          <w:noProof/>
        </w:rPr>
        <w:t xml:space="preserve"> in implementation</w:t>
      </w:r>
      <w:bookmarkEnd w:id="210"/>
      <w:r>
        <w:rPr>
          <w:noProof/>
        </w:rPr>
        <w:t>;</w:t>
      </w:r>
    </w:p>
    <w:p w:rsidR="0073489B" w:rsidRDefault="00A46D11">
      <w:pPr>
        <w:shd w:val="clear" w:color="auto" w:fill="FFFFFF"/>
        <w:spacing w:after="60"/>
        <w:ind w:left="426" w:right="141"/>
        <w:rPr>
          <w:noProof/>
          <w:szCs w:val="24"/>
        </w:rPr>
      </w:pPr>
      <w:r>
        <w:rPr>
          <w:noProof/>
          <w:szCs w:val="24"/>
        </w:rPr>
        <w:t>European Investment Fund (EIF).</w:t>
      </w:r>
    </w:p>
    <w:p w:rsidR="0073489B" w:rsidRDefault="0073489B">
      <w:pPr>
        <w:shd w:val="clear" w:color="auto" w:fill="FFFFFF"/>
        <w:spacing w:after="60"/>
        <w:ind w:left="426" w:right="141"/>
        <w:rPr>
          <w:noProof/>
          <w:szCs w:val="24"/>
        </w:rPr>
      </w:pPr>
    </w:p>
    <w:p w:rsidR="0073489B" w:rsidRDefault="00A46D11">
      <w:pPr>
        <w:pStyle w:val="Heading4"/>
        <w:spacing w:before="120"/>
        <w:rPr>
          <w:noProof/>
        </w:rPr>
      </w:pPr>
      <w:bookmarkStart w:id="211" w:name="_Toc387228870"/>
      <w:bookmarkStart w:id="212" w:name="_Toc388541905"/>
      <w:r>
        <w:rPr>
          <w:noProof/>
        </w:rPr>
        <w:t>Implementation</w:t>
      </w:r>
      <w:bookmarkEnd w:id="211"/>
      <w:bookmarkEnd w:id="212"/>
    </w:p>
    <w:p w:rsidR="0073489B" w:rsidRDefault="00A46D11">
      <w:pPr>
        <w:pStyle w:val="Heading5"/>
        <w:ind w:left="284" w:firstLine="0"/>
        <w:rPr>
          <w:noProof/>
        </w:rPr>
      </w:pPr>
      <w:bookmarkStart w:id="213" w:name="_Toc387228871"/>
      <w:r>
        <w:rPr>
          <w:noProof/>
        </w:rPr>
        <w:t>The aggregate budgetary commitments and payments from the budget</w:t>
      </w:r>
      <w:bookmarkEnd w:id="213"/>
      <w:r>
        <w:rPr>
          <w:noProof/>
        </w:rPr>
        <w:t>;</w:t>
      </w:r>
    </w:p>
    <w:p w:rsidR="0073489B" w:rsidRDefault="00A46D11">
      <w:pPr>
        <w:ind w:left="426" w:right="141"/>
        <w:rPr>
          <w:noProof/>
          <w:szCs w:val="24"/>
        </w:rPr>
      </w:pPr>
      <w:r>
        <w:rPr>
          <w:noProof/>
          <w:szCs w:val="24"/>
        </w:rPr>
        <w:t>Aggregate budgetary commitments as at 31/12/2016</w:t>
      </w:r>
      <w:r>
        <w:rPr>
          <w:noProof/>
          <w:szCs w:val="24"/>
        </w:rPr>
        <w:tab/>
      </w:r>
      <w:r>
        <w:rPr>
          <w:noProof/>
          <w:szCs w:val="24"/>
        </w:rPr>
        <w:tab/>
        <w:t xml:space="preserve">         EUR 270 000 000  </w:t>
      </w:r>
    </w:p>
    <w:p w:rsidR="0073489B" w:rsidRDefault="00A46D11">
      <w:pPr>
        <w:ind w:left="426" w:right="141"/>
        <w:rPr>
          <w:noProof/>
          <w:szCs w:val="24"/>
        </w:rPr>
      </w:pPr>
      <w:r>
        <w:rPr>
          <w:noProof/>
          <w:szCs w:val="24"/>
        </w:rPr>
        <w:t>Aggregate budgetary payments as at 31/12/2016</w:t>
      </w:r>
      <w:r>
        <w:rPr>
          <w:noProof/>
          <w:szCs w:val="24"/>
        </w:rPr>
        <w:tab/>
        <w:t xml:space="preserve">                     EUR 270 000 000 </w:t>
      </w:r>
    </w:p>
    <w:p w:rsidR="0073489B" w:rsidRDefault="00A46D11">
      <w:pPr>
        <w:pStyle w:val="Heading5"/>
        <w:spacing w:before="160"/>
        <w:ind w:left="284" w:firstLine="0"/>
        <w:rPr>
          <w:noProof/>
        </w:rPr>
      </w:pPr>
      <w:bookmarkStart w:id="214" w:name="_Toc387228872"/>
      <w:r>
        <w:rPr>
          <w:noProof/>
        </w:rPr>
        <w:t>The performance of the financial instrument, including investments realised</w:t>
      </w:r>
      <w:bookmarkEnd w:id="214"/>
      <w:r>
        <w:rPr>
          <w:noProof/>
        </w:rPr>
        <w:t>;</w:t>
      </w:r>
    </w:p>
    <w:p w:rsidR="0073489B" w:rsidRDefault="00A46D11">
      <w:pPr>
        <w:spacing w:after="60"/>
        <w:ind w:right="141"/>
        <w:jc w:val="both"/>
        <w:rPr>
          <w:noProof/>
          <w:szCs w:val="24"/>
        </w:rPr>
      </w:pPr>
      <w:r>
        <w:rPr>
          <w:noProof/>
          <w:szCs w:val="24"/>
        </w:rPr>
        <w:t xml:space="preserve">The aggregate number of applications from financial intermediaries is 47, including four guarantee increases. </w:t>
      </w:r>
    </w:p>
    <w:p w:rsidR="0073489B" w:rsidRDefault="00A46D11">
      <w:pPr>
        <w:spacing w:after="60"/>
        <w:ind w:right="141"/>
        <w:jc w:val="both"/>
        <w:rPr>
          <w:noProof/>
          <w:szCs w:val="24"/>
        </w:rPr>
      </w:pPr>
      <w:r>
        <w:rPr>
          <w:noProof/>
          <w:szCs w:val="24"/>
        </w:rPr>
        <w:t>The instrument has so far pro</w:t>
      </w:r>
      <w:r>
        <w:rPr>
          <w:noProof/>
          <w:szCs w:val="24"/>
        </w:rPr>
        <w:t>vided over EUR 2,33 billion in guarantees and counter-guarantees to 35 banks and guarantee societies: this will enable them to support up to an estimated 4 146 innovative SMEs and small midcaps via loans, financial leases, and loan guarantees.</w:t>
      </w:r>
    </w:p>
    <w:p w:rsidR="0073489B" w:rsidRDefault="0073489B">
      <w:pPr>
        <w:spacing w:before="60" w:after="240"/>
        <w:ind w:right="141"/>
        <w:rPr>
          <w:i/>
          <w:noProof/>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60"/>
      </w:tblGrid>
      <w:tr w:rsidR="0073489B">
        <w:trPr>
          <w:trHeight w:val="1700"/>
        </w:trPr>
        <w:tc>
          <w:tcPr>
            <w:tcW w:w="4536" w:type="dxa"/>
            <w:shd w:val="clear" w:color="auto" w:fill="auto"/>
            <w:vAlign w:val="center"/>
          </w:tcPr>
          <w:p w:rsidR="0073489B" w:rsidRDefault="00A46D11">
            <w:pPr>
              <w:pStyle w:val="ListParagraph"/>
              <w:ind w:left="0" w:right="141"/>
              <w:jc w:val="both"/>
              <w:rPr>
                <w:noProof/>
                <w:szCs w:val="24"/>
              </w:rPr>
            </w:pPr>
            <w:r>
              <w:rPr>
                <w:noProof/>
                <w:szCs w:val="24"/>
              </w:rPr>
              <w:t xml:space="preserve">Amount of </w:t>
            </w:r>
            <w:r>
              <w:rPr>
                <w:noProof/>
                <w:szCs w:val="24"/>
              </w:rPr>
              <w:t>financing expected to be provided by the instrument (including EU contribution committed) to eligible final recipients,</w:t>
            </w:r>
          </w:p>
          <w:p w:rsidR="0073489B" w:rsidRDefault="00A46D11">
            <w:pPr>
              <w:pStyle w:val="ListParagraph"/>
              <w:ind w:left="0" w:right="141"/>
              <w:jc w:val="both"/>
              <w:rPr>
                <w:noProof/>
                <w:szCs w:val="24"/>
              </w:rPr>
            </w:pPr>
            <w:r>
              <w:rPr>
                <w:noProof/>
                <w:szCs w:val="24"/>
              </w:rPr>
              <w:t>and corresponding number of eligible final recipients;</w:t>
            </w:r>
          </w:p>
        </w:tc>
        <w:tc>
          <w:tcPr>
            <w:tcW w:w="4360" w:type="dxa"/>
            <w:shd w:val="clear" w:color="auto" w:fill="auto"/>
            <w:vAlign w:val="center"/>
          </w:tcPr>
          <w:p w:rsidR="0073489B" w:rsidRDefault="00A46D11">
            <w:pPr>
              <w:ind w:right="141"/>
              <w:contextualSpacing/>
              <w:jc w:val="center"/>
              <w:rPr>
                <w:noProof/>
                <w:szCs w:val="24"/>
                <w:lang w:val="fr-BE"/>
              </w:rPr>
            </w:pPr>
            <w:r>
              <w:rPr>
                <w:noProof/>
                <w:szCs w:val="24"/>
                <w:lang w:val="fr-BE"/>
              </w:rPr>
              <w:t>EUR 3 301 million</w:t>
            </w:r>
          </w:p>
          <w:p w:rsidR="0073489B" w:rsidRDefault="0073489B">
            <w:pPr>
              <w:ind w:right="141"/>
              <w:contextualSpacing/>
              <w:jc w:val="center"/>
              <w:rPr>
                <w:noProof/>
                <w:szCs w:val="24"/>
                <w:lang w:val="fr-BE"/>
              </w:rPr>
            </w:pPr>
          </w:p>
          <w:p w:rsidR="0073489B" w:rsidRDefault="00A46D11">
            <w:pPr>
              <w:ind w:right="141"/>
              <w:contextualSpacing/>
              <w:jc w:val="center"/>
              <w:rPr>
                <w:noProof/>
                <w:szCs w:val="24"/>
                <w:lang w:val="fr-BE"/>
              </w:rPr>
            </w:pPr>
            <w:r>
              <w:rPr>
                <w:noProof/>
                <w:szCs w:val="24"/>
                <w:lang w:val="fr-BE"/>
              </w:rPr>
              <w:t>3 000 eligible FRs</w:t>
            </w:r>
          </w:p>
        </w:tc>
      </w:tr>
      <w:tr w:rsidR="0073489B">
        <w:trPr>
          <w:trHeight w:val="973"/>
        </w:trPr>
        <w:tc>
          <w:tcPr>
            <w:tcW w:w="4536" w:type="dxa"/>
            <w:shd w:val="clear" w:color="auto" w:fill="auto"/>
            <w:vAlign w:val="center"/>
          </w:tcPr>
          <w:p w:rsidR="0073489B" w:rsidRDefault="00A46D11">
            <w:pPr>
              <w:ind w:right="141"/>
              <w:contextualSpacing/>
              <w:jc w:val="both"/>
              <w:rPr>
                <w:noProof/>
                <w:szCs w:val="24"/>
              </w:rPr>
            </w:pPr>
            <w:r>
              <w:rPr>
                <w:noProof/>
                <w:szCs w:val="24"/>
              </w:rPr>
              <w:t xml:space="preserve">Amount of investments expected to be made </w:t>
            </w:r>
            <w:r>
              <w:rPr>
                <w:noProof/>
                <w:szCs w:val="24"/>
              </w:rPr>
              <w:t>by eligible final recipients due to the financing, if applicable</w:t>
            </w:r>
          </w:p>
        </w:tc>
        <w:tc>
          <w:tcPr>
            <w:tcW w:w="4360" w:type="dxa"/>
            <w:shd w:val="clear" w:color="auto" w:fill="auto"/>
            <w:vAlign w:val="center"/>
          </w:tcPr>
          <w:p w:rsidR="0073489B" w:rsidRDefault="00A46D11">
            <w:pPr>
              <w:ind w:right="141"/>
              <w:contextualSpacing/>
              <w:jc w:val="center"/>
              <w:rPr>
                <w:noProof/>
                <w:szCs w:val="24"/>
              </w:rPr>
            </w:pPr>
            <w:r>
              <w:rPr>
                <w:noProof/>
                <w:szCs w:val="24"/>
              </w:rPr>
              <w:t>EUR 6 000 million</w:t>
            </w:r>
          </w:p>
          <w:p w:rsidR="0073489B" w:rsidRDefault="0073489B">
            <w:pPr>
              <w:ind w:right="141"/>
              <w:contextualSpacing/>
              <w:jc w:val="center"/>
              <w:rPr>
                <w:noProof/>
                <w:szCs w:val="24"/>
              </w:rPr>
            </w:pPr>
          </w:p>
        </w:tc>
      </w:tr>
      <w:tr w:rsidR="0073489B">
        <w:trPr>
          <w:trHeight w:val="1129"/>
        </w:trPr>
        <w:tc>
          <w:tcPr>
            <w:tcW w:w="4536" w:type="dxa"/>
            <w:shd w:val="clear" w:color="auto" w:fill="auto"/>
            <w:vAlign w:val="center"/>
          </w:tcPr>
          <w:p w:rsidR="0073489B" w:rsidRDefault="00A46D11">
            <w:pPr>
              <w:pStyle w:val="ListParagraph"/>
              <w:ind w:left="0" w:right="141"/>
              <w:jc w:val="both"/>
              <w:rPr>
                <w:noProof/>
                <w:szCs w:val="24"/>
              </w:rPr>
            </w:pPr>
            <w:r>
              <w:rPr>
                <w:noProof/>
                <w:szCs w:val="24"/>
              </w:rPr>
              <w:t>Amount of financing already provided by the instrument to eligible final recipients,</w:t>
            </w:r>
          </w:p>
          <w:p w:rsidR="0073489B" w:rsidRDefault="00A46D11">
            <w:pPr>
              <w:pStyle w:val="ListParagraph"/>
              <w:ind w:left="0" w:right="141"/>
              <w:jc w:val="both"/>
              <w:rPr>
                <w:noProof/>
                <w:szCs w:val="24"/>
              </w:rPr>
            </w:pPr>
            <w:r>
              <w:rPr>
                <w:noProof/>
                <w:szCs w:val="24"/>
              </w:rPr>
              <w:t xml:space="preserve">and the corresponding number of recipients; </w:t>
            </w:r>
          </w:p>
        </w:tc>
        <w:tc>
          <w:tcPr>
            <w:tcW w:w="4360" w:type="dxa"/>
            <w:shd w:val="clear" w:color="auto" w:fill="auto"/>
            <w:vAlign w:val="center"/>
          </w:tcPr>
          <w:p w:rsidR="0073489B" w:rsidRDefault="00A46D11">
            <w:pPr>
              <w:ind w:right="141"/>
              <w:contextualSpacing/>
              <w:jc w:val="center"/>
              <w:rPr>
                <w:noProof/>
                <w:szCs w:val="24"/>
                <w:lang w:val="fr-BE"/>
              </w:rPr>
            </w:pPr>
            <w:r>
              <w:rPr>
                <w:noProof/>
                <w:szCs w:val="24"/>
                <w:lang w:val="fr-BE"/>
              </w:rPr>
              <w:t>EUR 2 331 million</w:t>
            </w:r>
          </w:p>
          <w:p w:rsidR="0073489B" w:rsidRDefault="00A46D11">
            <w:pPr>
              <w:ind w:right="141"/>
              <w:contextualSpacing/>
              <w:jc w:val="center"/>
              <w:rPr>
                <w:noProof/>
                <w:szCs w:val="24"/>
                <w:lang w:val="fr-BE"/>
              </w:rPr>
            </w:pPr>
            <w:r>
              <w:rPr>
                <w:noProof/>
                <w:szCs w:val="24"/>
                <w:lang w:val="fr-BE"/>
              </w:rPr>
              <w:t>4 146 eligible FRs</w:t>
            </w:r>
          </w:p>
        </w:tc>
      </w:tr>
      <w:tr w:rsidR="0073489B">
        <w:trPr>
          <w:trHeight w:val="1259"/>
        </w:trPr>
        <w:tc>
          <w:tcPr>
            <w:tcW w:w="4536" w:type="dxa"/>
            <w:shd w:val="clear" w:color="auto" w:fill="auto"/>
            <w:vAlign w:val="center"/>
          </w:tcPr>
          <w:p w:rsidR="0073489B" w:rsidRDefault="00A46D11">
            <w:pPr>
              <w:pStyle w:val="ListParagraph"/>
              <w:ind w:left="0" w:right="141"/>
              <w:jc w:val="both"/>
              <w:rPr>
                <w:noProof/>
              </w:rPr>
            </w:pPr>
            <w:r>
              <w:rPr>
                <w:noProof/>
                <w:szCs w:val="24"/>
              </w:rPr>
              <w:t>Amount of investments already made by eligible final recipients due to the financing provided through the instrument, if applicable.</w:t>
            </w:r>
          </w:p>
        </w:tc>
        <w:tc>
          <w:tcPr>
            <w:tcW w:w="4360" w:type="dxa"/>
            <w:shd w:val="clear" w:color="auto" w:fill="auto"/>
            <w:vAlign w:val="center"/>
          </w:tcPr>
          <w:p w:rsidR="0073489B" w:rsidRDefault="00A46D11">
            <w:pPr>
              <w:ind w:right="141"/>
              <w:contextualSpacing/>
              <w:jc w:val="center"/>
              <w:rPr>
                <w:noProof/>
                <w:szCs w:val="24"/>
              </w:rPr>
            </w:pPr>
            <w:r>
              <w:rPr>
                <w:noProof/>
                <w:szCs w:val="24"/>
              </w:rPr>
              <w:t>EUR 4 660 million</w:t>
            </w:r>
          </w:p>
          <w:p w:rsidR="0073489B" w:rsidRDefault="0073489B">
            <w:pPr>
              <w:ind w:right="141"/>
              <w:contextualSpacing/>
              <w:jc w:val="center"/>
              <w:rPr>
                <w:noProof/>
                <w:szCs w:val="24"/>
              </w:rPr>
            </w:pPr>
          </w:p>
        </w:tc>
      </w:tr>
    </w:tbl>
    <w:p w:rsidR="0073489B" w:rsidRDefault="00A46D11">
      <w:pPr>
        <w:pStyle w:val="Heading5"/>
        <w:ind w:left="284" w:firstLine="0"/>
        <w:jc w:val="both"/>
        <w:rPr>
          <w:noProof/>
        </w:rPr>
      </w:pPr>
      <w:bookmarkStart w:id="215" w:name="_Toc387228873"/>
      <w:r>
        <w:rPr>
          <w:noProof/>
        </w:rPr>
        <w:t xml:space="preserve">An evaluation of the use of any amounts returned to the instrument as internal assigned revenue under </w:t>
      </w:r>
      <w:r>
        <w:rPr>
          <w:noProof/>
        </w:rPr>
        <w:t>paragraph 6</w:t>
      </w:r>
      <w:bookmarkEnd w:id="215"/>
      <w:r>
        <w:rPr>
          <w:noProof/>
        </w:rPr>
        <w:t>;</w:t>
      </w:r>
    </w:p>
    <w:p w:rsidR="0073489B" w:rsidRDefault="0073489B">
      <w:pPr>
        <w:ind w:left="284" w:right="141"/>
        <w:contextualSpacing/>
        <w:rPr>
          <w:noProof/>
          <w:szCs w:val="24"/>
        </w:rPr>
      </w:pPr>
    </w:p>
    <w:p w:rsidR="0073489B" w:rsidRDefault="00A46D11">
      <w:pPr>
        <w:ind w:left="284" w:right="141"/>
        <w:contextualSpacing/>
        <w:rPr>
          <w:noProof/>
          <w:szCs w:val="24"/>
        </w:rPr>
      </w:pPr>
      <w:r>
        <w:rPr>
          <w:noProof/>
          <w:szCs w:val="24"/>
        </w:rPr>
        <w:t>EUR 64,1 million have been assigned to InnovFin Horizon 2020 SMEs &amp; Small Midcaps R&amp;I Loans Service Facility which is the successor financial instrument of the</w:t>
      </w:r>
      <w:r>
        <w:rPr>
          <w:noProof/>
        </w:rPr>
        <w:t xml:space="preserve"> </w:t>
      </w:r>
      <w:r>
        <w:rPr>
          <w:noProof/>
          <w:szCs w:val="24"/>
        </w:rPr>
        <w:t>pilot guarantee facility for R&amp;I-driven SMEs and Small Midcaps under the FP7 (RSI)</w:t>
      </w:r>
      <w:r>
        <w:rPr>
          <w:noProof/>
          <w:szCs w:val="24"/>
        </w:rPr>
        <w:t>.</w:t>
      </w:r>
    </w:p>
    <w:p w:rsidR="0073489B" w:rsidRDefault="00A46D11">
      <w:pPr>
        <w:pStyle w:val="Heading5"/>
        <w:spacing w:before="120" w:after="160"/>
        <w:ind w:left="284" w:firstLine="0"/>
        <w:rPr>
          <w:noProof/>
        </w:rPr>
      </w:pPr>
      <w:bookmarkStart w:id="216" w:name="_Toc387228874"/>
      <w:r>
        <w:rPr>
          <w:noProof/>
        </w:rPr>
        <w:lastRenderedPageBreak/>
        <w:t>The balance of the fiduciary account</w:t>
      </w:r>
      <w:bookmarkEnd w:id="216"/>
      <w:r>
        <w:rPr>
          <w:noProof/>
        </w:rPr>
        <w:t>;</w:t>
      </w:r>
    </w:p>
    <w:p w:rsidR="0073489B" w:rsidRDefault="00A46D11">
      <w:pPr>
        <w:keepNext/>
        <w:spacing w:after="160"/>
        <w:ind w:left="360" w:right="142"/>
        <w:rPr>
          <w:noProof/>
          <w:color w:val="FF00FF"/>
          <w:highlight w:val="yellow"/>
        </w:rPr>
      </w:pPr>
      <w:r>
        <w:rPr>
          <w:noProof/>
        </w:rPr>
        <w:t>Aggregate balance of the fiduciary account as at 31/12/2016</w:t>
      </w:r>
      <w:r>
        <w:rPr>
          <w:noProof/>
        </w:rPr>
        <w:tab/>
        <w:t xml:space="preserve">          EUR </w:t>
      </w:r>
      <w:r>
        <w:rPr>
          <w:bCs/>
          <w:noProof/>
          <w:szCs w:val="24"/>
        </w:rPr>
        <w:t>181 825 346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73489B">
        <w:tc>
          <w:tcPr>
            <w:tcW w:w="9288" w:type="dxa"/>
            <w:gridSpan w:val="2"/>
            <w:tcBorders>
              <w:top w:val="single" w:sz="4" w:space="0" w:color="auto"/>
              <w:left w:val="single" w:sz="4" w:space="0" w:color="auto"/>
              <w:bottom w:val="single" w:sz="4" w:space="0" w:color="auto"/>
              <w:right w:val="single" w:sz="4" w:space="0" w:color="auto"/>
            </w:tcBorders>
            <w:shd w:val="clear" w:color="auto" w:fill="DAEEF3"/>
          </w:tcPr>
          <w:p w:rsidR="0073489B" w:rsidRDefault="00A46D11">
            <w:pPr>
              <w:pStyle w:val="Heading5"/>
              <w:numPr>
                <w:ilvl w:val="0"/>
                <w:numId w:val="0"/>
              </w:numPr>
              <w:spacing w:before="160"/>
              <w:ind w:left="284"/>
              <w:rPr>
                <w:b w:val="0"/>
                <w:bCs/>
                <w:i/>
                <w:noProof/>
              </w:rPr>
            </w:pPr>
            <w:r>
              <w:rPr>
                <w:b w:val="0"/>
                <w:bCs/>
                <w:i/>
                <w:noProof/>
              </w:rPr>
              <w:t xml:space="preserve">                                                                                                      In EUR</w:t>
            </w:r>
          </w:p>
        </w:tc>
      </w:tr>
      <w:tr w:rsidR="0073489B">
        <w:tc>
          <w:tcPr>
            <w:tcW w:w="6228" w:type="dxa"/>
            <w:shd w:val="clear" w:color="auto" w:fill="auto"/>
          </w:tcPr>
          <w:p w:rsidR="0073489B" w:rsidRDefault="00A46D11">
            <w:pPr>
              <w:pStyle w:val="ListParagraph"/>
              <w:spacing w:before="60" w:after="60"/>
              <w:ind w:left="0" w:right="141"/>
              <w:rPr>
                <w:b/>
                <w:bCs/>
                <w:noProof/>
                <w:szCs w:val="24"/>
                <w:u w:val="single"/>
              </w:rPr>
            </w:pPr>
            <w:r>
              <w:rPr>
                <w:b/>
                <w:bCs/>
                <w:noProof/>
                <w:szCs w:val="24"/>
              </w:rPr>
              <w:t>Balance on the fiduc</w:t>
            </w:r>
            <w:r>
              <w:rPr>
                <w:b/>
                <w:bCs/>
                <w:noProof/>
                <w:szCs w:val="24"/>
              </w:rPr>
              <w:t>iary account (current account)</w:t>
            </w:r>
          </w:p>
        </w:tc>
        <w:tc>
          <w:tcPr>
            <w:tcW w:w="3060"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7 979 809</w:t>
            </w:r>
          </w:p>
        </w:tc>
      </w:tr>
      <w:tr w:rsidR="0073489B">
        <w:tc>
          <w:tcPr>
            <w:tcW w:w="6228" w:type="dxa"/>
            <w:shd w:val="clear" w:color="auto" w:fill="auto"/>
          </w:tcPr>
          <w:p w:rsidR="0073489B" w:rsidRDefault="00A46D11">
            <w:pPr>
              <w:pStyle w:val="ListParagraph"/>
              <w:spacing w:before="60" w:after="60"/>
              <w:ind w:left="0" w:right="141"/>
              <w:rPr>
                <w:b/>
                <w:bCs/>
                <w:noProof/>
                <w:szCs w:val="24"/>
                <w:u w:val="single"/>
              </w:rPr>
            </w:pPr>
            <w:r>
              <w:rPr>
                <w:b/>
                <w:bCs/>
                <w:noProof/>
                <w:szCs w:val="24"/>
              </w:rPr>
              <w:t>Term deposits/Bonds (if applicable)</w:t>
            </w:r>
          </w:p>
        </w:tc>
        <w:tc>
          <w:tcPr>
            <w:tcW w:w="3060" w:type="dxa"/>
            <w:shd w:val="clear" w:color="auto" w:fill="auto"/>
            <w:vAlign w:val="center"/>
          </w:tcPr>
          <w:p w:rsidR="0073489B" w:rsidRDefault="00A46D11">
            <w:pPr>
              <w:pStyle w:val="ListParagraph"/>
              <w:spacing w:before="60" w:after="60"/>
              <w:ind w:left="0" w:right="141"/>
              <w:jc w:val="center"/>
              <w:rPr>
                <w:bCs/>
                <w:noProof/>
                <w:szCs w:val="24"/>
              </w:rPr>
            </w:pPr>
            <w:r>
              <w:rPr>
                <w:bCs/>
                <w:noProof/>
                <w:szCs w:val="24"/>
              </w:rPr>
              <w:t>173 845 537</w:t>
            </w:r>
          </w:p>
        </w:tc>
      </w:tr>
      <w:tr w:rsidR="0073489B">
        <w:tc>
          <w:tcPr>
            <w:tcW w:w="6228" w:type="dxa"/>
            <w:shd w:val="clear" w:color="auto" w:fill="auto"/>
          </w:tcPr>
          <w:p w:rsidR="0073489B" w:rsidRDefault="00A46D11">
            <w:pPr>
              <w:pStyle w:val="ListParagraph"/>
              <w:spacing w:before="60" w:after="60"/>
              <w:ind w:left="426" w:right="141"/>
              <w:rPr>
                <w:bCs/>
                <w:noProof/>
                <w:szCs w:val="24"/>
              </w:rPr>
            </w:pPr>
            <w:r>
              <w:rPr>
                <w:bCs/>
                <w:noProof/>
                <w:szCs w:val="24"/>
              </w:rPr>
              <w:t>Term deposits &lt; 3 months (cash equivalent)</w:t>
            </w:r>
          </w:p>
        </w:tc>
        <w:tc>
          <w:tcPr>
            <w:tcW w:w="3060" w:type="dxa"/>
            <w:shd w:val="clear" w:color="auto" w:fill="auto"/>
            <w:vAlign w:val="center"/>
          </w:tcPr>
          <w:p w:rsidR="0073489B" w:rsidRDefault="00A46D11">
            <w:pPr>
              <w:pStyle w:val="ListParagraph"/>
              <w:spacing w:before="60" w:after="60"/>
              <w:ind w:left="0" w:right="141"/>
              <w:jc w:val="center"/>
              <w:rPr>
                <w:bCs/>
                <w:i/>
                <w:noProof/>
                <w:szCs w:val="24"/>
              </w:rPr>
            </w:pPr>
            <w:r>
              <w:rPr>
                <w:bCs/>
                <w:i/>
                <w:noProof/>
                <w:szCs w:val="24"/>
              </w:rPr>
              <w:t>43 902 285</w:t>
            </w:r>
          </w:p>
        </w:tc>
      </w:tr>
      <w:tr w:rsidR="0073489B">
        <w:tc>
          <w:tcPr>
            <w:tcW w:w="6228" w:type="dxa"/>
            <w:shd w:val="clear" w:color="auto" w:fill="auto"/>
          </w:tcPr>
          <w:p w:rsidR="0073489B" w:rsidRDefault="00A46D11">
            <w:pPr>
              <w:pStyle w:val="ListParagraph"/>
              <w:spacing w:before="60" w:after="60"/>
              <w:ind w:left="426" w:right="141"/>
              <w:rPr>
                <w:bCs/>
                <w:noProof/>
                <w:szCs w:val="24"/>
                <w:u w:val="single"/>
              </w:rPr>
            </w:pPr>
            <w:r>
              <w:rPr>
                <w:bCs/>
                <w:noProof/>
                <w:szCs w:val="24"/>
              </w:rPr>
              <w:t>Term deposits &gt; 3 months &lt; 1 year (current assets)</w:t>
            </w:r>
          </w:p>
        </w:tc>
        <w:tc>
          <w:tcPr>
            <w:tcW w:w="3060" w:type="dxa"/>
            <w:shd w:val="clear" w:color="auto" w:fill="auto"/>
            <w:vAlign w:val="center"/>
          </w:tcPr>
          <w:p w:rsidR="0073489B" w:rsidRDefault="0073489B">
            <w:pPr>
              <w:pStyle w:val="ListParagraph"/>
              <w:spacing w:before="60" w:after="60"/>
              <w:ind w:left="0" w:right="141"/>
              <w:jc w:val="center"/>
              <w:rPr>
                <w:bCs/>
                <w:i/>
                <w:noProof/>
                <w:szCs w:val="24"/>
              </w:rPr>
            </w:pPr>
          </w:p>
        </w:tc>
      </w:tr>
      <w:tr w:rsidR="0073489B">
        <w:tc>
          <w:tcPr>
            <w:tcW w:w="6228" w:type="dxa"/>
            <w:shd w:val="clear" w:color="auto" w:fill="auto"/>
          </w:tcPr>
          <w:p w:rsidR="0073489B" w:rsidRDefault="00A46D11">
            <w:pPr>
              <w:pStyle w:val="ListParagraph"/>
              <w:spacing w:before="60" w:after="60"/>
              <w:ind w:left="426" w:right="141"/>
              <w:rPr>
                <w:bCs/>
                <w:noProof/>
                <w:szCs w:val="24"/>
                <w:u w:val="single"/>
              </w:rPr>
            </w:pPr>
            <w:r>
              <w:rPr>
                <w:bCs/>
                <w:noProof/>
                <w:szCs w:val="24"/>
              </w:rPr>
              <w:t>Term deposits &gt; 1 year (non-current assets)</w:t>
            </w:r>
          </w:p>
        </w:tc>
        <w:tc>
          <w:tcPr>
            <w:tcW w:w="3060" w:type="dxa"/>
            <w:shd w:val="clear" w:color="auto" w:fill="auto"/>
            <w:vAlign w:val="center"/>
          </w:tcPr>
          <w:p w:rsidR="0073489B" w:rsidRDefault="0073489B">
            <w:pPr>
              <w:pStyle w:val="ListParagraph"/>
              <w:spacing w:before="60" w:after="60"/>
              <w:ind w:left="0" w:right="141"/>
              <w:jc w:val="center"/>
              <w:rPr>
                <w:bCs/>
                <w:i/>
                <w:noProof/>
                <w:szCs w:val="24"/>
              </w:rPr>
            </w:pPr>
          </w:p>
        </w:tc>
      </w:tr>
      <w:tr w:rsidR="0073489B">
        <w:tc>
          <w:tcPr>
            <w:tcW w:w="6228" w:type="dxa"/>
            <w:shd w:val="clear" w:color="auto" w:fill="auto"/>
          </w:tcPr>
          <w:p w:rsidR="0073489B" w:rsidRDefault="00A46D11">
            <w:pPr>
              <w:pStyle w:val="ListParagraph"/>
              <w:spacing w:before="60" w:after="60"/>
              <w:ind w:left="851" w:right="141"/>
              <w:rPr>
                <w:bCs/>
                <w:noProof/>
                <w:szCs w:val="24"/>
                <w:u w:val="single"/>
              </w:rPr>
            </w:pPr>
            <w:r>
              <w:rPr>
                <w:bCs/>
                <w:noProof/>
                <w:szCs w:val="24"/>
              </w:rPr>
              <w:t xml:space="preserve">Bonds </w:t>
            </w:r>
            <w:r>
              <w:rPr>
                <w:bCs/>
                <w:noProof/>
                <w:szCs w:val="24"/>
              </w:rPr>
              <w:t>current</w:t>
            </w:r>
          </w:p>
        </w:tc>
        <w:tc>
          <w:tcPr>
            <w:tcW w:w="3060" w:type="dxa"/>
            <w:shd w:val="clear" w:color="auto" w:fill="auto"/>
            <w:vAlign w:val="center"/>
          </w:tcPr>
          <w:p w:rsidR="0073489B" w:rsidRDefault="00A46D11">
            <w:pPr>
              <w:pStyle w:val="ListParagraph"/>
              <w:spacing w:before="60" w:after="60"/>
              <w:ind w:left="0" w:right="141"/>
              <w:jc w:val="center"/>
              <w:rPr>
                <w:bCs/>
                <w:i/>
                <w:noProof/>
                <w:szCs w:val="24"/>
              </w:rPr>
            </w:pPr>
            <w:r>
              <w:rPr>
                <w:bCs/>
                <w:i/>
                <w:noProof/>
                <w:szCs w:val="24"/>
              </w:rPr>
              <w:t>80 807 109</w:t>
            </w:r>
          </w:p>
        </w:tc>
      </w:tr>
      <w:tr w:rsidR="0073489B">
        <w:tc>
          <w:tcPr>
            <w:tcW w:w="6228" w:type="dxa"/>
            <w:shd w:val="clear" w:color="auto" w:fill="auto"/>
          </w:tcPr>
          <w:p w:rsidR="0073489B" w:rsidRDefault="00A46D11">
            <w:pPr>
              <w:pStyle w:val="ListParagraph"/>
              <w:spacing w:before="60" w:after="60"/>
              <w:ind w:left="851" w:right="141"/>
              <w:rPr>
                <w:bCs/>
                <w:noProof/>
                <w:szCs w:val="24"/>
                <w:u w:val="single"/>
              </w:rPr>
            </w:pPr>
            <w:r>
              <w:rPr>
                <w:bCs/>
                <w:noProof/>
                <w:szCs w:val="24"/>
              </w:rPr>
              <w:t>Bonds non-current</w:t>
            </w:r>
          </w:p>
        </w:tc>
        <w:tc>
          <w:tcPr>
            <w:tcW w:w="3060" w:type="dxa"/>
            <w:shd w:val="clear" w:color="auto" w:fill="auto"/>
            <w:vAlign w:val="center"/>
          </w:tcPr>
          <w:p w:rsidR="0073489B" w:rsidRDefault="00A46D11">
            <w:pPr>
              <w:pStyle w:val="ListParagraph"/>
              <w:spacing w:before="60" w:after="60"/>
              <w:ind w:left="0" w:right="141"/>
              <w:jc w:val="center"/>
              <w:rPr>
                <w:bCs/>
                <w:i/>
                <w:noProof/>
                <w:szCs w:val="24"/>
              </w:rPr>
            </w:pPr>
            <w:r>
              <w:rPr>
                <w:bCs/>
                <w:i/>
                <w:noProof/>
                <w:szCs w:val="24"/>
              </w:rPr>
              <w:t>49 136 143</w:t>
            </w:r>
          </w:p>
        </w:tc>
      </w:tr>
      <w:tr w:rsidR="0073489B">
        <w:tc>
          <w:tcPr>
            <w:tcW w:w="6228" w:type="dxa"/>
            <w:shd w:val="clear" w:color="auto" w:fill="auto"/>
          </w:tcPr>
          <w:p w:rsidR="0073489B" w:rsidRDefault="00A46D11">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73489B" w:rsidRDefault="0073489B">
            <w:pPr>
              <w:pStyle w:val="ListParagraph"/>
              <w:spacing w:before="60" w:after="60"/>
              <w:ind w:left="0" w:right="141"/>
              <w:jc w:val="center"/>
              <w:rPr>
                <w:bCs/>
                <w:noProof/>
                <w:szCs w:val="24"/>
              </w:rPr>
            </w:pPr>
          </w:p>
        </w:tc>
      </w:tr>
      <w:tr w:rsidR="0073489B">
        <w:trPr>
          <w:trHeight w:val="334"/>
        </w:trPr>
        <w:tc>
          <w:tcPr>
            <w:tcW w:w="6228" w:type="dxa"/>
            <w:shd w:val="clear" w:color="auto" w:fill="auto"/>
          </w:tcPr>
          <w:p w:rsidR="0073489B" w:rsidRDefault="00A46D11">
            <w:pPr>
              <w:spacing w:before="60" w:after="60"/>
              <w:ind w:right="141"/>
              <w:rPr>
                <w:b/>
                <w:bCs/>
                <w:noProof/>
                <w:szCs w:val="24"/>
              </w:rPr>
            </w:pPr>
            <w:r>
              <w:rPr>
                <w:b/>
                <w:bCs/>
                <w:i/>
                <w:iCs/>
                <w:noProof/>
                <w:szCs w:val="24"/>
              </w:rPr>
              <w:t>= Total assets</w:t>
            </w:r>
          </w:p>
        </w:tc>
        <w:tc>
          <w:tcPr>
            <w:tcW w:w="3060" w:type="dxa"/>
            <w:shd w:val="clear" w:color="auto" w:fill="auto"/>
          </w:tcPr>
          <w:p w:rsidR="0073489B" w:rsidRDefault="00A46D11">
            <w:pPr>
              <w:pStyle w:val="ListParagraph"/>
              <w:spacing w:before="60" w:after="60"/>
              <w:ind w:left="0" w:right="141"/>
              <w:jc w:val="center"/>
              <w:rPr>
                <w:bCs/>
                <w:noProof/>
                <w:szCs w:val="24"/>
              </w:rPr>
            </w:pPr>
            <w:r>
              <w:rPr>
                <w:bCs/>
                <w:noProof/>
                <w:szCs w:val="24"/>
              </w:rPr>
              <w:t>181 825 346</w:t>
            </w:r>
          </w:p>
        </w:tc>
      </w:tr>
    </w:tbl>
    <w:p w:rsidR="0073489B" w:rsidRDefault="00A46D11">
      <w:pPr>
        <w:pStyle w:val="Heading5"/>
        <w:numPr>
          <w:ilvl w:val="0"/>
          <w:numId w:val="0"/>
        </w:numPr>
        <w:spacing w:before="160"/>
        <w:ind w:left="284"/>
        <w:rPr>
          <w:b w:val="0"/>
          <w:i/>
          <w:noProof/>
        </w:rPr>
      </w:pPr>
      <w:bookmarkStart w:id="217" w:name="_Toc387228875"/>
      <w:r>
        <w:rPr>
          <w:b w:val="0"/>
          <w:i/>
          <w:noProof/>
        </w:rPr>
        <w:t>Impact of negative interest on RSI: no impact as at 31/12/2016.</w:t>
      </w:r>
      <w:r>
        <w:rPr>
          <w:rStyle w:val="FootnoteReference"/>
          <w:b w:val="0"/>
          <w:i/>
          <w:noProof/>
        </w:rPr>
        <w:footnoteReference w:id="129"/>
      </w:r>
    </w:p>
    <w:p w:rsidR="0073489B" w:rsidRDefault="00A46D11">
      <w:pPr>
        <w:pStyle w:val="Heading5"/>
        <w:numPr>
          <w:ilvl w:val="0"/>
          <w:numId w:val="0"/>
        </w:numPr>
        <w:spacing w:before="160"/>
        <w:ind w:left="284"/>
        <w:rPr>
          <w:b w:val="0"/>
          <w:i/>
          <w:noProof/>
        </w:rPr>
      </w:pPr>
      <w:r>
        <w:rPr>
          <w:b w:val="0"/>
          <w:i/>
          <w:noProof/>
        </w:rPr>
        <w:t>Please note that the figures provided are also included in RSFF.</w:t>
      </w:r>
    </w:p>
    <w:p w:rsidR="0073489B" w:rsidRDefault="00A46D11">
      <w:pPr>
        <w:pStyle w:val="Heading5"/>
        <w:spacing w:before="160"/>
        <w:ind w:left="284" w:firstLine="0"/>
        <w:rPr>
          <w:noProof/>
        </w:rPr>
      </w:pPr>
      <w:r>
        <w:rPr>
          <w:noProof/>
        </w:rPr>
        <w:t xml:space="preserve">Revenues and </w:t>
      </w:r>
      <w:r>
        <w:rPr>
          <w:noProof/>
        </w:rPr>
        <w:t>repayments</w:t>
      </w:r>
      <w:bookmarkEnd w:id="217"/>
      <w:r>
        <w:rPr>
          <w:noProof/>
        </w:rPr>
        <w:t>;</w:t>
      </w:r>
    </w:p>
    <w:p w:rsidR="0073489B" w:rsidRDefault="00A46D11">
      <w:pPr>
        <w:spacing w:after="60"/>
        <w:ind w:right="141"/>
        <w:jc w:val="both"/>
        <w:rPr>
          <w:noProof/>
          <w:szCs w:val="24"/>
        </w:rPr>
      </w:pPr>
      <w:r>
        <w:rPr>
          <w:noProof/>
          <w:szCs w:val="24"/>
        </w:rPr>
        <w:t>For the period 2012-2016 the following revenues and repayments were received by the EU on the EU RSI Account:</w:t>
      </w:r>
    </w:p>
    <w:p w:rsidR="0073489B" w:rsidRDefault="00A46D11">
      <w:pPr>
        <w:ind w:right="141"/>
        <w:rPr>
          <w:noProof/>
          <w:szCs w:val="24"/>
        </w:rPr>
      </w:pPr>
      <w:r>
        <w:rPr>
          <w:noProof/>
          <w:szCs w:val="24"/>
        </w:rPr>
        <w:t>Total operating revenues</w:t>
      </w:r>
      <w:r>
        <w:rPr>
          <w:rStyle w:val="FootnoteReference"/>
          <w:noProof/>
          <w:szCs w:val="24"/>
        </w:rPr>
        <w:footnoteReference w:id="130"/>
      </w:r>
      <w:r>
        <w:rPr>
          <w:noProof/>
          <w:szCs w:val="24"/>
        </w:rPr>
        <w:t>:                                                                            EUR  1 892 423</w:t>
      </w:r>
    </w:p>
    <w:p w:rsidR="0073489B" w:rsidRDefault="00A46D11">
      <w:pPr>
        <w:ind w:right="141"/>
        <w:rPr>
          <w:noProof/>
          <w:szCs w:val="24"/>
        </w:rPr>
      </w:pPr>
      <w:r>
        <w:rPr>
          <w:noProof/>
          <w:szCs w:val="24"/>
        </w:rPr>
        <w:t xml:space="preserve">Repayments:      </w:t>
      </w:r>
      <w:r>
        <w:rPr>
          <w:noProof/>
          <w:szCs w:val="24"/>
        </w:rPr>
        <w:t xml:space="preserve">                                                                                              EUR 64 105 752</w:t>
      </w:r>
    </w:p>
    <w:p w:rsidR="0073489B" w:rsidRDefault="00A46D11">
      <w:pPr>
        <w:pStyle w:val="Heading5"/>
        <w:spacing w:before="120"/>
        <w:ind w:left="284" w:firstLine="0"/>
        <w:rPr>
          <w:noProof/>
        </w:rPr>
      </w:pPr>
      <w:bookmarkStart w:id="218" w:name="_Toc387228876"/>
      <w:r>
        <w:rPr>
          <w:noProof/>
        </w:rPr>
        <w:t>The value of equity investments, with respect to previous years</w:t>
      </w:r>
      <w:bookmarkEnd w:id="218"/>
      <w:r>
        <w:rPr>
          <w:noProof/>
        </w:rPr>
        <w:t>;</w:t>
      </w:r>
    </w:p>
    <w:p w:rsidR="0073489B" w:rsidRDefault="00A46D11">
      <w:pPr>
        <w:spacing w:after="60"/>
        <w:ind w:right="141"/>
        <w:rPr>
          <w:noProof/>
          <w:szCs w:val="24"/>
        </w:rPr>
      </w:pPr>
      <w:r>
        <w:rPr>
          <w:noProof/>
          <w:szCs w:val="24"/>
        </w:rPr>
        <w:t xml:space="preserve">NA. </w:t>
      </w:r>
    </w:p>
    <w:p w:rsidR="0073489B" w:rsidRDefault="00A46D11">
      <w:pPr>
        <w:pStyle w:val="Heading5"/>
        <w:spacing w:before="120"/>
        <w:ind w:left="284" w:firstLine="0"/>
        <w:rPr>
          <w:noProof/>
        </w:rPr>
      </w:pPr>
      <w:bookmarkStart w:id="219" w:name="_Toc387228877"/>
      <w:r>
        <w:rPr>
          <w:noProof/>
        </w:rPr>
        <w:t>The accumulated figures on impairments of assets of equity</w:t>
      </w:r>
      <w:bookmarkEnd w:id="219"/>
      <w:r>
        <w:rPr>
          <w:noProof/>
        </w:rPr>
        <w:t>;</w:t>
      </w:r>
    </w:p>
    <w:p w:rsidR="0073489B" w:rsidRDefault="00A46D11">
      <w:pPr>
        <w:spacing w:after="60"/>
        <w:ind w:right="141"/>
        <w:contextualSpacing/>
        <w:rPr>
          <w:noProof/>
        </w:rPr>
      </w:pPr>
      <w:r>
        <w:rPr>
          <w:noProof/>
          <w:szCs w:val="24"/>
        </w:rPr>
        <w:t>Called guarantees</w:t>
      </w:r>
      <w:r>
        <w:rPr>
          <w:noProof/>
          <w:szCs w:val="24"/>
        </w:rPr>
        <w:t xml:space="preserve"> as at 31/12/2016</w:t>
      </w:r>
      <w:r>
        <w:rPr>
          <w:noProof/>
          <w:szCs w:val="24"/>
        </w:rPr>
        <w:tab/>
      </w:r>
      <w:r>
        <w:rPr>
          <w:noProof/>
          <w:szCs w:val="24"/>
        </w:rPr>
        <w:tab/>
        <w:t xml:space="preserve">                                               EUR 14 698 037</w:t>
      </w:r>
    </w:p>
    <w:p w:rsidR="0073489B" w:rsidRDefault="00A46D11">
      <w:pPr>
        <w:pStyle w:val="Heading5"/>
        <w:spacing w:before="120"/>
        <w:ind w:left="284" w:firstLine="0"/>
        <w:rPr>
          <w:noProof/>
        </w:rPr>
      </w:pPr>
      <w:bookmarkStart w:id="220" w:name="_Toc387228878"/>
      <w:r>
        <w:rPr>
          <w:noProof/>
        </w:rPr>
        <w:t>The target leverage effect, and the achieved leverage effect</w:t>
      </w:r>
      <w:bookmarkEnd w:id="220"/>
      <w:r>
        <w:rPr>
          <w:noProof/>
        </w:rPr>
        <w:t>;</w:t>
      </w:r>
    </w:p>
    <w:p w:rsidR="0073489B" w:rsidRDefault="00A46D11">
      <w:pPr>
        <w:spacing w:after="60"/>
        <w:jc w:val="both"/>
        <w:rPr>
          <w:noProof/>
          <w:szCs w:val="24"/>
          <w:lang w:eastAsia="en-GB"/>
        </w:rPr>
      </w:pPr>
      <w:r>
        <w:rPr>
          <w:noProof/>
          <w:szCs w:val="24"/>
          <w:lang w:eastAsia="en-GB"/>
        </w:rPr>
        <w:t>The expected leverage effect is above 12 with an amount of financing expected to be provided by financial interme</w:t>
      </w:r>
      <w:r>
        <w:rPr>
          <w:noProof/>
          <w:szCs w:val="24"/>
          <w:lang w:eastAsia="en-GB"/>
        </w:rPr>
        <w:t>diaries of EUR 3 301 million and an EU contribution of EUR 270 million.</w:t>
      </w:r>
    </w:p>
    <w:p w:rsidR="0073489B" w:rsidRDefault="00A46D11">
      <w:pPr>
        <w:spacing w:after="60"/>
        <w:jc w:val="both"/>
        <w:rPr>
          <w:noProof/>
          <w:szCs w:val="24"/>
          <w:lang w:eastAsia="en-GB"/>
        </w:rPr>
      </w:pPr>
      <w:r>
        <w:rPr>
          <w:noProof/>
          <w:szCs w:val="24"/>
          <w:lang w:eastAsia="en-GB"/>
        </w:rPr>
        <w:t>The achieved leverage effect is above 8,5 with an amount of financing expected to be provided by financial intermediaries of EUR 2 331 million and an EU contribution of EUR 270 million</w:t>
      </w:r>
    </w:p>
    <w:p w:rsidR="0073489B" w:rsidRDefault="0073489B">
      <w:pPr>
        <w:spacing w:after="60"/>
        <w:rPr>
          <w:noProof/>
          <w:szCs w:val="24"/>
          <w:lang w:eastAsia="en-GB"/>
        </w:rPr>
      </w:pPr>
    </w:p>
    <w:p w:rsidR="0073489B" w:rsidRDefault="00A46D11">
      <w:pPr>
        <w:pStyle w:val="Heading4"/>
        <w:rPr>
          <w:noProof/>
        </w:rPr>
      </w:pPr>
      <w:bookmarkStart w:id="221" w:name="_Toc387228879"/>
      <w:bookmarkStart w:id="222" w:name="_Toc388541906"/>
      <w:r>
        <w:rPr>
          <w:noProof/>
        </w:rPr>
        <w:lastRenderedPageBreak/>
        <w:t>Strategic importance/relevance</w:t>
      </w:r>
      <w:bookmarkEnd w:id="221"/>
      <w:bookmarkEnd w:id="222"/>
    </w:p>
    <w:p w:rsidR="0073489B" w:rsidRDefault="00A46D11">
      <w:pPr>
        <w:pStyle w:val="Heading5"/>
        <w:spacing w:before="120"/>
        <w:ind w:left="284" w:firstLine="0"/>
        <w:jc w:val="both"/>
        <w:rPr>
          <w:i/>
          <w:noProof/>
        </w:rPr>
      </w:pPr>
      <w:bookmarkStart w:id="223" w:name="_Toc387228880"/>
      <w:r>
        <w:rPr>
          <w:noProof/>
        </w:rPr>
        <w:t>The contribution of the financial instrument to the achievement of the objectives of the programme concerned as measured by the established indicators, including, where applicable, the geographical diversification</w:t>
      </w:r>
      <w:bookmarkEnd w:id="223"/>
      <w:r>
        <w:rPr>
          <w:noProof/>
        </w:rPr>
        <w:t>;</w:t>
      </w:r>
    </w:p>
    <w:p w:rsidR="0073489B" w:rsidRDefault="00A46D11">
      <w:pPr>
        <w:spacing w:after="60"/>
        <w:ind w:right="141"/>
        <w:jc w:val="both"/>
        <w:rPr>
          <w:noProof/>
          <w:szCs w:val="24"/>
        </w:rPr>
      </w:pPr>
      <w:r>
        <w:rPr>
          <w:noProof/>
          <w:szCs w:val="24"/>
        </w:rPr>
        <w:t>The Risk</w:t>
      </w:r>
      <w:r>
        <w:rPr>
          <w:noProof/>
          <w:szCs w:val="24"/>
        </w:rPr>
        <w:t xml:space="preserve"> Sharing Instrument (RSI) under the 7th Framework Programme is a guarantee facility dedicated for loan and lease finance addressing the finance gap for innovative SMEs and Small Midcaps (enterprises with up to 499 employees). </w:t>
      </w:r>
    </w:p>
    <w:p w:rsidR="0073489B" w:rsidRDefault="00A46D11">
      <w:pPr>
        <w:spacing w:after="60"/>
        <w:ind w:right="141"/>
        <w:jc w:val="both"/>
        <w:rPr>
          <w:noProof/>
          <w:szCs w:val="24"/>
        </w:rPr>
      </w:pPr>
      <w:r>
        <w:rPr>
          <w:noProof/>
          <w:szCs w:val="24"/>
        </w:rPr>
        <w:t>As at the end of 2016, the in</w:t>
      </w:r>
      <w:r>
        <w:rPr>
          <w:noProof/>
          <w:szCs w:val="24"/>
        </w:rPr>
        <w:t>strument has so far provided over EUR 2,33 billion in guarantees and counter-guarantees to 35 banks and guarantee societies: this will enable them to support up to an estimated 4 146 innovative SMEs and small midcaps via loans, financial leases, and loan g</w:t>
      </w:r>
      <w:r>
        <w:rPr>
          <w:noProof/>
          <w:szCs w:val="24"/>
        </w:rPr>
        <w:t>uarantees and had thus an important impact on the real economy of the EU as described below. In only two years' time, these financial intermediaries now cover 17</w:t>
      </w:r>
      <w:r>
        <w:rPr>
          <w:noProof/>
        </w:rPr>
        <w:t xml:space="preserve"> </w:t>
      </w:r>
      <w:r>
        <w:rPr>
          <w:noProof/>
          <w:szCs w:val="24"/>
        </w:rPr>
        <w:t>countries in the European Union and Associated Countries.</w:t>
      </w:r>
    </w:p>
    <w:p w:rsidR="0073489B" w:rsidRDefault="0073489B">
      <w:pPr>
        <w:spacing w:after="60"/>
        <w:ind w:right="141"/>
        <w:jc w:val="both"/>
        <w:rPr>
          <w:noProof/>
          <w:szCs w:val="24"/>
        </w:rPr>
      </w:pPr>
    </w:p>
    <w:p w:rsidR="0073489B" w:rsidRDefault="00A46D11">
      <w:pPr>
        <w:ind w:right="141"/>
        <w:jc w:val="both"/>
        <w:rPr>
          <w:noProof/>
          <w:szCs w:val="24"/>
        </w:rPr>
      </w:pPr>
      <w:r>
        <w:rPr>
          <w:noProof/>
          <w:szCs w:val="24"/>
        </w:rPr>
        <w:t xml:space="preserve">Graph: </w:t>
      </w:r>
      <w:r>
        <w:rPr>
          <w:b/>
          <w:i/>
          <w:noProof/>
          <w:szCs w:val="24"/>
        </w:rPr>
        <w:t>Geographical distribution of</w:t>
      </w:r>
      <w:r>
        <w:rPr>
          <w:b/>
          <w:i/>
          <w:noProof/>
          <w:szCs w:val="24"/>
        </w:rPr>
        <w:t xml:space="preserve"> RSI actual portfolio volume in participating countries</w:t>
      </w:r>
    </w:p>
    <w:p w:rsidR="0073489B" w:rsidRDefault="0073489B">
      <w:pPr>
        <w:ind w:right="141"/>
        <w:jc w:val="both"/>
        <w:rPr>
          <w:noProof/>
          <w:szCs w:val="24"/>
        </w:rPr>
      </w:pPr>
    </w:p>
    <w:p w:rsidR="0073489B" w:rsidRDefault="00A46D11">
      <w:pPr>
        <w:ind w:right="141"/>
        <w:jc w:val="both"/>
        <w:rPr>
          <w:noProof/>
          <w:szCs w:val="24"/>
        </w:rPr>
      </w:pPr>
      <w:r>
        <w:rPr>
          <w:noProof/>
          <w:szCs w:val="24"/>
          <w:lang w:eastAsia="en-GB"/>
        </w:rPr>
        <w:drawing>
          <wp:inline distT="0" distB="0" distL="0" distR="0">
            <wp:extent cx="5760720" cy="43319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331906"/>
                    </a:xfrm>
                    <a:prstGeom prst="rect">
                      <a:avLst/>
                    </a:prstGeom>
                    <a:noFill/>
                    <a:ln>
                      <a:noFill/>
                    </a:ln>
                  </pic:spPr>
                </pic:pic>
              </a:graphicData>
            </a:graphic>
          </wp:inline>
        </w:drawing>
      </w:r>
    </w:p>
    <w:p w:rsidR="0073489B" w:rsidRDefault="0073489B">
      <w:pPr>
        <w:spacing w:after="60"/>
        <w:ind w:right="141"/>
        <w:jc w:val="both"/>
        <w:rPr>
          <w:noProof/>
          <w:szCs w:val="24"/>
        </w:rPr>
      </w:pPr>
    </w:p>
    <w:p w:rsidR="0073489B" w:rsidRDefault="00A46D11">
      <w:pPr>
        <w:pStyle w:val="Heading4"/>
        <w:rPr>
          <w:noProof/>
        </w:rPr>
      </w:pPr>
      <w:bookmarkStart w:id="224" w:name="_Toc387228881"/>
      <w:bookmarkStart w:id="225" w:name="_Toc388541907"/>
      <w:r>
        <w:rPr>
          <w:noProof/>
        </w:rPr>
        <w:t>Other key points and issues</w:t>
      </w:r>
      <w:bookmarkEnd w:id="224"/>
      <w:bookmarkEnd w:id="225"/>
    </w:p>
    <w:p w:rsidR="0073489B" w:rsidRDefault="00A46D11">
      <w:pPr>
        <w:ind w:right="141"/>
        <w:jc w:val="both"/>
        <w:rPr>
          <w:noProof/>
          <w:szCs w:val="24"/>
        </w:rPr>
      </w:pPr>
      <w:r>
        <w:rPr>
          <w:noProof/>
          <w:szCs w:val="24"/>
        </w:rPr>
        <w:t xml:space="preserve">The Risk Sharing Instrument (RSI) has come to an end, and has paved the way to the financial instrument SMEs &amp; Small Midcaps R&amp;I Loans Service under Horizon 2020 which </w:t>
      </w:r>
      <w:r>
        <w:rPr>
          <w:noProof/>
          <w:szCs w:val="24"/>
        </w:rPr>
        <w:t>is implemented on a larger scale as well in term of budget than geographical coverage or specific target groups.</w:t>
      </w:r>
    </w:p>
    <w:p w:rsidR="0073489B" w:rsidRDefault="0073489B">
      <w:pPr>
        <w:ind w:right="141"/>
        <w:jc w:val="both"/>
        <w:rPr>
          <w:noProof/>
          <w:szCs w:val="24"/>
        </w:rPr>
      </w:pPr>
    </w:p>
    <w:p w:rsidR="0073489B" w:rsidRDefault="0073489B">
      <w:pPr>
        <w:ind w:right="141"/>
        <w:jc w:val="both"/>
        <w:rPr>
          <w:noProof/>
          <w:szCs w:val="24"/>
        </w:rPr>
      </w:pPr>
    </w:p>
    <w:p w:rsidR="0073489B" w:rsidRDefault="00A46D11">
      <w:pPr>
        <w:pStyle w:val="Heading3"/>
        <w:pBdr>
          <w:left w:val="single" w:sz="4" w:space="0" w:color="auto"/>
        </w:pBdr>
        <w:spacing w:before="480" w:after="120"/>
        <w:ind w:left="284"/>
      </w:pPr>
      <w:bookmarkStart w:id="226" w:name="_SMEs_&amp;_Small"/>
      <w:bookmarkStart w:id="227" w:name="_Toc486436756"/>
      <w:bookmarkStart w:id="228" w:name="_Toc387228883"/>
      <w:bookmarkStart w:id="229" w:name="_Toc388541909"/>
      <w:bookmarkStart w:id="230" w:name="_Toc393281940"/>
      <w:bookmarkEnd w:id="226"/>
      <w:r>
        <w:lastRenderedPageBreak/>
        <w:t>SMEs &amp; Small Midcaps R&amp;I Loans Service under Horizon 2020 (Innovfin SME Guarantee)</w:t>
      </w:r>
      <w:bookmarkEnd w:id="227"/>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73489B">
        <w:trPr>
          <w:trHeight w:val="270"/>
        </w:trPr>
        <w:tc>
          <w:tcPr>
            <w:tcW w:w="2516" w:type="pct"/>
            <w:tcBorders>
              <w:bottom w:val="single" w:sz="4" w:space="0" w:color="auto"/>
            </w:tcBorders>
            <w:shd w:val="clear" w:color="auto" w:fill="auto"/>
            <w:vAlign w:val="center"/>
          </w:tcPr>
          <w:p w:rsidR="0073489B" w:rsidRDefault="00A46D11">
            <w:pPr>
              <w:spacing w:before="60" w:after="60"/>
              <w:ind w:left="-142" w:firstLine="142"/>
              <w:rPr>
                <w:noProof/>
                <w:szCs w:val="24"/>
              </w:rPr>
            </w:pPr>
            <w:r>
              <w:rPr>
                <w:b/>
                <w:noProof/>
                <w:szCs w:val="24"/>
              </w:rPr>
              <w:t>Policy DG in charge:</w:t>
            </w:r>
            <w:r>
              <w:rPr>
                <w:noProof/>
                <w:szCs w:val="24"/>
              </w:rPr>
              <w:t xml:space="preserve">  </w:t>
            </w:r>
          </w:p>
        </w:tc>
        <w:tc>
          <w:tcPr>
            <w:tcW w:w="2484" w:type="pct"/>
            <w:tcBorders>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RTD</w:t>
            </w:r>
          </w:p>
        </w:tc>
      </w:tr>
      <w:tr w:rsidR="0073489B">
        <w:trPr>
          <w:trHeight w:val="284"/>
        </w:trPr>
        <w:tc>
          <w:tcPr>
            <w:tcW w:w="2516"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Implementing DG in charge:</w:t>
            </w:r>
            <w:r>
              <w:rPr>
                <w:noProof/>
                <w:szCs w:val="24"/>
              </w:rPr>
              <w:t xml:space="preserve">  </w:t>
            </w:r>
          </w:p>
        </w:tc>
        <w:tc>
          <w:tcPr>
            <w:tcW w:w="2484"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DG RTD</w:t>
            </w:r>
          </w:p>
        </w:tc>
      </w:tr>
      <w:tr w:rsidR="0073489B">
        <w:trPr>
          <w:trHeight w:val="288"/>
        </w:trPr>
        <w:tc>
          <w:tcPr>
            <w:tcW w:w="2516"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EIF</w:t>
            </w:r>
          </w:p>
        </w:tc>
      </w:tr>
      <w:tr w:rsidR="0073489B">
        <w:trPr>
          <w:trHeight w:val="278"/>
        </w:trPr>
        <w:tc>
          <w:tcPr>
            <w:tcW w:w="2516" w:type="pct"/>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Initial Overall Budget Envelope:</w:t>
            </w:r>
          </w:p>
        </w:tc>
        <w:tc>
          <w:tcPr>
            <w:tcW w:w="2484" w:type="pct"/>
            <w:tcBorders>
              <w:top w:val="single" w:sz="4" w:space="0" w:color="auto"/>
              <w:bottom w:val="single" w:sz="4" w:space="0" w:color="auto"/>
            </w:tcBorders>
            <w:shd w:val="clear" w:color="auto" w:fill="auto"/>
            <w:vAlign w:val="center"/>
          </w:tcPr>
          <w:p w:rsidR="0073489B" w:rsidRDefault="00A46D11">
            <w:pPr>
              <w:spacing w:before="60" w:after="60"/>
              <w:jc w:val="center"/>
              <w:rPr>
                <w:noProof/>
                <w:szCs w:val="24"/>
              </w:rPr>
            </w:pPr>
            <w:r>
              <w:rPr>
                <w:noProof/>
                <w:szCs w:val="24"/>
              </w:rPr>
              <w:t>EUR 1 060 million</w:t>
            </w:r>
          </w:p>
        </w:tc>
      </w:tr>
      <w:tr w:rsidR="0073489B">
        <w:trPr>
          <w:trHeight w:val="424"/>
        </w:trPr>
        <w:tc>
          <w:tcPr>
            <w:tcW w:w="2516" w:type="pct"/>
            <w:tcBorders>
              <w:top w:val="single" w:sz="4" w:space="0" w:color="auto"/>
            </w:tcBorders>
            <w:shd w:val="clear" w:color="auto" w:fill="auto"/>
            <w:vAlign w:val="center"/>
          </w:tcPr>
          <w:p w:rsidR="0073489B" w:rsidRDefault="00A46D11">
            <w:pPr>
              <w:spacing w:before="60" w:after="60"/>
              <w:rPr>
                <w:b/>
                <w:noProof/>
                <w:szCs w:val="24"/>
              </w:rPr>
            </w:pPr>
            <w:r>
              <w:rPr>
                <w:b/>
                <w:noProof/>
                <w:szCs w:val="24"/>
              </w:rPr>
              <w:t>Current Overall Budget:</w:t>
            </w:r>
          </w:p>
        </w:tc>
        <w:tc>
          <w:tcPr>
            <w:tcW w:w="2484" w:type="pct"/>
            <w:tcBorders>
              <w:top w:val="single" w:sz="4" w:space="0" w:color="auto"/>
            </w:tcBorders>
            <w:shd w:val="clear" w:color="auto" w:fill="auto"/>
            <w:vAlign w:val="center"/>
          </w:tcPr>
          <w:p w:rsidR="0073489B" w:rsidRDefault="00A46D11">
            <w:pPr>
              <w:spacing w:before="60" w:after="60"/>
              <w:jc w:val="center"/>
              <w:rPr>
                <w:noProof/>
                <w:szCs w:val="24"/>
              </w:rPr>
            </w:pPr>
            <w:r>
              <w:rPr>
                <w:noProof/>
                <w:szCs w:val="24"/>
              </w:rPr>
              <w:t xml:space="preserve">   EUR 1 060 million *</w:t>
            </w:r>
          </w:p>
        </w:tc>
      </w:tr>
    </w:tbl>
    <w:p w:rsidR="0073489B" w:rsidRDefault="00A46D11">
      <w:pPr>
        <w:ind w:firstLine="3"/>
        <w:rPr>
          <w:i/>
          <w:noProof/>
          <w:sz w:val="20"/>
          <w:szCs w:val="20"/>
          <w:lang w:eastAsia="fr-FR"/>
        </w:rPr>
      </w:pPr>
      <w:r>
        <w:rPr>
          <w:noProof/>
          <w:sz w:val="20"/>
          <w:szCs w:val="20"/>
          <w:lang w:eastAsia="fr-FR"/>
        </w:rPr>
        <w:t>*</w:t>
      </w:r>
      <w:r>
        <w:rPr>
          <w:i/>
          <w:noProof/>
          <w:sz w:val="20"/>
          <w:szCs w:val="20"/>
          <w:lang w:eastAsia="fr-FR"/>
        </w:rPr>
        <w:t xml:space="preserve">Please note that the total indicative budget for SME/ small midcap guarantee instruments is EUR 1 060 million </w:t>
      </w:r>
      <w:r>
        <w:rPr>
          <w:i/>
          <w:noProof/>
          <w:sz w:val="20"/>
          <w:szCs w:val="20"/>
          <w:lang w:eastAsia="fr-FR"/>
        </w:rPr>
        <w:t>that also includes the Horizon 2020 contribution to the SME Initiative. The minimum Horizon 2020 contribution to the SMEs and Small Midcaps Loan Service for R&amp;I is EUR 880 million but might be increased depending on the actual size of the contribution from</w:t>
      </w:r>
      <w:r>
        <w:rPr>
          <w:i/>
          <w:noProof/>
          <w:sz w:val="20"/>
          <w:szCs w:val="20"/>
          <w:lang w:eastAsia="fr-FR"/>
        </w:rPr>
        <w:t xml:space="preserve"> Horizon 2020 to the SME Initiative.</w:t>
      </w:r>
    </w:p>
    <w:p w:rsidR="0073489B" w:rsidRDefault="0073489B">
      <w:pPr>
        <w:ind w:firstLine="3"/>
        <w:rPr>
          <w:noProof/>
        </w:rPr>
      </w:pPr>
    </w:p>
    <w:p w:rsidR="0073489B" w:rsidRDefault="00A46D11">
      <w:pPr>
        <w:pStyle w:val="Heading4"/>
        <w:numPr>
          <w:ilvl w:val="0"/>
          <w:numId w:val="0"/>
        </w:numPr>
        <w:spacing w:before="0"/>
        <w:ind w:left="360" w:hanging="360"/>
        <w:rPr>
          <w:b w:val="0"/>
          <w:noProof/>
        </w:rPr>
      </w:pPr>
      <w:r>
        <w:rPr>
          <w:noProof/>
        </w:rPr>
        <w:t>A -</w:t>
      </w:r>
      <w:r>
        <w:rPr>
          <w:noProof/>
        </w:rPr>
        <w:tab/>
        <w:t>Summary</w:t>
      </w:r>
    </w:p>
    <w:p w:rsidR="0073489B" w:rsidRDefault="00A46D11">
      <w:pPr>
        <w:ind w:firstLine="3"/>
        <w:jc w:val="both"/>
        <w:rPr>
          <w:noProof/>
        </w:rPr>
      </w:pPr>
      <w:r>
        <w:rPr>
          <w:noProof/>
        </w:rPr>
        <w:t>This instrument addresses the financing gap for innovative SMEs and Small Midcaps (with up to 499 employees) for their investments in innovative products and processes containing significant technology or a</w:t>
      </w:r>
      <w:r>
        <w:rPr>
          <w:noProof/>
        </w:rPr>
        <w:t>pplication risks.</w:t>
      </w:r>
    </w:p>
    <w:p w:rsidR="0073489B" w:rsidRDefault="00A46D11">
      <w:pPr>
        <w:spacing w:after="60"/>
        <w:jc w:val="both"/>
        <w:rPr>
          <w:noProof/>
        </w:rPr>
      </w:pPr>
      <w:r>
        <w:rPr>
          <w:noProof/>
        </w:rPr>
        <w:t>The EU and the EIF, as risk-sharing partners at EU level, support loan finance to such innovative SMEs and Small Midcaps through direct or indirect guarantees which the EIF will provide to financial intermediaries.</w:t>
      </w:r>
    </w:p>
    <w:p w:rsidR="0073489B" w:rsidRDefault="00A46D11">
      <w:pPr>
        <w:spacing w:after="60"/>
        <w:jc w:val="both"/>
        <w:rPr>
          <w:noProof/>
        </w:rPr>
      </w:pPr>
      <w:r>
        <w:rPr>
          <w:noProof/>
        </w:rPr>
        <w:t>Due to the advantages t</w:t>
      </w:r>
      <w:r>
        <w:rPr>
          <w:noProof/>
        </w:rPr>
        <w:t xml:space="preserve">he </w:t>
      </w:r>
      <w:r>
        <w:rPr>
          <w:noProof/>
          <w:szCs w:val="24"/>
        </w:rPr>
        <w:t>InnovFin SME Guarantee</w:t>
      </w:r>
      <w:r>
        <w:rPr>
          <w:noProof/>
        </w:rPr>
        <w:t xml:space="preserve"> offers, notably in the form of risk-sharing and capital relief for banks, guarantee institutions and other financial intermediaries, this instrument is able to successfully address the financing gap for innovative small companies.</w:t>
      </w:r>
    </w:p>
    <w:p w:rsidR="0073489B" w:rsidRDefault="00A46D11">
      <w:pPr>
        <w:spacing w:after="60"/>
        <w:jc w:val="both"/>
        <w:rPr>
          <w:noProof/>
        </w:rPr>
      </w:pPr>
      <w:r>
        <w:rPr>
          <w:noProof/>
        </w:rPr>
        <w:t>Based on the foreseen Union budget coming from Horizon 2020, the risk-sharing arrangements between the EU and EIF as well as between the EIF and its financial intermediaries, a significant loan and lease volume in support of innovative small companies and</w:t>
      </w:r>
      <w:r>
        <w:rPr>
          <w:noProof/>
        </w:rPr>
        <w:t xml:space="preserve"> their investment can be expected. For the period 2014-2020, it is targeted to mobilize a loan and lease volume of approximately EUR 9,5 billion in support of 3 000 innovative companies and their investments in RDI.</w:t>
      </w:r>
    </w:p>
    <w:p w:rsidR="0073489B" w:rsidRDefault="00A46D11">
      <w:pPr>
        <w:spacing w:after="60"/>
        <w:jc w:val="both"/>
        <w:rPr>
          <w:noProof/>
        </w:rPr>
      </w:pPr>
      <w:r>
        <w:rPr>
          <w:noProof/>
          <w:lang w:val="en-US"/>
        </w:rPr>
        <w:t>The successful roll-out of InnovFin SMEG</w:t>
      </w:r>
      <w:r>
        <w:rPr>
          <w:noProof/>
          <w:lang w:val="en-US"/>
        </w:rPr>
        <w:t xml:space="preserve"> continued in 2016, also thanks to the additional risk bearing capacity available from the SME Window of EFSI, with more than 5 682 SMEs and small mid caps already having received financing</w:t>
      </w:r>
    </w:p>
    <w:p w:rsidR="0073489B" w:rsidRDefault="0073489B">
      <w:pPr>
        <w:spacing w:after="60"/>
        <w:rPr>
          <w:noProof/>
        </w:rPr>
      </w:pPr>
    </w:p>
    <w:p w:rsidR="0073489B" w:rsidRDefault="00A46D11">
      <w:pPr>
        <w:pStyle w:val="Heading4"/>
        <w:numPr>
          <w:ilvl w:val="0"/>
          <w:numId w:val="0"/>
        </w:numPr>
        <w:ind w:left="360" w:hanging="360"/>
        <w:rPr>
          <w:noProof/>
        </w:rPr>
      </w:pPr>
      <w:r>
        <w:rPr>
          <w:noProof/>
        </w:rPr>
        <w:t>B -</w:t>
      </w:r>
      <w:r>
        <w:rPr>
          <w:noProof/>
        </w:rPr>
        <w:tab/>
        <w:t>Description</w:t>
      </w:r>
    </w:p>
    <w:p w:rsidR="0073489B" w:rsidRDefault="00A46D11">
      <w:pPr>
        <w:pStyle w:val="Heading5"/>
        <w:numPr>
          <w:ilvl w:val="0"/>
          <w:numId w:val="0"/>
        </w:numPr>
        <w:spacing w:before="120"/>
        <w:ind w:left="284"/>
        <w:rPr>
          <w:b w:val="0"/>
          <w:noProof/>
        </w:rPr>
      </w:pPr>
      <w:r>
        <w:rPr>
          <w:noProof/>
        </w:rPr>
        <w:t>(a) Identification of the financial instrument an</w:t>
      </w:r>
      <w:r>
        <w:rPr>
          <w:noProof/>
        </w:rPr>
        <w:t>d the basic act;</w:t>
      </w:r>
    </w:p>
    <w:p w:rsidR="0073489B" w:rsidRDefault="00A46D11">
      <w:pPr>
        <w:spacing w:after="60"/>
        <w:ind w:right="141"/>
        <w:jc w:val="both"/>
        <w:rPr>
          <w:noProof/>
          <w:szCs w:val="24"/>
        </w:rPr>
      </w:pPr>
      <w:r>
        <w:rPr>
          <w:noProof/>
          <w:szCs w:val="24"/>
        </w:rPr>
        <w:t>Regulation (EU) No 1291/2013 of the European Parliament and of the Council of 11 December 2013 establishing Horizon 2020 - the Framework Programme for Research and Innovation (2014-2020)  (OJ L 347/104, 20.12.2013).</w:t>
      </w:r>
    </w:p>
    <w:p w:rsidR="0073489B" w:rsidRDefault="00A46D11">
      <w:pPr>
        <w:spacing w:after="60"/>
        <w:ind w:right="141"/>
        <w:jc w:val="both"/>
        <w:rPr>
          <w:noProof/>
          <w:szCs w:val="24"/>
        </w:rPr>
      </w:pPr>
      <w:r>
        <w:rPr>
          <w:noProof/>
          <w:szCs w:val="24"/>
        </w:rPr>
        <w:t>Regulation (EU) No 1290</w:t>
      </w:r>
      <w:r>
        <w:rPr>
          <w:noProof/>
          <w:szCs w:val="24"/>
        </w:rPr>
        <w:t>/2013 of the European Parliament and of the Council  of 11 December 2013 laying down the rules for participation and dissemination in "Horizon 2020 - the Framework Programme for Research and Innovation (2014-2020)"  (OJ L 347/81, 20.12.2013).</w:t>
      </w:r>
    </w:p>
    <w:p w:rsidR="0073489B" w:rsidRDefault="00A46D11">
      <w:pPr>
        <w:spacing w:after="60"/>
        <w:jc w:val="both"/>
        <w:rPr>
          <w:noProof/>
        </w:rPr>
      </w:pPr>
      <w:r>
        <w:rPr>
          <w:noProof/>
          <w:szCs w:val="24"/>
        </w:rPr>
        <w:t>Council Decis</w:t>
      </w:r>
      <w:r>
        <w:rPr>
          <w:noProof/>
          <w:szCs w:val="24"/>
        </w:rPr>
        <w:t>ion 2013/743/EU of 3 December 2013 establishing the specific programme implementing Horizon 2020 - the Framework Programme for Research and Innovation (2014-2020)  (OJ L 347/965, 20.12.2013).</w:t>
      </w:r>
      <w:r>
        <w:rPr>
          <w:noProof/>
        </w:rPr>
        <w:t xml:space="preserve"> </w:t>
      </w:r>
    </w:p>
    <w:p w:rsidR="0073489B" w:rsidRDefault="00A46D11">
      <w:pPr>
        <w:pStyle w:val="Heading5"/>
        <w:numPr>
          <w:ilvl w:val="0"/>
          <w:numId w:val="0"/>
        </w:numPr>
        <w:spacing w:before="120"/>
        <w:ind w:left="284"/>
        <w:jc w:val="both"/>
        <w:rPr>
          <w:noProof/>
        </w:rPr>
      </w:pPr>
      <w:r>
        <w:rPr>
          <w:noProof/>
        </w:rPr>
        <w:lastRenderedPageBreak/>
        <w:t>(b) Description of the financial instrument, implementation arr</w:t>
      </w:r>
      <w:r>
        <w:rPr>
          <w:noProof/>
        </w:rPr>
        <w:t>angements and the added value of the Union contribution;</w:t>
      </w:r>
    </w:p>
    <w:p w:rsidR="0073489B" w:rsidRDefault="00A46D11">
      <w:pPr>
        <w:keepNext/>
        <w:ind w:right="142"/>
        <w:jc w:val="both"/>
        <w:rPr>
          <w:i/>
          <w:noProof/>
          <w:szCs w:val="24"/>
        </w:rPr>
      </w:pPr>
      <w:r>
        <w:rPr>
          <w:i/>
          <w:noProof/>
          <w:szCs w:val="24"/>
        </w:rPr>
        <w:t>Policy objectives and scope</w:t>
      </w:r>
    </w:p>
    <w:p w:rsidR="0073489B" w:rsidRDefault="00A46D11">
      <w:pPr>
        <w:spacing w:after="60"/>
        <w:ind w:right="141"/>
        <w:jc w:val="both"/>
        <w:rPr>
          <w:noProof/>
          <w:szCs w:val="24"/>
        </w:rPr>
      </w:pPr>
      <w:r>
        <w:rPr>
          <w:noProof/>
          <w:szCs w:val="24"/>
        </w:rPr>
        <w:t>This guarantee facility succeeds and refines the RSI pilot under the RSFF in FP7, and is part of a single debt financial instrument supporting the growth of enterprises an</w:t>
      </w:r>
      <w:r>
        <w:rPr>
          <w:noProof/>
          <w:szCs w:val="24"/>
        </w:rPr>
        <w:t xml:space="preserve">d their R&amp;I activities. It targets R&amp;I-driven SMEs and small midcaps (up to 499 employees) requiring loans of between EUR 25 000 and EUR 7,5 million. A loan of more than EUR 7,5 million will be considered on a case-by-case basis. </w:t>
      </w:r>
    </w:p>
    <w:p w:rsidR="0073489B" w:rsidRDefault="00A46D11">
      <w:pPr>
        <w:ind w:right="141"/>
        <w:jc w:val="both"/>
        <w:rPr>
          <w:i/>
          <w:noProof/>
          <w:szCs w:val="24"/>
        </w:rPr>
      </w:pPr>
      <w:r>
        <w:rPr>
          <w:i/>
          <w:noProof/>
          <w:szCs w:val="24"/>
        </w:rPr>
        <w:t xml:space="preserve">Implementation </w:t>
      </w:r>
      <w:r>
        <w:rPr>
          <w:i/>
          <w:noProof/>
          <w:szCs w:val="24"/>
        </w:rPr>
        <w:t>arrangements</w:t>
      </w:r>
    </w:p>
    <w:p w:rsidR="0073489B" w:rsidRDefault="00A46D11">
      <w:pPr>
        <w:shd w:val="clear" w:color="auto" w:fill="FFFFFF"/>
        <w:spacing w:after="60"/>
        <w:ind w:right="141"/>
        <w:jc w:val="both"/>
        <w:rPr>
          <w:noProof/>
          <w:szCs w:val="24"/>
        </w:rPr>
      </w:pPr>
      <w:r>
        <w:rPr>
          <w:noProof/>
          <w:szCs w:val="24"/>
        </w:rPr>
        <w:t>The EIF implements this guarantee instrument, which will be delivered by financial intermediaries (such as banks). Financial intermediaries will be guaranteed against a proportion of their potential losses by EIF, which will also offer counter</w:t>
      </w:r>
      <w:r>
        <w:rPr>
          <w:noProof/>
          <w:szCs w:val="24"/>
        </w:rPr>
        <w:t>-guarantees to guarantee institutions.</w:t>
      </w:r>
    </w:p>
    <w:p w:rsidR="0073489B" w:rsidRDefault="00A46D11">
      <w:pPr>
        <w:spacing w:after="60"/>
        <w:ind w:right="141"/>
        <w:jc w:val="both"/>
        <w:rPr>
          <w:noProof/>
          <w:szCs w:val="24"/>
        </w:rPr>
      </w:pPr>
      <w:r>
        <w:rPr>
          <w:noProof/>
          <w:szCs w:val="24"/>
        </w:rPr>
        <w:t>The European Investment Fund (EIF) is providing direct guarantees to financial intermediaries such as banks, who will extend the actual loans to final recipients. The guarantee covers up to 50% of intermediaries' pote</w:t>
      </w:r>
      <w:r>
        <w:rPr>
          <w:noProof/>
          <w:szCs w:val="24"/>
        </w:rPr>
        <w:t>ntial losses. EIF also offers counter-guarantees to financial intermediaries (such as guarantee institutions) providing risk protection to banks extending loans to R&amp;I-driven SMEs and small midcaps. This facility is available since 10 June 2014.</w:t>
      </w:r>
    </w:p>
    <w:p w:rsidR="0073489B" w:rsidRDefault="00A46D11">
      <w:pPr>
        <w:spacing w:after="60"/>
        <w:ind w:right="141"/>
        <w:jc w:val="both"/>
        <w:rPr>
          <w:noProof/>
          <w:szCs w:val="24"/>
        </w:rPr>
      </w:pPr>
      <w:r>
        <w:rPr>
          <w:noProof/>
          <w:szCs w:val="24"/>
        </w:rPr>
        <w:t>R&amp;I-driven</w:t>
      </w:r>
      <w:r>
        <w:rPr>
          <w:noProof/>
          <w:szCs w:val="24"/>
        </w:rPr>
        <w:t xml:space="preserve"> SMEs or small midcaps wishing to apply for a loan should contact one of the financial intermediaries signing an agreement (see Selection procedure) with EIF. This is a demand-driven facility, with no prior allocations between sectors, countries or regions</w:t>
      </w:r>
      <w:r>
        <w:rPr>
          <w:noProof/>
          <w:szCs w:val="24"/>
        </w:rPr>
        <w:t>. However, the Commission incentivises EIF to make a particular effort to ensure that a significant proportion of final recipients are eco-innovative SMEs and small midcaps.</w:t>
      </w:r>
    </w:p>
    <w:p w:rsidR="0073489B" w:rsidRDefault="00A46D11">
      <w:pPr>
        <w:spacing w:after="60"/>
        <w:jc w:val="both"/>
        <w:rPr>
          <w:noProof/>
        </w:rPr>
      </w:pPr>
      <w:r>
        <w:rPr>
          <w:i/>
          <w:noProof/>
          <w:szCs w:val="24"/>
        </w:rPr>
        <w:t>Selection procedure</w:t>
      </w:r>
      <w:r>
        <w:rPr>
          <w:noProof/>
          <w:szCs w:val="24"/>
        </w:rPr>
        <w:t xml:space="preserve">: </w:t>
      </w:r>
      <w:r>
        <w:rPr>
          <w:noProof/>
        </w:rPr>
        <w:t>financial intermediaries selected by entrusted entities for t</w:t>
      </w:r>
      <w:r>
        <w:rPr>
          <w:noProof/>
        </w:rPr>
        <w:t>he implementation of financial instruments pursuant to Article 139(4) of Regulation (EU, Euratom) No 966/2012 on the basis of open, transparent, proportionate and non- discriminatory procedures, may include private financial institutions as well as governm</w:t>
      </w:r>
      <w:r>
        <w:rPr>
          <w:noProof/>
        </w:rPr>
        <w:t>ental and semi-governmental financial institutions, national and regional public banks as well as national and regional investment banks</w:t>
      </w:r>
    </w:p>
    <w:p w:rsidR="0073489B" w:rsidRDefault="00A46D11">
      <w:pPr>
        <w:ind w:right="141"/>
        <w:jc w:val="both"/>
        <w:rPr>
          <w:noProof/>
          <w:szCs w:val="24"/>
        </w:rPr>
      </w:pPr>
      <w:r>
        <w:rPr>
          <w:noProof/>
          <w:szCs w:val="24"/>
        </w:rPr>
        <w:t>a) For financial intermediaries: EIF issues calls for expression of interest, with eligibility and selection criteria d</w:t>
      </w:r>
      <w:r>
        <w:rPr>
          <w:noProof/>
          <w:szCs w:val="24"/>
        </w:rPr>
        <w:t xml:space="preserve">efined as part of each call after consultation with DG Research &amp; Innovation. </w:t>
      </w:r>
    </w:p>
    <w:p w:rsidR="0073489B" w:rsidRDefault="00A46D11">
      <w:pPr>
        <w:spacing w:after="60"/>
        <w:ind w:right="141"/>
        <w:jc w:val="both"/>
        <w:rPr>
          <w:noProof/>
          <w:szCs w:val="24"/>
        </w:rPr>
      </w:pPr>
      <w:r>
        <w:rPr>
          <w:noProof/>
          <w:szCs w:val="24"/>
        </w:rPr>
        <w:t xml:space="preserve">b) For loans: according to the internal processes of the intermediary bank or other financial institution that the SME or small midcap applies to, using normal commercial criteria. </w:t>
      </w:r>
    </w:p>
    <w:p w:rsidR="0073489B" w:rsidRDefault="00A46D11">
      <w:pPr>
        <w:ind w:right="141"/>
        <w:jc w:val="both"/>
        <w:rPr>
          <w:i/>
          <w:noProof/>
          <w:szCs w:val="24"/>
        </w:rPr>
      </w:pPr>
      <w:r>
        <w:rPr>
          <w:i/>
          <w:noProof/>
          <w:szCs w:val="24"/>
        </w:rPr>
        <w:t>Added value</w:t>
      </w:r>
    </w:p>
    <w:p w:rsidR="0073489B" w:rsidRDefault="00A46D11">
      <w:pPr>
        <w:shd w:val="clear" w:color="auto" w:fill="FFFFFF"/>
        <w:spacing w:after="60"/>
        <w:ind w:right="141"/>
        <w:jc w:val="both"/>
        <w:rPr>
          <w:noProof/>
          <w:szCs w:val="24"/>
        </w:rPr>
      </w:pPr>
      <w:r>
        <w:rPr>
          <w:noProof/>
          <w:szCs w:val="24"/>
        </w:rPr>
        <w:t xml:space="preserve">This is a demand-driven instrument, with no prior allocations </w:t>
      </w:r>
      <w:r>
        <w:rPr>
          <w:noProof/>
          <w:szCs w:val="24"/>
        </w:rPr>
        <w:t>between sectors, countries or regions, or types or sizes of firms or other entities.</w:t>
      </w:r>
    </w:p>
    <w:p w:rsidR="0073489B" w:rsidRDefault="00A46D11">
      <w:pPr>
        <w:spacing w:after="60"/>
        <w:ind w:right="141"/>
        <w:jc w:val="both"/>
        <w:rPr>
          <w:b/>
          <w:noProof/>
        </w:rPr>
      </w:pPr>
      <w:r>
        <w:rPr>
          <w:noProof/>
          <w:szCs w:val="24"/>
        </w:rPr>
        <w:t>Expected impact: R&amp;I-driven SMEs and small midcaps able to carry out a greater amount of R&amp;I. The indicators are the number of agreements signed with financial intermediar</w:t>
      </w:r>
      <w:r>
        <w:rPr>
          <w:noProof/>
          <w:szCs w:val="24"/>
        </w:rPr>
        <w:t>ies and the number and volume of loans made.</w:t>
      </w:r>
    </w:p>
    <w:p w:rsidR="0073489B" w:rsidRDefault="00A46D11">
      <w:pPr>
        <w:pStyle w:val="Heading5"/>
        <w:numPr>
          <w:ilvl w:val="0"/>
          <w:numId w:val="0"/>
        </w:numPr>
        <w:spacing w:before="160"/>
        <w:ind w:left="284"/>
        <w:rPr>
          <w:noProof/>
        </w:rPr>
      </w:pPr>
      <w:r>
        <w:rPr>
          <w:noProof/>
        </w:rPr>
        <w:t>(c) The financial institutions involved in implementation;</w:t>
      </w:r>
    </w:p>
    <w:p w:rsidR="0073489B" w:rsidRDefault="00A46D11">
      <w:pPr>
        <w:shd w:val="clear" w:color="auto" w:fill="FFFFFF"/>
        <w:ind w:right="141"/>
        <w:rPr>
          <w:noProof/>
          <w:szCs w:val="24"/>
        </w:rPr>
      </w:pPr>
      <w:r>
        <w:rPr>
          <w:noProof/>
          <w:szCs w:val="24"/>
        </w:rPr>
        <w:t>European Investment Fund (EIF).</w:t>
      </w:r>
    </w:p>
    <w:p w:rsidR="0073489B" w:rsidRDefault="0073489B">
      <w:pPr>
        <w:shd w:val="clear" w:color="auto" w:fill="FFFFFF"/>
        <w:ind w:right="141"/>
        <w:rPr>
          <w:noProof/>
          <w:szCs w:val="24"/>
        </w:rPr>
      </w:pPr>
    </w:p>
    <w:p w:rsidR="0073489B" w:rsidRDefault="00A46D11">
      <w:pPr>
        <w:pStyle w:val="Heading4"/>
        <w:numPr>
          <w:ilvl w:val="0"/>
          <w:numId w:val="0"/>
        </w:numPr>
        <w:spacing w:before="120"/>
        <w:ind w:left="360" w:hanging="360"/>
        <w:rPr>
          <w:noProof/>
        </w:rPr>
      </w:pPr>
      <w:r>
        <w:rPr>
          <w:noProof/>
        </w:rPr>
        <w:t>C -</w:t>
      </w:r>
      <w:r>
        <w:rPr>
          <w:noProof/>
        </w:rPr>
        <w:tab/>
        <w:t>Implementation</w:t>
      </w:r>
    </w:p>
    <w:p w:rsidR="0073489B" w:rsidRDefault="00A46D11">
      <w:pPr>
        <w:pStyle w:val="Heading5"/>
        <w:numPr>
          <w:ilvl w:val="0"/>
          <w:numId w:val="0"/>
        </w:numPr>
        <w:spacing w:before="120"/>
        <w:ind w:left="284"/>
        <w:rPr>
          <w:noProof/>
        </w:rPr>
      </w:pPr>
      <w:r>
        <w:rPr>
          <w:noProof/>
        </w:rPr>
        <w:t xml:space="preserve">(d) The aggregate budgetary commitments and payments from the budget; </w:t>
      </w:r>
    </w:p>
    <w:p w:rsidR="0073489B" w:rsidRDefault="00A46D11">
      <w:pPr>
        <w:ind w:right="141"/>
        <w:rPr>
          <w:noProof/>
          <w:szCs w:val="24"/>
        </w:rPr>
      </w:pPr>
      <w:r>
        <w:rPr>
          <w:noProof/>
          <w:szCs w:val="24"/>
        </w:rPr>
        <w:t>Aggregate budgetary commitmen</w:t>
      </w:r>
      <w:r>
        <w:rPr>
          <w:noProof/>
          <w:szCs w:val="24"/>
        </w:rPr>
        <w:t>ts as at 31/12/2016</w:t>
      </w:r>
      <w:r>
        <w:rPr>
          <w:noProof/>
          <w:szCs w:val="24"/>
        </w:rPr>
        <w:tab/>
      </w:r>
      <w:r>
        <w:rPr>
          <w:noProof/>
          <w:szCs w:val="24"/>
        </w:rPr>
        <w:tab/>
        <w:t xml:space="preserve">                    EUR 534,47 million</w:t>
      </w:r>
    </w:p>
    <w:p w:rsidR="0073489B" w:rsidRDefault="00A46D11">
      <w:pPr>
        <w:ind w:right="141"/>
        <w:rPr>
          <w:noProof/>
          <w:szCs w:val="24"/>
        </w:rPr>
      </w:pPr>
      <w:r>
        <w:rPr>
          <w:noProof/>
          <w:szCs w:val="24"/>
        </w:rPr>
        <w:lastRenderedPageBreak/>
        <w:t>Aggregate budgetary payments as at 31/12/2016</w:t>
      </w:r>
      <w:r>
        <w:rPr>
          <w:noProof/>
          <w:szCs w:val="24"/>
        </w:rPr>
        <w:tab/>
      </w:r>
      <w:r>
        <w:rPr>
          <w:noProof/>
          <w:szCs w:val="24"/>
        </w:rPr>
        <w:tab/>
        <w:t xml:space="preserve">                 EUR 478,21 million </w:t>
      </w:r>
    </w:p>
    <w:p w:rsidR="0073489B" w:rsidRDefault="00A46D11">
      <w:pPr>
        <w:pStyle w:val="Heading5"/>
        <w:numPr>
          <w:ilvl w:val="0"/>
          <w:numId w:val="0"/>
        </w:numPr>
        <w:spacing w:before="200" w:after="160"/>
        <w:ind w:left="283"/>
        <w:rPr>
          <w:noProof/>
        </w:rPr>
      </w:pPr>
      <w:r>
        <w:rPr>
          <w:noProof/>
        </w:rPr>
        <w:t>(e) The performance of the financial instrument, including investments realised;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93"/>
      </w:tblGrid>
      <w:tr w:rsidR="0073489B">
        <w:trPr>
          <w:trHeight w:val="2041"/>
        </w:trPr>
        <w:tc>
          <w:tcPr>
            <w:tcW w:w="5495" w:type="dxa"/>
            <w:shd w:val="clear" w:color="auto" w:fill="auto"/>
            <w:vAlign w:val="center"/>
          </w:tcPr>
          <w:p w:rsidR="0073489B" w:rsidRDefault="00A46D11">
            <w:pPr>
              <w:pStyle w:val="ListParagraph"/>
              <w:spacing w:after="180"/>
              <w:ind w:left="0" w:right="141"/>
              <w:jc w:val="both"/>
              <w:rPr>
                <w:noProof/>
                <w:szCs w:val="24"/>
              </w:rPr>
            </w:pPr>
            <w:r>
              <w:rPr>
                <w:noProof/>
                <w:szCs w:val="24"/>
              </w:rPr>
              <w:t>Amount of financing expected to</w:t>
            </w:r>
            <w:r>
              <w:rPr>
                <w:noProof/>
                <w:szCs w:val="24"/>
              </w:rPr>
              <w:t xml:space="preserve"> be provided by the instrument (including EU contribution committed) to eligible final recipients,</w:t>
            </w:r>
          </w:p>
          <w:p w:rsidR="0073489B" w:rsidRDefault="00A46D11">
            <w:pPr>
              <w:pStyle w:val="ListParagraph"/>
              <w:spacing w:after="180"/>
              <w:ind w:left="0" w:right="141"/>
              <w:jc w:val="both"/>
              <w:rPr>
                <w:noProof/>
                <w:szCs w:val="24"/>
              </w:rPr>
            </w:pPr>
            <w:r>
              <w:rPr>
                <w:noProof/>
                <w:szCs w:val="24"/>
              </w:rPr>
              <w:t xml:space="preserve">- out of which thanks to combined H2020/EFSI resources </w:t>
            </w:r>
          </w:p>
          <w:p w:rsidR="0073489B" w:rsidRDefault="00A46D11">
            <w:pPr>
              <w:pStyle w:val="ListParagraph"/>
              <w:spacing w:after="180"/>
              <w:ind w:left="0" w:right="141"/>
              <w:jc w:val="both"/>
              <w:rPr>
                <w:noProof/>
                <w:szCs w:val="24"/>
              </w:rPr>
            </w:pPr>
            <w:r>
              <w:rPr>
                <w:noProof/>
                <w:szCs w:val="24"/>
              </w:rPr>
              <w:t>and corresponding number of eligible final recipients;</w:t>
            </w:r>
          </w:p>
        </w:tc>
        <w:tc>
          <w:tcPr>
            <w:tcW w:w="3793" w:type="dxa"/>
            <w:vAlign w:val="center"/>
          </w:tcPr>
          <w:p w:rsidR="0073489B" w:rsidRDefault="00A46D11">
            <w:pPr>
              <w:spacing w:before="180" w:after="180"/>
              <w:ind w:right="141"/>
              <w:contextualSpacing/>
              <w:jc w:val="center"/>
              <w:rPr>
                <w:noProof/>
                <w:szCs w:val="24"/>
                <w:lang w:val="fr-BE"/>
              </w:rPr>
            </w:pPr>
            <w:r>
              <w:rPr>
                <w:noProof/>
                <w:szCs w:val="24"/>
                <w:lang w:val="fr-BE"/>
              </w:rPr>
              <w:t>EUR  8 648 million</w:t>
            </w:r>
          </w:p>
          <w:p w:rsidR="0073489B" w:rsidRDefault="00A46D11">
            <w:pPr>
              <w:spacing w:before="180" w:after="180"/>
              <w:ind w:right="141"/>
              <w:contextualSpacing/>
              <w:jc w:val="center"/>
              <w:rPr>
                <w:noProof/>
                <w:szCs w:val="24"/>
                <w:lang w:val="fr-BE"/>
              </w:rPr>
            </w:pPr>
            <w:r>
              <w:rPr>
                <w:noProof/>
                <w:szCs w:val="24"/>
                <w:lang w:val="fr-BE"/>
              </w:rPr>
              <w:t>EUR 6 939 million</w:t>
            </w:r>
          </w:p>
          <w:p w:rsidR="0073489B" w:rsidRDefault="00A46D11">
            <w:pPr>
              <w:spacing w:before="180" w:after="180"/>
              <w:ind w:left="357" w:right="141" w:hanging="357"/>
              <w:contextualSpacing/>
              <w:jc w:val="center"/>
              <w:rPr>
                <w:noProof/>
                <w:szCs w:val="24"/>
                <w:lang w:val="fr-BE"/>
              </w:rPr>
            </w:pPr>
            <w:r>
              <w:rPr>
                <w:noProof/>
                <w:szCs w:val="24"/>
                <w:lang w:val="fr-BE"/>
              </w:rPr>
              <w:t>24 400 el</w:t>
            </w:r>
            <w:r>
              <w:rPr>
                <w:noProof/>
                <w:szCs w:val="24"/>
                <w:lang w:val="fr-BE"/>
              </w:rPr>
              <w:t>igible FRs</w:t>
            </w:r>
          </w:p>
        </w:tc>
      </w:tr>
      <w:tr w:rsidR="0073489B">
        <w:trPr>
          <w:trHeight w:val="1422"/>
        </w:trPr>
        <w:tc>
          <w:tcPr>
            <w:tcW w:w="5495" w:type="dxa"/>
            <w:shd w:val="clear" w:color="auto" w:fill="auto"/>
            <w:vAlign w:val="center"/>
          </w:tcPr>
          <w:p w:rsidR="0073489B" w:rsidRDefault="00A46D11">
            <w:pPr>
              <w:spacing w:before="180"/>
              <w:ind w:right="141"/>
              <w:contextualSpacing/>
              <w:jc w:val="both"/>
              <w:rPr>
                <w:noProof/>
                <w:szCs w:val="24"/>
              </w:rPr>
            </w:pPr>
            <w:r>
              <w:rPr>
                <w:noProof/>
                <w:szCs w:val="24"/>
              </w:rPr>
              <w:t>Amount of investments expected to be made by eligible final recipients due to the financing, if applicable</w:t>
            </w:r>
          </w:p>
          <w:p w:rsidR="0073489B" w:rsidRDefault="00A46D11">
            <w:pPr>
              <w:spacing w:before="180"/>
              <w:ind w:right="141"/>
              <w:contextualSpacing/>
              <w:jc w:val="both"/>
              <w:rPr>
                <w:noProof/>
                <w:szCs w:val="24"/>
              </w:rPr>
            </w:pPr>
            <w:r>
              <w:rPr>
                <w:noProof/>
                <w:szCs w:val="24"/>
              </w:rPr>
              <w:t xml:space="preserve">- out of which thanks to combined H2020/EFSI resources </w:t>
            </w:r>
          </w:p>
        </w:tc>
        <w:tc>
          <w:tcPr>
            <w:tcW w:w="3793" w:type="dxa"/>
            <w:vAlign w:val="center"/>
          </w:tcPr>
          <w:p w:rsidR="0073489B" w:rsidRDefault="0073489B">
            <w:pPr>
              <w:spacing w:before="180"/>
              <w:ind w:right="141"/>
              <w:contextualSpacing/>
              <w:jc w:val="center"/>
              <w:rPr>
                <w:noProof/>
                <w:szCs w:val="24"/>
              </w:rPr>
            </w:pPr>
          </w:p>
          <w:p w:rsidR="0073489B" w:rsidRDefault="00A46D11">
            <w:pPr>
              <w:spacing w:before="180"/>
              <w:ind w:right="141"/>
              <w:contextualSpacing/>
              <w:jc w:val="center"/>
              <w:rPr>
                <w:noProof/>
                <w:szCs w:val="24"/>
              </w:rPr>
            </w:pPr>
            <w:r>
              <w:rPr>
                <w:noProof/>
                <w:szCs w:val="24"/>
              </w:rPr>
              <w:t>EUR 12 550 million</w:t>
            </w:r>
          </w:p>
          <w:p w:rsidR="0073489B" w:rsidRDefault="00A46D11">
            <w:pPr>
              <w:spacing w:before="180"/>
              <w:ind w:right="141"/>
              <w:contextualSpacing/>
              <w:jc w:val="center"/>
              <w:rPr>
                <w:noProof/>
                <w:szCs w:val="24"/>
              </w:rPr>
            </w:pPr>
            <w:r>
              <w:rPr>
                <w:noProof/>
                <w:szCs w:val="24"/>
              </w:rPr>
              <w:t>EUR 10 070 million</w:t>
            </w:r>
          </w:p>
        </w:tc>
      </w:tr>
      <w:tr w:rsidR="0073489B">
        <w:trPr>
          <w:trHeight w:val="1516"/>
        </w:trPr>
        <w:tc>
          <w:tcPr>
            <w:tcW w:w="5495" w:type="dxa"/>
            <w:shd w:val="clear" w:color="auto" w:fill="auto"/>
            <w:vAlign w:val="center"/>
          </w:tcPr>
          <w:p w:rsidR="0073489B" w:rsidRDefault="00A46D11">
            <w:pPr>
              <w:pStyle w:val="ListParagraph"/>
              <w:spacing w:before="180" w:after="180"/>
              <w:ind w:left="0" w:right="141"/>
              <w:jc w:val="both"/>
              <w:rPr>
                <w:noProof/>
                <w:szCs w:val="24"/>
              </w:rPr>
            </w:pPr>
            <w:r>
              <w:rPr>
                <w:noProof/>
                <w:szCs w:val="24"/>
              </w:rPr>
              <w:t xml:space="preserve">Amount of financing already provided by </w:t>
            </w:r>
            <w:r>
              <w:rPr>
                <w:noProof/>
                <w:szCs w:val="24"/>
              </w:rPr>
              <w:t>the instrument to eligible final recipients,</w:t>
            </w:r>
          </w:p>
          <w:p w:rsidR="0073489B" w:rsidRDefault="00A46D11">
            <w:pPr>
              <w:pStyle w:val="ListParagraph"/>
              <w:spacing w:before="180" w:after="180"/>
              <w:ind w:left="0" w:right="141"/>
              <w:jc w:val="both"/>
              <w:rPr>
                <w:noProof/>
                <w:szCs w:val="24"/>
              </w:rPr>
            </w:pPr>
            <w:r>
              <w:rPr>
                <w:noProof/>
                <w:szCs w:val="24"/>
              </w:rPr>
              <w:t xml:space="preserve">- out of which thanks to combined H2020/EFSI resources </w:t>
            </w:r>
          </w:p>
          <w:p w:rsidR="0073489B" w:rsidRDefault="00A46D11">
            <w:pPr>
              <w:pStyle w:val="ListParagraph"/>
              <w:spacing w:before="180" w:after="180"/>
              <w:ind w:left="0" w:right="141"/>
              <w:jc w:val="both"/>
              <w:rPr>
                <w:noProof/>
                <w:szCs w:val="24"/>
              </w:rPr>
            </w:pPr>
            <w:r>
              <w:rPr>
                <w:noProof/>
                <w:szCs w:val="24"/>
              </w:rPr>
              <w:t>and the corresponding number of recipients;</w:t>
            </w:r>
          </w:p>
        </w:tc>
        <w:tc>
          <w:tcPr>
            <w:tcW w:w="3793" w:type="dxa"/>
            <w:vAlign w:val="center"/>
          </w:tcPr>
          <w:p w:rsidR="0073489B" w:rsidRDefault="00A46D11">
            <w:pPr>
              <w:spacing w:before="180" w:after="180"/>
              <w:ind w:right="141"/>
              <w:contextualSpacing/>
              <w:jc w:val="center"/>
              <w:rPr>
                <w:noProof/>
                <w:szCs w:val="24"/>
                <w:lang w:val="fr-BE"/>
              </w:rPr>
            </w:pPr>
            <w:r>
              <w:rPr>
                <w:noProof/>
                <w:szCs w:val="24"/>
                <w:lang w:val="fr-BE"/>
              </w:rPr>
              <w:t>EUR 1 944 million</w:t>
            </w:r>
          </w:p>
          <w:p w:rsidR="0073489B" w:rsidRDefault="0073489B">
            <w:pPr>
              <w:spacing w:before="180" w:after="180"/>
              <w:ind w:right="141"/>
              <w:contextualSpacing/>
              <w:jc w:val="center"/>
              <w:rPr>
                <w:noProof/>
                <w:szCs w:val="24"/>
                <w:lang w:val="fr-BE"/>
              </w:rPr>
            </w:pPr>
          </w:p>
          <w:p w:rsidR="0073489B" w:rsidRDefault="00A46D11">
            <w:pPr>
              <w:spacing w:before="180" w:after="180"/>
              <w:ind w:right="141"/>
              <w:contextualSpacing/>
              <w:jc w:val="center"/>
              <w:rPr>
                <w:noProof/>
                <w:szCs w:val="24"/>
                <w:lang w:val="fr-BE"/>
              </w:rPr>
            </w:pPr>
            <w:r>
              <w:rPr>
                <w:noProof/>
                <w:szCs w:val="24"/>
                <w:lang w:val="fr-BE"/>
              </w:rPr>
              <w:t>EUR 1 560 million</w:t>
            </w:r>
          </w:p>
          <w:p w:rsidR="0073489B" w:rsidRDefault="00A46D11">
            <w:pPr>
              <w:spacing w:before="180" w:after="180"/>
              <w:ind w:right="141"/>
              <w:contextualSpacing/>
              <w:jc w:val="center"/>
              <w:rPr>
                <w:noProof/>
                <w:szCs w:val="24"/>
                <w:lang w:val="fr-BE"/>
              </w:rPr>
            </w:pPr>
            <w:r>
              <w:rPr>
                <w:noProof/>
                <w:szCs w:val="24"/>
                <w:lang w:val="fr-BE"/>
              </w:rPr>
              <w:t>5 682 eligible FRs</w:t>
            </w:r>
          </w:p>
        </w:tc>
      </w:tr>
      <w:tr w:rsidR="0073489B">
        <w:trPr>
          <w:trHeight w:val="871"/>
        </w:trPr>
        <w:tc>
          <w:tcPr>
            <w:tcW w:w="5495" w:type="dxa"/>
            <w:shd w:val="clear" w:color="auto" w:fill="auto"/>
            <w:vAlign w:val="center"/>
          </w:tcPr>
          <w:p w:rsidR="0073489B" w:rsidRDefault="00A46D11">
            <w:pPr>
              <w:pStyle w:val="ListParagraph"/>
              <w:spacing w:before="180" w:after="180"/>
              <w:ind w:left="0" w:right="141"/>
              <w:jc w:val="both"/>
              <w:rPr>
                <w:noProof/>
                <w:szCs w:val="24"/>
              </w:rPr>
            </w:pPr>
            <w:r>
              <w:rPr>
                <w:noProof/>
                <w:szCs w:val="24"/>
              </w:rPr>
              <w:t xml:space="preserve">Amount of investments already made by eligible final </w:t>
            </w:r>
            <w:r>
              <w:rPr>
                <w:noProof/>
                <w:szCs w:val="24"/>
              </w:rPr>
              <w:t>recipients due to the financing provided through the instrument, if applicable.</w:t>
            </w:r>
          </w:p>
        </w:tc>
        <w:tc>
          <w:tcPr>
            <w:tcW w:w="3793" w:type="dxa"/>
            <w:vAlign w:val="center"/>
          </w:tcPr>
          <w:p w:rsidR="0073489B" w:rsidRDefault="00A46D11">
            <w:pPr>
              <w:spacing w:before="180" w:after="180"/>
              <w:ind w:right="141"/>
              <w:contextualSpacing/>
              <w:jc w:val="center"/>
              <w:rPr>
                <w:noProof/>
                <w:szCs w:val="24"/>
              </w:rPr>
            </w:pPr>
            <w:r>
              <w:rPr>
                <w:noProof/>
                <w:szCs w:val="24"/>
              </w:rPr>
              <w:t>EUR 2 820 million</w:t>
            </w:r>
          </w:p>
        </w:tc>
      </w:tr>
    </w:tbl>
    <w:p w:rsidR="0073489B" w:rsidRDefault="00A46D11">
      <w:pPr>
        <w:pStyle w:val="Heading5"/>
        <w:numPr>
          <w:ilvl w:val="0"/>
          <w:numId w:val="144"/>
        </w:numPr>
        <w:spacing w:before="360" w:after="60"/>
        <w:ind w:left="284" w:firstLine="0"/>
        <w:jc w:val="both"/>
        <w:rPr>
          <w:i/>
          <w:noProof/>
        </w:rPr>
      </w:pPr>
      <w:r>
        <w:rPr>
          <w:noProof/>
        </w:rPr>
        <w:t>An evaluation of the use of any amounts returned to the instrument as internal assigned revenue under paragraph 6;</w:t>
      </w:r>
      <w:r>
        <w:rPr>
          <w:i/>
          <w:noProof/>
        </w:rPr>
        <w:t xml:space="preserve"> </w:t>
      </w:r>
    </w:p>
    <w:p w:rsidR="0073489B" w:rsidRDefault="00A46D11">
      <w:pPr>
        <w:rPr>
          <w:b/>
          <w:noProof/>
        </w:rPr>
      </w:pPr>
      <w:r>
        <w:rPr>
          <w:noProof/>
        </w:rPr>
        <w:t xml:space="preserve">EUR 1,89 million of 2016 revenues have been assigned to InnovFin Horizon 2020 SMEs &amp; Small Midcaps R&amp;I Loans Service Facility </w:t>
      </w:r>
    </w:p>
    <w:p w:rsidR="0073489B" w:rsidRDefault="00A46D11">
      <w:pPr>
        <w:pStyle w:val="Heading5"/>
        <w:spacing w:before="120" w:after="200"/>
        <w:ind w:left="284" w:firstLine="0"/>
        <w:rPr>
          <w:noProof/>
        </w:rPr>
      </w:pPr>
      <w:r>
        <w:rPr>
          <w:noProof/>
        </w:rPr>
        <w:t>The balance of the fiduciary account;</w:t>
      </w:r>
    </w:p>
    <w:p w:rsidR="0073489B" w:rsidRDefault="00A46D11">
      <w:pPr>
        <w:keepNext/>
        <w:spacing w:after="160"/>
        <w:ind w:left="360" w:right="142"/>
        <w:rPr>
          <w:noProof/>
          <w:color w:val="FF00FF"/>
          <w:highlight w:val="yellow"/>
        </w:rPr>
      </w:pPr>
      <w:r>
        <w:rPr>
          <w:noProof/>
        </w:rPr>
        <w:t>Aggregate balance of the fiduciary account as at 31/12/2016</w:t>
      </w:r>
      <w:r>
        <w:rPr>
          <w:noProof/>
        </w:rPr>
        <w:tab/>
        <w:t>EUR 466 970 441</w:t>
      </w:r>
    </w:p>
    <w:p w:rsidR="0073489B" w:rsidRDefault="0073489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132"/>
      </w:tblGrid>
      <w:tr w:rsidR="0073489B">
        <w:trPr>
          <w:trHeight w:val="276"/>
        </w:trPr>
        <w:tc>
          <w:tcPr>
            <w:tcW w:w="9401" w:type="dxa"/>
            <w:gridSpan w:val="2"/>
            <w:tcBorders>
              <w:top w:val="single" w:sz="4" w:space="0" w:color="auto"/>
              <w:left w:val="single" w:sz="4" w:space="0" w:color="auto"/>
              <w:bottom w:val="single" w:sz="4" w:space="0" w:color="auto"/>
              <w:right w:val="single" w:sz="4" w:space="0" w:color="auto"/>
            </w:tcBorders>
            <w:shd w:val="clear" w:color="auto" w:fill="DAEEF3"/>
          </w:tcPr>
          <w:p w:rsidR="0073489B" w:rsidRDefault="00A46D11">
            <w:pPr>
              <w:pStyle w:val="ListParagraph"/>
              <w:spacing w:before="80" w:after="80"/>
              <w:ind w:left="0" w:right="141"/>
              <w:jc w:val="center"/>
              <w:rPr>
                <w:b/>
                <w:bCs/>
                <w:i/>
                <w:noProof/>
                <w:szCs w:val="24"/>
              </w:rPr>
            </w:pPr>
            <w:r>
              <w:rPr>
                <w:b/>
                <w:bCs/>
                <w:i/>
                <w:noProof/>
                <w:szCs w:val="24"/>
              </w:rPr>
              <w:t xml:space="preserve">              </w:t>
            </w:r>
            <w:r>
              <w:rPr>
                <w:b/>
                <w:bCs/>
                <w:i/>
                <w:noProof/>
                <w:szCs w:val="24"/>
              </w:rPr>
              <w:t xml:space="preserve">                                                                                     In EUR</w:t>
            </w:r>
          </w:p>
        </w:tc>
      </w:tr>
      <w:tr w:rsidR="0073489B">
        <w:trPr>
          <w:trHeight w:val="276"/>
        </w:trPr>
        <w:tc>
          <w:tcPr>
            <w:tcW w:w="6228" w:type="dxa"/>
            <w:shd w:val="clear" w:color="auto" w:fill="auto"/>
          </w:tcPr>
          <w:p w:rsidR="0073489B" w:rsidRDefault="00A46D11">
            <w:pPr>
              <w:pStyle w:val="ListParagraph"/>
              <w:spacing w:before="80" w:after="80"/>
              <w:ind w:left="0" w:right="141"/>
              <w:rPr>
                <w:b/>
                <w:bCs/>
                <w:noProof/>
                <w:szCs w:val="24"/>
                <w:u w:val="single"/>
              </w:rPr>
            </w:pPr>
            <w:r>
              <w:rPr>
                <w:b/>
                <w:bCs/>
                <w:noProof/>
                <w:szCs w:val="24"/>
              </w:rPr>
              <w:t>Balance on the fiduciary account (current account)</w:t>
            </w:r>
          </w:p>
        </w:tc>
        <w:tc>
          <w:tcPr>
            <w:tcW w:w="3173" w:type="dxa"/>
            <w:shd w:val="clear" w:color="auto" w:fill="auto"/>
            <w:vAlign w:val="center"/>
          </w:tcPr>
          <w:p w:rsidR="0073489B" w:rsidRDefault="00A46D11">
            <w:pPr>
              <w:pStyle w:val="ListParagraph"/>
              <w:spacing w:before="80" w:after="80"/>
              <w:ind w:left="0" w:right="141"/>
              <w:jc w:val="center"/>
              <w:rPr>
                <w:bCs/>
                <w:noProof/>
                <w:szCs w:val="24"/>
              </w:rPr>
            </w:pPr>
            <w:r>
              <w:rPr>
                <w:bCs/>
                <w:noProof/>
                <w:szCs w:val="24"/>
              </w:rPr>
              <w:t>31 462 403</w:t>
            </w:r>
          </w:p>
        </w:tc>
      </w:tr>
      <w:tr w:rsidR="0073489B">
        <w:trPr>
          <w:trHeight w:val="276"/>
        </w:trPr>
        <w:tc>
          <w:tcPr>
            <w:tcW w:w="6228" w:type="dxa"/>
            <w:shd w:val="clear" w:color="auto" w:fill="auto"/>
          </w:tcPr>
          <w:p w:rsidR="0073489B" w:rsidRDefault="00A46D11">
            <w:pPr>
              <w:pStyle w:val="ListParagraph"/>
              <w:spacing w:before="80" w:after="80"/>
              <w:ind w:left="0" w:right="141"/>
              <w:rPr>
                <w:b/>
                <w:bCs/>
                <w:noProof/>
                <w:szCs w:val="24"/>
                <w:u w:val="single"/>
              </w:rPr>
            </w:pPr>
            <w:r>
              <w:rPr>
                <w:b/>
                <w:bCs/>
                <w:noProof/>
                <w:szCs w:val="24"/>
              </w:rPr>
              <w:t>Term deposits/Bonds (if applicable)</w:t>
            </w:r>
          </w:p>
        </w:tc>
        <w:tc>
          <w:tcPr>
            <w:tcW w:w="3173" w:type="dxa"/>
            <w:shd w:val="clear" w:color="auto" w:fill="auto"/>
            <w:vAlign w:val="center"/>
          </w:tcPr>
          <w:p w:rsidR="0073489B" w:rsidRDefault="00A46D11">
            <w:pPr>
              <w:pStyle w:val="ListParagraph"/>
              <w:spacing w:before="80" w:after="80"/>
              <w:ind w:left="0" w:right="141"/>
              <w:jc w:val="center"/>
              <w:rPr>
                <w:bCs/>
                <w:noProof/>
                <w:szCs w:val="24"/>
              </w:rPr>
            </w:pPr>
            <w:r>
              <w:rPr>
                <w:bCs/>
                <w:noProof/>
                <w:szCs w:val="24"/>
              </w:rPr>
              <w:t>435 508 038</w:t>
            </w:r>
          </w:p>
        </w:tc>
      </w:tr>
      <w:tr w:rsidR="0073489B">
        <w:trPr>
          <w:trHeight w:val="276"/>
        </w:trPr>
        <w:tc>
          <w:tcPr>
            <w:tcW w:w="6228" w:type="dxa"/>
            <w:shd w:val="clear" w:color="auto" w:fill="auto"/>
          </w:tcPr>
          <w:p w:rsidR="0073489B" w:rsidRDefault="00A46D11">
            <w:pPr>
              <w:pStyle w:val="ListParagraph"/>
              <w:spacing w:before="80" w:after="80"/>
              <w:ind w:left="426" w:right="141"/>
              <w:rPr>
                <w:bCs/>
                <w:noProof/>
                <w:szCs w:val="24"/>
              </w:rPr>
            </w:pPr>
            <w:r>
              <w:rPr>
                <w:bCs/>
                <w:noProof/>
                <w:szCs w:val="24"/>
              </w:rPr>
              <w:t>Term deposits &lt; 3 months (cash equivalent)</w:t>
            </w:r>
          </w:p>
        </w:tc>
        <w:tc>
          <w:tcPr>
            <w:tcW w:w="3173" w:type="dxa"/>
            <w:shd w:val="clear" w:color="auto" w:fill="auto"/>
            <w:vAlign w:val="center"/>
          </w:tcPr>
          <w:p w:rsidR="0073489B" w:rsidRDefault="00A46D11">
            <w:pPr>
              <w:pStyle w:val="ListParagraph"/>
              <w:spacing w:before="80" w:after="80"/>
              <w:ind w:left="0" w:right="141"/>
              <w:jc w:val="center"/>
              <w:rPr>
                <w:bCs/>
                <w:i/>
                <w:noProof/>
                <w:szCs w:val="24"/>
              </w:rPr>
            </w:pPr>
            <w:r>
              <w:rPr>
                <w:bCs/>
                <w:i/>
                <w:noProof/>
                <w:szCs w:val="24"/>
              </w:rPr>
              <w:t xml:space="preserve">19 060 </w:t>
            </w:r>
            <w:r>
              <w:rPr>
                <w:bCs/>
                <w:i/>
                <w:noProof/>
                <w:szCs w:val="24"/>
              </w:rPr>
              <w:t>566</w:t>
            </w:r>
          </w:p>
        </w:tc>
      </w:tr>
      <w:tr w:rsidR="0073489B">
        <w:trPr>
          <w:trHeight w:val="276"/>
        </w:trPr>
        <w:tc>
          <w:tcPr>
            <w:tcW w:w="6228" w:type="dxa"/>
            <w:shd w:val="clear" w:color="auto" w:fill="auto"/>
          </w:tcPr>
          <w:p w:rsidR="0073489B" w:rsidRDefault="00A46D11">
            <w:pPr>
              <w:pStyle w:val="ListParagraph"/>
              <w:spacing w:before="80" w:after="80"/>
              <w:ind w:left="426" w:right="141"/>
              <w:rPr>
                <w:bCs/>
                <w:noProof/>
                <w:szCs w:val="24"/>
                <w:u w:val="single"/>
              </w:rPr>
            </w:pPr>
            <w:r>
              <w:rPr>
                <w:bCs/>
                <w:noProof/>
                <w:szCs w:val="24"/>
              </w:rPr>
              <w:t>Term deposits &gt; 3 months &lt; 1 year (current assets)</w:t>
            </w:r>
          </w:p>
        </w:tc>
        <w:tc>
          <w:tcPr>
            <w:tcW w:w="3173" w:type="dxa"/>
            <w:shd w:val="clear" w:color="auto" w:fill="auto"/>
            <w:vAlign w:val="center"/>
          </w:tcPr>
          <w:p w:rsidR="0073489B" w:rsidRDefault="0073489B">
            <w:pPr>
              <w:pStyle w:val="ListParagraph"/>
              <w:spacing w:before="80" w:after="80"/>
              <w:ind w:left="0" w:right="141"/>
              <w:jc w:val="center"/>
              <w:rPr>
                <w:bCs/>
                <w:i/>
                <w:noProof/>
                <w:szCs w:val="24"/>
              </w:rPr>
            </w:pPr>
          </w:p>
        </w:tc>
      </w:tr>
      <w:tr w:rsidR="0073489B">
        <w:trPr>
          <w:trHeight w:val="276"/>
        </w:trPr>
        <w:tc>
          <w:tcPr>
            <w:tcW w:w="6228" w:type="dxa"/>
            <w:shd w:val="clear" w:color="auto" w:fill="auto"/>
          </w:tcPr>
          <w:p w:rsidR="0073489B" w:rsidRDefault="00A46D11">
            <w:pPr>
              <w:pStyle w:val="ListParagraph"/>
              <w:spacing w:before="80" w:after="80"/>
              <w:ind w:left="426" w:right="141"/>
              <w:rPr>
                <w:bCs/>
                <w:noProof/>
                <w:szCs w:val="24"/>
                <w:u w:val="single"/>
              </w:rPr>
            </w:pPr>
            <w:r>
              <w:rPr>
                <w:bCs/>
                <w:noProof/>
                <w:szCs w:val="24"/>
              </w:rPr>
              <w:t>Term deposits &gt; 1 year (non-current assets)</w:t>
            </w:r>
          </w:p>
        </w:tc>
        <w:tc>
          <w:tcPr>
            <w:tcW w:w="3173" w:type="dxa"/>
            <w:shd w:val="clear" w:color="auto" w:fill="auto"/>
            <w:vAlign w:val="center"/>
          </w:tcPr>
          <w:p w:rsidR="0073489B" w:rsidRDefault="0073489B">
            <w:pPr>
              <w:pStyle w:val="ListParagraph"/>
              <w:spacing w:before="80" w:after="80"/>
              <w:ind w:left="0" w:right="141"/>
              <w:jc w:val="center"/>
              <w:rPr>
                <w:bCs/>
                <w:i/>
                <w:noProof/>
                <w:szCs w:val="24"/>
              </w:rPr>
            </w:pPr>
          </w:p>
        </w:tc>
      </w:tr>
      <w:tr w:rsidR="0073489B">
        <w:trPr>
          <w:trHeight w:val="276"/>
        </w:trPr>
        <w:tc>
          <w:tcPr>
            <w:tcW w:w="6228" w:type="dxa"/>
            <w:shd w:val="clear" w:color="auto" w:fill="auto"/>
          </w:tcPr>
          <w:p w:rsidR="0073489B" w:rsidRDefault="00A46D11">
            <w:pPr>
              <w:pStyle w:val="ListParagraph"/>
              <w:spacing w:before="80" w:after="80"/>
              <w:ind w:left="851" w:right="141"/>
              <w:rPr>
                <w:bCs/>
                <w:noProof/>
                <w:szCs w:val="24"/>
                <w:u w:val="single"/>
              </w:rPr>
            </w:pPr>
            <w:r>
              <w:rPr>
                <w:bCs/>
                <w:noProof/>
                <w:szCs w:val="24"/>
              </w:rPr>
              <w:lastRenderedPageBreak/>
              <w:t>Bonds current</w:t>
            </w:r>
          </w:p>
        </w:tc>
        <w:tc>
          <w:tcPr>
            <w:tcW w:w="3173" w:type="dxa"/>
            <w:shd w:val="clear" w:color="auto" w:fill="auto"/>
            <w:vAlign w:val="center"/>
          </w:tcPr>
          <w:p w:rsidR="0073489B" w:rsidRDefault="00A46D11">
            <w:pPr>
              <w:pStyle w:val="ListParagraph"/>
              <w:spacing w:before="80" w:after="80"/>
              <w:ind w:left="0" w:right="141"/>
              <w:jc w:val="center"/>
              <w:rPr>
                <w:bCs/>
                <w:i/>
                <w:noProof/>
                <w:szCs w:val="24"/>
              </w:rPr>
            </w:pPr>
            <w:r>
              <w:rPr>
                <w:bCs/>
                <w:i/>
                <w:noProof/>
                <w:szCs w:val="24"/>
              </w:rPr>
              <w:t>66 443 183</w:t>
            </w:r>
          </w:p>
        </w:tc>
      </w:tr>
      <w:tr w:rsidR="0073489B">
        <w:trPr>
          <w:trHeight w:val="276"/>
        </w:trPr>
        <w:tc>
          <w:tcPr>
            <w:tcW w:w="6228" w:type="dxa"/>
            <w:shd w:val="clear" w:color="auto" w:fill="auto"/>
          </w:tcPr>
          <w:p w:rsidR="0073489B" w:rsidRDefault="00A46D11">
            <w:pPr>
              <w:pStyle w:val="ListParagraph"/>
              <w:spacing w:before="80" w:after="80"/>
              <w:ind w:left="851" w:right="141"/>
              <w:rPr>
                <w:bCs/>
                <w:noProof/>
                <w:szCs w:val="24"/>
                <w:u w:val="single"/>
              </w:rPr>
            </w:pPr>
            <w:r>
              <w:rPr>
                <w:bCs/>
                <w:noProof/>
                <w:szCs w:val="24"/>
              </w:rPr>
              <w:t>Bonds non-current</w:t>
            </w:r>
          </w:p>
        </w:tc>
        <w:tc>
          <w:tcPr>
            <w:tcW w:w="3173" w:type="dxa"/>
            <w:shd w:val="clear" w:color="auto" w:fill="auto"/>
            <w:vAlign w:val="center"/>
          </w:tcPr>
          <w:p w:rsidR="0073489B" w:rsidRDefault="00A46D11">
            <w:pPr>
              <w:pStyle w:val="ListParagraph"/>
              <w:spacing w:before="80" w:after="80"/>
              <w:ind w:left="0" w:right="141"/>
              <w:jc w:val="center"/>
              <w:rPr>
                <w:bCs/>
                <w:i/>
                <w:noProof/>
                <w:szCs w:val="24"/>
              </w:rPr>
            </w:pPr>
            <w:r>
              <w:rPr>
                <w:bCs/>
                <w:i/>
                <w:noProof/>
                <w:szCs w:val="24"/>
              </w:rPr>
              <w:t>350 004 289</w:t>
            </w:r>
          </w:p>
        </w:tc>
      </w:tr>
      <w:tr w:rsidR="0073489B">
        <w:trPr>
          <w:trHeight w:val="276"/>
        </w:trPr>
        <w:tc>
          <w:tcPr>
            <w:tcW w:w="6228" w:type="dxa"/>
            <w:shd w:val="clear" w:color="auto" w:fill="auto"/>
          </w:tcPr>
          <w:p w:rsidR="0073489B" w:rsidRDefault="00A46D11">
            <w:pPr>
              <w:spacing w:before="80" w:after="80"/>
              <w:ind w:right="141"/>
              <w:contextualSpacing/>
              <w:rPr>
                <w:b/>
                <w:bCs/>
                <w:noProof/>
                <w:szCs w:val="24"/>
                <w:u w:val="single"/>
              </w:rPr>
            </w:pPr>
            <w:r>
              <w:rPr>
                <w:b/>
                <w:bCs/>
                <w:i/>
                <w:iCs/>
                <w:noProof/>
                <w:szCs w:val="24"/>
              </w:rPr>
              <w:t>Other  assets</w:t>
            </w:r>
            <w:r>
              <w:rPr>
                <w:b/>
                <w:bCs/>
                <w:noProof/>
                <w:szCs w:val="24"/>
              </w:rPr>
              <w:t xml:space="preserve"> (if applicable)</w:t>
            </w:r>
          </w:p>
        </w:tc>
        <w:tc>
          <w:tcPr>
            <w:tcW w:w="3173" w:type="dxa"/>
            <w:shd w:val="clear" w:color="auto" w:fill="auto"/>
            <w:vAlign w:val="center"/>
          </w:tcPr>
          <w:p w:rsidR="0073489B" w:rsidRDefault="0073489B">
            <w:pPr>
              <w:pStyle w:val="ListParagraph"/>
              <w:spacing w:before="80" w:after="80"/>
              <w:ind w:left="0" w:right="141"/>
              <w:jc w:val="center"/>
              <w:rPr>
                <w:bCs/>
                <w:noProof/>
                <w:szCs w:val="24"/>
              </w:rPr>
            </w:pPr>
          </w:p>
        </w:tc>
      </w:tr>
      <w:tr w:rsidR="0073489B">
        <w:trPr>
          <w:trHeight w:val="276"/>
        </w:trPr>
        <w:tc>
          <w:tcPr>
            <w:tcW w:w="6228" w:type="dxa"/>
            <w:shd w:val="clear" w:color="auto" w:fill="auto"/>
          </w:tcPr>
          <w:p w:rsidR="0073489B" w:rsidRDefault="00A46D11">
            <w:pPr>
              <w:spacing w:before="80" w:after="80"/>
              <w:ind w:right="141"/>
              <w:rPr>
                <w:b/>
                <w:bCs/>
                <w:noProof/>
                <w:szCs w:val="24"/>
              </w:rPr>
            </w:pPr>
            <w:r>
              <w:rPr>
                <w:b/>
                <w:bCs/>
                <w:i/>
                <w:iCs/>
                <w:noProof/>
                <w:szCs w:val="24"/>
              </w:rPr>
              <w:t>= Total assets</w:t>
            </w:r>
          </w:p>
        </w:tc>
        <w:tc>
          <w:tcPr>
            <w:tcW w:w="3173" w:type="dxa"/>
            <w:shd w:val="clear" w:color="auto" w:fill="auto"/>
            <w:vAlign w:val="center"/>
          </w:tcPr>
          <w:p w:rsidR="0073489B" w:rsidRDefault="00A46D11">
            <w:pPr>
              <w:pStyle w:val="ListParagraph"/>
              <w:spacing w:before="80" w:after="80"/>
              <w:ind w:left="0" w:right="141"/>
              <w:jc w:val="center"/>
              <w:rPr>
                <w:bCs/>
                <w:noProof/>
                <w:szCs w:val="24"/>
              </w:rPr>
            </w:pPr>
            <w:r>
              <w:rPr>
                <w:bCs/>
                <w:noProof/>
                <w:szCs w:val="24"/>
              </w:rPr>
              <w:t>466 970 441</w:t>
            </w:r>
          </w:p>
        </w:tc>
      </w:tr>
    </w:tbl>
    <w:p w:rsidR="0073489B" w:rsidRDefault="00A46D11">
      <w:pPr>
        <w:pStyle w:val="Heading5"/>
        <w:numPr>
          <w:ilvl w:val="0"/>
          <w:numId w:val="0"/>
        </w:numPr>
        <w:spacing w:before="160"/>
        <w:ind w:left="284"/>
        <w:rPr>
          <w:noProof/>
        </w:rPr>
      </w:pPr>
      <w:r>
        <w:rPr>
          <w:b w:val="0"/>
          <w:bCs/>
          <w:i/>
          <w:iCs/>
          <w:noProof/>
        </w:rPr>
        <w:t xml:space="preserve">Impact of negative interest rates </w:t>
      </w:r>
      <w:r>
        <w:rPr>
          <w:b w:val="0"/>
          <w:bCs/>
          <w:i/>
          <w:iCs/>
          <w:noProof/>
        </w:rPr>
        <w:t>on the Facility: no impact as at 31/12/2016.</w:t>
      </w:r>
      <w:r>
        <w:rPr>
          <w:rStyle w:val="FootnoteReference"/>
          <w:b w:val="0"/>
          <w:bCs/>
          <w:i/>
          <w:iCs/>
          <w:noProof/>
        </w:rPr>
        <w:footnoteReference w:id="131"/>
      </w:r>
    </w:p>
    <w:p w:rsidR="0073489B" w:rsidRDefault="00A46D11">
      <w:pPr>
        <w:pStyle w:val="Heading5"/>
        <w:spacing w:before="160"/>
        <w:ind w:left="284" w:firstLine="0"/>
        <w:rPr>
          <w:noProof/>
        </w:rPr>
      </w:pPr>
      <w:r>
        <w:rPr>
          <w:noProof/>
        </w:rPr>
        <w:t>Revenues and repayments;</w:t>
      </w:r>
    </w:p>
    <w:p w:rsidR="0073489B" w:rsidRDefault="00A46D11">
      <w:pPr>
        <w:spacing w:after="60"/>
        <w:ind w:right="141"/>
        <w:rPr>
          <w:noProof/>
        </w:rPr>
      </w:pPr>
      <w:r>
        <w:rPr>
          <w:noProof/>
          <w:szCs w:val="24"/>
        </w:rPr>
        <w:t>Revenues</w:t>
      </w:r>
      <w:r>
        <w:rPr>
          <w:rStyle w:val="FootnoteReference"/>
          <w:noProof/>
          <w:szCs w:val="24"/>
        </w:rPr>
        <w:footnoteReference w:id="132"/>
      </w:r>
      <w:r>
        <w:rPr>
          <w:noProof/>
          <w:szCs w:val="24"/>
        </w:rPr>
        <w:t>:                                                                                                  EUR 2 168 480</w:t>
      </w:r>
    </w:p>
    <w:p w:rsidR="0073489B" w:rsidRDefault="00A46D11">
      <w:pPr>
        <w:pStyle w:val="Heading5"/>
        <w:spacing w:before="120"/>
        <w:ind w:left="284" w:firstLine="0"/>
        <w:rPr>
          <w:noProof/>
        </w:rPr>
      </w:pPr>
      <w:r>
        <w:rPr>
          <w:noProof/>
        </w:rPr>
        <w:t>The value of equity investments, with respect to previous years</w:t>
      </w:r>
      <w:r>
        <w:rPr>
          <w:noProof/>
        </w:rPr>
        <w:t>;</w:t>
      </w:r>
    </w:p>
    <w:p w:rsidR="0073489B" w:rsidRDefault="00A46D11">
      <w:pPr>
        <w:spacing w:after="60"/>
        <w:rPr>
          <w:noProof/>
        </w:rPr>
      </w:pPr>
      <w:r>
        <w:rPr>
          <w:noProof/>
        </w:rPr>
        <w:t>NA</w:t>
      </w:r>
    </w:p>
    <w:p w:rsidR="0073489B" w:rsidRDefault="00A46D11">
      <w:pPr>
        <w:pStyle w:val="Heading5"/>
        <w:spacing w:before="120"/>
        <w:ind w:left="284" w:firstLine="0"/>
        <w:jc w:val="both"/>
        <w:rPr>
          <w:noProof/>
        </w:rPr>
      </w:pPr>
      <w:r>
        <w:rPr>
          <w:noProof/>
        </w:rPr>
        <w:t>The accumulated figures on impairments of assets of equity or risk-sharing instruments, and on called guarantees for guarantee instruments;</w:t>
      </w:r>
    </w:p>
    <w:p w:rsidR="0073489B" w:rsidRDefault="00A46D11">
      <w:pPr>
        <w:spacing w:after="60"/>
        <w:rPr>
          <w:noProof/>
        </w:rPr>
      </w:pPr>
      <w:r>
        <w:rPr>
          <w:noProof/>
        </w:rPr>
        <w:t xml:space="preserve"> Impairments :</w:t>
      </w:r>
      <w:r>
        <w:rPr>
          <w:noProof/>
        </w:rPr>
        <w:tab/>
      </w:r>
      <w:r>
        <w:rPr>
          <w:noProof/>
        </w:rPr>
        <w:tab/>
      </w:r>
      <w:r>
        <w:rPr>
          <w:noProof/>
        </w:rPr>
        <w:tab/>
      </w:r>
      <w:r>
        <w:rPr>
          <w:noProof/>
        </w:rPr>
        <w:tab/>
      </w:r>
      <w:r>
        <w:rPr>
          <w:noProof/>
        </w:rPr>
        <w:tab/>
      </w:r>
      <w:r>
        <w:rPr>
          <w:noProof/>
        </w:rPr>
        <w:tab/>
      </w:r>
      <w:r>
        <w:rPr>
          <w:noProof/>
        </w:rPr>
        <w:tab/>
      </w:r>
      <w:r>
        <w:rPr>
          <w:noProof/>
        </w:rPr>
        <w:tab/>
      </w:r>
      <w:r>
        <w:rPr>
          <w:noProof/>
        </w:rPr>
        <w:tab/>
        <w:t>EUR 2 279 056</w:t>
      </w:r>
    </w:p>
    <w:p w:rsidR="0073489B" w:rsidRDefault="0073489B">
      <w:pPr>
        <w:spacing w:after="60"/>
        <w:rPr>
          <w:noProof/>
        </w:rPr>
      </w:pPr>
    </w:p>
    <w:p w:rsidR="0073489B" w:rsidRDefault="00A46D11">
      <w:pPr>
        <w:pStyle w:val="Heading5"/>
        <w:spacing w:before="120"/>
        <w:ind w:left="284" w:firstLine="0"/>
        <w:jc w:val="both"/>
        <w:rPr>
          <w:noProof/>
        </w:rPr>
      </w:pPr>
      <w:r>
        <w:rPr>
          <w:noProof/>
        </w:rPr>
        <w:t>The target , the expected and the achieved leverage effect;</w:t>
      </w:r>
      <w:r>
        <w:rPr>
          <w:rStyle w:val="FootnoteReference"/>
          <w:noProof/>
        </w:rPr>
        <w:footnoteReference w:id="133"/>
      </w:r>
    </w:p>
    <w:p w:rsidR="0073489B" w:rsidRDefault="00A46D11">
      <w:pPr>
        <w:spacing w:after="60"/>
        <w:ind w:right="141"/>
        <w:jc w:val="both"/>
        <w:rPr>
          <w:i/>
          <w:noProof/>
          <w:szCs w:val="24"/>
        </w:rPr>
      </w:pPr>
      <w:r>
        <w:rPr>
          <w:noProof/>
          <w:szCs w:val="24"/>
          <w:lang w:eastAsia="en-GB"/>
        </w:rPr>
        <w:t xml:space="preserve">The target </w:t>
      </w:r>
      <w:r>
        <w:rPr>
          <w:noProof/>
          <w:szCs w:val="24"/>
          <w:lang w:eastAsia="en-GB"/>
        </w:rPr>
        <w:t>leverage effect equals 9 with an amount of financing expected to be provided by financial intermediaries of EUR 9 500 million and an EU contribution of EUR 1060 million.</w:t>
      </w:r>
    </w:p>
    <w:p w:rsidR="0073489B" w:rsidRDefault="00A46D11">
      <w:pPr>
        <w:spacing w:after="60"/>
        <w:jc w:val="both"/>
        <w:rPr>
          <w:noProof/>
          <w:szCs w:val="24"/>
          <w:lang w:eastAsia="en-GB"/>
        </w:rPr>
      </w:pPr>
      <w:r>
        <w:rPr>
          <w:noProof/>
          <w:szCs w:val="24"/>
          <w:lang w:eastAsia="en-GB"/>
        </w:rPr>
        <w:t>Based on the amount of financing provided by financial intermediaries to eligible fina</w:t>
      </w:r>
      <w:r>
        <w:rPr>
          <w:noProof/>
          <w:szCs w:val="24"/>
          <w:lang w:eastAsia="en-GB"/>
        </w:rPr>
        <w:t>l recipients of EUR 1944 million compared to the aggregate budgetary commitments as at 31 December 2016, including the actual EFSI exposure, the leverage achieved amounts to 2,2.</w:t>
      </w:r>
    </w:p>
    <w:p w:rsidR="0073489B" w:rsidRDefault="00A46D11">
      <w:pPr>
        <w:spacing w:after="60"/>
        <w:jc w:val="both"/>
        <w:rPr>
          <w:noProof/>
          <w:szCs w:val="24"/>
          <w:lang w:eastAsia="en-GB"/>
        </w:rPr>
      </w:pPr>
      <w:r>
        <w:rPr>
          <w:noProof/>
          <w:szCs w:val="24"/>
          <w:lang w:eastAsia="en-GB"/>
        </w:rPr>
        <w:t>Based on the amount of financing expected to be provided by financial interme</w:t>
      </w:r>
      <w:r>
        <w:rPr>
          <w:noProof/>
          <w:szCs w:val="24"/>
          <w:lang w:eastAsia="en-GB"/>
        </w:rPr>
        <w:t>diaries to eligible final recipients of EUR 8648 million compared to the aggregate budgetary commitments as at 31 December 2016, including the actual EFSI exposure, the leverage expected amounts to 9,6.</w:t>
      </w:r>
    </w:p>
    <w:p w:rsidR="0073489B" w:rsidRDefault="00A46D11">
      <w:pPr>
        <w:pStyle w:val="Heading4"/>
        <w:numPr>
          <w:ilvl w:val="0"/>
          <w:numId w:val="0"/>
        </w:numPr>
        <w:ind w:left="360" w:hanging="360"/>
        <w:jc w:val="both"/>
        <w:rPr>
          <w:noProof/>
        </w:rPr>
      </w:pPr>
      <w:r>
        <w:rPr>
          <w:noProof/>
        </w:rPr>
        <w:t>D -</w:t>
      </w:r>
      <w:r>
        <w:rPr>
          <w:noProof/>
        </w:rPr>
        <w:tab/>
        <w:t>Strategic importance/relevance</w:t>
      </w:r>
    </w:p>
    <w:p w:rsidR="0073489B" w:rsidRDefault="00A46D11">
      <w:pPr>
        <w:pStyle w:val="Heading5"/>
        <w:spacing w:before="120"/>
        <w:ind w:left="284" w:firstLine="0"/>
        <w:jc w:val="both"/>
        <w:rPr>
          <w:noProof/>
        </w:rPr>
      </w:pPr>
      <w:r>
        <w:rPr>
          <w:noProof/>
        </w:rPr>
        <w:t xml:space="preserve">The contribution </w:t>
      </w:r>
      <w:r>
        <w:rPr>
          <w:noProof/>
        </w:rPr>
        <w:t>of the financial instrument to the achievement of the objectives of the programme concerned as measured by the established indicators, including, where applicable, the geographical diversification;</w:t>
      </w:r>
    </w:p>
    <w:p w:rsidR="0073489B" w:rsidRDefault="00A46D11">
      <w:pPr>
        <w:spacing w:after="60"/>
        <w:jc w:val="both"/>
        <w:rPr>
          <w:noProof/>
          <w:szCs w:val="24"/>
        </w:rPr>
      </w:pPr>
      <w:r>
        <w:rPr>
          <w:noProof/>
          <w:szCs w:val="24"/>
        </w:rPr>
        <w:t>As at 31/12/2016, the  Innovfin SME Guarantee already cont</w:t>
      </w:r>
      <w:r>
        <w:rPr>
          <w:noProof/>
          <w:szCs w:val="24"/>
        </w:rPr>
        <w:t>ributed to provide 1 944  million EUR of financing to 5 682 Final Recipients, accounting for an estimated 2 820 million EUR investment amount,  and had thus an important impact on the real economy of the EU as described below</w:t>
      </w:r>
    </w:p>
    <w:p w:rsidR="0073489B" w:rsidRDefault="00A46D11">
      <w:pPr>
        <w:spacing w:after="60"/>
        <w:jc w:val="both"/>
        <w:rPr>
          <w:noProof/>
          <w:szCs w:val="24"/>
        </w:rPr>
      </w:pPr>
      <w:r>
        <w:rPr>
          <w:noProof/>
          <w:szCs w:val="24"/>
        </w:rPr>
        <w:t>The dedicated InnovFin SME Gua</w:t>
      </w:r>
      <w:r>
        <w:rPr>
          <w:noProof/>
          <w:szCs w:val="24"/>
        </w:rPr>
        <w:t>rantee makes the following contribution to the objectives of Horizon 2020:</w:t>
      </w:r>
    </w:p>
    <w:p w:rsidR="0073489B" w:rsidRDefault="00A46D11">
      <w:pPr>
        <w:numPr>
          <w:ilvl w:val="0"/>
          <w:numId w:val="104"/>
        </w:numPr>
        <w:ind w:left="426" w:hanging="142"/>
        <w:jc w:val="both"/>
        <w:rPr>
          <w:b/>
          <w:noProof/>
          <w:szCs w:val="24"/>
        </w:rPr>
      </w:pPr>
      <w:r>
        <w:rPr>
          <w:noProof/>
          <w:szCs w:val="24"/>
        </w:rPr>
        <w:lastRenderedPageBreak/>
        <w:t>i</w:t>
      </w:r>
      <w:r>
        <w:rPr>
          <w:bCs/>
          <w:noProof/>
          <w:szCs w:val="24"/>
        </w:rPr>
        <w:t xml:space="preserve">ncrease in private finance </w:t>
      </w:r>
      <w:r>
        <w:rPr>
          <w:noProof/>
          <w:szCs w:val="24"/>
        </w:rPr>
        <w:t>and address the</w:t>
      </w:r>
      <w:r>
        <w:rPr>
          <w:bCs/>
          <w:noProof/>
          <w:szCs w:val="24"/>
        </w:rPr>
        <w:t xml:space="preserve"> financing</w:t>
      </w:r>
      <w:r>
        <w:rPr>
          <w:noProof/>
          <w:szCs w:val="24"/>
        </w:rPr>
        <w:t xml:space="preserve"> gap for innovative SMEs and Small Midcaps seeking loan finance for their riskier investments in RDI</w:t>
      </w:r>
      <w:r>
        <w:rPr>
          <w:b/>
          <w:noProof/>
          <w:szCs w:val="24"/>
        </w:rPr>
        <w:t>;</w:t>
      </w:r>
    </w:p>
    <w:p w:rsidR="0073489B" w:rsidRDefault="00A46D11">
      <w:pPr>
        <w:numPr>
          <w:ilvl w:val="0"/>
          <w:numId w:val="104"/>
        </w:numPr>
        <w:ind w:left="426" w:hanging="142"/>
        <w:jc w:val="both"/>
        <w:rPr>
          <w:noProof/>
          <w:szCs w:val="24"/>
        </w:rPr>
      </w:pPr>
      <w:r>
        <w:rPr>
          <w:noProof/>
          <w:szCs w:val="24"/>
        </w:rPr>
        <w:t xml:space="preserve">support, via risk-sharing </w:t>
      </w:r>
      <w:r>
        <w:rPr>
          <w:noProof/>
          <w:szCs w:val="24"/>
        </w:rPr>
        <w:t>(guarantees and counter-guarantees), for innovative SMEs and Small Midcaps investing across Horizon 2020 Societal Challenges through better access to longer-term loan and lease finance, for loan amounts between EUR 25,000 and 7.5 million;</w:t>
      </w:r>
    </w:p>
    <w:p w:rsidR="0073489B" w:rsidRDefault="00A46D11">
      <w:pPr>
        <w:numPr>
          <w:ilvl w:val="0"/>
          <w:numId w:val="104"/>
        </w:numPr>
        <w:spacing w:after="60"/>
        <w:ind w:left="426" w:hanging="142"/>
        <w:jc w:val="both"/>
        <w:rPr>
          <w:noProof/>
          <w:szCs w:val="24"/>
        </w:rPr>
      </w:pPr>
      <w:r>
        <w:rPr>
          <w:noProof/>
          <w:szCs w:val="24"/>
        </w:rPr>
        <w:t>allow, in combina</w:t>
      </w:r>
      <w:r>
        <w:rPr>
          <w:noProof/>
          <w:szCs w:val="24"/>
        </w:rPr>
        <w:t>tion with the COSME Loan Guarantee Facility which focuses on increasing the competitiveness of SMEs in general, improved access to finance for SMEs (and Small Midcaps) as part of a single EU debt financial instrument for SMEs.</w:t>
      </w:r>
    </w:p>
    <w:p w:rsidR="0073489B" w:rsidRDefault="00A46D11">
      <w:pPr>
        <w:spacing w:before="240" w:after="160"/>
        <w:jc w:val="both"/>
        <w:rPr>
          <w:noProof/>
          <w:szCs w:val="24"/>
        </w:rPr>
      </w:pPr>
      <w:r>
        <w:rPr>
          <w:noProof/>
          <w:szCs w:val="24"/>
        </w:rPr>
        <w:t>In terms of incentivizing the</w:t>
      </w:r>
      <w:r>
        <w:rPr>
          <w:noProof/>
          <w:szCs w:val="24"/>
        </w:rPr>
        <w:t xml:space="preserve"> implementation of the InnovFin SME Guarantee and its geographical coverage (EU Member States and Associated Countries), similar milestones and indicators are in place, as part of the Delegation Agreement with the EIF, to make sure that within the period 2</w:t>
      </w:r>
      <w:r>
        <w:rPr>
          <w:noProof/>
          <w:szCs w:val="24"/>
        </w:rPr>
        <w:t>014-2020, the instrument will be rolled out successfully and in an efficient manner.</w:t>
      </w:r>
    </w:p>
    <w:p w:rsidR="0073489B" w:rsidRDefault="00A46D11">
      <w:pPr>
        <w:spacing w:before="240" w:after="160"/>
        <w:jc w:val="both"/>
        <w:rPr>
          <w:b/>
          <w:noProof/>
          <w:szCs w:val="24"/>
        </w:rPr>
      </w:pPr>
      <w:r>
        <w:rPr>
          <w:noProof/>
          <w:szCs w:val="24"/>
        </w:rPr>
        <w:br w:type="page"/>
      </w:r>
      <w:r>
        <w:rPr>
          <w:noProof/>
          <w:szCs w:val="24"/>
        </w:rPr>
        <w:lastRenderedPageBreak/>
        <w:t>Graph:</w:t>
      </w:r>
      <w:r>
        <w:rPr>
          <w:b/>
          <w:noProof/>
          <w:szCs w:val="24"/>
        </w:rPr>
        <w:t xml:space="preserve"> </w:t>
      </w:r>
      <w:r>
        <w:rPr>
          <w:b/>
          <w:i/>
          <w:noProof/>
          <w:szCs w:val="24"/>
        </w:rPr>
        <w:t>Geographical distribution of InnovFin SMEG Maximum portfolio volume in participating countries</w:t>
      </w:r>
    </w:p>
    <w:p w:rsidR="0073489B" w:rsidRDefault="00A46D11">
      <w:pPr>
        <w:spacing w:before="240" w:after="160"/>
        <w:jc w:val="both"/>
        <w:rPr>
          <w:noProof/>
          <w:szCs w:val="24"/>
        </w:rPr>
      </w:pPr>
      <w:r>
        <w:rPr>
          <w:noProof/>
          <w:lang w:eastAsia="en-GB"/>
        </w:rPr>
        <w:drawing>
          <wp:inline distT="0" distB="0" distL="0" distR="0">
            <wp:extent cx="5762625" cy="57150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3489B" w:rsidRDefault="0073489B">
      <w:pPr>
        <w:spacing w:before="240" w:after="160"/>
        <w:jc w:val="both"/>
        <w:rPr>
          <w:noProof/>
          <w:szCs w:val="24"/>
        </w:rPr>
      </w:pPr>
    </w:p>
    <w:p w:rsidR="0073489B" w:rsidRDefault="00A46D11">
      <w:pPr>
        <w:spacing w:before="240" w:after="160"/>
        <w:jc w:val="both"/>
        <w:rPr>
          <w:b/>
          <w:noProof/>
          <w:szCs w:val="24"/>
        </w:rPr>
      </w:pPr>
      <w:r>
        <w:rPr>
          <w:b/>
          <w:noProof/>
          <w:szCs w:val="24"/>
        </w:rPr>
        <w:br w:type="page"/>
      </w:r>
      <w:r>
        <w:rPr>
          <w:noProof/>
          <w:szCs w:val="24"/>
        </w:rPr>
        <w:lastRenderedPageBreak/>
        <w:t>Graph:</w:t>
      </w:r>
      <w:r>
        <w:rPr>
          <w:b/>
          <w:noProof/>
          <w:szCs w:val="24"/>
        </w:rPr>
        <w:t xml:space="preserve"> </w:t>
      </w:r>
      <w:r>
        <w:rPr>
          <w:b/>
          <w:i/>
          <w:noProof/>
          <w:szCs w:val="24"/>
        </w:rPr>
        <w:t>Geographical distribution of SMEs  (by number of SMEs hav</w:t>
      </w:r>
      <w:r>
        <w:rPr>
          <w:b/>
          <w:i/>
          <w:noProof/>
          <w:szCs w:val="24"/>
        </w:rPr>
        <w:t>ing received financing)</w:t>
      </w:r>
    </w:p>
    <w:p w:rsidR="0073489B" w:rsidRDefault="00A46D11">
      <w:pPr>
        <w:pStyle w:val="Heading4"/>
        <w:numPr>
          <w:ilvl w:val="0"/>
          <w:numId w:val="0"/>
        </w:numPr>
        <w:spacing w:before="340"/>
        <w:ind w:left="360" w:hanging="360"/>
        <w:rPr>
          <w:noProof/>
        </w:rPr>
      </w:pPr>
      <w:r>
        <w:rPr>
          <w:noProof/>
          <w:lang w:eastAsia="en-GB"/>
        </w:rPr>
        <w:drawing>
          <wp:inline distT="0" distB="0" distL="0" distR="0">
            <wp:extent cx="5762625" cy="634365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3489B" w:rsidRDefault="00A46D11">
      <w:pPr>
        <w:pStyle w:val="Heading4"/>
        <w:numPr>
          <w:ilvl w:val="0"/>
          <w:numId w:val="0"/>
        </w:numPr>
        <w:spacing w:before="0"/>
        <w:ind w:left="360" w:hanging="360"/>
        <w:rPr>
          <w:noProof/>
        </w:rPr>
      </w:pPr>
      <w:r>
        <w:rPr>
          <w:noProof/>
        </w:rPr>
        <w:br w:type="page"/>
      </w:r>
      <w:r>
        <w:rPr>
          <w:noProof/>
        </w:rPr>
        <w:lastRenderedPageBreak/>
        <w:t>E -</w:t>
      </w:r>
      <w:r>
        <w:rPr>
          <w:noProof/>
        </w:rPr>
        <w:tab/>
        <w:t>Other key points and issues</w:t>
      </w:r>
    </w:p>
    <w:p w:rsidR="0073489B" w:rsidRDefault="00A46D11">
      <w:pPr>
        <w:keepNext/>
        <w:numPr>
          <w:ilvl w:val="0"/>
          <w:numId w:val="112"/>
        </w:numPr>
        <w:autoSpaceDE w:val="0"/>
        <w:autoSpaceDN w:val="0"/>
        <w:adjustRightInd w:val="0"/>
        <w:ind w:left="284" w:right="142" w:hanging="142"/>
        <w:contextualSpacing/>
        <w:rPr>
          <w:noProof/>
          <w:szCs w:val="24"/>
        </w:rPr>
      </w:pPr>
      <w:r>
        <w:rPr>
          <w:b/>
          <w:noProof/>
          <w:szCs w:val="24"/>
        </w:rPr>
        <w:t>Main issues for the implementation:</w:t>
      </w:r>
    </w:p>
    <w:p w:rsidR="0073489B" w:rsidRDefault="00A46D11">
      <w:pPr>
        <w:numPr>
          <w:ilvl w:val="0"/>
          <w:numId w:val="165"/>
        </w:numPr>
        <w:autoSpaceDE w:val="0"/>
        <w:autoSpaceDN w:val="0"/>
        <w:adjustRightInd w:val="0"/>
        <w:spacing w:before="60"/>
        <w:ind w:left="709" w:right="141" w:hanging="284"/>
        <w:contextualSpacing/>
        <w:jc w:val="both"/>
        <w:rPr>
          <w:noProof/>
          <w:szCs w:val="24"/>
        </w:rPr>
      </w:pPr>
      <w:r>
        <w:rPr>
          <w:noProof/>
          <w:szCs w:val="24"/>
        </w:rPr>
        <w:t xml:space="preserve">it will be crucial for the implementation of the InnovFin SME Guarantee to attract a sufficient number of financial intermediaries (banks and guarantee </w:t>
      </w:r>
      <w:r>
        <w:rPr>
          <w:noProof/>
          <w:szCs w:val="24"/>
        </w:rPr>
        <w:t>institutions) as risk-sharing partners of the EIF and loan providers to final recipients.</w:t>
      </w:r>
    </w:p>
    <w:p w:rsidR="0073489B" w:rsidRDefault="00A46D11">
      <w:pPr>
        <w:numPr>
          <w:ilvl w:val="0"/>
          <w:numId w:val="165"/>
        </w:numPr>
        <w:autoSpaceDE w:val="0"/>
        <w:autoSpaceDN w:val="0"/>
        <w:adjustRightInd w:val="0"/>
        <w:spacing w:before="60"/>
        <w:ind w:left="709" w:right="141" w:hanging="284"/>
        <w:contextualSpacing/>
        <w:jc w:val="both"/>
        <w:rPr>
          <w:noProof/>
          <w:szCs w:val="24"/>
        </w:rPr>
      </w:pPr>
      <w:r>
        <w:rPr>
          <w:noProof/>
          <w:szCs w:val="24"/>
        </w:rPr>
        <w:t>In this context, the fees charged to financial intermediaries need to reflect the risk taken at EU level while, at the same time, offering risk-sharing and capital re</w:t>
      </w:r>
      <w:r>
        <w:rPr>
          <w:noProof/>
          <w:szCs w:val="24"/>
        </w:rPr>
        <w:t>lief for financial intermediaries.</w:t>
      </w:r>
    </w:p>
    <w:p w:rsidR="0073489B" w:rsidRDefault="00A46D11">
      <w:pPr>
        <w:numPr>
          <w:ilvl w:val="0"/>
          <w:numId w:val="165"/>
        </w:numPr>
        <w:autoSpaceDE w:val="0"/>
        <w:autoSpaceDN w:val="0"/>
        <w:adjustRightInd w:val="0"/>
        <w:spacing w:before="60"/>
        <w:ind w:left="709" w:right="141" w:hanging="284"/>
        <w:contextualSpacing/>
        <w:jc w:val="both"/>
        <w:rPr>
          <w:noProof/>
          <w:szCs w:val="24"/>
        </w:rPr>
      </w:pPr>
      <w:r>
        <w:rPr>
          <w:noProof/>
          <w:szCs w:val="24"/>
        </w:rPr>
        <w:t>The contractual arrangements between the European Commission (represented by DG RTD) and EIF allow for flexibility as regards product development for the period 2014-2020.</w:t>
      </w:r>
    </w:p>
    <w:p w:rsidR="0073489B" w:rsidRDefault="00A46D11">
      <w:pPr>
        <w:numPr>
          <w:ilvl w:val="0"/>
          <w:numId w:val="112"/>
        </w:numPr>
        <w:autoSpaceDE w:val="0"/>
        <w:autoSpaceDN w:val="0"/>
        <w:adjustRightInd w:val="0"/>
        <w:spacing w:before="240"/>
        <w:ind w:left="284" w:right="141" w:hanging="142"/>
        <w:contextualSpacing/>
        <w:rPr>
          <w:noProof/>
          <w:szCs w:val="24"/>
        </w:rPr>
      </w:pPr>
      <w:r>
        <w:rPr>
          <w:b/>
          <w:noProof/>
          <w:szCs w:val="24"/>
        </w:rPr>
        <w:t>Main risks:</w:t>
      </w:r>
      <w:r>
        <w:rPr>
          <w:noProof/>
          <w:szCs w:val="24"/>
        </w:rPr>
        <w:t xml:space="preserve"> </w:t>
      </w:r>
    </w:p>
    <w:p w:rsidR="0073489B" w:rsidRDefault="00A46D11">
      <w:pPr>
        <w:numPr>
          <w:ilvl w:val="0"/>
          <w:numId w:val="166"/>
        </w:numPr>
        <w:autoSpaceDE w:val="0"/>
        <w:autoSpaceDN w:val="0"/>
        <w:adjustRightInd w:val="0"/>
        <w:spacing w:before="240"/>
        <w:ind w:left="709" w:right="141" w:hanging="284"/>
        <w:contextualSpacing/>
        <w:rPr>
          <w:noProof/>
          <w:szCs w:val="24"/>
        </w:rPr>
      </w:pPr>
      <w:r>
        <w:rPr>
          <w:noProof/>
          <w:szCs w:val="24"/>
        </w:rPr>
        <w:t>no particular risks.</w:t>
      </w:r>
    </w:p>
    <w:p w:rsidR="0073489B" w:rsidRDefault="00A46D11">
      <w:pPr>
        <w:numPr>
          <w:ilvl w:val="0"/>
          <w:numId w:val="112"/>
        </w:numPr>
        <w:spacing w:before="240"/>
        <w:ind w:left="284" w:right="141" w:hanging="142"/>
        <w:contextualSpacing/>
        <w:rPr>
          <w:noProof/>
          <w:szCs w:val="24"/>
        </w:rPr>
      </w:pPr>
      <w:r>
        <w:rPr>
          <w:b/>
          <w:noProof/>
          <w:szCs w:val="24"/>
        </w:rPr>
        <w:t>General outlook</w:t>
      </w:r>
      <w:r>
        <w:rPr>
          <w:b/>
          <w:noProof/>
          <w:szCs w:val="24"/>
        </w:rPr>
        <w:t>:</w:t>
      </w:r>
      <w:r>
        <w:rPr>
          <w:noProof/>
          <w:szCs w:val="24"/>
        </w:rPr>
        <w:t xml:space="preserve"> </w:t>
      </w:r>
    </w:p>
    <w:p w:rsidR="0073489B" w:rsidRDefault="00A46D11">
      <w:pPr>
        <w:numPr>
          <w:ilvl w:val="0"/>
          <w:numId w:val="167"/>
        </w:numPr>
        <w:spacing w:before="60"/>
        <w:ind w:left="709" w:right="141" w:hanging="284"/>
        <w:contextualSpacing/>
        <w:jc w:val="both"/>
        <w:rPr>
          <w:noProof/>
          <w:szCs w:val="24"/>
        </w:rPr>
      </w:pPr>
      <w:r>
        <w:rPr>
          <w:noProof/>
          <w:szCs w:val="24"/>
        </w:rPr>
        <w:t>based on the very successful implementation of the Pilot guarantee facility (RSI) during the period 2012-2013, it can be reasonably expected that the InnovFin SME Guarantee will successfully be taken up by the market.</w:t>
      </w:r>
    </w:p>
    <w:p w:rsidR="0073489B" w:rsidRDefault="00A46D11">
      <w:pPr>
        <w:numPr>
          <w:ilvl w:val="0"/>
          <w:numId w:val="167"/>
        </w:numPr>
        <w:spacing w:before="60"/>
        <w:ind w:left="709" w:right="141" w:hanging="284"/>
        <w:contextualSpacing/>
        <w:jc w:val="both"/>
        <w:rPr>
          <w:noProof/>
          <w:szCs w:val="24"/>
        </w:rPr>
      </w:pPr>
      <w:r>
        <w:rPr>
          <w:noProof/>
          <w:szCs w:val="24"/>
        </w:rPr>
        <w:t>Demand for longer-term (up to 10 ye</w:t>
      </w:r>
      <w:r>
        <w:rPr>
          <w:noProof/>
          <w:szCs w:val="24"/>
        </w:rPr>
        <w:t xml:space="preserve">ars) loan finance in the range of EUR 25 000 to 7,5 million for the target group innovative SMEs/ Small Midcaps should remain high across EU Member States and Associated countries, due to the incentives built into the instrument (regulatory capital relief </w:t>
      </w:r>
      <w:r>
        <w:rPr>
          <w:noProof/>
          <w:szCs w:val="24"/>
        </w:rPr>
        <w:t>of the 50% uncapped guarantee per loan for financial intermediaries).</w:t>
      </w:r>
    </w:p>
    <w:p w:rsidR="0073489B" w:rsidRDefault="00A46D11">
      <w:pPr>
        <w:numPr>
          <w:ilvl w:val="0"/>
          <w:numId w:val="167"/>
        </w:numPr>
        <w:spacing w:before="60" w:after="1080"/>
        <w:ind w:left="709" w:right="141" w:hanging="284"/>
        <w:contextualSpacing/>
        <w:jc w:val="both"/>
        <w:rPr>
          <w:noProof/>
          <w:szCs w:val="24"/>
        </w:rPr>
      </w:pPr>
      <w:r>
        <w:rPr>
          <w:noProof/>
          <w:szCs w:val="24"/>
        </w:rPr>
        <w:t xml:space="preserve">Provided that the InnovFin SME Guarantee instrument can be implemented as foreseen, it would be able to make a significant contribution to addressing the loan finance gap for innovative </w:t>
      </w:r>
      <w:r>
        <w:rPr>
          <w:noProof/>
          <w:szCs w:val="24"/>
        </w:rPr>
        <w:t>smaller companies.</w:t>
      </w:r>
    </w:p>
    <w:p w:rsidR="0073489B" w:rsidRDefault="00A46D11">
      <w:pPr>
        <w:pStyle w:val="Heading3"/>
      </w:pPr>
      <w:bookmarkStart w:id="231" w:name="_The_Cultural_and"/>
      <w:bookmarkStart w:id="232" w:name="_Toc486436757"/>
      <w:bookmarkEnd w:id="231"/>
      <w:r>
        <w:t>The Cultural and Creative Sectors Guarantee Facility</w:t>
      </w:r>
      <w:bookmarkStart w:id="233" w:name="_Toc387228884"/>
      <w:bookmarkStart w:id="234" w:name="_Toc388541910"/>
      <w:bookmarkEnd w:id="228"/>
      <w:bookmarkEnd w:id="229"/>
      <w:bookmarkEnd w:id="230"/>
      <w:bookmarkEnd w:id="232"/>
    </w:p>
    <w:p w:rsidR="0073489B" w:rsidRDefault="0073489B">
      <w:pPr>
        <w:rPr>
          <w:noProof/>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rsidR="0073489B">
        <w:trPr>
          <w:trHeight w:val="306"/>
        </w:trPr>
        <w:tc>
          <w:tcPr>
            <w:tcW w:w="4674" w:type="dxa"/>
            <w:tcBorders>
              <w:bottom w:val="single" w:sz="4" w:space="0" w:color="auto"/>
            </w:tcBorders>
            <w:shd w:val="clear" w:color="auto" w:fill="auto"/>
            <w:vAlign w:val="center"/>
          </w:tcPr>
          <w:p w:rsidR="0073489B" w:rsidRDefault="00A46D11">
            <w:pPr>
              <w:spacing w:before="60" w:after="60"/>
              <w:rPr>
                <w:noProof/>
                <w:szCs w:val="24"/>
              </w:rPr>
            </w:pPr>
            <w:r>
              <w:rPr>
                <w:b/>
                <w:noProof/>
                <w:szCs w:val="24"/>
              </w:rPr>
              <w:t>Policy DG in charge:</w:t>
            </w:r>
            <w:r>
              <w:rPr>
                <w:noProof/>
                <w:szCs w:val="24"/>
              </w:rPr>
              <w:t xml:space="preserve">  </w:t>
            </w:r>
          </w:p>
        </w:tc>
        <w:tc>
          <w:tcPr>
            <w:tcW w:w="4614" w:type="dxa"/>
            <w:tcBorders>
              <w:bottom w:val="single" w:sz="4" w:space="0" w:color="auto"/>
            </w:tcBorders>
            <w:shd w:val="clear" w:color="auto" w:fill="auto"/>
            <w:vAlign w:val="center"/>
          </w:tcPr>
          <w:p w:rsidR="0073489B" w:rsidRDefault="00A46D11">
            <w:pPr>
              <w:spacing w:before="60" w:after="60"/>
              <w:jc w:val="center"/>
              <w:rPr>
                <w:noProof/>
              </w:rPr>
            </w:pPr>
            <w:r>
              <w:rPr>
                <w:noProof/>
                <w:szCs w:val="24"/>
              </w:rPr>
              <w:t>DG CNECT  and DG EAC</w:t>
            </w:r>
          </w:p>
        </w:tc>
      </w:tr>
      <w:tr w:rsidR="0073489B">
        <w:trPr>
          <w:trHeight w:val="326"/>
        </w:trPr>
        <w:tc>
          <w:tcPr>
            <w:tcW w:w="4674"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 xml:space="preserve">Implementing DG in charge: </w:t>
            </w:r>
            <w:r>
              <w:rPr>
                <w:noProof/>
                <w:szCs w:val="24"/>
              </w:rPr>
              <w:t xml:space="preserve"> </w:t>
            </w:r>
          </w:p>
        </w:tc>
        <w:tc>
          <w:tcPr>
            <w:tcW w:w="4614" w:type="dxa"/>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szCs w:val="24"/>
              </w:rPr>
              <w:t>DG CNECT</w:t>
            </w:r>
          </w:p>
        </w:tc>
      </w:tr>
      <w:tr w:rsidR="0073489B">
        <w:trPr>
          <w:trHeight w:val="360"/>
        </w:trPr>
        <w:tc>
          <w:tcPr>
            <w:tcW w:w="4674"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Operating Body in charge:</w:t>
            </w:r>
          </w:p>
        </w:tc>
        <w:tc>
          <w:tcPr>
            <w:tcW w:w="4614" w:type="dxa"/>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EIF</w:t>
            </w:r>
          </w:p>
        </w:tc>
      </w:tr>
      <w:tr w:rsidR="0073489B">
        <w:trPr>
          <w:trHeight w:val="366"/>
        </w:trPr>
        <w:tc>
          <w:tcPr>
            <w:tcW w:w="4674"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Initial Overall Budget Envelope:</w:t>
            </w:r>
          </w:p>
        </w:tc>
        <w:tc>
          <w:tcPr>
            <w:tcW w:w="4614" w:type="dxa"/>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szCs w:val="24"/>
              </w:rPr>
              <w:t>EUR 121 million</w:t>
            </w:r>
            <w:r>
              <w:rPr>
                <w:rStyle w:val="FootnoteReference"/>
                <w:noProof/>
                <w:szCs w:val="24"/>
              </w:rPr>
              <w:footnoteReference w:id="134"/>
            </w:r>
          </w:p>
        </w:tc>
      </w:tr>
      <w:tr w:rsidR="0073489B">
        <w:trPr>
          <w:trHeight w:val="400"/>
        </w:trPr>
        <w:tc>
          <w:tcPr>
            <w:tcW w:w="4674" w:type="dxa"/>
            <w:tcBorders>
              <w:top w:val="single" w:sz="4" w:space="0" w:color="auto"/>
            </w:tcBorders>
            <w:shd w:val="clear" w:color="auto" w:fill="auto"/>
            <w:vAlign w:val="center"/>
          </w:tcPr>
          <w:p w:rsidR="0073489B" w:rsidRDefault="00A46D11">
            <w:pPr>
              <w:spacing w:before="60" w:after="60"/>
              <w:rPr>
                <w:b/>
                <w:noProof/>
                <w:szCs w:val="24"/>
              </w:rPr>
            </w:pPr>
            <w:r>
              <w:rPr>
                <w:b/>
                <w:noProof/>
                <w:szCs w:val="24"/>
              </w:rPr>
              <w:t xml:space="preserve">Current Overall </w:t>
            </w:r>
            <w:r>
              <w:rPr>
                <w:b/>
                <w:noProof/>
                <w:szCs w:val="24"/>
              </w:rPr>
              <w:t>Budget:</w:t>
            </w:r>
          </w:p>
        </w:tc>
        <w:tc>
          <w:tcPr>
            <w:tcW w:w="4614" w:type="dxa"/>
            <w:tcBorders>
              <w:top w:val="single" w:sz="4" w:space="0" w:color="auto"/>
            </w:tcBorders>
            <w:shd w:val="clear" w:color="auto" w:fill="auto"/>
            <w:vAlign w:val="center"/>
          </w:tcPr>
          <w:p w:rsidR="0073489B" w:rsidRDefault="00A46D11">
            <w:pPr>
              <w:spacing w:before="60" w:after="60"/>
              <w:jc w:val="center"/>
              <w:rPr>
                <w:noProof/>
              </w:rPr>
            </w:pPr>
            <w:r>
              <w:rPr>
                <w:noProof/>
                <w:szCs w:val="24"/>
              </w:rPr>
              <w:t xml:space="preserve">EUR 121 million </w:t>
            </w:r>
            <w:r>
              <w:rPr>
                <w:rStyle w:val="FootnoteReference"/>
                <w:i/>
                <w:noProof/>
                <w:szCs w:val="24"/>
              </w:rPr>
              <w:footnoteReference w:id="135"/>
            </w:r>
          </w:p>
        </w:tc>
      </w:tr>
    </w:tbl>
    <w:p w:rsidR="0073489B" w:rsidRDefault="0073489B">
      <w:pPr>
        <w:spacing w:before="200" w:after="60"/>
        <w:rPr>
          <w:noProof/>
        </w:rPr>
      </w:pPr>
    </w:p>
    <w:p w:rsidR="0073489B" w:rsidRDefault="00A46D11">
      <w:pPr>
        <w:pStyle w:val="Heading4"/>
        <w:numPr>
          <w:ilvl w:val="0"/>
          <w:numId w:val="286"/>
        </w:numPr>
        <w:jc w:val="both"/>
        <w:rPr>
          <w:noProof/>
        </w:rPr>
      </w:pPr>
      <w:r>
        <w:rPr>
          <w:noProof/>
        </w:rPr>
        <w:t>Summary</w:t>
      </w:r>
    </w:p>
    <w:p w:rsidR="0073489B" w:rsidRDefault="00A46D11">
      <w:pPr>
        <w:spacing w:after="60"/>
        <w:jc w:val="both"/>
        <w:rPr>
          <w:noProof/>
        </w:rPr>
      </w:pPr>
      <w:r>
        <w:rPr>
          <w:noProof/>
        </w:rPr>
        <w:t xml:space="preserve">The Cultural and Creative Sectors Guarantee Facility is a facility under which the European Commission through the European Investment Fund (EIF) will provide guarantees and </w:t>
      </w:r>
      <w:r>
        <w:rPr>
          <w:noProof/>
        </w:rPr>
        <w:lastRenderedPageBreak/>
        <w:t>counter-guarantees on debt financing to Financial Intermediaries in order to impro</w:t>
      </w:r>
      <w:r>
        <w:rPr>
          <w:noProof/>
        </w:rPr>
        <w:t>ve access to finance to SMEs from cultural and creative sectors. Thanks to the CCS GF, Financial intermediaries selected by the EIF will be able to provide additional debt financing to SMEs in Participating Countries. In addition, the action will provide e</w:t>
      </w:r>
      <w:r>
        <w:rPr>
          <w:noProof/>
        </w:rPr>
        <w:t>xpertise/capacity building to the financial institutions wishing to build dedicated portfolios of loans targeting cultural and creative SMEs. This may result in an increase in the number of financial institutions which are willing to work with cultural and</w:t>
      </w:r>
      <w:r>
        <w:rPr>
          <w:noProof/>
        </w:rPr>
        <w:t xml:space="preserve"> creative SMEs as well as maximising the European geographical diversification of targeted financial products for the sector.With a total budgetary appropriation for CCS GF of EUR 121 millions in the 2016-2020 period and a targeted leverage effect of 5,7 t</w:t>
      </w:r>
      <w:r>
        <w:rPr>
          <w:noProof/>
        </w:rPr>
        <w:t xml:space="preserve">he financial instrument may leverage around EUR 689 million of additional funding or the cultural and creative industries. </w:t>
      </w:r>
    </w:p>
    <w:p w:rsidR="0073489B" w:rsidRDefault="0073489B">
      <w:pPr>
        <w:spacing w:before="200" w:after="60"/>
        <w:jc w:val="both"/>
        <w:rPr>
          <w:noProof/>
        </w:rPr>
      </w:pPr>
    </w:p>
    <w:p w:rsidR="0073489B" w:rsidRDefault="00A46D11">
      <w:pPr>
        <w:pStyle w:val="Heading4"/>
        <w:numPr>
          <w:ilvl w:val="0"/>
          <w:numId w:val="285"/>
        </w:numPr>
        <w:rPr>
          <w:noProof/>
        </w:rPr>
      </w:pPr>
      <w:r>
        <w:rPr>
          <w:noProof/>
        </w:rPr>
        <w:t>Description</w:t>
      </w:r>
      <w:bookmarkEnd w:id="233"/>
      <w:bookmarkEnd w:id="234"/>
    </w:p>
    <w:p w:rsidR="0073489B" w:rsidRDefault="00A46D11">
      <w:pPr>
        <w:pStyle w:val="Heading5"/>
        <w:numPr>
          <w:ilvl w:val="0"/>
          <w:numId w:val="31"/>
        </w:numPr>
        <w:spacing w:before="120"/>
        <w:ind w:left="284" w:firstLine="0"/>
        <w:jc w:val="both"/>
        <w:rPr>
          <w:noProof/>
        </w:rPr>
      </w:pPr>
      <w:bookmarkStart w:id="235" w:name="_Toc387228885"/>
      <w:r>
        <w:rPr>
          <w:noProof/>
        </w:rPr>
        <w:t>Identification of the financial instrument and the basic act</w:t>
      </w:r>
      <w:bookmarkEnd w:id="235"/>
      <w:r>
        <w:rPr>
          <w:noProof/>
        </w:rPr>
        <w:t>;</w:t>
      </w:r>
    </w:p>
    <w:p w:rsidR="0073489B" w:rsidRDefault="00A46D11">
      <w:pPr>
        <w:spacing w:after="60"/>
        <w:ind w:right="141"/>
        <w:jc w:val="both"/>
        <w:rPr>
          <w:noProof/>
          <w:szCs w:val="24"/>
        </w:rPr>
      </w:pPr>
      <w:r>
        <w:rPr>
          <w:noProof/>
          <w:szCs w:val="24"/>
        </w:rPr>
        <w:t>Regulation (Eu) No 1295/2013 o</w:t>
      </w:r>
      <w:r>
        <w:rPr>
          <w:noProof/>
          <w:sz w:val="20"/>
          <w:szCs w:val="24"/>
        </w:rPr>
        <w:t>f</w:t>
      </w:r>
      <w:r>
        <w:rPr>
          <w:noProof/>
          <w:szCs w:val="24"/>
        </w:rPr>
        <w:t xml:space="preserve"> the European Parliament a</w:t>
      </w:r>
      <w:r>
        <w:rPr>
          <w:noProof/>
          <w:szCs w:val="24"/>
        </w:rPr>
        <w:t>nd of the Council of 11 December 2013 establishing the Creative Europe Programme (2014 to 2020) and repealing Decisions No 1718/2006/EC, No 1855/2006/EC and No 1041/2009/EC.</w:t>
      </w:r>
      <w:r>
        <w:rPr>
          <w:rStyle w:val="FootnoteReference"/>
          <w:noProof/>
          <w:szCs w:val="24"/>
        </w:rPr>
        <w:footnoteReference w:id="136"/>
      </w:r>
      <w:r>
        <w:rPr>
          <w:noProof/>
          <w:szCs w:val="24"/>
        </w:rPr>
        <w:t xml:space="preserve"> </w:t>
      </w:r>
    </w:p>
    <w:p w:rsidR="0073489B" w:rsidRDefault="00A46D11">
      <w:pPr>
        <w:spacing w:after="60"/>
        <w:jc w:val="both"/>
        <w:rPr>
          <w:noProof/>
        </w:rPr>
      </w:pPr>
      <w:r>
        <w:rPr>
          <w:noProof/>
          <w:szCs w:val="24"/>
        </w:rPr>
        <w:t>Thereof: Art 14 and Annex 1 on the Cultural and Creative Sectors Guarantee Facil</w:t>
      </w:r>
      <w:r>
        <w:rPr>
          <w:noProof/>
          <w:szCs w:val="24"/>
        </w:rPr>
        <w:t>ity specific political and operational objectives.</w:t>
      </w:r>
    </w:p>
    <w:p w:rsidR="0073489B" w:rsidRDefault="00A46D11">
      <w:pPr>
        <w:pStyle w:val="Heading5"/>
        <w:numPr>
          <w:ilvl w:val="0"/>
          <w:numId w:val="79"/>
        </w:numPr>
        <w:spacing w:before="120"/>
        <w:ind w:left="284" w:firstLine="0"/>
        <w:jc w:val="both"/>
        <w:rPr>
          <w:noProof/>
        </w:rPr>
      </w:pPr>
      <w:bookmarkStart w:id="236" w:name="_Toc387228886"/>
      <w:r>
        <w:rPr>
          <w:noProof/>
        </w:rPr>
        <w:t>Description of the financial instrument, implementation arrangements and the added value of the Union contribution</w:t>
      </w:r>
      <w:bookmarkEnd w:id="236"/>
      <w:r>
        <w:rPr>
          <w:noProof/>
        </w:rPr>
        <w:t>;</w:t>
      </w:r>
    </w:p>
    <w:p w:rsidR="0073489B" w:rsidRDefault="00A46D11">
      <w:pPr>
        <w:shd w:val="clear" w:color="auto" w:fill="FFFFFF"/>
        <w:ind w:right="141"/>
        <w:jc w:val="both"/>
        <w:rPr>
          <w:i/>
          <w:noProof/>
          <w:szCs w:val="24"/>
        </w:rPr>
      </w:pPr>
      <w:r>
        <w:rPr>
          <w:i/>
          <w:noProof/>
          <w:szCs w:val="24"/>
        </w:rPr>
        <w:t>Policy objectives and scope</w:t>
      </w:r>
    </w:p>
    <w:p w:rsidR="0073489B" w:rsidRDefault="00A46D11">
      <w:pPr>
        <w:shd w:val="clear" w:color="auto" w:fill="FFFFFF"/>
        <w:spacing w:after="60"/>
        <w:ind w:right="141"/>
        <w:jc w:val="both"/>
        <w:rPr>
          <w:noProof/>
          <w:szCs w:val="24"/>
        </w:rPr>
      </w:pPr>
      <w:r>
        <w:rPr>
          <w:noProof/>
          <w:szCs w:val="24"/>
        </w:rPr>
        <w:t>The Cultural and Creative Sectors Guarantee Facility (CCS GF)</w:t>
      </w:r>
      <w:r>
        <w:rPr>
          <w:noProof/>
          <w:szCs w:val="24"/>
        </w:rPr>
        <w:t xml:space="preserve"> is part of the Creative Europe programme</w:t>
      </w:r>
      <w:r>
        <w:rPr>
          <w:i/>
          <w:noProof/>
          <w:szCs w:val="24"/>
        </w:rPr>
        <w:t xml:space="preserve">. </w:t>
      </w:r>
      <w:r>
        <w:rPr>
          <w:noProof/>
          <w:szCs w:val="24"/>
        </w:rPr>
        <w:t>The general objective of the Cultural and Creative Sectors Guarantee Facility is in line with those of the Creative Europe Programme which is to foster the safeguarding and promotion of European cultural and lingu</w:t>
      </w:r>
      <w:r>
        <w:rPr>
          <w:noProof/>
          <w:szCs w:val="24"/>
        </w:rPr>
        <w:t>istic diversity, and strengthen the competitiveness of the cultural and creative sectors, with a view to promoting smart, sustainable and inclusive growth, in line with the Europe 2020 strategy.</w:t>
      </w:r>
    </w:p>
    <w:p w:rsidR="0073489B" w:rsidRDefault="00A46D11">
      <w:pPr>
        <w:spacing w:after="60"/>
        <w:ind w:right="141"/>
        <w:jc w:val="both"/>
        <w:rPr>
          <w:noProof/>
          <w:szCs w:val="24"/>
        </w:rPr>
      </w:pPr>
      <w:r>
        <w:rPr>
          <w:noProof/>
          <w:szCs w:val="24"/>
        </w:rPr>
        <w:t>The Cultural and Creative Sectors (CCS) count for more than 1</w:t>
      </w:r>
      <w:r>
        <w:rPr>
          <w:noProof/>
          <w:szCs w:val="24"/>
        </w:rPr>
        <w:t xml:space="preserve"> million enterprises and represent nearly 4,5% of the total business economy in Europe. The sector employs over 3,2 million people, predominantly in very small enterprises, and provides work to many self-employed people.  CCS grow quickly yet suffer from n</w:t>
      </w:r>
      <w:r>
        <w:rPr>
          <w:noProof/>
          <w:szCs w:val="24"/>
        </w:rPr>
        <w:t>egative stereotypes when it comes to assessing their economic performance. Hence the operational objectives are:</w:t>
      </w:r>
    </w:p>
    <w:p w:rsidR="0073489B" w:rsidRDefault="00A46D11">
      <w:pPr>
        <w:numPr>
          <w:ilvl w:val="0"/>
          <w:numId w:val="112"/>
        </w:numPr>
        <w:ind w:left="567" w:right="141" w:hanging="141"/>
        <w:jc w:val="both"/>
        <w:rPr>
          <w:noProof/>
          <w:szCs w:val="24"/>
        </w:rPr>
      </w:pPr>
      <w:r>
        <w:rPr>
          <w:noProof/>
          <w:szCs w:val="24"/>
        </w:rPr>
        <w:t>to provide guarantees to banks dealing with cultural and creative SMEs resulting in easier access to bank credits;</w:t>
      </w:r>
    </w:p>
    <w:p w:rsidR="0073489B" w:rsidRDefault="00A46D11">
      <w:pPr>
        <w:numPr>
          <w:ilvl w:val="0"/>
          <w:numId w:val="112"/>
        </w:numPr>
        <w:ind w:left="567" w:right="141" w:hanging="141"/>
        <w:jc w:val="both"/>
        <w:rPr>
          <w:noProof/>
          <w:szCs w:val="24"/>
        </w:rPr>
      </w:pPr>
      <w:r>
        <w:rPr>
          <w:noProof/>
          <w:szCs w:val="24"/>
        </w:rPr>
        <w:t xml:space="preserve">to provide expertise/capacity building to the financial institutions; </w:t>
      </w:r>
    </w:p>
    <w:p w:rsidR="0073489B" w:rsidRDefault="00A46D11">
      <w:pPr>
        <w:numPr>
          <w:ilvl w:val="0"/>
          <w:numId w:val="112"/>
        </w:numPr>
        <w:ind w:left="567" w:right="141" w:hanging="141"/>
        <w:jc w:val="both"/>
        <w:rPr>
          <w:noProof/>
          <w:szCs w:val="24"/>
        </w:rPr>
      </w:pPr>
      <w:r>
        <w:rPr>
          <w:noProof/>
          <w:szCs w:val="24"/>
        </w:rPr>
        <w:t>to increase the number of financial institutions which are willing to work with cultural and creative SMEs;</w:t>
      </w:r>
    </w:p>
    <w:p w:rsidR="0073489B" w:rsidRDefault="00A46D11">
      <w:pPr>
        <w:numPr>
          <w:ilvl w:val="0"/>
          <w:numId w:val="112"/>
        </w:numPr>
        <w:spacing w:after="60"/>
        <w:ind w:left="567" w:right="141" w:hanging="141"/>
        <w:jc w:val="both"/>
        <w:rPr>
          <w:noProof/>
          <w:szCs w:val="24"/>
        </w:rPr>
      </w:pPr>
      <w:r>
        <w:rPr>
          <w:noProof/>
          <w:szCs w:val="24"/>
        </w:rPr>
        <w:t>to maximise the European geographical diversification of financial institutio</w:t>
      </w:r>
      <w:r>
        <w:rPr>
          <w:noProof/>
          <w:szCs w:val="24"/>
        </w:rPr>
        <w:t>ns willing to work with cultural and creative SMEs.</w:t>
      </w:r>
    </w:p>
    <w:p w:rsidR="0073489B" w:rsidRDefault="00A46D11">
      <w:pPr>
        <w:shd w:val="clear" w:color="auto" w:fill="FFFFFF"/>
        <w:ind w:right="141"/>
        <w:jc w:val="both"/>
        <w:rPr>
          <w:i/>
          <w:noProof/>
          <w:szCs w:val="24"/>
        </w:rPr>
      </w:pPr>
      <w:r>
        <w:rPr>
          <w:i/>
          <w:noProof/>
          <w:szCs w:val="24"/>
        </w:rPr>
        <w:t>Implementation arrangements</w:t>
      </w:r>
    </w:p>
    <w:p w:rsidR="0073489B" w:rsidRDefault="00A46D11">
      <w:pPr>
        <w:shd w:val="clear" w:color="auto" w:fill="FFFFFF"/>
        <w:spacing w:after="60"/>
        <w:ind w:right="141"/>
        <w:jc w:val="both"/>
        <w:rPr>
          <w:noProof/>
          <w:szCs w:val="24"/>
        </w:rPr>
      </w:pPr>
      <w:r>
        <w:rPr>
          <w:noProof/>
          <w:szCs w:val="24"/>
        </w:rPr>
        <w:t>The European Commission retains an overall responsibility for managing the CCS GF but day-to-day management is entrusted to the European Investment Fund (EIF) under a Delegatio</w:t>
      </w:r>
      <w:r>
        <w:rPr>
          <w:noProof/>
          <w:szCs w:val="24"/>
        </w:rPr>
        <w:t>n Agreement.</w:t>
      </w:r>
    </w:p>
    <w:p w:rsidR="0073489B" w:rsidRDefault="00A46D11">
      <w:pPr>
        <w:shd w:val="clear" w:color="auto" w:fill="FFFFFF"/>
        <w:ind w:right="141"/>
        <w:jc w:val="both"/>
        <w:rPr>
          <w:i/>
          <w:noProof/>
          <w:szCs w:val="24"/>
        </w:rPr>
      </w:pPr>
      <w:r>
        <w:rPr>
          <w:i/>
          <w:noProof/>
          <w:szCs w:val="24"/>
        </w:rPr>
        <w:lastRenderedPageBreak/>
        <w:t>Added value</w:t>
      </w:r>
    </w:p>
    <w:p w:rsidR="0073489B" w:rsidRDefault="00A46D11">
      <w:pPr>
        <w:shd w:val="clear" w:color="auto" w:fill="FFFFFF"/>
        <w:spacing w:after="60"/>
        <w:ind w:right="141"/>
        <w:jc w:val="both"/>
        <w:rPr>
          <w:noProof/>
          <w:szCs w:val="24"/>
        </w:rPr>
      </w:pPr>
      <w:r>
        <w:rPr>
          <w:noProof/>
          <w:szCs w:val="24"/>
        </w:rPr>
        <w:t xml:space="preserve">The Guarantee Facility has been the subject of an impact assessment, in-depth analysis of the pre-existing market gap, market testing with a sample of financial institutions and a dedicated study on 'Access to finance for cultural </w:t>
      </w:r>
      <w:r>
        <w:rPr>
          <w:noProof/>
          <w:szCs w:val="24"/>
        </w:rPr>
        <w:t>and creative sectors'.</w:t>
      </w:r>
      <w:r>
        <w:rPr>
          <w:noProof/>
          <w:szCs w:val="24"/>
          <w:vertAlign w:val="superscript"/>
        </w:rPr>
        <w:footnoteReference w:id="137"/>
      </w:r>
      <w:r>
        <w:rPr>
          <w:noProof/>
          <w:szCs w:val="24"/>
        </w:rPr>
        <w:t xml:space="preserve"> </w:t>
      </w:r>
    </w:p>
    <w:p w:rsidR="0073489B" w:rsidRDefault="00A46D11">
      <w:pPr>
        <w:shd w:val="clear" w:color="auto" w:fill="FFFFFF"/>
        <w:spacing w:after="60"/>
        <w:ind w:right="141"/>
        <w:jc w:val="both"/>
        <w:rPr>
          <w:noProof/>
          <w:szCs w:val="24"/>
        </w:rPr>
      </w:pPr>
      <w:r>
        <w:rPr>
          <w:noProof/>
          <w:szCs w:val="24"/>
        </w:rPr>
        <w:t xml:space="preserve">CCS GF  aims at strengthening the competitiveness of the cultural and creative sector, by providing guarantees or counter guarantees to financial institutions lending to cultural and creative SMEs in Participating Countries (i.e. </w:t>
      </w:r>
      <w:r>
        <w:rPr>
          <w:noProof/>
          <w:szCs w:val="24"/>
        </w:rPr>
        <w:t>EU 28 + Norway and Iceland). A capacity building scheme (technical assistance) will be an integral component of the CCS GF.</w:t>
      </w:r>
    </w:p>
    <w:p w:rsidR="0073489B" w:rsidRDefault="00A46D11">
      <w:pPr>
        <w:shd w:val="clear" w:color="auto" w:fill="FFFFFF"/>
        <w:spacing w:after="60"/>
        <w:ind w:right="141"/>
        <w:jc w:val="both"/>
        <w:rPr>
          <w:b/>
          <w:noProof/>
          <w:szCs w:val="24"/>
        </w:rPr>
      </w:pPr>
      <w:r>
        <w:rPr>
          <w:noProof/>
          <w:szCs w:val="24"/>
        </w:rPr>
        <w:t>Hence the implementation of a Cultural and Creative Sector Guarantee Facility improves access to finance for companies and organisat</w:t>
      </w:r>
      <w:r>
        <w:rPr>
          <w:noProof/>
          <w:szCs w:val="24"/>
        </w:rPr>
        <w:t>ions in the cultural and creative sectors, leading to the strengthening of their financial capacity and competitiveness.</w:t>
      </w:r>
    </w:p>
    <w:p w:rsidR="0073489B" w:rsidRDefault="00A46D11">
      <w:pPr>
        <w:pStyle w:val="Heading5"/>
        <w:spacing w:before="120"/>
        <w:ind w:left="284" w:firstLine="0"/>
        <w:rPr>
          <w:noProof/>
        </w:rPr>
      </w:pPr>
      <w:bookmarkStart w:id="237" w:name="_Toc387228887"/>
      <w:r>
        <w:rPr>
          <w:noProof/>
        </w:rPr>
        <w:t>The financial institutions involved in implementation</w:t>
      </w:r>
      <w:bookmarkEnd w:id="237"/>
      <w:r>
        <w:rPr>
          <w:noProof/>
        </w:rPr>
        <w:t>;</w:t>
      </w:r>
    </w:p>
    <w:p w:rsidR="0073489B" w:rsidRDefault="00A46D11">
      <w:pPr>
        <w:shd w:val="clear" w:color="auto" w:fill="FFFFFF"/>
        <w:spacing w:after="60"/>
        <w:ind w:left="360" w:right="141"/>
        <w:rPr>
          <w:noProof/>
          <w:szCs w:val="24"/>
        </w:rPr>
      </w:pPr>
      <w:r>
        <w:rPr>
          <w:noProof/>
          <w:szCs w:val="24"/>
        </w:rPr>
        <w:t>European Investment Fund.</w:t>
      </w:r>
    </w:p>
    <w:p w:rsidR="0073489B" w:rsidRDefault="0073489B">
      <w:pPr>
        <w:shd w:val="clear" w:color="auto" w:fill="FFFFFF"/>
        <w:spacing w:after="60"/>
        <w:ind w:left="360" w:right="141"/>
        <w:rPr>
          <w:noProof/>
          <w:szCs w:val="24"/>
        </w:rPr>
      </w:pPr>
    </w:p>
    <w:p w:rsidR="0073489B" w:rsidRDefault="00A46D11">
      <w:pPr>
        <w:pStyle w:val="Heading4"/>
        <w:rPr>
          <w:noProof/>
        </w:rPr>
      </w:pPr>
      <w:bookmarkStart w:id="238" w:name="_Toc387228888"/>
      <w:bookmarkStart w:id="239" w:name="_Toc388541911"/>
      <w:r>
        <w:rPr>
          <w:noProof/>
        </w:rPr>
        <w:t>Implementation</w:t>
      </w:r>
      <w:bookmarkEnd w:id="238"/>
      <w:bookmarkEnd w:id="239"/>
      <w:r>
        <w:rPr>
          <w:rStyle w:val="FootnoteReference"/>
          <w:noProof/>
        </w:rPr>
        <w:footnoteReference w:id="138"/>
      </w:r>
    </w:p>
    <w:p w:rsidR="0073489B" w:rsidRDefault="00A46D11">
      <w:pPr>
        <w:pStyle w:val="Heading5"/>
        <w:spacing w:before="120"/>
        <w:ind w:left="284" w:firstLine="0"/>
        <w:rPr>
          <w:noProof/>
        </w:rPr>
      </w:pPr>
      <w:bookmarkStart w:id="240" w:name="_Toc387228889"/>
      <w:r>
        <w:rPr>
          <w:noProof/>
        </w:rPr>
        <w:t>The aggregate budgetary commitments a</w:t>
      </w:r>
      <w:r>
        <w:rPr>
          <w:noProof/>
        </w:rPr>
        <w:t>nd payments from the budget</w:t>
      </w:r>
      <w:bookmarkEnd w:id="240"/>
      <w:r>
        <w:rPr>
          <w:noProof/>
        </w:rPr>
        <w:t>;</w:t>
      </w:r>
    </w:p>
    <w:p w:rsidR="0073489B" w:rsidRDefault="00A46D11">
      <w:pPr>
        <w:ind w:left="426" w:right="141" w:hanging="426"/>
        <w:rPr>
          <w:noProof/>
          <w:szCs w:val="24"/>
        </w:rPr>
      </w:pPr>
      <w:r>
        <w:rPr>
          <w:i/>
          <w:noProof/>
          <w:szCs w:val="24"/>
        </w:rPr>
        <w:t>Commitments:</w:t>
      </w:r>
    </w:p>
    <w:p w:rsidR="0073489B" w:rsidRDefault="0073489B">
      <w:pPr>
        <w:ind w:left="426" w:right="141" w:hanging="426"/>
        <w:rPr>
          <w:i/>
          <w:noProof/>
          <w:szCs w:val="24"/>
        </w:rPr>
      </w:pPr>
    </w:p>
    <w:p w:rsidR="0073489B" w:rsidRDefault="00A46D11">
      <w:pPr>
        <w:ind w:left="426" w:right="141" w:hanging="426"/>
        <w:rPr>
          <w:noProof/>
          <w:szCs w:val="24"/>
        </w:rPr>
      </w:pPr>
      <w:r>
        <w:rPr>
          <w:noProof/>
          <w:szCs w:val="24"/>
        </w:rPr>
        <w:t>Aggregate budgetary commitments as at 31/12/2016</w:t>
      </w:r>
      <w:r>
        <w:rPr>
          <w:noProof/>
          <w:szCs w:val="24"/>
        </w:rPr>
        <w:tab/>
        <w:t xml:space="preserve">   </w:t>
      </w:r>
      <w:r>
        <w:rPr>
          <w:noProof/>
          <w:szCs w:val="24"/>
        </w:rPr>
        <w:tab/>
        <w:t xml:space="preserve">               EUR 14 800 000 </w:t>
      </w:r>
    </w:p>
    <w:p w:rsidR="0073489B" w:rsidRDefault="00A46D11">
      <w:pPr>
        <w:rPr>
          <w:noProof/>
          <w:szCs w:val="24"/>
        </w:rPr>
      </w:pPr>
      <w:r>
        <w:rPr>
          <w:noProof/>
          <w:szCs w:val="24"/>
        </w:rPr>
        <w:t>Aggregate budgetary payments as at 31/12/2016</w:t>
      </w:r>
      <w:r>
        <w:rPr>
          <w:noProof/>
          <w:szCs w:val="24"/>
        </w:rPr>
        <w:tab/>
      </w:r>
      <w:r>
        <w:rPr>
          <w:noProof/>
          <w:szCs w:val="24"/>
        </w:rPr>
        <w:tab/>
        <w:t xml:space="preserve">               EUR    5 980 000</w:t>
      </w:r>
    </w:p>
    <w:p w:rsidR="0073489B" w:rsidRDefault="0073489B">
      <w:pPr>
        <w:ind w:left="425" w:right="141"/>
        <w:rPr>
          <w:noProof/>
          <w:szCs w:val="24"/>
        </w:rPr>
      </w:pPr>
    </w:p>
    <w:p w:rsidR="0073489B" w:rsidRDefault="00A46D11">
      <w:pPr>
        <w:ind w:right="141"/>
        <w:rPr>
          <w:i/>
          <w:noProof/>
          <w:szCs w:val="24"/>
        </w:rPr>
      </w:pPr>
      <w:r>
        <w:rPr>
          <w:i/>
          <w:noProof/>
          <w:szCs w:val="24"/>
        </w:rPr>
        <w:t xml:space="preserve">Nota: planned commitments:    EUR   21 931 000 </w:t>
      </w:r>
      <w:r>
        <w:rPr>
          <w:i/>
          <w:noProof/>
          <w:szCs w:val="24"/>
        </w:rPr>
        <w:t>for year 2017</w:t>
      </w:r>
    </w:p>
    <w:p w:rsidR="0073489B" w:rsidRDefault="00A46D11">
      <w:pPr>
        <w:ind w:left="3005" w:right="141"/>
        <w:rPr>
          <w:i/>
          <w:noProof/>
          <w:szCs w:val="24"/>
        </w:rPr>
      </w:pPr>
      <w:r>
        <w:rPr>
          <w:i/>
          <w:noProof/>
          <w:szCs w:val="24"/>
        </w:rPr>
        <w:t>EUR 121 million   for 2016-20 (indicative).</w:t>
      </w:r>
      <w:r>
        <w:rPr>
          <w:rStyle w:val="FootnoteReference"/>
          <w:i/>
          <w:noProof/>
          <w:szCs w:val="24"/>
        </w:rPr>
        <w:footnoteReference w:id="139"/>
      </w:r>
    </w:p>
    <w:p w:rsidR="0073489B" w:rsidRDefault="00A46D11">
      <w:pPr>
        <w:ind w:left="426" w:right="141"/>
        <w:rPr>
          <w:i/>
          <w:noProof/>
          <w:szCs w:val="24"/>
        </w:rPr>
      </w:pPr>
      <w:r>
        <w:rPr>
          <w:i/>
          <w:noProof/>
          <w:szCs w:val="24"/>
        </w:rPr>
        <w:t xml:space="preserve">   Planned payments:        EUR 3 307 715  for year 2017</w:t>
      </w:r>
    </w:p>
    <w:p w:rsidR="0073489B" w:rsidRDefault="0073489B">
      <w:pPr>
        <w:ind w:left="567" w:right="141"/>
        <w:rPr>
          <w:noProof/>
          <w:szCs w:val="24"/>
        </w:rPr>
      </w:pPr>
    </w:p>
    <w:p w:rsidR="0073489B" w:rsidRDefault="00A46D11">
      <w:pPr>
        <w:pStyle w:val="Heading5"/>
        <w:spacing w:before="120"/>
        <w:ind w:left="284" w:firstLine="0"/>
        <w:jc w:val="both"/>
        <w:rPr>
          <w:i/>
          <w:noProof/>
        </w:rPr>
      </w:pPr>
      <w:bookmarkStart w:id="241" w:name="_Toc387228890"/>
      <w:r>
        <w:rPr>
          <w:noProof/>
        </w:rPr>
        <w:t>The performance of the financial instrument, including investments realised</w:t>
      </w:r>
      <w:bookmarkEnd w:id="241"/>
      <w:r>
        <w:rPr>
          <w:noProof/>
        </w:rPr>
        <w:t>;</w:t>
      </w:r>
    </w:p>
    <w:p w:rsidR="0073489B" w:rsidRDefault="00A46D11">
      <w:pPr>
        <w:spacing w:after="60"/>
        <w:ind w:left="360" w:right="141" w:hanging="76"/>
        <w:rPr>
          <w:noProof/>
          <w:szCs w:val="24"/>
        </w:rPr>
      </w:pPr>
      <w:r>
        <w:rPr>
          <w:noProof/>
          <w:szCs w:val="24"/>
        </w:rPr>
        <w:t>NA :yet  the first guarantee agreements with Financial Interme</w:t>
      </w:r>
      <w:r>
        <w:rPr>
          <w:noProof/>
          <w:szCs w:val="24"/>
        </w:rPr>
        <w:t>diaries were signed in Q1 2017</w:t>
      </w:r>
    </w:p>
    <w:p w:rsidR="0073489B" w:rsidRDefault="00A46D11">
      <w:pPr>
        <w:pStyle w:val="Heading5"/>
        <w:spacing w:before="120"/>
        <w:ind w:left="284" w:firstLine="0"/>
        <w:jc w:val="both"/>
        <w:rPr>
          <w:noProof/>
        </w:rPr>
      </w:pPr>
      <w:bookmarkStart w:id="242" w:name="_Toc387228891"/>
      <w:r>
        <w:rPr>
          <w:noProof/>
        </w:rPr>
        <w:t>An evaluation of the use of any amounts returned to the instrument as internal assigned revenue under paragraph 6</w:t>
      </w:r>
      <w:bookmarkEnd w:id="242"/>
      <w:r>
        <w:rPr>
          <w:noProof/>
        </w:rPr>
        <w:t>;</w:t>
      </w:r>
    </w:p>
    <w:p w:rsidR="0073489B" w:rsidRDefault="00A46D11">
      <w:pPr>
        <w:spacing w:after="60"/>
        <w:ind w:left="360" w:right="141" w:hanging="76"/>
        <w:rPr>
          <w:noProof/>
          <w:szCs w:val="24"/>
        </w:rPr>
      </w:pPr>
      <w:r>
        <w:rPr>
          <w:noProof/>
          <w:szCs w:val="24"/>
        </w:rPr>
        <w:t>NA.</w:t>
      </w:r>
    </w:p>
    <w:p w:rsidR="0073489B" w:rsidRDefault="00A46D11">
      <w:pPr>
        <w:pStyle w:val="Heading5"/>
        <w:spacing w:before="120"/>
        <w:ind w:left="284" w:firstLine="0"/>
        <w:rPr>
          <w:noProof/>
        </w:rPr>
      </w:pPr>
      <w:bookmarkStart w:id="243" w:name="_Toc387228892"/>
      <w:r>
        <w:rPr>
          <w:noProof/>
        </w:rPr>
        <w:t>The balance of the fiduciary account</w:t>
      </w:r>
      <w:bookmarkEnd w:id="243"/>
      <w:r>
        <w:rPr>
          <w:noProof/>
        </w:rPr>
        <w:t>;</w:t>
      </w:r>
    </w:p>
    <w:p w:rsidR="0073489B" w:rsidRDefault="00A46D11">
      <w:pPr>
        <w:spacing w:after="60"/>
        <w:ind w:left="360" w:right="141" w:hanging="76"/>
        <w:rPr>
          <w:noProof/>
        </w:rPr>
      </w:pPr>
      <w:r>
        <w:rPr>
          <w:noProof/>
          <w:szCs w:val="24"/>
        </w:rPr>
        <w:t xml:space="preserve"> </w:t>
      </w:r>
      <w:r>
        <w:rPr>
          <w:noProof/>
        </w:rPr>
        <w:t>Aggregate balance of the fiduciary account as at 31/12/2016</w:t>
      </w:r>
      <w:r>
        <w:rPr>
          <w:noProof/>
        </w:rPr>
        <w:tab/>
        <w:t xml:space="preserve">EUR </w:t>
      </w:r>
      <w:r>
        <w:rPr>
          <w:noProof/>
          <w:szCs w:val="24"/>
        </w:rPr>
        <w:t xml:space="preserve"> 5 </w:t>
      </w:r>
      <w:r>
        <w:rPr>
          <w:noProof/>
          <w:szCs w:val="24"/>
        </w:rPr>
        <w:t xml:space="preserve">676 072  </w:t>
      </w:r>
    </w:p>
    <w:p w:rsidR="0073489B" w:rsidRDefault="0073489B">
      <w:pPr>
        <w:keepNext/>
        <w:spacing w:after="160"/>
        <w:ind w:left="360" w:right="142"/>
        <w:rPr>
          <w:noProof/>
        </w:rPr>
      </w:pPr>
    </w:p>
    <w:p w:rsidR="0073489B" w:rsidRDefault="00A46D11">
      <w:pPr>
        <w:pStyle w:val="Heading5"/>
        <w:spacing w:before="120"/>
        <w:ind w:left="284" w:firstLine="0"/>
        <w:rPr>
          <w:noProof/>
        </w:rPr>
      </w:pPr>
      <w:bookmarkStart w:id="244" w:name="_Toc387228894"/>
      <w:r>
        <w:rPr>
          <w:noProof/>
        </w:rPr>
        <w:t>Revenues and repayments</w:t>
      </w:r>
    </w:p>
    <w:p w:rsidR="0073489B" w:rsidRDefault="00A46D11">
      <w:pPr>
        <w:ind w:left="284"/>
        <w:rPr>
          <w:noProof/>
        </w:rPr>
      </w:pPr>
      <w:r>
        <w:rPr>
          <w:noProof/>
        </w:rPr>
        <w:t>EUR 0</w:t>
      </w:r>
    </w:p>
    <w:p w:rsidR="0073489B" w:rsidRDefault="00A46D11">
      <w:pPr>
        <w:pStyle w:val="Heading5"/>
        <w:spacing w:before="120"/>
        <w:ind w:left="284" w:firstLine="0"/>
        <w:rPr>
          <w:noProof/>
        </w:rPr>
      </w:pPr>
      <w:r>
        <w:rPr>
          <w:noProof/>
        </w:rPr>
        <w:t>The value of equity investments, with respect to previous years</w:t>
      </w:r>
      <w:bookmarkEnd w:id="244"/>
      <w:r>
        <w:rPr>
          <w:noProof/>
        </w:rPr>
        <w:t>;</w:t>
      </w:r>
    </w:p>
    <w:p w:rsidR="0073489B" w:rsidRDefault="00A46D11">
      <w:pPr>
        <w:spacing w:after="60"/>
        <w:ind w:left="360" w:right="141" w:hanging="76"/>
        <w:rPr>
          <w:noProof/>
          <w:szCs w:val="24"/>
        </w:rPr>
      </w:pPr>
      <w:r>
        <w:rPr>
          <w:noProof/>
          <w:szCs w:val="24"/>
        </w:rPr>
        <w:t>NA (guarantee fund).</w:t>
      </w:r>
    </w:p>
    <w:p w:rsidR="0073489B" w:rsidRDefault="00A46D11">
      <w:pPr>
        <w:pStyle w:val="Heading5"/>
        <w:spacing w:before="120"/>
        <w:ind w:left="284" w:firstLine="0"/>
        <w:jc w:val="both"/>
        <w:rPr>
          <w:b w:val="0"/>
          <w:noProof/>
        </w:rPr>
      </w:pPr>
      <w:bookmarkStart w:id="245" w:name="_Toc387228895"/>
      <w:r>
        <w:rPr>
          <w:noProof/>
        </w:rPr>
        <w:lastRenderedPageBreak/>
        <w:t xml:space="preserve">The accumulated figures on impairments of assets of equity or risk-sharing instruments, and on called guarantees for guarantee </w:t>
      </w:r>
      <w:r>
        <w:rPr>
          <w:noProof/>
        </w:rPr>
        <w:t>instruments</w:t>
      </w:r>
      <w:bookmarkEnd w:id="245"/>
      <w:r>
        <w:rPr>
          <w:noProof/>
        </w:rPr>
        <w:t>;</w:t>
      </w:r>
    </w:p>
    <w:p w:rsidR="0073489B" w:rsidRDefault="00A46D11">
      <w:pPr>
        <w:spacing w:after="60"/>
        <w:ind w:left="284" w:right="141"/>
        <w:rPr>
          <w:noProof/>
          <w:szCs w:val="24"/>
        </w:rPr>
      </w:pPr>
      <w:r>
        <w:rPr>
          <w:noProof/>
          <w:szCs w:val="24"/>
        </w:rPr>
        <w:t>0</w:t>
      </w:r>
    </w:p>
    <w:p w:rsidR="0073489B" w:rsidRDefault="00A46D11">
      <w:pPr>
        <w:pStyle w:val="Heading5"/>
        <w:spacing w:before="120"/>
        <w:ind w:left="284" w:firstLine="0"/>
        <w:rPr>
          <w:noProof/>
        </w:rPr>
      </w:pPr>
      <w:bookmarkStart w:id="246" w:name="_Toc387228896"/>
      <w:r>
        <w:rPr>
          <w:noProof/>
        </w:rPr>
        <w:t>The target leverage effect, and the achieved leverage effect</w:t>
      </w:r>
      <w:bookmarkEnd w:id="246"/>
      <w:r>
        <w:rPr>
          <w:noProof/>
        </w:rPr>
        <w:t>;</w:t>
      </w:r>
    </w:p>
    <w:p w:rsidR="0073489B" w:rsidRDefault="00A46D11">
      <w:pPr>
        <w:spacing w:after="60"/>
        <w:ind w:left="720" w:right="141"/>
        <w:jc w:val="both"/>
        <w:rPr>
          <w:noProof/>
        </w:rPr>
      </w:pPr>
      <w:r>
        <w:rPr>
          <w:noProof/>
          <w:szCs w:val="24"/>
        </w:rPr>
        <w:t xml:space="preserve">The targeted leverage is 5,7. </w:t>
      </w:r>
      <w:r>
        <w:rPr>
          <w:noProof/>
        </w:rPr>
        <w:t xml:space="preserve">With a total budgetary appropriation of EUR 121 million in the 2016-2020 period the financial instrument may leverage around EUR 689 million of </w:t>
      </w:r>
      <w:r>
        <w:rPr>
          <w:noProof/>
        </w:rPr>
        <w:t>additional funding for  SMEs and organisations from cultural and creative sectors.</w:t>
      </w:r>
    </w:p>
    <w:p w:rsidR="0073489B" w:rsidRDefault="00A46D11">
      <w:pPr>
        <w:spacing w:after="60"/>
        <w:ind w:right="141"/>
        <w:jc w:val="both"/>
        <w:rPr>
          <w:noProof/>
        </w:rPr>
      </w:pPr>
      <w:r>
        <w:rPr>
          <w:noProof/>
          <w:highlight w:val="yellow"/>
        </w:rPr>
        <w:t xml:space="preserve"> </w:t>
      </w:r>
    </w:p>
    <w:p w:rsidR="0073489B" w:rsidRDefault="00A46D11">
      <w:pPr>
        <w:pStyle w:val="Heading4"/>
        <w:spacing w:after="60"/>
        <w:rPr>
          <w:noProof/>
        </w:rPr>
      </w:pPr>
      <w:bookmarkStart w:id="247" w:name="_Toc387228897"/>
      <w:bookmarkStart w:id="248" w:name="_Toc388541912"/>
      <w:r>
        <w:rPr>
          <w:noProof/>
        </w:rPr>
        <w:t>Strategic importance/relevance</w:t>
      </w:r>
      <w:bookmarkEnd w:id="247"/>
      <w:bookmarkEnd w:id="248"/>
    </w:p>
    <w:p w:rsidR="0073489B" w:rsidRDefault="00A46D11">
      <w:pPr>
        <w:pStyle w:val="Heading5"/>
        <w:spacing w:before="120" w:after="60"/>
        <w:ind w:left="284" w:right="283" w:firstLine="0"/>
        <w:jc w:val="both"/>
        <w:rPr>
          <w:i/>
          <w:noProof/>
        </w:rPr>
      </w:pPr>
      <w:bookmarkStart w:id="249" w:name="_Toc387228898"/>
      <w:r>
        <w:rPr>
          <w:noProof/>
        </w:rPr>
        <w:t xml:space="preserve">The contribution of the financial instrument to the achievement of the objectives of the programme concerned as measured by the established </w:t>
      </w:r>
      <w:r>
        <w:rPr>
          <w:noProof/>
        </w:rPr>
        <w:t>indicators, including, where applicable, the geographical diversification</w:t>
      </w:r>
      <w:bookmarkEnd w:id="249"/>
      <w:r>
        <w:rPr>
          <w:noProof/>
        </w:rPr>
        <w:t>;</w:t>
      </w:r>
    </w:p>
    <w:p w:rsidR="0073489B" w:rsidRDefault="00A46D11">
      <w:pPr>
        <w:spacing w:after="60"/>
        <w:ind w:right="425"/>
        <w:jc w:val="both"/>
        <w:rPr>
          <w:noProof/>
          <w:szCs w:val="24"/>
        </w:rPr>
      </w:pPr>
      <w:r>
        <w:rPr>
          <w:noProof/>
          <w:szCs w:val="24"/>
        </w:rPr>
        <w:t>The use of a financial instrument may have a strong structuring effect on the CCS, thanks to the leverage effect on EU funds and to the expected progressive transition from grants t</w:t>
      </w:r>
      <w:r>
        <w:rPr>
          <w:noProof/>
          <w:szCs w:val="24"/>
        </w:rPr>
        <w:t>o loan support for some types of supports and beneficiaries, such as: micro-loans for all types of individual cultural project development; funding for independent game developers; funding for publishers of books or sound recordings; loans to exhibitors fo</w:t>
      </w:r>
      <w:r>
        <w:rPr>
          <w:noProof/>
          <w:szCs w:val="24"/>
        </w:rPr>
        <w:t xml:space="preserve">r the digitisation of cinema theatres; working capital loans to distributors to cover distribution costs (print, marketing, advertising, dubbing and subtitling) etc. </w:t>
      </w:r>
    </w:p>
    <w:p w:rsidR="0073489B" w:rsidRDefault="00A46D11">
      <w:pPr>
        <w:spacing w:after="60"/>
        <w:ind w:right="425"/>
        <w:jc w:val="both"/>
        <w:rPr>
          <w:noProof/>
          <w:szCs w:val="24"/>
        </w:rPr>
      </w:pPr>
      <w:r>
        <w:rPr>
          <w:noProof/>
          <w:szCs w:val="24"/>
        </w:rPr>
        <w:t>Additionally, companies will be able to build closer relationships with the financial sector, both thanks to the capacity-building arm of the scheme addressed to the financial intermediaries and the training programmes for operators of the sector that will</w:t>
      </w:r>
      <w:r>
        <w:rPr>
          <w:noProof/>
          <w:szCs w:val="24"/>
        </w:rPr>
        <w:t xml:space="preserve"> be provided under the Creative Europe Programme. </w:t>
      </w:r>
    </w:p>
    <w:p w:rsidR="0073489B" w:rsidRDefault="00A46D11">
      <w:pPr>
        <w:spacing w:after="60"/>
        <w:ind w:right="425"/>
        <w:jc w:val="both"/>
        <w:rPr>
          <w:noProof/>
          <w:szCs w:val="24"/>
        </w:rPr>
      </w:pPr>
      <w:r>
        <w:rPr>
          <w:noProof/>
          <w:szCs w:val="24"/>
        </w:rPr>
        <w:t>The contribution of the CCS GF to the achievement of the objectives of the Creative Europe programme will be measured by the indicators established in the legal basis:</w:t>
      </w:r>
    </w:p>
    <w:p w:rsidR="0073489B" w:rsidRDefault="00A46D11">
      <w:pPr>
        <w:numPr>
          <w:ilvl w:val="0"/>
          <w:numId w:val="168"/>
        </w:numPr>
        <w:ind w:left="567" w:right="425" w:hanging="283"/>
        <w:jc w:val="both"/>
        <w:rPr>
          <w:noProof/>
          <w:szCs w:val="24"/>
        </w:rPr>
      </w:pPr>
      <w:r>
        <w:rPr>
          <w:noProof/>
          <w:szCs w:val="24"/>
        </w:rPr>
        <w:t>the volume of loans guaranteed in the</w:t>
      </w:r>
      <w:r>
        <w:rPr>
          <w:noProof/>
          <w:szCs w:val="24"/>
        </w:rPr>
        <w:t xml:space="preserve"> framework of the Guarantee Facility, categorised by national origin, size and sectors of SMEs and micro, small and medium-sized organisations;</w:t>
      </w:r>
    </w:p>
    <w:p w:rsidR="0073489B" w:rsidRDefault="00A46D11">
      <w:pPr>
        <w:numPr>
          <w:ilvl w:val="0"/>
          <w:numId w:val="168"/>
        </w:numPr>
        <w:ind w:left="567" w:right="425" w:hanging="283"/>
        <w:jc w:val="both"/>
        <w:rPr>
          <w:noProof/>
          <w:szCs w:val="24"/>
        </w:rPr>
      </w:pPr>
      <w:r>
        <w:rPr>
          <w:noProof/>
          <w:szCs w:val="24"/>
        </w:rPr>
        <w:t>the volume of loans granted by participating financial intermediaries, categorised by national origin;</w:t>
      </w:r>
    </w:p>
    <w:p w:rsidR="0073489B" w:rsidRDefault="00A46D11">
      <w:pPr>
        <w:numPr>
          <w:ilvl w:val="0"/>
          <w:numId w:val="168"/>
        </w:numPr>
        <w:ind w:left="567" w:right="425" w:hanging="283"/>
        <w:jc w:val="both"/>
        <w:rPr>
          <w:noProof/>
          <w:szCs w:val="24"/>
        </w:rPr>
      </w:pPr>
      <w:r>
        <w:rPr>
          <w:noProof/>
          <w:szCs w:val="24"/>
        </w:rPr>
        <w:t>the numbe</w:t>
      </w:r>
      <w:r>
        <w:rPr>
          <w:noProof/>
          <w:szCs w:val="24"/>
        </w:rPr>
        <w:t>r and geographical spread of participating financial intermediaries;</w:t>
      </w:r>
    </w:p>
    <w:p w:rsidR="0073489B" w:rsidRDefault="00A46D11">
      <w:pPr>
        <w:numPr>
          <w:ilvl w:val="0"/>
          <w:numId w:val="168"/>
        </w:numPr>
        <w:ind w:left="567" w:right="425" w:hanging="283"/>
        <w:jc w:val="both"/>
        <w:rPr>
          <w:noProof/>
          <w:szCs w:val="24"/>
        </w:rPr>
      </w:pPr>
      <w:r>
        <w:rPr>
          <w:noProof/>
          <w:szCs w:val="24"/>
        </w:rPr>
        <w:t>the number of SMEs and micro, small and medium- sized organisations benefiting from the Guarantee Facility, categorised by national origin, size and sectors;</w:t>
      </w:r>
    </w:p>
    <w:p w:rsidR="0073489B" w:rsidRDefault="00A46D11">
      <w:pPr>
        <w:numPr>
          <w:ilvl w:val="0"/>
          <w:numId w:val="168"/>
        </w:numPr>
        <w:ind w:left="567" w:right="425" w:hanging="283"/>
        <w:jc w:val="both"/>
        <w:rPr>
          <w:noProof/>
          <w:szCs w:val="24"/>
        </w:rPr>
      </w:pPr>
      <w:r>
        <w:rPr>
          <w:noProof/>
          <w:szCs w:val="24"/>
        </w:rPr>
        <w:t>the average default rate of l</w:t>
      </w:r>
      <w:r>
        <w:rPr>
          <w:noProof/>
          <w:szCs w:val="24"/>
        </w:rPr>
        <w:t>oans;</w:t>
      </w:r>
    </w:p>
    <w:p w:rsidR="0073489B" w:rsidRDefault="00A46D11">
      <w:pPr>
        <w:numPr>
          <w:ilvl w:val="0"/>
          <w:numId w:val="168"/>
        </w:numPr>
        <w:ind w:left="567" w:right="425" w:hanging="283"/>
        <w:jc w:val="both"/>
        <w:rPr>
          <w:noProof/>
        </w:rPr>
      </w:pPr>
      <w:r>
        <w:rPr>
          <w:noProof/>
          <w:szCs w:val="24"/>
        </w:rPr>
        <w:t xml:space="preserve">the achieved leverage effect of guaranteed loans in relation to the indicative leverage effect (1 to 5,7). </w:t>
      </w:r>
    </w:p>
    <w:p w:rsidR="0073489B" w:rsidRDefault="00A46D11">
      <w:pPr>
        <w:pStyle w:val="Heading4"/>
        <w:rPr>
          <w:noProof/>
        </w:rPr>
      </w:pPr>
      <w:bookmarkStart w:id="250" w:name="_Toc387228899"/>
      <w:bookmarkStart w:id="251" w:name="_Toc388541913"/>
      <w:r>
        <w:rPr>
          <w:noProof/>
        </w:rPr>
        <w:t>Other key points and issues</w:t>
      </w:r>
      <w:bookmarkEnd w:id="250"/>
      <w:bookmarkEnd w:id="251"/>
    </w:p>
    <w:p w:rsidR="0073489B" w:rsidRDefault="00A46D11">
      <w:pPr>
        <w:numPr>
          <w:ilvl w:val="0"/>
          <w:numId w:val="136"/>
        </w:numPr>
        <w:spacing w:before="60"/>
        <w:ind w:left="142" w:right="425" w:hanging="142"/>
        <w:rPr>
          <w:b/>
          <w:i/>
          <w:noProof/>
          <w:szCs w:val="24"/>
        </w:rPr>
      </w:pPr>
      <w:r>
        <w:rPr>
          <w:b/>
          <w:i/>
          <w:noProof/>
          <w:szCs w:val="24"/>
        </w:rPr>
        <w:t>Main issues for the implementation:</w:t>
      </w:r>
    </w:p>
    <w:p w:rsidR="0073489B" w:rsidRDefault="00A46D11">
      <w:pPr>
        <w:numPr>
          <w:ilvl w:val="1"/>
          <w:numId w:val="137"/>
        </w:numPr>
        <w:ind w:left="709" w:right="425" w:hanging="283"/>
        <w:jc w:val="both"/>
        <w:rPr>
          <w:noProof/>
          <w:szCs w:val="24"/>
        </w:rPr>
      </w:pPr>
      <w:r>
        <w:rPr>
          <w:noProof/>
          <w:szCs w:val="24"/>
        </w:rPr>
        <w:t>To reach a sufficient critical mass of Financial Intermediaries to ensure a su</w:t>
      </w:r>
      <w:r>
        <w:rPr>
          <w:noProof/>
          <w:szCs w:val="24"/>
        </w:rPr>
        <w:t>ccessful start to the programme.</w:t>
      </w:r>
    </w:p>
    <w:p w:rsidR="0073489B" w:rsidRDefault="00A46D11">
      <w:pPr>
        <w:numPr>
          <w:ilvl w:val="1"/>
          <w:numId w:val="137"/>
        </w:numPr>
        <w:ind w:left="709" w:right="425" w:hanging="283"/>
        <w:jc w:val="both"/>
        <w:rPr>
          <w:noProof/>
          <w:szCs w:val="24"/>
        </w:rPr>
      </w:pPr>
      <w:r>
        <w:rPr>
          <w:noProof/>
          <w:szCs w:val="24"/>
        </w:rPr>
        <w:t>To manage expectations, given the backloaded budgetary profiole of the CCS GF.</w:t>
      </w:r>
    </w:p>
    <w:p w:rsidR="0073489B" w:rsidRDefault="00A46D11">
      <w:pPr>
        <w:numPr>
          <w:ilvl w:val="1"/>
          <w:numId w:val="136"/>
        </w:numPr>
        <w:spacing w:before="60"/>
        <w:ind w:left="142" w:right="425" w:hanging="142"/>
        <w:rPr>
          <w:b/>
          <w:i/>
          <w:noProof/>
          <w:szCs w:val="24"/>
        </w:rPr>
      </w:pPr>
      <w:r>
        <w:rPr>
          <w:b/>
          <w:i/>
          <w:noProof/>
          <w:szCs w:val="24"/>
        </w:rPr>
        <w:t xml:space="preserve">Main risks: </w:t>
      </w:r>
    </w:p>
    <w:p w:rsidR="0073489B" w:rsidRDefault="00A46D11">
      <w:pPr>
        <w:numPr>
          <w:ilvl w:val="1"/>
          <w:numId w:val="137"/>
        </w:numPr>
        <w:ind w:left="426" w:right="425" w:firstLine="0"/>
        <w:rPr>
          <w:noProof/>
          <w:szCs w:val="24"/>
        </w:rPr>
      </w:pPr>
      <w:r>
        <w:rPr>
          <w:noProof/>
          <w:szCs w:val="24"/>
        </w:rPr>
        <w:t>no specific risk identified.</w:t>
      </w:r>
    </w:p>
    <w:p w:rsidR="0073489B" w:rsidRDefault="00A46D11">
      <w:pPr>
        <w:keepNext/>
        <w:numPr>
          <w:ilvl w:val="0"/>
          <w:numId w:val="138"/>
        </w:numPr>
        <w:ind w:left="142" w:right="425" w:hanging="142"/>
        <w:rPr>
          <w:b/>
          <w:i/>
          <w:noProof/>
          <w:szCs w:val="24"/>
        </w:rPr>
      </w:pPr>
      <w:r>
        <w:rPr>
          <w:b/>
          <w:i/>
          <w:noProof/>
          <w:szCs w:val="24"/>
        </w:rPr>
        <w:lastRenderedPageBreak/>
        <w:t>General outlook:</w:t>
      </w:r>
    </w:p>
    <w:p w:rsidR="0073489B" w:rsidRDefault="00A46D11">
      <w:pPr>
        <w:numPr>
          <w:ilvl w:val="1"/>
          <w:numId w:val="137"/>
        </w:numPr>
        <w:ind w:left="709" w:right="425" w:hanging="283"/>
        <w:jc w:val="both"/>
        <w:rPr>
          <w:noProof/>
          <w:szCs w:val="24"/>
        </w:rPr>
      </w:pPr>
      <w:r>
        <w:rPr>
          <w:noProof/>
          <w:szCs w:val="24"/>
        </w:rPr>
        <w:t xml:space="preserve">based on market testing carried out by the EIF and direct contacts and an info session with potential Financial Intermediaries, there is a positive forecast demand for the guarantees. </w:t>
      </w:r>
    </w:p>
    <w:p w:rsidR="0073489B" w:rsidRDefault="00A46D11">
      <w:pPr>
        <w:numPr>
          <w:ilvl w:val="0"/>
          <w:numId w:val="139"/>
        </w:numPr>
        <w:ind w:left="709" w:right="425" w:hanging="283"/>
        <w:jc w:val="both"/>
        <w:rPr>
          <w:noProof/>
          <w:szCs w:val="24"/>
        </w:rPr>
      </w:pPr>
      <w:r>
        <w:rPr>
          <w:noProof/>
          <w:szCs w:val="24"/>
        </w:rPr>
        <w:t>The calls for expression of interest were published in Q3 2016, immedia</w:t>
      </w:r>
      <w:r>
        <w:rPr>
          <w:noProof/>
          <w:szCs w:val="24"/>
        </w:rPr>
        <w:t>tely after the signature of the Delegation Agreement between the European Commission and the EIF. The first guarantee agreements with the financial intermediaries from Spain, France and Romania were signed in A1 2017. There is a number of applications unde</w:t>
      </w:r>
      <w:r>
        <w:rPr>
          <w:noProof/>
          <w:szCs w:val="24"/>
        </w:rPr>
        <w:t>rgoing currently the due diligence procedure.</w:t>
      </w:r>
    </w:p>
    <w:p w:rsidR="0073489B" w:rsidRDefault="00A46D11">
      <w:pPr>
        <w:numPr>
          <w:ilvl w:val="0"/>
          <w:numId w:val="139"/>
        </w:numPr>
        <w:ind w:left="709" w:right="425" w:hanging="283"/>
        <w:jc w:val="both"/>
        <w:rPr>
          <w:noProof/>
          <w:szCs w:val="24"/>
        </w:rPr>
      </w:pPr>
      <w:r>
        <w:rPr>
          <w:noProof/>
          <w:szCs w:val="24"/>
        </w:rPr>
        <w:t xml:space="preserve">The call for the selections of the capacity building provider is expected to be published in the S1 2017. </w:t>
      </w:r>
    </w:p>
    <w:p w:rsidR="0073489B" w:rsidRDefault="0073489B">
      <w:pPr>
        <w:ind w:right="425"/>
        <w:jc w:val="both"/>
        <w:rPr>
          <w:noProof/>
          <w:szCs w:val="24"/>
        </w:rPr>
      </w:pPr>
    </w:p>
    <w:p w:rsidR="0073489B" w:rsidRDefault="00A46D11">
      <w:pPr>
        <w:pStyle w:val="Heading3"/>
        <w:spacing w:before="480" w:after="120"/>
      </w:pPr>
      <w:bookmarkStart w:id="252" w:name="_Student_Loan_Guarantee"/>
      <w:bookmarkStart w:id="253" w:name="_Toc387228901"/>
      <w:bookmarkStart w:id="254" w:name="_Toc388541915"/>
      <w:bookmarkStart w:id="255" w:name="_Toc393281941"/>
      <w:bookmarkStart w:id="256" w:name="_Toc486436758"/>
      <w:bookmarkEnd w:id="252"/>
      <w:r>
        <w:t>Student Loan Guarantee Facility</w:t>
      </w:r>
      <w:bookmarkEnd w:id="253"/>
      <w:bookmarkEnd w:id="254"/>
      <w:bookmarkEnd w:id="255"/>
      <w:r>
        <w:t xml:space="preserve"> - ERASMUS+</w:t>
      </w:r>
      <w:bookmarkEnd w:id="256"/>
    </w:p>
    <w:tbl>
      <w:tblPr>
        <w:tblW w:w="0" w:type="auto"/>
        <w:jc w:val="center"/>
        <w:tblInd w:w="-96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21"/>
        <w:gridCol w:w="3877"/>
      </w:tblGrid>
      <w:tr w:rsidR="0073489B">
        <w:trPr>
          <w:trHeight w:val="416"/>
          <w:jc w:val="center"/>
        </w:trPr>
        <w:tc>
          <w:tcPr>
            <w:tcW w:w="5421" w:type="dxa"/>
            <w:tcBorders>
              <w:bottom w:val="single" w:sz="4" w:space="0" w:color="auto"/>
            </w:tcBorders>
            <w:shd w:val="clear" w:color="auto" w:fill="auto"/>
            <w:vAlign w:val="center"/>
          </w:tcPr>
          <w:p w:rsidR="0073489B" w:rsidRDefault="00A46D11">
            <w:pPr>
              <w:spacing w:before="60" w:after="60"/>
              <w:rPr>
                <w:noProof/>
                <w:szCs w:val="24"/>
              </w:rPr>
            </w:pPr>
            <w:bookmarkStart w:id="257" w:name="_Toc387228902"/>
            <w:bookmarkStart w:id="258" w:name="_Toc388541916"/>
            <w:r>
              <w:rPr>
                <w:b/>
                <w:noProof/>
                <w:szCs w:val="24"/>
              </w:rPr>
              <w:t>Policy DG in charge:</w:t>
            </w:r>
          </w:p>
        </w:tc>
        <w:tc>
          <w:tcPr>
            <w:tcW w:w="3877" w:type="dxa"/>
            <w:tcBorders>
              <w:bottom w:val="single" w:sz="4" w:space="0" w:color="auto"/>
            </w:tcBorders>
            <w:shd w:val="clear" w:color="auto" w:fill="auto"/>
            <w:vAlign w:val="center"/>
          </w:tcPr>
          <w:p w:rsidR="0073489B" w:rsidRDefault="00A46D11">
            <w:pPr>
              <w:spacing w:before="60" w:after="60"/>
              <w:jc w:val="center"/>
              <w:rPr>
                <w:noProof/>
              </w:rPr>
            </w:pPr>
            <w:r>
              <w:rPr>
                <w:noProof/>
              </w:rPr>
              <w:t>DG EAC</w:t>
            </w:r>
          </w:p>
        </w:tc>
      </w:tr>
      <w:tr w:rsidR="0073489B">
        <w:trPr>
          <w:trHeight w:val="422"/>
          <w:jc w:val="center"/>
        </w:trPr>
        <w:tc>
          <w:tcPr>
            <w:tcW w:w="5421"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Implementing DG in charge:</w:t>
            </w:r>
          </w:p>
        </w:tc>
        <w:tc>
          <w:tcPr>
            <w:tcW w:w="3877" w:type="dxa"/>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 xml:space="preserve">DG </w:t>
            </w:r>
            <w:r>
              <w:rPr>
                <w:noProof/>
              </w:rPr>
              <w:t>EAC</w:t>
            </w:r>
          </w:p>
        </w:tc>
      </w:tr>
      <w:tr w:rsidR="0073489B">
        <w:trPr>
          <w:trHeight w:val="272"/>
          <w:jc w:val="center"/>
        </w:trPr>
        <w:tc>
          <w:tcPr>
            <w:tcW w:w="5421"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Operating Body in charge:</w:t>
            </w:r>
          </w:p>
        </w:tc>
        <w:tc>
          <w:tcPr>
            <w:tcW w:w="3877" w:type="dxa"/>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EIF</w:t>
            </w:r>
          </w:p>
        </w:tc>
      </w:tr>
      <w:tr w:rsidR="0073489B">
        <w:trPr>
          <w:trHeight w:val="292"/>
          <w:jc w:val="center"/>
        </w:trPr>
        <w:tc>
          <w:tcPr>
            <w:tcW w:w="5421" w:type="dxa"/>
            <w:tcBorders>
              <w:top w:val="single" w:sz="4" w:space="0" w:color="auto"/>
              <w:bottom w:val="single" w:sz="4" w:space="0" w:color="auto"/>
            </w:tcBorders>
            <w:shd w:val="clear" w:color="auto" w:fill="auto"/>
            <w:vAlign w:val="center"/>
          </w:tcPr>
          <w:p w:rsidR="0073489B" w:rsidRDefault="00A46D11">
            <w:pPr>
              <w:spacing w:before="60" w:after="60"/>
              <w:rPr>
                <w:noProof/>
                <w:szCs w:val="24"/>
              </w:rPr>
            </w:pPr>
            <w:r>
              <w:rPr>
                <w:b/>
                <w:noProof/>
                <w:szCs w:val="24"/>
              </w:rPr>
              <w:t>Initial Overall Budget Envelope:</w:t>
            </w:r>
          </w:p>
        </w:tc>
        <w:tc>
          <w:tcPr>
            <w:tcW w:w="3877" w:type="dxa"/>
            <w:tcBorders>
              <w:top w:val="single" w:sz="4" w:space="0" w:color="auto"/>
              <w:bottom w:val="single" w:sz="4" w:space="0" w:color="auto"/>
            </w:tcBorders>
            <w:shd w:val="clear" w:color="auto" w:fill="auto"/>
            <w:vAlign w:val="center"/>
          </w:tcPr>
          <w:p w:rsidR="0073489B" w:rsidRDefault="00A46D11">
            <w:pPr>
              <w:spacing w:before="60" w:after="60"/>
              <w:jc w:val="center"/>
              <w:rPr>
                <w:noProof/>
              </w:rPr>
            </w:pPr>
            <w:r>
              <w:rPr>
                <w:noProof/>
              </w:rPr>
              <w:t>EUR 517 million</w:t>
            </w:r>
          </w:p>
        </w:tc>
      </w:tr>
      <w:tr w:rsidR="0073489B">
        <w:trPr>
          <w:trHeight w:val="428"/>
          <w:jc w:val="center"/>
        </w:trPr>
        <w:tc>
          <w:tcPr>
            <w:tcW w:w="5421" w:type="dxa"/>
            <w:tcBorders>
              <w:top w:val="single" w:sz="4" w:space="0" w:color="auto"/>
            </w:tcBorders>
            <w:shd w:val="clear" w:color="auto" w:fill="auto"/>
            <w:vAlign w:val="center"/>
          </w:tcPr>
          <w:p w:rsidR="0073489B" w:rsidRDefault="00A46D11">
            <w:pPr>
              <w:spacing w:before="60" w:after="60"/>
              <w:rPr>
                <w:b/>
                <w:noProof/>
                <w:szCs w:val="24"/>
              </w:rPr>
            </w:pPr>
            <w:r>
              <w:rPr>
                <w:b/>
                <w:noProof/>
                <w:szCs w:val="24"/>
              </w:rPr>
              <w:t>Current Overall Budget:</w:t>
            </w:r>
          </w:p>
        </w:tc>
        <w:tc>
          <w:tcPr>
            <w:tcW w:w="3877" w:type="dxa"/>
            <w:tcBorders>
              <w:top w:val="single" w:sz="4" w:space="0" w:color="auto"/>
            </w:tcBorders>
            <w:shd w:val="clear" w:color="auto" w:fill="auto"/>
            <w:vAlign w:val="center"/>
          </w:tcPr>
          <w:p w:rsidR="0073489B" w:rsidRDefault="00A46D11">
            <w:pPr>
              <w:jc w:val="center"/>
              <w:rPr>
                <w:noProof/>
              </w:rPr>
            </w:pPr>
            <w:r>
              <w:rPr>
                <w:noProof/>
              </w:rPr>
              <w:t>EUR 517 million</w:t>
            </w:r>
          </w:p>
        </w:tc>
      </w:tr>
    </w:tbl>
    <w:p w:rsidR="0073489B" w:rsidRDefault="0073489B">
      <w:pPr>
        <w:pStyle w:val="Heading4"/>
        <w:numPr>
          <w:ilvl w:val="0"/>
          <w:numId w:val="0"/>
        </w:numPr>
        <w:spacing w:before="120"/>
        <w:rPr>
          <w:noProof/>
        </w:rPr>
      </w:pPr>
    </w:p>
    <w:p w:rsidR="0073489B" w:rsidRDefault="00A46D11">
      <w:pPr>
        <w:pStyle w:val="Heading4"/>
        <w:numPr>
          <w:ilvl w:val="0"/>
          <w:numId w:val="0"/>
        </w:numPr>
        <w:spacing w:before="120"/>
        <w:rPr>
          <w:noProof/>
        </w:rPr>
      </w:pPr>
      <w:r>
        <w:rPr>
          <w:noProof/>
        </w:rPr>
        <w:t>A - Summary</w:t>
      </w:r>
    </w:p>
    <w:bookmarkEnd w:id="257"/>
    <w:bookmarkEnd w:id="258"/>
    <w:p w:rsidR="0073489B" w:rsidRDefault="00A46D11">
      <w:pPr>
        <w:spacing w:after="60"/>
        <w:jc w:val="both"/>
        <w:rPr>
          <w:noProof/>
        </w:rPr>
      </w:pPr>
      <w:r>
        <w:rPr>
          <w:noProof/>
          <w:szCs w:val="24"/>
          <w:lang w:val="en-US"/>
        </w:rPr>
        <w:t xml:space="preserve">Via guarantees to financial institutions the Erasmus+ Master Student Loan Guarantee Facilty seeks to make available </w:t>
      </w:r>
      <w:r>
        <w:rPr>
          <w:noProof/>
          <w:szCs w:val="24"/>
          <w:lang w:val="en-US"/>
        </w:rPr>
        <w:t>loans on favorable terms for mobile Master students (</w:t>
      </w:r>
      <w:r>
        <w:rPr>
          <w:noProof/>
          <w:szCs w:val="24"/>
        </w:rPr>
        <w:t xml:space="preserve">regardless of their social background) </w:t>
      </w:r>
      <w:r>
        <w:rPr>
          <w:noProof/>
          <w:szCs w:val="24"/>
          <w:lang w:val="en-US"/>
        </w:rPr>
        <w:t>studying in other Erasmus+ Programme countries</w:t>
      </w:r>
      <w:r>
        <w:rPr>
          <w:noProof/>
          <w:szCs w:val="24"/>
        </w:rPr>
        <w:t>.</w:t>
      </w:r>
      <w:r>
        <w:rPr>
          <w:noProof/>
          <w:szCs w:val="24"/>
          <w:lang w:val="en-US"/>
        </w:rPr>
        <w:t xml:space="preserve"> The guarantees will thus support mobility, equity and study excellence. As </w:t>
      </w:r>
      <w:r>
        <w:rPr>
          <w:noProof/>
        </w:rPr>
        <w:t xml:space="preserve">at 31/12/2016 </w:t>
      </w:r>
      <w:r>
        <w:rPr>
          <w:noProof/>
          <w:szCs w:val="24"/>
          <w:lang w:val="en-US"/>
        </w:rPr>
        <w:t xml:space="preserve">the Facility's total </w:t>
      </w:r>
      <w:r>
        <w:rPr>
          <w:noProof/>
        </w:rPr>
        <w:t>commit</w:t>
      </w:r>
      <w:r>
        <w:rPr>
          <w:noProof/>
        </w:rPr>
        <w:t>ment amounts to EUR 115,67 million.</w:t>
      </w:r>
    </w:p>
    <w:p w:rsidR="0073489B" w:rsidRDefault="00A46D11">
      <w:pPr>
        <w:spacing w:after="60"/>
        <w:jc w:val="both"/>
        <w:rPr>
          <w:noProof/>
        </w:rPr>
      </w:pPr>
      <w:r>
        <w:rPr>
          <w:noProof/>
          <w:szCs w:val="24"/>
          <w:lang w:val="en-US"/>
        </w:rPr>
        <w:t>The main priority in 2016 was to ensure a broader geographical coverage so that students across Europe are able to access loans supported through the facility in 2016-17.</w:t>
      </w:r>
      <w:r>
        <w:rPr>
          <w:noProof/>
        </w:rPr>
        <w:t xml:space="preserve"> At the end of 2016 an amount of EUR 25 914 815 ha</w:t>
      </w:r>
      <w:r>
        <w:rPr>
          <w:noProof/>
        </w:rPr>
        <w:t>s been committed through signed guarantee agreements with 6 financial intermediaries in 5 countries, unlocking EUR 160 million in Erasmus+ Master loans.</w:t>
      </w:r>
    </w:p>
    <w:p w:rsidR="0073489B" w:rsidRDefault="00A46D11">
      <w:pPr>
        <w:spacing w:after="60"/>
        <w:jc w:val="both"/>
        <w:rPr>
          <w:noProof/>
          <w:szCs w:val="24"/>
          <w:lang w:val="en-US"/>
        </w:rPr>
      </w:pPr>
      <w:r>
        <w:rPr>
          <w:noProof/>
          <w:color w:val="000000"/>
          <w:szCs w:val="24"/>
        </w:rPr>
        <w:t>Due to the delay in effective start-up (1,5 years) the current implementation is well below expectation</w:t>
      </w:r>
      <w:r>
        <w:rPr>
          <w:noProof/>
          <w:color w:val="000000"/>
          <w:szCs w:val="24"/>
        </w:rPr>
        <w:t>s. Given the market response and feedback, as well as the absence of the national promotional institutions, the initial budget envisaged in the Erasmus+ Regulation (EUR 517 million) appears too ambitious under the current time-frame. Discussion are ongoing</w:t>
      </w:r>
      <w:r>
        <w:rPr>
          <w:noProof/>
          <w:color w:val="000000"/>
          <w:szCs w:val="24"/>
        </w:rPr>
        <w:t xml:space="preserve"> with EIF on readjusting the necessary budget allocations.</w:t>
      </w:r>
    </w:p>
    <w:p w:rsidR="0073489B" w:rsidRDefault="0073489B">
      <w:pPr>
        <w:spacing w:before="200" w:after="60"/>
        <w:rPr>
          <w:noProof/>
          <w:szCs w:val="24"/>
          <w:lang w:val="en-US"/>
        </w:rPr>
      </w:pPr>
    </w:p>
    <w:p w:rsidR="0073489B" w:rsidRDefault="00A46D11">
      <w:pPr>
        <w:pStyle w:val="Heading4"/>
        <w:numPr>
          <w:ilvl w:val="0"/>
          <w:numId w:val="274"/>
        </w:numPr>
        <w:rPr>
          <w:noProof/>
        </w:rPr>
      </w:pPr>
      <w:r>
        <w:rPr>
          <w:noProof/>
        </w:rPr>
        <w:t>Description</w:t>
      </w:r>
    </w:p>
    <w:p w:rsidR="0073489B" w:rsidRDefault="00A46D11">
      <w:pPr>
        <w:pStyle w:val="Heading5"/>
        <w:numPr>
          <w:ilvl w:val="0"/>
          <w:numId w:val="33"/>
        </w:numPr>
        <w:spacing w:before="120"/>
        <w:ind w:left="284" w:firstLine="0"/>
        <w:rPr>
          <w:noProof/>
        </w:rPr>
      </w:pPr>
      <w:bookmarkStart w:id="259" w:name="_Toc387228903"/>
      <w:r>
        <w:rPr>
          <w:noProof/>
        </w:rPr>
        <w:t>Identification of the financial instrument and the basic act</w:t>
      </w:r>
      <w:bookmarkEnd w:id="259"/>
      <w:r>
        <w:rPr>
          <w:noProof/>
        </w:rPr>
        <w:t>;</w:t>
      </w:r>
    </w:p>
    <w:p w:rsidR="0073489B" w:rsidRDefault="00A46D11">
      <w:pPr>
        <w:pStyle w:val="ListParagraph"/>
        <w:spacing w:after="60"/>
        <w:ind w:left="0" w:right="141" w:firstLine="3"/>
        <w:jc w:val="both"/>
        <w:rPr>
          <w:noProof/>
        </w:rPr>
      </w:pPr>
      <w:r>
        <w:rPr>
          <w:noProof/>
          <w:szCs w:val="24"/>
        </w:rPr>
        <w:t>Regulation (EU) No 1288/2013 of the European Parliament and of the Council of 11 December 2013 establishing 'Erasmus+': th</w:t>
      </w:r>
      <w:r>
        <w:rPr>
          <w:noProof/>
          <w:szCs w:val="24"/>
        </w:rPr>
        <w:t>e Union programme for education, training, youth and sport and repealing Decisions No 1719/2006/EC, No 1720/2006/EC and No 1298/2008/EC.</w:t>
      </w:r>
    </w:p>
    <w:p w:rsidR="0073489B" w:rsidRDefault="00A46D11">
      <w:pPr>
        <w:pStyle w:val="Heading5"/>
        <w:numPr>
          <w:ilvl w:val="0"/>
          <w:numId w:val="80"/>
        </w:numPr>
        <w:spacing w:before="120"/>
        <w:ind w:left="284" w:firstLine="0"/>
        <w:rPr>
          <w:noProof/>
        </w:rPr>
      </w:pPr>
      <w:bookmarkStart w:id="260" w:name="_Toc387228904"/>
      <w:r>
        <w:rPr>
          <w:noProof/>
        </w:rPr>
        <w:lastRenderedPageBreak/>
        <w:t>Description of the financial instrument, implementation arrangements and the added value of the Union contribution</w:t>
      </w:r>
      <w:bookmarkEnd w:id="260"/>
      <w:r>
        <w:rPr>
          <w:noProof/>
        </w:rPr>
        <w:t>;</w:t>
      </w:r>
    </w:p>
    <w:p w:rsidR="0073489B" w:rsidRDefault="00A46D11">
      <w:pPr>
        <w:shd w:val="clear" w:color="auto" w:fill="FFFFFF"/>
        <w:ind w:right="141"/>
        <w:jc w:val="both"/>
        <w:rPr>
          <w:i/>
          <w:noProof/>
          <w:szCs w:val="24"/>
        </w:rPr>
      </w:pPr>
      <w:r>
        <w:rPr>
          <w:i/>
          <w:noProof/>
          <w:szCs w:val="24"/>
        </w:rPr>
        <w:t>Pol</w:t>
      </w:r>
      <w:r>
        <w:rPr>
          <w:i/>
          <w:noProof/>
          <w:szCs w:val="24"/>
        </w:rPr>
        <w:t>icy objectives and scope</w:t>
      </w:r>
    </w:p>
    <w:p w:rsidR="0073489B" w:rsidRDefault="00A46D11">
      <w:pPr>
        <w:shd w:val="clear" w:color="auto" w:fill="FFFFFF"/>
        <w:spacing w:after="60"/>
        <w:ind w:right="141"/>
        <w:jc w:val="both"/>
        <w:rPr>
          <w:noProof/>
          <w:szCs w:val="24"/>
        </w:rPr>
      </w:pPr>
      <w:r>
        <w:rPr>
          <w:noProof/>
          <w:szCs w:val="24"/>
        </w:rPr>
        <w:t>The objective of Erasmus + Master Student Loans (a guarantee facility under the Erasmus+ programme), is to incentivise commercial/retail banks, promotional banks, student loan bodies and other financial intermediaries (“Intermediar</w:t>
      </w:r>
      <w:r>
        <w:rPr>
          <w:noProof/>
          <w:szCs w:val="24"/>
        </w:rPr>
        <w:t>ies”) to extend loans (up to a maximum of EUR 12 000 for one-year, up to EUR 18 000 for a two-year programme) to mobile students pursuing a full higher education degree (Masters’ programme) in an Erasmus+ Programme country which is neither their country of</w:t>
      </w:r>
      <w:r>
        <w:rPr>
          <w:noProof/>
          <w:szCs w:val="24"/>
        </w:rPr>
        <w:t xml:space="preserve"> residence nor the country in which they obtained their qualification giving them access to Master's studies.</w:t>
      </w:r>
    </w:p>
    <w:p w:rsidR="0073489B" w:rsidRDefault="00A46D11">
      <w:pPr>
        <w:keepNext/>
        <w:shd w:val="clear" w:color="auto" w:fill="FFFFFF"/>
        <w:ind w:right="142"/>
        <w:jc w:val="both"/>
        <w:rPr>
          <w:i/>
          <w:noProof/>
          <w:szCs w:val="24"/>
        </w:rPr>
      </w:pPr>
      <w:r>
        <w:rPr>
          <w:i/>
          <w:noProof/>
          <w:szCs w:val="24"/>
        </w:rPr>
        <w:t>Implementation arrangements</w:t>
      </w:r>
    </w:p>
    <w:p w:rsidR="0073489B" w:rsidRDefault="00A46D11">
      <w:pPr>
        <w:shd w:val="clear" w:color="auto" w:fill="FFFFFF"/>
        <w:spacing w:after="60"/>
        <w:ind w:right="141"/>
        <w:jc w:val="both"/>
        <w:rPr>
          <w:noProof/>
          <w:szCs w:val="24"/>
        </w:rPr>
      </w:pPr>
      <w:r>
        <w:rPr>
          <w:noProof/>
          <w:szCs w:val="24"/>
        </w:rPr>
        <w:t>The Facility aims at granting students access to Master’s programmes abroad through loans provided by financial instit</w:t>
      </w:r>
      <w:r>
        <w:rPr>
          <w:noProof/>
          <w:szCs w:val="24"/>
        </w:rPr>
        <w:t>utions, at favourable conditions because of effective portfolio credit risk transfer (via a guarantee or a counter-guarantee) by the EIF on behalf of the Commission.</w:t>
      </w:r>
    </w:p>
    <w:p w:rsidR="0073489B" w:rsidRDefault="00A46D11">
      <w:pPr>
        <w:shd w:val="clear" w:color="auto" w:fill="FFFFFF"/>
        <w:ind w:right="141"/>
        <w:jc w:val="both"/>
        <w:rPr>
          <w:i/>
          <w:noProof/>
          <w:szCs w:val="24"/>
        </w:rPr>
      </w:pPr>
      <w:r>
        <w:rPr>
          <w:i/>
          <w:noProof/>
          <w:szCs w:val="24"/>
        </w:rPr>
        <w:t>Added value</w:t>
      </w:r>
    </w:p>
    <w:p w:rsidR="0073489B" w:rsidRDefault="00A46D11">
      <w:pPr>
        <w:shd w:val="clear" w:color="auto" w:fill="FFFFFF"/>
        <w:spacing w:after="60"/>
        <w:ind w:right="141"/>
        <w:jc w:val="both"/>
        <w:rPr>
          <w:noProof/>
          <w:szCs w:val="24"/>
        </w:rPr>
      </w:pPr>
      <w:r>
        <w:rPr>
          <w:noProof/>
          <w:szCs w:val="24"/>
        </w:rPr>
        <w:t xml:space="preserve">The Facility was created to support transnational mobility for Master </w:t>
      </w:r>
      <w:r>
        <w:rPr>
          <w:noProof/>
          <w:szCs w:val="24"/>
        </w:rPr>
        <w:t>students, who will make an increasingly important contribution to innovation and entrepreneurship in Europe but who also face difficulties in accessing finance, especially for transnational student mobility where a market gap has been identified.</w:t>
      </w:r>
    </w:p>
    <w:p w:rsidR="0073489B" w:rsidRDefault="00A46D11">
      <w:pPr>
        <w:pStyle w:val="Heading5"/>
        <w:spacing w:before="120"/>
        <w:ind w:left="284" w:firstLine="0"/>
        <w:rPr>
          <w:noProof/>
        </w:rPr>
      </w:pPr>
      <w:r>
        <w:rPr>
          <w:noProof/>
        </w:rPr>
        <w:t xml:space="preserve"> </w:t>
      </w:r>
      <w:bookmarkStart w:id="261" w:name="_Toc387228905"/>
      <w:r>
        <w:rPr>
          <w:noProof/>
        </w:rPr>
        <w:t>The fina</w:t>
      </w:r>
      <w:r>
        <w:rPr>
          <w:noProof/>
        </w:rPr>
        <w:t>ncial institutions involved in implementation</w:t>
      </w:r>
      <w:bookmarkEnd w:id="261"/>
      <w:r>
        <w:rPr>
          <w:noProof/>
        </w:rPr>
        <w:t>;</w:t>
      </w:r>
    </w:p>
    <w:p w:rsidR="0073489B" w:rsidRDefault="00A46D11">
      <w:pPr>
        <w:shd w:val="clear" w:color="auto" w:fill="FFFFFF"/>
        <w:spacing w:after="60"/>
        <w:ind w:left="360" w:right="141"/>
        <w:rPr>
          <w:noProof/>
          <w:szCs w:val="24"/>
        </w:rPr>
      </w:pPr>
      <w:r>
        <w:rPr>
          <w:noProof/>
          <w:szCs w:val="24"/>
        </w:rPr>
        <w:t>European Investment Fund.</w:t>
      </w:r>
    </w:p>
    <w:p w:rsidR="0073489B" w:rsidRDefault="0073489B">
      <w:pPr>
        <w:shd w:val="clear" w:color="auto" w:fill="FFFFFF"/>
        <w:spacing w:after="60"/>
        <w:ind w:left="360" w:right="141"/>
        <w:rPr>
          <w:noProof/>
          <w:szCs w:val="24"/>
        </w:rPr>
      </w:pPr>
    </w:p>
    <w:p w:rsidR="0073489B" w:rsidRDefault="00A46D11">
      <w:pPr>
        <w:pStyle w:val="Heading4"/>
        <w:rPr>
          <w:noProof/>
        </w:rPr>
      </w:pPr>
      <w:bookmarkStart w:id="262" w:name="_Toc387228906"/>
      <w:bookmarkStart w:id="263" w:name="_Toc388541917"/>
      <w:r>
        <w:rPr>
          <w:noProof/>
        </w:rPr>
        <w:t>Implementation</w:t>
      </w:r>
      <w:bookmarkEnd w:id="262"/>
      <w:bookmarkEnd w:id="263"/>
    </w:p>
    <w:p w:rsidR="0073489B" w:rsidRDefault="00A46D11">
      <w:pPr>
        <w:pStyle w:val="Heading5"/>
        <w:spacing w:before="120"/>
        <w:ind w:left="284" w:firstLine="0"/>
        <w:rPr>
          <w:noProof/>
        </w:rPr>
      </w:pPr>
      <w:bookmarkStart w:id="264" w:name="_Toc387228907"/>
      <w:r>
        <w:rPr>
          <w:noProof/>
        </w:rPr>
        <w:t>The aggregate budgetary commitments and payments from the budget</w:t>
      </w:r>
      <w:bookmarkEnd w:id="264"/>
      <w:r>
        <w:rPr>
          <w:noProof/>
        </w:rPr>
        <w:t>;</w:t>
      </w:r>
    </w:p>
    <w:p w:rsidR="0073489B" w:rsidRDefault="00A46D11">
      <w:pPr>
        <w:ind w:left="426" w:right="141" w:hanging="426"/>
        <w:rPr>
          <w:noProof/>
          <w:szCs w:val="24"/>
        </w:rPr>
      </w:pPr>
      <w:bookmarkStart w:id="265" w:name="_Toc387228908"/>
      <w:r>
        <w:rPr>
          <w:noProof/>
          <w:szCs w:val="24"/>
        </w:rPr>
        <w:t>Aggregate budgetary commitments as at 31/12/2016</w:t>
      </w:r>
      <w:r>
        <w:rPr>
          <w:noProof/>
          <w:szCs w:val="24"/>
        </w:rPr>
        <w:tab/>
        <w:t xml:space="preserve">   </w:t>
      </w:r>
      <w:r>
        <w:rPr>
          <w:noProof/>
          <w:szCs w:val="24"/>
        </w:rPr>
        <w:tab/>
        <w:t xml:space="preserve">               EUR 115 667 000</w:t>
      </w:r>
    </w:p>
    <w:p w:rsidR="0073489B" w:rsidRDefault="00A46D11">
      <w:pPr>
        <w:rPr>
          <w:noProof/>
          <w:szCs w:val="24"/>
        </w:rPr>
      </w:pPr>
      <w:r>
        <w:rPr>
          <w:noProof/>
          <w:szCs w:val="24"/>
        </w:rPr>
        <w:t>Aggregate budgeta</w:t>
      </w:r>
      <w:r>
        <w:rPr>
          <w:noProof/>
          <w:szCs w:val="24"/>
        </w:rPr>
        <w:t>ry payments as at 31/12/2016</w:t>
      </w:r>
      <w:r>
        <w:rPr>
          <w:noProof/>
          <w:szCs w:val="24"/>
        </w:rPr>
        <w:tab/>
      </w:r>
      <w:r>
        <w:rPr>
          <w:noProof/>
          <w:szCs w:val="24"/>
        </w:rPr>
        <w:tab/>
        <w:t xml:space="preserve">               EUR   21 239 718</w:t>
      </w:r>
    </w:p>
    <w:p w:rsidR="0073489B" w:rsidRDefault="0073489B">
      <w:pPr>
        <w:ind w:right="141"/>
        <w:rPr>
          <w:noProof/>
          <w:szCs w:val="24"/>
        </w:rPr>
      </w:pPr>
    </w:p>
    <w:p w:rsidR="0073489B" w:rsidRDefault="00A46D11">
      <w:pPr>
        <w:ind w:right="141"/>
        <w:rPr>
          <w:i/>
          <w:noProof/>
          <w:szCs w:val="24"/>
        </w:rPr>
      </w:pPr>
      <w:r>
        <w:rPr>
          <w:i/>
          <w:noProof/>
          <w:szCs w:val="24"/>
        </w:rPr>
        <w:t>Nota:  Commitments      EUR   50   million foreseen in 2017</w:t>
      </w:r>
    </w:p>
    <w:p w:rsidR="0073489B" w:rsidRDefault="00A46D11">
      <w:pPr>
        <w:ind w:left="2681" w:right="141" w:hanging="357"/>
        <w:rPr>
          <w:i/>
          <w:noProof/>
          <w:szCs w:val="24"/>
        </w:rPr>
      </w:pPr>
      <w:r>
        <w:rPr>
          <w:i/>
          <w:noProof/>
          <w:szCs w:val="24"/>
        </w:rPr>
        <w:t>EUR 200   million for 2017-20 (indicative)</w:t>
      </w:r>
    </w:p>
    <w:p w:rsidR="0073489B" w:rsidRDefault="00A46D11">
      <w:pPr>
        <w:keepNext/>
        <w:ind w:right="142" w:firstLine="720"/>
        <w:rPr>
          <w:i/>
          <w:noProof/>
          <w:szCs w:val="24"/>
        </w:rPr>
      </w:pPr>
      <w:r>
        <w:rPr>
          <w:i/>
          <w:noProof/>
          <w:szCs w:val="24"/>
        </w:rPr>
        <w:t>Payments           EUR  1,5 million for 2016</w:t>
      </w:r>
    </w:p>
    <w:p w:rsidR="0073489B" w:rsidRDefault="00A46D11">
      <w:pPr>
        <w:ind w:left="2324" w:right="141"/>
        <w:rPr>
          <w:i/>
          <w:noProof/>
          <w:szCs w:val="24"/>
        </w:rPr>
      </w:pPr>
      <w:r>
        <w:rPr>
          <w:i/>
          <w:noProof/>
          <w:szCs w:val="24"/>
        </w:rPr>
        <w:t>EUR  7,1 million for 2017-18 (indicative)</w:t>
      </w:r>
    </w:p>
    <w:p w:rsidR="0073489B" w:rsidRDefault="00A46D11">
      <w:pPr>
        <w:pStyle w:val="Heading5"/>
        <w:spacing w:before="120"/>
        <w:ind w:left="284" w:firstLine="0"/>
        <w:rPr>
          <w:noProof/>
        </w:rPr>
      </w:pPr>
      <w:r>
        <w:rPr>
          <w:noProof/>
        </w:rPr>
        <w:t>The</w:t>
      </w:r>
      <w:r>
        <w:rPr>
          <w:noProof/>
        </w:rPr>
        <w:t xml:space="preserve"> performance of the financial instrument, including investments realised</w:t>
      </w:r>
      <w:bookmarkEnd w:id="265"/>
      <w:r>
        <w:rPr>
          <w:noProof/>
        </w:rPr>
        <w:t>;</w:t>
      </w:r>
    </w:p>
    <w:p w:rsidR="0073489B" w:rsidRDefault="00A46D11">
      <w:pPr>
        <w:spacing w:after="240"/>
        <w:ind w:right="141"/>
        <w:jc w:val="both"/>
        <w:rPr>
          <w:noProof/>
          <w:szCs w:val="24"/>
        </w:rPr>
      </w:pPr>
      <w:r>
        <w:rPr>
          <w:noProof/>
          <w:szCs w:val="24"/>
        </w:rPr>
        <w:t xml:space="preserve">In order to minimise risks on negative interest, </w:t>
      </w:r>
      <w:r>
        <w:rPr>
          <w:noProof/>
        </w:rPr>
        <w:t>an avoidance strategy is being implemented</w:t>
      </w:r>
      <w:r>
        <w:rPr>
          <w:noProof/>
          <w:szCs w:val="24"/>
        </w:rPr>
        <w:t xml:space="preserve"> (</w:t>
      </w:r>
      <w:r>
        <w:rPr>
          <w:noProof/>
        </w:rPr>
        <w:t>via active treasury management)</w:t>
      </w:r>
      <w:r>
        <w:rPr>
          <w:noProof/>
          <w:szCs w:val="24"/>
        </w:rPr>
        <w:t>. The reduction of the Minimum Reserve (from EUR 10 millio</w:t>
      </w:r>
      <w:r>
        <w:rPr>
          <w:noProof/>
          <w:szCs w:val="24"/>
        </w:rPr>
        <w:t>n to EUR 5 million) resulted in a reduced amount of payments required in 2016.</w:t>
      </w:r>
    </w:p>
    <w:p w:rsidR="0073489B" w:rsidRDefault="00A46D11">
      <w:pPr>
        <w:spacing w:after="240"/>
        <w:ind w:right="141"/>
        <w:jc w:val="both"/>
        <w:rPr>
          <w:noProof/>
          <w:szCs w:val="24"/>
        </w:rPr>
      </w:pPr>
      <w:r>
        <w:rPr>
          <w:noProof/>
          <w:szCs w:val="24"/>
        </w:rPr>
        <w:t>As Financial Intermediaries in the UK and Turkey signed up to the Facility, foreign currency purchases has to be made as non-speculative hedging to cover for eventual defaults b</w:t>
      </w:r>
      <w:r>
        <w:rPr>
          <w:noProof/>
          <w:szCs w:val="24"/>
        </w:rPr>
        <w:t>y these intermediaries. These currencies are currently yielding a positive 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73489B">
        <w:trPr>
          <w:trHeight w:val="1631"/>
        </w:trPr>
        <w:tc>
          <w:tcPr>
            <w:tcW w:w="4928" w:type="dxa"/>
            <w:shd w:val="clear" w:color="auto" w:fill="auto"/>
            <w:vAlign w:val="center"/>
          </w:tcPr>
          <w:p w:rsidR="0073489B" w:rsidRDefault="00A46D11">
            <w:pPr>
              <w:pStyle w:val="ListParagraph"/>
              <w:spacing w:before="60" w:after="60"/>
              <w:ind w:left="0"/>
              <w:jc w:val="both"/>
              <w:rPr>
                <w:noProof/>
                <w:szCs w:val="24"/>
              </w:rPr>
            </w:pPr>
            <w:r>
              <w:rPr>
                <w:noProof/>
                <w:szCs w:val="24"/>
              </w:rPr>
              <w:t>Amount of financing expected to be provided by the instrument (including EU contribution committed) to eligible final recipients,</w:t>
            </w:r>
          </w:p>
          <w:p w:rsidR="0073489B" w:rsidRDefault="00A46D11">
            <w:pPr>
              <w:pStyle w:val="ListParagraph"/>
              <w:spacing w:before="60" w:after="60"/>
              <w:ind w:left="0" w:right="142"/>
              <w:jc w:val="both"/>
              <w:rPr>
                <w:noProof/>
                <w:szCs w:val="24"/>
              </w:rPr>
            </w:pPr>
            <w:r>
              <w:rPr>
                <w:noProof/>
                <w:szCs w:val="24"/>
              </w:rPr>
              <w:t>and corresponding number of eligible fina</w:t>
            </w:r>
            <w:r>
              <w:rPr>
                <w:noProof/>
                <w:szCs w:val="24"/>
              </w:rPr>
              <w:t>l recipients;</w:t>
            </w:r>
          </w:p>
        </w:tc>
        <w:tc>
          <w:tcPr>
            <w:tcW w:w="4360" w:type="dxa"/>
            <w:shd w:val="clear" w:color="auto" w:fill="auto"/>
            <w:vAlign w:val="center"/>
          </w:tcPr>
          <w:p w:rsidR="0073489B" w:rsidRDefault="00A46D11">
            <w:pPr>
              <w:spacing w:before="120" w:after="120"/>
              <w:ind w:right="141"/>
              <w:contextualSpacing/>
              <w:jc w:val="center"/>
              <w:rPr>
                <w:noProof/>
                <w:szCs w:val="24"/>
              </w:rPr>
            </w:pPr>
            <w:r>
              <w:rPr>
                <w:noProof/>
                <w:szCs w:val="24"/>
              </w:rPr>
              <w:t>159 967 994</w:t>
            </w:r>
          </w:p>
          <w:p w:rsidR="0073489B" w:rsidRDefault="00A46D11">
            <w:pPr>
              <w:spacing w:before="120" w:after="120"/>
              <w:ind w:right="141"/>
              <w:contextualSpacing/>
              <w:jc w:val="center"/>
              <w:rPr>
                <w:noProof/>
                <w:szCs w:val="24"/>
              </w:rPr>
            </w:pPr>
            <w:r>
              <w:rPr>
                <w:noProof/>
                <w:szCs w:val="24"/>
              </w:rPr>
              <w:t>11 500</w:t>
            </w:r>
          </w:p>
        </w:tc>
      </w:tr>
      <w:tr w:rsidR="0073489B">
        <w:trPr>
          <w:trHeight w:val="1018"/>
        </w:trPr>
        <w:tc>
          <w:tcPr>
            <w:tcW w:w="4928" w:type="dxa"/>
            <w:shd w:val="clear" w:color="auto" w:fill="auto"/>
            <w:vAlign w:val="center"/>
          </w:tcPr>
          <w:p w:rsidR="0073489B" w:rsidRDefault="00A46D11">
            <w:pPr>
              <w:spacing w:before="60" w:after="60"/>
              <w:ind w:right="142"/>
              <w:contextualSpacing/>
              <w:jc w:val="both"/>
              <w:rPr>
                <w:noProof/>
                <w:szCs w:val="24"/>
              </w:rPr>
            </w:pPr>
            <w:r>
              <w:rPr>
                <w:noProof/>
                <w:szCs w:val="24"/>
              </w:rPr>
              <w:lastRenderedPageBreak/>
              <w:t>Amount of investments expected to be made by eligible final recipients due to the financing, if applicable</w:t>
            </w:r>
          </w:p>
        </w:tc>
        <w:tc>
          <w:tcPr>
            <w:tcW w:w="4360" w:type="dxa"/>
            <w:shd w:val="clear" w:color="auto" w:fill="auto"/>
            <w:vAlign w:val="center"/>
          </w:tcPr>
          <w:p w:rsidR="0073489B" w:rsidRDefault="00A46D11">
            <w:pPr>
              <w:spacing w:before="120" w:after="120"/>
              <w:ind w:right="141"/>
              <w:contextualSpacing/>
              <w:jc w:val="center"/>
              <w:rPr>
                <w:noProof/>
                <w:szCs w:val="24"/>
              </w:rPr>
            </w:pPr>
            <w:r>
              <w:rPr>
                <w:noProof/>
                <w:szCs w:val="24"/>
              </w:rPr>
              <w:t xml:space="preserve">159 967 994 </w:t>
            </w:r>
          </w:p>
        </w:tc>
      </w:tr>
      <w:tr w:rsidR="0073489B">
        <w:trPr>
          <w:trHeight w:val="934"/>
        </w:trPr>
        <w:tc>
          <w:tcPr>
            <w:tcW w:w="4928" w:type="dxa"/>
            <w:shd w:val="clear" w:color="auto" w:fill="auto"/>
            <w:vAlign w:val="center"/>
          </w:tcPr>
          <w:p w:rsidR="0073489B" w:rsidRDefault="00A46D11">
            <w:pPr>
              <w:pStyle w:val="ListParagraph"/>
              <w:spacing w:before="60" w:after="60"/>
              <w:ind w:left="0" w:right="142"/>
              <w:jc w:val="both"/>
              <w:rPr>
                <w:noProof/>
                <w:szCs w:val="24"/>
              </w:rPr>
            </w:pPr>
            <w:r>
              <w:rPr>
                <w:noProof/>
                <w:szCs w:val="24"/>
              </w:rPr>
              <w:t>Amount of financing already provided by the instrument to eligible final recipients,</w:t>
            </w:r>
          </w:p>
          <w:p w:rsidR="0073489B" w:rsidRDefault="00A46D11">
            <w:pPr>
              <w:pStyle w:val="ListParagraph"/>
              <w:spacing w:before="60" w:after="60"/>
              <w:ind w:left="0" w:right="142"/>
              <w:jc w:val="both"/>
              <w:rPr>
                <w:noProof/>
                <w:szCs w:val="24"/>
              </w:rPr>
            </w:pPr>
            <w:r>
              <w:rPr>
                <w:noProof/>
                <w:szCs w:val="24"/>
              </w:rPr>
              <w:t xml:space="preserve">and the corresponding number of recipients; </w:t>
            </w:r>
          </w:p>
        </w:tc>
        <w:tc>
          <w:tcPr>
            <w:tcW w:w="4360" w:type="dxa"/>
            <w:shd w:val="clear" w:color="auto" w:fill="auto"/>
            <w:vAlign w:val="center"/>
          </w:tcPr>
          <w:p w:rsidR="0073489B" w:rsidRDefault="00A46D11">
            <w:pPr>
              <w:spacing w:before="120" w:after="120"/>
              <w:ind w:right="141"/>
              <w:contextualSpacing/>
              <w:jc w:val="center"/>
              <w:rPr>
                <w:noProof/>
                <w:szCs w:val="24"/>
              </w:rPr>
            </w:pPr>
            <w:r>
              <w:rPr>
                <w:noProof/>
                <w:szCs w:val="24"/>
              </w:rPr>
              <w:t>3 057 936</w:t>
            </w:r>
          </w:p>
          <w:p w:rsidR="0073489B" w:rsidRDefault="00A46D11">
            <w:pPr>
              <w:spacing w:before="120" w:after="120"/>
              <w:ind w:right="141"/>
              <w:contextualSpacing/>
              <w:jc w:val="center"/>
              <w:rPr>
                <w:noProof/>
                <w:szCs w:val="24"/>
              </w:rPr>
            </w:pPr>
            <w:r>
              <w:rPr>
                <w:noProof/>
                <w:szCs w:val="24"/>
              </w:rPr>
              <w:t>247 Master students</w:t>
            </w:r>
          </w:p>
        </w:tc>
      </w:tr>
      <w:tr w:rsidR="0073489B">
        <w:trPr>
          <w:trHeight w:val="739"/>
        </w:trPr>
        <w:tc>
          <w:tcPr>
            <w:tcW w:w="4928" w:type="dxa"/>
            <w:shd w:val="clear" w:color="auto" w:fill="auto"/>
            <w:vAlign w:val="center"/>
          </w:tcPr>
          <w:p w:rsidR="0073489B" w:rsidRDefault="00A46D11">
            <w:pPr>
              <w:pStyle w:val="ListParagraph"/>
              <w:spacing w:before="60" w:after="60"/>
              <w:ind w:left="0" w:right="142"/>
              <w:jc w:val="both"/>
              <w:rPr>
                <w:noProof/>
                <w:szCs w:val="24"/>
              </w:rPr>
            </w:pPr>
            <w:r>
              <w:rPr>
                <w:noProof/>
                <w:szCs w:val="24"/>
              </w:rPr>
              <w:t>Amount of investments already made by eligible final recipients due to the financing provided through the instrument, if applicable.</w:t>
            </w:r>
          </w:p>
        </w:tc>
        <w:tc>
          <w:tcPr>
            <w:tcW w:w="4360" w:type="dxa"/>
            <w:shd w:val="clear" w:color="auto" w:fill="auto"/>
            <w:vAlign w:val="center"/>
          </w:tcPr>
          <w:p w:rsidR="0073489B" w:rsidRDefault="00A46D11">
            <w:pPr>
              <w:spacing w:before="120" w:after="120"/>
              <w:ind w:right="141"/>
              <w:contextualSpacing/>
              <w:jc w:val="center"/>
              <w:rPr>
                <w:noProof/>
                <w:szCs w:val="24"/>
              </w:rPr>
            </w:pPr>
            <w:r>
              <w:rPr>
                <w:noProof/>
                <w:szCs w:val="24"/>
              </w:rPr>
              <w:t>3 057 936</w:t>
            </w:r>
          </w:p>
        </w:tc>
      </w:tr>
    </w:tbl>
    <w:p w:rsidR="0073489B" w:rsidRDefault="0073489B">
      <w:pPr>
        <w:spacing w:after="60"/>
        <w:ind w:right="141"/>
        <w:rPr>
          <w:noProof/>
          <w:szCs w:val="24"/>
        </w:rPr>
      </w:pPr>
    </w:p>
    <w:p w:rsidR="0073489B" w:rsidRDefault="00A46D11">
      <w:pPr>
        <w:pStyle w:val="Heading5"/>
        <w:spacing w:before="120"/>
        <w:ind w:left="284" w:firstLine="0"/>
        <w:jc w:val="both"/>
        <w:rPr>
          <w:noProof/>
        </w:rPr>
      </w:pPr>
      <w:bookmarkStart w:id="266" w:name="_Toc387228909"/>
      <w:r>
        <w:rPr>
          <w:noProof/>
        </w:rPr>
        <w:t xml:space="preserve">An evaluation of the use of any </w:t>
      </w:r>
      <w:r>
        <w:rPr>
          <w:noProof/>
        </w:rPr>
        <w:t>amounts returned to the instrument as internal assigned revenue under paragraph 6</w:t>
      </w:r>
      <w:bookmarkEnd w:id="266"/>
      <w:r>
        <w:rPr>
          <w:noProof/>
        </w:rPr>
        <w:t>;</w:t>
      </w:r>
    </w:p>
    <w:p w:rsidR="0073489B" w:rsidRDefault="00A46D11">
      <w:pPr>
        <w:ind w:left="360" w:right="141" w:hanging="76"/>
        <w:rPr>
          <w:noProof/>
          <w:szCs w:val="24"/>
        </w:rPr>
      </w:pPr>
      <w:r>
        <w:rPr>
          <w:noProof/>
          <w:szCs w:val="24"/>
        </w:rPr>
        <w:t>NA</w:t>
      </w:r>
    </w:p>
    <w:p w:rsidR="0073489B" w:rsidRDefault="00A46D11">
      <w:pPr>
        <w:pStyle w:val="Heading5"/>
        <w:spacing w:before="120"/>
        <w:ind w:left="284" w:firstLine="0"/>
        <w:rPr>
          <w:noProof/>
        </w:rPr>
      </w:pPr>
      <w:bookmarkStart w:id="267" w:name="_Toc387228910"/>
      <w:r>
        <w:rPr>
          <w:noProof/>
        </w:rPr>
        <w:t>The balance of the fiduciary account</w:t>
      </w:r>
      <w:bookmarkEnd w:id="267"/>
      <w:r>
        <w:rPr>
          <w:noProof/>
        </w:rPr>
        <w:t>;</w:t>
      </w:r>
    </w:p>
    <w:p w:rsidR="0073489B" w:rsidRDefault="00A46D11">
      <w:pPr>
        <w:keepNext/>
        <w:spacing w:after="160"/>
        <w:ind w:left="360" w:right="142"/>
        <w:rPr>
          <w:bCs/>
          <w:noProof/>
          <w:szCs w:val="24"/>
        </w:rPr>
      </w:pPr>
      <w:r>
        <w:rPr>
          <w:noProof/>
        </w:rPr>
        <w:t>Aggregate balance of the fiduciary account as at 31/12/2016</w:t>
      </w:r>
      <w:r>
        <w:rPr>
          <w:noProof/>
        </w:rPr>
        <w:tab/>
        <w:t xml:space="preserve">EUR </w:t>
      </w:r>
      <w:r>
        <w:rPr>
          <w:bCs/>
          <w:noProof/>
          <w:szCs w:val="24"/>
        </w:rPr>
        <w:t>15 938 990</w:t>
      </w:r>
    </w:p>
    <w:p w:rsidR="0073489B" w:rsidRDefault="0073489B">
      <w:pPr>
        <w:keepNext/>
        <w:spacing w:after="160"/>
        <w:ind w:left="360" w:right="142"/>
        <w:rPr>
          <w:noProof/>
          <w:color w:val="FF00FF"/>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73489B">
        <w:trPr>
          <w:trHeight w:val="276"/>
        </w:trPr>
        <w:tc>
          <w:tcPr>
            <w:tcW w:w="9288" w:type="dxa"/>
            <w:gridSpan w:val="2"/>
            <w:shd w:val="clear" w:color="auto" w:fill="DAEEF3"/>
          </w:tcPr>
          <w:p w:rsidR="0073489B" w:rsidRDefault="00A46D11">
            <w:pPr>
              <w:pStyle w:val="ListParagraph"/>
              <w:spacing w:before="80" w:after="80"/>
              <w:ind w:left="0" w:right="141"/>
              <w:jc w:val="center"/>
              <w:rPr>
                <w:b/>
                <w:bCs/>
                <w:i/>
                <w:noProof/>
                <w:szCs w:val="24"/>
              </w:rPr>
            </w:pPr>
            <w:r>
              <w:rPr>
                <w:b/>
                <w:bCs/>
                <w:i/>
                <w:noProof/>
                <w:szCs w:val="24"/>
              </w:rPr>
              <w:t xml:space="preserve">                                                        </w:t>
            </w:r>
            <w:r>
              <w:rPr>
                <w:b/>
                <w:bCs/>
                <w:i/>
                <w:noProof/>
                <w:szCs w:val="24"/>
              </w:rPr>
              <w:t xml:space="preserve">                                           In EUR</w:t>
            </w:r>
          </w:p>
        </w:tc>
      </w:tr>
      <w:tr w:rsidR="0073489B">
        <w:trPr>
          <w:trHeight w:val="276"/>
        </w:trPr>
        <w:tc>
          <w:tcPr>
            <w:tcW w:w="6228" w:type="dxa"/>
            <w:shd w:val="clear" w:color="auto" w:fill="auto"/>
          </w:tcPr>
          <w:p w:rsidR="0073489B" w:rsidRDefault="00A46D11">
            <w:pPr>
              <w:pStyle w:val="ListParagraph"/>
              <w:spacing w:before="80" w:after="80"/>
              <w:ind w:left="0" w:right="141"/>
              <w:rPr>
                <w:b/>
                <w:bCs/>
                <w:noProof/>
                <w:szCs w:val="24"/>
                <w:u w:val="single"/>
              </w:rPr>
            </w:pPr>
            <w:r>
              <w:rPr>
                <w:b/>
                <w:bCs/>
                <w:noProof/>
                <w:szCs w:val="24"/>
              </w:rPr>
              <w:t>Balance on the fiduciary account (current account)</w:t>
            </w:r>
          </w:p>
        </w:tc>
        <w:tc>
          <w:tcPr>
            <w:tcW w:w="3060" w:type="dxa"/>
            <w:shd w:val="clear" w:color="auto" w:fill="auto"/>
            <w:vAlign w:val="center"/>
          </w:tcPr>
          <w:p w:rsidR="0073489B" w:rsidRDefault="00A46D11">
            <w:pPr>
              <w:pStyle w:val="ListParagraph"/>
              <w:spacing w:before="80" w:after="80"/>
              <w:ind w:left="0" w:right="141"/>
              <w:jc w:val="center"/>
              <w:rPr>
                <w:bCs/>
                <w:noProof/>
                <w:szCs w:val="24"/>
              </w:rPr>
            </w:pPr>
            <w:r>
              <w:rPr>
                <w:bCs/>
                <w:noProof/>
                <w:szCs w:val="24"/>
              </w:rPr>
              <w:t>2 964 028</w:t>
            </w:r>
          </w:p>
        </w:tc>
      </w:tr>
      <w:tr w:rsidR="0073489B">
        <w:trPr>
          <w:trHeight w:val="276"/>
        </w:trPr>
        <w:tc>
          <w:tcPr>
            <w:tcW w:w="6228" w:type="dxa"/>
            <w:shd w:val="clear" w:color="auto" w:fill="auto"/>
          </w:tcPr>
          <w:p w:rsidR="0073489B" w:rsidRDefault="00A46D11">
            <w:pPr>
              <w:pStyle w:val="ListParagraph"/>
              <w:spacing w:before="80" w:after="80"/>
              <w:ind w:left="0" w:right="141"/>
              <w:rPr>
                <w:b/>
                <w:bCs/>
                <w:noProof/>
                <w:szCs w:val="24"/>
                <w:u w:val="single"/>
              </w:rPr>
            </w:pPr>
            <w:r>
              <w:rPr>
                <w:b/>
                <w:bCs/>
                <w:noProof/>
                <w:szCs w:val="24"/>
              </w:rPr>
              <w:t>Term deposits/Bonds (if applicable)</w:t>
            </w:r>
          </w:p>
        </w:tc>
        <w:tc>
          <w:tcPr>
            <w:tcW w:w="3060" w:type="dxa"/>
            <w:shd w:val="clear" w:color="auto" w:fill="auto"/>
            <w:vAlign w:val="center"/>
          </w:tcPr>
          <w:p w:rsidR="0073489B" w:rsidRDefault="0073489B">
            <w:pPr>
              <w:pStyle w:val="ListParagraph"/>
              <w:spacing w:before="80" w:after="80"/>
              <w:ind w:left="0" w:right="141"/>
              <w:jc w:val="center"/>
              <w:rPr>
                <w:bCs/>
                <w:noProof/>
                <w:szCs w:val="24"/>
              </w:rPr>
            </w:pPr>
          </w:p>
        </w:tc>
      </w:tr>
      <w:tr w:rsidR="0073489B">
        <w:trPr>
          <w:trHeight w:val="276"/>
        </w:trPr>
        <w:tc>
          <w:tcPr>
            <w:tcW w:w="6228" w:type="dxa"/>
            <w:shd w:val="clear" w:color="auto" w:fill="auto"/>
          </w:tcPr>
          <w:p w:rsidR="0073489B" w:rsidRDefault="00A46D11">
            <w:pPr>
              <w:pStyle w:val="ListParagraph"/>
              <w:spacing w:before="80" w:after="80"/>
              <w:ind w:left="426" w:right="141"/>
              <w:rPr>
                <w:bCs/>
                <w:noProof/>
                <w:szCs w:val="24"/>
              </w:rPr>
            </w:pPr>
            <w:r>
              <w:rPr>
                <w:bCs/>
                <w:noProof/>
                <w:szCs w:val="24"/>
              </w:rPr>
              <w:t>Term deposits &lt; 3 months (cash equivalent)</w:t>
            </w:r>
          </w:p>
        </w:tc>
        <w:tc>
          <w:tcPr>
            <w:tcW w:w="3060" w:type="dxa"/>
            <w:shd w:val="clear" w:color="auto" w:fill="auto"/>
            <w:vAlign w:val="center"/>
          </w:tcPr>
          <w:p w:rsidR="0073489B" w:rsidRDefault="00A46D11">
            <w:pPr>
              <w:pStyle w:val="ListParagraph"/>
              <w:spacing w:before="80" w:after="80"/>
              <w:ind w:left="0" w:right="141"/>
              <w:jc w:val="center"/>
              <w:rPr>
                <w:bCs/>
                <w:i/>
                <w:noProof/>
                <w:szCs w:val="24"/>
              </w:rPr>
            </w:pPr>
            <w:r>
              <w:rPr>
                <w:bCs/>
                <w:i/>
                <w:noProof/>
                <w:szCs w:val="24"/>
              </w:rPr>
              <w:t>12 974 962</w:t>
            </w:r>
          </w:p>
        </w:tc>
      </w:tr>
      <w:tr w:rsidR="0073489B">
        <w:trPr>
          <w:trHeight w:val="276"/>
        </w:trPr>
        <w:tc>
          <w:tcPr>
            <w:tcW w:w="6228" w:type="dxa"/>
            <w:shd w:val="clear" w:color="auto" w:fill="auto"/>
          </w:tcPr>
          <w:p w:rsidR="0073489B" w:rsidRDefault="00A46D11">
            <w:pPr>
              <w:pStyle w:val="ListParagraph"/>
              <w:spacing w:before="80" w:after="80"/>
              <w:ind w:left="426" w:right="141"/>
              <w:rPr>
                <w:bCs/>
                <w:noProof/>
                <w:szCs w:val="24"/>
                <w:u w:val="single"/>
              </w:rPr>
            </w:pPr>
            <w:r>
              <w:rPr>
                <w:bCs/>
                <w:noProof/>
                <w:szCs w:val="24"/>
              </w:rPr>
              <w:t>Term deposits &gt; 3 months &lt; 1 year (current assets)</w:t>
            </w:r>
          </w:p>
        </w:tc>
        <w:tc>
          <w:tcPr>
            <w:tcW w:w="3060" w:type="dxa"/>
            <w:shd w:val="clear" w:color="auto" w:fill="auto"/>
            <w:vAlign w:val="center"/>
          </w:tcPr>
          <w:p w:rsidR="0073489B" w:rsidRDefault="0073489B">
            <w:pPr>
              <w:pStyle w:val="ListParagraph"/>
              <w:spacing w:before="80" w:after="80"/>
              <w:ind w:left="0" w:right="141"/>
              <w:jc w:val="center"/>
              <w:rPr>
                <w:bCs/>
                <w:i/>
                <w:noProof/>
                <w:szCs w:val="24"/>
              </w:rPr>
            </w:pPr>
          </w:p>
        </w:tc>
      </w:tr>
      <w:tr w:rsidR="0073489B">
        <w:trPr>
          <w:trHeight w:val="276"/>
        </w:trPr>
        <w:tc>
          <w:tcPr>
            <w:tcW w:w="6228" w:type="dxa"/>
            <w:shd w:val="clear" w:color="auto" w:fill="auto"/>
          </w:tcPr>
          <w:p w:rsidR="0073489B" w:rsidRDefault="00A46D11">
            <w:pPr>
              <w:pStyle w:val="ListParagraph"/>
              <w:spacing w:before="80" w:after="80"/>
              <w:ind w:left="426" w:right="141"/>
              <w:rPr>
                <w:bCs/>
                <w:noProof/>
                <w:szCs w:val="24"/>
                <w:u w:val="single"/>
              </w:rPr>
            </w:pPr>
            <w:r>
              <w:rPr>
                <w:bCs/>
                <w:noProof/>
                <w:szCs w:val="24"/>
              </w:rPr>
              <w:t>Term deposits &gt; 1 year (non-current assets)</w:t>
            </w:r>
          </w:p>
        </w:tc>
        <w:tc>
          <w:tcPr>
            <w:tcW w:w="3060" w:type="dxa"/>
            <w:shd w:val="clear" w:color="auto" w:fill="auto"/>
            <w:vAlign w:val="center"/>
          </w:tcPr>
          <w:p w:rsidR="0073489B" w:rsidRDefault="0073489B">
            <w:pPr>
              <w:pStyle w:val="ListParagraph"/>
              <w:spacing w:before="80" w:after="80"/>
              <w:ind w:left="0" w:right="141"/>
              <w:jc w:val="center"/>
              <w:rPr>
                <w:bCs/>
                <w:i/>
                <w:noProof/>
                <w:szCs w:val="24"/>
              </w:rPr>
            </w:pPr>
          </w:p>
        </w:tc>
      </w:tr>
      <w:tr w:rsidR="0073489B">
        <w:trPr>
          <w:trHeight w:val="276"/>
        </w:trPr>
        <w:tc>
          <w:tcPr>
            <w:tcW w:w="6228" w:type="dxa"/>
            <w:shd w:val="clear" w:color="auto" w:fill="auto"/>
          </w:tcPr>
          <w:p w:rsidR="0073489B" w:rsidRDefault="00A46D11">
            <w:pPr>
              <w:pStyle w:val="ListParagraph"/>
              <w:spacing w:before="80" w:after="80"/>
              <w:ind w:left="851" w:right="141"/>
              <w:rPr>
                <w:bCs/>
                <w:noProof/>
                <w:szCs w:val="24"/>
                <w:u w:val="single"/>
              </w:rPr>
            </w:pPr>
            <w:r>
              <w:rPr>
                <w:bCs/>
                <w:noProof/>
                <w:szCs w:val="24"/>
              </w:rPr>
              <w:t>Bonds current</w:t>
            </w:r>
          </w:p>
        </w:tc>
        <w:tc>
          <w:tcPr>
            <w:tcW w:w="3060" w:type="dxa"/>
            <w:shd w:val="clear" w:color="auto" w:fill="auto"/>
            <w:vAlign w:val="center"/>
          </w:tcPr>
          <w:p w:rsidR="0073489B" w:rsidRDefault="0073489B">
            <w:pPr>
              <w:pStyle w:val="ListParagraph"/>
              <w:spacing w:before="80" w:after="80"/>
              <w:ind w:left="0" w:right="141"/>
              <w:jc w:val="center"/>
              <w:rPr>
                <w:bCs/>
                <w:i/>
                <w:noProof/>
                <w:szCs w:val="24"/>
              </w:rPr>
            </w:pPr>
          </w:p>
        </w:tc>
      </w:tr>
      <w:tr w:rsidR="0073489B">
        <w:trPr>
          <w:trHeight w:val="276"/>
        </w:trPr>
        <w:tc>
          <w:tcPr>
            <w:tcW w:w="6228" w:type="dxa"/>
            <w:shd w:val="clear" w:color="auto" w:fill="auto"/>
          </w:tcPr>
          <w:p w:rsidR="0073489B" w:rsidRDefault="00A46D11">
            <w:pPr>
              <w:pStyle w:val="ListParagraph"/>
              <w:spacing w:before="80" w:after="80"/>
              <w:ind w:left="851" w:right="141"/>
              <w:rPr>
                <w:bCs/>
                <w:noProof/>
                <w:szCs w:val="24"/>
                <w:u w:val="single"/>
              </w:rPr>
            </w:pPr>
            <w:r>
              <w:rPr>
                <w:bCs/>
                <w:noProof/>
                <w:szCs w:val="24"/>
              </w:rPr>
              <w:t>Bonds non-current</w:t>
            </w:r>
          </w:p>
        </w:tc>
        <w:tc>
          <w:tcPr>
            <w:tcW w:w="3060" w:type="dxa"/>
            <w:shd w:val="clear" w:color="auto" w:fill="auto"/>
            <w:vAlign w:val="center"/>
          </w:tcPr>
          <w:p w:rsidR="0073489B" w:rsidRDefault="0073489B">
            <w:pPr>
              <w:pStyle w:val="ListParagraph"/>
              <w:spacing w:before="80" w:after="80"/>
              <w:ind w:left="0" w:right="141"/>
              <w:jc w:val="center"/>
              <w:rPr>
                <w:bCs/>
                <w:i/>
                <w:noProof/>
                <w:szCs w:val="24"/>
              </w:rPr>
            </w:pPr>
          </w:p>
        </w:tc>
      </w:tr>
      <w:tr w:rsidR="0073489B">
        <w:trPr>
          <w:trHeight w:val="276"/>
        </w:trPr>
        <w:tc>
          <w:tcPr>
            <w:tcW w:w="6228" w:type="dxa"/>
            <w:shd w:val="clear" w:color="auto" w:fill="auto"/>
          </w:tcPr>
          <w:p w:rsidR="0073489B" w:rsidRDefault="00A46D11">
            <w:pPr>
              <w:spacing w:before="80" w:after="8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rsidR="0073489B" w:rsidRDefault="00A46D11">
            <w:pPr>
              <w:pStyle w:val="ListParagraph"/>
              <w:spacing w:before="80" w:after="80"/>
              <w:ind w:left="0" w:right="141"/>
              <w:jc w:val="center"/>
              <w:rPr>
                <w:bCs/>
                <w:noProof/>
                <w:szCs w:val="24"/>
              </w:rPr>
            </w:pPr>
            <w:r>
              <w:rPr>
                <w:bCs/>
                <w:noProof/>
                <w:szCs w:val="24"/>
              </w:rPr>
              <w:t>NA</w:t>
            </w:r>
          </w:p>
        </w:tc>
      </w:tr>
      <w:tr w:rsidR="0073489B">
        <w:trPr>
          <w:trHeight w:val="276"/>
        </w:trPr>
        <w:tc>
          <w:tcPr>
            <w:tcW w:w="6228" w:type="dxa"/>
            <w:shd w:val="clear" w:color="auto" w:fill="auto"/>
          </w:tcPr>
          <w:p w:rsidR="0073489B" w:rsidRDefault="00A46D11">
            <w:pPr>
              <w:spacing w:before="80" w:after="80"/>
              <w:ind w:right="141"/>
              <w:rPr>
                <w:b/>
                <w:bCs/>
                <w:noProof/>
                <w:szCs w:val="24"/>
              </w:rPr>
            </w:pPr>
            <w:r>
              <w:rPr>
                <w:b/>
                <w:bCs/>
                <w:i/>
                <w:iCs/>
                <w:noProof/>
                <w:szCs w:val="24"/>
              </w:rPr>
              <w:t>= Total assets</w:t>
            </w:r>
          </w:p>
        </w:tc>
        <w:tc>
          <w:tcPr>
            <w:tcW w:w="3060" w:type="dxa"/>
            <w:shd w:val="clear" w:color="auto" w:fill="auto"/>
            <w:vAlign w:val="center"/>
          </w:tcPr>
          <w:p w:rsidR="0073489B" w:rsidRDefault="00A46D11">
            <w:pPr>
              <w:pStyle w:val="ListParagraph"/>
              <w:spacing w:before="80" w:after="80"/>
              <w:ind w:left="0" w:right="141"/>
              <w:jc w:val="center"/>
              <w:rPr>
                <w:bCs/>
                <w:noProof/>
                <w:szCs w:val="24"/>
              </w:rPr>
            </w:pPr>
            <w:r>
              <w:rPr>
                <w:bCs/>
                <w:noProof/>
                <w:szCs w:val="24"/>
              </w:rPr>
              <w:t>15 938 990</w:t>
            </w:r>
          </w:p>
        </w:tc>
      </w:tr>
    </w:tbl>
    <w:p w:rsidR="0073489B" w:rsidRDefault="00A46D11">
      <w:pPr>
        <w:spacing w:before="240" w:after="60"/>
        <w:jc w:val="both"/>
        <w:rPr>
          <w:noProof/>
          <w:szCs w:val="24"/>
        </w:rPr>
      </w:pPr>
      <w:r>
        <w:rPr>
          <w:noProof/>
          <w:szCs w:val="24"/>
        </w:rPr>
        <w:t xml:space="preserve">In order to minimise risks on negative interest, regular cooperation is ongoing and </w:t>
      </w:r>
      <w:r>
        <w:rPr>
          <w:noProof/>
        </w:rPr>
        <w:t xml:space="preserve">an avoidance strategy is </w:t>
      </w:r>
      <w:r>
        <w:rPr>
          <w:noProof/>
        </w:rPr>
        <w:t>being implemented</w:t>
      </w:r>
      <w:r>
        <w:rPr>
          <w:noProof/>
          <w:szCs w:val="24"/>
        </w:rPr>
        <w:t>:</w:t>
      </w:r>
    </w:p>
    <w:p w:rsidR="0073489B" w:rsidRDefault="00A46D11">
      <w:pPr>
        <w:numPr>
          <w:ilvl w:val="0"/>
          <w:numId w:val="248"/>
        </w:numPr>
        <w:spacing w:after="60"/>
        <w:jc w:val="both"/>
        <w:rPr>
          <w:noProof/>
          <w:szCs w:val="24"/>
        </w:rPr>
      </w:pPr>
      <w:r>
        <w:rPr>
          <w:noProof/>
          <w:szCs w:val="24"/>
        </w:rPr>
        <w:t>a reduction of the Minimum Reserve from EUR 10 to EUR 5 million was agreed;</w:t>
      </w:r>
    </w:p>
    <w:p w:rsidR="0073489B" w:rsidRDefault="00A46D11">
      <w:pPr>
        <w:numPr>
          <w:ilvl w:val="0"/>
          <w:numId w:val="248"/>
        </w:numPr>
        <w:spacing w:after="60"/>
        <w:jc w:val="both"/>
        <w:rPr>
          <w:noProof/>
          <w:szCs w:val="24"/>
        </w:rPr>
      </w:pPr>
      <w:r>
        <w:rPr>
          <w:noProof/>
          <w:szCs w:val="24"/>
        </w:rPr>
        <w:t>the Fiduciary Account was moved to another bank with better cash conditions;</w:t>
      </w:r>
    </w:p>
    <w:p w:rsidR="0073489B" w:rsidRDefault="00A46D11">
      <w:pPr>
        <w:numPr>
          <w:ilvl w:val="0"/>
          <w:numId w:val="248"/>
        </w:numPr>
        <w:spacing w:after="60"/>
        <w:jc w:val="both"/>
        <w:rPr>
          <w:noProof/>
          <w:szCs w:val="24"/>
        </w:rPr>
      </w:pPr>
      <w:r>
        <w:rPr>
          <w:noProof/>
          <w:szCs w:val="24"/>
        </w:rPr>
        <w:t>also a "call account" with better returns and condition was set up by the EIF.</w:t>
      </w:r>
    </w:p>
    <w:p w:rsidR="0073489B" w:rsidRDefault="00A46D11">
      <w:pPr>
        <w:spacing w:after="60"/>
        <w:jc w:val="both"/>
        <w:rPr>
          <w:noProof/>
          <w:szCs w:val="24"/>
        </w:rPr>
      </w:pPr>
      <w:r>
        <w:rPr>
          <w:noProof/>
        </w:rPr>
        <w:t xml:space="preserve">The </w:t>
      </w:r>
      <w:r>
        <w:rPr>
          <w:noProof/>
        </w:rPr>
        <w:t>balance of the fiduciary account at 31/12/16 stands at EUR 15 938 990, with 2 964 028 in cash positions and EUR 12 974 962 in treasury assets.</w:t>
      </w:r>
    </w:p>
    <w:p w:rsidR="0073489B" w:rsidRDefault="00A46D11">
      <w:pPr>
        <w:pStyle w:val="Heading5"/>
        <w:spacing w:before="120"/>
        <w:ind w:left="284" w:firstLine="0"/>
        <w:rPr>
          <w:noProof/>
        </w:rPr>
      </w:pPr>
      <w:bookmarkStart w:id="268" w:name="_Toc387228911"/>
      <w:r>
        <w:rPr>
          <w:noProof/>
        </w:rPr>
        <w:lastRenderedPageBreak/>
        <w:t>Revenues and repayments</w:t>
      </w:r>
      <w:bookmarkEnd w:id="268"/>
      <w:r>
        <w:rPr>
          <w:noProof/>
        </w:rPr>
        <w:t>;</w:t>
      </w:r>
    </w:p>
    <w:p w:rsidR="0073489B" w:rsidRDefault="00A46D11">
      <w:pPr>
        <w:pStyle w:val="Heading5"/>
        <w:numPr>
          <w:ilvl w:val="0"/>
          <w:numId w:val="300"/>
        </w:numPr>
        <w:rPr>
          <w:b w:val="0"/>
          <w:noProof/>
        </w:rPr>
      </w:pPr>
      <w:r>
        <w:rPr>
          <w:b w:val="0"/>
          <w:noProof/>
        </w:rPr>
        <w:t>Revenues of the year 2016: 100 285;</w:t>
      </w:r>
    </w:p>
    <w:p w:rsidR="0073489B" w:rsidRDefault="00A46D11">
      <w:pPr>
        <w:pStyle w:val="Heading5"/>
        <w:numPr>
          <w:ilvl w:val="0"/>
          <w:numId w:val="300"/>
        </w:numPr>
        <w:spacing w:before="0"/>
        <w:ind w:left="357" w:hanging="357"/>
        <w:rPr>
          <w:b w:val="0"/>
          <w:noProof/>
        </w:rPr>
      </w:pPr>
      <w:r>
        <w:rPr>
          <w:b w:val="0"/>
          <w:noProof/>
        </w:rPr>
        <w:t>Repayments of the year 2016: none;</w:t>
      </w:r>
    </w:p>
    <w:p w:rsidR="0073489B" w:rsidRDefault="00A46D11">
      <w:pPr>
        <w:pStyle w:val="Heading5"/>
        <w:numPr>
          <w:ilvl w:val="0"/>
          <w:numId w:val="300"/>
        </w:numPr>
        <w:spacing w:before="0"/>
        <w:ind w:left="357" w:hanging="357"/>
        <w:rPr>
          <w:b w:val="0"/>
          <w:noProof/>
        </w:rPr>
      </w:pPr>
      <w:r>
        <w:rPr>
          <w:b w:val="0"/>
          <w:noProof/>
        </w:rPr>
        <w:t xml:space="preserve">Additional </w:t>
      </w:r>
      <w:r>
        <w:rPr>
          <w:b w:val="0"/>
          <w:noProof/>
        </w:rPr>
        <w:t>resources regularised in 2016 for the instrument: none.</w:t>
      </w:r>
    </w:p>
    <w:p w:rsidR="0073489B" w:rsidRDefault="00A46D11">
      <w:pPr>
        <w:pStyle w:val="Heading5"/>
        <w:ind w:hanging="76"/>
        <w:rPr>
          <w:noProof/>
        </w:rPr>
      </w:pPr>
      <w:r>
        <w:rPr>
          <w:noProof/>
        </w:rPr>
        <w:t>The value of equity investments, with respect to previous years;</w:t>
      </w:r>
    </w:p>
    <w:p w:rsidR="0073489B" w:rsidRDefault="00A46D11">
      <w:pPr>
        <w:spacing w:after="60"/>
        <w:ind w:left="360" w:right="141" w:hanging="76"/>
        <w:rPr>
          <w:noProof/>
          <w:szCs w:val="24"/>
        </w:rPr>
      </w:pPr>
      <w:r>
        <w:rPr>
          <w:noProof/>
          <w:szCs w:val="24"/>
        </w:rPr>
        <w:t>NA (guarantee fund).</w:t>
      </w:r>
    </w:p>
    <w:p w:rsidR="0073489B" w:rsidRDefault="00A46D11">
      <w:pPr>
        <w:pStyle w:val="Heading5"/>
        <w:spacing w:before="120"/>
        <w:ind w:left="284" w:firstLine="0"/>
        <w:jc w:val="both"/>
        <w:rPr>
          <w:noProof/>
        </w:rPr>
      </w:pPr>
      <w:bookmarkStart w:id="269" w:name="_Toc387228913"/>
      <w:r>
        <w:rPr>
          <w:noProof/>
        </w:rPr>
        <w:t>The accumulated figures on impairments of assets of equity or risk-sharing instruments, and on called guarantees f</w:t>
      </w:r>
      <w:r>
        <w:rPr>
          <w:noProof/>
        </w:rPr>
        <w:t>or guarantee instruments</w:t>
      </w:r>
      <w:bookmarkEnd w:id="269"/>
      <w:r>
        <w:rPr>
          <w:noProof/>
        </w:rPr>
        <w:t>;</w:t>
      </w:r>
    </w:p>
    <w:p w:rsidR="0073489B" w:rsidRDefault="00A46D11">
      <w:pPr>
        <w:spacing w:after="60"/>
        <w:ind w:left="360" w:right="141" w:hanging="76"/>
        <w:rPr>
          <w:noProof/>
          <w:szCs w:val="24"/>
        </w:rPr>
      </w:pPr>
      <w:r>
        <w:rPr>
          <w:noProof/>
          <w:szCs w:val="24"/>
        </w:rPr>
        <w:t>0</w:t>
      </w:r>
    </w:p>
    <w:p w:rsidR="0073489B" w:rsidRDefault="00A46D11">
      <w:pPr>
        <w:pStyle w:val="Heading5"/>
        <w:spacing w:before="120"/>
        <w:ind w:left="284" w:firstLine="0"/>
        <w:rPr>
          <w:noProof/>
        </w:rPr>
      </w:pPr>
      <w:bookmarkStart w:id="270" w:name="_Toc387228914"/>
      <w:r>
        <w:rPr>
          <w:noProof/>
        </w:rPr>
        <w:t>The target leverage effect, and the achieved leverage effect</w:t>
      </w:r>
      <w:bookmarkEnd w:id="270"/>
      <w:r>
        <w:rPr>
          <w:noProof/>
        </w:rPr>
        <w:t>;</w:t>
      </w:r>
    </w:p>
    <w:p w:rsidR="0073489B" w:rsidRDefault="00A46D11">
      <w:pPr>
        <w:spacing w:after="60"/>
        <w:ind w:left="284" w:right="141"/>
        <w:jc w:val="both"/>
        <w:rPr>
          <w:noProof/>
          <w:szCs w:val="24"/>
        </w:rPr>
      </w:pPr>
      <w:r>
        <w:rPr>
          <w:noProof/>
          <w:szCs w:val="24"/>
        </w:rPr>
        <w:t xml:space="preserve">EU contribution of EUR </w:t>
      </w:r>
      <w:r>
        <w:rPr>
          <w:noProof/>
        </w:rPr>
        <w:t xml:space="preserve">517 million is targeted to unlock about EUR 2 947 million in student loans; </w:t>
      </w:r>
      <w:r>
        <w:rPr>
          <w:rFonts w:ascii="TimesNewRomanPSMT" w:hAnsi="TimesNewRomanPSMT" w:cs="TimesNewRomanPSMT"/>
          <w:noProof/>
          <w:szCs w:val="24"/>
          <w:lang w:eastAsia="en-GB"/>
        </w:rPr>
        <w:t>the target leverage effect of the Student Loan Guarantee Facility i</w:t>
      </w:r>
      <w:r>
        <w:rPr>
          <w:rFonts w:ascii="TimesNewRomanPSMT" w:hAnsi="TimesNewRomanPSMT" w:cs="TimesNewRomanPSMT"/>
          <w:noProof/>
          <w:szCs w:val="24"/>
          <w:lang w:eastAsia="en-GB"/>
        </w:rPr>
        <w:t>s 5,7</w:t>
      </w:r>
      <w:r>
        <w:rPr>
          <w:rFonts w:ascii="TimesNewRomanPSMT" w:hAnsi="TimesNewRomanPSMT" w:cs="TimesNewRomanPSMT"/>
          <w:noProof/>
          <w:sz w:val="22"/>
          <w:lang w:eastAsia="en-GB"/>
        </w:rPr>
        <w:t>.</w:t>
      </w:r>
    </w:p>
    <w:p w:rsidR="0073489B" w:rsidRDefault="00A46D11">
      <w:pPr>
        <w:spacing w:after="60"/>
        <w:ind w:left="284" w:right="141"/>
        <w:jc w:val="both"/>
        <w:rPr>
          <w:noProof/>
          <w:szCs w:val="24"/>
        </w:rPr>
      </w:pPr>
      <w:r>
        <w:rPr>
          <w:noProof/>
          <w:szCs w:val="24"/>
        </w:rPr>
        <w:t>Due to the initial stage of the instrument and low initial take-up, the currently achieved</w:t>
      </w:r>
      <w:r>
        <w:rPr>
          <w:noProof/>
          <w:szCs w:val="24"/>
          <w:highlight w:val="yellow"/>
        </w:rPr>
        <w:t xml:space="preserve"> </w:t>
      </w:r>
      <w:r>
        <w:rPr>
          <w:noProof/>
          <w:szCs w:val="24"/>
        </w:rPr>
        <w:t>leverage is low still (0,026)</w:t>
      </w:r>
      <w:r>
        <w:rPr>
          <w:noProof/>
          <w:color w:val="FF33CC"/>
          <w:szCs w:val="24"/>
          <w:vertAlign w:val="superscript"/>
        </w:rPr>
        <w:footnoteReference w:id="140"/>
      </w:r>
      <w:r>
        <w:rPr>
          <w:noProof/>
          <w:szCs w:val="24"/>
        </w:rPr>
        <w:t xml:space="preserve"> and is intended to rise incrementally to an expected target leverage of 1,383 over the lifetime of the EU Guarantees signed.</w:t>
      </w:r>
      <w:r>
        <w:rPr>
          <w:rStyle w:val="FootnoteReference"/>
          <w:noProof/>
          <w:color w:val="FF33CC"/>
          <w:szCs w:val="24"/>
        </w:rPr>
        <w:footnoteReference w:id="141"/>
      </w:r>
    </w:p>
    <w:p w:rsidR="0073489B" w:rsidRDefault="0073489B">
      <w:pPr>
        <w:spacing w:after="60"/>
        <w:ind w:right="141"/>
        <w:rPr>
          <w:noProof/>
          <w:szCs w:val="24"/>
        </w:rPr>
      </w:pPr>
    </w:p>
    <w:p w:rsidR="0073489B" w:rsidRDefault="00A46D11">
      <w:pPr>
        <w:pStyle w:val="Heading4"/>
        <w:spacing w:before="0"/>
        <w:rPr>
          <w:noProof/>
        </w:rPr>
      </w:pPr>
      <w:bookmarkStart w:id="271" w:name="_Toc387228915"/>
      <w:bookmarkStart w:id="272" w:name="_Toc388541918"/>
      <w:r>
        <w:rPr>
          <w:noProof/>
        </w:rPr>
        <w:t>Strategic importance/relevance</w:t>
      </w:r>
      <w:bookmarkEnd w:id="271"/>
      <w:bookmarkEnd w:id="272"/>
    </w:p>
    <w:p w:rsidR="0073489B" w:rsidRDefault="00A46D11">
      <w:pPr>
        <w:pStyle w:val="Heading5"/>
        <w:spacing w:before="120"/>
        <w:ind w:left="284" w:firstLine="0"/>
        <w:jc w:val="both"/>
        <w:rPr>
          <w:i/>
          <w:noProof/>
        </w:rPr>
      </w:pPr>
      <w:bookmarkStart w:id="273" w:name="_Toc387228916"/>
      <w:r>
        <w:rPr>
          <w:noProof/>
        </w:rPr>
        <w:t>The contribution of the financial instrument to the achievement of the objectives of the programme concerned as measured by the established indicators, including, where applicable, the geographical diversification</w:t>
      </w:r>
      <w:bookmarkEnd w:id="273"/>
      <w:r>
        <w:rPr>
          <w:noProof/>
        </w:rPr>
        <w:t>;</w:t>
      </w:r>
    </w:p>
    <w:p w:rsidR="0073489B" w:rsidRDefault="0073489B">
      <w:pPr>
        <w:pStyle w:val="ListParagraph"/>
        <w:spacing w:after="60"/>
        <w:ind w:left="0"/>
        <w:jc w:val="both"/>
        <w:rPr>
          <w:noProof/>
          <w:szCs w:val="24"/>
        </w:rPr>
      </w:pPr>
    </w:p>
    <w:p w:rsidR="0073489B" w:rsidRDefault="00A46D11">
      <w:pPr>
        <w:pStyle w:val="ListParagraph"/>
        <w:spacing w:after="60"/>
        <w:ind w:left="0"/>
        <w:jc w:val="both"/>
        <w:rPr>
          <w:noProof/>
          <w:szCs w:val="24"/>
        </w:rPr>
      </w:pPr>
      <w:r>
        <w:rPr>
          <w:noProof/>
          <w:szCs w:val="24"/>
        </w:rPr>
        <w:t xml:space="preserve">A call </w:t>
      </w:r>
      <w:r>
        <w:rPr>
          <w:noProof/>
          <w:szCs w:val="24"/>
        </w:rPr>
        <w:t>for Expression of Interest by Financial Intermediaries was published by the EIF in February 2015. As at the end of 2016, the ERASMUS+ Student Loan Guarantee Facility leveraged an amount of almost EUR 160 million of available financing (through 6 signed gua</w:t>
      </w:r>
      <w:r>
        <w:rPr>
          <w:noProof/>
          <w:szCs w:val="24"/>
        </w:rPr>
        <w:t>rantee agreements totalling EUR 25 914 815), enabling to provide Erasmus+ Master Loans to an estimated 11 500 eligible Final Recipients during the next 3 years.</w:t>
      </w:r>
    </w:p>
    <w:p w:rsidR="0073489B" w:rsidRDefault="0073489B">
      <w:pPr>
        <w:pStyle w:val="ListParagraph"/>
        <w:spacing w:after="60"/>
        <w:ind w:left="0"/>
        <w:jc w:val="both"/>
        <w:rPr>
          <w:noProof/>
          <w:szCs w:val="24"/>
        </w:rPr>
      </w:pPr>
    </w:p>
    <w:p w:rsidR="0073489B" w:rsidRDefault="00A46D11">
      <w:pPr>
        <w:pStyle w:val="ListParagraph"/>
        <w:spacing w:after="60"/>
        <w:ind w:left="0"/>
        <w:jc w:val="both"/>
        <w:rPr>
          <w:noProof/>
          <w:szCs w:val="24"/>
        </w:rPr>
      </w:pPr>
      <w:r>
        <w:rPr>
          <w:noProof/>
          <w:szCs w:val="24"/>
        </w:rPr>
        <w:t>Further to the first guarantee agreement signed in June 2015 with a bank in Spain (resulting i</w:t>
      </w:r>
      <w:r>
        <w:rPr>
          <w:noProof/>
          <w:szCs w:val="24"/>
        </w:rPr>
        <w:t>n 85 loans granted in 2015), financial intermediaries in France, the UK and Turkey, as well as a first university (from Luxembourg) joined the scheme in 2016. A further 162 students obtained an EU-guaranteed Erasmus+ Master loan, mainly through the Spanish</w:t>
      </w:r>
      <w:r>
        <w:rPr>
          <w:noProof/>
          <w:szCs w:val="24"/>
        </w:rPr>
        <w:t xml:space="preserve"> intermediary. Already 28 of the Erasmus+ Programme Countries are either a country of origin or of destination for benefiting Master students. </w:t>
      </w:r>
    </w:p>
    <w:p w:rsidR="0073489B" w:rsidRDefault="0073489B">
      <w:pPr>
        <w:pStyle w:val="ListParagraph"/>
        <w:spacing w:after="60"/>
        <w:ind w:left="0"/>
        <w:jc w:val="both"/>
        <w:rPr>
          <w:noProof/>
          <w:szCs w:val="24"/>
        </w:rPr>
      </w:pPr>
    </w:p>
    <w:p w:rsidR="0073489B" w:rsidRDefault="00A46D11">
      <w:pPr>
        <w:pStyle w:val="ListParagraph"/>
        <w:spacing w:after="60"/>
        <w:ind w:left="0"/>
        <w:jc w:val="both"/>
        <w:rPr>
          <w:noProof/>
          <w:szCs w:val="24"/>
        </w:rPr>
      </w:pPr>
      <w:r>
        <w:rPr>
          <w:noProof/>
          <w:szCs w:val="24"/>
          <w:lang w:eastAsia="en-GB"/>
        </w:rPr>
        <w:lastRenderedPageBreak/>
        <w:drawing>
          <wp:inline distT="0" distB="0" distL="0" distR="0">
            <wp:extent cx="5502303" cy="3593937"/>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564" cy="3592801"/>
                    </a:xfrm>
                    <a:prstGeom prst="rect">
                      <a:avLst/>
                    </a:prstGeom>
                    <a:noFill/>
                  </pic:spPr>
                </pic:pic>
              </a:graphicData>
            </a:graphic>
          </wp:inline>
        </w:drawing>
      </w:r>
    </w:p>
    <w:p w:rsidR="0073489B" w:rsidRDefault="0073489B">
      <w:pPr>
        <w:pStyle w:val="ListParagraph"/>
        <w:spacing w:after="60"/>
        <w:ind w:left="0"/>
        <w:jc w:val="both"/>
        <w:rPr>
          <w:noProof/>
          <w:szCs w:val="24"/>
        </w:rPr>
      </w:pPr>
    </w:p>
    <w:p w:rsidR="0073489B" w:rsidRDefault="00A46D11">
      <w:pPr>
        <w:pStyle w:val="ListParagraph"/>
        <w:spacing w:after="60"/>
        <w:ind w:left="0"/>
        <w:jc w:val="both"/>
        <w:rPr>
          <w:noProof/>
          <w:szCs w:val="24"/>
        </w:rPr>
      </w:pPr>
      <w:r>
        <w:rPr>
          <w:noProof/>
          <w:szCs w:val="24"/>
          <w:lang w:eastAsia="en-GB"/>
        </w:rPr>
        <w:drawing>
          <wp:inline distT="0" distB="0" distL="0" distR="0">
            <wp:extent cx="5502303" cy="3538286"/>
            <wp:effectExtent l="0" t="0" r="3175" b="5080"/>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6102" cy="3540729"/>
                    </a:xfrm>
                    <a:prstGeom prst="rect">
                      <a:avLst/>
                    </a:prstGeom>
                    <a:noFill/>
                    <a:ln>
                      <a:noFill/>
                    </a:ln>
                    <a:effectLst/>
                    <a:extLst/>
                  </pic:spPr>
                </pic:pic>
              </a:graphicData>
            </a:graphic>
          </wp:inline>
        </w:drawing>
      </w:r>
    </w:p>
    <w:p w:rsidR="0073489B" w:rsidRDefault="0073489B">
      <w:pPr>
        <w:tabs>
          <w:tab w:val="left" w:pos="0"/>
        </w:tabs>
        <w:spacing w:after="60"/>
        <w:rPr>
          <w:noProof/>
        </w:rPr>
      </w:pPr>
    </w:p>
    <w:p w:rsidR="0073489B" w:rsidRDefault="00A46D11">
      <w:pPr>
        <w:pStyle w:val="ListParagraph"/>
        <w:spacing w:after="60"/>
        <w:ind w:left="0"/>
        <w:jc w:val="both"/>
        <w:rPr>
          <w:noProof/>
          <w:color w:val="000000"/>
          <w:spacing w:val="-2"/>
          <w:szCs w:val="24"/>
        </w:rPr>
      </w:pPr>
      <w:r>
        <w:rPr>
          <w:noProof/>
          <w:color w:val="000000"/>
          <w:spacing w:val="-2"/>
          <w:szCs w:val="24"/>
        </w:rPr>
        <w:t>In January 2017 the University of Luxembourg signed up to the Erasmus+ Master Loan Scheme, piloting an in</w:t>
      </w:r>
      <w:r>
        <w:rPr>
          <w:noProof/>
          <w:color w:val="000000"/>
          <w:spacing w:val="-2"/>
          <w:szCs w:val="24"/>
        </w:rPr>
        <w:t>novative arrangement (offering deferred payment of tuition and housing costs to incoming students - rather than a direct loan). This could potentially be replicated at universities in other countries and opens a highly interesting new deployment opportunit</w:t>
      </w:r>
      <w:r>
        <w:rPr>
          <w:noProof/>
          <w:color w:val="000000"/>
          <w:spacing w:val="-2"/>
          <w:szCs w:val="24"/>
        </w:rPr>
        <w:t>y for the Facility.</w:t>
      </w:r>
    </w:p>
    <w:p w:rsidR="0073489B" w:rsidRDefault="0073489B">
      <w:pPr>
        <w:pStyle w:val="ListParagraph"/>
        <w:spacing w:after="60"/>
        <w:ind w:left="0"/>
        <w:jc w:val="both"/>
        <w:rPr>
          <w:noProof/>
          <w:color w:val="000000"/>
          <w:spacing w:val="-2"/>
          <w:szCs w:val="24"/>
        </w:rPr>
      </w:pPr>
    </w:p>
    <w:p w:rsidR="0073489B" w:rsidRDefault="00A46D11">
      <w:pPr>
        <w:autoSpaceDE w:val="0"/>
        <w:autoSpaceDN w:val="0"/>
        <w:adjustRightInd w:val="0"/>
        <w:spacing w:after="80"/>
        <w:jc w:val="both"/>
        <w:rPr>
          <w:noProof/>
          <w:szCs w:val="24"/>
        </w:rPr>
      </w:pPr>
      <w:r>
        <w:rPr>
          <w:noProof/>
          <w:color w:val="000000"/>
          <w:szCs w:val="24"/>
        </w:rPr>
        <w:lastRenderedPageBreak/>
        <w:t>Initial feedback from students was positive in terms of policy objectives and implementation, though limited by the small sample size</w:t>
      </w:r>
      <w:r>
        <w:rPr>
          <w:rStyle w:val="FootnoteReference"/>
          <w:noProof/>
          <w:color w:val="000000"/>
          <w:szCs w:val="24"/>
        </w:rPr>
        <w:footnoteReference w:id="142"/>
      </w:r>
      <w:r>
        <w:rPr>
          <w:noProof/>
          <w:color w:val="000000"/>
          <w:szCs w:val="24"/>
        </w:rPr>
        <w:t xml:space="preserve">. </w:t>
      </w:r>
      <w:r>
        <w:rPr>
          <w:noProof/>
          <w:szCs w:val="24"/>
        </w:rPr>
        <w:t>70% of respondents stated tey would not have been able to study for their Master abroad without the</w:t>
      </w:r>
      <w:r>
        <w:rPr>
          <w:noProof/>
          <w:szCs w:val="24"/>
        </w:rPr>
        <w:t xml:space="preserve"> loan guaranteed through the scheme. Half of the respondents are 1</w:t>
      </w:r>
      <w:r>
        <w:rPr>
          <w:noProof/>
          <w:szCs w:val="24"/>
          <w:vertAlign w:val="superscript"/>
        </w:rPr>
        <w:t>st</w:t>
      </w:r>
      <w:r>
        <w:rPr>
          <w:noProof/>
          <w:szCs w:val="24"/>
        </w:rPr>
        <w:t xml:space="preserve"> generation higher education attendees, with a substantial number having families with 'some difficulty in making ends meet'.</w:t>
      </w:r>
    </w:p>
    <w:p w:rsidR="0073489B" w:rsidRDefault="00A46D11">
      <w:pPr>
        <w:tabs>
          <w:tab w:val="left" w:pos="0"/>
        </w:tabs>
        <w:spacing w:after="60"/>
        <w:jc w:val="both"/>
        <w:rPr>
          <w:noProof/>
        </w:rPr>
      </w:pPr>
      <w:r>
        <w:rPr>
          <w:noProof/>
        </w:rPr>
        <w:t xml:space="preserve">The Student Loan Guarantee Facility is available to financial </w:t>
      </w:r>
      <w:r>
        <w:rPr>
          <w:noProof/>
        </w:rPr>
        <w:t>institutions, which agree to offer loans on favourable terms to such mobile students. This additional and innovative tool for learning mobility will neither replace any current, nor impede the development of any future grant or loan system supporting stude</w:t>
      </w:r>
      <w:r>
        <w:rPr>
          <w:noProof/>
        </w:rPr>
        <w:t>nt mobility at local, national, or Union level.</w:t>
      </w:r>
    </w:p>
    <w:p w:rsidR="0073489B" w:rsidRDefault="0073489B">
      <w:pPr>
        <w:tabs>
          <w:tab w:val="left" w:pos="0"/>
        </w:tabs>
        <w:spacing w:after="60"/>
        <w:jc w:val="both"/>
        <w:rPr>
          <w:noProof/>
        </w:rPr>
      </w:pPr>
    </w:p>
    <w:p w:rsidR="0073489B" w:rsidRDefault="00A46D11">
      <w:pPr>
        <w:pStyle w:val="Heading4"/>
        <w:rPr>
          <w:noProof/>
        </w:rPr>
      </w:pPr>
      <w:bookmarkStart w:id="274" w:name="_Toc387228917"/>
      <w:bookmarkStart w:id="275" w:name="_Toc388541919"/>
      <w:r>
        <w:rPr>
          <w:noProof/>
        </w:rPr>
        <w:t>Other key points and issues</w:t>
      </w:r>
      <w:bookmarkEnd w:id="274"/>
      <w:bookmarkEnd w:id="275"/>
    </w:p>
    <w:p w:rsidR="0073489B" w:rsidRDefault="00A46D11">
      <w:pPr>
        <w:keepNext/>
        <w:numPr>
          <w:ilvl w:val="0"/>
          <w:numId w:val="113"/>
        </w:numPr>
        <w:spacing w:before="60"/>
        <w:ind w:left="142" w:hanging="139"/>
        <w:rPr>
          <w:b/>
          <w:i/>
          <w:noProof/>
        </w:rPr>
      </w:pPr>
      <w:r>
        <w:rPr>
          <w:b/>
          <w:i/>
          <w:noProof/>
        </w:rPr>
        <w:t xml:space="preserve"> Main issues for the implementation:</w:t>
      </w:r>
    </w:p>
    <w:p w:rsidR="0073489B" w:rsidRDefault="00A46D11">
      <w:pPr>
        <w:keepNext/>
        <w:numPr>
          <w:ilvl w:val="0"/>
          <w:numId w:val="133"/>
        </w:numPr>
        <w:ind w:hanging="218"/>
        <w:jc w:val="both"/>
        <w:rPr>
          <w:noProof/>
        </w:rPr>
      </w:pPr>
      <w:r>
        <w:rPr>
          <w:noProof/>
        </w:rPr>
        <w:t>a sufficient critical mass of Financial Intermediaries to ensure a successful implemenation of the programme.</w:t>
      </w:r>
    </w:p>
    <w:p w:rsidR="0073489B" w:rsidRDefault="00A46D11">
      <w:pPr>
        <w:numPr>
          <w:ilvl w:val="0"/>
          <w:numId w:val="133"/>
        </w:numPr>
        <w:ind w:hanging="218"/>
        <w:jc w:val="both"/>
        <w:rPr>
          <w:noProof/>
        </w:rPr>
      </w:pPr>
      <w:r>
        <w:rPr>
          <w:noProof/>
        </w:rPr>
        <w:t xml:space="preserve">adequate geographical spread of </w:t>
      </w:r>
      <w:r>
        <w:rPr>
          <w:noProof/>
        </w:rPr>
        <w:t>Financial Intermediaries, so as to ensure wide availability of the student loans across the 33 Erasmus+ Programme Countries.</w:t>
      </w:r>
    </w:p>
    <w:p w:rsidR="0073489B" w:rsidRDefault="00A46D11">
      <w:pPr>
        <w:numPr>
          <w:ilvl w:val="0"/>
          <w:numId w:val="113"/>
        </w:numPr>
        <w:spacing w:before="60"/>
        <w:ind w:left="142" w:hanging="139"/>
        <w:rPr>
          <w:b/>
          <w:i/>
          <w:noProof/>
        </w:rPr>
      </w:pPr>
      <w:r>
        <w:rPr>
          <w:b/>
          <w:i/>
          <w:noProof/>
        </w:rPr>
        <w:t>Main risks:</w:t>
      </w:r>
    </w:p>
    <w:p w:rsidR="0073489B" w:rsidRDefault="00A46D11">
      <w:pPr>
        <w:numPr>
          <w:ilvl w:val="0"/>
          <w:numId w:val="133"/>
        </w:numPr>
        <w:ind w:hanging="218"/>
        <w:jc w:val="both"/>
        <w:rPr>
          <w:noProof/>
        </w:rPr>
      </w:pPr>
      <w:r>
        <w:rPr>
          <w:noProof/>
        </w:rPr>
        <w:t>Negative interest: loss of capital.</w:t>
      </w:r>
    </w:p>
    <w:p w:rsidR="0073489B" w:rsidRDefault="00A46D11">
      <w:pPr>
        <w:numPr>
          <w:ilvl w:val="0"/>
          <w:numId w:val="133"/>
        </w:numPr>
        <w:ind w:hanging="218"/>
        <w:jc w:val="both"/>
        <w:rPr>
          <w:noProof/>
        </w:rPr>
      </w:pPr>
      <w:r>
        <w:rPr>
          <w:noProof/>
        </w:rPr>
        <w:t xml:space="preserve">As HEIs are organised in academic years, demand tends to be limited to specific </w:t>
      </w:r>
      <w:r>
        <w:rPr>
          <w:noProof/>
        </w:rPr>
        <w:t>periods: June to October.</w:t>
      </w:r>
    </w:p>
    <w:p w:rsidR="0073489B" w:rsidRDefault="00A46D11">
      <w:pPr>
        <w:numPr>
          <w:ilvl w:val="0"/>
          <w:numId w:val="133"/>
        </w:numPr>
        <w:ind w:hanging="218"/>
        <w:jc w:val="both"/>
        <w:rPr>
          <w:noProof/>
        </w:rPr>
      </w:pPr>
      <w:r>
        <w:rPr>
          <w:noProof/>
        </w:rPr>
        <w:t>Sufficient information to students (by universities and national agencies) on the opportunities offered to study abroad.</w:t>
      </w:r>
    </w:p>
    <w:p w:rsidR="0073489B" w:rsidRDefault="00A46D11">
      <w:pPr>
        <w:keepNext/>
        <w:numPr>
          <w:ilvl w:val="0"/>
          <w:numId w:val="113"/>
        </w:numPr>
        <w:spacing w:before="60"/>
        <w:ind w:left="148" w:hanging="142"/>
        <w:jc w:val="both"/>
        <w:rPr>
          <w:b/>
          <w:i/>
          <w:noProof/>
        </w:rPr>
      </w:pPr>
      <w:r>
        <w:rPr>
          <w:b/>
          <w:i/>
          <w:noProof/>
        </w:rPr>
        <w:t xml:space="preserve">General outlook: </w:t>
      </w:r>
    </w:p>
    <w:p w:rsidR="0073489B" w:rsidRDefault="00A46D11">
      <w:pPr>
        <w:numPr>
          <w:ilvl w:val="0"/>
          <w:numId w:val="133"/>
        </w:numPr>
        <w:ind w:hanging="218"/>
        <w:jc w:val="both"/>
        <w:rPr>
          <w:noProof/>
        </w:rPr>
      </w:pPr>
      <w:r>
        <w:rPr>
          <w:noProof/>
          <w:color w:val="000000"/>
          <w:spacing w:val="-2"/>
          <w:szCs w:val="24"/>
        </w:rPr>
        <w:t>The fact that universities are now participating opens up a highly interesting new deployme</w:t>
      </w:r>
      <w:r>
        <w:rPr>
          <w:noProof/>
          <w:color w:val="000000"/>
          <w:spacing w:val="-2"/>
          <w:szCs w:val="24"/>
        </w:rPr>
        <w:t>nt opportunity for the Facility, since universities are key stakeholders in the development of the Erasmus+ programme</w:t>
      </w:r>
      <w:r>
        <w:rPr>
          <w:noProof/>
        </w:rPr>
        <w:t>.</w:t>
      </w:r>
    </w:p>
    <w:p w:rsidR="0073489B" w:rsidRDefault="00A46D11">
      <w:pPr>
        <w:numPr>
          <w:ilvl w:val="0"/>
          <w:numId w:val="133"/>
        </w:numPr>
        <w:ind w:hanging="218"/>
        <w:jc w:val="both"/>
        <w:rPr>
          <w:noProof/>
        </w:rPr>
      </w:pPr>
      <w:r>
        <w:rPr>
          <w:noProof/>
          <w:color w:val="000000"/>
          <w:spacing w:val="-2"/>
          <w:szCs w:val="24"/>
        </w:rPr>
        <w:t>EIF is promoting this new opportunity with universities that could sign up individually, as well as in a national, thematic or European n</w:t>
      </w:r>
      <w:r>
        <w:rPr>
          <w:noProof/>
          <w:color w:val="000000"/>
          <w:spacing w:val="-2"/>
          <w:szCs w:val="24"/>
        </w:rPr>
        <w:t>etwork;</w:t>
      </w:r>
    </w:p>
    <w:p w:rsidR="0073489B" w:rsidRDefault="00A46D11">
      <w:pPr>
        <w:numPr>
          <w:ilvl w:val="0"/>
          <w:numId w:val="133"/>
        </w:numPr>
        <w:ind w:hanging="218"/>
        <w:jc w:val="both"/>
        <w:rPr>
          <w:noProof/>
        </w:rPr>
      </w:pPr>
      <w:r>
        <w:rPr>
          <w:noProof/>
        </w:rPr>
        <w:t>In the light of the current take-up, the EIF and the European Commission will maintain their commitment to the scheme's objectives but review the necessary budgetary allocations.</w:t>
      </w:r>
    </w:p>
    <w:p w:rsidR="0073489B" w:rsidRDefault="0073489B">
      <w:pPr>
        <w:ind w:left="644"/>
        <w:rPr>
          <w:noProof/>
        </w:rPr>
      </w:pPr>
    </w:p>
    <w:p w:rsidR="0073489B" w:rsidRDefault="00A46D11">
      <w:pPr>
        <w:pStyle w:val="Heading3"/>
        <w:spacing w:before="480" w:after="120"/>
      </w:pPr>
      <w:bookmarkStart w:id="276" w:name="_Private_Finance_for"/>
      <w:bookmarkStart w:id="277" w:name="_Toc387228919"/>
      <w:bookmarkStart w:id="278" w:name="_Toc388541921"/>
      <w:bookmarkStart w:id="279" w:name="_Toc393281942"/>
      <w:bookmarkStart w:id="280" w:name="_Toc486436759"/>
      <w:bookmarkEnd w:id="276"/>
      <w:r>
        <w:t>Private Finance for Energy Efficiency Instruments (PF4EE)</w:t>
      </w:r>
      <w:bookmarkEnd w:id="277"/>
      <w:bookmarkEnd w:id="278"/>
      <w:bookmarkEnd w:id="279"/>
      <w:bookmarkEnd w:id="280"/>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08"/>
        <w:gridCol w:w="4074"/>
      </w:tblGrid>
      <w:tr w:rsidR="0073489B">
        <w:trPr>
          <w:trHeight w:val="391"/>
          <w:jc w:val="center"/>
        </w:trPr>
        <w:tc>
          <w:tcPr>
            <w:tcW w:w="5208" w:type="dxa"/>
            <w:tcBorders>
              <w:bottom w:val="single" w:sz="4" w:space="0" w:color="auto"/>
            </w:tcBorders>
            <w:shd w:val="clear" w:color="auto" w:fill="auto"/>
          </w:tcPr>
          <w:p w:rsidR="0073489B" w:rsidRDefault="00A46D11">
            <w:pPr>
              <w:spacing w:before="60"/>
              <w:ind w:left="-3" w:firstLine="3"/>
              <w:rPr>
                <w:noProof/>
                <w:szCs w:val="24"/>
              </w:rPr>
            </w:pPr>
            <w:r>
              <w:rPr>
                <w:b/>
                <w:noProof/>
                <w:szCs w:val="24"/>
              </w:rPr>
              <w:t xml:space="preserve">Policy DG </w:t>
            </w:r>
            <w:r>
              <w:rPr>
                <w:b/>
                <w:noProof/>
                <w:szCs w:val="24"/>
              </w:rPr>
              <w:t>in charge</w:t>
            </w:r>
            <w:r>
              <w:rPr>
                <w:noProof/>
                <w:szCs w:val="24"/>
              </w:rPr>
              <w:t xml:space="preserve">:  </w:t>
            </w:r>
          </w:p>
        </w:tc>
        <w:tc>
          <w:tcPr>
            <w:tcW w:w="4074" w:type="dxa"/>
            <w:tcBorders>
              <w:bottom w:val="single" w:sz="4" w:space="0" w:color="auto"/>
            </w:tcBorders>
            <w:shd w:val="clear" w:color="auto" w:fill="auto"/>
          </w:tcPr>
          <w:p w:rsidR="0073489B" w:rsidRDefault="00A46D11">
            <w:pPr>
              <w:spacing w:before="60"/>
              <w:jc w:val="center"/>
              <w:rPr>
                <w:noProof/>
                <w:szCs w:val="24"/>
              </w:rPr>
            </w:pPr>
            <w:r>
              <w:rPr>
                <w:noProof/>
                <w:szCs w:val="24"/>
              </w:rPr>
              <w:t>DG CLIMA</w:t>
            </w:r>
          </w:p>
        </w:tc>
      </w:tr>
      <w:tr w:rsidR="0073489B">
        <w:trPr>
          <w:trHeight w:val="409"/>
          <w:jc w:val="center"/>
        </w:trPr>
        <w:tc>
          <w:tcPr>
            <w:tcW w:w="5208" w:type="dxa"/>
            <w:tcBorders>
              <w:bottom w:val="single" w:sz="4" w:space="0" w:color="auto"/>
            </w:tcBorders>
            <w:shd w:val="clear" w:color="auto" w:fill="auto"/>
          </w:tcPr>
          <w:p w:rsidR="0073489B" w:rsidRDefault="00A46D11">
            <w:pPr>
              <w:spacing w:before="60"/>
              <w:rPr>
                <w:noProof/>
                <w:szCs w:val="24"/>
              </w:rPr>
            </w:pPr>
            <w:r>
              <w:rPr>
                <w:b/>
                <w:noProof/>
                <w:szCs w:val="24"/>
              </w:rPr>
              <w:t>Implementing DG in charge</w:t>
            </w:r>
            <w:r>
              <w:rPr>
                <w:noProof/>
                <w:szCs w:val="24"/>
              </w:rPr>
              <w:t xml:space="preserve">:  </w:t>
            </w:r>
          </w:p>
        </w:tc>
        <w:tc>
          <w:tcPr>
            <w:tcW w:w="4074" w:type="dxa"/>
            <w:tcBorders>
              <w:bottom w:val="single" w:sz="4" w:space="0" w:color="auto"/>
            </w:tcBorders>
            <w:shd w:val="clear" w:color="auto" w:fill="auto"/>
          </w:tcPr>
          <w:p w:rsidR="0073489B" w:rsidRDefault="00A46D11">
            <w:pPr>
              <w:spacing w:before="60"/>
              <w:jc w:val="center"/>
              <w:rPr>
                <w:noProof/>
                <w:szCs w:val="24"/>
              </w:rPr>
            </w:pPr>
            <w:r>
              <w:rPr>
                <w:noProof/>
                <w:szCs w:val="24"/>
              </w:rPr>
              <w:t>DG CLIMA</w:t>
            </w:r>
          </w:p>
        </w:tc>
      </w:tr>
      <w:tr w:rsidR="0073489B">
        <w:trPr>
          <w:trHeight w:val="374"/>
          <w:jc w:val="center"/>
        </w:trPr>
        <w:tc>
          <w:tcPr>
            <w:tcW w:w="5208" w:type="dxa"/>
            <w:tcBorders>
              <w:top w:val="single" w:sz="4" w:space="0" w:color="auto"/>
              <w:bottom w:val="single" w:sz="4" w:space="0" w:color="auto"/>
            </w:tcBorders>
            <w:shd w:val="clear" w:color="auto" w:fill="auto"/>
          </w:tcPr>
          <w:p w:rsidR="0073489B" w:rsidRDefault="00A46D11">
            <w:pPr>
              <w:spacing w:before="60"/>
              <w:rPr>
                <w:noProof/>
                <w:szCs w:val="24"/>
              </w:rPr>
            </w:pPr>
            <w:r>
              <w:rPr>
                <w:b/>
                <w:noProof/>
                <w:szCs w:val="24"/>
              </w:rPr>
              <w:t>Operating Body in charge</w:t>
            </w:r>
            <w:r>
              <w:rPr>
                <w:noProof/>
                <w:szCs w:val="24"/>
              </w:rPr>
              <w:t>:</w:t>
            </w:r>
          </w:p>
        </w:tc>
        <w:tc>
          <w:tcPr>
            <w:tcW w:w="4074" w:type="dxa"/>
            <w:tcBorders>
              <w:top w:val="single" w:sz="4" w:space="0" w:color="auto"/>
              <w:bottom w:val="single" w:sz="4" w:space="0" w:color="auto"/>
            </w:tcBorders>
            <w:shd w:val="clear" w:color="auto" w:fill="auto"/>
          </w:tcPr>
          <w:p w:rsidR="0073489B" w:rsidRDefault="00A46D11">
            <w:pPr>
              <w:spacing w:before="60"/>
              <w:jc w:val="center"/>
              <w:rPr>
                <w:noProof/>
                <w:szCs w:val="24"/>
              </w:rPr>
            </w:pPr>
            <w:r>
              <w:rPr>
                <w:noProof/>
                <w:szCs w:val="24"/>
              </w:rPr>
              <w:t>EIB</w:t>
            </w:r>
          </w:p>
        </w:tc>
      </w:tr>
      <w:tr w:rsidR="0073489B">
        <w:trPr>
          <w:trHeight w:val="431"/>
          <w:jc w:val="center"/>
        </w:trPr>
        <w:tc>
          <w:tcPr>
            <w:tcW w:w="5208" w:type="dxa"/>
            <w:tcBorders>
              <w:top w:val="single" w:sz="4" w:space="0" w:color="auto"/>
              <w:bottom w:val="single" w:sz="4" w:space="0" w:color="auto"/>
            </w:tcBorders>
            <w:shd w:val="clear" w:color="auto" w:fill="auto"/>
          </w:tcPr>
          <w:p w:rsidR="0073489B" w:rsidRDefault="00A46D11">
            <w:pPr>
              <w:spacing w:before="60"/>
              <w:rPr>
                <w:noProof/>
                <w:szCs w:val="24"/>
              </w:rPr>
            </w:pPr>
            <w:r>
              <w:rPr>
                <w:b/>
                <w:noProof/>
                <w:szCs w:val="24"/>
              </w:rPr>
              <w:t>Initial Overall Budget Envelope:</w:t>
            </w:r>
          </w:p>
        </w:tc>
        <w:tc>
          <w:tcPr>
            <w:tcW w:w="4074" w:type="dxa"/>
            <w:tcBorders>
              <w:top w:val="single" w:sz="4" w:space="0" w:color="auto"/>
              <w:bottom w:val="single" w:sz="4" w:space="0" w:color="auto"/>
            </w:tcBorders>
            <w:shd w:val="clear" w:color="auto" w:fill="auto"/>
          </w:tcPr>
          <w:p w:rsidR="0073489B" w:rsidRDefault="00A46D11">
            <w:pPr>
              <w:spacing w:before="60"/>
              <w:jc w:val="center"/>
              <w:rPr>
                <w:noProof/>
                <w:szCs w:val="24"/>
              </w:rPr>
            </w:pPr>
            <w:r>
              <w:rPr>
                <w:noProof/>
                <w:szCs w:val="24"/>
              </w:rPr>
              <w:t>EUR 80 million</w:t>
            </w:r>
            <w:r>
              <w:rPr>
                <w:rStyle w:val="FootnoteReference"/>
                <w:noProof/>
                <w:szCs w:val="24"/>
              </w:rPr>
              <w:footnoteReference w:id="143"/>
            </w:r>
          </w:p>
        </w:tc>
      </w:tr>
      <w:tr w:rsidR="0073489B">
        <w:trPr>
          <w:trHeight w:val="250"/>
          <w:jc w:val="center"/>
        </w:trPr>
        <w:tc>
          <w:tcPr>
            <w:tcW w:w="5208" w:type="dxa"/>
            <w:tcBorders>
              <w:top w:val="single" w:sz="4" w:space="0" w:color="auto"/>
            </w:tcBorders>
            <w:shd w:val="clear" w:color="auto" w:fill="auto"/>
          </w:tcPr>
          <w:p w:rsidR="0073489B" w:rsidRDefault="00A46D11">
            <w:pPr>
              <w:spacing w:before="60" w:after="60"/>
              <w:rPr>
                <w:b/>
                <w:noProof/>
                <w:szCs w:val="24"/>
              </w:rPr>
            </w:pPr>
            <w:r>
              <w:rPr>
                <w:b/>
                <w:noProof/>
                <w:szCs w:val="24"/>
              </w:rPr>
              <w:t>Current Overall Budget:</w:t>
            </w:r>
          </w:p>
        </w:tc>
        <w:tc>
          <w:tcPr>
            <w:tcW w:w="4074" w:type="dxa"/>
            <w:tcBorders>
              <w:top w:val="single" w:sz="4" w:space="0" w:color="auto"/>
            </w:tcBorders>
            <w:shd w:val="clear" w:color="auto" w:fill="auto"/>
          </w:tcPr>
          <w:p w:rsidR="0073489B" w:rsidRDefault="00A46D11">
            <w:pPr>
              <w:spacing w:before="60" w:after="60"/>
              <w:jc w:val="center"/>
              <w:rPr>
                <w:noProof/>
                <w:szCs w:val="24"/>
              </w:rPr>
            </w:pPr>
            <w:r>
              <w:rPr>
                <w:noProof/>
                <w:szCs w:val="24"/>
              </w:rPr>
              <w:t xml:space="preserve">EUR 80 million </w:t>
            </w:r>
            <w:r>
              <w:rPr>
                <w:i/>
                <w:noProof/>
                <w:szCs w:val="24"/>
              </w:rPr>
              <w:t>(2014-2017)</w:t>
            </w:r>
            <w:r>
              <w:rPr>
                <w:rStyle w:val="FootnoteReference"/>
                <w:i/>
                <w:noProof/>
                <w:szCs w:val="24"/>
              </w:rPr>
              <w:footnoteReference w:id="144"/>
            </w:r>
          </w:p>
        </w:tc>
      </w:tr>
    </w:tbl>
    <w:p w:rsidR="0073489B" w:rsidRDefault="00A46D11">
      <w:pPr>
        <w:pStyle w:val="Heading4"/>
        <w:numPr>
          <w:ilvl w:val="0"/>
          <w:numId w:val="34"/>
        </w:numPr>
        <w:spacing w:before="120" w:after="160"/>
        <w:ind w:left="284"/>
        <w:rPr>
          <w:noProof/>
        </w:rPr>
      </w:pPr>
      <w:bookmarkStart w:id="281" w:name="_Toc387228920"/>
      <w:bookmarkStart w:id="282" w:name="_Toc388541922"/>
      <w:r>
        <w:rPr>
          <w:noProof/>
        </w:rPr>
        <w:lastRenderedPageBreak/>
        <w:t>Summary</w:t>
      </w:r>
    </w:p>
    <w:p w:rsidR="0073489B" w:rsidRDefault="00A46D11">
      <w:pPr>
        <w:spacing w:before="200" w:after="60"/>
        <w:ind w:right="141"/>
        <w:jc w:val="both"/>
        <w:rPr>
          <w:noProof/>
          <w:szCs w:val="24"/>
        </w:rPr>
      </w:pPr>
      <w:r>
        <w:rPr>
          <w:noProof/>
          <w:szCs w:val="24"/>
        </w:rPr>
        <w:t>The PF4EE is a guarantee instrument providing access</w:t>
      </w:r>
      <w:r>
        <w:rPr>
          <w:noProof/>
          <w:szCs w:val="24"/>
        </w:rPr>
        <w:t xml:space="preserve"> to finance for energy efficiency (EE) investments which implement National Energy Efficiency Action Plans (NEEAP) of Participating Countries, or other programmes in line with EU Directives relating to Energy Efficiency.</w:t>
      </w:r>
      <w:r>
        <w:rPr>
          <w:noProof/>
        </w:rPr>
        <w:t xml:space="preserve"> </w:t>
      </w:r>
      <w:r>
        <w:rPr>
          <w:noProof/>
          <w:szCs w:val="24"/>
        </w:rPr>
        <w:t>The final recipients include privat</w:t>
      </w:r>
      <w:r>
        <w:rPr>
          <w:noProof/>
          <w:szCs w:val="24"/>
        </w:rPr>
        <w:t>e individuals, home-owner associations, SMEs, corporates and/or public institutions/bodies.</w:t>
      </w:r>
    </w:p>
    <w:p w:rsidR="0073489B" w:rsidRDefault="00A46D11">
      <w:pPr>
        <w:spacing w:after="60"/>
        <w:ind w:right="141"/>
        <w:jc w:val="both"/>
        <w:rPr>
          <w:noProof/>
          <w:szCs w:val="24"/>
        </w:rPr>
      </w:pPr>
      <w:r>
        <w:rPr>
          <w:noProof/>
          <w:szCs w:val="24"/>
        </w:rPr>
        <w:t xml:space="preserve">It is implemented under indirect management by the European Investment Bank. The delegation agreement (DA) was signed on 8 December 2014. </w:t>
      </w:r>
    </w:p>
    <w:p w:rsidR="0073489B" w:rsidRDefault="00A46D11">
      <w:pPr>
        <w:shd w:val="clear" w:color="auto" w:fill="FFFFFF"/>
        <w:spacing w:after="60"/>
        <w:ind w:right="20"/>
        <w:jc w:val="both"/>
        <w:rPr>
          <w:noProof/>
          <w:szCs w:val="24"/>
        </w:rPr>
      </w:pPr>
      <w:r>
        <w:rPr>
          <w:noProof/>
          <w:szCs w:val="24"/>
        </w:rPr>
        <w:t>The instrument aims to in</w:t>
      </w:r>
      <w:r>
        <w:rPr>
          <w:noProof/>
          <w:szCs w:val="24"/>
        </w:rPr>
        <w:t xml:space="preserve">crease lending activity and to improve financing conditions for final recipients through, among others, lower pricing, longer maturities and lighter securities requirements. </w:t>
      </w:r>
    </w:p>
    <w:p w:rsidR="0073489B" w:rsidRDefault="0073489B">
      <w:pPr>
        <w:shd w:val="clear" w:color="auto" w:fill="FFFFFF"/>
        <w:spacing w:after="60"/>
        <w:ind w:right="20"/>
        <w:rPr>
          <w:noProof/>
          <w:szCs w:val="24"/>
        </w:rPr>
      </w:pPr>
    </w:p>
    <w:p w:rsidR="0073489B" w:rsidRDefault="00A46D11">
      <w:pPr>
        <w:pStyle w:val="Heading4"/>
        <w:numPr>
          <w:ilvl w:val="0"/>
          <w:numId w:val="34"/>
        </w:numPr>
        <w:ind w:left="284" w:hanging="426"/>
        <w:rPr>
          <w:noProof/>
        </w:rPr>
      </w:pPr>
      <w:r>
        <w:rPr>
          <w:noProof/>
        </w:rPr>
        <w:t>Description</w:t>
      </w:r>
      <w:bookmarkEnd w:id="281"/>
      <w:bookmarkEnd w:id="282"/>
    </w:p>
    <w:p w:rsidR="0073489B" w:rsidRDefault="00A46D11">
      <w:pPr>
        <w:pStyle w:val="Heading5"/>
        <w:numPr>
          <w:ilvl w:val="0"/>
          <w:numId w:val="35"/>
        </w:numPr>
        <w:spacing w:before="120"/>
        <w:ind w:left="284" w:firstLine="0"/>
        <w:rPr>
          <w:noProof/>
        </w:rPr>
      </w:pPr>
      <w:bookmarkStart w:id="283" w:name="_Toc387228921"/>
      <w:r>
        <w:rPr>
          <w:noProof/>
        </w:rPr>
        <w:t>Identification of the financial instrument and the basic act</w:t>
      </w:r>
      <w:bookmarkEnd w:id="283"/>
      <w:r>
        <w:rPr>
          <w:noProof/>
        </w:rPr>
        <w:t>;</w:t>
      </w:r>
    </w:p>
    <w:p w:rsidR="0073489B" w:rsidRDefault="00A46D11">
      <w:pPr>
        <w:pStyle w:val="ListParagraph"/>
        <w:spacing w:after="60"/>
        <w:ind w:left="0" w:right="141" w:firstLine="3"/>
        <w:jc w:val="both"/>
        <w:rPr>
          <w:noProof/>
          <w:szCs w:val="24"/>
        </w:rPr>
      </w:pPr>
      <w:bookmarkStart w:id="284" w:name="_Toc387228922"/>
      <w:r>
        <w:rPr>
          <w:noProof/>
          <w:szCs w:val="24"/>
        </w:rPr>
        <w:t>Regulation (EU) N° 1293/2013 of the European Parliament and of the Council of 11 December 2013 on the establishment of a Programme for the Environment and Climate Action (LIFE) Article 17.</w:t>
      </w:r>
      <w:r>
        <w:rPr>
          <w:rStyle w:val="FootnoteReference"/>
          <w:noProof/>
          <w:szCs w:val="24"/>
        </w:rPr>
        <w:footnoteReference w:id="145"/>
      </w:r>
    </w:p>
    <w:p w:rsidR="0073489B" w:rsidRDefault="00A46D11">
      <w:pPr>
        <w:pStyle w:val="Heading5"/>
        <w:numPr>
          <w:ilvl w:val="0"/>
          <w:numId w:val="81"/>
        </w:numPr>
        <w:spacing w:before="120"/>
        <w:ind w:left="284" w:firstLine="0"/>
        <w:jc w:val="both"/>
        <w:rPr>
          <w:noProof/>
        </w:rPr>
      </w:pPr>
      <w:r>
        <w:rPr>
          <w:noProof/>
        </w:rPr>
        <w:t>Description of the financial instrument, implementation arrangemen</w:t>
      </w:r>
      <w:r>
        <w:rPr>
          <w:noProof/>
        </w:rPr>
        <w:t>ts and the added value of the Union contribution</w:t>
      </w:r>
      <w:bookmarkEnd w:id="284"/>
      <w:r>
        <w:rPr>
          <w:noProof/>
        </w:rPr>
        <w:t>;</w:t>
      </w:r>
    </w:p>
    <w:p w:rsidR="0073489B" w:rsidRDefault="00A46D11">
      <w:pPr>
        <w:keepNext/>
        <w:ind w:right="142"/>
        <w:jc w:val="both"/>
        <w:rPr>
          <w:i/>
          <w:noProof/>
          <w:szCs w:val="24"/>
        </w:rPr>
      </w:pPr>
      <w:r>
        <w:rPr>
          <w:i/>
          <w:noProof/>
          <w:szCs w:val="24"/>
        </w:rPr>
        <w:t>Policy objectives and scope</w:t>
      </w:r>
    </w:p>
    <w:p w:rsidR="0073489B" w:rsidRDefault="00A46D11">
      <w:pPr>
        <w:spacing w:after="60"/>
        <w:ind w:right="141"/>
        <w:jc w:val="both"/>
        <w:rPr>
          <w:noProof/>
          <w:szCs w:val="24"/>
        </w:rPr>
      </w:pPr>
      <w:r>
        <w:rPr>
          <w:noProof/>
          <w:szCs w:val="24"/>
        </w:rPr>
        <w:t xml:space="preserve">The PF4EE is a guarantee instrument which is implemented under indirect management by the European Investment Bank. The delegation agreement (DA) was signed on 8 December 2014. </w:t>
      </w:r>
    </w:p>
    <w:p w:rsidR="0073489B" w:rsidRDefault="00A46D11">
      <w:pPr>
        <w:spacing w:after="60"/>
        <w:ind w:right="20"/>
        <w:jc w:val="both"/>
        <w:rPr>
          <w:noProof/>
          <w:szCs w:val="24"/>
        </w:rPr>
      </w:pPr>
      <w:r>
        <w:rPr>
          <w:noProof/>
          <w:szCs w:val="24"/>
        </w:rPr>
        <w:t xml:space="preserve">The PF4EE is conceived as a pilot initiative in the years 2014-2017 but designed to be extended and scaled up. PF4EE aims to provide access to adequate and affordable commercial financing for eligible energy efficiency (EE) investments targeted by schemes </w:t>
      </w:r>
      <w:r>
        <w:rPr>
          <w:noProof/>
          <w:szCs w:val="24"/>
        </w:rPr>
        <w:t>developed by Participating Countries to implement their National Energy Efficiency Action Plans (NEEAP) or other programmes in line with EU Directives relating to Energy Efficiency.</w:t>
      </w:r>
    </w:p>
    <w:p w:rsidR="0073489B" w:rsidRDefault="00A46D11">
      <w:pPr>
        <w:ind w:right="20"/>
        <w:rPr>
          <w:i/>
          <w:noProof/>
          <w:szCs w:val="24"/>
        </w:rPr>
      </w:pPr>
      <w:r>
        <w:rPr>
          <w:i/>
          <w:noProof/>
          <w:szCs w:val="24"/>
        </w:rPr>
        <w:t>Implementation arrangements</w:t>
      </w:r>
    </w:p>
    <w:p w:rsidR="0073489B" w:rsidRDefault="00A46D11">
      <w:pPr>
        <w:spacing w:after="60"/>
        <w:ind w:right="20"/>
        <w:jc w:val="both"/>
        <w:rPr>
          <w:noProof/>
          <w:szCs w:val="24"/>
        </w:rPr>
      </w:pPr>
      <w:r>
        <w:rPr>
          <w:noProof/>
          <w:szCs w:val="24"/>
        </w:rPr>
        <w:t>The PF4EE instrument provides to financial int</w:t>
      </w:r>
      <w:r>
        <w:rPr>
          <w:noProof/>
          <w:szCs w:val="24"/>
        </w:rPr>
        <w:t xml:space="preserve">ermediaries (FIs): </w:t>
      </w:r>
    </w:p>
    <w:p w:rsidR="0073489B" w:rsidRDefault="00A46D11">
      <w:pPr>
        <w:pStyle w:val="ListParagraph"/>
        <w:numPr>
          <w:ilvl w:val="0"/>
          <w:numId w:val="169"/>
        </w:numPr>
        <w:ind w:right="20"/>
        <w:jc w:val="both"/>
        <w:rPr>
          <w:noProof/>
          <w:szCs w:val="24"/>
        </w:rPr>
      </w:pPr>
      <w:r>
        <w:rPr>
          <w:noProof/>
          <w:szCs w:val="24"/>
        </w:rPr>
        <w:t xml:space="preserve">a portfolio-based credit risk protection (Risk Sharing Facility or RSF), combined with </w:t>
      </w:r>
    </w:p>
    <w:p w:rsidR="0073489B" w:rsidRDefault="00A46D11">
      <w:pPr>
        <w:pStyle w:val="ListParagraph"/>
        <w:numPr>
          <w:ilvl w:val="0"/>
          <w:numId w:val="169"/>
        </w:numPr>
        <w:ind w:right="20"/>
        <w:jc w:val="both"/>
        <w:rPr>
          <w:noProof/>
          <w:szCs w:val="24"/>
        </w:rPr>
      </w:pPr>
      <w:r>
        <w:rPr>
          <w:noProof/>
          <w:szCs w:val="24"/>
        </w:rPr>
        <w:t>expert support services for the FIs in order to support the implementation of the PF4EE instrument and</w:t>
      </w:r>
    </w:p>
    <w:p w:rsidR="0073489B" w:rsidRDefault="00A46D11">
      <w:pPr>
        <w:pStyle w:val="ListParagraph"/>
        <w:numPr>
          <w:ilvl w:val="0"/>
          <w:numId w:val="169"/>
        </w:numPr>
        <w:ind w:right="20"/>
        <w:jc w:val="both"/>
        <w:rPr>
          <w:noProof/>
          <w:szCs w:val="24"/>
        </w:rPr>
      </w:pPr>
      <w:r>
        <w:rPr>
          <w:noProof/>
          <w:szCs w:val="24"/>
        </w:rPr>
        <w:t>long-term financing.</w:t>
      </w:r>
    </w:p>
    <w:p w:rsidR="0073489B" w:rsidRDefault="00A46D11">
      <w:pPr>
        <w:spacing w:after="60"/>
        <w:ind w:right="20"/>
        <w:jc w:val="both"/>
        <w:rPr>
          <w:noProof/>
          <w:szCs w:val="24"/>
        </w:rPr>
      </w:pPr>
      <w:r>
        <w:rPr>
          <w:noProof/>
          <w:szCs w:val="24"/>
        </w:rPr>
        <w:t>The RSF is designed to m</w:t>
      </w:r>
      <w:r>
        <w:rPr>
          <w:noProof/>
          <w:szCs w:val="24"/>
        </w:rPr>
        <w:t xml:space="preserve">itigate the credit risk faced by FIs when lending to final recipients undertaking eligible EE investments. By means of collateral deposited on the collateral account, the RSF will cover losses at the collateral rate incurred under EE loans included in the </w:t>
      </w:r>
      <w:r>
        <w:rPr>
          <w:noProof/>
          <w:szCs w:val="24"/>
        </w:rPr>
        <w:t xml:space="preserve">portfolio to be built by the FIs for the financing of EE investments. </w:t>
      </w:r>
    </w:p>
    <w:p w:rsidR="0073489B" w:rsidRDefault="00A46D11">
      <w:pPr>
        <w:shd w:val="clear" w:color="auto" w:fill="FFFFFF"/>
        <w:spacing w:after="60"/>
        <w:ind w:right="20"/>
        <w:jc w:val="both"/>
        <w:rPr>
          <w:noProof/>
          <w:szCs w:val="24"/>
        </w:rPr>
      </w:pPr>
      <w:r>
        <w:rPr>
          <w:noProof/>
          <w:szCs w:val="24"/>
        </w:rPr>
        <w:t xml:space="preserve">The size of the EE loans provided to beneficiaries range from EUR 40 000, which can be reduced to accommodate small investments within the residential sector, to EUR 5 million and in exceptional cases up to EUR 15 million. </w:t>
      </w:r>
    </w:p>
    <w:p w:rsidR="0073489B" w:rsidRDefault="00A46D11">
      <w:pPr>
        <w:shd w:val="clear" w:color="auto" w:fill="FFFFFF"/>
        <w:ind w:right="20"/>
        <w:jc w:val="both"/>
        <w:rPr>
          <w:i/>
          <w:noProof/>
          <w:szCs w:val="24"/>
        </w:rPr>
      </w:pPr>
      <w:r>
        <w:rPr>
          <w:i/>
          <w:noProof/>
          <w:szCs w:val="24"/>
        </w:rPr>
        <w:lastRenderedPageBreak/>
        <w:t>EU added value</w:t>
      </w:r>
    </w:p>
    <w:p w:rsidR="0073489B" w:rsidRDefault="00A46D11">
      <w:pPr>
        <w:shd w:val="clear" w:color="auto" w:fill="FFFFFF"/>
        <w:spacing w:after="60"/>
        <w:ind w:right="20"/>
        <w:jc w:val="both"/>
        <w:rPr>
          <w:noProof/>
          <w:szCs w:val="24"/>
        </w:rPr>
      </w:pPr>
      <w:r>
        <w:rPr>
          <w:noProof/>
          <w:szCs w:val="24"/>
        </w:rPr>
        <w:t>The RSF aims to i</w:t>
      </w:r>
      <w:r>
        <w:rPr>
          <w:noProof/>
          <w:szCs w:val="24"/>
        </w:rPr>
        <w:t>ncrease lending activity and to improve financing conditions for final recipients through, among others, lower pricing, longer maturities and lighter securities requirements. The EIB loan for EE to the FIs may complement the RSF. Such EIB loans for EE will</w:t>
      </w:r>
      <w:r>
        <w:rPr>
          <w:noProof/>
          <w:szCs w:val="24"/>
        </w:rPr>
        <w:t xml:space="preserve"> be provided by the EIB at competitive rates and with long-maturities. </w:t>
      </w:r>
    </w:p>
    <w:p w:rsidR="0073489B" w:rsidRDefault="00A46D11">
      <w:pPr>
        <w:shd w:val="clear" w:color="auto" w:fill="FFFFFF"/>
        <w:spacing w:after="60"/>
        <w:ind w:right="20"/>
        <w:jc w:val="both"/>
        <w:rPr>
          <w:rFonts w:eastAsia="Times New Roman"/>
          <w:noProof/>
          <w:szCs w:val="24"/>
          <w:lang w:eastAsia="en-GB"/>
        </w:rPr>
      </w:pPr>
      <w:r>
        <w:rPr>
          <w:noProof/>
          <w:szCs w:val="24"/>
        </w:rPr>
        <w:t>The final recipients include private individuals, home-owner associations, SMEs, corporates and/or public institutions/bodies, undertaking EE investments in line with the NEEAP of each</w:t>
      </w:r>
      <w:r>
        <w:rPr>
          <w:noProof/>
          <w:szCs w:val="24"/>
        </w:rPr>
        <w:t xml:space="preserve"> Member States.</w:t>
      </w:r>
      <w:bookmarkStart w:id="285" w:name="_Toc387228923"/>
    </w:p>
    <w:p w:rsidR="0073489B" w:rsidRDefault="00A46D11">
      <w:pPr>
        <w:pStyle w:val="Heading5"/>
        <w:spacing w:before="120" w:after="240"/>
        <w:ind w:left="284" w:firstLine="0"/>
        <w:rPr>
          <w:noProof/>
        </w:rPr>
      </w:pPr>
      <w:r>
        <w:rPr>
          <w:noProof/>
        </w:rPr>
        <w:t>The financial institutions involved in implementation</w:t>
      </w:r>
      <w:bookmarkEnd w:id="285"/>
      <w:r>
        <w:rPr>
          <w:noProof/>
        </w:rPr>
        <w:t>;</w:t>
      </w:r>
    </w:p>
    <w:p w:rsidR="0073489B" w:rsidRDefault="00A46D11">
      <w:pPr>
        <w:shd w:val="clear" w:color="auto" w:fill="FFFFFF"/>
        <w:spacing w:after="60"/>
        <w:ind w:right="141"/>
        <w:rPr>
          <w:noProof/>
          <w:szCs w:val="24"/>
        </w:rPr>
      </w:pPr>
      <w:r>
        <w:rPr>
          <w:noProof/>
          <w:szCs w:val="24"/>
        </w:rPr>
        <w:t xml:space="preserve"> European Investment Bank (EIB).</w:t>
      </w:r>
    </w:p>
    <w:p w:rsidR="0073489B" w:rsidRDefault="0073489B">
      <w:pPr>
        <w:shd w:val="clear" w:color="auto" w:fill="FFFFFF"/>
        <w:spacing w:after="60"/>
        <w:ind w:right="141"/>
        <w:rPr>
          <w:noProof/>
          <w:szCs w:val="24"/>
        </w:rPr>
      </w:pPr>
    </w:p>
    <w:p w:rsidR="0073489B" w:rsidRDefault="00A46D11">
      <w:pPr>
        <w:pStyle w:val="Heading4"/>
        <w:rPr>
          <w:noProof/>
        </w:rPr>
      </w:pPr>
      <w:bookmarkStart w:id="286" w:name="_Toc387228924"/>
      <w:bookmarkStart w:id="287" w:name="_Toc388541923"/>
      <w:r>
        <w:rPr>
          <w:noProof/>
        </w:rPr>
        <w:t>Implementation</w:t>
      </w:r>
      <w:bookmarkEnd w:id="286"/>
      <w:bookmarkEnd w:id="287"/>
    </w:p>
    <w:p w:rsidR="0073489B" w:rsidRDefault="00A46D11">
      <w:pPr>
        <w:pStyle w:val="Heading5"/>
        <w:spacing w:before="120"/>
        <w:ind w:left="284" w:firstLine="0"/>
        <w:rPr>
          <w:noProof/>
        </w:rPr>
      </w:pPr>
      <w:bookmarkStart w:id="288" w:name="_Toc387228925"/>
      <w:r>
        <w:rPr>
          <w:noProof/>
        </w:rPr>
        <w:t>The aggregate budgetary commitments and payments from the budget</w:t>
      </w:r>
      <w:bookmarkEnd w:id="288"/>
      <w:r>
        <w:rPr>
          <w:noProof/>
        </w:rPr>
        <w:t>;</w:t>
      </w:r>
    </w:p>
    <w:p w:rsidR="0073489B" w:rsidRDefault="00A46D11">
      <w:pPr>
        <w:ind w:right="141"/>
        <w:rPr>
          <w:noProof/>
          <w:szCs w:val="24"/>
        </w:rPr>
      </w:pPr>
      <w:r>
        <w:rPr>
          <w:noProof/>
          <w:szCs w:val="24"/>
        </w:rPr>
        <w:t>Aggregate budgetary commitments as at 31/12/2016</w:t>
      </w:r>
      <w:r>
        <w:rPr>
          <w:noProof/>
          <w:szCs w:val="24"/>
        </w:rPr>
        <w:tab/>
      </w:r>
      <w:r>
        <w:rPr>
          <w:noProof/>
          <w:szCs w:val="24"/>
        </w:rPr>
        <w:tab/>
      </w:r>
      <w:r>
        <w:rPr>
          <w:noProof/>
          <w:szCs w:val="24"/>
        </w:rPr>
        <w:t xml:space="preserve">                 EUR 70 000 000 </w:t>
      </w:r>
    </w:p>
    <w:p w:rsidR="0073489B" w:rsidRDefault="00A46D11">
      <w:pPr>
        <w:spacing w:after="60"/>
        <w:ind w:right="141"/>
        <w:rPr>
          <w:noProof/>
          <w:szCs w:val="24"/>
        </w:rPr>
      </w:pPr>
      <w:r>
        <w:rPr>
          <w:noProof/>
          <w:szCs w:val="24"/>
        </w:rPr>
        <w:t>Aggregate budgetary payments as at   31/12/2016</w:t>
      </w:r>
      <w:r>
        <w:rPr>
          <w:noProof/>
          <w:szCs w:val="24"/>
        </w:rPr>
        <w:tab/>
      </w:r>
      <w:r>
        <w:rPr>
          <w:noProof/>
          <w:szCs w:val="24"/>
        </w:rPr>
        <w:tab/>
        <w:t xml:space="preserve">                 EUR 19 126 667 </w:t>
      </w:r>
    </w:p>
    <w:p w:rsidR="0073489B" w:rsidRDefault="00A46D11">
      <w:pPr>
        <w:pStyle w:val="Heading5"/>
        <w:spacing w:before="160"/>
        <w:ind w:left="284" w:firstLine="0"/>
        <w:rPr>
          <w:noProof/>
        </w:rPr>
      </w:pPr>
      <w:bookmarkStart w:id="289" w:name="_Toc387228926"/>
      <w:r>
        <w:rPr>
          <w:noProof/>
        </w:rPr>
        <w:t>The performance of the financial instrument, including investments realised</w:t>
      </w:r>
      <w:bookmarkEnd w:id="289"/>
      <w:r>
        <w:rPr>
          <w:noProof/>
        </w:rPr>
        <w:t>;</w:t>
      </w:r>
    </w:p>
    <w:p w:rsidR="0073489B" w:rsidRDefault="00A46D11">
      <w:pPr>
        <w:spacing w:after="60"/>
        <w:ind w:right="141"/>
        <w:rPr>
          <w:noProof/>
          <w:szCs w:val="24"/>
        </w:rPr>
      </w:pPr>
      <w:r>
        <w:rPr>
          <w:noProof/>
          <w:szCs w:val="24"/>
        </w:rPr>
        <w:t>The PF4EE delegation agreement was signed on 8 December 2014. Ag</w:t>
      </w:r>
      <w:r>
        <w:rPr>
          <w:noProof/>
          <w:szCs w:val="24"/>
        </w:rPr>
        <w:t>reements with a total of six financial intermediaries were signed by end 2016 and a total of 6 final recipients in the Czech Republic.</w:t>
      </w:r>
    </w:p>
    <w:p w:rsidR="0073489B" w:rsidRDefault="00A46D11">
      <w:pPr>
        <w:pStyle w:val="Heading5"/>
        <w:spacing w:before="120"/>
        <w:ind w:left="284" w:firstLine="0"/>
        <w:jc w:val="both"/>
        <w:rPr>
          <w:noProof/>
        </w:rPr>
      </w:pPr>
      <w:bookmarkStart w:id="290" w:name="_Toc387228927"/>
      <w:r>
        <w:rPr>
          <w:noProof/>
        </w:rPr>
        <w:t>An evaluation of the use of any amounts returned to the instrument as internal assigned revenue under paragraph 6</w:t>
      </w:r>
      <w:bookmarkEnd w:id="290"/>
      <w:r>
        <w:rPr>
          <w:noProof/>
        </w:rPr>
        <w:t>;</w:t>
      </w:r>
    </w:p>
    <w:p w:rsidR="0073489B" w:rsidRDefault="00A46D11">
      <w:pPr>
        <w:spacing w:after="60"/>
        <w:ind w:left="284" w:right="141"/>
        <w:contextualSpacing/>
        <w:rPr>
          <w:noProof/>
          <w:szCs w:val="24"/>
        </w:rPr>
      </w:pPr>
      <w:r>
        <w:rPr>
          <w:noProof/>
          <w:szCs w:val="24"/>
        </w:rPr>
        <w:t>NA</w:t>
      </w:r>
    </w:p>
    <w:p w:rsidR="0073489B" w:rsidRDefault="00A46D11">
      <w:pPr>
        <w:pStyle w:val="Heading5"/>
        <w:spacing w:before="120"/>
        <w:ind w:left="284" w:firstLine="0"/>
        <w:rPr>
          <w:noProof/>
        </w:rPr>
      </w:pPr>
      <w:bookmarkStart w:id="291" w:name="_Toc387228928"/>
      <w:r>
        <w:rPr>
          <w:noProof/>
        </w:rPr>
        <w:t>The</w:t>
      </w:r>
      <w:r>
        <w:rPr>
          <w:noProof/>
        </w:rPr>
        <w:t xml:space="preserve"> balance of the fiduciary account</w:t>
      </w:r>
      <w:bookmarkEnd w:id="291"/>
      <w:r>
        <w:rPr>
          <w:noProof/>
        </w:rPr>
        <w:t>;</w:t>
      </w:r>
    </w:p>
    <w:p w:rsidR="0073489B" w:rsidRDefault="00A46D11">
      <w:pPr>
        <w:keepNext/>
        <w:spacing w:after="160"/>
        <w:ind w:left="360" w:right="142"/>
        <w:rPr>
          <w:noProof/>
          <w:color w:val="FF00FF"/>
          <w:highlight w:val="yellow"/>
        </w:rPr>
      </w:pPr>
      <w:r>
        <w:rPr>
          <w:noProof/>
        </w:rPr>
        <w:t>Aggregate balance of the fiduciary account as at 31/12/2016</w:t>
      </w:r>
      <w:r>
        <w:rPr>
          <w:noProof/>
        </w:rPr>
        <w:tab/>
        <w:t xml:space="preserve">EUR </w:t>
      </w:r>
      <w:r>
        <w:rPr>
          <w:bCs/>
          <w:noProof/>
          <w:szCs w:val="24"/>
        </w:rPr>
        <w:t>17 987 757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2652"/>
      </w:tblGrid>
      <w:tr w:rsidR="0073489B">
        <w:trPr>
          <w:jc w:val="center"/>
        </w:trPr>
        <w:tc>
          <w:tcPr>
            <w:tcW w:w="8346" w:type="dxa"/>
            <w:gridSpan w:val="2"/>
            <w:shd w:val="clear" w:color="auto" w:fill="DAEEF3"/>
          </w:tcPr>
          <w:p w:rsidR="0073489B" w:rsidRDefault="00A46D11">
            <w:pPr>
              <w:pStyle w:val="ListParagraph"/>
              <w:spacing w:before="60" w:after="60"/>
              <w:ind w:left="0" w:right="141"/>
              <w:jc w:val="center"/>
              <w:rPr>
                <w:b/>
                <w:bCs/>
                <w:i/>
                <w:noProof/>
                <w:szCs w:val="24"/>
              </w:rPr>
            </w:pPr>
            <w:r>
              <w:rPr>
                <w:b/>
                <w:bCs/>
                <w:i/>
                <w:noProof/>
                <w:szCs w:val="24"/>
              </w:rPr>
              <w:t xml:space="preserve">                                                                                               In EUR</w:t>
            </w:r>
          </w:p>
        </w:tc>
      </w:tr>
      <w:tr w:rsidR="0073489B">
        <w:trPr>
          <w:jc w:val="center"/>
        </w:trPr>
        <w:tc>
          <w:tcPr>
            <w:tcW w:w="5694" w:type="dxa"/>
            <w:shd w:val="clear" w:color="auto" w:fill="auto"/>
          </w:tcPr>
          <w:p w:rsidR="0073489B" w:rsidRDefault="00A46D11">
            <w:pPr>
              <w:pStyle w:val="ListParagraph"/>
              <w:spacing w:before="60" w:after="60"/>
              <w:ind w:left="33" w:right="141"/>
              <w:rPr>
                <w:b/>
                <w:bCs/>
                <w:noProof/>
                <w:szCs w:val="24"/>
                <w:u w:val="single"/>
              </w:rPr>
            </w:pPr>
            <w:r>
              <w:rPr>
                <w:b/>
                <w:bCs/>
                <w:noProof/>
                <w:szCs w:val="24"/>
              </w:rPr>
              <w:t>Balance on the fiduciary account (current a</w:t>
            </w:r>
            <w:r>
              <w:rPr>
                <w:b/>
                <w:bCs/>
                <w:noProof/>
                <w:szCs w:val="24"/>
              </w:rPr>
              <w:t>ccount)</w:t>
            </w:r>
          </w:p>
        </w:tc>
        <w:tc>
          <w:tcPr>
            <w:tcW w:w="2652" w:type="dxa"/>
            <w:shd w:val="clear" w:color="auto" w:fill="auto"/>
          </w:tcPr>
          <w:p w:rsidR="0073489B" w:rsidRDefault="00A46D11">
            <w:pPr>
              <w:pStyle w:val="ListParagraph"/>
              <w:spacing w:before="60" w:after="60"/>
              <w:ind w:left="0" w:right="141"/>
              <w:jc w:val="center"/>
              <w:rPr>
                <w:bCs/>
                <w:noProof/>
                <w:szCs w:val="24"/>
              </w:rPr>
            </w:pPr>
            <w:r>
              <w:rPr>
                <w:noProof/>
                <w:szCs w:val="24"/>
              </w:rPr>
              <w:t>17 230 928</w:t>
            </w:r>
          </w:p>
        </w:tc>
      </w:tr>
      <w:tr w:rsidR="0073489B">
        <w:trPr>
          <w:jc w:val="center"/>
        </w:trPr>
        <w:tc>
          <w:tcPr>
            <w:tcW w:w="5694" w:type="dxa"/>
            <w:shd w:val="clear" w:color="auto" w:fill="auto"/>
          </w:tcPr>
          <w:p w:rsidR="0073489B" w:rsidRDefault="00A46D11">
            <w:pPr>
              <w:pStyle w:val="ListParagraph"/>
              <w:spacing w:before="60" w:after="60"/>
              <w:ind w:left="33" w:right="141"/>
              <w:rPr>
                <w:b/>
                <w:bCs/>
                <w:noProof/>
                <w:szCs w:val="24"/>
                <w:u w:val="single"/>
              </w:rPr>
            </w:pPr>
            <w:r>
              <w:rPr>
                <w:b/>
                <w:bCs/>
                <w:noProof/>
                <w:szCs w:val="24"/>
              </w:rPr>
              <w:t>Term deposits/Bonds (if applicable)</w:t>
            </w:r>
          </w:p>
        </w:tc>
        <w:tc>
          <w:tcPr>
            <w:tcW w:w="2652" w:type="dxa"/>
            <w:shd w:val="clear" w:color="auto" w:fill="auto"/>
          </w:tcPr>
          <w:p w:rsidR="0073489B" w:rsidRDefault="0073489B">
            <w:pPr>
              <w:pStyle w:val="ListParagraph"/>
              <w:spacing w:before="60" w:after="60"/>
              <w:ind w:left="0" w:right="141"/>
              <w:jc w:val="center"/>
              <w:rPr>
                <w:b/>
                <w:bCs/>
                <w:noProof/>
                <w:szCs w:val="24"/>
                <w:u w:val="single"/>
              </w:rPr>
            </w:pPr>
          </w:p>
        </w:tc>
      </w:tr>
      <w:tr w:rsidR="0073489B">
        <w:trPr>
          <w:jc w:val="center"/>
        </w:trPr>
        <w:tc>
          <w:tcPr>
            <w:tcW w:w="5694" w:type="dxa"/>
            <w:shd w:val="clear" w:color="auto" w:fill="auto"/>
          </w:tcPr>
          <w:p w:rsidR="0073489B" w:rsidRDefault="00A46D11">
            <w:pPr>
              <w:pStyle w:val="ListParagraph"/>
              <w:spacing w:before="60" w:after="60"/>
              <w:ind w:left="459" w:right="141"/>
              <w:rPr>
                <w:bCs/>
                <w:noProof/>
                <w:szCs w:val="24"/>
              </w:rPr>
            </w:pPr>
            <w:r>
              <w:rPr>
                <w:bCs/>
                <w:noProof/>
                <w:szCs w:val="24"/>
              </w:rPr>
              <w:t>Term deposits &lt; 3 months (cash equivalent)</w:t>
            </w:r>
          </w:p>
        </w:tc>
        <w:tc>
          <w:tcPr>
            <w:tcW w:w="2652" w:type="dxa"/>
            <w:shd w:val="clear" w:color="auto" w:fill="auto"/>
          </w:tcPr>
          <w:p w:rsidR="0073489B" w:rsidRDefault="0073489B">
            <w:pPr>
              <w:pStyle w:val="ListParagraph"/>
              <w:spacing w:before="60" w:after="60"/>
              <w:ind w:left="0" w:right="141"/>
              <w:jc w:val="center"/>
              <w:rPr>
                <w:b/>
                <w:bCs/>
                <w:noProof/>
                <w:szCs w:val="24"/>
                <w:u w:val="single"/>
              </w:rPr>
            </w:pPr>
          </w:p>
        </w:tc>
      </w:tr>
      <w:tr w:rsidR="0073489B">
        <w:trPr>
          <w:jc w:val="center"/>
        </w:trPr>
        <w:tc>
          <w:tcPr>
            <w:tcW w:w="5694" w:type="dxa"/>
            <w:shd w:val="clear" w:color="auto" w:fill="auto"/>
          </w:tcPr>
          <w:p w:rsidR="0073489B" w:rsidRDefault="00A46D11">
            <w:pPr>
              <w:pStyle w:val="ListParagraph"/>
              <w:spacing w:before="60" w:after="60"/>
              <w:ind w:left="459" w:right="141"/>
              <w:rPr>
                <w:bCs/>
                <w:noProof/>
                <w:szCs w:val="24"/>
                <w:u w:val="single"/>
              </w:rPr>
            </w:pPr>
            <w:r>
              <w:rPr>
                <w:bCs/>
                <w:noProof/>
                <w:szCs w:val="24"/>
              </w:rPr>
              <w:t>Term deposits &gt; 3 months &lt; 1 year (current assets)</w:t>
            </w:r>
          </w:p>
        </w:tc>
        <w:tc>
          <w:tcPr>
            <w:tcW w:w="2652" w:type="dxa"/>
            <w:shd w:val="clear" w:color="auto" w:fill="auto"/>
          </w:tcPr>
          <w:p w:rsidR="0073489B" w:rsidRDefault="0073489B">
            <w:pPr>
              <w:pStyle w:val="ListParagraph"/>
              <w:spacing w:before="60" w:after="60"/>
              <w:ind w:left="0" w:right="141"/>
              <w:jc w:val="center"/>
              <w:rPr>
                <w:b/>
                <w:bCs/>
                <w:noProof/>
                <w:szCs w:val="24"/>
                <w:u w:val="single"/>
              </w:rPr>
            </w:pPr>
          </w:p>
        </w:tc>
      </w:tr>
      <w:tr w:rsidR="0073489B">
        <w:trPr>
          <w:jc w:val="center"/>
        </w:trPr>
        <w:tc>
          <w:tcPr>
            <w:tcW w:w="5694" w:type="dxa"/>
            <w:shd w:val="clear" w:color="auto" w:fill="auto"/>
          </w:tcPr>
          <w:p w:rsidR="0073489B" w:rsidRDefault="00A46D11">
            <w:pPr>
              <w:pStyle w:val="ListParagraph"/>
              <w:spacing w:before="60" w:after="60"/>
              <w:ind w:left="459" w:right="141"/>
              <w:rPr>
                <w:bCs/>
                <w:noProof/>
                <w:szCs w:val="24"/>
                <w:u w:val="single"/>
              </w:rPr>
            </w:pPr>
            <w:r>
              <w:rPr>
                <w:bCs/>
                <w:noProof/>
                <w:szCs w:val="24"/>
              </w:rPr>
              <w:t>Term deposits &gt; 1 year (non-current assets)</w:t>
            </w:r>
          </w:p>
        </w:tc>
        <w:tc>
          <w:tcPr>
            <w:tcW w:w="2652" w:type="dxa"/>
            <w:shd w:val="clear" w:color="auto" w:fill="auto"/>
          </w:tcPr>
          <w:p w:rsidR="0073489B" w:rsidRDefault="0073489B">
            <w:pPr>
              <w:pStyle w:val="ListParagraph"/>
              <w:spacing w:before="60" w:after="60"/>
              <w:ind w:left="0" w:right="141"/>
              <w:jc w:val="center"/>
              <w:rPr>
                <w:b/>
                <w:bCs/>
                <w:noProof/>
                <w:szCs w:val="24"/>
                <w:u w:val="single"/>
              </w:rPr>
            </w:pPr>
          </w:p>
        </w:tc>
      </w:tr>
      <w:tr w:rsidR="0073489B">
        <w:trPr>
          <w:jc w:val="center"/>
        </w:trPr>
        <w:tc>
          <w:tcPr>
            <w:tcW w:w="5694" w:type="dxa"/>
            <w:shd w:val="clear" w:color="auto" w:fill="auto"/>
          </w:tcPr>
          <w:p w:rsidR="0073489B" w:rsidRDefault="00A46D11">
            <w:pPr>
              <w:pStyle w:val="ListParagraph"/>
              <w:spacing w:before="60" w:after="60"/>
              <w:ind w:left="459" w:right="141" w:firstLine="425"/>
              <w:rPr>
                <w:bCs/>
                <w:noProof/>
                <w:szCs w:val="24"/>
                <w:u w:val="single"/>
              </w:rPr>
            </w:pPr>
            <w:r>
              <w:rPr>
                <w:bCs/>
                <w:noProof/>
                <w:szCs w:val="24"/>
              </w:rPr>
              <w:t>Bonds current</w:t>
            </w:r>
          </w:p>
        </w:tc>
        <w:tc>
          <w:tcPr>
            <w:tcW w:w="2652" w:type="dxa"/>
            <w:shd w:val="clear" w:color="auto" w:fill="auto"/>
          </w:tcPr>
          <w:p w:rsidR="0073489B" w:rsidRDefault="0073489B">
            <w:pPr>
              <w:pStyle w:val="ListParagraph"/>
              <w:spacing w:before="60" w:after="60"/>
              <w:ind w:left="357" w:right="141"/>
              <w:jc w:val="center"/>
              <w:rPr>
                <w:b/>
                <w:bCs/>
                <w:noProof/>
                <w:szCs w:val="24"/>
                <w:u w:val="single"/>
              </w:rPr>
            </w:pPr>
          </w:p>
        </w:tc>
      </w:tr>
      <w:tr w:rsidR="0073489B">
        <w:trPr>
          <w:jc w:val="center"/>
        </w:trPr>
        <w:tc>
          <w:tcPr>
            <w:tcW w:w="5694" w:type="dxa"/>
            <w:shd w:val="clear" w:color="auto" w:fill="auto"/>
          </w:tcPr>
          <w:p w:rsidR="0073489B" w:rsidRDefault="00A46D11">
            <w:pPr>
              <w:pStyle w:val="ListParagraph"/>
              <w:spacing w:before="60" w:after="60"/>
              <w:ind w:left="459" w:right="141" w:firstLine="425"/>
              <w:rPr>
                <w:bCs/>
                <w:noProof/>
                <w:szCs w:val="24"/>
                <w:u w:val="single"/>
              </w:rPr>
            </w:pPr>
            <w:r>
              <w:rPr>
                <w:bCs/>
                <w:noProof/>
                <w:szCs w:val="24"/>
              </w:rPr>
              <w:t>Bonds non-current</w:t>
            </w:r>
          </w:p>
        </w:tc>
        <w:tc>
          <w:tcPr>
            <w:tcW w:w="2652" w:type="dxa"/>
            <w:shd w:val="clear" w:color="auto" w:fill="auto"/>
          </w:tcPr>
          <w:p w:rsidR="0073489B" w:rsidRDefault="0073489B">
            <w:pPr>
              <w:pStyle w:val="ListParagraph"/>
              <w:spacing w:before="60" w:after="60"/>
              <w:ind w:left="0" w:right="141"/>
              <w:jc w:val="center"/>
              <w:rPr>
                <w:b/>
                <w:bCs/>
                <w:noProof/>
                <w:szCs w:val="24"/>
                <w:u w:val="single"/>
              </w:rPr>
            </w:pPr>
          </w:p>
        </w:tc>
      </w:tr>
      <w:tr w:rsidR="0073489B">
        <w:trPr>
          <w:jc w:val="center"/>
        </w:trPr>
        <w:tc>
          <w:tcPr>
            <w:tcW w:w="5694" w:type="dxa"/>
            <w:shd w:val="clear" w:color="auto" w:fill="auto"/>
          </w:tcPr>
          <w:p w:rsidR="0073489B" w:rsidRDefault="00A46D11">
            <w:pPr>
              <w:spacing w:before="60" w:after="60"/>
              <w:ind w:left="33" w:right="141"/>
              <w:contextualSpacing/>
              <w:rPr>
                <w:b/>
                <w:bCs/>
                <w:noProof/>
                <w:szCs w:val="24"/>
                <w:u w:val="single"/>
              </w:rPr>
            </w:pPr>
            <w:r>
              <w:rPr>
                <w:b/>
                <w:bCs/>
                <w:i/>
                <w:iCs/>
                <w:noProof/>
                <w:szCs w:val="24"/>
              </w:rPr>
              <w:t>Other  assets</w:t>
            </w:r>
            <w:r>
              <w:rPr>
                <w:b/>
                <w:bCs/>
                <w:noProof/>
                <w:szCs w:val="24"/>
              </w:rPr>
              <w:t xml:space="preserve"> (if applicable)</w:t>
            </w:r>
          </w:p>
        </w:tc>
        <w:tc>
          <w:tcPr>
            <w:tcW w:w="2652" w:type="dxa"/>
            <w:shd w:val="clear" w:color="auto" w:fill="auto"/>
          </w:tcPr>
          <w:p w:rsidR="0073489B" w:rsidRDefault="00A46D11">
            <w:pPr>
              <w:pStyle w:val="ListParagraph"/>
              <w:spacing w:before="60" w:after="60"/>
              <w:ind w:left="0" w:right="141"/>
              <w:jc w:val="center"/>
              <w:rPr>
                <w:bCs/>
                <w:noProof/>
                <w:szCs w:val="24"/>
              </w:rPr>
            </w:pPr>
            <w:r>
              <w:rPr>
                <w:bCs/>
                <w:noProof/>
                <w:szCs w:val="24"/>
              </w:rPr>
              <w:t>756 829</w:t>
            </w:r>
          </w:p>
        </w:tc>
      </w:tr>
      <w:tr w:rsidR="0073489B">
        <w:trPr>
          <w:jc w:val="center"/>
        </w:trPr>
        <w:tc>
          <w:tcPr>
            <w:tcW w:w="5694" w:type="dxa"/>
            <w:shd w:val="clear" w:color="auto" w:fill="auto"/>
          </w:tcPr>
          <w:p w:rsidR="0073489B" w:rsidRDefault="00A46D11">
            <w:pPr>
              <w:spacing w:before="60" w:after="60"/>
              <w:ind w:left="33" w:right="141"/>
              <w:rPr>
                <w:b/>
                <w:bCs/>
                <w:noProof/>
                <w:szCs w:val="24"/>
              </w:rPr>
            </w:pPr>
            <w:r>
              <w:rPr>
                <w:b/>
                <w:bCs/>
                <w:i/>
                <w:iCs/>
                <w:noProof/>
                <w:szCs w:val="24"/>
              </w:rPr>
              <w:t>= Total assets</w:t>
            </w:r>
          </w:p>
        </w:tc>
        <w:tc>
          <w:tcPr>
            <w:tcW w:w="2652" w:type="dxa"/>
            <w:shd w:val="clear" w:color="auto" w:fill="auto"/>
          </w:tcPr>
          <w:p w:rsidR="0073489B" w:rsidRDefault="00A46D11">
            <w:pPr>
              <w:pStyle w:val="ListParagraph"/>
              <w:spacing w:before="60" w:after="60"/>
              <w:ind w:left="0" w:right="141"/>
              <w:jc w:val="center"/>
              <w:rPr>
                <w:bCs/>
                <w:noProof/>
                <w:szCs w:val="24"/>
              </w:rPr>
            </w:pPr>
            <w:r>
              <w:rPr>
                <w:bCs/>
                <w:noProof/>
                <w:szCs w:val="24"/>
              </w:rPr>
              <w:t xml:space="preserve"> 17 987 757 </w:t>
            </w:r>
          </w:p>
        </w:tc>
      </w:tr>
    </w:tbl>
    <w:p w:rsidR="0073489B" w:rsidRDefault="0073489B">
      <w:pPr>
        <w:pStyle w:val="ListParagraph"/>
        <w:ind w:left="284" w:right="141"/>
        <w:jc w:val="both"/>
        <w:rPr>
          <w:noProof/>
          <w:szCs w:val="24"/>
        </w:rPr>
      </w:pPr>
      <w:bookmarkStart w:id="292" w:name="_Toc387228929"/>
    </w:p>
    <w:p w:rsidR="0073489B" w:rsidRDefault="00A46D11">
      <w:pPr>
        <w:pStyle w:val="ListParagraph"/>
        <w:ind w:left="284" w:right="141"/>
        <w:jc w:val="both"/>
        <w:rPr>
          <w:i/>
          <w:noProof/>
          <w:szCs w:val="24"/>
        </w:rPr>
      </w:pPr>
      <w:r>
        <w:rPr>
          <w:i/>
          <w:noProof/>
          <w:szCs w:val="24"/>
        </w:rPr>
        <w:t>Impact of negative interest on PF4EE: no impact as at 31/12/2016.</w:t>
      </w:r>
      <w:r>
        <w:rPr>
          <w:i/>
          <w:noProof/>
          <w:szCs w:val="24"/>
          <w:vertAlign w:val="superscript"/>
        </w:rPr>
        <w:footnoteReference w:id="146"/>
      </w:r>
    </w:p>
    <w:p w:rsidR="0073489B" w:rsidRDefault="00A46D11">
      <w:pPr>
        <w:pStyle w:val="Heading5"/>
        <w:spacing w:before="200"/>
        <w:ind w:left="284" w:firstLine="0"/>
        <w:jc w:val="both"/>
        <w:rPr>
          <w:noProof/>
        </w:rPr>
      </w:pPr>
      <w:r>
        <w:rPr>
          <w:noProof/>
        </w:rPr>
        <w:lastRenderedPageBreak/>
        <w:t>Revenues and repayments</w:t>
      </w:r>
      <w:bookmarkEnd w:id="292"/>
      <w:r>
        <w:rPr>
          <w:noProof/>
        </w:rPr>
        <w:t>;</w:t>
      </w:r>
    </w:p>
    <w:p w:rsidR="0073489B" w:rsidRDefault="00A46D11">
      <w:pPr>
        <w:spacing w:after="60"/>
        <w:ind w:left="360" w:right="141"/>
        <w:contextualSpacing/>
        <w:jc w:val="both"/>
        <w:rPr>
          <w:noProof/>
          <w:szCs w:val="24"/>
        </w:rPr>
      </w:pPr>
      <w:r>
        <w:rPr>
          <w:noProof/>
          <w:szCs w:val="24"/>
        </w:rPr>
        <w:t xml:space="preserve">Revenues of the year 2016                                                                                  </w:t>
      </w:r>
      <w:r>
        <w:rPr>
          <w:noProof/>
          <w:szCs w:val="24"/>
        </w:rPr>
        <w:t>EUR   629</w:t>
      </w:r>
    </w:p>
    <w:p w:rsidR="0073489B" w:rsidRDefault="00A46D11">
      <w:pPr>
        <w:spacing w:after="60"/>
        <w:ind w:left="360" w:right="141"/>
        <w:contextualSpacing/>
        <w:jc w:val="both"/>
        <w:rPr>
          <w:noProof/>
          <w:szCs w:val="24"/>
        </w:rPr>
      </w:pPr>
      <w:bookmarkStart w:id="293" w:name="_Toc387228930"/>
      <w:r>
        <w:rPr>
          <w:noProof/>
          <w:szCs w:val="24"/>
        </w:rPr>
        <w:t xml:space="preserve">Repayments of the year 2016                                                                              EUR       0 </w:t>
      </w:r>
    </w:p>
    <w:p w:rsidR="0073489B" w:rsidRDefault="00A46D11">
      <w:pPr>
        <w:spacing w:after="60"/>
        <w:ind w:left="360" w:right="141"/>
        <w:contextualSpacing/>
        <w:jc w:val="both"/>
        <w:rPr>
          <w:noProof/>
          <w:szCs w:val="24"/>
        </w:rPr>
      </w:pPr>
      <w:r>
        <w:rPr>
          <w:noProof/>
          <w:szCs w:val="24"/>
        </w:rPr>
        <w:t>Asdditional resources regularized in 2016                                                          EUR       0</w:t>
      </w:r>
    </w:p>
    <w:p w:rsidR="0073489B" w:rsidRDefault="00A46D11">
      <w:pPr>
        <w:pStyle w:val="Heading5"/>
        <w:spacing w:before="120"/>
        <w:ind w:left="284" w:firstLine="0"/>
        <w:jc w:val="both"/>
        <w:rPr>
          <w:noProof/>
        </w:rPr>
      </w:pPr>
      <w:r>
        <w:rPr>
          <w:noProof/>
        </w:rPr>
        <w:t xml:space="preserve">The value of </w:t>
      </w:r>
      <w:r>
        <w:rPr>
          <w:noProof/>
        </w:rPr>
        <w:t>equity investments, with respect to previous years</w:t>
      </w:r>
      <w:bookmarkEnd w:id="293"/>
      <w:r>
        <w:rPr>
          <w:noProof/>
        </w:rPr>
        <w:t>;</w:t>
      </w:r>
    </w:p>
    <w:p w:rsidR="0073489B" w:rsidRDefault="00A46D11">
      <w:pPr>
        <w:spacing w:after="60"/>
        <w:ind w:left="360" w:right="141"/>
        <w:jc w:val="both"/>
        <w:rPr>
          <w:noProof/>
          <w:szCs w:val="24"/>
        </w:rPr>
      </w:pPr>
      <w:r>
        <w:rPr>
          <w:noProof/>
          <w:szCs w:val="24"/>
        </w:rPr>
        <w:t>NA</w:t>
      </w:r>
    </w:p>
    <w:p w:rsidR="0073489B" w:rsidRDefault="00A46D11">
      <w:pPr>
        <w:pStyle w:val="Heading5"/>
        <w:spacing w:before="120"/>
        <w:ind w:left="284" w:firstLine="0"/>
        <w:jc w:val="both"/>
        <w:rPr>
          <w:noProof/>
        </w:rPr>
      </w:pPr>
      <w:bookmarkStart w:id="294" w:name="_Toc387228931"/>
      <w:r>
        <w:rPr>
          <w:noProof/>
        </w:rPr>
        <w:t>The accumulated figures on impairments of assets of equity or risk-sharing instruments, and on called guarantees for guarantee instruments</w:t>
      </w:r>
      <w:bookmarkEnd w:id="294"/>
      <w:r>
        <w:rPr>
          <w:noProof/>
        </w:rPr>
        <w:t>;</w:t>
      </w:r>
    </w:p>
    <w:p w:rsidR="0073489B" w:rsidRDefault="00A46D11">
      <w:pPr>
        <w:spacing w:after="60"/>
        <w:ind w:left="360" w:right="141"/>
        <w:contextualSpacing/>
        <w:jc w:val="both"/>
        <w:rPr>
          <w:noProof/>
          <w:szCs w:val="24"/>
        </w:rPr>
      </w:pPr>
      <w:r>
        <w:rPr>
          <w:noProof/>
          <w:szCs w:val="24"/>
        </w:rPr>
        <w:t>EUR 0</w:t>
      </w:r>
    </w:p>
    <w:p w:rsidR="0073489B" w:rsidRDefault="00A46D11">
      <w:pPr>
        <w:pStyle w:val="Heading5"/>
        <w:spacing w:before="120"/>
        <w:ind w:left="284" w:firstLine="0"/>
        <w:jc w:val="both"/>
        <w:rPr>
          <w:noProof/>
        </w:rPr>
      </w:pPr>
      <w:bookmarkStart w:id="295" w:name="_Toc387228932"/>
      <w:r>
        <w:rPr>
          <w:noProof/>
        </w:rPr>
        <w:t>The target leverage effect, and the achieved leverage e</w:t>
      </w:r>
      <w:r>
        <w:rPr>
          <w:noProof/>
        </w:rPr>
        <w:t>ffect</w:t>
      </w:r>
      <w:bookmarkEnd w:id="295"/>
      <w:r>
        <w:rPr>
          <w:noProof/>
        </w:rPr>
        <w:t>;</w:t>
      </w:r>
    </w:p>
    <w:p w:rsidR="0073489B" w:rsidRDefault="00A46D11">
      <w:pPr>
        <w:numPr>
          <w:ilvl w:val="0"/>
          <w:numId w:val="170"/>
        </w:numPr>
        <w:jc w:val="both"/>
        <w:rPr>
          <w:noProof/>
          <w:szCs w:val="24"/>
          <w:lang w:eastAsia="en-GB"/>
        </w:rPr>
      </w:pPr>
      <w:r>
        <w:rPr>
          <w:i/>
          <w:noProof/>
          <w:szCs w:val="24"/>
          <w:lang w:eastAsia="en-GB"/>
        </w:rPr>
        <w:t>The target leverage effect</w:t>
      </w:r>
    </w:p>
    <w:p w:rsidR="0073489B" w:rsidRDefault="00A46D11">
      <w:pPr>
        <w:spacing w:after="60"/>
        <w:jc w:val="both"/>
        <w:rPr>
          <w:noProof/>
          <w:szCs w:val="24"/>
          <w:lang w:eastAsia="en-GB"/>
        </w:rPr>
      </w:pPr>
      <w:r>
        <w:rPr>
          <w:noProof/>
          <w:szCs w:val="24"/>
          <w:lang w:eastAsia="en-GB"/>
        </w:rPr>
        <w:t xml:space="preserve">The EU budget allocation foreseen in the LIFE regulation for the programming period 2014-2017 amounts to EUR 80 million (4% of which will finance the Expert Support Facility and are not considered in the calculation of the leverage). </w:t>
      </w:r>
    </w:p>
    <w:p w:rsidR="0073489B" w:rsidRDefault="00A46D11">
      <w:pPr>
        <w:spacing w:after="60"/>
        <w:jc w:val="both"/>
        <w:rPr>
          <w:noProof/>
          <w:szCs w:val="24"/>
          <w:lang w:eastAsia="en-GB"/>
        </w:rPr>
      </w:pPr>
      <w:r>
        <w:rPr>
          <w:noProof/>
          <w:szCs w:val="24"/>
          <w:lang w:eastAsia="en-GB"/>
        </w:rPr>
        <w:t>The total amount of l</w:t>
      </w:r>
      <w:r>
        <w:rPr>
          <w:noProof/>
          <w:szCs w:val="24"/>
          <w:lang w:eastAsia="en-GB"/>
        </w:rPr>
        <w:t>oan financing by the EIB is envisaged to reach up to approximately EUR 430 million. Additional debt financing is envisaged from other financial intermediaries. The total investment in EE over this period could be at around EUR 540 million.</w:t>
      </w:r>
      <w:r>
        <w:rPr>
          <w:noProof/>
        </w:rPr>
        <w:t xml:space="preserve"> However, on the </w:t>
      </w:r>
      <w:r>
        <w:rPr>
          <w:noProof/>
        </w:rPr>
        <w:t>basis of the first six operations signed by the end of 2016 and the pipeline, the EIB now targets to achieve EUR 1 billion of new investments in energy efficiency.</w:t>
      </w:r>
      <w:r>
        <w:rPr>
          <w:noProof/>
          <w:szCs w:val="24"/>
          <w:lang w:eastAsia="en-GB"/>
        </w:rPr>
        <w:t xml:space="preserve"> </w:t>
      </w:r>
    </w:p>
    <w:p w:rsidR="0073489B" w:rsidRDefault="00A46D11">
      <w:pPr>
        <w:spacing w:after="60"/>
        <w:jc w:val="both"/>
        <w:rPr>
          <w:noProof/>
          <w:szCs w:val="24"/>
          <w:lang w:eastAsia="en-GB"/>
        </w:rPr>
      </w:pPr>
      <w:r>
        <w:rPr>
          <w:noProof/>
          <w:szCs w:val="24"/>
          <w:lang w:eastAsia="en-GB"/>
        </w:rPr>
        <w:t>The target leverage effect (defined also as Target Investment Leverage) as indicated in the</w:t>
      </w:r>
      <w:r>
        <w:rPr>
          <w:noProof/>
          <w:szCs w:val="24"/>
          <w:lang w:eastAsia="en-GB"/>
        </w:rPr>
        <w:t xml:space="preserve"> Delegation Agreement is 8. </w:t>
      </w:r>
    </w:p>
    <w:p w:rsidR="0073489B" w:rsidRDefault="00A46D11">
      <w:pPr>
        <w:numPr>
          <w:ilvl w:val="0"/>
          <w:numId w:val="171"/>
        </w:numPr>
        <w:ind w:left="567" w:hanging="141"/>
        <w:jc w:val="both"/>
        <w:rPr>
          <w:noProof/>
          <w:szCs w:val="24"/>
          <w:lang w:eastAsia="en-GB"/>
        </w:rPr>
      </w:pPr>
      <w:r>
        <w:rPr>
          <w:i/>
          <w:noProof/>
          <w:szCs w:val="24"/>
          <w:lang w:eastAsia="en-GB"/>
        </w:rPr>
        <w:t>The achieved leverage effect</w:t>
      </w:r>
      <w:r>
        <w:rPr>
          <w:noProof/>
          <w:szCs w:val="24"/>
          <w:lang w:eastAsia="en-GB"/>
        </w:rPr>
        <w:t xml:space="preserve"> </w:t>
      </w:r>
    </w:p>
    <w:p w:rsidR="0073489B" w:rsidRDefault="00A46D11">
      <w:pPr>
        <w:spacing w:after="60"/>
        <w:ind w:right="141"/>
        <w:jc w:val="both"/>
        <w:rPr>
          <w:noProof/>
          <w:szCs w:val="24"/>
        </w:rPr>
      </w:pPr>
      <w:r>
        <w:rPr>
          <w:noProof/>
          <w:szCs w:val="24"/>
        </w:rPr>
        <w:t>The Delegation Agreement (DA) was signed in December 2014. Agreements with a total of six financial intermediaries were signed by end of 2016 and a total of 6 final recipients in the Czech Republic</w:t>
      </w:r>
      <w:r>
        <w:rPr>
          <w:noProof/>
          <w:szCs w:val="24"/>
        </w:rPr>
        <w:t>. The new operations brought the total amount committed by PF4EE to Risk Sharing Facility operations to EUR 28.9 million. By December 2016 the EIB had signed loans to support PF4EE operations for a total amount of EUR 375 million. The achieved 13x EIB loan</w:t>
      </w:r>
      <w:r>
        <w:rPr>
          <w:noProof/>
          <w:szCs w:val="24"/>
        </w:rPr>
        <w:t>-to-committed collateral ratio is higher than the originally expected 6x. This leverage ratio is expected to be maintained throughout the pilot phase of PF4EE indicating an efficient use of EU Contribution.</w:t>
      </w:r>
    </w:p>
    <w:p w:rsidR="0073489B" w:rsidRDefault="00A46D11">
      <w:pPr>
        <w:keepNext/>
        <w:numPr>
          <w:ilvl w:val="0"/>
          <w:numId w:val="171"/>
        </w:numPr>
        <w:ind w:left="567" w:hanging="142"/>
        <w:jc w:val="both"/>
        <w:rPr>
          <w:noProof/>
          <w:szCs w:val="24"/>
        </w:rPr>
      </w:pPr>
      <w:r>
        <w:rPr>
          <w:i/>
          <w:noProof/>
          <w:szCs w:val="24"/>
          <w:lang w:eastAsia="en-GB"/>
        </w:rPr>
        <w:t>The "Expected Leverage for Signed Operations"</w:t>
      </w:r>
      <w:r>
        <w:rPr>
          <w:noProof/>
          <w:szCs w:val="24"/>
          <w:lang w:eastAsia="en-GB"/>
        </w:rPr>
        <w:t xml:space="preserve">  </w:t>
      </w:r>
    </w:p>
    <w:p w:rsidR="0073489B" w:rsidRDefault="00A46D11">
      <w:pPr>
        <w:spacing w:after="60"/>
        <w:ind w:right="141"/>
        <w:rPr>
          <w:noProof/>
          <w:szCs w:val="24"/>
        </w:rPr>
      </w:pPr>
      <w:r>
        <w:rPr>
          <w:noProof/>
          <w:szCs w:val="24"/>
          <w:lang w:eastAsia="en-GB"/>
        </w:rPr>
        <w:t>T</w:t>
      </w:r>
      <w:r>
        <w:rPr>
          <w:noProof/>
          <w:szCs w:val="24"/>
          <w:lang w:eastAsia="en-GB"/>
        </w:rPr>
        <w:t xml:space="preserve">he Delegation Agreement (DA) was signed in December 2014. </w:t>
      </w:r>
      <w:r>
        <w:rPr>
          <w:noProof/>
          <w:szCs w:val="24"/>
        </w:rPr>
        <w:t>Agreements with a total of six financial intermediaries were signed by end of 2016</w:t>
      </w:r>
      <w:r>
        <w:rPr>
          <w:noProof/>
          <w:szCs w:val="24"/>
          <w:lang w:eastAsia="en-GB"/>
        </w:rPr>
        <w:t xml:space="preserve"> </w:t>
      </w:r>
      <w:r>
        <w:rPr>
          <w:noProof/>
          <w:szCs w:val="24"/>
        </w:rPr>
        <w:t>and a total of 6 final recipients in the Czech Republic.</w:t>
      </w:r>
    </w:p>
    <w:p w:rsidR="0073489B" w:rsidRDefault="0073489B">
      <w:pPr>
        <w:spacing w:after="60"/>
        <w:ind w:right="141"/>
        <w:rPr>
          <w:noProof/>
          <w:szCs w:val="24"/>
        </w:rPr>
      </w:pPr>
    </w:p>
    <w:p w:rsidR="0073489B" w:rsidRDefault="00A46D11">
      <w:pPr>
        <w:pStyle w:val="Heading4"/>
        <w:jc w:val="both"/>
        <w:rPr>
          <w:noProof/>
        </w:rPr>
      </w:pPr>
      <w:r>
        <w:rPr>
          <w:noProof/>
        </w:rPr>
        <w:t xml:space="preserve"> </w:t>
      </w:r>
      <w:bookmarkStart w:id="296" w:name="_Toc387228933"/>
      <w:bookmarkStart w:id="297" w:name="_Toc388541924"/>
      <w:r>
        <w:rPr>
          <w:noProof/>
        </w:rPr>
        <w:t>Strategic importance/relevance</w:t>
      </w:r>
      <w:bookmarkEnd w:id="296"/>
      <w:bookmarkEnd w:id="297"/>
    </w:p>
    <w:p w:rsidR="0073489B" w:rsidRDefault="00A46D11">
      <w:pPr>
        <w:pStyle w:val="Heading5"/>
        <w:spacing w:before="120"/>
        <w:ind w:left="479"/>
        <w:jc w:val="both"/>
        <w:rPr>
          <w:noProof/>
        </w:rPr>
      </w:pPr>
      <w:bookmarkStart w:id="298" w:name="_Toc387228934"/>
      <w:r>
        <w:rPr>
          <w:noProof/>
        </w:rPr>
        <w:t xml:space="preserve">The contribution of the </w:t>
      </w:r>
      <w:r>
        <w:rPr>
          <w:noProof/>
        </w:rPr>
        <w:t>financial instrument to the achievement of the objectives of the programme concerned as measured by the established indicators, including, where applicable, the geographical diversification</w:t>
      </w:r>
      <w:bookmarkEnd w:id="298"/>
      <w:r>
        <w:rPr>
          <w:noProof/>
        </w:rPr>
        <w:t>;</w:t>
      </w:r>
    </w:p>
    <w:p w:rsidR="0073489B" w:rsidRDefault="00A46D11">
      <w:pPr>
        <w:autoSpaceDE w:val="0"/>
        <w:autoSpaceDN w:val="0"/>
        <w:adjustRightInd w:val="0"/>
        <w:spacing w:after="60"/>
        <w:ind w:right="141"/>
        <w:jc w:val="both"/>
        <w:rPr>
          <w:noProof/>
          <w:szCs w:val="24"/>
        </w:rPr>
      </w:pPr>
      <w:r>
        <w:rPr>
          <w:noProof/>
          <w:szCs w:val="24"/>
        </w:rPr>
        <w:t>The Delegation Agreement (DA) was signed in December 2014. Agreem</w:t>
      </w:r>
      <w:r>
        <w:rPr>
          <w:noProof/>
          <w:szCs w:val="24"/>
        </w:rPr>
        <w:t>ents with a total of six financial intermediaries were signed by end of 2016 and a total of 6 final recipients in the Czech Republic.</w:t>
      </w:r>
    </w:p>
    <w:p w:rsidR="0073489B" w:rsidRDefault="0073489B">
      <w:pPr>
        <w:autoSpaceDE w:val="0"/>
        <w:autoSpaceDN w:val="0"/>
        <w:adjustRightInd w:val="0"/>
        <w:spacing w:after="60"/>
        <w:ind w:right="141"/>
        <w:jc w:val="both"/>
        <w:rPr>
          <w:noProof/>
          <w:szCs w:val="24"/>
        </w:rPr>
      </w:pPr>
    </w:p>
    <w:p w:rsidR="0073489B" w:rsidRDefault="0073489B">
      <w:pPr>
        <w:autoSpaceDE w:val="0"/>
        <w:autoSpaceDN w:val="0"/>
        <w:adjustRightInd w:val="0"/>
        <w:spacing w:after="60"/>
        <w:ind w:right="141"/>
        <w:jc w:val="both"/>
        <w:rPr>
          <w:noProof/>
          <w:szCs w:val="24"/>
        </w:rPr>
      </w:pPr>
    </w:p>
    <w:p w:rsidR="0073489B" w:rsidRDefault="00A46D11">
      <w:pPr>
        <w:pStyle w:val="Heading4"/>
        <w:jc w:val="both"/>
        <w:rPr>
          <w:noProof/>
        </w:rPr>
      </w:pPr>
      <w:bookmarkStart w:id="299" w:name="_Toc387228935"/>
      <w:bookmarkStart w:id="300" w:name="_Toc388541925"/>
      <w:r>
        <w:rPr>
          <w:noProof/>
        </w:rPr>
        <w:lastRenderedPageBreak/>
        <w:t>Other key points and issues</w:t>
      </w:r>
      <w:bookmarkEnd w:id="299"/>
      <w:bookmarkEnd w:id="300"/>
    </w:p>
    <w:p w:rsidR="0073489B" w:rsidRDefault="00A46D11">
      <w:pPr>
        <w:pStyle w:val="ListParagraph"/>
        <w:numPr>
          <w:ilvl w:val="0"/>
          <w:numId w:val="1"/>
        </w:numPr>
        <w:ind w:left="142" w:hanging="142"/>
        <w:jc w:val="both"/>
        <w:rPr>
          <w:noProof/>
          <w:szCs w:val="24"/>
        </w:rPr>
      </w:pPr>
      <w:r>
        <w:rPr>
          <w:b/>
          <w:noProof/>
          <w:szCs w:val="24"/>
        </w:rPr>
        <w:t>Three main issues for the implementation</w:t>
      </w:r>
      <w:r>
        <w:rPr>
          <w:noProof/>
          <w:szCs w:val="24"/>
        </w:rPr>
        <w:t>:</w:t>
      </w:r>
    </w:p>
    <w:p w:rsidR="0073489B" w:rsidRDefault="00A46D11">
      <w:pPr>
        <w:numPr>
          <w:ilvl w:val="1"/>
          <w:numId w:val="126"/>
        </w:numPr>
        <w:autoSpaceDE w:val="0"/>
        <w:autoSpaceDN w:val="0"/>
        <w:adjustRightInd w:val="0"/>
        <w:ind w:left="709" w:right="141" w:hanging="142"/>
        <w:jc w:val="both"/>
        <w:rPr>
          <w:noProof/>
          <w:szCs w:val="24"/>
        </w:rPr>
      </w:pPr>
      <w:r>
        <w:rPr>
          <w:noProof/>
          <w:szCs w:val="24"/>
        </w:rPr>
        <w:t>the PF4EE instrument will provide valuable pilotin</w:t>
      </w:r>
      <w:r>
        <w:rPr>
          <w:noProof/>
          <w:szCs w:val="24"/>
        </w:rPr>
        <w:t>g experience for possible up scaling. This piloting phase will allow in particular to test the most appropriate level of protection (i.e. minimise) to be provided to financial intermediaries in about 10 banks in different Member States for different catego</w:t>
      </w:r>
      <w:r>
        <w:rPr>
          <w:noProof/>
          <w:szCs w:val="24"/>
        </w:rPr>
        <w:t>ries of beneficiaries.</w:t>
      </w:r>
    </w:p>
    <w:p w:rsidR="0073489B" w:rsidRDefault="00A46D11">
      <w:pPr>
        <w:numPr>
          <w:ilvl w:val="1"/>
          <w:numId w:val="126"/>
        </w:numPr>
        <w:autoSpaceDE w:val="0"/>
        <w:autoSpaceDN w:val="0"/>
        <w:adjustRightInd w:val="0"/>
        <w:ind w:left="709" w:right="141" w:hanging="142"/>
        <w:jc w:val="both"/>
        <w:rPr>
          <w:noProof/>
          <w:szCs w:val="24"/>
        </w:rPr>
      </w:pPr>
      <w:r>
        <w:rPr>
          <w:noProof/>
          <w:szCs w:val="24"/>
        </w:rPr>
        <w:t>Since its structure is fully decentralized (i.e. the risk protection is provided by the Commission by means of collateral deposited on collateral accounts, set for each financial intermediaries and managed by the EIB) the PF4EE is de</w:t>
      </w:r>
      <w:r>
        <w:rPr>
          <w:noProof/>
          <w:szCs w:val="24"/>
        </w:rPr>
        <w:t>signed to allow for scalable levels of finance using structural funds.  In this respect Managing Authorities of Member States can replicate (or provide financial contributions to) this instrument which ensures that the impact of the contribution provided r</w:t>
      </w:r>
      <w:r>
        <w:rPr>
          <w:noProof/>
          <w:szCs w:val="24"/>
        </w:rPr>
        <w:t>emain within the relevant geographical area, building on the existing ex-ante assessment</w:t>
      </w:r>
      <w:r>
        <w:rPr>
          <w:rStyle w:val="FootnoteReference"/>
          <w:noProof/>
          <w:szCs w:val="24"/>
        </w:rPr>
        <w:footnoteReference w:id="147"/>
      </w:r>
      <w:r>
        <w:rPr>
          <w:noProof/>
          <w:szCs w:val="24"/>
        </w:rPr>
        <w:t xml:space="preserve"> and benefiting from the basic legal structure of the PF4EE instrument as described in the Delegation Agreement.</w:t>
      </w:r>
    </w:p>
    <w:p w:rsidR="0073489B" w:rsidRDefault="00A46D11">
      <w:pPr>
        <w:numPr>
          <w:ilvl w:val="1"/>
          <w:numId w:val="126"/>
        </w:numPr>
        <w:tabs>
          <w:tab w:val="left" w:pos="709"/>
        </w:tabs>
        <w:autoSpaceDE w:val="0"/>
        <w:autoSpaceDN w:val="0"/>
        <w:adjustRightInd w:val="0"/>
        <w:ind w:left="709" w:right="141" w:hanging="142"/>
        <w:jc w:val="both"/>
        <w:rPr>
          <w:noProof/>
          <w:szCs w:val="24"/>
        </w:rPr>
      </w:pPr>
      <w:r>
        <w:rPr>
          <w:noProof/>
          <w:szCs w:val="24"/>
        </w:rPr>
        <w:t>The EIB is committed under the Delegation Agreement ar</w:t>
      </w:r>
      <w:r>
        <w:rPr>
          <w:noProof/>
          <w:szCs w:val="24"/>
        </w:rPr>
        <w:t xml:space="preserve">t. 17 to carry out by 2017 a specific evaluation of the cash collateral approach to assess the effectiveness of the cash collateral approach, including through a comparison with alternative unfunded approaches, such as financial guarantees provided by the </w:t>
      </w:r>
      <w:r>
        <w:rPr>
          <w:noProof/>
          <w:szCs w:val="24"/>
        </w:rPr>
        <w:t>Union through entrusted entities or directly to Financial Intermediaries.</w:t>
      </w:r>
    </w:p>
    <w:p w:rsidR="0073489B" w:rsidRDefault="00A46D11">
      <w:pPr>
        <w:pStyle w:val="ListParagraph"/>
        <w:keepNext/>
        <w:numPr>
          <w:ilvl w:val="0"/>
          <w:numId w:val="1"/>
        </w:numPr>
        <w:ind w:left="142" w:hanging="142"/>
        <w:jc w:val="both"/>
        <w:rPr>
          <w:b/>
          <w:noProof/>
          <w:szCs w:val="24"/>
        </w:rPr>
      </w:pPr>
      <w:r>
        <w:rPr>
          <w:b/>
          <w:noProof/>
          <w:szCs w:val="24"/>
        </w:rPr>
        <w:t>Main risks identified:</w:t>
      </w:r>
    </w:p>
    <w:p w:rsidR="0073489B" w:rsidRDefault="00A46D11">
      <w:pPr>
        <w:numPr>
          <w:ilvl w:val="1"/>
          <w:numId w:val="126"/>
        </w:numPr>
        <w:autoSpaceDE w:val="0"/>
        <w:autoSpaceDN w:val="0"/>
        <w:adjustRightInd w:val="0"/>
        <w:ind w:left="709" w:right="141" w:hanging="142"/>
        <w:jc w:val="both"/>
        <w:rPr>
          <w:noProof/>
          <w:szCs w:val="24"/>
        </w:rPr>
      </w:pPr>
      <w:r>
        <w:rPr>
          <w:noProof/>
          <w:szCs w:val="24"/>
        </w:rPr>
        <w:t>considering that lending is implemented through financial intermediaries, the assessment of compliance of final recipient and eligible investments and impact i</w:t>
      </w:r>
      <w:r>
        <w:rPr>
          <w:noProof/>
          <w:szCs w:val="24"/>
        </w:rPr>
        <w:t>ndicators with the provisions set in the Delegation Agreement is challenging. EIB's monitoring and reporting on these critical aspects will need to be scrutinized by the PF4EE Board.</w:t>
      </w:r>
    </w:p>
    <w:p w:rsidR="0073489B" w:rsidRDefault="00A46D11">
      <w:pPr>
        <w:numPr>
          <w:ilvl w:val="1"/>
          <w:numId w:val="126"/>
        </w:numPr>
        <w:autoSpaceDE w:val="0"/>
        <w:autoSpaceDN w:val="0"/>
        <w:adjustRightInd w:val="0"/>
        <w:ind w:left="709" w:right="141" w:hanging="142"/>
        <w:jc w:val="both"/>
        <w:rPr>
          <w:noProof/>
          <w:szCs w:val="24"/>
        </w:rPr>
      </w:pPr>
      <w:r>
        <w:rPr>
          <w:noProof/>
          <w:szCs w:val="24"/>
        </w:rPr>
        <w:t>Accordingly with the provision of the Delegation Agreement Annex 1, secti</w:t>
      </w:r>
      <w:r>
        <w:rPr>
          <w:noProof/>
          <w:szCs w:val="24"/>
        </w:rPr>
        <w:t>on 7.2 the assessment of eligibility of Final Recipient will need to be performed against specific requirements and financing should only support Eligible Energy Efficiency Investment.</w:t>
      </w:r>
    </w:p>
    <w:p w:rsidR="0073489B" w:rsidRDefault="00A46D11">
      <w:pPr>
        <w:numPr>
          <w:ilvl w:val="1"/>
          <w:numId w:val="126"/>
        </w:numPr>
        <w:autoSpaceDE w:val="0"/>
        <w:autoSpaceDN w:val="0"/>
        <w:adjustRightInd w:val="0"/>
        <w:ind w:left="709" w:right="141" w:hanging="142"/>
        <w:jc w:val="both"/>
        <w:rPr>
          <w:noProof/>
          <w:szCs w:val="24"/>
        </w:rPr>
      </w:pPr>
      <w:r>
        <w:rPr>
          <w:noProof/>
          <w:szCs w:val="24"/>
        </w:rPr>
        <w:t>As mentioned in the Delegation Agreement Annex 5a, Section III, operati</w:t>
      </w:r>
      <w:r>
        <w:rPr>
          <w:noProof/>
          <w:szCs w:val="24"/>
        </w:rPr>
        <w:t xml:space="preserve">ons will be chosen having regard to the fields of intervention of the PF4EE and carefully monitored and evaluated to assess the impact on energy efficiency and GHG saving and other impact indicators. </w:t>
      </w:r>
    </w:p>
    <w:p w:rsidR="0073489B" w:rsidRDefault="00A46D11">
      <w:pPr>
        <w:pStyle w:val="ListParagraph"/>
        <w:keepNext/>
        <w:numPr>
          <w:ilvl w:val="0"/>
          <w:numId w:val="116"/>
        </w:numPr>
        <w:tabs>
          <w:tab w:val="left" w:pos="142"/>
        </w:tabs>
        <w:ind w:right="142" w:hanging="720"/>
        <w:jc w:val="both"/>
        <w:rPr>
          <w:noProof/>
          <w:szCs w:val="24"/>
        </w:rPr>
      </w:pPr>
      <w:r>
        <w:rPr>
          <w:b/>
          <w:noProof/>
          <w:szCs w:val="24"/>
        </w:rPr>
        <w:t>General outlook:</w:t>
      </w:r>
      <w:r>
        <w:rPr>
          <w:noProof/>
          <w:szCs w:val="24"/>
        </w:rPr>
        <w:t xml:space="preserve"> </w:t>
      </w:r>
    </w:p>
    <w:p w:rsidR="0073489B" w:rsidRDefault="00A46D11">
      <w:pPr>
        <w:numPr>
          <w:ilvl w:val="0"/>
          <w:numId w:val="295"/>
        </w:numPr>
        <w:shd w:val="clear" w:color="auto" w:fill="FFFFFF"/>
        <w:spacing w:after="60"/>
        <w:ind w:right="20"/>
        <w:jc w:val="both"/>
        <w:rPr>
          <w:rFonts w:eastAsia="Times New Roman"/>
          <w:noProof/>
          <w:szCs w:val="24"/>
          <w:lang w:eastAsia="en-GB"/>
        </w:rPr>
      </w:pPr>
      <w:r>
        <w:rPr>
          <w:rFonts w:eastAsia="Times New Roman"/>
          <w:noProof/>
          <w:szCs w:val="24"/>
          <w:lang w:eastAsia="en-GB"/>
        </w:rPr>
        <w:t>In 2014 it was expected that the instrument would support investment of up to EUR 540 million. However, following the operations signed in 2015 and 2016 and in view of the current pipeline, the EIB now targets to achieve EUR 1 billion of new investments by</w:t>
      </w:r>
      <w:r>
        <w:rPr>
          <w:rFonts w:eastAsia="Times New Roman"/>
          <w:noProof/>
          <w:szCs w:val="24"/>
          <w:lang w:eastAsia="en-GB"/>
        </w:rPr>
        <w:t xml:space="preserve"> the end of pilot phase in 2017 (EUR 430 million from EIB and EUR 570 million from financial intermediaries), covering 10 Member States. </w:t>
      </w:r>
    </w:p>
    <w:p w:rsidR="0073489B" w:rsidRDefault="00A46D11">
      <w:pPr>
        <w:numPr>
          <w:ilvl w:val="0"/>
          <w:numId w:val="295"/>
        </w:numPr>
        <w:shd w:val="clear" w:color="auto" w:fill="FFFFFF"/>
        <w:spacing w:after="60"/>
        <w:ind w:right="20"/>
        <w:jc w:val="both"/>
        <w:rPr>
          <w:rFonts w:eastAsia="Times New Roman"/>
          <w:noProof/>
          <w:szCs w:val="24"/>
          <w:lang w:eastAsia="en-GB"/>
        </w:rPr>
      </w:pPr>
      <w:r>
        <w:rPr>
          <w:rFonts w:eastAsia="Times New Roman"/>
          <w:noProof/>
          <w:szCs w:val="24"/>
          <w:lang w:eastAsia="en-GB"/>
        </w:rPr>
        <w:t>The 6 deals signed by the end of 2016 are the following:</w:t>
      </w:r>
    </w:p>
    <w:p w:rsidR="0073489B" w:rsidRDefault="00A46D11">
      <w:pPr>
        <w:numPr>
          <w:ilvl w:val="2"/>
          <w:numId w:val="296"/>
        </w:numPr>
        <w:shd w:val="clear" w:color="auto" w:fill="FFFFFF"/>
        <w:spacing w:after="60"/>
        <w:ind w:right="20"/>
        <w:jc w:val="both"/>
        <w:rPr>
          <w:rFonts w:eastAsia="Times New Roman"/>
          <w:noProof/>
          <w:szCs w:val="24"/>
          <w:lang w:eastAsia="en-GB"/>
        </w:rPr>
      </w:pPr>
      <w:r>
        <w:rPr>
          <w:rFonts w:eastAsia="Times New Roman"/>
          <w:noProof/>
          <w:szCs w:val="24"/>
          <w:lang w:eastAsia="en-GB"/>
        </w:rPr>
        <w:t>Komercni Banka, Czech Republic: EUR 75 million  worth of ener</w:t>
      </w:r>
      <w:r>
        <w:rPr>
          <w:rFonts w:eastAsia="Times New Roman"/>
          <w:noProof/>
          <w:szCs w:val="24"/>
          <w:lang w:eastAsia="en-GB"/>
        </w:rPr>
        <w:t>gy efficiency loans for corporates and lighting systems for buildings and industrial sites</w:t>
      </w:r>
    </w:p>
    <w:p w:rsidR="0073489B" w:rsidRDefault="00A46D11">
      <w:pPr>
        <w:numPr>
          <w:ilvl w:val="2"/>
          <w:numId w:val="296"/>
        </w:numPr>
        <w:shd w:val="clear" w:color="auto" w:fill="FFFFFF"/>
        <w:spacing w:after="60"/>
        <w:ind w:right="20"/>
        <w:jc w:val="both"/>
        <w:rPr>
          <w:rFonts w:eastAsia="Times New Roman"/>
          <w:noProof/>
          <w:szCs w:val="24"/>
          <w:lang w:eastAsia="en-GB"/>
        </w:rPr>
      </w:pPr>
      <w:r>
        <w:rPr>
          <w:rFonts w:eastAsia="Times New Roman"/>
          <w:noProof/>
          <w:szCs w:val="24"/>
          <w:lang w:eastAsia="en-GB"/>
        </w:rPr>
        <w:t>Banco Santander, Spain: EUR 50 million  worth of energy efficiency loans for hotels and other touristic buildings</w:t>
      </w:r>
    </w:p>
    <w:p w:rsidR="0073489B" w:rsidRDefault="00A46D11">
      <w:pPr>
        <w:numPr>
          <w:ilvl w:val="2"/>
          <w:numId w:val="296"/>
        </w:numPr>
        <w:shd w:val="clear" w:color="auto" w:fill="FFFFFF"/>
        <w:spacing w:after="60"/>
        <w:ind w:right="20"/>
        <w:jc w:val="both"/>
        <w:rPr>
          <w:rFonts w:eastAsia="Times New Roman"/>
          <w:noProof/>
          <w:szCs w:val="24"/>
          <w:lang w:eastAsia="en-GB"/>
        </w:rPr>
      </w:pPr>
      <w:r>
        <w:rPr>
          <w:rFonts w:eastAsia="Times New Roman"/>
          <w:noProof/>
          <w:szCs w:val="24"/>
          <w:lang w:eastAsia="en-GB"/>
        </w:rPr>
        <w:lastRenderedPageBreak/>
        <w:t xml:space="preserve">Credit Cooperatif, France: EUR 75 million worth of </w:t>
      </w:r>
      <w:r>
        <w:rPr>
          <w:rFonts w:eastAsia="Times New Roman"/>
          <w:noProof/>
          <w:szCs w:val="24"/>
          <w:lang w:eastAsia="en-GB"/>
        </w:rPr>
        <w:t>energy efficiency loans for SMEs and building renovation</w:t>
      </w:r>
    </w:p>
    <w:p w:rsidR="0073489B" w:rsidRDefault="00A46D11">
      <w:pPr>
        <w:numPr>
          <w:ilvl w:val="2"/>
          <w:numId w:val="296"/>
        </w:numPr>
        <w:shd w:val="clear" w:color="auto" w:fill="FFFFFF"/>
        <w:spacing w:after="60"/>
        <w:ind w:right="20"/>
        <w:jc w:val="both"/>
        <w:rPr>
          <w:rFonts w:eastAsia="Times New Roman"/>
          <w:noProof/>
          <w:szCs w:val="24"/>
          <w:lang w:eastAsia="en-GB"/>
        </w:rPr>
      </w:pPr>
      <w:r>
        <w:rPr>
          <w:rFonts w:eastAsia="Times New Roman"/>
          <w:noProof/>
          <w:szCs w:val="24"/>
          <w:lang w:eastAsia="en-GB"/>
        </w:rPr>
        <w:t xml:space="preserve">BELFIUS, Belgium: EUR 75 million worth of targeted energy efficiency loans for SMEs </w:t>
      </w:r>
    </w:p>
    <w:p w:rsidR="0073489B" w:rsidRDefault="00A46D11">
      <w:pPr>
        <w:numPr>
          <w:ilvl w:val="2"/>
          <w:numId w:val="296"/>
        </w:numPr>
        <w:shd w:val="clear" w:color="auto" w:fill="FFFFFF"/>
        <w:spacing w:after="60"/>
        <w:ind w:right="20"/>
        <w:jc w:val="both"/>
        <w:rPr>
          <w:rFonts w:eastAsia="Times New Roman"/>
          <w:noProof/>
          <w:szCs w:val="24"/>
          <w:lang w:eastAsia="en-GB"/>
        </w:rPr>
      </w:pPr>
      <w:r>
        <w:rPr>
          <w:rFonts w:eastAsia="Times New Roman"/>
          <w:noProof/>
          <w:szCs w:val="24"/>
          <w:lang w:eastAsia="en-GB"/>
        </w:rPr>
        <w:t>Banco BPI, Portugal: EUR 50 million in targeted loans for businesses</w:t>
      </w:r>
    </w:p>
    <w:p w:rsidR="0073489B" w:rsidRDefault="00A46D11">
      <w:pPr>
        <w:numPr>
          <w:ilvl w:val="2"/>
          <w:numId w:val="296"/>
        </w:numPr>
        <w:shd w:val="clear" w:color="auto" w:fill="FFFFFF"/>
        <w:spacing w:after="60"/>
        <w:ind w:right="20"/>
        <w:jc w:val="both"/>
        <w:rPr>
          <w:rFonts w:eastAsia="Times New Roman"/>
          <w:noProof/>
          <w:szCs w:val="24"/>
          <w:lang w:eastAsia="en-GB"/>
        </w:rPr>
      </w:pPr>
      <w:r>
        <w:rPr>
          <w:rFonts w:eastAsia="Times New Roman"/>
          <w:noProof/>
          <w:szCs w:val="24"/>
          <w:lang w:eastAsia="en-GB"/>
        </w:rPr>
        <w:t>BPER, Italy: EUR 50 million worth of energy e</w:t>
      </w:r>
      <w:r>
        <w:rPr>
          <w:rFonts w:eastAsia="Times New Roman"/>
          <w:noProof/>
          <w:szCs w:val="24"/>
          <w:lang w:eastAsia="en-GB"/>
        </w:rPr>
        <w:t>fficiency loans for private sector</w:t>
      </w:r>
    </w:p>
    <w:p w:rsidR="0073489B" w:rsidRDefault="00A46D11">
      <w:pPr>
        <w:shd w:val="clear" w:color="auto" w:fill="FFFFFF"/>
        <w:spacing w:after="60"/>
        <w:ind w:left="720" w:right="20"/>
        <w:jc w:val="both"/>
        <w:rPr>
          <w:rFonts w:eastAsia="Times New Roman"/>
          <w:noProof/>
          <w:szCs w:val="24"/>
          <w:lang w:eastAsia="en-GB"/>
        </w:rPr>
      </w:pPr>
      <w:r>
        <w:rPr>
          <w:rFonts w:eastAsia="Times New Roman"/>
          <w:noProof/>
          <w:szCs w:val="24"/>
          <w:lang w:eastAsia="en-GB"/>
        </w:rPr>
        <w:t xml:space="preserve">In 2017, additional deals could be signed in Croatia, the UK, Greece and Cyprus. </w:t>
      </w:r>
    </w:p>
    <w:p w:rsidR="0073489B" w:rsidRDefault="00A46D11">
      <w:pPr>
        <w:numPr>
          <w:ilvl w:val="0"/>
          <w:numId w:val="297"/>
        </w:numPr>
        <w:shd w:val="clear" w:color="auto" w:fill="FFFFFF"/>
        <w:spacing w:after="60"/>
        <w:ind w:right="20"/>
        <w:jc w:val="both"/>
        <w:rPr>
          <w:rFonts w:eastAsia="Times New Roman"/>
          <w:noProof/>
          <w:szCs w:val="24"/>
          <w:lang w:eastAsia="en-GB"/>
        </w:rPr>
      </w:pPr>
      <w:r>
        <w:rPr>
          <w:rFonts w:eastAsia="Times New Roman"/>
          <w:noProof/>
          <w:szCs w:val="24"/>
          <w:lang w:eastAsia="en-GB"/>
        </w:rPr>
        <w:t>The strong interest by banks and the increased EIB investment target indicate the underlying market demand and thus the potential for scali</w:t>
      </w:r>
      <w:r>
        <w:rPr>
          <w:rFonts w:eastAsia="Times New Roman"/>
          <w:noProof/>
          <w:szCs w:val="24"/>
          <w:lang w:eastAsia="en-GB"/>
        </w:rPr>
        <w:t>ng up over the 2018-2020 period. In fact, PF4EE is contributing to creating a new financial product in the market targeting energy efficiency and consequently directly contributing to the decarbonisation of the EU economy, in line with the COP21 goals.</w:t>
      </w:r>
    </w:p>
    <w:p w:rsidR="0073489B" w:rsidRDefault="0073489B">
      <w:pPr>
        <w:shd w:val="clear" w:color="auto" w:fill="FFFFFF"/>
        <w:spacing w:after="60"/>
        <w:ind w:left="1080" w:right="20"/>
        <w:jc w:val="both"/>
        <w:rPr>
          <w:rFonts w:eastAsia="Times New Roman"/>
          <w:noProof/>
          <w:szCs w:val="24"/>
          <w:lang w:eastAsia="en-GB"/>
        </w:rPr>
      </w:pPr>
    </w:p>
    <w:p w:rsidR="0073489B" w:rsidRDefault="0073489B">
      <w:pPr>
        <w:pStyle w:val="ListParagraph"/>
        <w:ind w:left="709" w:right="141"/>
        <w:jc w:val="both"/>
        <w:rPr>
          <w:noProof/>
          <w:szCs w:val="24"/>
        </w:rPr>
      </w:pPr>
    </w:p>
    <w:sectPr w:rsidR="0073489B">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D11" w:rsidRDefault="00A46D11">
      <w:r>
        <w:separator/>
      </w:r>
    </w:p>
  </w:endnote>
  <w:endnote w:type="continuationSeparator" w:id="0">
    <w:p w:rsidR="00A46D11" w:rsidRDefault="00A46D11">
      <w:r>
        <w:continuationSeparator/>
      </w:r>
    </w:p>
  </w:endnote>
  <w:endnote w:type="continuationNotice" w:id="1">
    <w:p w:rsidR="00A46D11" w:rsidRDefault="00A46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Futura Lt B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9C" w:rsidRDefault="00664D9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A46D11">
    <w:pPr>
      <w:pStyle w:val="Footer"/>
      <w:jc w:val="center"/>
    </w:pPr>
    <w:r>
      <w:fldChar w:fldCharType="begin"/>
    </w:r>
    <w:r>
      <w:instrText xml:space="preserve"> PAGE   \* MERGEFORMAT </w:instrText>
    </w:r>
    <w:r>
      <w:fldChar w:fldCharType="separate"/>
    </w:r>
    <w:r w:rsidR="00664D9C">
      <w:rPr>
        <w:noProof/>
      </w:rPr>
      <w:t>94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A46D11">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9C" w:rsidRDefault="00664D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A46D11">
    <w:pPr>
      <w:pStyle w:val="Footer"/>
      <w:jc w:val="center"/>
    </w:pPr>
    <w:r>
      <w:fldChar w:fldCharType="begin"/>
    </w:r>
    <w:r>
      <w:instrText xml:space="preserve"> PAGE   \* MERGEFORMAT </w:instrText>
    </w:r>
    <w:r>
      <w:fldChar w:fldCharType="separate"/>
    </w:r>
    <w:r w:rsidR="00664D9C">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515559"/>
      <w:docPartObj>
        <w:docPartGallery w:val="Page Numbers (Bottom of Page)"/>
        <w:docPartUnique/>
      </w:docPartObj>
    </w:sdtPr>
    <w:sdtEndPr>
      <w:rPr>
        <w:noProof/>
      </w:rPr>
    </w:sdtEndPr>
    <w:sdtContent>
      <w:p w:rsidR="00664D9C" w:rsidRDefault="00664D9C">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73489B" w:rsidRDefault="0073489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D11" w:rsidRDefault="00A46D11">
      <w:r>
        <w:separator/>
      </w:r>
    </w:p>
  </w:footnote>
  <w:footnote w:type="continuationSeparator" w:id="0">
    <w:p w:rsidR="00A46D11" w:rsidRDefault="00A46D11">
      <w:r>
        <w:continuationSeparator/>
      </w:r>
    </w:p>
  </w:footnote>
  <w:footnote w:type="continuationNotice" w:id="1">
    <w:p w:rsidR="00A46D11" w:rsidRDefault="00A46D11"/>
  </w:footnote>
  <w:footnote w:id="2">
    <w:p w:rsidR="0073489B" w:rsidRDefault="00A46D11">
      <w:pPr>
        <w:pStyle w:val="FootnoteText"/>
        <w:contextualSpacing/>
        <w:jc w:val="both"/>
        <w:rPr>
          <w:rStyle w:val="FootnoteReference"/>
          <w:sz w:val="24"/>
          <w:szCs w:val="22"/>
          <w:vertAlign w:val="baseline"/>
        </w:rPr>
      </w:pPr>
      <w:r>
        <w:rPr>
          <w:rStyle w:val="FootnoteReference"/>
        </w:rPr>
        <w:footnoteRef/>
      </w:r>
      <w:r>
        <w:rPr>
          <w:rStyle w:val="FootnoteReference"/>
        </w:rPr>
        <w:t xml:space="preserve"> </w:t>
      </w:r>
      <w:r>
        <w:rPr>
          <w:rStyle w:val="FootnoteReference"/>
          <w:vertAlign w:val="baseline"/>
        </w:rPr>
        <w:t>Regulation (EU, EURATOM) No 966/2012 of the European Parliament and of the Council of 25 October 2012 (OJ L298/1, 26.10.2012).</w:t>
      </w:r>
    </w:p>
  </w:footnote>
  <w:footnote w:id="3">
    <w:p w:rsidR="0073489B" w:rsidRDefault="00A46D11">
      <w:pPr>
        <w:pStyle w:val="FootnoteText"/>
        <w:rPr>
          <w:sz w:val="18"/>
          <w:szCs w:val="18"/>
        </w:rPr>
      </w:pPr>
      <w:r>
        <w:rPr>
          <w:sz w:val="18"/>
          <w:szCs w:val="18"/>
          <w:vertAlign w:val="superscript"/>
        </w:rPr>
        <w:footnoteRef/>
      </w:r>
      <w:r>
        <w:rPr>
          <w:sz w:val="18"/>
          <w:szCs w:val="18"/>
        </w:rPr>
        <w:t xml:space="preserve"> Implementing Body in charge</w:t>
      </w:r>
    </w:p>
  </w:footnote>
  <w:footnote w:id="4">
    <w:p w:rsidR="0073489B" w:rsidRDefault="00A46D11">
      <w:pPr>
        <w:pStyle w:val="FootnoteText"/>
        <w:rPr>
          <w:sz w:val="18"/>
          <w:szCs w:val="18"/>
        </w:rPr>
      </w:pPr>
      <w:r>
        <w:rPr>
          <w:sz w:val="18"/>
          <w:szCs w:val="18"/>
          <w:vertAlign w:val="superscript"/>
        </w:rPr>
        <w:footnoteRef/>
      </w:r>
      <w:r>
        <w:rPr>
          <w:sz w:val="18"/>
          <w:szCs w:val="18"/>
        </w:rPr>
        <w:t xml:space="preserve"> Note: Including management fees</w:t>
      </w:r>
    </w:p>
  </w:footnote>
  <w:footnote w:id="5">
    <w:p w:rsidR="0073489B" w:rsidRDefault="00A46D11">
      <w:pPr>
        <w:pStyle w:val="FootnoteText"/>
        <w:rPr>
          <w:sz w:val="18"/>
          <w:szCs w:val="18"/>
        </w:rPr>
      </w:pPr>
      <w:r>
        <w:rPr>
          <w:rStyle w:val="FootnoteReference"/>
          <w:sz w:val="18"/>
          <w:szCs w:val="18"/>
        </w:rPr>
        <w:footnoteRef/>
      </w:r>
      <w:r>
        <w:rPr>
          <w:color w:val="000000" w:themeColor="text1"/>
          <w:sz w:val="18"/>
          <w:szCs w:val="18"/>
        </w:rPr>
        <w:t xml:space="preserve"> The executed budget is</w:t>
      </w:r>
      <w:r>
        <w:rPr>
          <w:color w:val="000000" w:themeColor="text1"/>
          <w:sz w:val="18"/>
          <w:szCs w:val="18"/>
        </w:rPr>
        <w:t xml:space="preserve"> computed including EFTA contributions and third countries contribution paid by Participating Countries and/or regularised interest</w:t>
      </w:r>
      <w:r>
        <w:rPr>
          <w:sz w:val="18"/>
          <w:szCs w:val="18"/>
        </w:rPr>
        <w:t>, the same applies also to SMEG07 (CIP) and EPMF-G.</w:t>
      </w:r>
    </w:p>
  </w:footnote>
  <w:footnote w:id="6">
    <w:p w:rsidR="0073489B" w:rsidRDefault="00A46D11">
      <w:pPr>
        <w:pStyle w:val="FootnoteText"/>
        <w:rPr>
          <w:sz w:val="18"/>
          <w:szCs w:val="18"/>
        </w:rPr>
      </w:pPr>
      <w:r>
        <w:rPr>
          <w:sz w:val="18"/>
          <w:szCs w:val="18"/>
          <w:vertAlign w:val="superscript"/>
        </w:rPr>
        <w:footnoteRef/>
      </w:r>
      <w:r>
        <w:rPr>
          <w:sz w:val="18"/>
          <w:szCs w:val="18"/>
        </w:rPr>
        <w:t xml:space="preserve"> Equity</w:t>
      </w:r>
    </w:p>
  </w:footnote>
  <w:footnote w:id="7">
    <w:p w:rsidR="0073489B" w:rsidRDefault="00A46D11">
      <w:pPr>
        <w:pStyle w:val="FootnoteText"/>
        <w:rPr>
          <w:sz w:val="18"/>
          <w:szCs w:val="18"/>
        </w:rPr>
      </w:pPr>
      <w:r>
        <w:rPr>
          <w:sz w:val="18"/>
          <w:szCs w:val="18"/>
          <w:vertAlign w:val="superscript"/>
        </w:rPr>
        <w:footnoteRef/>
      </w:r>
      <w:r>
        <w:rPr>
          <w:sz w:val="18"/>
          <w:szCs w:val="18"/>
        </w:rPr>
        <w:t xml:space="preserve"> 2007-2013 financial instruments</w:t>
      </w:r>
    </w:p>
  </w:footnote>
  <w:footnote w:id="8">
    <w:p w:rsidR="0073489B" w:rsidRDefault="00A46D11">
      <w:pPr>
        <w:pStyle w:val="FootnoteText"/>
      </w:pPr>
      <w:r>
        <w:rPr>
          <w:rStyle w:val="FootnoteReference"/>
        </w:rPr>
        <w:footnoteRef/>
      </w:r>
      <w:r>
        <w:t xml:space="preserve"> </w:t>
      </w:r>
      <w:r>
        <w:rPr>
          <w:color w:val="000000" w:themeColor="text1"/>
          <w:sz w:val="18"/>
          <w:szCs w:val="18"/>
        </w:rPr>
        <w:t>This amount includes the EUR</w:t>
      </w:r>
      <w:r>
        <w:rPr>
          <w:color w:val="000000" w:themeColor="text1"/>
          <w:sz w:val="18"/>
          <w:szCs w:val="18"/>
        </w:rPr>
        <w:t xml:space="preserve"> 19 474 357 re-committed to the same instrument (see Chapter IV of present document for details).</w:t>
      </w:r>
    </w:p>
  </w:footnote>
  <w:footnote w:id="9">
    <w:p w:rsidR="0073489B" w:rsidRDefault="00A46D11">
      <w:pPr>
        <w:pStyle w:val="FootnoteText"/>
      </w:pPr>
      <w:r>
        <w:rPr>
          <w:rStyle w:val="FootnoteReference"/>
        </w:rPr>
        <w:footnoteRef/>
      </w:r>
      <w:r>
        <w:t xml:space="preserve"> </w:t>
      </w:r>
      <w:r>
        <w:rPr>
          <w:color w:val="000000" w:themeColor="text1"/>
          <w:sz w:val="18"/>
          <w:szCs w:val="18"/>
        </w:rPr>
        <w:t>This amount includes the EUR 19 474 357 re-committed to the same instrument (see Chapter IV of present document for details).</w:t>
      </w:r>
    </w:p>
  </w:footnote>
  <w:footnote w:id="10">
    <w:p w:rsidR="0073489B" w:rsidRDefault="00A46D11">
      <w:pPr>
        <w:pStyle w:val="FootnoteText"/>
        <w:rPr>
          <w:sz w:val="18"/>
          <w:szCs w:val="18"/>
        </w:rPr>
      </w:pPr>
      <w:r>
        <w:rPr>
          <w:rStyle w:val="FootnoteReference"/>
          <w:sz w:val="18"/>
          <w:szCs w:val="18"/>
        </w:rPr>
        <w:footnoteRef/>
      </w:r>
      <w:r>
        <w:rPr>
          <w:sz w:val="18"/>
          <w:szCs w:val="18"/>
        </w:rPr>
        <w:t xml:space="preserve"> 2014-2020 financial instrume</w:t>
      </w:r>
      <w:r>
        <w:rPr>
          <w:sz w:val="18"/>
          <w:szCs w:val="18"/>
        </w:rPr>
        <w:t>nts</w:t>
      </w:r>
    </w:p>
  </w:footnote>
  <w:footnote w:id="11">
    <w:p w:rsidR="0073489B" w:rsidRDefault="00A46D11">
      <w:pPr>
        <w:pStyle w:val="FootnoteText"/>
        <w:rPr>
          <w:sz w:val="18"/>
          <w:szCs w:val="18"/>
        </w:rPr>
      </w:pPr>
      <w:r>
        <w:rPr>
          <w:rStyle w:val="FootnoteReference"/>
        </w:rPr>
        <w:footnoteRef/>
      </w:r>
      <w:r>
        <w:t xml:space="preserve"> </w:t>
      </w:r>
      <w:r>
        <w:rPr>
          <w:sz w:val="18"/>
          <w:szCs w:val="18"/>
        </w:rPr>
        <w:t xml:space="preserve">Commitment for the EaSI-Capacity Building.  Besides EaSI-G and EaSI-CBI, an additional envelope of EUR 84m has been appropriated under EaSI (out of which EUR 81m already reflected into the Delegation Agreement), to be used in part for funded </w:t>
      </w:r>
      <w:r>
        <w:rPr>
          <w:sz w:val="18"/>
          <w:szCs w:val="18"/>
        </w:rPr>
        <w:t>instruments.</w:t>
      </w:r>
    </w:p>
  </w:footnote>
  <w:footnote w:id="12">
    <w:p w:rsidR="0073489B" w:rsidRDefault="00A46D11">
      <w:pPr>
        <w:pStyle w:val="FootnoteText"/>
      </w:pPr>
      <w:r>
        <w:rPr>
          <w:rStyle w:val="FootnoteReference"/>
          <w:sz w:val="18"/>
          <w:szCs w:val="18"/>
        </w:rPr>
        <w:footnoteRef/>
      </w:r>
      <w:r>
        <w:rPr>
          <w:sz w:val="18"/>
          <w:szCs w:val="18"/>
        </w:rPr>
        <w:t xml:space="preserve"> Guarantee</w:t>
      </w:r>
    </w:p>
  </w:footnote>
  <w:footnote w:id="13">
    <w:p w:rsidR="0073489B" w:rsidRDefault="00A46D11">
      <w:pPr>
        <w:pStyle w:val="FootnoteText"/>
        <w:rPr>
          <w:color w:val="FF00FF"/>
          <w:sz w:val="18"/>
          <w:szCs w:val="18"/>
        </w:rPr>
      </w:pPr>
      <w:r>
        <w:rPr>
          <w:sz w:val="18"/>
          <w:szCs w:val="18"/>
          <w:vertAlign w:val="superscript"/>
        </w:rPr>
        <w:footnoteRef/>
      </w:r>
      <w:r>
        <w:rPr>
          <w:sz w:val="18"/>
          <w:szCs w:val="18"/>
        </w:rPr>
        <w:t xml:space="preserve"> Commitment for the EaSI-Guarantees.  Besides EaSI-G and EaSI-CBI, an additional envelope of EUR 84m has been appropriated under EaSI (out of which EUR 81m already reflected into the Delegation Agreement), to be used in part for f</w:t>
      </w:r>
      <w:r>
        <w:rPr>
          <w:sz w:val="18"/>
          <w:szCs w:val="18"/>
        </w:rPr>
        <w:t>unded instruments.</w:t>
      </w:r>
    </w:p>
  </w:footnote>
  <w:footnote w:id="14">
    <w:p w:rsidR="0073489B" w:rsidRDefault="00A46D11">
      <w:pPr>
        <w:pStyle w:val="FootnoteText"/>
        <w:rPr>
          <w:sz w:val="18"/>
          <w:szCs w:val="18"/>
        </w:rPr>
      </w:pPr>
      <w:r>
        <w:rPr>
          <w:rStyle w:val="FootnoteReference"/>
          <w:sz w:val="18"/>
          <w:szCs w:val="18"/>
        </w:rPr>
        <w:footnoteRef/>
      </w:r>
      <w:r>
        <w:rPr>
          <w:sz w:val="18"/>
          <w:szCs w:val="18"/>
        </w:rPr>
        <w:t xml:space="preserve"> Cultural and Creative Sectors</w:t>
      </w:r>
    </w:p>
  </w:footnote>
  <w:footnote w:id="15">
    <w:p w:rsidR="0073489B" w:rsidRDefault="00A46D11">
      <w:pPr>
        <w:pStyle w:val="FootnoteText"/>
      </w:pPr>
      <w:r>
        <w:rPr>
          <w:rStyle w:val="FootnoteReference"/>
          <w:sz w:val="18"/>
          <w:szCs w:val="18"/>
        </w:rPr>
        <w:footnoteRef/>
      </w:r>
      <w:r>
        <w:rPr>
          <w:sz w:val="18"/>
          <w:szCs w:val="18"/>
        </w:rPr>
        <w:t xml:space="preserve"> Risk Sharing</w:t>
      </w:r>
    </w:p>
  </w:footnote>
  <w:footnote w:id="16">
    <w:p w:rsidR="0073489B" w:rsidRDefault="00A46D11">
      <w:pPr>
        <w:pStyle w:val="FootnoteText"/>
        <w:rPr>
          <w:color w:val="FF00FF"/>
          <w:lang w:val="en-US"/>
        </w:rPr>
      </w:pPr>
      <w:r>
        <w:rPr>
          <w:rStyle w:val="FootnoteReference"/>
          <w:sz w:val="18"/>
          <w:szCs w:val="18"/>
        </w:rPr>
        <w:footnoteRef/>
      </w:r>
      <w:r>
        <w:rPr>
          <w:rStyle w:val="FootnoteReference"/>
          <w:sz w:val="18"/>
          <w:szCs w:val="18"/>
        </w:rPr>
        <w:t xml:space="preserve"> </w:t>
      </w:r>
      <w:r>
        <w:rPr>
          <w:sz w:val="18"/>
          <w:szCs w:val="18"/>
        </w:rPr>
        <w:t>Initial indicative contribution which does not take into account revenues and repayments from RSFF (2007-2013)</w:t>
      </w:r>
    </w:p>
  </w:footnote>
  <w:footnote w:id="17">
    <w:p w:rsidR="0073489B" w:rsidRDefault="00A46D11">
      <w:pPr>
        <w:pStyle w:val="FootnoteText"/>
        <w:rPr>
          <w:sz w:val="18"/>
          <w:szCs w:val="18"/>
        </w:rPr>
      </w:pPr>
      <w:r>
        <w:rPr>
          <w:rStyle w:val="FootnoteReference"/>
          <w:sz w:val="18"/>
          <w:szCs w:val="18"/>
        </w:rPr>
        <w:footnoteRef/>
      </w:r>
      <w:r>
        <w:rPr>
          <w:sz w:val="18"/>
          <w:szCs w:val="18"/>
        </w:rPr>
        <w:t xml:space="preserve"> This amount corresponds to the financial programming as initially established in 2014. Since then, the programming has been significantly revised downwards over the period 2014-2020, in particular to finance other priority initiatives through redeployment</w:t>
      </w:r>
      <w:r>
        <w:rPr>
          <w:sz w:val="18"/>
          <w:szCs w:val="18"/>
        </w:rPr>
        <w:t>s (e.g. EUR 500 million for establishing EFSI and a futher EUR 500 million are proposed for its extension) or to increase the envelope available for CEF grants (e.g. EUR 1 billion for the so-called blending call under CEF Transport).</w:t>
      </w:r>
    </w:p>
  </w:footnote>
  <w:footnote w:id="18">
    <w:p w:rsidR="0073489B" w:rsidRDefault="00A46D11">
      <w:pPr>
        <w:pStyle w:val="FootnoteText"/>
        <w:rPr>
          <w:sz w:val="18"/>
          <w:szCs w:val="18"/>
        </w:rPr>
      </w:pPr>
      <w:r>
        <w:rPr>
          <w:rStyle w:val="FootnoteReference"/>
          <w:sz w:val="18"/>
          <w:szCs w:val="18"/>
        </w:rPr>
        <w:footnoteRef/>
      </w:r>
      <w:r>
        <w:rPr>
          <w:sz w:val="18"/>
          <w:szCs w:val="18"/>
        </w:rPr>
        <w:t xml:space="preserve"> Amount allocated to </w:t>
      </w:r>
      <w:r>
        <w:rPr>
          <w:sz w:val="18"/>
          <w:szCs w:val="18"/>
        </w:rPr>
        <w:t>the SME Initiative in Operational Programmes</w:t>
      </w:r>
    </w:p>
  </w:footnote>
  <w:footnote w:id="19">
    <w:p w:rsidR="0073489B" w:rsidRDefault="00A46D11">
      <w:pPr>
        <w:pStyle w:val="FootnoteText"/>
      </w:pPr>
      <w:r>
        <w:rPr>
          <w:rStyle w:val="FootnoteReference"/>
        </w:rPr>
        <w:footnoteRef/>
      </w:r>
      <w:r>
        <w:t xml:space="preserve"> </w:t>
      </w:r>
      <w:r>
        <w:rPr>
          <w:sz w:val="18"/>
          <w:szCs w:val="18"/>
        </w:rPr>
        <w:t>Allocation to SMEI OP in Spain.</w:t>
      </w:r>
    </w:p>
  </w:footnote>
  <w:footnote w:id="20">
    <w:p w:rsidR="0073489B" w:rsidRDefault="00A46D11">
      <w:pPr>
        <w:pStyle w:val="FootnoteText"/>
      </w:pPr>
      <w:r>
        <w:rPr>
          <w:rStyle w:val="FootnoteReference"/>
        </w:rPr>
        <w:footnoteRef/>
      </w:r>
      <w:r>
        <w:t xml:space="preserve"> </w:t>
      </w:r>
      <w:r>
        <w:rPr>
          <w:sz w:val="18"/>
          <w:szCs w:val="18"/>
        </w:rPr>
        <w:t>Allocation to SMEI OP in Spain.</w:t>
      </w:r>
    </w:p>
  </w:footnote>
  <w:footnote w:id="21">
    <w:p w:rsidR="0073489B" w:rsidRDefault="00A46D11">
      <w:pPr>
        <w:pStyle w:val="FootnoteText"/>
        <w:rPr>
          <w:sz w:val="18"/>
          <w:szCs w:val="18"/>
        </w:rPr>
      </w:pPr>
      <w:r>
        <w:rPr>
          <w:rStyle w:val="FootnoteReference"/>
          <w:sz w:val="18"/>
          <w:szCs w:val="18"/>
        </w:rPr>
        <w:footnoteRef/>
      </w:r>
      <w:r>
        <w:rPr>
          <w:sz w:val="18"/>
          <w:szCs w:val="18"/>
        </w:rPr>
        <w:t xml:space="preserve"> Nota : EUR 0 revenues for the Budget;  revenues  and repayments generated within the fund = EUR16,8 m and EUR 24,8 m respectively.</w:t>
      </w:r>
    </w:p>
  </w:footnote>
  <w:footnote w:id="22">
    <w:p w:rsidR="0073489B" w:rsidRDefault="00A46D11">
      <w:pPr>
        <w:pStyle w:val="FootnoteText"/>
        <w:rPr>
          <w:sz w:val="18"/>
          <w:szCs w:val="18"/>
        </w:rPr>
      </w:pPr>
      <w:r>
        <w:rPr>
          <w:rStyle w:val="FootnoteReference"/>
          <w:sz w:val="18"/>
          <w:szCs w:val="18"/>
        </w:rPr>
        <w:footnoteRef/>
      </w:r>
      <w:r>
        <w:rPr>
          <w:sz w:val="18"/>
          <w:szCs w:val="18"/>
        </w:rPr>
        <w:t xml:space="preserve"> Margueri</w:t>
      </w:r>
      <w:r>
        <w:rPr>
          <w:sz w:val="18"/>
          <w:szCs w:val="18"/>
        </w:rPr>
        <w:t>te Adviser</w:t>
      </w:r>
    </w:p>
  </w:footnote>
  <w:footnote w:id="23">
    <w:p w:rsidR="0073489B" w:rsidRDefault="00A46D11">
      <w:pPr>
        <w:pStyle w:val="FootnoteText"/>
      </w:pPr>
      <w:r>
        <w:rPr>
          <w:rStyle w:val="FootnoteReference"/>
        </w:rPr>
        <w:footnoteRef/>
      </w:r>
      <w:r>
        <w:t xml:space="preserve"> </w:t>
      </w:r>
      <w:r>
        <w:rPr>
          <w:sz w:val="18"/>
          <w:szCs w:val="18"/>
        </w:rPr>
        <w:t>Nota: unaudited figures.</w:t>
      </w:r>
    </w:p>
  </w:footnote>
  <w:footnote w:id="24">
    <w:p w:rsidR="0073489B" w:rsidRDefault="00A46D11">
      <w:pPr>
        <w:pStyle w:val="FootnoteText"/>
        <w:jc w:val="both"/>
        <w:rPr>
          <w:sz w:val="18"/>
          <w:szCs w:val="18"/>
        </w:rPr>
      </w:pPr>
      <w:r>
        <w:rPr>
          <w:rStyle w:val="FootnoteReference"/>
          <w:sz w:val="18"/>
          <w:szCs w:val="18"/>
        </w:rPr>
        <w:footnoteRef/>
      </w:r>
      <w:r>
        <w:rPr>
          <w:sz w:val="18"/>
          <w:szCs w:val="18"/>
        </w:rPr>
        <w:t xml:space="preserve"> Nota: unaudited figures.</w:t>
      </w:r>
    </w:p>
  </w:footnote>
  <w:footnote w:id="25">
    <w:p w:rsidR="0073489B" w:rsidRDefault="00A46D11">
      <w:pPr>
        <w:pStyle w:val="FootnoteText"/>
        <w:rPr>
          <w:sz w:val="18"/>
          <w:szCs w:val="18"/>
        </w:rPr>
      </w:pPr>
      <w:r>
        <w:rPr>
          <w:rStyle w:val="FootnoteReference"/>
          <w:sz w:val="18"/>
          <w:szCs w:val="18"/>
        </w:rPr>
        <w:footnoteRef/>
      </w:r>
      <w:r>
        <w:rPr>
          <w:sz w:val="18"/>
          <w:szCs w:val="18"/>
        </w:rPr>
        <w:t xml:space="preserve"> Western Balkans Enterprise Development and Innovation Facility</w:t>
      </w:r>
    </w:p>
  </w:footnote>
  <w:footnote w:id="26">
    <w:p w:rsidR="0073489B" w:rsidRDefault="00A46D11">
      <w:pPr>
        <w:pStyle w:val="FootnoteText"/>
      </w:pPr>
      <w:r>
        <w:rPr>
          <w:rStyle w:val="FootnoteReference"/>
          <w:sz w:val="18"/>
          <w:szCs w:val="18"/>
        </w:rPr>
        <w:footnoteRef/>
      </w:r>
      <w:r>
        <w:rPr>
          <w:sz w:val="18"/>
          <w:szCs w:val="18"/>
        </w:rPr>
        <w:t xml:space="preserve"> Enlargement countries</w:t>
      </w:r>
    </w:p>
  </w:footnote>
  <w:footnote w:id="27">
    <w:p w:rsidR="0073489B" w:rsidRDefault="00A46D11">
      <w:pPr>
        <w:pStyle w:val="FootnoteText"/>
        <w:contextualSpacing/>
        <w:rPr>
          <w:sz w:val="18"/>
          <w:szCs w:val="18"/>
        </w:rPr>
      </w:pPr>
      <w:r>
        <w:rPr>
          <w:rStyle w:val="FootnoteReference"/>
          <w:sz w:val="18"/>
          <w:szCs w:val="18"/>
        </w:rPr>
        <w:footnoteRef/>
      </w:r>
      <w:r>
        <w:rPr>
          <w:sz w:val="18"/>
          <w:szCs w:val="18"/>
        </w:rPr>
        <w:t xml:space="preserve"> Western Balkans Enterprise Development and Innovation Facility</w:t>
      </w:r>
    </w:p>
  </w:footnote>
  <w:footnote w:id="28">
    <w:p w:rsidR="0073489B" w:rsidRDefault="00A46D11">
      <w:pPr>
        <w:pStyle w:val="FootnoteText"/>
        <w:contextualSpacing/>
        <w:rPr>
          <w:color w:val="FF00FF"/>
        </w:rPr>
      </w:pPr>
      <w:r>
        <w:rPr>
          <w:rStyle w:val="FootnoteReference"/>
        </w:rPr>
        <w:footnoteRef/>
      </w:r>
      <w:r>
        <w:rPr>
          <w:rStyle w:val="FootnoteReference"/>
        </w:rPr>
        <w:t xml:space="preserve"> </w:t>
      </w:r>
      <w:r>
        <w:rPr>
          <w:sz w:val="18"/>
        </w:rPr>
        <w:t>The budgetary commitment for the ED</w:t>
      </w:r>
      <w:r>
        <w:rPr>
          <w:sz w:val="18"/>
        </w:rPr>
        <w:t>IF GF 2 was done in the final days of 2015 and the implementation only started mid 2016, hence no achieved figures are yet available.</w:t>
      </w:r>
    </w:p>
  </w:footnote>
  <w:footnote w:id="29">
    <w:p w:rsidR="0073489B" w:rsidRDefault="00A46D11">
      <w:pPr>
        <w:pStyle w:val="FootnoteText"/>
      </w:pPr>
      <w:r>
        <w:rPr>
          <w:rStyle w:val="FootnoteReference"/>
        </w:rPr>
        <w:footnoteRef/>
      </w:r>
      <w:r>
        <w:t xml:space="preserve"> </w:t>
      </w:r>
      <w:r>
        <w:rPr>
          <w:sz w:val="18"/>
          <w:szCs w:val="18"/>
        </w:rPr>
        <w:t>fund size after second closing to be leveraged 1:1 with EBRD co-investment, ending up with circa EUR 100 million expecte</w:t>
      </w:r>
      <w:r>
        <w:rPr>
          <w:sz w:val="18"/>
          <w:szCs w:val="18"/>
        </w:rPr>
        <w:t>d financing in total.</w:t>
      </w:r>
    </w:p>
  </w:footnote>
  <w:footnote w:id="30">
    <w:p w:rsidR="0073489B" w:rsidRDefault="00A46D11">
      <w:pPr>
        <w:pStyle w:val="FootnoteText"/>
      </w:pPr>
      <w:r>
        <w:rPr>
          <w:rStyle w:val="FootnoteReference"/>
        </w:rPr>
        <w:footnoteRef/>
      </w:r>
      <w:r>
        <w:t xml:space="preserve"> </w:t>
      </w:r>
      <w:r>
        <w:rPr>
          <w:sz w:val="18"/>
          <w:szCs w:val="18"/>
        </w:rPr>
        <w:t>Size of the fund, see details in SWD part 2 chapter IV.</w:t>
      </w:r>
    </w:p>
  </w:footnote>
  <w:footnote w:id="31">
    <w:p w:rsidR="0073489B" w:rsidRDefault="00A46D11">
      <w:pPr>
        <w:pStyle w:val="FootnoteText"/>
        <w:rPr>
          <w:sz w:val="18"/>
          <w:szCs w:val="18"/>
        </w:rPr>
      </w:pPr>
      <w:r>
        <w:rPr>
          <w:rStyle w:val="FootnoteReference"/>
          <w:sz w:val="18"/>
          <w:szCs w:val="18"/>
        </w:rPr>
        <w:footnoteRef/>
      </w:r>
      <w:r>
        <w:rPr>
          <w:sz w:val="18"/>
          <w:szCs w:val="18"/>
        </w:rPr>
        <w:t xml:space="preserve"> Neighbourhood and other partner countries.</w:t>
      </w:r>
    </w:p>
  </w:footnote>
  <w:footnote w:id="32">
    <w:p w:rsidR="0073489B" w:rsidRDefault="00A46D11">
      <w:pPr>
        <w:pStyle w:val="FootnoteText"/>
        <w:rPr>
          <w:sz w:val="18"/>
          <w:szCs w:val="18"/>
        </w:rPr>
      </w:pPr>
      <w:r>
        <w:rPr>
          <w:rStyle w:val="FootnoteReference"/>
        </w:rPr>
        <w:footnoteRef/>
      </w:r>
      <w:r>
        <w:rPr>
          <w:rStyle w:val="FootnoteReference"/>
        </w:rPr>
        <w:t xml:space="preserve"> </w:t>
      </w:r>
      <w:r>
        <w:rPr>
          <w:sz w:val="18"/>
          <w:szCs w:val="18"/>
        </w:rPr>
        <w:t>Eligible Finance Institutions.</w:t>
      </w:r>
    </w:p>
  </w:footnote>
  <w:footnote w:id="33">
    <w:p w:rsidR="0073489B" w:rsidRDefault="00A46D11">
      <w:pPr>
        <w:pStyle w:val="FootnoteText"/>
        <w:rPr>
          <w:sz w:val="18"/>
          <w:szCs w:val="18"/>
        </w:rPr>
      </w:pPr>
      <w:r>
        <w:rPr>
          <w:rStyle w:val="FootnoteReference"/>
        </w:rPr>
        <w:footnoteRef/>
      </w:r>
      <w:r>
        <w:rPr>
          <w:sz w:val="18"/>
          <w:szCs w:val="18"/>
        </w:rPr>
        <w:t xml:space="preserve"> Nota : 123 projects have been financed so far, see relevant chapter of the report.</w:t>
      </w:r>
    </w:p>
  </w:footnote>
  <w:footnote w:id="34">
    <w:p w:rsidR="0073489B" w:rsidRDefault="00A46D11">
      <w:pPr>
        <w:pStyle w:val="FootnoteText"/>
        <w:rPr>
          <w:color w:val="FF00FF"/>
        </w:rPr>
      </w:pPr>
      <w:r>
        <w:rPr>
          <w:rStyle w:val="FootnoteReference"/>
        </w:rPr>
        <w:footnoteRef/>
      </w:r>
      <w:r>
        <w:rPr>
          <w:sz w:val="18"/>
          <w:szCs w:val="18"/>
        </w:rPr>
        <w:t xml:space="preserve"> IFCA/AIF : Total investment cost of projects having received a positive opinion from the Board and Commission decision.</w:t>
      </w:r>
      <w:r>
        <w:t xml:space="preserve"> </w:t>
      </w:r>
    </w:p>
  </w:footnote>
  <w:footnote w:id="35">
    <w:p w:rsidR="0073489B" w:rsidRDefault="00A46D11">
      <w:pPr>
        <w:pStyle w:val="FootnoteText"/>
        <w:rPr>
          <w:color w:val="FF00FF"/>
        </w:rPr>
      </w:pPr>
      <w:r>
        <w:rPr>
          <w:rStyle w:val="FootnoteReference"/>
        </w:rPr>
        <w:footnoteRef/>
      </w:r>
      <w:r>
        <w:rPr>
          <w:sz w:val="18"/>
          <w:szCs w:val="18"/>
        </w:rPr>
        <w:t xml:space="preserve"> IFCA/AIF : number of projects having received a positive opinion from the Board and Commission decision.</w:t>
      </w:r>
      <w:r>
        <w:t xml:space="preserve"> </w:t>
      </w:r>
    </w:p>
  </w:footnote>
  <w:footnote w:id="36">
    <w:p w:rsidR="0073489B" w:rsidRDefault="00A46D11">
      <w:pPr>
        <w:pStyle w:val="FootnoteText"/>
        <w:rPr>
          <w:color w:val="FF00FF"/>
        </w:rPr>
      </w:pPr>
      <w:r>
        <w:rPr>
          <w:rStyle w:val="FootnoteReference"/>
        </w:rPr>
        <w:footnoteRef/>
      </w:r>
      <w:r>
        <w:rPr>
          <w:sz w:val="18"/>
          <w:szCs w:val="18"/>
        </w:rPr>
        <w:t xml:space="preserve"> LAIF: Total investment c</w:t>
      </w:r>
      <w:r>
        <w:rPr>
          <w:sz w:val="18"/>
          <w:szCs w:val="18"/>
        </w:rPr>
        <w:t>ost of projects having received a positive opinion from the Board and Commission decision.</w:t>
      </w:r>
      <w:r>
        <w:t xml:space="preserve"> </w:t>
      </w:r>
    </w:p>
  </w:footnote>
  <w:footnote w:id="37">
    <w:p w:rsidR="0073489B" w:rsidRDefault="00A46D11">
      <w:pPr>
        <w:pStyle w:val="FootnoteText"/>
        <w:rPr>
          <w:color w:val="FF00FF"/>
        </w:rPr>
      </w:pPr>
      <w:r>
        <w:rPr>
          <w:rStyle w:val="FootnoteReference"/>
        </w:rPr>
        <w:footnoteRef/>
      </w:r>
      <w:r>
        <w:rPr>
          <w:sz w:val="18"/>
          <w:szCs w:val="18"/>
        </w:rPr>
        <w:t xml:space="preserve"> LAIF: Number of projects having received a positive opinion from the Board and Commission decision.</w:t>
      </w:r>
      <w:r>
        <w:t xml:space="preserve"> </w:t>
      </w:r>
    </w:p>
  </w:footnote>
  <w:footnote w:id="38">
    <w:p w:rsidR="0073489B" w:rsidRDefault="00A46D11">
      <w:pPr>
        <w:pStyle w:val="FootnoteText"/>
        <w:jc w:val="both"/>
        <w:rPr>
          <w:color w:val="000000"/>
          <w:highlight w:val="yellow"/>
        </w:rPr>
      </w:pPr>
      <w:r>
        <w:rPr>
          <w:color w:val="000000"/>
          <w:vertAlign w:val="superscript"/>
        </w:rPr>
        <w:footnoteRef/>
      </w:r>
      <w:r>
        <w:rPr>
          <w:color w:val="000000"/>
        </w:rPr>
        <w:t xml:space="preserve"> This is the total number of Final Recipients supported thro</w:t>
      </w:r>
      <w:r>
        <w:rPr>
          <w:color w:val="000000"/>
        </w:rPr>
        <w:t>ugh the programme. Out of those, 484 are Eligible         Final Recipients.The VC funds supported may address non-eligble FBs as well as eligible, but EU finances only eligible FBs out of those.</w:t>
      </w:r>
    </w:p>
  </w:footnote>
  <w:footnote w:id="39">
    <w:p w:rsidR="0073489B" w:rsidRDefault="00A46D11">
      <w:pPr>
        <w:pStyle w:val="FootnoteText"/>
        <w:rPr>
          <w:color w:val="000000"/>
          <w:highlight w:val="yellow"/>
        </w:rPr>
      </w:pPr>
      <w:r>
        <w:rPr>
          <w:color w:val="000000"/>
          <w:vertAlign w:val="superscript"/>
        </w:rPr>
        <w:footnoteRef/>
      </w:r>
      <w:r>
        <w:rPr>
          <w:color w:val="000000"/>
          <w:vertAlign w:val="superscript"/>
        </w:rPr>
        <w:t xml:space="preserve"> </w:t>
      </w:r>
      <w:r>
        <w:rPr>
          <w:color w:val="000000"/>
        </w:rPr>
        <w:t>(OJ L 310/15,  9.11.2006)</w:t>
      </w:r>
    </w:p>
  </w:footnote>
  <w:footnote w:id="40">
    <w:p w:rsidR="0073489B" w:rsidRDefault="00A46D11">
      <w:pPr>
        <w:pStyle w:val="FootnoteText"/>
        <w:jc w:val="both"/>
      </w:pPr>
      <w:r>
        <w:rPr>
          <w:color w:val="000000"/>
          <w:vertAlign w:val="superscript"/>
        </w:rPr>
        <w:footnoteRef/>
      </w:r>
      <w:r>
        <w:rPr>
          <w:color w:val="000000"/>
          <w:vertAlign w:val="superscript"/>
        </w:rPr>
        <w:t xml:space="preserve"> </w:t>
      </w:r>
      <w:r>
        <w:rPr>
          <w:color w:val="000000"/>
        </w:rPr>
        <w:t xml:space="preserve">Such intermediaries operate in </w:t>
      </w:r>
      <w:r>
        <w:rPr>
          <w:color w:val="000000"/>
        </w:rPr>
        <w:t>the Member States and other participating countries and channel more than 50% of their investments to eligible final recipients (SMEs meeting the GIF criteria).</w:t>
      </w:r>
    </w:p>
  </w:footnote>
  <w:footnote w:id="41">
    <w:p w:rsidR="0073489B" w:rsidRDefault="00A46D11">
      <w:pPr>
        <w:widowControl w:val="0"/>
        <w:autoSpaceDE w:val="0"/>
        <w:autoSpaceDN w:val="0"/>
        <w:adjustRightInd w:val="0"/>
        <w:jc w:val="both"/>
      </w:pPr>
      <w:r>
        <w:rPr>
          <w:rStyle w:val="FootnoteReference"/>
          <w:sz w:val="20"/>
          <w:szCs w:val="20"/>
        </w:rPr>
        <w:footnoteRef/>
      </w:r>
      <w:r>
        <w:t xml:space="preserve"> </w:t>
      </w:r>
      <w:r>
        <w:rPr>
          <w:sz w:val="20"/>
          <w:szCs w:val="20"/>
          <w:lang w:eastAsia="en-GB"/>
        </w:rPr>
        <w:t>CIP Final Evaluation report,</w:t>
      </w:r>
      <w:r>
        <w:rPr>
          <w:sz w:val="20"/>
          <w:szCs w:val="20"/>
          <w:lang w:val="en-US"/>
        </w:rPr>
        <w:t xml:space="preserve"> January 2012, Centre for Strategy and Evaluation Services (CSES)</w:t>
      </w:r>
      <w:r>
        <w:rPr>
          <w:sz w:val="20"/>
          <w:szCs w:val="20"/>
          <w:lang w:val="en-US"/>
        </w:rPr>
        <w:t>.</w:t>
      </w:r>
    </w:p>
  </w:footnote>
  <w:footnote w:id="42">
    <w:p w:rsidR="0073489B" w:rsidRDefault="00A46D11">
      <w:pPr>
        <w:pStyle w:val="FootnoteText"/>
        <w:jc w:val="both"/>
      </w:pPr>
      <w:r>
        <w:rPr>
          <w:rStyle w:val="FootnoteReference"/>
        </w:rPr>
        <w:footnoteRef/>
      </w:r>
      <w:r>
        <w:t xml:space="preserve"> Those amounts do not include the EUR 19 474 357 re-committed to the same instrument (see section "h" below).</w:t>
      </w:r>
    </w:p>
  </w:footnote>
  <w:footnote w:id="43">
    <w:p w:rsidR="0073489B" w:rsidRDefault="00A46D11">
      <w:pPr>
        <w:pStyle w:val="FootnoteText"/>
        <w:jc w:val="both"/>
        <w:rPr>
          <w:color w:val="000000"/>
          <w:highlight w:val="yellow"/>
        </w:rPr>
      </w:pPr>
      <w:r>
        <w:rPr>
          <w:color w:val="000000"/>
          <w:vertAlign w:val="superscript"/>
        </w:rPr>
        <w:footnoteRef/>
      </w:r>
      <w:r>
        <w:rPr>
          <w:color w:val="000000"/>
          <w:vertAlign w:val="superscript"/>
        </w:rPr>
        <w:t xml:space="preserve"> </w:t>
      </w:r>
      <w:r>
        <w:rPr>
          <w:color w:val="000000"/>
        </w:rPr>
        <w:t xml:space="preserve"> Signed amounts between EIF and financial intermediaries.</w:t>
      </w:r>
    </w:p>
  </w:footnote>
  <w:footnote w:id="44">
    <w:p w:rsidR="0073489B" w:rsidRDefault="00A46D11">
      <w:pPr>
        <w:pStyle w:val="FootnoteText"/>
        <w:jc w:val="both"/>
        <w:rPr>
          <w:color w:val="000000"/>
          <w:highlight w:val="yellow"/>
        </w:rPr>
      </w:pPr>
      <w:r>
        <w:rPr>
          <w:color w:val="000000"/>
          <w:vertAlign w:val="superscript"/>
        </w:rPr>
        <w:footnoteRef/>
      </w:r>
      <w:r>
        <w:rPr>
          <w:color w:val="000000"/>
        </w:rPr>
        <w:t xml:space="preserve"> Target intermediary size; source: EIF-European Investment Fund (2016a), GIF-High Growth and Innovative SME Facility, Q4 Quarterly Report 31 December 2016.</w:t>
      </w:r>
    </w:p>
  </w:footnote>
  <w:footnote w:id="45">
    <w:p w:rsidR="0073489B" w:rsidRDefault="00A46D11">
      <w:pPr>
        <w:pStyle w:val="FootnoteText"/>
        <w:jc w:val="both"/>
      </w:pPr>
      <w:r>
        <w:rPr>
          <w:rStyle w:val="FootnoteReference"/>
        </w:rPr>
        <w:footnoteRef/>
      </w:r>
      <w:r>
        <w:t xml:space="preserve"> Financial intermediaries whose investment period has ended have invested in 12 eligible SMEs, on a</w:t>
      </w:r>
      <w:r>
        <w:t>verage. Therefore, the 43 financial intermediaries in the GIF portfolio are expected to eventually invest in 516 eligible SMEs.</w:t>
      </w:r>
    </w:p>
    <w:p w:rsidR="0073489B" w:rsidRDefault="00A46D11">
      <w:pPr>
        <w:pStyle w:val="FootnoteText"/>
        <w:jc w:val="both"/>
      </w:pPr>
      <w:r>
        <w:t>Sources: EIF-European Investment Fund (2016a), GIF-High Growth and Innovative SME Facility, Quarterly Report 31 December 2016, a</w:t>
      </w:r>
      <w:r>
        <w:t>nd EIF-European Investment Fund (2016b), GIF-High Growth and Innovative SME Facility Annual Report, (Table 7) 30 September 2016.</w:t>
      </w:r>
    </w:p>
  </w:footnote>
  <w:footnote w:id="46">
    <w:p w:rsidR="0073489B" w:rsidRDefault="00A46D11">
      <w:pPr>
        <w:pStyle w:val="FootnoteText"/>
        <w:jc w:val="both"/>
        <w:rPr>
          <w:color w:val="000000"/>
          <w:highlight w:val="yellow"/>
        </w:rPr>
      </w:pPr>
      <w:r>
        <w:rPr>
          <w:color w:val="000000"/>
          <w:vertAlign w:val="superscript"/>
        </w:rPr>
        <w:footnoteRef/>
      </w:r>
      <w:r>
        <w:rPr>
          <w:color w:val="000000"/>
        </w:rPr>
        <w:t xml:space="preserve"> EIF-European Investment Fund (2016b), GIF-High Growth and Innovative SME Facility Annual Report, (Table 8) 30 September 2016.</w:t>
      </w:r>
    </w:p>
  </w:footnote>
  <w:footnote w:id="47">
    <w:p w:rsidR="0073489B" w:rsidRDefault="00A46D11">
      <w:pPr>
        <w:pStyle w:val="FootnoteText"/>
        <w:jc w:val="both"/>
        <w:rPr>
          <w:color w:val="000000"/>
          <w:highlight w:val="yellow"/>
        </w:rPr>
      </w:pPr>
      <w:r>
        <w:rPr>
          <w:color w:val="000000"/>
          <w:vertAlign w:val="superscript"/>
        </w:rPr>
        <w:footnoteRef/>
      </w:r>
      <w:r>
        <w:rPr>
          <w:color w:val="000000"/>
        </w:rPr>
        <w:t xml:space="preserve"> See explanation sub section "A-Summary" above.</w:t>
      </w:r>
    </w:p>
  </w:footnote>
  <w:footnote w:id="48">
    <w:p w:rsidR="0073489B" w:rsidRDefault="00A46D11">
      <w:pPr>
        <w:pStyle w:val="FootnoteText"/>
        <w:jc w:val="both"/>
        <w:rPr>
          <w:color w:val="000000"/>
          <w:highlight w:val="yellow"/>
        </w:rPr>
      </w:pPr>
      <w:r>
        <w:rPr>
          <w:color w:val="000000"/>
          <w:vertAlign w:val="superscript"/>
        </w:rPr>
        <w:footnoteRef/>
      </w:r>
      <w:r>
        <w:rPr>
          <w:color w:val="000000"/>
        </w:rPr>
        <w:t xml:space="preserve"> Real figure not available; estimate based on EIF leverage methodology for equity (multiplier for equity: 1 EUR equity financing for 2,5 EUR  investment).</w:t>
      </w:r>
    </w:p>
  </w:footnote>
  <w:footnote w:id="49">
    <w:p w:rsidR="0073489B" w:rsidRDefault="00A46D11">
      <w:pPr>
        <w:pStyle w:val="FootnoteText"/>
        <w:jc w:val="both"/>
        <w:rPr>
          <w:lang w:eastAsia="en-GB"/>
        </w:rPr>
      </w:pPr>
      <w:r>
        <w:rPr>
          <w:color w:val="000000"/>
          <w:vertAlign w:val="superscript"/>
        </w:rPr>
        <w:footnoteRef/>
      </w:r>
      <w:r>
        <w:rPr>
          <w:color w:val="000000"/>
        </w:rPr>
        <w:t xml:space="preserve"> Employment Report as at 31/12/2012 (latest available)</w:t>
      </w:r>
    </w:p>
  </w:footnote>
  <w:footnote w:id="50">
    <w:p w:rsidR="0073489B" w:rsidRDefault="00A46D11">
      <w:pPr>
        <w:widowControl w:val="0"/>
        <w:autoSpaceDE w:val="0"/>
        <w:autoSpaceDN w:val="0"/>
        <w:adjustRightInd w:val="0"/>
        <w:jc w:val="both"/>
        <w:rPr>
          <w:sz w:val="20"/>
          <w:szCs w:val="20"/>
          <w:lang w:val="en-US"/>
        </w:rPr>
      </w:pPr>
      <w:r>
        <w:rPr>
          <w:sz w:val="20"/>
          <w:vertAlign w:val="superscript"/>
          <w:lang w:val="en-US"/>
        </w:rPr>
        <w:footnoteRef/>
      </w:r>
      <w:r>
        <w:rPr>
          <w:sz w:val="20"/>
          <w:vertAlign w:val="superscript"/>
          <w:lang w:val="en-US"/>
        </w:rPr>
        <w:t xml:space="preserve"> </w:t>
      </w:r>
      <w:r>
        <w:rPr>
          <w:sz w:val="20"/>
          <w:lang w:val="en-US"/>
        </w:rPr>
        <w:t>Note: Investments in currencies other than EUR are valued at the exchange rate of the reporting date.</w:t>
      </w:r>
    </w:p>
  </w:footnote>
  <w:footnote w:id="51">
    <w:p w:rsidR="0073489B" w:rsidRDefault="00A46D11">
      <w:pPr>
        <w:pStyle w:val="FootnoteText"/>
        <w:jc w:val="both"/>
        <w:rPr>
          <w:lang w:val="en-US"/>
        </w:rPr>
      </w:pPr>
      <w:r>
        <w:rPr>
          <w:color w:val="000000"/>
          <w:vertAlign w:val="superscript"/>
        </w:rPr>
        <w:footnoteRef/>
      </w:r>
      <w:r>
        <w:rPr>
          <w:color w:val="000000"/>
          <w:vertAlign w:val="superscript"/>
        </w:rPr>
        <w:t xml:space="preserve"> </w:t>
      </w:r>
      <w:r>
        <w:rPr>
          <w:color w:val="000000"/>
        </w:rPr>
        <w:t>Furthermore, non-current assets (such as shares and other variable-income securities) are alrea</w:t>
      </w:r>
      <w:r>
        <w:rPr>
          <w:color w:val="000000"/>
        </w:rPr>
        <w:t>dy reported under point (i) ‘the value of equity investments’.</w:t>
      </w:r>
    </w:p>
  </w:footnote>
  <w:footnote w:id="52">
    <w:p w:rsidR="0073489B" w:rsidRDefault="00A46D11">
      <w:pPr>
        <w:pStyle w:val="FootnoteText"/>
      </w:pPr>
      <w:r>
        <w:rPr>
          <w:rStyle w:val="FootnoteReference"/>
        </w:rPr>
        <w:footnoteRef/>
      </w:r>
      <w:r>
        <w:t xml:space="preserve"> Of which EUR 19 474 357 re-committed to the same instrument.</w:t>
      </w:r>
    </w:p>
  </w:footnote>
  <w:footnote w:id="53">
    <w:p w:rsidR="0073489B" w:rsidRDefault="00A46D11">
      <w:pPr>
        <w:widowControl w:val="0"/>
        <w:autoSpaceDE w:val="0"/>
        <w:autoSpaceDN w:val="0"/>
        <w:adjustRightInd w:val="0"/>
        <w:jc w:val="both"/>
        <w:rPr>
          <w:sz w:val="20"/>
          <w:szCs w:val="20"/>
        </w:rPr>
      </w:pPr>
      <w:r>
        <w:rPr>
          <w:sz w:val="20"/>
          <w:vertAlign w:val="superscript"/>
          <w:lang w:val="en-US"/>
        </w:rPr>
        <w:footnoteRef/>
      </w:r>
      <w:r>
        <w:rPr>
          <w:sz w:val="20"/>
          <w:vertAlign w:val="superscript"/>
          <w:lang w:val="en-US"/>
        </w:rPr>
        <w:t xml:space="preserve"> </w:t>
      </w:r>
      <w:r>
        <w:rPr>
          <w:sz w:val="20"/>
          <w:lang w:val="en-US"/>
        </w:rPr>
        <w:t>Audited Financial statements as at 31/12/2016.</w:t>
      </w:r>
    </w:p>
  </w:footnote>
  <w:footnote w:id="54">
    <w:p w:rsidR="0073489B" w:rsidRDefault="00A46D11">
      <w:pPr>
        <w:pStyle w:val="FootnoteText"/>
        <w:jc w:val="both"/>
        <w:rPr>
          <w:color w:val="000000"/>
        </w:rPr>
      </w:pPr>
      <w:r>
        <w:rPr>
          <w:color w:val="000000"/>
          <w:vertAlign w:val="superscript"/>
        </w:rPr>
        <w:footnoteRef/>
      </w:r>
      <w:r>
        <w:rPr>
          <w:color w:val="000000"/>
        </w:rPr>
        <w:t xml:space="preserve"> Target leverage is based on the amount of finance that the operations envisaged</w:t>
      </w:r>
      <w:r>
        <w:rPr>
          <w:color w:val="000000"/>
        </w:rPr>
        <w:t xml:space="preserve"> to be signed by the entrusted entity with financial intermediaries (or final recipients) are targeted to provide to eligible final recipients. This leverage is defined in the basic act, remaining constant throughout the duration of the financial instrumen</w:t>
      </w:r>
      <w:r>
        <w:rPr>
          <w:color w:val="000000"/>
        </w:rPr>
        <w:t>t.</w:t>
      </w:r>
    </w:p>
  </w:footnote>
  <w:footnote w:id="55">
    <w:p w:rsidR="0073489B" w:rsidRDefault="00A46D11">
      <w:pPr>
        <w:pStyle w:val="FootnoteText"/>
        <w:jc w:val="both"/>
        <w:rPr>
          <w:color w:val="000000"/>
        </w:rPr>
      </w:pPr>
      <w:r>
        <w:rPr>
          <w:color w:val="000000"/>
          <w:vertAlign w:val="superscript"/>
        </w:rPr>
        <w:footnoteRef/>
      </w:r>
      <w:r>
        <w:rPr>
          <w:color w:val="000000"/>
        </w:rPr>
        <w:t xml:space="preserve"> Achieved leverage is based on the amount of finance that the operations already signed by the entrusted entity with financial intermediaries (or final recipients) have provided to eligible final recipients.</w:t>
      </w:r>
    </w:p>
  </w:footnote>
  <w:footnote w:id="56">
    <w:p w:rsidR="0073489B" w:rsidRDefault="00A46D11">
      <w:pPr>
        <w:pStyle w:val="FootnoteText"/>
        <w:jc w:val="both"/>
        <w:rPr>
          <w:color w:val="000000"/>
        </w:rPr>
      </w:pPr>
      <w:r>
        <w:rPr>
          <w:color w:val="000000"/>
          <w:vertAlign w:val="superscript"/>
        </w:rPr>
        <w:footnoteRef/>
      </w:r>
      <w:r>
        <w:rPr>
          <w:color w:val="000000"/>
        </w:rPr>
        <w:t xml:space="preserve">  Expected leverage is based on the amount </w:t>
      </w:r>
      <w:r>
        <w:rPr>
          <w:color w:val="000000"/>
        </w:rPr>
        <w:t>of finance that the operations already signed by the entrusted entity with financial intermediaries (or final recipients) are expected to provide to eligible final recipients.</w:t>
      </w:r>
    </w:p>
  </w:footnote>
  <w:footnote w:id="57">
    <w:p w:rsidR="0073489B" w:rsidRDefault="00A46D11">
      <w:pPr>
        <w:pStyle w:val="FootnoteText"/>
        <w:jc w:val="both"/>
        <w:rPr>
          <w:color w:val="000000"/>
        </w:rPr>
      </w:pPr>
      <w:r>
        <w:rPr>
          <w:color w:val="000000"/>
          <w:vertAlign w:val="superscript"/>
        </w:rPr>
        <w:footnoteRef/>
      </w:r>
      <w:r>
        <w:rPr>
          <w:color w:val="000000"/>
        </w:rPr>
        <w:t xml:space="preserve"> Calculated as "Actual intermediary size= actual size of the VC funds / GIF net</w:t>
      </w:r>
      <w:r>
        <w:rPr>
          <w:color w:val="000000"/>
        </w:rPr>
        <w:t xml:space="preserve"> approved capital"; source:  EIF-European Investment Fund (2016a), GIF-High Growth and Innovative SME Facility, Quarterly Report 31 December 2016.</w:t>
      </w:r>
    </w:p>
  </w:footnote>
  <w:footnote w:id="58">
    <w:p w:rsidR="0073489B" w:rsidRDefault="00A46D11">
      <w:pPr>
        <w:pStyle w:val="FootnoteText"/>
        <w:jc w:val="both"/>
        <w:rPr>
          <w:color w:val="000000"/>
        </w:rPr>
      </w:pPr>
      <w:r>
        <w:rPr>
          <w:color w:val="000000"/>
          <w:vertAlign w:val="superscript"/>
        </w:rPr>
        <w:footnoteRef/>
      </w:r>
      <w:r>
        <w:rPr>
          <w:color w:val="000000"/>
        </w:rPr>
        <w:t xml:space="preserve"> Bain &amp; Company, IIF (2013); Go4Venture Advisers (2013); IPSOS Mori (2013); Kraemer-Eis, Lang and Gvetadze (</w:t>
      </w:r>
      <w:r>
        <w:rPr>
          <w:color w:val="000000"/>
        </w:rPr>
        <w:t>2013); Unquote" and SL Capital Partner (2013).</w:t>
      </w:r>
    </w:p>
  </w:footnote>
  <w:footnote w:id="59">
    <w:p w:rsidR="0073489B" w:rsidRDefault="00A46D11">
      <w:pPr>
        <w:pStyle w:val="FootnoteText"/>
        <w:jc w:val="both"/>
        <w:rPr>
          <w:color w:val="000000"/>
        </w:rPr>
      </w:pPr>
      <w:r>
        <w:rPr>
          <w:color w:val="000000"/>
          <w:vertAlign w:val="superscript"/>
        </w:rPr>
        <w:footnoteRef/>
      </w:r>
      <w:r>
        <w:rPr>
          <w:color w:val="000000"/>
        </w:rPr>
        <w:t xml:space="preserve"> CSES (2011), The EIP Final Evaluation, the last evaluation available at the programme level (EIP).</w:t>
      </w:r>
    </w:p>
  </w:footnote>
  <w:footnote w:id="60">
    <w:p w:rsidR="0073489B" w:rsidRDefault="00A46D11">
      <w:pPr>
        <w:pStyle w:val="FootnoteText"/>
        <w:jc w:val="both"/>
        <w:rPr>
          <w:lang w:val="en-US"/>
        </w:rPr>
      </w:pPr>
      <w:r>
        <w:rPr>
          <w:color w:val="000000"/>
          <w:vertAlign w:val="superscript"/>
        </w:rPr>
        <w:footnoteRef/>
      </w:r>
      <w:r>
        <w:rPr>
          <w:color w:val="000000"/>
        </w:rPr>
        <w:t xml:space="preserve"> Based on an extensive telephone survey sample, prepared in the context of the evaluation.</w:t>
      </w:r>
    </w:p>
  </w:footnote>
  <w:footnote w:id="61">
    <w:p w:rsidR="0073489B" w:rsidRDefault="00A46D11">
      <w:pPr>
        <w:widowControl w:val="0"/>
        <w:autoSpaceDE w:val="0"/>
        <w:autoSpaceDN w:val="0"/>
        <w:adjustRightInd w:val="0"/>
        <w:rPr>
          <w:color w:val="FF00FF"/>
          <w:lang w:val="en-US"/>
        </w:rPr>
      </w:pPr>
      <w:r>
        <w:rPr>
          <w:vertAlign w:val="superscript"/>
          <w:lang w:val="en-US"/>
        </w:rPr>
        <w:footnoteRef/>
      </w:r>
      <w:r>
        <w:rPr>
          <w:sz w:val="20"/>
          <w:szCs w:val="20"/>
          <w:lang w:val="en-US"/>
        </w:rPr>
        <w:t xml:space="preserve"> Entrepreunersh</w:t>
      </w:r>
      <w:r>
        <w:rPr>
          <w:sz w:val="20"/>
          <w:szCs w:val="20"/>
          <w:lang w:val="en-US"/>
        </w:rPr>
        <w:t>ip and Innovation Programme Committee.</w:t>
      </w:r>
    </w:p>
  </w:footnote>
  <w:footnote w:id="62">
    <w:p w:rsidR="0073489B" w:rsidRDefault="00A46D11">
      <w:pPr>
        <w:widowControl w:val="0"/>
        <w:autoSpaceDE w:val="0"/>
        <w:autoSpaceDN w:val="0"/>
        <w:adjustRightInd w:val="0"/>
      </w:pPr>
      <w:r>
        <w:rPr>
          <w:vertAlign w:val="superscript"/>
          <w:lang w:val="en-US"/>
        </w:rPr>
        <w:footnoteRef/>
      </w:r>
      <w:r>
        <w:rPr>
          <w:sz w:val="20"/>
          <w:szCs w:val="20"/>
          <w:lang w:val="en-US"/>
        </w:rPr>
        <w:t xml:space="preserve"> The Broadband Investment Fund under the CEF Equity Instrument is still in a preparatory phase.</w:t>
      </w:r>
    </w:p>
  </w:footnote>
  <w:footnote w:id="63">
    <w:p w:rsidR="0073489B" w:rsidRDefault="00A46D11">
      <w:pPr>
        <w:pStyle w:val="FootnoteText"/>
        <w:jc w:val="both"/>
        <w:rPr>
          <w:color w:val="000000"/>
        </w:rPr>
      </w:pPr>
      <w:r>
        <w:rPr>
          <w:color w:val="000000"/>
          <w:vertAlign w:val="superscript"/>
        </w:rPr>
        <w:footnoteRef/>
      </w:r>
      <w:r>
        <w:rPr>
          <w:color w:val="000000"/>
        </w:rPr>
        <w:t xml:space="preserve"> The Basic Act provides that no less than 60% of the total financial envelope for the implementation of the COSME progr</w:t>
      </w:r>
      <w:r>
        <w:rPr>
          <w:color w:val="000000"/>
        </w:rPr>
        <w:t>amme shall be allocated to the financial instruments. The split of the total amount allocated to the financial instrument is 52% for the Loan Guarantee Facility (LGF) and 48% for the Equity Facility for Growth (EFG), based on the distribution between the l</w:t>
      </w:r>
      <w:r>
        <w:rPr>
          <w:color w:val="000000"/>
        </w:rPr>
        <w:t>oan guaranteed and equity facility in the legislative financial statement.</w:t>
      </w:r>
    </w:p>
  </w:footnote>
  <w:footnote w:id="64">
    <w:p w:rsidR="0073489B" w:rsidRDefault="00A46D11">
      <w:pPr>
        <w:pStyle w:val="FootnoteText"/>
        <w:jc w:val="both"/>
        <w:rPr>
          <w:color w:val="000000"/>
        </w:rPr>
      </w:pPr>
      <w:r>
        <w:rPr>
          <w:color w:val="000000"/>
          <w:vertAlign w:val="superscript"/>
        </w:rPr>
        <w:footnoteRef/>
      </w:r>
      <w:r>
        <w:rPr>
          <w:color w:val="000000"/>
        </w:rPr>
        <w:t xml:space="preserve"> This amount is composed of the amounts committed towards the EFG for the years 2014-2016, of the amounts allocated towards the EFG in 2017-2018 as currently foreseen in the COSME work programmes and of the indicative amounts allocated to the EFG for 2019-</w:t>
      </w:r>
      <w:r>
        <w:rPr>
          <w:color w:val="000000"/>
        </w:rPr>
        <w:t>2020. The 2017-2020 amounts are indicative and may be subject to change, in line with Article 17 of the Basic Act which stipulates that the allocation of funds to the loan guarantee and equity facilities shall take into account the demand from financial in</w:t>
      </w:r>
      <w:r>
        <w:rPr>
          <w:color w:val="000000"/>
        </w:rPr>
        <w:t>termediaries.</w:t>
      </w:r>
    </w:p>
    <w:p w:rsidR="0073489B" w:rsidRDefault="0073489B">
      <w:pPr>
        <w:pStyle w:val="FootnoteText"/>
        <w:rPr>
          <w:rStyle w:val="FootnoteReference"/>
          <w:vertAlign w:val="baseline"/>
        </w:rPr>
      </w:pPr>
    </w:p>
  </w:footnote>
  <w:footnote w:id="65">
    <w:p w:rsidR="0073489B" w:rsidRDefault="00A46D11">
      <w:pPr>
        <w:pStyle w:val="FootnoteText"/>
        <w:jc w:val="both"/>
      </w:pPr>
      <w:r>
        <w:rPr>
          <w:rStyle w:val="FootnoteReference"/>
        </w:rPr>
        <w:footnoteRef/>
      </w:r>
      <w:r>
        <w:t xml:space="preserve"> Operations signed include both unconditional and conditional commitments as of 31 December 2016.</w:t>
      </w:r>
    </w:p>
  </w:footnote>
  <w:footnote w:id="66">
    <w:p w:rsidR="0073489B" w:rsidRDefault="00A46D11">
      <w:pPr>
        <w:pStyle w:val="FootnoteText"/>
      </w:pPr>
      <w:r>
        <w:rPr>
          <w:rStyle w:val="FootnoteReference"/>
        </w:rPr>
        <w:footnoteRef/>
      </w:r>
      <w:r>
        <w:t xml:space="preserve"> Estimation based on EIF – EFSI multiplier calculation methodology for equity, with 2,5 EUR of mobilised investments for 1 EUR of mobilised f</w:t>
      </w:r>
      <w:r>
        <w:t>inancing</w:t>
      </w:r>
    </w:p>
  </w:footnote>
  <w:footnote w:id="67">
    <w:p w:rsidR="0073489B" w:rsidRDefault="00A46D11">
      <w:pPr>
        <w:pStyle w:val="FootnoteText"/>
        <w:jc w:val="both"/>
        <w:rPr>
          <w:color w:val="000000"/>
        </w:rPr>
      </w:pPr>
      <w:r>
        <w:rPr>
          <w:color w:val="000000"/>
          <w:vertAlign w:val="superscript"/>
        </w:rPr>
        <w:footnoteRef/>
      </w:r>
      <w:r>
        <w:rPr>
          <w:color w:val="000000"/>
        </w:rPr>
        <w:t xml:space="preserve"> Furthermore, non-current assets (such as shares and other variable-income securities) are already reported under point (i) ‘the value of equity investments’.</w:t>
      </w:r>
    </w:p>
  </w:footnote>
  <w:footnote w:id="68">
    <w:p w:rsidR="0073489B" w:rsidRDefault="00A46D11">
      <w:pPr>
        <w:pStyle w:val="FootnoteText"/>
        <w:jc w:val="both"/>
      </w:pPr>
      <w:r>
        <w:rPr>
          <w:color w:val="000000"/>
          <w:vertAlign w:val="superscript"/>
        </w:rPr>
        <w:footnoteRef/>
      </w:r>
      <w:r>
        <w:rPr>
          <w:color w:val="000000"/>
        </w:rPr>
        <w:t xml:space="preserve"> </w:t>
      </w:r>
      <w:r>
        <w:t xml:space="preserve"> Cf. Annex to Regulation (EU) No 1287/2013 on indicators for general and specific objectives and targets.</w:t>
      </w:r>
    </w:p>
    <w:p w:rsidR="0073489B" w:rsidRDefault="0073489B">
      <w:pPr>
        <w:pStyle w:val="FootnoteText"/>
        <w:jc w:val="both"/>
      </w:pPr>
    </w:p>
  </w:footnote>
  <w:footnote w:id="69">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Note: All figures concerning the implementation of GIF-1 for the period 2007-2013 should be made available by the DGs responsible for the implement</w:t>
      </w:r>
      <w:r>
        <w:rPr>
          <w:color w:val="000000"/>
        </w:rPr>
        <w:t>ation at that time, DG ENTR and DG ECFIN. All following information given refers to the implementation of the successor scheme of GIF-1, the Horizon 2020 Equity Facility for R&amp;I.</w:t>
      </w:r>
    </w:p>
  </w:footnote>
  <w:footnote w:id="70">
    <w:p w:rsidR="0073489B" w:rsidRDefault="00A46D11">
      <w:pPr>
        <w:pStyle w:val="FootnoteText"/>
        <w:jc w:val="both"/>
        <w:rPr>
          <w:color w:val="000000"/>
          <w:lang w:val="pl-PL"/>
        </w:rPr>
      </w:pPr>
      <w:r>
        <w:rPr>
          <w:color w:val="000000"/>
          <w:vertAlign w:val="superscript"/>
        </w:rPr>
        <w:footnoteRef/>
      </w:r>
      <w:r>
        <w:rPr>
          <w:color w:val="000000"/>
          <w:lang w:val="pl-PL"/>
        </w:rPr>
        <w:t xml:space="preserve"> (OJ L 347/104, 20.12.2013).</w:t>
      </w:r>
    </w:p>
  </w:footnote>
  <w:footnote w:id="71">
    <w:p w:rsidR="0073489B" w:rsidRDefault="00A46D11">
      <w:pPr>
        <w:pStyle w:val="FootnoteText"/>
        <w:jc w:val="both"/>
        <w:rPr>
          <w:color w:val="000000"/>
          <w:lang w:val="pl-PL"/>
        </w:rPr>
      </w:pPr>
      <w:r>
        <w:rPr>
          <w:color w:val="000000"/>
          <w:vertAlign w:val="superscript"/>
        </w:rPr>
        <w:footnoteRef/>
      </w:r>
      <w:r>
        <w:rPr>
          <w:color w:val="000000"/>
          <w:lang w:val="pl-PL"/>
        </w:rPr>
        <w:t xml:space="preserve"> (OJ L 347/81, 20.12.2013).</w:t>
      </w:r>
    </w:p>
  </w:footnote>
  <w:footnote w:id="72">
    <w:p w:rsidR="0073489B" w:rsidRDefault="00A46D11">
      <w:pPr>
        <w:pStyle w:val="FootnoteText"/>
        <w:rPr>
          <w:color w:val="000000"/>
          <w:lang w:val="pl-PL"/>
        </w:rPr>
      </w:pPr>
      <w:r>
        <w:rPr>
          <w:color w:val="000000"/>
          <w:vertAlign w:val="superscript"/>
        </w:rPr>
        <w:footnoteRef/>
      </w:r>
      <w:r>
        <w:rPr>
          <w:color w:val="000000"/>
          <w:vertAlign w:val="superscript"/>
          <w:lang w:val="pl-PL"/>
        </w:rPr>
        <w:t xml:space="preserve"> </w:t>
      </w:r>
      <w:r>
        <w:rPr>
          <w:color w:val="000000"/>
          <w:lang w:val="pl-PL"/>
        </w:rPr>
        <w:t>(OJ L 347/965, 2</w:t>
      </w:r>
      <w:r>
        <w:rPr>
          <w:color w:val="000000"/>
          <w:lang w:val="pl-PL"/>
        </w:rPr>
        <w:t>0.12.2013).</w:t>
      </w:r>
    </w:p>
  </w:footnote>
  <w:footnote w:id="73">
    <w:p w:rsidR="0073489B" w:rsidRDefault="00A46D11">
      <w:pPr>
        <w:pStyle w:val="FootnoteText"/>
        <w:rPr>
          <w:lang w:val="pl-PL"/>
        </w:rPr>
      </w:pPr>
      <w:r>
        <w:rPr>
          <w:rStyle w:val="FootnoteReference"/>
        </w:rPr>
        <w:footnoteRef/>
      </w:r>
      <w:r>
        <w:rPr>
          <w:lang w:val="pl-PL"/>
        </w:rPr>
        <w:t xml:space="preserve"> (OJ L L 347/238, 20.12.2013).</w:t>
      </w:r>
    </w:p>
  </w:footnote>
  <w:footnote w:id="74">
    <w:p w:rsidR="0073489B" w:rsidRDefault="00A46D11">
      <w:pPr>
        <w:pStyle w:val="FootnoteText"/>
      </w:pPr>
      <w:r>
        <w:rPr>
          <w:color w:val="000000"/>
          <w:vertAlign w:val="superscript"/>
        </w:rPr>
        <w:footnoteRef/>
      </w:r>
      <w:r>
        <w:rPr>
          <w:color w:val="000000"/>
          <w:vertAlign w:val="superscript"/>
        </w:rPr>
        <w:t xml:space="preserve"> </w:t>
      </w:r>
      <w:r>
        <w:rPr>
          <w:color w:val="000000"/>
        </w:rPr>
        <w:t>European Commission (2013c).</w:t>
      </w:r>
    </w:p>
  </w:footnote>
  <w:footnote w:id="75">
    <w:p w:rsidR="0073489B" w:rsidRDefault="00A46D11">
      <w:pPr>
        <w:pStyle w:val="FootnoteText"/>
        <w:jc w:val="both"/>
      </w:pPr>
      <w:r>
        <w:rPr>
          <w:color w:val="000000"/>
          <w:vertAlign w:val="superscript"/>
        </w:rPr>
        <w:footnoteRef/>
      </w:r>
      <w:r>
        <w:rPr>
          <w:color w:val="000000"/>
        </w:rPr>
        <w:t xml:space="preserve"> Furthermore, non-current assets (such as shares and other variable-income securities) are already reported under point (i) ‘the value of equity investments’.</w:t>
      </w:r>
    </w:p>
  </w:footnote>
  <w:footnote w:id="76">
    <w:p w:rsidR="0073489B" w:rsidRDefault="00A46D11">
      <w:pPr>
        <w:pStyle w:val="FootnoteText"/>
        <w:jc w:val="both"/>
        <w:rPr>
          <w:color w:val="000000"/>
        </w:rPr>
      </w:pPr>
      <w:r>
        <w:rPr>
          <w:color w:val="000000"/>
          <w:vertAlign w:val="superscript"/>
        </w:rPr>
        <w:footnoteRef/>
      </w:r>
      <w:r>
        <w:rPr>
          <w:color w:val="000000"/>
        </w:rPr>
        <w:t xml:space="preserve"> Even with market co</w:t>
      </w:r>
      <w:r>
        <w:rPr>
          <w:color w:val="000000"/>
        </w:rPr>
        <w:t>nditions deteriorating over time, the negative net interest generated on short term deposits were balanced by positive income on debt securities and other fixed income securities.</w:t>
      </w:r>
    </w:p>
  </w:footnote>
  <w:footnote w:id="77">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European Commission (2010b).</w:t>
      </w:r>
    </w:p>
  </w:footnote>
  <w:footnote w:id="78">
    <w:p w:rsidR="0073489B" w:rsidRDefault="00A46D11">
      <w:pPr>
        <w:pStyle w:val="FootnoteText"/>
        <w:jc w:val="both"/>
      </w:pPr>
      <w:r>
        <w:rPr>
          <w:color w:val="000000"/>
          <w:vertAlign w:val="superscript"/>
        </w:rPr>
        <w:footnoteRef/>
      </w:r>
      <w:r>
        <w:rPr>
          <w:color w:val="000000"/>
        </w:rPr>
        <w:t xml:space="preserve"> Note: For Horizon 2020, see  European Commi</w:t>
      </w:r>
      <w:r>
        <w:rPr>
          <w:color w:val="000000"/>
        </w:rPr>
        <w:t>ssion (2011a) and European Commission (2011b). For COSME, see European Commission (2011c).</w:t>
      </w:r>
    </w:p>
  </w:footnote>
  <w:footnote w:id="79">
    <w:p w:rsidR="0073489B" w:rsidRDefault="00A46D11">
      <w:pPr>
        <w:pStyle w:val="FootnoteText"/>
      </w:pPr>
      <w:r>
        <w:rPr>
          <w:color w:val="000000"/>
          <w:vertAlign w:val="superscript"/>
        </w:rPr>
        <w:footnoteRef/>
      </w:r>
      <w:r>
        <w:rPr>
          <w:color w:val="000000"/>
        </w:rPr>
        <w:t xml:space="preserve"> See, for example, Mina with Lahr (2011), and Ernst &amp; Young (2011).</w:t>
      </w:r>
    </w:p>
  </w:footnote>
  <w:footnote w:id="80">
    <w:p w:rsidR="0073489B" w:rsidRDefault="00A46D11">
      <w:pPr>
        <w:pStyle w:val="FootnoteText"/>
      </w:pPr>
      <w:r>
        <w:rPr>
          <w:rStyle w:val="FootnoteReference"/>
        </w:rPr>
        <w:footnoteRef/>
      </w:r>
      <w:r>
        <w:t xml:space="preserve"> The target leverage figure refers to envisaged investments to financial intermediaries</w:t>
      </w:r>
    </w:p>
  </w:footnote>
  <w:footnote w:id="81">
    <w:p w:rsidR="0073489B" w:rsidRDefault="00A46D11">
      <w:pPr>
        <w:pStyle w:val="FootnoteText"/>
        <w:rPr>
          <w:color w:val="000000"/>
        </w:rPr>
      </w:pPr>
      <w:r>
        <w:rPr>
          <w:color w:val="000000"/>
          <w:vertAlign w:val="superscript"/>
        </w:rPr>
        <w:footnoteRef/>
      </w:r>
      <w:r>
        <w:rPr>
          <w:color w:val="000000"/>
          <w:vertAlign w:val="superscript"/>
        </w:rPr>
        <w:t xml:space="preserve"> </w:t>
      </w:r>
      <w:r>
        <w:rPr>
          <w:color w:val="000000"/>
        </w:rPr>
        <w:t>(OJ L</w:t>
      </w:r>
      <w:r>
        <w:rPr>
          <w:color w:val="000000"/>
        </w:rPr>
        <w:t> 310/15,  9.11.2006, p.15).</w:t>
      </w:r>
    </w:p>
  </w:footnote>
  <w:footnote w:id="82">
    <w:p w:rsidR="0073489B" w:rsidRDefault="00A46D11">
      <w:pPr>
        <w:pStyle w:val="FootnoteText"/>
        <w:rPr>
          <w:color w:val="FF00FF"/>
        </w:rPr>
      </w:pPr>
      <w:r>
        <w:rPr>
          <w:color w:val="000000"/>
          <w:vertAlign w:val="superscript"/>
        </w:rPr>
        <w:footnoteRef/>
      </w:r>
      <w:r>
        <w:rPr>
          <w:color w:val="000000"/>
          <w:vertAlign w:val="superscript"/>
        </w:rPr>
        <w:t xml:space="preserve"> </w:t>
      </w:r>
      <w:r>
        <w:rPr>
          <w:color w:val="000000"/>
        </w:rPr>
        <w:t>CSES, EIP Final Evaluation, 2011.</w:t>
      </w:r>
    </w:p>
  </w:footnote>
  <w:footnote w:id="83">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Correspond to the overall SMEG 07 portfolio's guarantee cap amount,  as per EIF's Q4 Quarterly Report dated 31/12/2016 with data as at 31/12/2016.</w:t>
      </w:r>
    </w:p>
  </w:footnote>
  <w:footnote w:id="84">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 xml:space="preserve">Source: EIF's Q4 Quarterly Report dated </w:t>
      </w:r>
      <w:r>
        <w:rPr>
          <w:color w:val="000000"/>
        </w:rPr>
        <w:t>31/12/2016 with data as at 31/12/2016.</w:t>
      </w:r>
    </w:p>
  </w:footnote>
  <w:footnote w:id="85">
    <w:p w:rsidR="0073489B" w:rsidRDefault="00A46D11">
      <w:pPr>
        <w:pStyle w:val="FootnoteText"/>
        <w:jc w:val="both"/>
        <w:rPr>
          <w:color w:val="000000"/>
        </w:rPr>
      </w:pPr>
      <w:r>
        <w:rPr>
          <w:color w:val="000000"/>
          <w:vertAlign w:val="superscript"/>
        </w:rPr>
        <w:footnoteRef/>
      </w:r>
      <w:r>
        <w:rPr>
          <w:color w:val="000000"/>
        </w:rPr>
        <w:t xml:space="preserve"> Correspond to the SMEG 07 overall portfolio's "estimated SME financing guaranteed", as per the latest data available, i.e. EIF's Q4 Quarterly Report dated 31/12/2016 with data as at 31/12/2016.</w:t>
      </w:r>
    </w:p>
  </w:footnote>
  <w:footnote w:id="86">
    <w:p w:rsidR="0073489B" w:rsidRDefault="00A46D11">
      <w:pPr>
        <w:pStyle w:val="FootnoteText"/>
        <w:jc w:val="both"/>
        <w:rPr>
          <w:color w:val="000000"/>
        </w:rPr>
      </w:pPr>
      <w:r>
        <w:rPr>
          <w:color w:val="000000"/>
          <w:vertAlign w:val="superscript"/>
        </w:rPr>
        <w:footnoteRef/>
      </w:r>
      <w:r>
        <w:rPr>
          <w:color w:val="000000"/>
        </w:rPr>
        <w:t xml:space="preserve"> According to CIP pe</w:t>
      </w:r>
      <w:r>
        <w:rPr>
          <w:color w:val="000000"/>
        </w:rPr>
        <w:t>rformance indicators (Annex to the Proposal for a Decision of the European Parliament and of the Council establishing a Competitiveness and Innovation Framework Programme (2007–2013), SEC(2005) 433) and as confirmed by the 2011 ECA's Performance Audit, the</w:t>
      </w:r>
      <w:r>
        <w:rPr>
          <w:color w:val="000000"/>
        </w:rPr>
        <w:t xml:space="preserve"> SMEG07 facility should reach the number of 315 000 supported final recipients. Please note that as at 31/12/2016 (see below) the number of benefitting final recipients already trespassed this target/expected number. </w:t>
      </w:r>
    </w:p>
  </w:footnote>
  <w:footnote w:id="87">
    <w:p w:rsidR="0073489B" w:rsidRDefault="00A46D11">
      <w:pPr>
        <w:pStyle w:val="FootnoteText"/>
        <w:jc w:val="both"/>
        <w:rPr>
          <w:color w:val="000000"/>
        </w:rPr>
      </w:pPr>
      <w:r>
        <w:rPr>
          <w:color w:val="000000"/>
          <w:vertAlign w:val="superscript"/>
        </w:rPr>
        <w:footnoteRef/>
      </w:r>
      <w:r>
        <w:rPr>
          <w:color w:val="000000"/>
        </w:rPr>
        <w:t xml:space="preserve"> Correspond to the total loan volume </w:t>
      </w:r>
      <w:r>
        <w:rPr>
          <w:color w:val="000000"/>
        </w:rPr>
        <w:t>received by the recipient SMEs as per the latest data available, i.e. EIF's Q4 Quarterly Report dated 31/12/2016 with data as at 31/12/2016.</w:t>
      </w:r>
    </w:p>
  </w:footnote>
  <w:footnote w:id="88">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Source: EIF's Q4 Quarterly Report dated 31/12/2016 with data as at 31/12/2016.</w:t>
      </w:r>
    </w:p>
  </w:footnote>
  <w:footnote w:id="89">
    <w:p w:rsidR="0073489B" w:rsidRDefault="00A46D11">
      <w:pPr>
        <w:pStyle w:val="FootnoteText"/>
        <w:jc w:val="both"/>
      </w:pPr>
      <w:r>
        <w:rPr>
          <w:color w:val="000000"/>
          <w:vertAlign w:val="superscript"/>
        </w:rPr>
        <w:footnoteRef/>
      </w:r>
      <w:r>
        <w:rPr>
          <w:color w:val="000000"/>
          <w:vertAlign w:val="superscript"/>
        </w:rPr>
        <w:t xml:space="preserve"> </w:t>
      </w:r>
      <w:r>
        <w:rPr>
          <w:color w:val="000000"/>
        </w:rPr>
        <w:t>Source: EIF's Q4 Quarterly Repor</w:t>
      </w:r>
      <w:r>
        <w:rPr>
          <w:color w:val="000000"/>
        </w:rPr>
        <w:t>t dated 31/12/2016 with data as at 31/12/2016.</w:t>
      </w:r>
    </w:p>
  </w:footnote>
  <w:footnote w:id="90">
    <w:p w:rsidR="0073489B" w:rsidRDefault="00A46D11">
      <w:pPr>
        <w:pStyle w:val="FootnoteText"/>
        <w:jc w:val="both"/>
        <w:rPr>
          <w:color w:val="000000"/>
          <w:vertAlign w:val="superscript"/>
        </w:rPr>
      </w:pPr>
      <w:r>
        <w:rPr>
          <w:color w:val="000000"/>
          <w:vertAlign w:val="superscript"/>
        </w:rPr>
        <w:footnoteRef/>
      </w:r>
      <w:r>
        <w:rPr>
          <w:color w:val="000000"/>
          <w:vertAlign w:val="superscript"/>
        </w:rPr>
        <w:t xml:space="preserve"> </w:t>
      </w:r>
      <w:r>
        <w:rPr>
          <w:color w:val="000000"/>
        </w:rPr>
        <w:t>This amount has been lowered in 2016 by EUR 25 million decommitments.</w:t>
      </w:r>
    </w:p>
  </w:footnote>
  <w:footnote w:id="91">
    <w:p w:rsidR="0073489B" w:rsidRDefault="00A46D11">
      <w:pPr>
        <w:pStyle w:val="FootnoteText"/>
        <w:jc w:val="both"/>
        <w:rPr>
          <w:color w:val="000000"/>
          <w:vertAlign w:val="superscript"/>
        </w:rPr>
      </w:pPr>
      <w:r>
        <w:rPr>
          <w:color w:val="000000"/>
          <w:vertAlign w:val="superscript"/>
        </w:rPr>
        <w:footnoteRef/>
      </w:r>
      <w:r>
        <w:rPr>
          <w:color w:val="000000"/>
          <w:vertAlign w:val="superscript"/>
        </w:rPr>
        <w:t xml:space="preserve"> </w:t>
      </w:r>
      <w:r>
        <w:rPr>
          <w:color w:val="000000"/>
        </w:rPr>
        <w:t>Source: EIF's Q4 Quarterly report dated 31/12/2016 with data as at 31/12/2016.</w:t>
      </w:r>
    </w:p>
  </w:footnote>
  <w:footnote w:id="92">
    <w:p w:rsidR="0073489B" w:rsidRDefault="00A46D11">
      <w:pPr>
        <w:pStyle w:val="FootnoteText"/>
        <w:jc w:val="both"/>
        <w:rPr>
          <w:color w:val="000000"/>
          <w:vertAlign w:val="superscript"/>
        </w:rPr>
      </w:pPr>
      <w:r>
        <w:rPr>
          <w:color w:val="000000"/>
          <w:vertAlign w:val="superscript"/>
        </w:rPr>
        <w:footnoteRef/>
      </w:r>
      <w:r>
        <w:rPr>
          <w:color w:val="000000"/>
          <w:vertAlign w:val="superscript"/>
        </w:rPr>
        <w:t xml:space="preserve"> </w:t>
      </w:r>
      <w:r>
        <w:rPr>
          <w:color w:val="000000"/>
        </w:rPr>
        <w:t>Cumulated 'Actual Utilisation' of all agreements under</w:t>
      </w:r>
      <w:r>
        <w:rPr>
          <w:color w:val="000000"/>
        </w:rPr>
        <w:t xml:space="preserve"> the Facility (Source: EIF's Q4 Quarterly report dated 31/12/2016 with data as at 31/12/2016.)</w:t>
      </w:r>
    </w:p>
  </w:footnote>
  <w:footnote w:id="93">
    <w:p w:rsidR="0073489B" w:rsidRDefault="00A46D11">
      <w:pPr>
        <w:pStyle w:val="FootnoteText"/>
        <w:jc w:val="both"/>
        <w:rPr>
          <w:color w:val="FF00FF"/>
        </w:rPr>
      </w:pPr>
      <w:r>
        <w:rPr>
          <w:color w:val="000000"/>
          <w:vertAlign w:val="superscript"/>
        </w:rPr>
        <w:footnoteRef/>
      </w:r>
      <w:r>
        <w:rPr>
          <w:color w:val="000000"/>
          <w:vertAlign w:val="superscript"/>
        </w:rPr>
        <w:t xml:space="preserve"> </w:t>
      </w:r>
      <w:r>
        <w:rPr>
          <w:color w:val="000000"/>
        </w:rPr>
        <w:t>Note: Estimate based on the methodology outlined in the Final Evaluation of the Entrepreneurship and Innovation Programme, Final Report, April 2011. No other r</w:t>
      </w:r>
      <w:r>
        <w:rPr>
          <w:color w:val="000000"/>
        </w:rPr>
        <w:t>ecent information is available as at writing date.</w:t>
      </w:r>
    </w:p>
  </w:footnote>
  <w:footnote w:id="94">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Negative interest on  some sub-accounts of the Trust Account were more than offset by positive interests on other sub-accounts , so, all in all,  the Facility was not hampered by negative interests.</w:t>
      </w:r>
    </w:p>
  </w:footnote>
  <w:footnote w:id="95">
    <w:p w:rsidR="0073489B" w:rsidRDefault="00A46D11">
      <w:pPr>
        <w:pStyle w:val="FootnoteText"/>
      </w:pPr>
      <w:r>
        <w:rPr>
          <w:rStyle w:val="FootnoteReference"/>
        </w:rPr>
        <w:footnoteRef/>
      </w:r>
      <w:r>
        <w:t xml:space="preserve"> Of which EUR 12 089 884 re-committed to the same instrument.</w:t>
      </w:r>
    </w:p>
  </w:footnote>
  <w:footnote w:id="96">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Source: EIF's Q4 Quarterly report dated 31/12/2016 with data as at 31/12/2016; total loan volume received by the recipient SMEs = 21 101,8  million EUR / EU guarantee cap amount = 523,4 millio</w:t>
      </w:r>
      <w:r>
        <w:rPr>
          <w:color w:val="000000"/>
        </w:rPr>
        <w:t>n EUR.</w:t>
      </w:r>
    </w:p>
  </w:footnote>
  <w:footnote w:id="97">
    <w:p w:rsidR="0073489B" w:rsidRDefault="00A46D11">
      <w:pPr>
        <w:pStyle w:val="FootnoteText"/>
        <w:jc w:val="both"/>
        <w:rPr>
          <w:color w:val="000000"/>
        </w:rPr>
      </w:pPr>
      <w:r>
        <w:rPr>
          <w:color w:val="000000"/>
          <w:vertAlign w:val="superscript"/>
        </w:rPr>
        <w:footnoteRef/>
      </w:r>
      <w:r>
        <w:rPr>
          <w:color w:val="000000"/>
        </w:rPr>
        <w:t xml:space="preserve"> Source:  EIF's Q4 Quarterly report dated 31/12/2016 with data as at 31/12/2016; "Estimated SME financing"  = 23 116,1 million EUR / EU guarantee cap amount = 523,4 million EUR.</w:t>
      </w:r>
    </w:p>
  </w:footnote>
  <w:footnote w:id="98">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CSES (2012).</w:t>
      </w:r>
    </w:p>
  </w:footnote>
  <w:footnote w:id="99">
    <w:p w:rsidR="0073489B" w:rsidRDefault="00A46D11">
      <w:pPr>
        <w:pStyle w:val="FootnoteText"/>
        <w:jc w:val="both"/>
        <w:rPr>
          <w:szCs w:val="24"/>
          <w:lang w:eastAsia="en-GB"/>
        </w:rPr>
      </w:pPr>
      <w:r>
        <w:rPr>
          <w:color w:val="000000"/>
          <w:vertAlign w:val="superscript"/>
        </w:rPr>
        <w:footnoteRef/>
      </w:r>
      <w:r>
        <w:rPr>
          <w:color w:val="000000"/>
          <w:vertAlign w:val="superscript"/>
        </w:rPr>
        <w:t xml:space="preserve"> </w:t>
      </w:r>
      <w:r>
        <w:rPr>
          <w:color w:val="000000"/>
        </w:rPr>
        <w:t>CSES (2012).</w:t>
      </w:r>
    </w:p>
  </w:footnote>
  <w:footnote w:id="100">
    <w:p w:rsidR="0073489B" w:rsidRDefault="00A46D11">
      <w:pPr>
        <w:pStyle w:val="FootnoteText"/>
        <w:rPr>
          <w:color w:val="FF00FF"/>
        </w:rPr>
      </w:pPr>
      <w:r>
        <w:rPr>
          <w:rStyle w:val="FootnoteReference"/>
        </w:rPr>
        <w:footnoteRef/>
      </w:r>
      <w:r>
        <w:t xml:space="preserve"> Source: ECFIN.</w:t>
      </w:r>
    </w:p>
  </w:footnote>
  <w:footnote w:id="101">
    <w:p w:rsidR="0073489B" w:rsidRDefault="00A46D11">
      <w:pPr>
        <w:pStyle w:val="FootnoteText"/>
        <w:jc w:val="both"/>
        <w:rPr>
          <w:lang w:val="en-US"/>
        </w:rPr>
      </w:pPr>
      <w:r>
        <w:rPr>
          <w:rStyle w:val="FootnoteReference"/>
        </w:rPr>
        <w:footnoteRef/>
      </w:r>
      <w:r>
        <w:t xml:space="preserve"> European Progress Mic</w:t>
      </w:r>
      <w:r>
        <w:t>rofinance Facility includes both Guarantees (EPMF-G) and Funded instruments (FCP-FIS).</w:t>
      </w:r>
    </w:p>
  </w:footnote>
  <w:footnote w:id="102">
    <w:p w:rsidR="0073489B" w:rsidRDefault="00A46D11">
      <w:pPr>
        <w:pStyle w:val="FootnoteText"/>
      </w:pPr>
      <w:r>
        <w:rPr>
          <w:rStyle w:val="FootnoteReference"/>
        </w:rPr>
        <w:footnoteRef/>
      </w:r>
      <w:r>
        <w:t xml:space="preserve"> </w:t>
      </w:r>
      <w:r>
        <w:rPr>
          <w:szCs w:val="24"/>
        </w:rPr>
        <w:t>(OJ L 87/1, 7.4.2010).</w:t>
      </w:r>
    </w:p>
  </w:footnote>
  <w:footnote w:id="103">
    <w:p w:rsidR="0073489B" w:rsidRDefault="00A46D11">
      <w:pPr>
        <w:pStyle w:val="FootnoteText"/>
      </w:pPr>
      <w:r>
        <w:rPr>
          <w:rStyle w:val="FootnoteReference"/>
        </w:rPr>
        <w:footnoteRef/>
      </w:r>
      <w:r>
        <w:t xml:space="preserve"> EPMF FMA - 2016 Annual Implementation Report</w:t>
      </w:r>
    </w:p>
  </w:footnote>
  <w:footnote w:id="104">
    <w:p w:rsidR="0073489B" w:rsidRDefault="00A46D11">
      <w:pPr>
        <w:pStyle w:val="FootnoteText"/>
      </w:pPr>
      <w:r>
        <w:rPr>
          <w:rStyle w:val="FootnoteReference"/>
        </w:rPr>
        <w:footnoteRef/>
      </w:r>
      <w:r>
        <w:rPr>
          <w:rStyle w:val="FootnoteReference"/>
        </w:rPr>
        <w:t xml:space="preserve"> </w:t>
      </w:r>
      <w:r>
        <w:t>estimate based on an average loan amount per FB as at 30/9/2016  = 11 231 EUR</w:t>
      </w:r>
    </w:p>
  </w:footnote>
  <w:footnote w:id="105">
    <w:p w:rsidR="0073489B" w:rsidRDefault="00A46D11">
      <w:pPr>
        <w:pStyle w:val="FootnoteText"/>
        <w:jc w:val="both"/>
      </w:pPr>
      <w:r>
        <w:rPr>
          <w:rStyle w:val="FootnoteReference"/>
        </w:rPr>
        <w:footnoteRef/>
      </w:r>
      <w:r>
        <w:t xml:space="preserve"> </w:t>
      </w:r>
      <w:r>
        <w:rPr>
          <w:szCs w:val="24"/>
        </w:rPr>
        <w:t>Total guarantee</w:t>
      </w:r>
      <w:r>
        <w:rPr>
          <w:szCs w:val="24"/>
        </w:rPr>
        <w:t xml:space="preserve"> cap amount.</w:t>
      </w:r>
    </w:p>
  </w:footnote>
  <w:footnote w:id="106">
    <w:p w:rsidR="0073489B" w:rsidRDefault="00A46D11">
      <w:pPr>
        <w:pStyle w:val="FootnoteText"/>
        <w:jc w:val="both"/>
      </w:pPr>
      <w:r>
        <w:rPr>
          <w:rStyle w:val="FootnoteReference"/>
        </w:rPr>
        <w:footnoteRef/>
      </w:r>
      <w:r>
        <w:t xml:space="preserve"> The respective figure was calculated by applying a proxy index 7:10 (7 for loan volumes and 10 for investment volumes) which reflects the ratio used under EFSI. </w:t>
      </w:r>
    </w:p>
  </w:footnote>
  <w:footnote w:id="107">
    <w:p w:rsidR="0073489B" w:rsidRDefault="00A46D11">
      <w:pPr>
        <w:pStyle w:val="FootnoteText"/>
        <w:jc w:val="both"/>
        <w:rPr>
          <w:color w:val="FF00FF"/>
        </w:rPr>
      </w:pPr>
      <w:r>
        <w:rPr>
          <w:rStyle w:val="FootnoteReference"/>
        </w:rPr>
        <w:footnoteRef/>
      </w:r>
      <w:r>
        <w:t xml:space="preserve"> The respective figure was calculated by applying a proxy index 7:10 (7 for lo</w:t>
      </w:r>
      <w:r>
        <w:t>an volumes and 10 for investment volumes) which reflects the ratio used under EFSI.</w:t>
      </w:r>
    </w:p>
  </w:footnote>
  <w:footnote w:id="108">
    <w:p w:rsidR="0073489B" w:rsidRDefault="00A46D11">
      <w:pPr>
        <w:pStyle w:val="FootnoteText"/>
      </w:pPr>
      <w:r>
        <w:rPr>
          <w:rStyle w:val="FootnoteReference"/>
        </w:rPr>
        <w:footnoteRef/>
      </w:r>
      <w:r>
        <w:t xml:space="preserve"> Negative interest on some sub-accounts of the Trust Account were more than offset by positive interests on other sub-accounts , so, all in all, the Facility was not hampe</w:t>
      </w:r>
      <w:r>
        <w:t>red by negative interests.</w:t>
      </w:r>
    </w:p>
  </w:footnote>
  <w:footnote w:id="109">
    <w:p w:rsidR="0073489B" w:rsidRDefault="00A46D11">
      <w:pPr>
        <w:jc w:val="both"/>
      </w:pPr>
      <w:r>
        <w:rPr>
          <w:rStyle w:val="FootnoteReference"/>
          <w:sz w:val="20"/>
          <w:szCs w:val="20"/>
        </w:rPr>
        <w:footnoteRef/>
      </w:r>
      <w:r>
        <w:rPr>
          <w:sz w:val="20"/>
          <w:szCs w:val="20"/>
        </w:rPr>
        <w:t xml:space="preserve"> </w:t>
      </w:r>
      <w:r>
        <w:rPr>
          <w:iCs/>
          <w:sz w:val="20"/>
          <w:szCs w:val="20"/>
        </w:rPr>
        <w:t xml:space="preserve">Bendig, Unterberg and Sarpong (2012); Convergences (2013); </w:t>
      </w:r>
      <w:r>
        <w:rPr>
          <w:sz w:val="20"/>
          <w:szCs w:val="20"/>
        </w:rPr>
        <w:t>Evers&amp;Jung (2014);</w:t>
      </w:r>
      <w:r>
        <w:rPr>
          <w:iCs/>
          <w:sz w:val="20"/>
          <w:szCs w:val="20"/>
        </w:rPr>
        <w:t xml:space="preserve"> EMN (2012); Kraemer-Eis, Lang and Gvetadze (2013); UEAPME (2013). </w:t>
      </w:r>
    </w:p>
  </w:footnote>
  <w:footnote w:id="110">
    <w:p w:rsidR="0073489B" w:rsidRDefault="00A46D11">
      <w:pPr>
        <w:pStyle w:val="FootnoteText"/>
        <w:jc w:val="both"/>
      </w:pPr>
      <w:r>
        <w:rPr>
          <w:rStyle w:val="FootnoteReference"/>
        </w:rPr>
        <w:footnoteRef/>
      </w:r>
      <w:r>
        <w:t xml:space="preserve"> EPMF – Annual Implementation Report 2016  – Social Reporting Analysis. The data </w:t>
      </w:r>
      <w:r>
        <w:t>used in this paragraph is based on a survey of a sample of micro-borrowers.</w:t>
      </w:r>
    </w:p>
    <w:p w:rsidR="0073489B" w:rsidRDefault="0073489B">
      <w:pPr>
        <w:pStyle w:val="FootnoteText"/>
        <w:rPr>
          <w:color w:val="FF00FF"/>
        </w:rPr>
      </w:pPr>
    </w:p>
  </w:footnote>
  <w:footnote w:id="111">
    <w:p w:rsidR="0073489B" w:rsidRDefault="00A46D11">
      <w:pPr>
        <w:pStyle w:val="FootnoteText"/>
        <w:jc w:val="both"/>
      </w:pPr>
      <w:r>
        <w:rPr>
          <w:rStyle w:val="FootnoteReference"/>
        </w:rPr>
        <w:footnoteRef/>
      </w:r>
      <w:r>
        <w:t xml:space="preserve"> Commitment for the EaSI Guarantees. Besides EaSI-G and EaSI-CBI, an additional envelope of EUR 84m has been appropriated under EaSI (out of which EUR 0,81m already reflected in </w:t>
      </w:r>
      <w:r>
        <w:t>the Delegation Agreement), to be used in part for funded instruments</w:t>
      </w:r>
      <w:r>
        <w:rPr>
          <w:iCs/>
        </w:rPr>
        <w:t>.</w:t>
      </w:r>
    </w:p>
  </w:footnote>
  <w:footnote w:id="112">
    <w:p w:rsidR="0073489B" w:rsidRDefault="00A46D11">
      <w:pPr>
        <w:pStyle w:val="FootnoteText"/>
        <w:jc w:val="both"/>
      </w:pPr>
      <w:r>
        <w:rPr>
          <w:rStyle w:val="FootnoteReference"/>
        </w:rPr>
        <w:footnoteRef/>
      </w:r>
      <w:r>
        <w:t xml:space="preserve"> Commitment for the EaSI Guarantees. Besides EaSI-G and EaSI-CBI, an additional envelope of EUR 84m has been appropriated under EaSI (out of which EUR 0,81m already reflected in the Del</w:t>
      </w:r>
      <w:r>
        <w:t>egation Agreement), to be used in part for funded instruments.</w:t>
      </w:r>
    </w:p>
  </w:footnote>
  <w:footnote w:id="113">
    <w:p w:rsidR="0073489B" w:rsidRDefault="00A46D11">
      <w:pPr>
        <w:pStyle w:val="FootnoteText"/>
        <w:jc w:val="both"/>
        <w:rPr>
          <w:lang w:val="en-US"/>
        </w:rPr>
      </w:pPr>
      <w:r>
        <w:rPr>
          <w:rStyle w:val="FootnoteReference"/>
        </w:rPr>
        <w:footnoteRef/>
      </w:r>
      <w:r>
        <w:t xml:space="preserve"> See above </w:t>
      </w:r>
      <w:r>
        <w:rPr>
          <w:szCs w:val="24"/>
        </w:rPr>
        <w:t>'Study on imperfections in the area of microfinance and options how to address them through an EU financial instrument' and Spiess-Knafl, Wolfgang and Jansen, Stephan A.,’Imperfecti</w:t>
      </w:r>
      <w:r>
        <w:rPr>
          <w:szCs w:val="24"/>
        </w:rPr>
        <w:t>ons in the social investment market and options on how to address them’, on behalf of the European Commission, November 2013, as published on http://bookshop.europa.eu/en/imperfections-in-the-social-investment-market-and-options-on-how-toaddress-them-pbKE0</w:t>
      </w:r>
      <w:r>
        <w:rPr>
          <w:szCs w:val="24"/>
        </w:rPr>
        <w:t>214002/</w:t>
      </w:r>
    </w:p>
  </w:footnote>
  <w:footnote w:id="114">
    <w:p w:rsidR="0073489B" w:rsidRDefault="00A46D11">
      <w:pPr>
        <w:pStyle w:val="FootnoteText"/>
        <w:jc w:val="both"/>
      </w:pPr>
      <w:r>
        <w:rPr>
          <w:rStyle w:val="FootnoteReference"/>
        </w:rPr>
        <w:footnoteRef/>
      </w:r>
      <w:r>
        <w:t xml:space="preserve"> </w:t>
      </w:r>
      <w:r>
        <w:rPr>
          <w:szCs w:val="24"/>
        </w:rPr>
        <w:t>(OJ L 347/238, 20.12.2013).</w:t>
      </w:r>
    </w:p>
  </w:footnote>
  <w:footnote w:id="115">
    <w:p w:rsidR="0073489B" w:rsidRDefault="00A46D11">
      <w:pPr>
        <w:jc w:val="both"/>
        <w:rPr>
          <w:sz w:val="20"/>
          <w:szCs w:val="20"/>
        </w:rPr>
      </w:pPr>
      <w:r>
        <w:rPr>
          <w:rStyle w:val="FootnoteReference"/>
          <w:sz w:val="20"/>
          <w:szCs w:val="20"/>
        </w:rPr>
        <w:footnoteRef/>
      </w:r>
      <w:r>
        <w:t xml:space="preserve"> </w:t>
      </w:r>
      <w:r>
        <w:rPr>
          <w:sz w:val="20"/>
          <w:szCs w:val="20"/>
        </w:rPr>
        <w:t>Note: Social enterprise means an undertaking, which:</w:t>
      </w:r>
    </w:p>
    <w:p w:rsidR="0073489B" w:rsidRDefault="00A46D11">
      <w:pPr>
        <w:jc w:val="both"/>
        <w:rPr>
          <w:sz w:val="20"/>
          <w:szCs w:val="20"/>
        </w:rPr>
      </w:pPr>
      <w:r>
        <w:rPr>
          <w:sz w:val="20"/>
          <w:szCs w:val="20"/>
        </w:rPr>
        <w:t>(a) in accordance with its Articles of Association, Statutes or with any other legal document by which it is established, has as its primary objective the achievem</w:t>
      </w:r>
      <w:r>
        <w:rPr>
          <w:sz w:val="20"/>
          <w:szCs w:val="20"/>
        </w:rPr>
        <w:t>ent of measurable, positive social impacts rather than generating profit for its owners, members and shareholders, and which:</w:t>
      </w:r>
    </w:p>
    <w:p w:rsidR="0073489B" w:rsidRDefault="00A46D11">
      <w:pPr>
        <w:tabs>
          <w:tab w:val="left" w:pos="5910"/>
        </w:tabs>
        <w:jc w:val="both"/>
        <w:rPr>
          <w:sz w:val="20"/>
          <w:szCs w:val="20"/>
        </w:rPr>
      </w:pPr>
      <w:r>
        <w:rPr>
          <w:sz w:val="20"/>
          <w:szCs w:val="20"/>
        </w:rPr>
        <w:t>(i) provides services or goods which generate a social return and/or</w:t>
      </w:r>
      <w:r>
        <w:rPr>
          <w:sz w:val="20"/>
          <w:szCs w:val="20"/>
        </w:rPr>
        <w:tab/>
      </w:r>
    </w:p>
    <w:p w:rsidR="0073489B" w:rsidRDefault="00A46D11">
      <w:pPr>
        <w:jc w:val="both"/>
        <w:rPr>
          <w:sz w:val="20"/>
          <w:szCs w:val="20"/>
        </w:rPr>
      </w:pPr>
      <w:r>
        <w:rPr>
          <w:sz w:val="20"/>
          <w:szCs w:val="20"/>
        </w:rPr>
        <w:t>(ii) employs a method of production of goods or services tha</w:t>
      </w:r>
      <w:r>
        <w:rPr>
          <w:sz w:val="20"/>
          <w:szCs w:val="20"/>
        </w:rPr>
        <w:t>t embodies its social objective;</w:t>
      </w:r>
    </w:p>
    <w:p w:rsidR="0073489B" w:rsidRDefault="00A46D11">
      <w:pPr>
        <w:jc w:val="both"/>
        <w:rPr>
          <w:sz w:val="20"/>
          <w:szCs w:val="20"/>
        </w:rPr>
      </w:pPr>
      <w:r>
        <w:rPr>
          <w:sz w:val="20"/>
          <w:szCs w:val="20"/>
        </w:rPr>
        <w:t>(b) uses its profits first and foremost to achieve its primary objective and has predefined procedures and rules covering any distribution of profits to shareholders and owners that ensure that such distribution does not un</w:t>
      </w:r>
      <w:r>
        <w:rPr>
          <w:sz w:val="20"/>
          <w:szCs w:val="20"/>
        </w:rPr>
        <w:t>dermine the primary objective; and</w:t>
      </w:r>
    </w:p>
    <w:p w:rsidR="0073489B" w:rsidRDefault="00A46D11">
      <w:pPr>
        <w:jc w:val="both"/>
        <w:rPr>
          <w:lang w:val="en-US"/>
        </w:rPr>
      </w:pPr>
      <w:r>
        <w:rPr>
          <w:sz w:val="20"/>
          <w:szCs w:val="20"/>
        </w:rPr>
        <w:t>(c) is managed in an entrepreneurial, accountable and transparent way, in particular by involving workers, customers and stakeholders affected by its business activities.</w:t>
      </w:r>
    </w:p>
  </w:footnote>
  <w:footnote w:id="116">
    <w:p w:rsidR="0073489B" w:rsidRDefault="00A46D11">
      <w:pPr>
        <w:pStyle w:val="FootnoteText"/>
        <w:rPr>
          <w:rStyle w:val="FootnoteReference"/>
        </w:rPr>
      </w:pPr>
      <w:r>
        <w:rPr>
          <w:rStyle w:val="FootnoteReference"/>
        </w:rPr>
        <w:footnoteRef/>
      </w:r>
      <w:r>
        <w:rPr>
          <w:rStyle w:val="FootnoteReference"/>
        </w:rPr>
        <w:t xml:space="preserve"> </w:t>
      </w:r>
      <w:r>
        <w:rPr>
          <w:rStyle w:val="FootnoteReference"/>
          <w:vertAlign w:val="baseline"/>
        </w:rPr>
        <w:t>EaSI - 201</w:t>
      </w:r>
      <w:r>
        <w:t>6</w:t>
      </w:r>
      <w:r>
        <w:rPr>
          <w:rStyle w:val="FootnoteReference"/>
          <w:vertAlign w:val="baseline"/>
        </w:rPr>
        <w:t xml:space="preserve"> Annual Operational Report</w:t>
      </w:r>
      <w:r>
        <w:t>.</w:t>
      </w:r>
    </w:p>
  </w:footnote>
  <w:footnote w:id="117">
    <w:p w:rsidR="0073489B" w:rsidRDefault="00A46D11">
      <w:pPr>
        <w:pStyle w:val="FootnoteText"/>
        <w:jc w:val="both"/>
      </w:pPr>
      <w:r>
        <w:rPr>
          <w:rStyle w:val="FootnoteReference"/>
        </w:rPr>
        <w:footnoteRef/>
      </w:r>
      <w:r>
        <w:rPr>
          <w:rStyle w:val="FootnoteReference"/>
        </w:rPr>
        <w:t xml:space="preserve"> </w:t>
      </w:r>
      <w:r>
        <w:rPr>
          <w:rStyle w:val="FootnoteReference"/>
          <w:vertAlign w:val="baseline"/>
        </w:rPr>
        <w:t xml:space="preserve">The </w:t>
      </w:r>
      <w:r>
        <w:rPr>
          <w:rStyle w:val="FootnoteReference"/>
          <w:vertAlign w:val="baseline"/>
        </w:rPr>
        <w:t>respective figure was calculated by applying a proxy index 7:10 (7 for loan volumes and 10 for investment volumes) which reflects the ratio used under EFSI.</w:t>
      </w:r>
      <w:r>
        <w:t xml:space="preserve"> </w:t>
      </w:r>
    </w:p>
  </w:footnote>
  <w:footnote w:id="118">
    <w:p w:rsidR="0073489B" w:rsidRDefault="00A46D11">
      <w:pPr>
        <w:pStyle w:val="FootnoteText"/>
        <w:jc w:val="both"/>
      </w:pPr>
      <w:r>
        <w:rPr>
          <w:rStyle w:val="FootnoteReference"/>
        </w:rPr>
        <w:footnoteRef/>
      </w:r>
      <w:r>
        <w:t xml:space="preserve"> There was no impact of negative interest either in the Trust Account or in the sub accounts.</w:t>
      </w:r>
    </w:p>
  </w:footnote>
  <w:footnote w:id="119">
    <w:p w:rsidR="0073489B" w:rsidRDefault="00A46D11">
      <w:pPr>
        <w:pStyle w:val="FootnoteText"/>
        <w:jc w:val="both"/>
      </w:pPr>
      <w:r>
        <w:rPr>
          <w:rStyle w:val="FootnoteReference"/>
        </w:rPr>
        <w:footnoteRef/>
      </w:r>
      <w:r>
        <w:t xml:space="preserve"> EaSI – Annual Impact Report  2016. The data used in this paragraph is based on a survey of a sample of micro-borrowers.</w:t>
      </w:r>
    </w:p>
  </w:footnote>
  <w:footnote w:id="120">
    <w:p w:rsidR="0073489B" w:rsidRDefault="00A46D11">
      <w:pPr>
        <w:pStyle w:val="FootnoteText"/>
        <w:jc w:val="both"/>
      </w:pPr>
      <w:r>
        <w:rPr>
          <w:rStyle w:val="FootnoteReference"/>
        </w:rPr>
        <w:footnoteRef/>
      </w:r>
      <w:r>
        <w:t xml:space="preserve"> EaSI – Annual Impact Report  2016. The data used in this paragraph is based on a survey of a sample of micro-borrowers.</w:t>
      </w:r>
    </w:p>
  </w:footnote>
  <w:footnote w:id="121">
    <w:p w:rsidR="0073489B" w:rsidRDefault="00A46D11">
      <w:pPr>
        <w:pStyle w:val="FootnoteText"/>
        <w:jc w:val="both"/>
      </w:pPr>
      <w:r>
        <w:rPr>
          <w:rStyle w:val="FootnoteReference"/>
        </w:rPr>
        <w:footnoteRef/>
      </w:r>
      <w:r>
        <w:t xml:space="preserve"> The Basic A</w:t>
      </w:r>
      <w:r>
        <w:t>ct provides that no less than 60% of the total financial envelope for the implementation of the COSME programme shall be allocated to the financial instruments. The split of the total amount allocated to the financial instrument is 52% for the Loan Guarant</w:t>
      </w:r>
      <w:r>
        <w:t>ee Facility (LGF) and 48% for the Equity Facility for Growth (EFG), based on the distribution between the loan guaranteed and equity facility in the legislative financial statement.</w:t>
      </w:r>
    </w:p>
  </w:footnote>
  <w:footnote w:id="122">
    <w:p w:rsidR="0073489B" w:rsidRDefault="00A46D11">
      <w:pPr>
        <w:pStyle w:val="FootnoteText"/>
        <w:jc w:val="both"/>
        <w:rPr>
          <w:rStyle w:val="FootnoteReference"/>
          <w:sz w:val="24"/>
          <w:szCs w:val="22"/>
        </w:rPr>
      </w:pPr>
      <w:r>
        <w:rPr>
          <w:rStyle w:val="FootnoteReference"/>
        </w:rPr>
        <w:footnoteRef/>
      </w:r>
      <w:r>
        <w:rPr>
          <w:rStyle w:val="FootnoteReference"/>
        </w:rPr>
        <w:t xml:space="preserve"> </w:t>
      </w:r>
      <w:r>
        <w:t>This amount is composed of the amounts committed towards the LGF for the</w:t>
      </w:r>
      <w:r>
        <w:t xml:space="preserve"> year 2014-2016, of the amounts allocated towards the LGF in 2017-2018 as currently foreseen in the COSME work programmes and of the indicative amounts allocated to the LGF for 2019-2020. The 2017-2020 amounts are indicative and may be subject to change, i</w:t>
      </w:r>
      <w:r>
        <w:t>n line with Article 17 of the Basic Act which stipulates that the allocation of funds to the loan guarantee and equity facilities shall take into account the demand from financial intermediaries. It includes the contribution to the SME Initiative where app</w:t>
      </w:r>
      <w:r>
        <w:t>licable.</w:t>
      </w:r>
    </w:p>
  </w:footnote>
  <w:footnote w:id="123">
    <w:p w:rsidR="0073489B" w:rsidRDefault="00A46D11">
      <w:pPr>
        <w:pStyle w:val="FootnoteText"/>
      </w:pPr>
      <w:r>
        <w:rPr>
          <w:rStyle w:val="FootnoteReference"/>
        </w:rPr>
        <w:footnoteRef/>
      </w:r>
      <w:r>
        <w:t xml:space="preserve"> Estimation based on EIF – EFSI multiplier calculation methodology with 1,4 EUR of mobilised investments for 1 EUR of mobilised financing</w:t>
      </w:r>
    </w:p>
  </w:footnote>
  <w:footnote w:id="124">
    <w:p w:rsidR="0073489B" w:rsidRDefault="00A46D11">
      <w:pPr>
        <w:pStyle w:val="FootnoteText"/>
        <w:jc w:val="both"/>
      </w:pPr>
      <w:r>
        <w:rPr>
          <w:rStyle w:val="FootnoteReference"/>
        </w:rPr>
        <w:footnoteRef/>
      </w:r>
      <w:r>
        <w:t xml:space="preserve"> Including EUR account and sub-accounts in tradable currencies (BGN, CZK, DKK, GBP, HUF, PLN, RON, TRY, HRK</w:t>
      </w:r>
      <w:r>
        <w:t>).</w:t>
      </w:r>
    </w:p>
  </w:footnote>
  <w:footnote w:id="125">
    <w:p w:rsidR="0073489B" w:rsidRDefault="00A46D11">
      <w:pPr>
        <w:pStyle w:val="FootnoteText"/>
        <w:jc w:val="both"/>
      </w:pPr>
      <w:r>
        <w:rPr>
          <w:rStyle w:val="FootnoteReference"/>
        </w:rPr>
        <w:footnoteRef/>
      </w:r>
      <w:r>
        <w:t xml:space="preserve"> Even with market conditions deteriorating over time, the net interest income generated on short term deposits remained positive in 2016, mainly due to positive interest rates for GBP, HRK, HUF, PLN, RON and TRY, compensating the negative interest rate</w:t>
      </w:r>
      <w:r>
        <w:t>s for EUR and DKK.</w:t>
      </w:r>
    </w:p>
  </w:footnote>
  <w:footnote w:id="126">
    <w:p w:rsidR="0073489B" w:rsidRDefault="00A46D11">
      <w:pPr>
        <w:pStyle w:val="FootnoteText"/>
      </w:pPr>
      <w:r>
        <w:rPr>
          <w:rStyle w:val="FootnoteReference"/>
        </w:rPr>
        <w:footnoteRef/>
      </w:r>
      <w:r>
        <w:t xml:space="preserve"> Revenues as set out in the Economic Outturn Account of the 2016 LGF Audited Financial Statements.</w:t>
      </w:r>
    </w:p>
  </w:footnote>
  <w:footnote w:id="127">
    <w:p w:rsidR="0073489B" w:rsidRDefault="00A46D11">
      <w:pPr>
        <w:pStyle w:val="FootnoteText"/>
        <w:jc w:val="both"/>
      </w:pPr>
      <w:r>
        <w:rPr>
          <w:rStyle w:val="FootnoteReference"/>
        </w:rPr>
        <w:footnoteRef/>
      </w:r>
      <w:r>
        <w:t xml:space="preserve"> Taking into account the combined COSME/EFSI resources, the aggregate amount of budgetary commitments (EUR 375,5 million) has been incre</w:t>
      </w:r>
      <w:r>
        <w:t>ased by the actual EFSI exposure as at 31 December 2016 as reported in the LGF Audited Financial Statements (EUR 198,8 million) for the purpose of calculating both the achieved and the expected leverage effect.</w:t>
      </w:r>
    </w:p>
  </w:footnote>
  <w:footnote w:id="128">
    <w:p w:rsidR="0073489B" w:rsidRDefault="00A46D11">
      <w:pPr>
        <w:pStyle w:val="FootnoteText"/>
        <w:jc w:val="both"/>
      </w:pPr>
      <w:r>
        <w:rPr>
          <w:rStyle w:val="FootnoteReference"/>
        </w:rPr>
        <w:footnoteRef/>
      </w:r>
      <w:r>
        <w:t xml:space="preserve"> Cf. Annex to Regulation (EU) No 1287/2013 o</w:t>
      </w:r>
      <w:r>
        <w:t>n indicators for general and specific objectives and targets.</w:t>
      </w:r>
    </w:p>
  </w:footnote>
  <w:footnote w:id="129">
    <w:p w:rsidR="0073489B" w:rsidRDefault="00A46D11">
      <w:pPr>
        <w:pStyle w:val="FootnoteText"/>
        <w:jc w:val="both"/>
      </w:pPr>
      <w:r>
        <w:rPr>
          <w:rStyle w:val="FootnoteReference"/>
        </w:rPr>
        <w:footnoteRef/>
      </w:r>
      <w:r>
        <w:t xml:space="preserve"> Even with market conditions deteriorating over time, the net interest income generated on short term deposits are slightly negative in 2016 but remained positive in aggregate figures since imp</w:t>
      </w:r>
      <w:r>
        <w:t>lementation.</w:t>
      </w:r>
    </w:p>
  </w:footnote>
  <w:footnote w:id="130">
    <w:p w:rsidR="0073489B" w:rsidRDefault="00A46D11">
      <w:pPr>
        <w:jc w:val="both"/>
      </w:pPr>
      <w:r>
        <w:rPr>
          <w:rStyle w:val="FootnoteReference"/>
        </w:rPr>
        <w:footnoteRef/>
      </w:r>
      <w:r>
        <w:t xml:space="preserve"> </w:t>
      </w:r>
      <w:r>
        <w:rPr>
          <w:sz w:val="20"/>
          <w:szCs w:val="20"/>
        </w:rPr>
        <w:t>Revenues and repayments reported include those notified by the entrusted entities as well as those stemming from the economic outturn account.</w:t>
      </w:r>
      <w:r>
        <w:t xml:space="preserve"> </w:t>
      </w:r>
    </w:p>
    <w:p w:rsidR="0073489B" w:rsidRDefault="00A46D11">
      <w:pPr>
        <w:pStyle w:val="FootnoteText"/>
      </w:pPr>
      <w:r>
        <w:t>.</w:t>
      </w:r>
    </w:p>
  </w:footnote>
  <w:footnote w:id="131">
    <w:p w:rsidR="0073489B" w:rsidRDefault="00A46D11">
      <w:pPr>
        <w:pStyle w:val="FootnoteText"/>
        <w:jc w:val="both"/>
      </w:pPr>
      <w:r>
        <w:rPr>
          <w:rStyle w:val="FootnoteReference"/>
        </w:rPr>
        <w:footnoteRef/>
      </w:r>
      <w:r>
        <w:t xml:space="preserve"> Even with market conditions deteriorating over time, the negative net interest generated on s</w:t>
      </w:r>
      <w:r>
        <w:t>hort term deposits were balanced by positive income on debt securities and other fixed income securities.</w:t>
      </w:r>
    </w:p>
  </w:footnote>
  <w:footnote w:id="132">
    <w:p w:rsidR="0073489B" w:rsidRDefault="00A46D11">
      <w:pPr>
        <w:jc w:val="both"/>
        <w:rPr>
          <w:sz w:val="20"/>
          <w:szCs w:val="20"/>
        </w:rPr>
      </w:pPr>
      <w:r>
        <w:rPr>
          <w:rStyle w:val="FootnoteReference"/>
          <w:sz w:val="20"/>
          <w:szCs w:val="20"/>
        </w:rPr>
        <w:footnoteRef/>
      </w:r>
      <w:r>
        <w:rPr>
          <w:sz w:val="20"/>
          <w:szCs w:val="20"/>
        </w:rPr>
        <w:t xml:space="preserve">Revenues and repayments reported include those notified by the entrusted entities as well as those stemming from the economic outturn account. </w:t>
      </w:r>
    </w:p>
  </w:footnote>
  <w:footnote w:id="133">
    <w:p w:rsidR="0073489B" w:rsidRDefault="00A46D11">
      <w:pPr>
        <w:pStyle w:val="FootnoteText"/>
      </w:pPr>
      <w:r>
        <w:rPr>
          <w:rStyle w:val="FootnoteReference"/>
        </w:rPr>
        <w:footnoteRef/>
      </w:r>
      <w:r>
        <w:t xml:space="preserve"> Tak</w:t>
      </w:r>
      <w:r>
        <w:t xml:space="preserve">ing into account the combined H2020/EFSI resources, the aggregate amount of budgetary commitments (EUR 534.5 million) has been increased by the actual EFSI exposure as at 31 December 2016 as reported in the InnovFin SMEG  Audited Financial Statements (EUR </w:t>
      </w:r>
      <w:r>
        <w:t>364.8 million) for the purpose of calculating both the achieved and expected leverage effect.</w:t>
      </w:r>
    </w:p>
  </w:footnote>
  <w:footnote w:id="134">
    <w:p w:rsidR="0073489B" w:rsidRDefault="00A46D11">
      <w:pPr>
        <w:pStyle w:val="FootnoteText"/>
        <w:jc w:val="both"/>
        <w:rPr>
          <w:lang w:val="en-US"/>
        </w:rPr>
      </w:pPr>
      <w:r>
        <w:rPr>
          <w:rStyle w:val="FootnoteReference"/>
        </w:rPr>
        <w:footnoteRef/>
      </w:r>
      <w:r>
        <w:t xml:space="preserve"> Note: this figure does not include circa EUR 2million in expected recoveries from the MEDIA Production Guarantee Fund.</w:t>
      </w:r>
    </w:p>
  </w:footnote>
  <w:footnote w:id="135">
    <w:p w:rsidR="0073489B" w:rsidRDefault="00A46D11">
      <w:pPr>
        <w:pStyle w:val="FootnoteText"/>
        <w:jc w:val="both"/>
        <w:rPr>
          <w:lang w:val="en-US"/>
        </w:rPr>
      </w:pPr>
      <w:r>
        <w:rPr>
          <w:rStyle w:val="FootnoteReference"/>
        </w:rPr>
        <w:footnoteRef/>
      </w:r>
      <w:r>
        <w:t xml:space="preserve"> Note: this figure does not include circ</w:t>
      </w:r>
      <w:r>
        <w:t>a EUR 2million in expected recoveries from the MEDIA Production Guarantee Fund.</w:t>
      </w:r>
    </w:p>
    <w:p w:rsidR="0073489B" w:rsidRDefault="0073489B">
      <w:pPr>
        <w:pStyle w:val="FootnoteText"/>
      </w:pPr>
    </w:p>
  </w:footnote>
  <w:footnote w:id="136">
    <w:p w:rsidR="0073489B" w:rsidRDefault="00A46D11">
      <w:pPr>
        <w:pStyle w:val="FootnoteText"/>
        <w:rPr>
          <w:lang w:val="pl-PL"/>
        </w:rPr>
      </w:pPr>
      <w:r>
        <w:rPr>
          <w:rStyle w:val="FootnoteReference"/>
        </w:rPr>
        <w:footnoteRef/>
      </w:r>
      <w:r>
        <w:rPr>
          <w:lang w:val="pl-PL"/>
        </w:rPr>
        <w:t xml:space="preserve"> (OJ L 347, 20.12.2013, p. 221–237)</w:t>
      </w:r>
    </w:p>
  </w:footnote>
  <w:footnote w:id="137">
    <w:p w:rsidR="0073489B" w:rsidRDefault="00A46D11">
      <w:pPr>
        <w:pStyle w:val="FootnoteText"/>
        <w:jc w:val="both"/>
        <w:rPr>
          <w:lang w:val="pl-PL"/>
        </w:rPr>
      </w:pPr>
      <w:r>
        <w:rPr>
          <w:rStyle w:val="FootnoteReference"/>
        </w:rPr>
        <w:footnoteRef/>
      </w:r>
      <w:r>
        <w:rPr>
          <w:lang w:val="pl-PL"/>
        </w:rPr>
        <w:t xml:space="preserve"> http://ec.europa.eu/culture/library/studies/access-finance_en.pdf</w:t>
      </w:r>
    </w:p>
  </w:footnote>
  <w:footnote w:id="138">
    <w:p w:rsidR="0073489B" w:rsidRDefault="00A46D11">
      <w:pPr>
        <w:pStyle w:val="FootnoteText"/>
        <w:jc w:val="both"/>
      </w:pPr>
      <w:r>
        <w:rPr>
          <w:rStyle w:val="FootnoteReference"/>
        </w:rPr>
        <w:footnoteRef/>
      </w:r>
      <w:r>
        <w:t xml:space="preserve"> Since the CCS was not yet launched in 2015, no operations data, geog</w:t>
      </w:r>
      <w:r>
        <w:t>raphical breakdown, performance indicators or other effective operational data are available for reporting as at writing date.</w:t>
      </w:r>
    </w:p>
  </w:footnote>
  <w:footnote w:id="139">
    <w:p w:rsidR="0073489B" w:rsidRDefault="00A46D11">
      <w:pPr>
        <w:pStyle w:val="FootnoteText"/>
        <w:jc w:val="both"/>
      </w:pPr>
      <w:r>
        <w:rPr>
          <w:rStyle w:val="FootnoteReference"/>
        </w:rPr>
        <w:footnoteRef/>
      </w:r>
      <w:r>
        <w:t xml:space="preserve"> Note: this amount does not include a further (maximum) EUR 2 million expected recoveries from the preceding financial instrumen</w:t>
      </w:r>
      <w:r>
        <w:t>t the MPGF.</w:t>
      </w:r>
    </w:p>
  </w:footnote>
  <w:footnote w:id="140">
    <w:p w:rsidR="0073489B" w:rsidRDefault="00A46D11">
      <w:pPr>
        <w:pStyle w:val="FootnoteText"/>
        <w:jc w:val="both"/>
        <w:rPr>
          <w:color w:val="000000"/>
        </w:rPr>
      </w:pPr>
      <w:r>
        <w:rPr>
          <w:color w:val="000000"/>
          <w:vertAlign w:val="superscript"/>
        </w:rPr>
        <w:footnoteRef/>
      </w:r>
      <w:r>
        <w:rPr>
          <w:color w:val="000000"/>
          <w:vertAlign w:val="superscript"/>
        </w:rPr>
        <w:t xml:space="preserve"> </w:t>
      </w:r>
      <w:r>
        <w:rPr>
          <w:color w:val="000000"/>
        </w:rPr>
        <w:t>Source: EIF's Q4 Quarterly report dated 31/12/2016 with data as at 31/12/2016; total loan volume received by the recipient beneficiaries = 3 057 936 EUR / Total EU Contribution Committed = 115 667 000 EUR.</w:t>
      </w:r>
    </w:p>
  </w:footnote>
  <w:footnote w:id="141">
    <w:p w:rsidR="0073489B" w:rsidRDefault="00A46D11">
      <w:pPr>
        <w:pStyle w:val="FootnoteText"/>
        <w:jc w:val="both"/>
        <w:rPr>
          <w:color w:val="000000"/>
        </w:rPr>
      </w:pPr>
      <w:r>
        <w:rPr>
          <w:color w:val="000000"/>
          <w:vertAlign w:val="superscript"/>
        </w:rPr>
        <w:footnoteRef/>
      </w:r>
      <w:r>
        <w:rPr>
          <w:color w:val="000000"/>
        </w:rPr>
        <w:t xml:space="preserve"> Source:  EIF's Q4 Quarterly report dated 31/12/2016 with data as at 31/12/2016; maximum portfolio volume = 159,97 million EUR / Total EU Contribution Committed = 115,667 million EUR.</w:t>
      </w:r>
    </w:p>
  </w:footnote>
  <w:footnote w:id="142">
    <w:p w:rsidR="0073489B" w:rsidRDefault="00A46D11">
      <w:pPr>
        <w:pStyle w:val="FootnoteText"/>
      </w:pPr>
      <w:r>
        <w:rPr>
          <w:rStyle w:val="FootnoteReference"/>
        </w:rPr>
        <w:footnoteRef/>
      </w:r>
      <w:r>
        <w:t xml:space="preserve"> </w:t>
      </w:r>
      <w:r>
        <w:tab/>
        <w:t xml:space="preserve">The student beneficiary survey received </w:t>
      </w:r>
      <w:r>
        <w:rPr>
          <w:color w:val="000000"/>
          <w:szCs w:val="24"/>
          <w:lang w:val="en-US"/>
        </w:rPr>
        <w:t>44 responses on a total of 85</w:t>
      </w:r>
      <w:r>
        <w:rPr>
          <w:color w:val="000000"/>
          <w:szCs w:val="24"/>
          <w:lang w:val="en-US"/>
        </w:rPr>
        <w:t xml:space="preserve"> students taking a loan in 2015.</w:t>
      </w:r>
    </w:p>
  </w:footnote>
  <w:footnote w:id="143">
    <w:p w:rsidR="0073489B" w:rsidRDefault="00A46D11">
      <w:pPr>
        <w:pStyle w:val="FootnoteText"/>
        <w:jc w:val="both"/>
      </w:pPr>
      <w:r>
        <w:rPr>
          <w:rStyle w:val="FootnoteReference"/>
        </w:rPr>
        <w:footnoteRef/>
      </w:r>
      <w:r>
        <w:t xml:space="preserve"> The overall budget envelope of the PF4EE is defined in the Commission Implementing Decision C(2014)1709 of 19 March 2014 on the adoption of the LIFE multiannual work programme for 2014-2017 and it is referred to the perio</w:t>
      </w:r>
      <w:r>
        <w:t xml:space="preserve">d 2014-2017. </w:t>
      </w:r>
    </w:p>
  </w:footnote>
  <w:footnote w:id="144">
    <w:p w:rsidR="0073489B" w:rsidRDefault="00A46D11">
      <w:pPr>
        <w:pStyle w:val="FootnoteText"/>
        <w:jc w:val="both"/>
      </w:pPr>
      <w:r>
        <w:rPr>
          <w:rStyle w:val="FootnoteReference"/>
        </w:rPr>
        <w:footnoteRef/>
      </w:r>
      <w:r>
        <w:rPr>
          <w:rStyle w:val="FootnoteReference"/>
        </w:rPr>
        <w:t xml:space="preserve"> </w:t>
      </w:r>
      <w:r>
        <w:t>Including EUR 3,2 million for the Expert Support Facility.</w:t>
      </w:r>
    </w:p>
  </w:footnote>
  <w:footnote w:id="145">
    <w:p w:rsidR="0073489B" w:rsidRDefault="00A46D11">
      <w:pPr>
        <w:pStyle w:val="FootnoteText"/>
        <w:jc w:val="both"/>
      </w:pPr>
      <w:r>
        <w:rPr>
          <w:rStyle w:val="FootnoteReference"/>
        </w:rPr>
        <w:footnoteRef/>
      </w:r>
      <w:r>
        <w:t xml:space="preserve"> (OJ L 116/1, 17.04.2014)</w:t>
      </w:r>
    </w:p>
  </w:footnote>
  <w:footnote w:id="146">
    <w:p w:rsidR="0073489B" w:rsidRDefault="00A46D11">
      <w:pPr>
        <w:pStyle w:val="FootnoteText"/>
        <w:jc w:val="both"/>
        <w:rPr>
          <w:color w:val="31849B" w:themeColor="accent5" w:themeShade="BF"/>
        </w:rPr>
      </w:pPr>
      <w:r>
        <w:rPr>
          <w:rStyle w:val="FootnoteReference"/>
        </w:rPr>
        <w:footnoteRef/>
      </w:r>
      <w:r>
        <w:t xml:space="preserve"> Notwithstanding the current market conditions, no negative interest was generated since the payments to the Trust Account. </w:t>
      </w:r>
    </w:p>
  </w:footnote>
  <w:footnote w:id="147">
    <w:p w:rsidR="0073489B" w:rsidRDefault="00A46D11">
      <w:pPr>
        <w:pStyle w:val="FootnoteText"/>
        <w:jc w:val="both"/>
      </w:pPr>
      <w:r>
        <w:rPr>
          <w:rStyle w:val="FootnoteReference"/>
        </w:rPr>
        <w:footnoteRef/>
      </w:r>
      <w:r>
        <w:t xml:space="preserve"> "Ex-ante evaluation of a n</w:t>
      </w:r>
      <w:r>
        <w:t xml:space="preserve">ew Financial Instrument to foster investment in EE by private financial institutions (PF4EE)", Annex </w:t>
      </w:r>
      <w:r>
        <w:rPr>
          <w:sz w:val="18"/>
        </w:rPr>
        <w:t xml:space="preserve">2 to the LIFE multiannual work programme 2014-2020 - Commission Implementing Decision C(2014)1709.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9C" w:rsidRDefault="00664D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9C" w:rsidRDefault="00664D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9C" w:rsidRDefault="00664D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9B" w:rsidRDefault="00734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4pt;height:8.4pt" o:bullet="t">
        <v:imagedata r:id="rId1" o:title="BD10255_"/>
      </v:shape>
    </w:pict>
  </w:numPicBullet>
  <w:abstractNum w:abstractNumId="0">
    <w:nsid w:val="000007E0"/>
    <w:multiLevelType w:val="singleLevel"/>
    <w:tmpl w:val="04090001"/>
    <w:lvl w:ilvl="0">
      <w:start w:val="1"/>
      <w:numFmt w:val="bullet"/>
      <w:lvlText w:val="—"/>
      <w:lvlJc w:val="left"/>
      <w:pPr>
        <w:tabs>
          <w:tab w:val="num" w:pos="360"/>
        </w:tabs>
        <w:ind w:left="360" w:hanging="360"/>
      </w:pPr>
      <w:rPr>
        <w:rFonts w:ascii="Times New Roman" w:hAnsi="Times New Roman" w:hint="default"/>
      </w:rPr>
    </w:lvl>
  </w:abstractNum>
  <w:abstractNum w:abstractNumId="1">
    <w:nsid w:val="00986E37"/>
    <w:multiLevelType w:val="hybridMultilevel"/>
    <w:tmpl w:val="0E4A7F6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nsid w:val="013D243E"/>
    <w:multiLevelType w:val="hybridMultilevel"/>
    <w:tmpl w:val="3D3CA3D8"/>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51150C"/>
    <w:multiLevelType w:val="hybridMultilevel"/>
    <w:tmpl w:val="EB92E55C"/>
    <w:lvl w:ilvl="0" w:tplc="B5FADE6A">
      <w:start w:val="1"/>
      <w:numFmt w:val="decimal"/>
      <w:lvlText w:val="%1)"/>
      <w:lvlJc w:val="left"/>
      <w:pPr>
        <w:ind w:left="1004" w:hanging="360"/>
      </w:pPr>
      <w:rPr>
        <w:i w:val="0"/>
      </w:rPr>
    </w:lvl>
    <w:lvl w:ilvl="1" w:tplc="08090011">
      <w:start w:val="1"/>
      <w:numFmt w:val="decimal"/>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nsid w:val="02B749C3"/>
    <w:multiLevelType w:val="hybridMultilevel"/>
    <w:tmpl w:val="B9F23004"/>
    <w:lvl w:ilvl="0" w:tplc="08090001">
      <w:start w:val="1"/>
      <w:numFmt w:val="bullet"/>
      <w:lvlText w:val=""/>
      <w:lvlJc w:val="left"/>
      <w:pPr>
        <w:ind w:left="6030" w:hanging="360"/>
      </w:pPr>
      <w:rPr>
        <w:rFonts w:ascii="Symbol" w:hAnsi="Symbol" w:hint="default"/>
      </w:rPr>
    </w:lvl>
    <w:lvl w:ilvl="1" w:tplc="08090003">
      <w:start w:val="1"/>
      <w:numFmt w:val="bullet"/>
      <w:lvlText w:val="o"/>
      <w:lvlJc w:val="left"/>
      <w:pPr>
        <w:ind w:left="6750" w:hanging="360"/>
      </w:pPr>
      <w:rPr>
        <w:rFonts w:ascii="Courier New" w:hAnsi="Courier New" w:cs="Courier New" w:hint="default"/>
      </w:rPr>
    </w:lvl>
    <w:lvl w:ilvl="2" w:tplc="08090005">
      <w:start w:val="1"/>
      <w:numFmt w:val="bullet"/>
      <w:lvlText w:val=""/>
      <w:lvlJc w:val="left"/>
      <w:pPr>
        <w:ind w:left="7470" w:hanging="360"/>
      </w:pPr>
      <w:rPr>
        <w:rFonts w:ascii="Wingdings" w:hAnsi="Wingdings" w:hint="default"/>
      </w:rPr>
    </w:lvl>
    <w:lvl w:ilvl="3" w:tplc="08090001" w:tentative="1">
      <w:start w:val="1"/>
      <w:numFmt w:val="bullet"/>
      <w:lvlText w:val=""/>
      <w:lvlJc w:val="left"/>
      <w:pPr>
        <w:ind w:left="8190" w:hanging="360"/>
      </w:pPr>
      <w:rPr>
        <w:rFonts w:ascii="Symbol" w:hAnsi="Symbol" w:hint="default"/>
      </w:rPr>
    </w:lvl>
    <w:lvl w:ilvl="4" w:tplc="08090003" w:tentative="1">
      <w:start w:val="1"/>
      <w:numFmt w:val="bullet"/>
      <w:lvlText w:val="o"/>
      <w:lvlJc w:val="left"/>
      <w:pPr>
        <w:ind w:left="8910" w:hanging="360"/>
      </w:pPr>
      <w:rPr>
        <w:rFonts w:ascii="Courier New" w:hAnsi="Courier New" w:cs="Courier New" w:hint="default"/>
      </w:rPr>
    </w:lvl>
    <w:lvl w:ilvl="5" w:tplc="08090005" w:tentative="1">
      <w:start w:val="1"/>
      <w:numFmt w:val="bullet"/>
      <w:lvlText w:val=""/>
      <w:lvlJc w:val="left"/>
      <w:pPr>
        <w:ind w:left="9630" w:hanging="360"/>
      </w:pPr>
      <w:rPr>
        <w:rFonts w:ascii="Wingdings" w:hAnsi="Wingdings" w:hint="default"/>
      </w:rPr>
    </w:lvl>
    <w:lvl w:ilvl="6" w:tplc="08090001" w:tentative="1">
      <w:start w:val="1"/>
      <w:numFmt w:val="bullet"/>
      <w:lvlText w:val=""/>
      <w:lvlJc w:val="left"/>
      <w:pPr>
        <w:ind w:left="10350" w:hanging="360"/>
      </w:pPr>
      <w:rPr>
        <w:rFonts w:ascii="Symbol" w:hAnsi="Symbol" w:hint="default"/>
      </w:rPr>
    </w:lvl>
    <w:lvl w:ilvl="7" w:tplc="08090003" w:tentative="1">
      <w:start w:val="1"/>
      <w:numFmt w:val="bullet"/>
      <w:lvlText w:val="o"/>
      <w:lvlJc w:val="left"/>
      <w:pPr>
        <w:ind w:left="11070" w:hanging="360"/>
      </w:pPr>
      <w:rPr>
        <w:rFonts w:ascii="Courier New" w:hAnsi="Courier New" w:cs="Courier New" w:hint="default"/>
      </w:rPr>
    </w:lvl>
    <w:lvl w:ilvl="8" w:tplc="08090005" w:tentative="1">
      <w:start w:val="1"/>
      <w:numFmt w:val="bullet"/>
      <w:lvlText w:val=""/>
      <w:lvlJc w:val="left"/>
      <w:pPr>
        <w:ind w:left="11790" w:hanging="360"/>
      </w:pPr>
      <w:rPr>
        <w:rFonts w:ascii="Wingdings" w:hAnsi="Wingdings" w:hint="default"/>
      </w:rPr>
    </w:lvl>
  </w:abstractNum>
  <w:abstractNum w:abstractNumId="5">
    <w:nsid w:val="02D900FD"/>
    <w:multiLevelType w:val="hybridMultilevel"/>
    <w:tmpl w:val="12BC10E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
    <w:nsid w:val="034E7419"/>
    <w:multiLevelType w:val="hybridMultilevel"/>
    <w:tmpl w:val="4B34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A0140A"/>
    <w:multiLevelType w:val="hybridMultilevel"/>
    <w:tmpl w:val="7E4474E0"/>
    <w:lvl w:ilvl="0" w:tplc="08090001">
      <w:start w:val="1"/>
      <w:numFmt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5402739"/>
    <w:multiLevelType w:val="hybridMultilevel"/>
    <w:tmpl w:val="BCFEDE7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516" w:hanging="360"/>
      </w:pPr>
      <w:rPr>
        <w:rFonts w:ascii="Courier New" w:hAnsi="Courier New" w:cs="Courier New" w:hint="default"/>
      </w:rPr>
    </w:lvl>
    <w:lvl w:ilvl="2" w:tplc="4ECA2424">
      <w:start w:val="2"/>
      <w:numFmt w:val="bullet"/>
      <w:lvlText w:val="•"/>
      <w:lvlJc w:val="left"/>
      <w:pPr>
        <w:ind w:left="2446" w:hanging="570"/>
      </w:pPr>
      <w:rPr>
        <w:rFonts w:ascii="Times New Roman" w:eastAsia="Calibri" w:hAnsi="Times New Roman" w:cs="Times New Roman"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9">
    <w:nsid w:val="06424AE9"/>
    <w:multiLevelType w:val="hybridMultilevel"/>
    <w:tmpl w:val="3B5C9A3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075035DC"/>
    <w:multiLevelType w:val="hybridMultilevel"/>
    <w:tmpl w:val="D988E502"/>
    <w:lvl w:ilvl="0" w:tplc="08090001">
      <w:start w:val="1"/>
      <w:numFmt w:val="bullet"/>
      <w:lvlText w:val=""/>
      <w:lvlJc w:val="left"/>
      <w:pPr>
        <w:ind w:left="1557" w:hanging="360"/>
      </w:pPr>
      <w:rPr>
        <w:rFonts w:ascii="Symbol" w:hAnsi="Symbol" w:hint="default"/>
      </w:rPr>
    </w:lvl>
    <w:lvl w:ilvl="1" w:tplc="08090003">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11">
    <w:nsid w:val="07685053"/>
    <w:multiLevelType w:val="hybridMultilevel"/>
    <w:tmpl w:val="69F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802552B"/>
    <w:multiLevelType w:val="hybridMultilevel"/>
    <w:tmpl w:val="CD049374"/>
    <w:styleLink w:val="1111111"/>
    <w:lvl w:ilvl="0" w:tplc="C4B26E2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085C53C8"/>
    <w:multiLevelType w:val="hybridMultilevel"/>
    <w:tmpl w:val="AE9285E4"/>
    <w:lvl w:ilvl="0" w:tplc="0809000D">
      <w:start w:val="1"/>
      <w:numFmt w:val="bullet"/>
      <w:lvlText w:val=""/>
      <w:lvlJc w:val="left"/>
      <w:pPr>
        <w:ind w:left="839" w:hanging="360"/>
      </w:pPr>
      <w:rPr>
        <w:rFonts w:ascii="Wingdings" w:hAnsi="Wingdings"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4">
    <w:nsid w:val="0AA4749F"/>
    <w:multiLevelType w:val="hybridMultilevel"/>
    <w:tmpl w:val="5CAEDD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C26D90"/>
    <w:multiLevelType w:val="hybridMultilevel"/>
    <w:tmpl w:val="E35E4F5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BE92E2D"/>
    <w:multiLevelType w:val="hybridMultilevel"/>
    <w:tmpl w:val="3EB865FE"/>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nsid w:val="0C1236BF"/>
    <w:multiLevelType w:val="hybridMultilevel"/>
    <w:tmpl w:val="3112DED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nsid w:val="0E075F74"/>
    <w:multiLevelType w:val="hybridMultilevel"/>
    <w:tmpl w:val="857A0476"/>
    <w:lvl w:ilvl="0" w:tplc="08090005">
      <w:start w:val="1"/>
      <w:numFmt w:val="bullet"/>
      <w:lvlText w:val=""/>
      <w:lvlJc w:val="left"/>
      <w:pPr>
        <w:ind w:left="1072" w:hanging="360"/>
      </w:pPr>
      <w:rPr>
        <w:rFonts w:ascii="Wingdings" w:hAnsi="Wingdings" w:hint="default"/>
      </w:rPr>
    </w:lvl>
    <w:lvl w:ilvl="1" w:tplc="08090003" w:tentative="1">
      <w:start w:val="1"/>
      <w:numFmt w:val="bullet"/>
      <w:lvlText w:val="o"/>
      <w:lvlJc w:val="left"/>
      <w:pPr>
        <w:ind w:left="1792" w:hanging="360"/>
      </w:pPr>
      <w:rPr>
        <w:rFonts w:ascii="Courier New" w:hAnsi="Courier New" w:cs="Courier New" w:hint="default"/>
      </w:rPr>
    </w:lvl>
    <w:lvl w:ilvl="2" w:tplc="08090005">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9">
    <w:nsid w:val="0E0C26B4"/>
    <w:multiLevelType w:val="hybridMultilevel"/>
    <w:tmpl w:val="1B0276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0A42966"/>
    <w:multiLevelType w:val="hybridMultilevel"/>
    <w:tmpl w:val="AE9E907C"/>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1159306F"/>
    <w:multiLevelType w:val="hybridMultilevel"/>
    <w:tmpl w:val="BA140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1C43823"/>
    <w:multiLevelType w:val="hybridMultilevel"/>
    <w:tmpl w:val="BD4EE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121738BF"/>
    <w:multiLevelType w:val="hybridMultilevel"/>
    <w:tmpl w:val="625E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2E921AF"/>
    <w:multiLevelType w:val="multilevel"/>
    <w:tmpl w:val="D302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041AC8"/>
    <w:multiLevelType w:val="hybridMultilevel"/>
    <w:tmpl w:val="2C589C9C"/>
    <w:lvl w:ilvl="0" w:tplc="AA622638">
      <w:start w:val="1"/>
      <w:numFmt w:val="bullet"/>
      <w:lvlText w:val=""/>
      <w:lvlJc w:val="left"/>
      <w:pPr>
        <w:tabs>
          <w:tab w:val="num" w:pos="720"/>
        </w:tabs>
        <w:ind w:left="720" w:hanging="360"/>
      </w:pPr>
      <w:rPr>
        <w:rFonts w:ascii="Wingdings" w:hAnsi="Wingdings" w:hint="default"/>
      </w:rPr>
    </w:lvl>
    <w:lvl w:ilvl="1" w:tplc="8E2EFD32">
      <w:start w:val="1970"/>
      <w:numFmt w:val="bullet"/>
      <w:lvlText w:val=""/>
      <w:lvlJc w:val="left"/>
      <w:pPr>
        <w:tabs>
          <w:tab w:val="num" w:pos="1440"/>
        </w:tabs>
        <w:ind w:left="1440" w:hanging="360"/>
      </w:pPr>
      <w:rPr>
        <w:rFonts w:ascii="Wingdings" w:hAnsi="Wingdings" w:hint="default"/>
      </w:rPr>
    </w:lvl>
    <w:lvl w:ilvl="2" w:tplc="33CA491A" w:tentative="1">
      <w:start w:val="1"/>
      <w:numFmt w:val="bullet"/>
      <w:lvlText w:val=""/>
      <w:lvlJc w:val="left"/>
      <w:pPr>
        <w:tabs>
          <w:tab w:val="num" w:pos="2160"/>
        </w:tabs>
        <w:ind w:left="2160" w:hanging="360"/>
      </w:pPr>
      <w:rPr>
        <w:rFonts w:ascii="Wingdings" w:hAnsi="Wingdings" w:hint="default"/>
      </w:rPr>
    </w:lvl>
    <w:lvl w:ilvl="3" w:tplc="D2361BF8" w:tentative="1">
      <w:start w:val="1"/>
      <w:numFmt w:val="bullet"/>
      <w:lvlText w:val=""/>
      <w:lvlJc w:val="left"/>
      <w:pPr>
        <w:tabs>
          <w:tab w:val="num" w:pos="2880"/>
        </w:tabs>
        <w:ind w:left="2880" w:hanging="360"/>
      </w:pPr>
      <w:rPr>
        <w:rFonts w:ascii="Wingdings" w:hAnsi="Wingdings" w:hint="default"/>
      </w:rPr>
    </w:lvl>
    <w:lvl w:ilvl="4" w:tplc="5E08E808" w:tentative="1">
      <w:start w:val="1"/>
      <w:numFmt w:val="bullet"/>
      <w:lvlText w:val=""/>
      <w:lvlJc w:val="left"/>
      <w:pPr>
        <w:tabs>
          <w:tab w:val="num" w:pos="3600"/>
        </w:tabs>
        <w:ind w:left="3600" w:hanging="360"/>
      </w:pPr>
      <w:rPr>
        <w:rFonts w:ascii="Wingdings" w:hAnsi="Wingdings" w:hint="default"/>
      </w:rPr>
    </w:lvl>
    <w:lvl w:ilvl="5" w:tplc="08B6AB0A" w:tentative="1">
      <w:start w:val="1"/>
      <w:numFmt w:val="bullet"/>
      <w:lvlText w:val=""/>
      <w:lvlJc w:val="left"/>
      <w:pPr>
        <w:tabs>
          <w:tab w:val="num" w:pos="4320"/>
        </w:tabs>
        <w:ind w:left="4320" w:hanging="360"/>
      </w:pPr>
      <w:rPr>
        <w:rFonts w:ascii="Wingdings" w:hAnsi="Wingdings" w:hint="default"/>
      </w:rPr>
    </w:lvl>
    <w:lvl w:ilvl="6" w:tplc="511CF54A" w:tentative="1">
      <w:start w:val="1"/>
      <w:numFmt w:val="bullet"/>
      <w:lvlText w:val=""/>
      <w:lvlJc w:val="left"/>
      <w:pPr>
        <w:tabs>
          <w:tab w:val="num" w:pos="5040"/>
        </w:tabs>
        <w:ind w:left="5040" w:hanging="360"/>
      </w:pPr>
      <w:rPr>
        <w:rFonts w:ascii="Wingdings" w:hAnsi="Wingdings" w:hint="default"/>
      </w:rPr>
    </w:lvl>
    <w:lvl w:ilvl="7" w:tplc="BB1499BA" w:tentative="1">
      <w:start w:val="1"/>
      <w:numFmt w:val="bullet"/>
      <w:lvlText w:val=""/>
      <w:lvlJc w:val="left"/>
      <w:pPr>
        <w:tabs>
          <w:tab w:val="num" w:pos="5760"/>
        </w:tabs>
        <w:ind w:left="5760" w:hanging="360"/>
      </w:pPr>
      <w:rPr>
        <w:rFonts w:ascii="Wingdings" w:hAnsi="Wingdings" w:hint="default"/>
      </w:rPr>
    </w:lvl>
    <w:lvl w:ilvl="8" w:tplc="0E566684" w:tentative="1">
      <w:start w:val="1"/>
      <w:numFmt w:val="bullet"/>
      <w:lvlText w:val=""/>
      <w:lvlJc w:val="left"/>
      <w:pPr>
        <w:tabs>
          <w:tab w:val="num" w:pos="6480"/>
        </w:tabs>
        <w:ind w:left="6480" w:hanging="360"/>
      </w:pPr>
      <w:rPr>
        <w:rFonts w:ascii="Wingdings" w:hAnsi="Wingdings" w:hint="default"/>
      </w:rPr>
    </w:lvl>
  </w:abstractNum>
  <w:abstractNum w:abstractNumId="26">
    <w:nsid w:val="14357B00"/>
    <w:multiLevelType w:val="hybridMultilevel"/>
    <w:tmpl w:val="19C28BC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158549EE"/>
    <w:multiLevelType w:val="hybridMultilevel"/>
    <w:tmpl w:val="EDF0BEC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nsid w:val="18801D27"/>
    <w:multiLevelType w:val="hybridMultilevel"/>
    <w:tmpl w:val="36502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995D2B"/>
    <w:multiLevelType w:val="hybridMultilevel"/>
    <w:tmpl w:val="E694527E"/>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nsid w:val="18EC58EE"/>
    <w:multiLevelType w:val="hybridMultilevel"/>
    <w:tmpl w:val="B972C498"/>
    <w:lvl w:ilvl="0" w:tplc="BCE093DA">
      <w:start w:val="1"/>
      <w:numFmt w:val="lowerLetter"/>
      <w:lvlRestart w:val="0"/>
      <w:pStyle w:val="Heading5"/>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9811797"/>
    <w:multiLevelType w:val="hybridMultilevel"/>
    <w:tmpl w:val="7B62C55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9A20C56"/>
    <w:multiLevelType w:val="hybridMultilevel"/>
    <w:tmpl w:val="FFB46088"/>
    <w:lvl w:ilvl="0" w:tplc="5D422F80">
      <w:start w:val="1"/>
      <w:numFmt w:val="lowerRoman"/>
      <w:lvlText w:val="%1)"/>
      <w:lvlJc w:val="left"/>
      <w:pPr>
        <w:ind w:left="3621" w:hanging="360"/>
      </w:pPr>
      <w:rPr>
        <w:rFonts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33">
    <w:nsid w:val="19FB65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1BCB796B"/>
    <w:multiLevelType w:val="hybridMultilevel"/>
    <w:tmpl w:val="A8F2F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BE1480C"/>
    <w:multiLevelType w:val="hybridMultilevel"/>
    <w:tmpl w:val="8F62469A"/>
    <w:lvl w:ilvl="0" w:tplc="08090003">
      <w:start w:val="1"/>
      <w:numFmt w:val="bullet"/>
      <w:lvlText w:val="o"/>
      <w:lvlJc w:val="left"/>
      <w:pPr>
        <w:ind w:left="3621" w:hanging="360"/>
      </w:pPr>
      <w:rPr>
        <w:rFonts w:ascii="Courier New" w:hAnsi="Courier New" w:cs="Courier New"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36">
    <w:nsid w:val="1C1B6998"/>
    <w:multiLevelType w:val="hybridMultilevel"/>
    <w:tmpl w:val="5ADAFB1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7">
    <w:nsid w:val="1EC70066"/>
    <w:multiLevelType w:val="hybridMultilevel"/>
    <w:tmpl w:val="0D78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F912E89"/>
    <w:multiLevelType w:val="hybridMultilevel"/>
    <w:tmpl w:val="DED64352"/>
    <w:lvl w:ilvl="0" w:tplc="08090005">
      <w:start w:val="1"/>
      <w:numFmt w:val="bullet"/>
      <w:lvlText w:val=""/>
      <w:lvlJc w:val="left"/>
      <w:pPr>
        <w:ind w:left="-374" w:hanging="360"/>
      </w:pPr>
      <w:rPr>
        <w:rFonts w:ascii="Wingdings" w:hAnsi="Wingdings" w:hint="default"/>
      </w:rPr>
    </w:lvl>
    <w:lvl w:ilvl="1" w:tplc="08090003" w:tentative="1">
      <w:start w:val="1"/>
      <w:numFmt w:val="bullet"/>
      <w:lvlText w:val="o"/>
      <w:lvlJc w:val="left"/>
      <w:pPr>
        <w:ind w:left="346" w:hanging="360"/>
      </w:pPr>
      <w:rPr>
        <w:rFonts w:ascii="Courier New" w:hAnsi="Courier New" w:cs="Courier New" w:hint="default"/>
      </w:rPr>
    </w:lvl>
    <w:lvl w:ilvl="2" w:tplc="08090005">
      <w:start w:val="1"/>
      <w:numFmt w:val="bullet"/>
      <w:lvlText w:val=""/>
      <w:lvlJc w:val="left"/>
      <w:pPr>
        <w:ind w:left="1066" w:hanging="360"/>
      </w:pPr>
      <w:rPr>
        <w:rFonts w:ascii="Wingdings" w:hAnsi="Wingdings" w:hint="default"/>
      </w:rPr>
    </w:lvl>
    <w:lvl w:ilvl="3" w:tplc="08090001" w:tentative="1">
      <w:start w:val="1"/>
      <w:numFmt w:val="bullet"/>
      <w:lvlText w:val=""/>
      <w:lvlJc w:val="left"/>
      <w:pPr>
        <w:ind w:left="1786" w:hanging="360"/>
      </w:pPr>
      <w:rPr>
        <w:rFonts w:ascii="Symbol" w:hAnsi="Symbol" w:hint="default"/>
      </w:rPr>
    </w:lvl>
    <w:lvl w:ilvl="4" w:tplc="08090003" w:tentative="1">
      <w:start w:val="1"/>
      <w:numFmt w:val="bullet"/>
      <w:lvlText w:val="o"/>
      <w:lvlJc w:val="left"/>
      <w:pPr>
        <w:ind w:left="2506" w:hanging="360"/>
      </w:pPr>
      <w:rPr>
        <w:rFonts w:ascii="Courier New" w:hAnsi="Courier New" w:cs="Courier New" w:hint="default"/>
      </w:rPr>
    </w:lvl>
    <w:lvl w:ilvl="5" w:tplc="08090005" w:tentative="1">
      <w:start w:val="1"/>
      <w:numFmt w:val="bullet"/>
      <w:lvlText w:val=""/>
      <w:lvlJc w:val="left"/>
      <w:pPr>
        <w:ind w:left="3226" w:hanging="360"/>
      </w:pPr>
      <w:rPr>
        <w:rFonts w:ascii="Wingdings" w:hAnsi="Wingdings" w:hint="default"/>
      </w:rPr>
    </w:lvl>
    <w:lvl w:ilvl="6" w:tplc="08090001" w:tentative="1">
      <w:start w:val="1"/>
      <w:numFmt w:val="bullet"/>
      <w:lvlText w:val=""/>
      <w:lvlJc w:val="left"/>
      <w:pPr>
        <w:ind w:left="3946" w:hanging="360"/>
      </w:pPr>
      <w:rPr>
        <w:rFonts w:ascii="Symbol" w:hAnsi="Symbol" w:hint="default"/>
      </w:rPr>
    </w:lvl>
    <w:lvl w:ilvl="7" w:tplc="08090003" w:tentative="1">
      <w:start w:val="1"/>
      <w:numFmt w:val="bullet"/>
      <w:lvlText w:val="o"/>
      <w:lvlJc w:val="left"/>
      <w:pPr>
        <w:ind w:left="4666" w:hanging="360"/>
      </w:pPr>
      <w:rPr>
        <w:rFonts w:ascii="Courier New" w:hAnsi="Courier New" w:cs="Courier New" w:hint="default"/>
      </w:rPr>
    </w:lvl>
    <w:lvl w:ilvl="8" w:tplc="08090005" w:tentative="1">
      <w:start w:val="1"/>
      <w:numFmt w:val="bullet"/>
      <w:lvlText w:val=""/>
      <w:lvlJc w:val="left"/>
      <w:pPr>
        <w:ind w:left="5386" w:hanging="360"/>
      </w:pPr>
      <w:rPr>
        <w:rFonts w:ascii="Wingdings" w:hAnsi="Wingdings" w:hint="default"/>
      </w:rPr>
    </w:lvl>
  </w:abstractNum>
  <w:abstractNum w:abstractNumId="39">
    <w:nsid w:val="214E52C9"/>
    <w:multiLevelType w:val="hybridMultilevel"/>
    <w:tmpl w:val="A5C2A20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nsid w:val="21ED3F61"/>
    <w:multiLevelType w:val="hybridMultilevel"/>
    <w:tmpl w:val="5FDE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24F61AC"/>
    <w:multiLevelType w:val="hybridMultilevel"/>
    <w:tmpl w:val="86EEC5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22CC12F2"/>
    <w:multiLevelType w:val="hybridMultilevel"/>
    <w:tmpl w:val="237A57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3">
    <w:nsid w:val="22F11FC6"/>
    <w:multiLevelType w:val="multilevel"/>
    <w:tmpl w:val="B38ECDF0"/>
    <w:styleLink w:val="1111112"/>
    <w:lvl w:ilvl="0">
      <w:start w:val="1"/>
      <w:numFmt w:val="decimal"/>
      <w:lvlText w:val="%1."/>
      <w:lvlJc w:val="left"/>
      <w:pPr>
        <w:tabs>
          <w:tab w:val="num" w:pos="0"/>
        </w:tabs>
        <w:ind w:left="0" w:firstLine="0"/>
      </w:pPr>
      <w:rPr>
        <w:rFonts w:ascii="Times New Roman" w:hAnsi="Times New Roman"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24C67351"/>
    <w:multiLevelType w:val="hybridMultilevel"/>
    <w:tmpl w:val="89A4FB92"/>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6FD795C"/>
    <w:multiLevelType w:val="hybridMultilevel"/>
    <w:tmpl w:val="49A841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nsid w:val="27646D12"/>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93D47B2"/>
    <w:multiLevelType w:val="hybridMultilevel"/>
    <w:tmpl w:val="63BEF456"/>
    <w:lvl w:ilvl="0" w:tplc="04090001">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29706930"/>
    <w:multiLevelType w:val="hybridMultilevel"/>
    <w:tmpl w:val="B638215C"/>
    <w:lvl w:ilvl="0" w:tplc="FA10C2C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97B204D"/>
    <w:multiLevelType w:val="hybridMultilevel"/>
    <w:tmpl w:val="8BDE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C503D7D"/>
    <w:multiLevelType w:val="multilevel"/>
    <w:tmpl w:val="88442F6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574" w:hanging="432"/>
      </w:pPr>
      <w:rPr>
        <w:rFonts w:ascii="Times New Roman" w:hAnsi="Times New Roman" w:cs="Times New Roman" w:hint="default"/>
        <w:b/>
        <w:i w:val="0"/>
        <w:color w:val="auto"/>
      </w:rPr>
    </w:lvl>
    <w:lvl w:ilvl="2">
      <w:start w:val="1"/>
      <w:numFmt w:val="decimal"/>
      <w:pStyle w:val="Heading4bis"/>
      <w:lvlText w:val="%1.%2.%3."/>
      <w:lvlJc w:val="left"/>
      <w:pPr>
        <w:ind w:left="1224" w:hanging="504"/>
      </w:pPr>
      <w:rPr>
        <w:rFonts w:hint="default"/>
      </w:rPr>
    </w:lvl>
    <w:lvl w:ilvl="3">
      <w:start w:val="1"/>
      <w:numFmt w:val="decimal"/>
      <w:pStyle w:val="Heading5bis"/>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C9B5F79"/>
    <w:multiLevelType w:val="hybridMultilevel"/>
    <w:tmpl w:val="FDE4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DCE60E3"/>
    <w:multiLevelType w:val="hybridMultilevel"/>
    <w:tmpl w:val="54D6EF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2E193909"/>
    <w:multiLevelType w:val="hybridMultilevel"/>
    <w:tmpl w:val="7B10AF2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82A8D38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E1E03CE"/>
    <w:multiLevelType w:val="hybridMultilevel"/>
    <w:tmpl w:val="77380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E8311ED"/>
    <w:multiLevelType w:val="hybridMultilevel"/>
    <w:tmpl w:val="CFCA0D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2FE942BC"/>
    <w:multiLevelType w:val="multilevel"/>
    <w:tmpl w:val="B3C04D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315668BC"/>
    <w:multiLevelType w:val="hybridMultilevel"/>
    <w:tmpl w:val="9EEA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2603B7F"/>
    <w:multiLevelType w:val="hybridMultilevel"/>
    <w:tmpl w:val="63B8F5BE"/>
    <w:lvl w:ilvl="0" w:tplc="E398ED6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2A523DA"/>
    <w:multiLevelType w:val="hybridMultilevel"/>
    <w:tmpl w:val="61AC72F6"/>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0">
    <w:nsid w:val="335B5A00"/>
    <w:multiLevelType w:val="hybridMultilevel"/>
    <w:tmpl w:val="EFB22D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1">
    <w:nsid w:val="336B54D7"/>
    <w:multiLevelType w:val="hybridMultilevel"/>
    <w:tmpl w:val="F1B4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3F172D6"/>
    <w:multiLevelType w:val="hybridMultilevel"/>
    <w:tmpl w:val="23FC0310"/>
    <w:lvl w:ilvl="0" w:tplc="08090011">
      <w:start w:val="1"/>
      <w:numFmt w:val="decimal"/>
      <w:lvlText w:val="%1)"/>
      <w:lvlJc w:val="left"/>
      <w:pPr>
        <w:ind w:left="841" w:hanging="360"/>
      </w:pPr>
    </w:lvl>
    <w:lvl w:ilvl="1" w:tplc="08090011">
      <w:start w:val="1"/>
      <w:numFmt w:val="decimal"/>
      <w:lvlText w:val="%2)"/>
      <w:lvlJc w:val="left"/>
      <w:pPr>
        <w:ind w:left="1561" w:hanging="360"/>
      </w:pPr>
    </w:lvl>
    <w:lvl w:ilvl="2" w:tplc="0809001B" w:tentative="1">
      <w:start w:val="1"/>
      <w:numFmt w:val="lowerRoman"/>
      <w:lvlText w:val="%3."/>
      <w:lvlJc w:val="right"/>
      <w:pPr>
        <w:ind w:left="2281" w:hanging="180"/>
      </w:pPr>
    </w:lvl>
    <w:lvl w:ilvl="3" w:tplc="0809000F" w:tentative="1">
      <w:start w:val="1"/>
      <w:numFmt w:val="decimal"/>
      <w:lvlText w:val="%4."/>
      <w:lvlJc w:val="left"/>
      <w:pPr>
        <w:ind w:left="3001" w:hanging="360"/>
      </w:pPr>
    </w:lvl>
    <w:lvl w:ilvl="4" w:tplc="08090019" w:tentative="1">
      <w:start w:val="1"/>
      <w:numFmt w:val="lowerLetter"/>
      <w:lvlText w:val="%5."/>
      <w:lvlJc w:val="left"/>
      <w:pPr>
        <w:ind w:left="3721" w:hanging="360"/>
      </w:pPr>
    </w:lvl>
    <w:lvl w:ilvl="5" w:tplc="0809001B" w:tentative="1">
      <w:start w:val="1"/>
      <w:numFmt w:val="lowerRoman"/>
      <w:lvlText w:val="%6."/>
      <w:lvlJc w:val="right"/>
      <w:pPr>
        <w:ind w:left="4441" w:hanging="180"/>
      </w:pPr>
    </w:lvl>
    <w:lvl w:ilvl="6" w:tplc="0809000F" w:tentative="1">
      <w:start w:val="1"/>
      <w:numFmt w:val="decimal"/>
      <w:lvlText w:val="%7."/>
      <w:lvlJc w:val="left"/>
      <w:pPr>
        <w:ind w:left="5161" w:hanging="360"/>
      </w:pPr>
    </w:lvl>
    <w:lvl w:ilvl="7" w:tplc="08090019" w:tentative="1">
      <w:start w:val="1"/>
      <w:numFmt w:val="lowerLetter"/>
      <w:lvlText w:val="%8."/>
      <w:lvlJc w:val="left"/>
      <w:pPr>
        <w:ind w:left="5881" w:hanging="360"/>
      </w:pPr>
    </w:lvl>
    <w:lvl w:ilvl="8" w:tplc="0809001B" w:tentative="1">
      <w:start w:val="1"/>
      <w:numFmt w:val="lowerRoman"/>
      <w:lvlText w:val="%9."/>
      <w:lvlJc w:val="right"/>
      <w:pPr>
        <w:ind w:left="6601" w:hanging="180"/>
      </w:pPr>
    </w:lvl>
  </w:abstractNum>
  <w:abstractNum w:abstractNumId="63">
    <w:nsid w:val="34525B9F"/>
    <w:multiLevelType w:val="hybridMultilevel"/>
    <w:tmpl w:val="3AE4B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34EC08E3"/>
    <w:multiLevelType w:val="hybridMultilevel"/>
    <w:tmpl w:val="1AC2C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35D55BC7"/>
    <w:multiLevelType w:val="hybridMultilevel"/>
    <w:tmpl w:val="4FB4FC98"/>
    <w:lvl w:ilvl="0" w:tplc="08090003">
      <w:start w:val="1"/>
      <w:numFmt w:val="bullet"/>
      <w:lvlText w:val="o"/>
      <w:lvlJc w:val="left"/>
      <w:pPr>
        <w:ind w:left="2722" w:hanging="360"/>
      </w:pPr>
      <w:rPr>
        <w:rFonts w:ascii="Courier New" w:hAnsi="Courier New" w:cs="Courier New" w:hint="default"/>
        <w:color w:val="auto"/>
      </w:rPr>
    </w:lvl>
    <w:lvl w:ilvl="1" w:tplc="08090003">
      <w:start w:val="1"/>
      <w:numFmt w:val="bullet"/>
      <w:lvlText w:val="o"/>
      <w:lvlJc w:val="left"/>
      <w:pPr>
        <w:ind w:left="3442" w:hanging="360"/>
      </w:pPr>
      <w:rPr>
        <w:rFonts w:ascii="Courier New" w:hAnsi="Courier New" w:cs="Courier New" w:hint="default"/>
      </w:rPr>
    </w:lvl>
    <w:lvl w:ilvl="2" w:tplc="08090005" w:tentative="1">
      <w:start w:val="1"/>
      <w:numFmt w:val="bullet"/>
      <w:lvlText w:val=""/>
      <w:lvlJc w:val="left"/>
      <w:pPr>
        <w:ind w:left="4162" w:hanging="360"/>
      </w:pPr>
      <w:rPr>
        <w:rFonts w:ascii="Wingdings" w:hAnsi="Wingdings" w:hint="default"/>
      </w:rPr>
    </w:lvl>
    <w:lvl w:ilvl="3" w:tplc="08090001" w:tentative="1">
      <w:start w:val="1"/>
      <w:numFmt w:val="bullet"/>
      <w:lvlText w:val=""/>
      <w:lvlJc w:val="left"/>
      <w:pPr>
        <w:ind w:left="4882" w:hanging="360"/>
      </w:pPr>
      <w:rPr>
        <w:rFonts w:ascii="Symbol" w:hAnsi="Symbol" w:hint="default"/>
      </w:rPr>
    </w:lvl>
    <w:lvl w:ilvl="4" w:tplc="08090003" w:tentative="1">
      <w:start w:val="1"/>
      <w:numFmt w:val="bullet"/>
      <w:lvlText w:val="o"/>
      <w:lvlJc w:val="left"/>
      <w:pPr>
        <w:ind w:left="5602" w:hanging="360"/>
      </w:pPr>
      <w:rPr>
        <w:rFonts w:ascii="Courier New" w:hAnsi="Courier New" w:cs="Courier New" w:hint="default"/>
      </w:rPr>
    </w:lvl>
    <w:lvl w:ilvl="5" w:tplc="08090005" w:tentative="1">
      <w:start w:val="1"/>
      <w:numFmt w:val="bullet"/>
      <w:lvlText w:val=""/>
      <w:lvlJc w:val="left"/>
      <w:pPr>
        <w:ind w:left="6322" w:hanging="360"/>
      </w:pPr>
      <w:rPr>
        <w:rFonts w:ascii="Wingdings" w:hAnsi="Wingdings" w:hint="default"/>
      </w:rPr>
    </w:lvl>
    <w:lvl w:ilvl="6" w:tplc="08090001" w:tentative="1">
      <w:start w:val="1"/>
      <w:numFmt w:val="bullet"/>
      <w:lvlText w:val=""/>
      <w:lvlJc w:val="left"/>
      <w:pPr>
        <w:ind w:left="7042" w:hanging="360"/>
      </w:pPr>
      <w:rPr>
        <w:rFonts w:ascii="Symbol" w:hAnsi="Symbol" w:hint="default"/>
      </w:rPr>
    </w:lvl>
    <w:lvl w:ilvl="7" w:tplc="08090003" w:tentative="1">
      <w:start w:val="1"/>
      <w:numFmt w:val="bullet"/>
      <w:lvlText w:val="o"/>
      <w:lvlJc w:val="left"/>
      <w:pPr>
        <w:ind w:left="7762" w:hanging="360"/>
      </w:pPr>
      <w:rPr>
        <w:rFonts w:ascii="Courier New" w:hAnsi="Courier New" w:cs="Courier New" w:hint="default"/>
      </w:rPr>
    </w:lvl>
    <w:lvl w:ilvl="8" w:tplc="08090005" w:tentative="1">
      <w:start w:val="1"/>
      <w:numFmt w:val="bullet"/>
      <w:lvlText w:val=""/>
      <w:lvlJc w:val="left"/>
      <w:pPr>
        <w:ind w:left="8482" w:hanging="360"/>
      </w:pPr>
      <w:rPr>
        <w:rFonts w:ascii="Wingdings" w:hAnsi="Wingdings" w:hint="default"/>
      </w:rPr>
    </w:lvl>
  </w:abstractNum>
  <w:abstractNum w:abstractNumId="66">
    <w:nsid w:val="365F294C"/>
    <w:multiLevelType w:val="hybridMultilevel"/>
    <w:tmpl w:val="2214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69E0E3F"/>
    <w:multiLevelType w:val="hybridMultilevel"/>
    <w:tmpl w:val="5FBE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6AB6A6A"/>
    <w:multiLevelType w:val="hybridMultilevel"/>
    <w:tmpl w:val="34DC5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7172572"/>
    <w:multiLevelType w:val="hybridMultilevel"/>
    <w:tmpl w:val="7E3ADB8E"/>
    <w:lvl w:ilvl="0" w:tplc="08090003">
      <w:start w:val="1"/>
      <w:numFmt w:val="bullet"/>
      <w:lvlText w:val="o"/>
      <w:lvlJc w:val="left"/>
      <w:pPr>
        <w:ind w:left="1637"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0">
    <w:nsid w:val="3AB86171"/>
    <w:multiLevelType w:val="hybridMultilevel"/>
    <w:tmpl w:val="D96C963C"/>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C095678"/>
    <w:multiLevelType w:val="hybridMultilevel"/>
    <w:tmpl w:val="06346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CF00E18"/>
    <w:multiLevelType w:val="singleLevel"/>
    <w:tmpl w:val="4E1A982C"/>
    <w:lvl w:ilvl="0">
      <w:start w:val="1"/>
      <w:numFmt w:val="bullet"/>
      <w:pStyle w:val="ListBullet"/>
      <w:lvlText w:val=""/>
      <w:lvlJc w:val="left"/>
      <w:pPr>
        <w:tabs>
          <w:tab w:val="num" w:pos="643"/>
        </w:tabs>
        <w:ind w:left="643" w:hanging="283"/>
      </w:pPr>
      <w:rPr>
        <w:rFonts w:ascii="Symbol" w:hAnsi="Symbol"/>
      </w:rPr>
    </w:lvl>
  </w:abstractNum>
  <w:abstractNum w:abstractNumId="73">
    <w:nsid w:val="3D9E1BA9"/>
    <w:multiLevelType w:val="hybridMultilevel"/>
    <w:tmpl w:val="0A8298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4">
    <w:nsid w:val="3DE07835"/>
    <w:multiLevelType w:val="hybridMultilevel"/>
    <w:tmpl w:val="A30A3E8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nsid w:val="4014069A"/>
    <w:multiLevelType w:val="hybridMultilevel"/>
    <w:tmpl w:val="F39E9A50"/>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405C4F05"/>
    <w:multiLevelType w:val="hybridMultilevel"/>
    <w:tmpl w:val="069CD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40E30E6C"/>
    <w:multiLevelType w:val="hybridMultilevel"/>
    <w:tmpl w:val="DA326F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8">
    <w:nsid w:val="41936929"/>
    <w:multiLevelType w:val="hybridMultilevel"/>
    <w:tmpl w:val="50205FA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nsid w:val="423A70C1"/>
    <w:multiLevelType w:val="hybridMultilevel"/>
    <w:tmpl w:val="2C2AB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2F72E08"/>
    <w:multiLevelType w:val="hybridMultilevel"/>
    <w:tmpl w:val="5674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30C5B35"/>
    <w:multiLevelType w:val="hybridMultilevel"/>
    <w:tmpl w:val="9308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5093BAF"/>
    <w:multiLevelType w:val="hybridMultilevel"/>
    <w:tmpl w:val="BA46C51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83">
    <w:nsid w:val="466A0520"/>
    <w:multiLevelType w:val="hybridMultilevel"/>
    <w:tmpl w:val="1206AE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6BD7986"/>
    <w:multiLevelType w:val="hybridMultilevel"/>
    <w:tmpl w:val="52982B42"/>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7740253"/>
    <w:multiLevelType w:val="hybridMultilevel"/>
    <w:tmpl w:val="C61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77D58F8"/>
    <w:multiLevelType w:val="hybridMultilevel"/>
    <w:tmpl w:val="BCD6F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47B35812"/>
    <w:multiLevelType w:val="hybridMultilevel"/>
    <w:tmpl w:val="F77E298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8">
    <w:nsid w:val="48145C7A"/>
    <w:multiLevelType w:val="hybridMultilevel"/>
    <w:tmpl w:val="DF6E3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485D5638"/>
    <w:multiLevelType w:val="hybridMultilevel"/>
    <w:tmpl w:val="C908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8F22763"/>
    <w:multiLevelType w:val="hybridMultilevel"/>
    <w:tmpl w:val="C91A7D6A"/>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497F429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nsid w:val="49806D91"/>
    <w:multiLevelType w:val="hybridMultilevel"/>
    <w:tmpl w:val="F5BE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9B901D4"/>
    <w:multiLevelType w:val="hybridMultilevel"/>
    <w:tmpl w:val="15920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A9D39E9"/>
    <w:multiLevelType w:val="hybridMultilevel"/>
    <w:tmpl w:val="B7885048"/>
    <w:lvl w:ilvl="0" w:tplc="08090003">
      <w:start w:val="1"/>
      <w:numFmt w:val="bullet"/>
      <w:lvlText w:val="o"/>
      <w:lvlJc w:val="left"/>
      <w:pPr>
        <w:ind w:left="644" w:hanging="360"/>
      </w:pPr>
      <w:rPr>
        <w:rFonts w:ascii="Courier New" w:hAnsi="Courier New" w:cs="Courier New"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5">
    <w:nsid w:val="4AA02BAC"/>
    <w:multiLevelType w:val="hybridMultilevel"/>
    <w:tmpl w:val="4D681A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nsid w:val="4AA567D0"/>
    <w:multiLevelType w:val="hybridMultilevel"/>
    <w:tmpl w:val="DD14F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DAC166D"/>
    <w:multiLevelType w:val="hybridMultilevel"/>
    <w:tmpl w:val="257E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4E817AE7"/>
    <w:multiLevelType w:val="hybridMultilevel"/>
    <w:tmpl w:val="6956A0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4EEF7C26"/>
    <w:multiLevelType w:val="hybridMultilevel"/>
    <w:tmpl w:val="126E4D08"/>
    <w:lvl w:ilvl="0" w:tplc="A36E351E">
      <w:start w:val="1"/>
      <w:numFmt w:val="bullet"/>
      <w:pStyle w:val="KeyPoints"/>
      <w:lvlText w:val=""/>
      <w:lvlJc w:val="left"/>
      <w:pPr>
        <w:ind w:left="1211" w:hanging="360"/>
      </w:pPr>
      <w:rPr>
        <w:rFonts w:ascii="Symbol" w:hAnsi="Symbol" w:hint="default"/>
      </w:rPr>
    </w:lvl>
    <w:lvl w:ilvl="1" w:tplc="08090001">
      <w:start w:val="1"/>
      <w:numFmt w:val="bullet"/>
      <w:lvlText w:val=""/>
      <w:lvlJc w:val="left"/>
      <w:pPr>
        <w:ind w:left="928" w:hanging="360"/>
      </w:pPr>
      <w:rPr>
        <w:rFonts w:ascii="Symbol" w:hAnsi="Symbol" w:hint="default"/>
      </w:rPr>
    </w:lvl>
    <w:lvl w:ilvl="2" w:tplc="4ECA2424">
      <w:start w:val="2"/>
      <w:numFmt w:val="bullet"/>
      <w:lvlText w:val="•"/>
      <w:lvlJc w:val="left"/>
      <w:pPr>
        <w:ind w:left="2010" w:hanging="570"/>
      </w:pPr>
      <w:rPr>
        <w:rFonts w:ascii="Times New Roman" w:eastAsia="Calibri" w:hAnsi="Times New Roman"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4F912953"/>
    <w:multiLevelType w:val="hybridMultilevel"/>
    <w:tmpl w:val="16FE534E"/>
    <w:lvl w:ilvl="0" w:tplc="08090003">
      <w:start w:val="1"/>
      <w:numFmt w:val="bullet"/>
      <w:lvlText w:val="o"/>
      <w:lvlJc w:val="left"/>
      <w:pPr>
        <w:ind w:left="1083"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01">
    <w:nsid w:val="4F954BCB"/>
    <w:multiLevelType w:val="hybridMultilevel"/>
    <w:tmpl w:val="BB60F2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01B6F94"/>
    <w:multiLevelType w:val="hybridMultilevel"/>
    <w:tmpl w:val="D5887F2E"/>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3">
    <w:nsid w:val="506321C2"/>
    <w:multiLevelType w:val="hybridMultilevel"/>
    <w:tmpl w:val="884EA7FA"/>
    <w:lvl w:ilvl="0" w:tplc="08090001">
      <w:start w:val="1"/>
      <w:numFmt w:val="bullet"/>
      <w:lvlText w:val=""/>
      <w:lvlJc w:val="left"/>
      <w:pPr>
        <w:ind w:left="1440" w:hanging="360"/>
      </w:pPr>
      <w:rPr>
        <w:rFonts w:ascii="Symbol" w:hAnsi="Symbol" w:hint="default"/>
        <w:color w:val="auto"/>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nsid w:val="508F413F"/>
    <w:multiLevelType w:val="hybridMultilevel"/>
    <w:tmpl w:val="889A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13F3576"/>
    <w:multiLevelType w:val="hybridMultilevel"/>
    <w:tmpl w:val="B56C61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nsid w:val="517D6D45"/>
    <w:multiLevelType w:val="hybridMultilevel"/>
    <w:tmpl w:val="F412FD14"/>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7">
    <w:nsid w:val="5438319D"/>
    <w:multiLevelType w:val="hybridMultilevel"/>
    <w:tmpl w:val="2ACC46A0"/>
    <w:lvl w:ilvl="0" w:tplc="0809000D">
      <w:start w:val="1"/>
      <w:numFmt w:val="bullet"/>
      <w:lvlText w:val=""/>
      <w:lvlJc w:val="left"/>
      <w:pPr>
        <w:ind w:left="1017" w:hanging="360"/>
      </w:pPr>
      <w:rPr>
        <w:rFonts w:ascii="Wingdings" w:hAnsi="Wingdings" w:hint="default"/>
      </w:rPr>
    </w:lvl>
    <w:lvl w:ilvl="1" w:tplc="08090003">
      <w:start w:val="1"/>
      <w:numFmt w:val="bullet"/>
      <w:lvlText w:val="o"/>
      <w:lvlJc w:val="left"/>
      <w:pPr>
        <w:ind w:left="1674" w:hanging="360"/>
      </w:pPr>
      <w:rPr>
        <w:rFonts w:ascii="Courier New" w:hAnsi="Courier New" w:cs="Courier New" w:hint="default"/>
      </w:rPr>
    </w:lvl>
    <w:lvl w:ilvl="2" w:tplc="08090005">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108">
    <w:nsid w:val="54545CA9"/>
    <w:multiLevelType w:val="hybridMultilevel"/>
    <w:tmpl w:val="825C97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56FC4483"/>
    <w:multiLevelType w:val="hybridMultilevel"/>
    <w:tmpl w:val="3D16EA92"/>
    <w:lvl w:ilvl="0" w:tplc="130AAA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5D422F80">
      <w:start w:val="1"/>
      <w:numFmt w:val="lowerRoman"/>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57117888"/>
    <w:multiLevelType w:val="hybridMultilevel"/>
    <w:tmpl w:val="8818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83077A0"/>
    <w:multiLevelType w:val="hybridMultilevel"/>
    <w:tmpl w:val="24924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17" w:hanging="360"/>
      </w:pPr>
      <w:rPr>
        <w:rFonts w:ascii="Courier New" w:hAnsi="Courier New" w:cs="Courier New" w:hint="default"/>
      </w:rPr>
    </w:lvl>
    <w:lvl w:ilvl="2" w:tplc="08090005" w:tentative="1">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112">
    <w:nsid w:val="5954306B"/>
    <w:multiLevelType w:val="hybridMultilevel"/>
    <w:tmpl w:val="A91297E6"/>
    <w:lvl w:ilvl="0" w:tplc="08090003">
      <w:start w:val="1"/>
      <w:numFmt w:val="bullet"/>
      <w:lvlText w:val="o"/>
      <w:lvlJc w:val="left"/>
      <w:pPr>
        <w:ind w:left="720" w:hanging="360"/>
      </w:pPr>
      <w:rPr>
        <w:rFonts w:ascii="Courier New" w:hAnsi="Courier New" w:cs="Courier New" w:hint="default"/>
        <w:color w:val="auto"/>
      </w:rPr>
    </w:lvl>
    <w:lvl w:ilvl="1" w:tplc="08090019">
      <w:start w:val="1"/>
      <w:numFmt w:val="lowerLetter"/>
      <w:lvlText w:val="%2."/>
      <w:lvlJc w:val="left"/>
      <w:pPr>
        <w:ind w:left="1440" w:hanging="360"/>
      </w:pPr>
    </w:lvl>
    <w:lvl w:ilvl="2" w:tplc="75ACCFDC">
      <w:numFmt w:val="bullet"/>
      <w:lvlText w:val="—"/>
      <w:lvlJc w:val="left"/>
      <w:pPr>
        <w:ind w:left="2700" w:hanging="720"/>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5A4974B3"/>
    <w:multiLevelType w:val="hybridMultilevel"/>
    <w:tmpl w:val="8C8C79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A7B612D"/>
    <w:multiLevelType w:val="multilevel"/>
    <w:tmpl w:val="9A7ABB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nsid w:val="5D25219E"/>
    <w:multiLevelType w:val="hybridMultilevel"/>
    <w:tmpl w:val="07A47A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F045674"/>
    <w:multiLevelType w:val="hybridMultilevel"/>
    <w:tmpl w:val="E778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07E11D9"/>
    <w:multiLevelType w:val="hybridMultilevel"/>
    <w:tmpl w:val="DF00B74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2051EC0"/>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62546BA9"/>
    <w:multiLevelType w:val="hybridMultilevel"/>
    <w:tmpl w:val="0E6E0A22"/>
    <w:lvl w:ilvl="0" w:tplc="08090001">
      <w:start w:val="1"/>
      <w:numFmt w:val="bullet"/>
      <w:lvlText w:val=""/>
      <w:lvlJc w:val="left"/>
      <w:pPr>
        <w:ind w:left="360" w:hanging="360"/>
      </w:pPr>
      <w:rPr>
        <w:rFonts w:ascii="Symbol" w:hAnsi="Symbol"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6281380B"/>
    <w:multiLevelType w:val="hybridMultilevel"/>
    <w:tmpl w:val="81A4FB2E"/>
    <w:lvl w:ilvl="0" w:tplc="08090003">
      <w:start w:val="1"/>
      <w:numFmt w:val="bullet"/>
      <w:lvlText w:val="o"/>
      <w:lvlJc w:val="left"/>
      <w:pPr>
        <w:ind w:left="-1127" w:hanging="360"/>
      </w:pPr>
      <w:rPr>
        <w:rFonts w:ascii="Courier New" w:hAnsi="Courier New" w:cs="Courier New" w:hint="default"/>
      </w:rPr>
    </w:lvl>
    <w:lvl w:ilvl="1" w:tplc="08090003" w:tentative="1">
      <w:start w:val="1"/>
      <w:numFmt w:val="bullet"/>
      <w:lvlText w:val="o"/>
      <w:lvlJc w:val="left"/>
      <w:pPr>
        <w:ind w:left="-407" w:hanging="360"/>
      </w:pPr>
      <w:rPr>
        <w:rFonts w:ascii="Courier New" w:hAnsi="Courier New" w:cs="Courier New" w:hint="default"/>
      </w:rPr>
    </w:lvl>
    <w:lvl w:ilvl="2" w:tplc="08090005" w:tentative="1">
      <w:start w:val="1"/>
      <w:numFmt w:val="bullet"/>
      <w:lvlText w:val=""/>
      <w:lvlJc w:val="left"/>
      <w:pPr>
        <w:ind w:left="313" w:hanging="360"/>
      </w:pPr>
      <w:rPr>
        <w:rFonts w:ascii="Wingdings" w:hAnsi="Wingdings" w:hint="default"/>
      </w:rPr>
    </w:lvl>
    <w:lvl w:ilvl="3" w:tplc="08090001" w:tentative="1">
      <w:start w:val="1"/>
      <w:numFmt w:val="bullet"/>
      <w:lvlText w:val=""/>
      <w:lvlJc w:val="left"/>
      <w:pPr>
        <w:ind w:left="1033" w:hanging="360"/>
      </w:pPr>
      <w:rPr>
        <w:rFonts w:ascii="Symbol" w:hAnsi="Symbol" w:hint="default"/>
      </w:rPr>
    </w:lvl>
    <w:lvl w:ilvl="4" w:tplc="08090003" w:tentative="1">
      <w:start w:val="1"/>
      <w:numFmt w:val="bullet"/>
      <w:lvlText w:val="o"/>
      <w:lvlJc w:val="left"/>
      <w:pPr>
        <w:ind w:left="1753" w:hanging="360"/>
      </w:pPr>
      <w:rPr>
        <w:rFonts w:ascii="Courier New" w:hAnsi="Courier New" w:cs="Courier New" w:hint="default"/>
      </w:rPr>
    </w:lvl>
    <w:lvl w:ilvl="5" w:tplc="08090005" w:tentative="1">
      <w:start w:val="1"/>
      <w:numFmt w:val="bullet"/>
      <w:lvlText w:val=""/>
      <w:lvlJc w:val="left"/>
      <w:pPr>
        <w:ind w:left="2473" w:hanging="360"/>
      </w:pPr>
      <w:rPr>
        <w:rFonts w:ascii="Wingdings" w:hAnsi="Wingdings" w:hint="default"/>
      </w:rPr>
    </w:lvl>
    <w:lvl w:ilvl="6" w:tplc="08090001" w:tentative="1">
      <w:start w:val="1"/>
      <w:numFmt w:val="bullet"/>
      <w:lvlText w:val=""/>
      <w:lvlJc w:val="left"/>
      <w:pPr>
        <w:ind w:left="3193" w:hanging="360"/>
      </w:pPr>
      <w:rPr>
        <w:rFonts w:ascii="Symbol" w:hAnsi="Symbol" w:hint="default"/>
      </w:rPr>
    </w:lvl>
    <w:lvl w:ilvl="7" w:tplc="08090003" w:tentative="1">
      <w:start w:val="1"/>
      <w:numFmt w:val="bullet"/>
      <w:lvlText w:val="o"/>
      <w:lvlJc w:val="left"/>
      <w:pPr>
        <w:ind w:left="3913" w:hanging="360"/>
      </w:pPr>
      <w:rPr>
        <w:rFonts w:ascii="Courier New" w:hAnsi="Courier New" w:cs="Courier New" w:hint="default"/>
      </w:rPr>
    </w:lvl>
    <w:lvl w:ilvl="8" w:tplc="08090005" w:tentative="1">
      <w:start w:val="1"/>
      <w:numFmt w:val="bullet"/>
      <w:lvlText w:val=""/>
      <w:lvlJc w:val="left"/>
      <w:pPr>
        <w:ind w:left="4633" w:hanging="360"/>
      </w:pPr>
      <w:rPr>
        <w:rFonts w:ascii="Wingdings" w:hAnsi="Wingdings" w:hint="default"/>
      </w:rPr>
    </w:lvl>
  </w:abstractNum>
  <w:abstractNum w:abstractNumId="121">
    <w:nsid w:val="62A405BE"/>
    <w:multiLevelType w:val="hybridMultilevel"/>
    <w:tmpl w:val="DDD02EE6"/>
    <w:lvl w:ilvl="0" w:tplc="08090003">
      <w:start w:val="1"/>
      <w:numFmt w:val="bullet"/>
      <w:lvlText w:val="o"/>
      <w:lvlJc w:val="left"/>
      <w:pPr>
        <w:ind w:left="1157" w:hanging="360"/>
      </w:pPr>
      <w:rPr>
        <w:rFonts w:ascii="Courier New" w:hAnsi="Courier New" w:cs="Courier New" w:hint="default"/>
      </w:rPr>
    </w:lvl>
    <w:lvl w:ilvl="1" w:tplc="08090003" w:tentative="1">
      <w:start w:val="1"/>
      <w:numFmt w:val="bullet"/>
      <w:lvlText w:val="o"/>
      <w:lvlJc w:val="left"/>
      <w:pPr>
        <w:ind w:left="1877" w:hanging="360"/>
      </w:pPr>
      <w:rPr>
        <w:rFonts w:ascii="Courier New" w:hAnsi="Courier New" w:cs="Courier New" w:hint="default"/>
      </w:rPr>
    </w:lvl>
    <w:lvl w:ilvl="2" w:tplc="08090005">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22">
    <w:nsid w:val="62E47E92"/>
    <w:multiLevelType w:val="hybridMultilevel"/>
    <w:tmpl w:val="09EC0F3A"/>
    <w:lvl w:ilvl="0" w:tplc="5D422F80">
      <w:start w:val="1"/>
      <w:numFmt w:val="lowerRoman"/>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nsid w:val="635E4BDB"/>
    <w:multiLevelType w:val="hybridMultilevel"/>
    <w:tmpl w:val="90E0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5066526"/>
    <w:multiLevelType w:val="hybridMultilevel"/>
    <w:tmpl w:val="65FA8426"/>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25">
    <w:nsid w:val="652B736E"/>
    <w:multiLevelType w:val="hybridMultilevel"/>
    <w:tmpl w:val="43CAE8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nsid w:val="65566605"/>
    <w:multiLevelType w:val="hybridMultilevel"/>
    <w:tmpl w:val="6308AD30"/>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7">
    <w:nsid w:val="658443B3"/>
    <w:multiLevelType w:val="hybridMultilevel"/>
    <w:tmpl w:val="61406264"/>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59E1A75"/>
    <w:multiLevelType w:val="hybridMultilevel"/>
    <w:tmpl w:val="7A76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5A53902"/>
    <w:multiLevelType w:val="hybridMultilevel"/>
    <w:tmpl w:val="6894725A"/>
    <w:lvl w:ilvl="0" w:tplc="67440BF2">
      <w:start w:val="1"/>
      <w:numFmt w:val="bullet"/>
      <w:pStyle w:val="Bulletedlist"/>
      <w:lvlText w:val=""/>
      <w:lvlJc w:val="left"/>
      <w:pPr>
        <w:ind w:left="360" w:hanging="360"/>
      </w:pPr>
      <w:rPr>
        <w:rFonts w:ascii="Symbol" w:hAnsi="Symbol" w:hint="default"/>
        <w:color w:val="0000FF"/>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5DF66F7"/>
    <w:multiLevelType w:val="hybridMultilevel"/>
    <w:tmpl w:val="1B68CDAA"/>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6924081"/>
    <w:multiLevelType w:val="hybridMultilevel"/>
    <w:tmpl w:val="950A27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2">
    <w:nsid w:val="66970953"/>
    <w:multiLevelType w:val="hybridMultilevel"/>
    <w:tmpl w:val="CB340270"/>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33">
    <w:nsid w:val="67364DFD"/>
    <w:multiLevelType w:val="hybridMultilevel"/>
    <w:tmpl w:val="4C9674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6AC85185"/>
    <w:multiLevelType w:val="hybridMultilevel"/>
    <w:tmpl w:val="36AE3E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5">
    <w:nsid w:val="6B527841"/>
    <w:multiLevelType w:val="hybridMultilevel"/>
    <w:tmpl w:val="CF2A2FD4"/>
    <w:lvl w:ilvl="0" w:tplc="08090003">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nsid w:val="6BD34664"/>
    <w:multiLevelType w:val="hybridMultilevel"/>
    <w:tmpl w:val="03367952"/>
    <w:lvl w:ilvl="0" w:tplc="E550C4C2">
      <w:start w:val="1"/>
      <w:numFmt w:val="lowerLetter"/>
      <w:lvlText w:val="(%1)"/>
      <w:lvlJc w:val="left"/>
      <w:pPr>
        <w:ind w:left="786" w:hanging="360"/>
      </w:pPr>
      <w:rPr>
        <w:rFonts w:hint="default"/>
        <w:b/>
        <w:i w:val="0"/>
        <w:color w:val="auto"/>
        <w:lang w:val="en-US"/>
      </w:rPr>
    </w:lvl>
    <w:lvl w:ilvl="1" w:tplc="5D422F80">
      <w:start w:val="1"/>
      <w:numFmt w:val="lowerRoman"/>
      <w:lvlText w:val="%2)"/>
      <w:lvlJc w:val="left"/>
      <w:pPr>
        <w:ind w:left="2226" w:hanging="720"/>
      </w:pPr>
      <w:rPr>
        <w:rFonts w:hint="default"/>
        <w:b/>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7">
    <w:nsid w:val="6C956A07"/>
    <w:multiLevelType w:val="hybridMultilevel"/>
    <w:tmpl w:val="B9D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6E075AEA"/>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F6B290F"/>
    <w:multiLevelType w:val="hybridMultilevel"/>
    <w:tmpl w:val="CBE83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0820549"/>
    <w:multiLevelType w:val="hybridMultilevel"/>
    <w:tmpl w:val="E948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0914199"/>
    <w:multiLevelType w:val="hybridMultilevel"/>
    <w:tmpl w:val="72BE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13F5D2A"/>
    <w:multiLevelType w:val="hybridMultilevel"/>
    <w:tmpl w:val="EE4C6E20"/>
    <w:lvl w:ilvl="0" w:tplc="08090011">
      <w:start w:val="1"/>
      <w:numFmt w:val="decimal"/>
      <w:lvlText w:val="%1)"/>
      <w:lvlJc w:val="left"/>
      <w:pPr>
        <w:ind w:left="502" w:hanging="360"/>
      </w:pPr>
    </w:lvl>
    <w:lvl w:ilvl="1" w:tplc="08090011">
      <w:start w:val="1"/>
      <w:numFmt w:val="decimal"/>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3">
    <w:nsid w:val="7224243E"/>
    <w:multiLevelType w:val="hybridMultilevel"/>
    <w:tmpl w:val="4D5C2E5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4">
    <w:nsid w:val="72E919A8"/>
    <w:multiLevelType w:val="hybridMultilevel"/>
    <w:tmpl w:val="F900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73706816"/>
    <w:multiLevelType w:val="hybridMultilevel"/>
    <w:tmpl w:val="FB56A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73833DF0"/>
    <w:multiLevelType w:val="hybridMultilevel"/>
    <w:tmpl w:val="AD82F5C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47">
    <w:nsid w:val="74EC56C2"/>
    <w:multiLevelType w:val="hybridMultilevel"/>
    <w:tmpl w:val="3A98491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5AE44A0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756460B1"/>
    <w:multiLevelType w:val="hybridMultilevel"/>
    <w:tmpl w:val="6A5CBD6A"/>
    <w:lvl w:ilvl="0" w:tplc="08090003">
      <w:start w:val="1"/>
      <w:numFmt w:val="bullet"/>
      <w:lvlText w:val="o"/>
      <w:lvlJc w:val="left"/>
      <w:pPr>
        <w:ind w:left="1365" w:hanging="360"/>
      </w:pPr>
      <w:rPr>
        <w:rFonts w:ascii="Courier New" w:hAnsi="Courier New" w:cs="Courier New"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49">
    <w:nsid w:val="758D66FE"/>
    <w:multiLevelType w:val="hybridMultilevel"/>
    <w:tmpl w:val="19B48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597039C"/>
    <w:multiLevelType w:val="hybridMultilevel"/>
    <w:tmpl w:val="A162DDE4"/>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62111C6"/>
    <w:multiLevelType w:val="hybridMultilevel"/>
    <w:tmpl w:val="12BADD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63D461B"/>
    <w:multiLevelType w:val="hybridMultilevel"/>
    <w:tmpl w:val="567C3BDE"/>
    <w:lvl w:ilvl="0" w:tplc="E398ED64">
      <w:start w:val="1"/>
      <w:numFmt w:val="bullet"/>
      <w:lvlText w:val=""/>
      <w:lvlJc w:val="left"/>
      <w:pPr>
        <w:ind w:left="723" w:hanging="360"/>
      </w:pPr>
      <w:rPr>
        <w:rFonts w:ascii="Symbol" w:hAnsi="Symbol" w:hint="default"/>
        <w:sz w:val="16"/>
      </w:rPr>
    </w:lvl>
    <w:lvl w:ilvl="1" w:tplc="08090003" w:tentative="1">
      <w:start w:val="1"/>
      <w:numFmt w:val="bullet"/>
      <w:lvlText w:val="o"/>
      <w:lvlJc w:val="left"/>
      <w:pPr>
        <w:ind w:left="1443" w:hanging="360"/>
      </w:pPr>
      <w:rPr>
        <w:rFonts w:ascii="Courier New" w:hAnsi="Courier New" w:cs="Courier New" w:hint="default"/>
      </w:rPr>
    </w:lvl>
    <w:lvl w:ilvl="2" w:tplc="E398ED64">
      <w:start w:val="1"/>
      <w:numFmt w:val="bullet"/>
      <w:lvlText w:val=""/>
      <w:lvlJc w:val="left"/>
      <w:pPr>
        <w:ind w:left="2163" w:hanging="360"/>
      </w:pPr>
      <w:rPr>
        <w:rFonts w:ascii="Symbol" w:hAnsi="Symbol" w:hint="default"/>
        <w:sz w:val="16"/>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53">
    <w:nsid w:val="76DB0FF9"/>
    <w:multiLevelType w:val="hybridMultilevel"/>
    <w:tmpl w:val="98C42F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788546F4"/>
    <w:multiLevelType w:val="hybridMultilevel"/>
    <w:tmpl w:val="9D4E5552"/>
    <w:lvl w:ilvl="0" w:tplc="130AAA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791C0138"/>
    <w:multiLevelType w:val="hybridMultilevel"/>
    <w:tmpl w:val="34C24F94"/>
    <w:lvl w:ilvl="0" w:tplc="08090005">
      <w:start w:val="1"/>
      <w:numFmt w:val="bullet"/>
      <w:lvlText w:val=""/>
      <w:lvlJc w:val="left"/>
      <w:pPr>
        <w:ind w:left="2886" w:hanging="360"/>
      </w:pPr>
      <w:rPr>
        <w:rFonts w:ascii="Wingdings" w:hAnsi="Wingdings" w:hint="default"/>
      </w:rPr>
    </w:lvl>
    <w:lvl w:ilvl="1" w:tplc="08090003" w:tentative="1">
      <w:start w:val="1"/>
      <w:numFmt w:val="bullet"/>
      <w:lvlText w:val="o"/>
      <w:lvlJc w:val="left"/>
      <w:pPr>
        <w:ind w:left="3606" w:hanging="360"/>
      </w:pPr>
      <w:rPr>
        <w:rFonts w:ascii="Courier New" w:hAnsi="Courier New" w:cs="Courier New" w:hint="default"/>
      </w:rPr>
    </w:lvl>
    <w:lvl w:ilvl="2" w:tplc="08090005" w:tentative="1">
      <w:start w:val="1"/>
      <w:numFmt w:val="bullet"/>
      <w:lvlText w:val=""/>
      <w:lvlJc w:val="left"/>
      <w:pPr>
        <w:ind w:left="4326" w:hanging="360"/>
      </w:pPr>
      <w:rPr>
        <w:rFonts w:ascii="Wingdings" w:hAnsi="Wingdings" w:hint="default"/>
      </w:rPr>
    </w:lvl>
    <w:lvl w:ilvl="3" w:tplc="08090001" w:tentative="1">
      <w:start w:val="1"/>
      <w:numFmt w:val="bullet"/>
      <w:lvlText w:val=""/>
      <w:lvlJc w:val="left"/>
      <w:pPr>
        <w:ind w:left="5046" w:hanging="360"/>
      </w:pPr>
      <w:rPr>
        <w:rFonts w:ascii="Symbol" w:hAnsi="Symbol" w:hint="default"/>
      </w:rPr>
    </w:lvl>
    <w:lvl w:ilvl="4" w:tplc="08090003" w:tentative="1">
      <w:start w:val="1"/>
      <w:numFmt w:val="bullet"/>
      <w:lvlText w:val="o"/>
      <w:lvlJc w:val="left"/>
      <w:pPr>
        <w:ind w:left="5766" w:hanging="360"/>
      </w:pPr>
      <w:rPr>
        <w:rFonts w:ascii="Courier New" w:hAnsi="Courier New" w:cs="Courier New" w:hint="default"/>
      </w:rPr>
    </w:lvl>
    <w:lvl w:ilvl="5" w:tplc="08090005" w:tentative="1">
      <w:start w:val="1"/>
      <w:numFmt w:val="bullet"/>
      <w:lvlText w:val=""/>
      <w:lvlJc w:val="left"/>
      <w:pPr>
        <w:ind w:left="6486" w:hanging="360"/>
      </w:pPr>
      <w:rPr>
        <w:rFonts w:ascii="Wingdings" w:hAnsi="Wingdings" w:hint="default"/>
      </w:rPr>
    </w:lvl>
    <w:lvl w:ilvl="6" w:tplc="08090001" w:tentative="1">
      <w:start w:val="1"/>
      <w:numFmt w:val="bullet"/>
      <w:lvlText w:val=""/>
      <w:lvlJc w:val="left"/>
      <w:pPr>
        <w:ind w:left="7206" w:hanging="360"/>
      </w:pPr>
      <w:rPr>
        <w:rFonts w:ascii="Symbol" w:hAnsi="Symbol" w:hint="default"/>
      </w:rPr>
    </w:lvl>
    <w:lvl w:ilvl="7" w:tplc="08090003" w:tentative="1">
      <w:start w:val="1"/>
      <w:numFmt w:val="bullet"/>
      <w:lvlText w:val="o"/>
      <w:lvlJc w:val="left"/>
      <w:pPr>
        <w:ind w:left="7926" w:hanging="360"/>
      </w:pPr>
      <w:rPr>
        <w:rFonts w:ascii="Courier New" w:hAnsi="Courier New" w:cs="Courier New" w:hint="default"/>
      </w:rPr>
    </w:lvl>
    <w:lvl w:ilvl="8" w:tplc="08090005" w:tentative="1">
      <w:start w:val="1"/>
      <w:numFmt w:val="bullet"/>
      <w:lvlText w:val=""/>
      <w:lvlJc w:val="left"/>
      <w:pPr>
        <w:ind w:left="8646" w:hanging="360"/>
      </w:pPr>
      <w:rPr>
        <w:rFonts w:ascii="Wingdings" w:hAnsi="Wingdings" w:hint="default"/>
      </w:rPr>
    </w:lvl>
  </w:abstractNum>
  <w:abstractNum w:abstractNumId="156">
    <w:nsid w:val="794473C7"/>
    <w:multiLevelType w:val="hybridMultilevel"/>
    <w:tmpl w:val="9EC09DA8"/>
    <w:lvl w:ilvl="0" w:tplc="10061540">
      <w:start w:val="1"/>
      <w:numFmt w:val="upperLetter"/>
      <w:pStyle w:val="Heading4"/>
      <w:lvlText w:val="%1 -"/>
      <w:lvlJc w:val="left"/>
      <w:pPr>
        <w:ind w:left="360" w:hanging="360"/>
      </w:pPr>
      <w:rPr>
        <w:rFonts w:ascii="Times New Roman" w:hAnsi="Times New Roman" w:cs="Times New Roman" w:hint="default"/>
        <w:i w:val="0"/>
        <w:color w:val="auto"/>
        <w:sz w:val="24"/>
        <w:szCs w:val="24"/>
      </w:rPr>
    </w:lvl>
    <w:lvl w:ilvl="1" w:tplc="0B6A27F8">
      <w:start w:val="1"/>
      <w:numFmt w:val="lowerLetter"/>
      <w:lvlText w:val="(%2)"/>
      <w:lvlJc w:val="left"/>
      <w:pPr>
        <w:ind w:left="856" w:hanging="360"/>
      </w:pPr>
      <w:rPr>
        <w:rFonts w:hint="default"/>
      </w:rPr>
    </w:lvl>
    <w:lvl w:ilvl="2" w:tplc="87EA8504">
      <w:start w:val="2"/>
      <w:numFmt w:val="bullet"/>
      <w:lvlText w:val="-"/>
      <w:lvlJc w:val="left"/>
      <w:pPr>
        <w:ind w:left="1756" w:hanging="360"/>
      </w:pPr>
      <w:rPr>
        <w:rFonts w:ascii="Times New Roman" w:eastAsia="Calibri" w:hAnsi="Times New Roman" w:cs="Times New Roman" w:hint="default"/>
      </w:rPr>
    </w:lvl>
    <w:lvl w:ilvl="3" w:tplc="130AAAFE">
      <w:start w:val="1"/>
      <w:numFmt w:val="lowerRoman"/>
      <w:lvlText w:val="%4)"/>
      <w:lvlJc w:val="left"/>
      <w:pPr>
        <w:ind w:left="2656" w:hanging="720"/>
      </w:pPr>
      <w:rPr>
        <w:rFonts w:hint="default"/>
      </w:rPr>
    </w:lvl>
    <w:lvl w:ilvl="4" w:tplc="2752EBEE">
      <w:start w:val="1"/>
      <w:numFmt w:val="decimal"/>
      <w:lvlText w:val="%5."/>
      <w:lvlJc w:val="left"/>
      <w:pPr>
        <w:ind w:left="3016" w:hanging="360"/>
      </w:pPr>
      <w:rPr>
        <w:rFonts w:hint="default"/>
      </w:rPr>
    </w:lvl>
    <w:lvl w:ilvl="5" w:tplc="0809001B" w:tentative="1">
      <w:start w:val="1"/>
      <w:numFmt w:val="lowerRoman"/>
      <w:lvlText w:val="%6."/>
      <w:lvlJc w:val="right"/>
      <w:pPr>
        <w:ind w:left="3736" w:hanging="180"/>
      </w:pPr>
    </w:lvl>
    <w:lvl w:ilvl="6" w:tplc="0809000F" w:tentative="1">
      <w:start w:val="1"/>
      <w:numFmt w:val="decimal"/>
      <w:lvlText w:val="%7."/>
      <w:lvlJc w:val="left"/>
      <w:pPr>
        <w:ind w:left="4456" w:hanging="360"/>
      </w:pPr>
    </w:lvl>
    <w:lvl w:ilvl="7" w:tplc="08090019" w:tentative="1">
      <w:start w:val="1"/>
      <w:numFmt w:val="lowerLetter"/>
      <w:lvlText w:val="%8."/>
      <w:lvlJc w:val="left"/>
      <w:pPr>
        <w:ind w:left="5176" w:hanging="360"/>
      </w:pPr>
    </w:lvl>
    <w:lvl w:ilvl="8" w:tplc="0809001B" w:tentative="1">
      <w:start w:val="1"/>
      <w:numFmt w:val="lowerRoman"/>
      <w:lvlText w:val="%9."/>
      <w:lvlJc w:val="right"/>
      <w:pPr>
        <w:ind w:left="5896" w:hanging="180"/>
      </w:pPr>
    </w:lvl>
  </w:abstractNum>
  <w:abstractNum w:abstractNumId="157">
    <w:nsid w:val="7A87510B"/>
    <w:multiLevelType w:val="hybridMultilevel"/>
    <w:tmpl w:val="D3BE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7B083DF1"/>
    <w:multiLevelType w:val="hybridMultilevel"/>
    <w:tmpl w:val="ED6AC1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9">
    <w:nsid w:val="7BA718D4"/>
    <w:multiLevelType w:val="hybridMultilevel"/>
    <w:tmpl w:val="7ADE1D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0">
    <w:nsid w:val="7D585B35"/>
    <w:multiLevelType w:val="hybridMultilevel"/>
    <w:tmpl w:val="B57CC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nsid w:val="7D8E7E30"/>
    <w:multiLevelType w:val="hybridMultilevel"/>
    <w:tmpl w:val="9B8261EC"/>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62">
    <w:nsid w:val="7D9F16EC"/>
    <w:multiLevelType w:val="hybridMultilevel"/>
    <w:tmpl w:val="0DFCC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7DB43185"/>
    <w:multiLevelType w:val="hybridMultilevel"/>
    <w:tmpl w:val="0540D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F32726E"/>
    <w:multiLevelType w:val="hybridMultilevel"/>
    <w:tmpl w:val="89108FC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9"/>
  </w:num>
  <w:num w:numId="2">
    <w:abstractNumId w:val="43"/>
  </w:num>
  <w:num w:numId="3">
    <w:abstractNumId w:val="156"/>
  </w:num>
  <w:num w:numId="4">
    <w:abstractNumId w:val="50"/>
  </w:num>
  <w:num w:numId="5">
    <w:abstractNumId w:val="55"/>
  </w:num>
  <w:num w:numId="6">
    <w:abstractNumId w:val="86"/>
  </w:num>
  <w:num w:numId="7">
    <w:abstractNumId w:val="33"/>
  </w:num>
  <w:num w:numId="8">
    <w:abstractNumId w:val="45"/>
  </w:num>
  <w:num w:numId="9">
    <w:abstractNumId w:val="63"/>
  </w:num>
  <w:num w:numId="10">
    <w:abstractNumId w:val="22"/>
  </w:num>
  <w:num w:numId="11">
    <w:abstractNumId w:val="12"/>
  </w:num>
  <w:num w:numId="12">
    <w:abstractNumId w:val="11"/>
  </w:num>
  <w:num w:numId="13">
    <w:abstractNumId w:val="72"/>
  </w:num>
  <w:num w:numId="14">
    <w:abstractNumId w:val="156"/>
  </w:num>
  <w:num w:numId="15">
    <w:abstractNumId w:val="118"/>
    <w:lvlOverride w:ilvl="0">
      <w:startOverride w:val="1"/>
    </w:lvlOverride>
  </w:num>
  <w:num w:numId="16">
    <w:abstractNumId w:val="156"/>
    <w:lvlOverride w:ilvl="0">
      <w:startOverride w:val="1"/>
    </w:lvlOverride>
  </w:num>
  <w:num w:numId="17">
    <w:abstractNumId w:val="118"/>
    <w:lvlOverride w:ilvl="0">
      <w:startOverride w:val="1"/>
    </w:lvlOverride>
  </w:num>
  <w:num w:numId="18">
    <w:abstractNumId w:val="156"/>
    <w:lvlOverride w:ilvl="0">
      <w:startOverride w:val="1"/>
    </w:lvlOverride>
  </w:num>
  <w:num w:numId="19">
    <w:abstractNumId w:val="7"/>
  </w:num>
  <w:num w:numId="20">
    <w:abstractNumId w:val="156"/>
    <w:lvlOverride w:ilvl="0">
      <w:startOverride w:val="1"/>
    </w:lvlOverride>
  </w:num>
  <w:num w:numId="21">
    <w:abstractNumId w:val="118"/>
    <w:lvlOverride w:ilvl="0">
      <w:startOverride w:val="1"/>
    </w:lvlOverride>
  </w:num>
  <w:num w:numId="22">
    <w:abstractNumId w:val="156"/>
    <w:lvlOverride w:ilvl="0">
      <w:startOverride w:val="1"/>
    </w:lvlOverride>
  </w:num>
  <w:num w:numId="23">
    <w:abstractNumId w:val="118"/>
    <w:lvlOverride w:ilvl="0">
      <w:startOverride w:val="1"/>
    </w:lvlOverride>
  </w:num>
  <w:num w:numId="24">
    <w:abstractNumId w:val="156"/>
    <w:lvlOverride w:ilvl="0">
      <w:startOverride w:val="1"/>
    </w:lvlOverride>
  </w:num>
  <w:num w:numId="25">
    <w:abstractNumId w:val="118"/>
    <w:lvlOverride w:ilvl="0">
      <w:startOverride w:val="1"/>
    </w:lvlOverride>
  </w:num>
  <w:num w:numId="26">
    <w:abstractNumId w:val="156"/>
    <w:lvlOverride w:ilvl="0">
      <w:startOverride w:val="1"/>
    </w:lvlOverride>
  </w:num>
  <w:num w:numId="27">
    <w:abstractNumId w:val="118"/>
    <w:lvlOverride w:ilvl="0">
      <w:startOverride w:val="1"/>
    </w:lvlOverride>
  </w:num>
  <w:num w:numId="28">
    <w:abstractNumId w:val="156"/>
    <w:lvlOverride w:ilvl="0">
      <w:startOverride w:val="1"/>
    </w:lvlOverride>
  </w:num>
  <w:num w:numId="29">
    <w:abstractNumId w:val="118"/>
    <w:lvlOverride w:ilvl="0">
      <w:startOverride w:val="1"/>
    </w:lvlOverride>
  </w:num>
  <w:num w:numId="30">
    <w:abstractNumId w:val="156"/>
    <w:lvlOverride w:ilvl="0">
      <w:startOverride w:val="1"/>
    </w:lvlOverride>
  </w:num>
  <w:num w:numId="31">
    <w:abstractNumId w:val="118"/>
    <w:lvlOverride w:ilvl="0">
      <w:startOverride w:val="1"/>
    </w:lvlOverride>
  </w:num>
  <w:num w:numId="32">
    <w:abstractNumId w:val="156"/>
  </w:num>
  <w:num w:numId="33">
    <w:abstractNumId w:val="118"/>
    <w:lvlOverride w:ilvl="0">
      <w:startOverride w:val="1"/>
    </w:lvlOverride>
  </w:num>
  <w:num w:numId="34">
    <w:abstractNumId w:val="156"/>
    <w:lvlOverride w:ilvl="0">
      <w:startOverride w:val="1"/>
    </w:lvlOverride>
  </w:num>
  <w:num w:numId="35">
    <w:abstractNumId w:val="118"/>
    <w:lvlOverride w:ilvl="0">
      <w:startOverride w:val="1"/>
    </w:lvlOverride>
  </w:num>
  <w:num w:numId="36">
    <w:abstractNumId w:val="156"/>
    <w:lvlOverride w:ilvl="0">
      <w:startOverride w:val="1"/>
    </w:lvlOverride>
  </w:num>
  <w:num w:numId="37">
    <w:abstractNumId w:val="118"/>
    <w:lvlOverride w:ilvl="0">
      <w:startOverride w:val="1"/>
    </w:lvlOverride>
  </w:num>
  <w:num w:numId="38">
    <w:abstractNumId w:val="156"/>
    <w:lvlOverride w:ilvl="0">
      <w:startOverride w:val="1"/>
    </w:lvlOverride>
  </w:num>
  <w:num w:numId="39">
    <w:abstractNumId w:val="156"/>
    <w:lvlOverride w:ilvl="0">
      <w:startOverride w:val="1"/>
    </w:lvlOverride>
  </w:num>
  <w:num w:numId="40">
    <w:abstractNumId w:val="118"/>
    <w:lvlOverride w:ilvl="0">
      <w:startOverride w:val="1"/>
    </w:lvlOverride>
  </w:num>
  <w:num w:numId="41">
    <w:abstractNumId w:val="156"/>
    <w:lvlOverride w:ilvl="0">
      <w:startOverride w:val="1"/>
    </w:lvlOverride>
  </w:num>
  <w:num w:numId="42">
    <w:abstractNumId w:val="156"/>
  </w:num>
  <w:num w:numId="43">
    <w:abstractNumId w:val="118"/>
    <w:lvlOverride w:ilvl="0">
      <w:startOverride w:val="1"/>
    </w:lvlOverride>
  </w:num>
  <w:num w:numId="44">
    <w:abstractNumId w:val="156"/>
    <w:lvlOverride w:ilvl="0">
      <w:startOverride w:val="1"/>
    </w:lvlOverride>
  </w:num>
  <w:num w:numId="45">
    <w:abstractNumId w:val="118"/>
    <w:lvlOverride w:ilvl="0">
      <w:startOverride w:val="1"/>
    </w:lvlOverride>
  </w:num>
  <w:num w:numId="46">
    <w:abstractNumId w:val="156"/>
    <w:lvlOverride w:ilvl="0">
      <w:startOverride w:val="1"/>
    </w:lvlOverride>
  </w:num>
  <w:num w:numId="47">
    <w:abstractNumId w:val="156"/>
    <w:lvlOverride w:ilvl="0">
      <w:startOverride w:val="1"/>
    </w:lvlOverride>
  </w:num>
  <w:num w:numId="48">
    <w:abstractNumId w:val="156"/>
    <w:lvlOverride w:ilvl="0">
      <w:startOverride w:val="1"/>
    </w:lvlOverride>
  </w:num>
  <w:num w:numId="49">
    <w:abstractNumId w:val="156"/>
    <w:lvlOverride w:ilvl="0">
      <w:startOverride w:val="1"/>
    </w:lvlOverride>
  </w:num>
  <w:num w:numId="50">
    <w:abstractNumId w:val="118"/>
    <w:lvlOverride w:ilvl="0">
      <w:startOverride w:val="1"/>
    </w:lvlOverride>
  </w:num>
  <w:num w:numId="51">
    <w:abstractNumId w:val="156"/>
    <w:lvlOverride w:ilvl="0">
      <w:startOverride w:val="1"/>
    </w:lvlOverride>
  </w:num>
  <w:num w:numId="52">
    <w:abstractNumId w:val="118"/>
    <w:lvlOverride w:ilvl="0">
      <w:startOverride w:val="1"/>
    </w:lvlOverride>
  </w:num>
  <w:num w:numId="53">
    <w:abstractNumId w:val="156"/>
    <w:lvlOverride w:ilvl="0">
      <w:startOverride w:val="1"/>
    </w:lvlOverride>
  </w:num>
  <w:num w:numId="54">
    <w:abstractNumId w:val="118"/>
    <w:lvlOverride w:ilvl="0">
      <w:startOverride w:val="1"/>
    </w:lvlOverride>
  </w:num>
  <w:num w:numId="55">
    <w:abstractNumId w:val="156"/>
    <w:lvlOverride w:ilvl="0">
      <w:startOverride w:val="1"/>
    </w:lvlOverride>
  </w:num>
  <w:num w:numId="56">
    <w:abstractNumId w:val="118"/>
    <w:lvlOverride w:ilvl="0">
      <w:startOverride w:val="1"/>
    </w:lvlOverride>
  </w:num>
  <w:num w:numId="57">
    <w:abstractNumId w:val="156"/>
    <w:lvlOverride w:ilvl="0">
      <w:startOverride w:val="1"/>
    </w:lvlOverride>
  </w:num>
  <w:num w:numId="58">
    <w:abstractNumId w:val="118"/>
    <w:lvlOverride w:ilvl="0">
      <w:startOverride w:val="1"/>
    </w:lvlOverride>
  </w:num>
  <w:num w:numId="59">
    <w:abstractNumId w:val="156"/>
    <w:lvlOverride w:ilvl="0">
      <w:startOverride w:val="1"/>
    </w:lvlOverride>
  </w:num>
  <w:num w:numId="60">
    <w:abstractNumId w:val="118"/>
    <w:lvlOverride w:ilvl="0">
      <w:startOverride w:val="1"/>
    </w:lvlOverride>
  </w:num>
  <w:num w:numId="61">
    <w:abstractNumId w:val="156"/>
    <w:lvlOverride w:ilvl="0">
      <w:startOverride w:val="1"/>
    </w:lvlOverride>
  </w:num>
  <w:num w:numId="62">
    <w:abstractNumId w:val="118"/>
    <w:lvlOverride w:ilvl="0">
      <w:startOverride w:val="1"/>
    </w:lvlOverride>
  </w:num>
  <w:num w:numId="63">
    <w:abstractNumId w:val="156"/>
    <w:lvlOverride w:ilvl="0">
      <w:startOverride w:val="1"/>
    </w:lvlOverride>
  </w:num>
  <w:num w:numId="64">
    <w:abstractNumId w:val="118"/>
    <w:lvlOverride w:ilvl="0">
      <w:startOverride w:val="1"/>
    </w:lvlOverride>
  </w:num>
  <w:num w:numId="65">
    <w:abstractNumId w:val="156"/>
    <w:lvlOverride w:ilvl="0">
      <w:startOverride w:val="1"/>
    </w:lvlOverride>
  </w:num>
  <w:num w:numId="66">
    <w:abstractNumId w:val="118"/>
    <w:lvlOverride w:ilvl="0">
      <w:startOverride w:val="1"/>
    </w:lvlOverride>
  </w:num>
  <w:num w:numId="67">
    <w:abstractNumId w:val="156"/>
    <w:lvlOverride w:ilvl="0">
      <w:startOverride w:val="1"/>
    </w:lvlOverride>
  </w:num>
  <w:num w:numId="68">
    <w:abstractNumId w:val="118"/>
    <w:lvlOverride w:ilvl="0">
      <w:startOverride w:val="1"/>
    </w:lvlOverride>
  </w:num>
  <w:num w:numId="69">
    <w:abstractNumId w:val="104"/>
  </w:num>
  <w:num w:numId="70">
    <w:abstractNumId w:val="30"/>
    <w:lvlOverride w:ilvl="0">
      <w:startOverride w:val="1"/>
    </w:lvlOverride>
  </w:num>
  <w:num w:numId="71">
    <w:abstractNumId w:val="30"/>
    <w:lvlOverride w:ilvl="0">
      <w:startOverride w:val="2"/>
    </w:lvlOverride>
  </w:num>
  <w:num w:numId="72">
    <w:abstractNumId w:val="30"/>
    <w:lvlOverride w:ilvl="0">
      <w:startOverride w:val="2"/>
    </w:lvlOverride>
  </w:num>
  <w:num w:numId="73">
    <w:abstractNumId w:val="30"/>
    <w:lvlOverride w:ilvl="0">
      <w:startOverride w:val="2"/>
    </w:lvlOverride>
  </w:num>
  <w:num w:numId="74">
    <w:abstractNumId w:val="129"/>
  </w:num>
  <w:num w:numId="75">
    <w:abstractNumId w:val="30"/>
    <w:lvlOverride w:ilvl="0">
      <w:startOverride w:val="2"/>
    </w:lvlOverride>
  </w:num>
  <w:num w:numId="76">
    <w:abstractNumId w:val="30"/>
    <w:lvlOverride w:ilvl="0">
      <w:startOverride w:val="2"/>
    </w:lvlOverride>
  </w:num>
  <w:num w:numId="77">
    <w:abstractNumId w:val="30"/>
    <w:lvlOverride w:ilvl="0">
      <w:startOverride w:val="2"/>
    </w:lvlOverride>
  </w:num>
  <w:num w:numId="78">
    <w:abstractNumId w:val="30"/>
    <w:lvlOverride w:ilvl="0">
      <w:startOverride w:val="2"/>
    </w:lvlOverride>
  </w:num>
  <w:num w:numId="79">
    <w:abstractNumId w:val="30"/>
    <w:lvlOverride w:ilvl="0">
      <w:startOverride w:val="2"/>
    </w:lvlOverride>
  </w:num>
  <w:num w:numId="80">
    <w:abstractNumId w:val="30"/>
    <w:lvlOverride w:ilvl="0">
      <w:startOverride w:val="2"/>
    </w:lvlOverride>
  </w:num>
  <w:num w:numId="81">
    <w:abstractNumId w:val="30"/>
    <w:lvlOverride w:ilvl="0">
      <w:startOverride w:val="2"/>
    </w:lvlOverride>
  </w:num>
  <w:num w:numId="82">
    <w:abstractNumId w:val="30"/>
    <w:lvlOverride w:ilvl="0">
      <w:startOverride w:val="2"/>
    </w:lvlOverride>
  </w:num>
  <w:num w:numId="83">
    <w:abstractNumId w:val="30"/>
    <w:lvlOverride w:ilvl="0">
      <w:startOverride w:val="2"/>
    </w:lvlOverride>
  </w:num>
  <w:num w:numId="84">
    <w:abstractNumId w:val="30"/>
    <w:lvlOverride w:ilvl="0">
      <w:startOverride w:val="2"/>
    </w:lvlOverride>
  </w:num>
  <w:num w:numId="85">
    <w:abstractNumId w:val="30"/>
    <w:lvlOverride w:ilvl="0">
      <w:startOverride w:val="2"/>
    </w:lvlOverride>
  </w:num>
  <w:num w:numId="86">
    <w:abstractNumId w:val="30"/>
    <w:lvlOverride w:ilvl="0">
      <w:startOverride w:val="2"/>
    </w:lvlOverride>
  </w:num>
  <w:num w:numId="87">
    <w:abstractNumId w:val="30"/>
    <w:lvlOverride w:ilvl="0">
      <w:startOverride w:val="2"/>
    </w:lvlOverride>
  </w:num>
  <w:num w:numId="88">
    <w:abstractNumId w:val="30"/>
    <w:lvlOverride w:ilvl="0">
      <w:startOverride w:val="2"/>
    </w:lvlOverride>
  </w:num>
  <w:num w:numId="89">
    <w:abstractNumId w:val="30"/>
    <w:lvlOverride w:ilvl="0">
      <w:startOverride w:val="2"/>
    </w:lvlOverride>
  </w:num>
  <w:num w:numId="90">
    <w:abstractNumId w:val="30"/>
    <w:lvlOverride w:ilvl="0">
      <w:startOverride w:val="2"/>
    </w:lvlOverride>
  </w:num>
  <w:num w:numId="91">
    <w:abstractNumId w:val="30"/>
    <w:lvlOverride w:ilvl="0">
      <w:startOverride w:val="2"/>
    </w:lvlOverride>
  </w:num>
  <w:num w:numId="92">
    <w:abstractNumId w:val="30"/>
    <w:lvlOverride w:ilvl="0">
      <w:startOverride w:val="2"/>
    </w:lvlOverride>
  </w:num>
  <w:num w:numId="93">
    <w:abstractNumId w:val="30"/>
    <w:lvlOverride w:ilvl="0">
      <w:startOverride w:val="2"/>
    </w:lvlOverride>
  </w:num>
  <w:num w:numId="94">
    <w:abstractNumId w:val="30"/>
    <w:lvlOverride w:ilvl="0">
      <w:startOverride w:val="2"/>
    </w:lvlOverride>
  </w:num>
  <w:num w:numId="95">
    <w:abstractNumId w:val="30"/>
    <w:lvlOverride w:ilvl="0">
      <w:startOverride w:val="2"/>
    </w:lvlOverride>
  </w:num>
  <w:num w:numId="96">
    <w:abstractNumId w:val="30"/>
  </w:num>
  <w:num w:numId="97">
    <w:abstractNumId w:val="48"/>
  </w:num>
  <w:num w:numId="98">
    <w:abstractNumId w:val="130"/>
  </w:num>
  <w:num w:numId="99">
    <w:abstractNumId w:val="3"/>
  </w:num>
  <w:num w:numId="100">
    <w:abstractNumId w:val="142"/>
  </w:num>
  <w:num w:numId="101">
    <w:abstractNumId w:val="62"/>
  </w:num>
  <w:num w:numId="102">
    <w:abstractNumId w:val="111"/>
  </w:num>
  <w:num w:numId="103">
    <w:abstractNumId w:val="34"/>
  </w:num>
  <w:num w:numId="104">
    <w:abstractNumId w:val="127"/>
  </w:num>
  <w:num w:numId="105">
    <w:abstractNumId w:val="13"/>
  </w:num>
  <w:num w:numId="106">
    <w:abstractNumId w:val="76"/>
  </w:num>
  <w:num w:numId="107">
    <w:abstractNumId w:val="153"/>
  </w:num>
  <w:num w:numId="108">
    <w:abstractNumId w:val="126"/>
  </w:num>
  <w:num w:numId="109">
    <w:abstractNumId w:val="98"/>
  </w:num>
  <w:num w:numId="110">
    <w:abstractNumId w:val="108"/>
  </w:num>
  <w:num w:numId="111">
    <w:abstractNumId w:val="133"/>
  </w:num>
  <w:num w:numId="112">
    <w:abstractNumId w:val="90"/>
  </w:num>
  <w:num w:numId="113">
    <w:abstractNumId w:val="17"/>
  </w:num>
  <w:num w:numId="114">
    <w:abstractNumId w:val="145"/>
  </w:num>
  <w:num w:numId="115">
    <w:abstractNumId w:val="141"/>
  </w:num>
  <w:num w:numId="116">
    <w:abstractNumId w:val="147"/>
  </w:num>
  <w:num w:numId="117">
    <w:abstractNumId w:val="135"/>
  </w:num>
  <w:num w:numId="118">
    <w:abstractNumId w:val="131"/>
  </w:num>
  <w:num w:numId="119">
    <w:abstractNumId w:val="15"/>
  </w:num>
  <w:num w:numId="120">
    <w:abstractNumId w:val="80"/>
  </w:num>
  <w:num w:numId="121">
    <w:abstractNumId w:val="66"/>
  </w:num>
  <w:num w:numId="122">
    <w:abstractNumId w:val="39"/>
  </w:num>
  <w:num w:numId="123">
    <w:abstractNumId w:val="92"/>
  </w:num>
  <w:num w:numId="124">
    <w:abstractNumId w:val="84"/>
  </w:num>
  <w:num w:numId="125">
    <w:abstractNumId w:val="68"/>
  </w:num>
  <w:num w:numId="126">
    <w:abstractNumId w:val="117"/>
  </w:num>
  <w:num w:numId="127">
    <w:abstractNumId w:val="37"/>
  </w:num>
  <w:num w:numId="128">
    <w:abstractNumId w:val="93"/>
  </w:num>
  <w:num w:numId="129">
    <w:abstractNumId w:val="162"/>
  </w:num>
  <w:num w:numId="130">
    <w:abstractNumId w:val="89"/>
  </w:num>
  <w:num w:numId="131">
    <w:abstractNumId w:val="10"/>
  </w:num>
  <w:num w:numId="132">
    <w:abstractNumId w:val="8"/>
  </w:num>
  <w:num w:numId="133">
    <w:abstractNumId w:val="94"/>
  </w:num>
  <w:num w:numId="134">
    <w:abstractNumId w:val="42"/>
  </w:num>
  <w:num w:numId="135">
    <w:abstractNumId w:val="159"/>
  </w:num>
  <w:num w:numId="136">
    <w:abstractNumId w:val="83"/>
  </w:num>
  <w:num w:numId="137">
    <w:abstractNumId w:val="116"/>
  </w:num>
  <w:num w:numId="138">
    <w:abstractNumId w:val="40"/>
  </w:num>
  <w:num w:numId="139">
    <w:abstractNumId w:val="36"/>
  </w:num>
  <w:num w:numId="140">
    <w:abstractNumId w:val="27"/>
  </w:num>
  <w:num w:numId="141">
    <w:abstractNumId w:val="160"/>
  </w:num>
  <w:num w:numId="142">
    <w:abstractNumId w:val="156"/>
    <w:lvlOverride w:ilvl="0">
      <w:startOverride w:val="1"/>
    </w:lvlOverride>
  </w:num>
  <w:num w:numId="143">
    <w:abstractNumId w:val="156"/>
    <w:lvlOverride w:ilvl="0">
      <w:startOverride w:val="1"/>
    </w:lvlOverride>
  </w:num>
  <w:num w:numId="144">
    <w:abstractNumId w:val="30"/>
    <w:lvlOverride w:ilvl="0">
      <w:startOverride w:val="6"/>
    </w:lvlOverride>
  </w:num>
  <w:num w:numId="145">
    <w:abstractNumId w:val="30"/>
    <w:lvlOverride w:ilvl="0">
      <w:startOverride w:val="1"/>
    </w:lvlOverride>
  </w:num>
  <w:num w:numId="146">
    <w:abstractNumId w:val="30"/>
    <w:lvlOverride w:ilvl="0">
      <w:startOverride w:val="1"/>
    </w:lvlOverride>
  </w:num>
  <w:num w:numId="147">
    <w:abstractNumId w:val="30"/>
    <w:lvlOverride w:ilvl="0">
      <w:startOverride w:val="1"/>
    </w:lvlOverride>
  </w:num>
  <w:num w:numId="148">
    <w:abstractNumId w:val="30"/>
    <w:lvlOverride w:ilvl="0">
      <w:startOverride w:val="1"/>
    </w:lvlOverride>
  </w:num>
  <w:num w:numId="149">
    <w:abstractNumId w:val="30"/>
    <w:lvlOverride w:ilvl="0">
      <w:startOverride w:val="1"/>
    </w:lvlOverride>
  </w:num>
  <w:num w:numId="150">
    <w:abstractNumId w:val="30"/>
  </w:num>
  <w:num w:numId="151">
    <w:abstractNumId w:val="30"/>
    <w:lvlOverride w:ilvl="0">
      <w:startOverride w:val="3"/>
    </w:lvlOverride>
  </w:num>
  <w:num w:numId="1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4"/>
  </w:num>
  <w:num w:numId="1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9"/>
  </w:num>
  <w:num w:numId="156">
    <w:abstractNumId w:val="156"/>
    <w:lvlOverride w:ilvl="0">
      <w:startOverride w:val="1"/>
    </w:lvlOverride>
  </w:num>
  <w:num w:numId="157">
    <w:abstractNumId w:val="30"/>
    <w:lvlOverride w:ilvl="0">
      <w:startOverride w:val="1"/>
    </w:lvlOverride>
  </w:num>
  <w:num w:numId="158">
    <w:abstractNumId w:val="95"/>
  </w:num>
  <w:num w:numId="159">
    <w:abstractNumId w:val="18"/>
  </w:num>
  <w:num w:numId="160">
    <w:abstractNumId w:val="38"/>
  </w:num>
  <w:num w:numId="161">
    <w:abstractNumId w:val="103"/>
  </w:num>
  <w:num w:numId="162">
    <w:abstractNumId w:val="64"/>
  </w:num>
  <w:num w:numId="163">
    <w:abstractNumId w:val="57"/>
  </w:num>
  <w:num w:numId="164">
    <w:abstractNumId w:val="77"/>
  </w:num>
  <w:num w:numId="165">
    <w:abstractNumId w:val="161"/>
  </w:num>
  <w:num w:numId="166">
    <w:abstractNumId w:val="52"/>
  </w:num>
  <w:num w:numId="167">
    <w:abstractNumId w:val="125"/>
  </w:num>
  <w:num w:numId="168">
    <w:abstractNumId w:val="154"/>
  </w:num>
  <w:num w:numId="169">
    <w:abstractNumId w:val="101"/>
  </w:num>
  <w:num w:numId="170">
    <w:abstractNumId w:val="96"/>
  </w:num>
  <w:num w:numId="171">
    <w:abstractNumId w:val="149"/>
  </w:num>
  <w:num w:numId="172">
    <w:abstractNumId w:val="150"/>
  </w:num>
  <w:num w:numId="173">
    <w:abstractNumId w:val="54"/>
  </w:num>
  <w:num w:numId="174">
    <w:abstractNumId w:val="122"/>
  </w:num>
  <w:num w:numId="175">
    <w:abstractNumId w:val="21"/>
  </w:num>
  <w:num w:numId="176">
    <w:abstractNumId w:val="97"/>
  </w:num>
  <w:num w:numId="177">
    <w:abstractNumId w:val="32"/>
  </w:num>
  <w:num w:numId="178">
    <w:abstractNumId w:val="109"/>
  </w:num>
  <w:num w:numId="179">
    <w:abstractNumId w:val="144"/>
  </w:num>
  <w:num w:numId="180">
    <w:abstractNumId w:val="88"/>
  </w:num>
  <w:num w:numId="181">
    <w:abstractNumId w:val="164"/>
  </w:num>
  <w:num w:numId="182">
    <w:abstractNumId w:val="115"/>
  </w:num>
  <w:num w:numId="183">
    <w:abstractNumId w:val="70"/>
  </w:num>
  <w:num w:numId="184">
    <w:abstractNumId w:val="60"/>
  </w:num>
  <w:num w:numId="185">
    <w:abstractNumId w:val="53"/>
  </w:num>
  <w:num w:numId="186">
    <w:abstractNumId w:val="132"/>
  </w:num>
  <w:num w:numId="187">
    <w:abstractNumId w:val="31"/>
  </w:num>
  <w:num w:numId="188">
    <w:abstractNumId w:val="137"/>
  </w:num>
  <w:num w:numId="189">
    <w:abstractNumId w:val="67"/>
  </w:num>
  <w:num w:numId="190">
    <w:abstractNumId w:val="140"/>
  </w:num>
  <w:num w:numId="191">
    <w:abstractNumId w:val="2"/>
  </w:num>
  <w:num w:numId="192">
    <w:abstractNumId w:val="157"/>
  </w:num>
  <w:num w:numId="193">
    <w:abstractNumId w:val="87"/>
  </w:num>
  <w:num w:numId="194">
    <w:abstractNumId w:val="75"/>
  </w:num>
  <w:num w:numId="195">
    <w:abstractNumId w:val="49"/>
  </w:num>
  <w:num w:numId="196">
    <w:abstractNumId w:val="58"/>
  </w:num>
  <w:num w:numId="197">
    <w:abstractNumId w:val="152"/>
  </w:num>
  <w:num w:numId="198">
    <w:abstractNumId w:val="107"/>
  </w:num>
  <w:num w:numId="199">
    <w:abstractNumId w:val="121"/>
  </w:num>
  <w:num w:numId="200">
    <w:abstractNumId w:val="73"/>
  </w:num>
  <w:num w:numId="201">
    <w:abstractNumId w:val="65"/>
  </w:num>
  <w:num w:numId="202">
    <w:abstractNumId w:val="44"/>
  </w:num>
  <w:num w:numId="203">
    <w:abstractNumId w:val="120"/>
  </w:num>
  <w:num w:numId="204">
    <w:abstractNumId w:val="59"/>
  </w:num>
  <w:num w:numId="205">
    <w:abstractNumId w:val="155"/>
  </w:num>
  <w:num w:numId="206">
    <w:abstractNumId w:val="69"/>
  </w:num>
  <w:num w:numId="207">
    <w:abstractNumId w:val="61"/>
  </w:num>
  <w:num w:numId="208">
    <w:abstractNumId w:val="29"/>
  </w:num>
  <w:num w:numId="209">
    <w:abstractNumId w:val="14"/>
  </w:num>
  <w:num w:numId="210">
    <w:abstractNumId w:val="41"/>
  </w:num>
  <w:num w:numId="211">
    <w:abstractNumId w:val="139"/>
  </w:num>
  <w:num w:numId="212">
    <w:abstractNumId w:val="23"/>
  </w:num>
  <w:num w:numId="213">
    <w:abstractNumId w:val="1"/>
  </w:num>
  <w:num w:numId="214">
    <w:abstractNumId w:val="85"/>
  </w:num>
  <w:num w:numId="215">
    <w:abstractNumId w:val="105"/>
  </w:num>
  <w:num w:numId="216">
    <w:abstractNumId w:val="102"/>
  </w:num>
  <w:num w:numId="217">
    <w:abstractNumId w:val="124"/>
  </w:num>
  <w:num w:numId="218">
    <w:abstractNumId w:val="82"/>
  </w:num>
  <w:num w:numId="219">
    <w:abstractNumId w:val="143"/>
  </w:num>
  <w:num w:numId="220">
    <w:abstractNumId w:val="5"/>
  </w:num>
  <w:num w:numId="221">
    <w:abstractNumId w:val="16"/>
  </w:num>
  <w:num w:numId="222">
    <w:abstractNumId w:val="78"/>
  </w:num>
  <w:num w:numId="223">
    <w:abstractNumId w:val="74"/>
  </w:num>
  <w:num w:numId="224">
    <w:abstractNumId w:val="156"/>
  </w:num>
  <w:num w:numId="225">
    <w:abstractNumId w:val="156"/>
  </w:num>
  <w:num w:numId="226">
    <w:abstractNumId w:val="156"/>
  </w:num>
  <w:num w:numId="227">
    <w:abstractNumId w:val="156"/>
  </w:num>
  <w:num w:numId="228">
    <w:abstractNumId w:val="156"/>
  </w:num>
  <w:num w:numId="229">
    <w:abstractNumId w:val="114"/>
  </w:num>
  <w:num w:numId="23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56"/>
  </w:num>
  <w:num w:numId="240">
    <w:abstractNumId w:val="26"/>
  </w:num>
  <w:num w:numId="241">
    <w:abstractNumId w:val="106"/>
  </w:num>
  <w:num w:numId="242">
    <w:abstractNumId w:val="148"/>
  </w:num>
  <w:num w:numId="243">
    <w:abstractNumId w:val="100"/>
  </w:num>
  <w:num w:numId="244">
    <w:abstractNumId w:val="113"/>
  </w:num>
  <w:num w:numId="245">
    <w:abstractNumId w:val="112"/>
  </w:num>
  <w:num w:numId="246">
    <w:abstractNumId w:val="123"/>
  </w:num>
  <w:num w:numId="247">
    <w:abstractNumId w:val="81"/>
  </w:num>
  <w:num w:numId="248">
    <w:abstractNumId w:val="110"/>
  </w:num>
  <w:num w:numId="249">
    <w:abstractNumId w:val="20"/>
  </w:num>
  <w:num w:numId="250">
    <w:abstractNumId w:val="134"/>
  </w:num>
  <w:num w:numId="251">
    <w:abstractNumId w:val="141"/>
  </w:num>
  <w:num w:numId="25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54"/>
  </w:num>
  <w:num w:numId="25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1"/>
  </w:num>
  <w:num w:numId="257">
    <w:abstractNumId w:val="51"/>
  </w:num>
  <w:num w:numId="258">
    <w:abstractNumId w:val="56"/>
  </w:num>
  <w:num w:numId="259">
    <w:abstractNumId w:val="35"/>
  </w:num>
  <w:num w:numId="260">
    <w:abstractNumId w:val="9"/>
  </w:num>
  <w:num w:numId="261">
    <w:abstractNumId w:val="71"/>
  </w:num>
  <w:num w:numId="262">
    <w:abstractNumId w:val="163"/>
  </w:num>
  <w:num w:numId="263">
    <w:abstractNumId w:val="28"/>
  </w:num>
  <w:num w:numId="264">
    <w:abstractNumId w:val="156"/>
    <w:lvlOverride w:ilvl="0">
      <w:startOverride w:val="1"/>
    </w:lvlOverride>
  </w:num>
  <w:num w:numId="265">
    <w:abstractNumId w:val="156"/>
  </w:num>
  <w:num w:numId="266">
    <w:abstractNumId w:val="156"/>
    <w:lvlOverride w:ilvl="0">
      <w:startOverride w:val="1"/>
    </w:lvlOverride>
  </w:num>
  <w:num w:numId="267">
    <w:abstractNumId w:val="156"/>
    <w:lvlOverride w:ilvl="0">
      <w:startOverride w:val="1"/>
    </w:lvlOverride>
  </w:num>
  <w:num w:numId="268">
    <w:abstractNumId w:val="156"/>
    <w:lvlOverride w:ilvl="0">
      <w:startOverride w:val="1"/>
    </w:lvlOverride>
  </w:num>
  <w:num w:numId="269">
    <w:abstractNumId w:val="118"/>
  </w:num>
  <w:num w:numId="270">
    <w:abstractNumId w:val="30"/>
  </w:num>
  <w:num w:numId="271">
    <w:abstractNumId w:val="136"/>
  </w:num>
  <w:num w:numId="272">
    <w:abstractNumId w:val="30"/>
    <w:lvlOverride w:ilvl="0">
      <w:startOverride w:val="2"/>
    </w:lvlOverride>
  </w:num>
  <w:num w:numId="273">
    <w:abstractNumId w:val="156"/>
    <w:lvlOverride w:ilvl="0">
      <w:startOverride w:val="3"/>
    </w:lvlOverride>
  </w:num>
  <w:num w:numId="274">
    <w:abstractNumId w:val="156"/>
    <w:lvlOverride w:ilvl="0">
      <w:startOverride w:val="2"/>
    </w:lvlOverride>
  </w:num>
  <w:num w:numId="275">
    <w:abstractNumId w:val="156"/>
    <w:lvlOverride w:ilvl="0">
      <w:startOverride w:val="2"/>
    </w:lvlOverride>
  </w:num>
  <w:num w:numId="276">
    <w:abstractNumId w:val="156"/>
    <w:lvlOverride w:ilvl="0">
      <w:startOverride w:val="1"/>
    </w:lvlOverride>
  </w:num>
  <w:num w:numId="277">
    <w:abstractNumId w:val="46"/>
  </w:num>
  <w:num w:numId="278">
    <w:abstractNumId w:val="30"/>
    <w:lvlOverride w:ilvl="0">
      <w:startOverride w:val="12"/>
    </w:lvlOverride>
  </w:num>
  <w:num w:numId="279">
    <w:abstractNumId w:val="156"/>
    <w:lvlOverride w:ilvl="0">
      <w:startOverride w:val="1"/>
    </w:lvlOverride>
  </w:num>
  <w:num w:numId="280">
    <w:abstractNumId w:val="6"/>
  </w:num>
  <w:num w:numId="281">
    <w:abstractNumId w:val="30"/>
  </w:num>
  <w:num w:numId="282">
    <w:abstractNumId w:val="156"/>
    <w:lvlOverride w:ilvl="0">
      <w:startOverride w:val="1"/>
    </w:lvlOverride>
  </w:num>
  <w:num w:numId="283">
    <w:abstractNumId w:val="156"/>
    <w:lvlOverride w:ilvl="0">
      <w:startOverride w:val="1"/>
    </w:lvlOverride>
  </w:num>
  <w:num w:numId="284">
    <w:abstractNumId w:val="156"/>
  </w:num>
  <w:num w:numId="285">
    <w:abstractNumId w:val="156"/>
    <w:lvlOverride w:ilvl="0">
      <w:startOverride w:val="2"/>
    </w:lvlOverride>
  </w:num>
  <w:num w:numId="286">
    <w:abstractNumId w:val="156"/>
    <w:lvlOverride w:ilvl="0">
      <w:startOverride w:val="1"/>
    </w:lvlOverride>
  </w:num>
  <w:num w:numId="287">
    <w:abstractNumId w:val="4"/>
  </w:num>
  <w:num w:numId="288">
    <w:abstractNumId w:val="156"/>
    <w:lvlOverride w:ilvl="0">
      <w:startOverride w:val="1"/>
    </w:lvlOverride>
  </w:num>
  <w:num w:numId="289">
    <w:abstractNumId w:val="138"/>
  </w:num>
  <w:num w:numId="290">
    <w:abstractNumId w:val="30"/>
  </w:num>
  <w:num w:numId="291">
    <w:abstractNumId w:val="30"/>
    <w:lvlOverride w:ilvl="0">
      <w:startOverride w:val="2"/>
    </w:lvlOverride>
  </w:num>
  <w:num w:numId="292">
    <w:abstractNumId w:val="146"/>
  </w:num>
  <w:num w:numId="293">
    <w:abstractNumId w:val="25"/>
  </w:num>
  <w:num w:numId="294">
    <w:abstractNumId w:val="128"/>
  </w:num>
  <w:num w:numId="295">
    <w:abstractNumId w:val="19"/>
  </w:num>
  <w:num w:numId="296">
    <w:abstractNumId w:val="91"/>
  </w:num>
  <w:num w:numId="297">
    <w:abstractNumId w:val="151"/>
  </w:num>
  <w:num w:numId="298">
    <w:abstractNumId w:val="0"/>
  </w:num>
  <w:num w:numId="299">
    <w:abstractNumId w:val="47"/>
  </w:num>
  <w:num w:numId="300">
    <w:abstractNumId w:val="119"/>
  </w:num>
  <w:num w:numId="301">
    <w:abstractNumId w:val="158"/>
  </w:num>
  <w:num w:numId="302">
    <w:abstractNumId w:val="30"/>
  </w:num>
  <w:num w:numId="303">
    <w:abstractNumId w:val="30"/>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F0CDA4FC050C4B63B95F6FF0CDEB2588"/>
    <w:docVar w:name="LW_CROSSREFERENCE" w:val="{COM(2017) 535 final}"/>
    <w:docVar w:name="LW_DocType" w:val="NORMAL"/>
    <w:docVar w:name="LW_EMISSION" w:val="25.9.2017"/>
    <w:docVar w:name="LW_EMISSION_ISODATE" w:val="2017-09-25"/>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financial instruments supported by the general budget according to Art. 140.8 of the Financial Regulation as at 31 December 2016"/>
    <w:docVar w:name="LW_PART_NBR" w:val="1"/>
    <w:docVar w:name="LW_PART_NBR_TOTAL" w:val="2"/>
    <w:docVar w:name="LW_REF.INST.NEW" w:val="SWD"/>
    <w:docVar w:name="LW_REF.INST.NEW_ADOPTED" w:val="final"/>
    <w:docVar w:name="LW_REF.INST.NEW_TEXT" w:val="(2017) 312"/>
    <w:docVar w:name="LW_REF.INTERNE" w:val="&lt;UNUSED&gt;"/>
    <w:docVar w:name="LW_SUPERTITRE" w:val="&lt;UNUSED&gt;"/>
    <w:docVar w:name="LW_TITRE.OBJ.CP" w:val="Activities relating to financial instruments "/>
    <w:docVar w:name="LW_TYPE.DOC.CP" w:val="COMMISSION STAFF WORKING DOCUMENT"/>
    <w:docVar w:name="LW_TYPEACTEPRINCIPAL.CP" w:val="REPORT FROM THE COMMISSION TO THE EUROPEAN PARLIAMENT AND THE COUNCIL"/>
  </w:docVars>
  <w:rsids>
    <w:rsidRoot w:val="0073489B"/>
    <w:rsid w:val="00664D9C"/>
    <w:rsid w:val="0073489B"/>
    <w:rsid w:val="00A46D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840"/>
      <w:ind w:left="426" w:hanging="426"/>
      <w:contextualSpacing/>
      <w:outlineLvl w:val="2"/>
    </w:pPr>
    <w:rPr>
      <w:b/>
      <w:noProof/>
      <w:szCs w:val="24"/>
    </w:rPr>
  </w:style>
  <w:style w:type="paragraph" w:styleId="Heading4">
    <w:name w:val="heading 4"/>
    <w:basedOn w:val="Normal"/>
    <w:next w:val="Normal"/>
    <w:link w:val="Heading4Char"/>
    <w:uiPriority w:val="9"/>
    <w:unhideWhenUsed/>
    <w:qFormat/>
    <w:pPr>
      <w:keepNext/>
      <w:numPr>
        <w:numId w:val="284"/>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290"/>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noProof/>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rPr>
      <w:rFonts w:eastAsia="Times New Roman"/>
      <w:szCs w:val="24"/>
      <w:lang w:eastAsia="en-GB"/>
    </w:rPr>
  </w:style>
  <w:style w:type="paragraph" w:customStyle="1" w:styleId="CM1">
    <w:name w:val="CM1"/>
    <w:basedOn w:val="Normal"/>
    <w:next w:val="Normal"/>
    <w:uiPriority w:val="99"/>
    <w:pPr>
      <w:autoSpaceDE w:val="0"/>
      <w:autoSpaceDN w:val="0"/>
      <w:adjustRightInd w:val="0"/>
    </w:pPr>
    <w:rPr>
      <w:rFonts w:ascii="EUAlbertina" w:hAnsi="EUAlbertina"/>
      <w:szCs w:val="24"/>
    </w:rPr>
  </w:style>
  <w:style w:type="paragraph" w:customStyle="1" w:styleId="CM3">
    <w:name w:val="CM3"/>
    <w:basedOn w:val="Normal"/>
    <w:next w:val="Normal"/>
    <w:uiPriority w:val="99"/>
    <w:pPr>
      <w:autoSpaceDE w:val="0"/>
      <w:autoSpaceDN w:val="0"/>
      <w:adjustRightInd w:val="0"/>
    </w:pPr>
    <w:rPr>
      <w:rFonts w:ascii="EUAlbertina" w:hAnsi="EUAlbertina"/>
      <w:szCs w:val="24"/>
    </w:rPr>
  </w:style>
  <w:style w:type="paragraph" w:customStyle="1" w:styleId="Nor">
    <w:name w:val="Nor"/>
    <w:aliases w:val="ql"/>
    <w:basedOn w:val="ListParagraph"/>
    <w:pPr>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pPr>
      <w:numPr>
        <w:numId w:val="7"/>
      </w:numPr>
    </w:pPr>
  </w:style>
  <w:style w:type="numbering" w:customStyle="1" w:styleId="1111111">
    <w:name w:val="1 / 1.1 / 1.1.11"/>
    <w:basedOn w:val="NoList"/>
    <w:next w:val="111111"/>
    <w:pPr>
      <w:numPr>
        <w:numId w:val="11"/>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13"/>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ind w:left="644"/>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74"/>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tabs>
        <w:tab w:val="num" w:pos="360"/>
      </w:tabs>
      <w:ind w:left="644" w:hanging="360"/>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pPr>
      <w:tabs>
        <w:tab w:val="left" w:pos="1134"/>
        <w:tab w:val="left" w:pos="1418"/>
      </w:tabs>
      <w:overflowPunct w:val="0"/>
      <w:autoSpaceDE w:val="0"/>
      <w:autoSpaceDN w:val="0"/>
      <w:adjustRightInd w:val="0"/>
      <w:spacing w:before="60"/>
      <w:ind w:left="1418" w:hanging="1418"/>
      <w:textAlignment w:val="baseline"/>
    </w:pPr>
    <w:rPr>
      <w:rFonts w:ascii="Futura Lt BT" w:eastAsia="Times New Roman" w:hAnsi="Futura Lt BT"/>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840"/>
      <w:ind w:left="426" w:hanging="426"/>
      <w:contextualSpacing/>
      <w:outlineLvl w:val="2"/>
    </w:pPr>
    <w:rPr>
      <w:b/>
      <w:noProof/>
      <w:szCs w:val="24"/>
    </w:rPr>
  </w:style>
  <w:style w:type="paragraph" w:styleId="Heading4">
    <w:name w:val="heading 4"/>
    <w:basedOn w:val="Normal"/>
    <w:next w:val="Normal"/>
    <w:link w:val="Heading4Char"/>
    <w:uiPriority w:val="9"/>
    <w:unhideWhenUsed/>
    <w:qFormat/>
    <w:pPr>
      <w:keepNext/>
      <w:numPr>
        <w:numId w:val="284"/>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290"/>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noProof/>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rPr>
      <w:rFonts w:eastAsia="Times New Roman"/>
      <w:szCs w:val="24"/>
      <w:lang w:eastAsia="en-GB"/>
    </w:rPr>
  </w:style>
  <w:style w:type="paragraph" w:customStyle="1" w:styleId="CM1">
    <w:name w:val="CM1"/>
    <w:basedOn w:val="Normal"/>
    <w:next w:val="Normal"/>
    <w:uiPriority w:val="99"/>
    <w:pPr>
      <w:autoSpaceDE w:val="0"/>
      <w:autoSpaceDN w:val="0"/>
      <w:adjustRightInd w:val="0"/>
    </w:pPr>
    <w:rPr>
      <w:rFonts w:ascii="EUAlbertina" w:hAnsi="EUAlbertina"/>
      <w:szCs w:val="24"/>
    </w:rPr>
  </w:style>
  <w:style w:type="paragraph" w:customStyle="1" w:styleId="CM3">
    <w:name w:val="CM3"/>
    <w:basedOn w:val="Normal"/>
    <w:next w:val="Normal"/>
    <w:uiPriority w:val="99"/>
    <w:pPr>
      <w:autoSpaceDE w:val="0"/>
      <w:autoSpaceDN w:val="0"/>
      <w:adjustRightInd w:val="0"/>
    </w:pPr>
    <w:rPr>
      <w:rFonts w:ascii="EUAlbertina" w:hAnsi="EUAlbertina"/>
      <w:szCs w:val="24"/>
    </w:rPr>
  </w:style>
  <w:style w:type="paragraph" w:customStyle="1" w:styleId="Nor">
    <w:name w:val="Nor"/>
    <w:aliases w:val="ql"/>
    <w:basedOn w:val="ListParagraph"/>
    <w:pPr>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pPr>
      <w:numPr>
        <w:numId w:val="7"/>
      </w:numPr>
    </w:pPr>
  </w:style>
  <w:style w:type="numbering" w:customStyle="1" w:styleId="1111111">
    <w:name w:val="1 / 1.1 / 1.1.11"/>
    <w:basedOn w:val="NoList"/>
    <w:next w:val="111111"/>
    <w:pPr>
      <w:numPr>
        <w:numId w:val="11"/>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13"/>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ind w:left="644"/>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74"/>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tabs>
        <w:tab w:val="num" w:pos="360"/>
      </w:tabs>
      <w:ind w:left="644" w:hanging="360"/>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pPr>
      <w:tabs>
        <w:tab w:val="left" w:pos="1134"/>
        <w:tab w:val="left" w:pos="1418"/>
      </w:tabs>
      <w:overflowPunct w:val="0"/>
      <w:autoSpaceDE w:val="0"/>
      <w:autoSpaceDN w:val="0"/>
      <w:adjustRightInd w:val="0"/>
      <w:spacing w:before="60"/>
      <w:ind w:left="1418" w:hanging="1418"/>
      <w:textAlignment w:val="baseline"/>
    </w:pPr>
    <w:rPr>
      <w:rFonts w:ascii="Futura Lt BT" w:eastAsia="Times New Roman" w:hAnsi="Futura Lt BT"/>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9">
      <w:bodyDiv w:val="1"/>
      <w:marLeft w:val="0"/>
      <w:marRight w:val="0"/>
      <w:marTop w:val="0"/>
      <w:marBottom w:val="0"/>
      <w:divBdr>
        <w:top w:val="none" w:sz="0" w:space="0" w:color="auto"/>
        <w:left w:val="none" w:sz="0" w:space="0" w:color="auto"/>
        <w:bottom w:val="none" w:sz="0" w:space="0" w:color="auto"/>
        <w:right w:val="none" w:sz="0" w:space="0" w:color="auto"/>
      </w:divBdr>
    </w:div>
    <w:div w:id="67458574">
      <w:bodyDiv w:val="1"/>
      <w:marLeft w:val="0"/>
      <w:marRight w:val="0"/>
      <w:marTop w:val="0"/>
      <w:marBottom w:val="0"/>
      <w:divBdr>
        <w:top w:val="none" w:sz="0" w:space="0" w:color="auto"/>
        <w:left w:val="none" w:sz="0" w:space="0" w:color="auto"/>
        <w:bottom w:val="none" w:sz="0" w:space="0" w:color="auto"/>
        <w:right w:val="none" w:sz="0" w:space="0" w:color="auto"/>
      </w:divBdr>
    </w:div>
    <w:div w:id="91513240">
      <w:bodyDiv w:val="1"/>
      <w:marLeft w:val="0"/>
      <w:marRight w:val="0"/>
      <w:marTop w:val="0"/>
      <w:marBottom w:val="0"/>
      <w:divBdr>
        <w:top w:val="none" w:sz="0" w:space="0" w:color="auto"/>
        <w:left w:val="none" w:sz="0" w:space="0" w:color="auto"/>
        <w:bottom w:val="none" w:sz="0" w:space="0" w:color="auto"/>
        <w:right w:val="none" w:sz="0" w:space="0" w:color="auto"/>
      </w:divBdr>
    </w:div>
    <w:div w:id="136801749">
      <w:bodyDiv w:val="1"/>
      <w:marLeft w:val="0"/>
      <w:marRight w:val="0"/>
      <w:marTop w:val="0"/>
      <w:marBottom w:val="0"/>
      <w:divBdr>
        <w:top w:val="none" w:sz="0" w:space="0" w:color="auto"/>
        <w:left w:val="none" w:sz="0" w:space="0" w:color="auto"/>
        <w:bottom w:val="none" w:sz="0" w:space="0" w:color="auto"/>
        <w:right w:val="none" w:sz="0" w:space="0" w:color="auto"/>
      </w:divBdr>
    </w:div>
    <w:div w:id="243804371">
      <w:bodyDiv w:val="1"/>
      <w:marLeft w:val="0"/>
      <w:marRight w:val="0"/>
      <w:marTop w:val="0"/>
      <w:marBottom w:val="0"/>
      <w:divBdr>
        <w:top w:val="none" w:sz="0" w:space="0" w:color="auto"/>
        <w:left w:val="none" w:sz="0" w:space="0" w:color="auto"/>
        <w:bottom w:val="none" w:sz="0" w:space="0" w:color="auto"/>
        <w:right w:val="none" w:sz="0" w:space="0" w:color="auto"/>
      </w:divBdr>
    </w:div>
    <w:div w:id="263347809">
      <w:bodyDiv w:val="1"/>
      <w:marLeft w:val="0"/>
      <w:marRight w:val="0"/>
      <w:marTop w:val="0"/>
      <w:marBottom w:val="0"/>
      <w:divBdr>
        <w:top w:val="none" w:sz="0" w:space="0" w:color="auto"/>
        <w:left w:val="none" w:sz="0" w:space="0" w:color="auto"/>
        <w:bottom w:val="none" w:sz="0" w:space="0" w:color="auto"/>
        <w:right w:val="none" w:sz="0" w:space="0" w:color="auto"/>
      </w:divBdr>
    </w:div>
    <w:div w:id="279916938">
      <w:bodyDiv w:val="1"/>
      <w:marLeft w:val="0"/>
      <w:marRight w:val="0"/>
      <w:marTop w:val="0"/>
      <w:marBottom w:val="0"/>
      <w:divBdr>
        <w:top w:val="none" w:sz="0" w:space="0" w:color="auto"/>
        <w:left w:val="none" w:sz="0" w:space="0" w:color="auto"/>
        <w:bottom w:val="none" w:sz="0" w:space="0" w:color="auto"/>
        <w:right w:val="none" w:sz="0" w:space="0" w:color="auto"/>
      </w:divBdr>
    </w:div>
    <w:div w:id="301035845">
      <w:bodyDiv w:val="1"/>
      <w:marLeft w:val="0"/>
      <w:marRight w:val="0"/>
      <w:marTop w:val="0"/>
      <w:marBottom w:val="0"/>
      <w:divBdr>
        <w:top w:val="none" w:sz="0" w:space="0" w:color="auto"/>
        <w:left w:val="none" w:sz="0" w:space="0" w:color="auto"/>
        <w:bottom w:val="none" w:sz="0" w:space="0" w:color="auto"/>
        <w:right w:val="none" w:sz="0" w:space="0" w:color="auto"/>
      </w:divBdr>
    </w:div>
    <w:div w:id="381445061">
      <w:bodyDiv w:val="1"/>
      <w:marLeft w:val="0"/>
      <w:marRight w:val="0"/>
      <w:marTop w:val="0"/>
      <w:marBottom w:val="0"/>
      <w:divBdr>
        <w:top w:val="none" w:sz="0" w:space="0" w:color="auto"/>
        <w:left w:val="none" w:sz="0" w:space="0" w:color="auto"/>
        <w:bottom w:val="none" w:sz="0" w:space="0" w:color="auto"/>
        <w:right w:val="none" w:sz="0" w:space="0" w:color="auto"/>
      </w:divBdr>
    </w:div>
    <w:div w:id="444932449">
      <w:bodyDiv w:val="1"/>
      <w:marLeft w:val="0"/>
      <w:marRight w:val="0"/>
      <w:marTop w:val="0"/>
      <w:marBottom w:val="0"/>
      <w:divBdr>
        <w:top w:val="none" w:sz="0" w:space="0" w:color="auto"/>
        <w:left w:val="none" w:sz="0" w:space="0" w:color="auto"/>
        <w:bottom w:val="none" w:sz="0" w:space="0" w:color="auto"/>
        <w:right w:val="none" w:sz="0" w:space="0" w:color="auto"/>
      </w:divBdr>
    </w:div>
    <w:div w:id="445345902">
      <w:bodyDiv w:val="1"/>
      <w:marLeft w:val="0"/>
      <w:marRight w:val="0"/>
      <w:marTop w:val="0"/>
      <w:marBottom w:val="0"/>
      <w:divBdr>
        <w:top w:val="none" w:sz="0" w:space="0" w:color="auto"/>
        <w:left w:val="none" w:sz="0" w:space="0" w:color="auto"/>
        <w:bottom w:val="none" w:sz="0" w:space="0" w:color="auto"/>
        <w:right w:val="none" w:sz="0" w:space="0" w:color="auto"/>
      </w:divBdr>
      <w:divsChild>
        <w:div w:id="640619589">
          <w:marLeft w:val="0"/>
          <w:marRight w:val="0"/>
          <w:marTop w:val="0"/>
          <w:marBottom w:val="0"/>
          <w:divBdr>
            <w:top w:val="none" w:sz="0" w:space="0" w:color="auto"/>
            <w:left w:val="none" w:sz="0" w:space="0" w:color="auto"/>
            <w:bottom w:val="none" w:sz="0" w:space="0" w:color="auto"/>
            <w:right w:val="none" w:sz="0" w:space="0" w:color="auto"/>
          </w:divBdr>
          <w:divsChild>
            <w:div w:id="568728262">
              <w:marLeft w:val="0"/>
              <w:marRight w:val="0"/>
              <w:marTop w:val="0"/>
              <w:marBottom w:val="0"/>
              <w:divBdr>
                <w:top w:val="none" w:sz="0" w:space="0" w:color="auto"/>
                <w:left w:val="none" w:sz="0" w:space="0" w:color="auto"/>
                <w:bottom w:val="none" w:sz="0" w:space="0" w:color="auto"/>
                <w:right w:val="none" w:sz="0" w:space="0" w:color="auto"/>
              </w:divBdr>
              <w:divsChild>
                <w:div w:id="1273702824">
                  <w:marLeft w:val="0"/>
                  <w:marRight w:val="0"/>
                  <w:marTop w:val="0"/>
                  <w:marBottom w:val="0"/>
                  <w:divBdr>
                    <w:top w:val="none" w:sz="0" w:space="0" w:color="auto"/>
                    <w:left w:val="none" w:sz="0" w:space="0" w:color="auto"/>
                    <w:bottom w:val="none" w:sz="0" w:space="0" w:color="auto"/>
                    <w:right w:val="none" w:sz="0" w:space="0" w:color="auto"/>
                  </w:divBdr>
                  <w:divsChild>
                    <w:div w:id="1659260932">
                      <w:marLeft w:val="0"/>
                      <w:marRight w:val="0"/>
                      <w:marTop w:val="0"/>
                      <w:marBottom w:val="0"/>
                      <w:divBdr>
                        <w:top w:val="none" w:sz="0" w:space="0" w:color="auto"/>
                        <w:left w:val="none" w:sz="0" w:space="0" w:color="auto"/>
                        <w:bottom w:val="none" w:sz="0" w:space="0" w:color="auto"/>
                        <w:right w:val="none" w:sz="0" w:space="0" w:color="auto"/>
                      </w:divBdr>
                      <w:divsChild>
                        <w:div w:id="1237738719">
                          <w:marLeft w:val="0"/>
                          <w:marRight w:val="0"/>
                          <w:marTop w:val="0"/>
                          <w:marBottom w:val="0"/>
                          <w:divBdr>
                            <w:top w:val="none" w:sz="0" w:space="0" w:color="auto"/>
                            <w:left w:val="none" w:sz="0" w:space="0" w:color="auto"/>
                            <w:bottom w:val="none" w:sz="0" w:space="0" w:color="auto"/>
                            <w:right w:val="none" w:sz="0" w:space="0" w:color="auto"/>
                          </w:divBdr>
                          <w:divsChild>
                            <w:div w:id="20637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76512">
      <w:bodyDiv w:val="1"/>
      <w:marLeft w:val="0"/>
      <w:marRight w:val="0"/>
      <w:marTop w:val="0"/>
      <w:marBottom w:val="0"/>
      <w:divBdr>
        <w:top w:val="none" w:sz="0" w:space="0" w:color="auto"/>
        <w:left w:val="none" w:sz="0" w:space="0" w:color="auto"/>
        <w:bottom w:val="none" w:sz="0" w:space="0" w:color="auto"/>
        <w:right w:val="none" w:sz="0" w:space="0" w:color="auto"/>
      </w:divBdr>
    </w:div>
    <w:div w:id="507256735">
      <w:bodyDiv w:val="1"/>
      <w:marLeft w:val="0"/>
      <w:marRight w:val="0"/>
      <w:marTop w:val="0"/>
      <w:marBottom w:val="0"/>
      <w:divBdr>
        <w:top w:val="none" w:sz="0" w:space="0" w:color="auto"/>
        <w:left w:val="none" w:sz="0" w:space="0" w:color="auto"/>
        <w:bottom w:val="none" w:sz="0" w:space="0" w:color="auto"/>
        <w:right w:val="none" w:sz="0" w:space="0" w:color="auto"/>
      </w:divBdr>
    </w:div>
    <w:div w:id="521238337">
      <w:bodyDiv w:val="1"/>
      <w:marLeft w:val="0"/>
      <w:marRight w:val="0"/>
      <w:marTop w:val="0"/>
      <w:marBottom w:val="0"/>
      <w:divBdr>
        <w:top w:val="none" w:sz="0" w:space="0" w:color="auto"/>
        <w:left w:val="none" w:sz="0" w:space="0" w:color="auto"/>
        <w:bottom w:val="none" w:sz="0" w:space="0" w:color="auto"/>
        <w:right w:val="none" w:sz="0" w:space="0" w:color="auto"/>
      </w:divBdr>
    </w:div>
    <w:div w:id="537356600">
      <w:bodyDiv w:val="1"/>
      <w:marLeft w:val="0"/>
      <w:marRight w:val="0"/>
      <w:marTop w:val="0"/>
      <w:marBottom w:val="0"/>
      <w:divBdr>
        <w:top w:val="none" w:sz="0" w:space="0" w:color="auto"/>
        <w:left w:val="none" w:sz="0" w:space="0" w:color="auto"/>
        <w:bottom w:val="none" w:sz="0" w:space="0" w:color="auto"/>
        <w:right w:val="none" w:sz="0" w:space="0" w:color="auto"/>
      </w:divBdr>
    </w:div>
    <w:div w:id="539246279">
      <w:bodyDiv w:val="1"/>
      <w:marLeft w:val="0"/>
      <w:marRight w:val="0"/>
      <w:marTop w:val="0"/>
      <w:marBottom w:val="0"/>
      <w:divBdr>
        <w:top w:val="none" w:sz="0" w:space="0" w:color="auto"/>
        <w:left w:val="none" w:sz="0" w:space="0" w:color="auto"/>
        <w:bottom w:val="none" w:sz="0" w:space="0" w:color="auto"/>
        <w:right w:val="none" w:sz="0" w:space="0" w:color="auto"/>
      </w:divBdr>
    </w:div>
    <w:div w:id="562717057">
      <w:bodyDiv w:val="1"/>
      <w:marLeft w:val="0"/>
      <w:marRight w:val="0"/>
      <w:marTop w:val="0"/>
      <w:marBottom w:val="0"/>
      <w:divBdr>
        <w:top w:val="none" w:sz="0" w:space="0" w:color="auto"/>
        <w:left w:val="none" w:sz="0" w:space="0" w:color="auto"/>
        <w:bottom w:val="none" w:sz="0" w:space="0" w:color="auto"/>
        <w:right w:val="none" w:sz="0" w:space="0" w:color="auto"/>
      </w:divBdr>
    </w:div>
    <w:div w:id="571232707">
      <w:bodyDiv w:val="1"/>
      <w:marLeft w:val="0"/>
      <w:marRight w:val="0"/>
      <w:marTop w:val="0"/>
      <w:marBottom w:val="0"/>
      <w:divBdr>
        <w:top w:val="none" w:sz="0" w:space="0" w:color="auto"/>
        <w:left w:val="none" w:sz="0" w:space="0" w:color="auto"/>
        <w:bottom w:val="none" w:sz="0" w:space="0" w:color="auto"/>
        <w:right w:val="none" w:sz="0" w:space="0" w:color="auto"/>
      </w:divBdr>
    </w:div>
    <w:div w:id="572399614">
      <w:bodyDiv w:val="1"/>
      <w:marLeft w:val="0"/>
      <w:marRight w:val="0"/>
      <w:marTop w:val="0"/>
      <w:marBottom w:val="0"/>
      <w:divBdr>
        <w:top w:val="none" w:sz="0" w:space="0" w:color="auto"/>
        <w:left w:val="none" w:sz="0" w:space="0" w:color="auto"/>
        <w:bottom w:val="none" w:sz="0" w:space="0" w:color="auto"/>
        <w:right w:val="none" w:sz="0" w:space="0" w:color="auto"/>
      </w:divBdr>
    </w:div>
    <w:div w:id="591938332">
      <w:bodyDiv w:val="1"/>
      <w:marLeft w:val="0"/>
      <w:marRight w:val="0"/>
      <w:marTop w:val="0"/>
      <w:marBottom w:val="0"/>
      <w:divBdr>
        <w:top w:val="none" w:sz="0" w:space="0" w:color="auto"/>
        <w:left w:val="none" w:sz="0" w:space="0" w:color="auto"/>
        <w:bottom w:val="none" w:sz="0" w:space="0" w:color="auto"/>
        <w:right w:val="none" w:sz="0" w:space="0" w:color="auto"/>
      </w:divBdr>
    </w:div>
    <w:div w:id="630942383">
      <w:bodyDiv w:val="1"/>
      <w:marLeft w:val="0"/>
      <w:marRight w:val="0"/>
      <w:marTop w:val="0"/>
      <w:marBottom w:val="0"/>
      <w:divBdr>
        <w:top w:val="none" w:sz="0" w:space="0" w:color="auto"/>
        <w:left w:val="none" w:sz="0" w:space="0" w:color="auto"/>
        <w:bottom w:val="none" w:sz="0" w:space="0" w:color="auto"/>
        <w:right w:val="none" w:sz="0" w:space="0" w:color="auto"/>
      </w:divBdr>
    </w:div>
    <w:div w:id="633027062">
      <w:bodyDiv w:val="1"/>
      <w:marLeft w:val="0"/>
      <w:marRight w:val="0"/>
      <w:marTop w:val="0"/>
      <w:marBottom w:val="0"/>
      <w:divBdr>
        <w:top w:val="none" w:sz="0" w:space="0" w:color="auto"/>
        <w:left w:val="none" w:sz="0" w:space="0" w:color="auto"/>
        <w:bottom w:val="none" w:sz="0" w:space="0" w:color="auto"/>
        <w:right w:val="none" w:sz="0" w:space="0" w:color="auto"/>
      </w:divBdr>
    </w:div>
    <w:div w:id="637685392">
      <w:bodyDiv w:val="1"/>
      <w:marLeft w:val="0"/>
      <w:marRight w:val="0"/>
      <w:marTop w:val="0"/>
      <w:marBottom w:val="0"/>
      <w:divBdr>
        <w:top w:val="none" w:sz="0" w:space="0" w:color="auto"/>
        <w:left w:val="none" w:sz="0" w:space="0" w:color="auto"/>
        <w:bottom w:val="none" w:sz="0" w:space="0" w:color="auto"/>
        <w:right w:val="none" w:sz="0" w:space="0" w:color="auto"/>
      </w:divBdr>
    </w:div>
    <w:div w:id="662853642">
      <w:bodyDiv w:val="1"/>
      <w:marLeft w:val="0"/>
      <w:marRight w:val="0"/>
      <w:marTop w:val="0"/>
      <w:marBottom w:val="0"/>
      <w:divBdr>
        <w:top w:val="none" w:sz="0" w:space="0" w:color="auto"/>
        <w:left w:val="none" w:sz="0" w:space="0" w:color="auto"/>
        <w:bottom w:val="none" w:sz="0" w:space="0" w:color="auto"/>
        <w:right w:val="none" w:sz="0" w:space="0" w:color="auto"/>
      </w:divBdr>
    </w:div>
    <w:div w:id="671493347">
      <w:bodyDiv w:val="1"/>
      <w:marLeft w:val="0"/>
      <w:marRight w:val="0"/>
      <w:marTop w:val="0"/>
      <w:marBottom w:val="0"/>
      <w:divBdr>
        <w:top w:val="none" w:sz="0" w:space="0" w:color="auto"/>
        <w:left w:val="none" w:sz="0" w:space="0" w:color="auto"/>
        <w:bottom w:val="none" w:sz="0" w:space="0" w:color="auto"/>
        <w:right w:val="none" w:sz="0" w:space="0" w:color="auto"/>
      </w:divBdr>
    </w:div>
    <w:div w:id="695427981">
      <w:bodyDiv w:val="1"/>
      <w:marLeft w:val="0"/>
      <w:marRight w:val="0"/>
      <w:marTop w:val="0"/>
      <w:marBottom w:val="0"/>
      <w:divBdr>
        <w:top w:val="none" w:sz="0" w:space="0" w:color="auto"/>
        <w:left w:val="none" w:sz="0" w:space="0" w:color="auto"/>
        <w:bottom w:val="none" w:sz="0" w:space="0" w:color="auto"/>
        <w:right w:val="none" w:sz="0" w:space="0" w:color="auto"/>
      </w:divBdr>
    </w:div>
    <w:div w:id="703555794">
      <w:bodyDiv w:val="1"/>
      <w:marLeft w:val="0"/>
      <w:marRight w:val="0"/>
      <w:marTop w:val="0"/>
      <w:marBottom w:val="0"/>
      <w:divBdr>
        <w:top w:val="none" w:sz="0" w:space="0" w:color="auto"/>
        <w:left w:val="none" w:sz="0" w:space="0" w:color="auto"/>
        <w:bottom w:val="none" w:sz="0" w:space="0" w:color="auto"/>
        <w:right w:val="none" w:sz="0" w:space="0" w:color="auto"/>
      </w:divBdr>
    </w:div>
    <w:div w:id="717626369">
      <w:bodyDiv w:val="1"/>
      <w:marLeft w:val="0"/>
      <w:marRight w:val="0"/>
      <w:marTop w:val="0"/>
      <w:marBottom w:val="0"/>
      <w:divBdr>
        <w:top w:val="none" w:sz="0" w:space="0" w:color="auto"/>
        <w:left w:val="none" w:sz="0" w:space="0" w:color="auto"/>
        <w:bottom w:val="none" w:sz="0" w:space="0" w:color="auto"/>
        <w:right w:val="none" w:sz="0" w:space="0" w:color="auto"/>
      </w:divBdr>
    </w:div>
    <w:div w:id="734746844">
      <w:bodyDiv w:val="1"/>
      <w:marLeft w:val="0"/>
      <w:marRight w:val="0"/>
      <w:marTop w:val="0"/>
      <w:marBottom w:val="0"/>
      <w:divBdr>
        <w:top w:val="none" w:sz="0" w:space="0" w:color="auto"/>
        <w:left w:val="none" w:sz="0" w:space="0" w:color="auto"/>
        <w:bottom w:val="none" w:sz="0" w:space="0" w:color="auto"/>
        <w:right w:val="none" w:sz="0" w:space="0" w:color="auto"/>
      </w:divBdr>
    </w:div>
    <w:div w:id="738526221">
      <w:bodyDiv w:val="1"/>
      <w:marLeft w:val="0"/>
      <w:marRight w:val="0"/>
      <w:marTop w:val="0"/>
      <w:marBottom w:val="0"/>
      <w:divBdr>
        <w:top w:val="none" w:sz="0" w:space="0" w:color="auto"/>
        <w:left w:val="none" w:sz="0" w:space="0" w:color="auto"/>
        <w:bottom w:val="none" w:sz="0" w:space="0" w:color="auto"/>
        <w:right w:val="none" w:sz="0" w:space="0" w:color="auto"/>
      </w:divBdr>
    </w:div>
    <w:div w:id="752975581">
      <w:bodyDiv w:val="1"/>
      <w:marLeft w:val="0"/>
      <w:marRight w:val="0"/>
      <w:marTop w:val="0"/>
      <w:marBottom w:val="0"/>
      <w:divBdr>
        <w:top w:val="none" w:sz="0" w:space="0" w:color="auto"/>
        <w:left w:val="none" w:sz="0" w:space="0" w:color="auto"/>
        <w:bottom w:val="none" w:sz="0" w:space="0" w:color="auto"/>
        <w:right w:val="none" w:sz="0" w:space="0" w:color="auto"/>
      </w:divBdr>
    </w:div>
    <w:div w:id="814032010">
      <w:bodyDiv w:val="1"/>
      <w:marLeft w:val="0"/>
      <w:marRight w:val="0"/>
      <w:marTop w:val="0"/>
      <w:marBottom w:val="0"/>
      <w:divBdr>
        <w:top w:val="none" w:sz="0" w:space="0" w:color="auto"/>
        <w:left w:val="none" w:sz="0" w:space="0" w:color="auto"/>
        <w:bottom w:val="none" w:sz="0" w:space="0" w:color="auto"/>
        <w:right w:val="none" w:sz="0" w:space="0" w:color="auto"/>
      </w:divBdr>
    </w:div>
    <w:div w:id="815727247">
      <w:bodyDiv w:val="1"/>
      <w:marLeft w:val="0"/>
      <w:marRight w:val="0"/>
      <w:marTop w:val="0"/>
      <w:marBottom w:val="0"/>
      <w:divBdr>
        <w:top w:val="none" w:sz="0" w:space="0" w:color="auto"/>
        <w:left w:val="none" w:sz="0" w:space="0" w:color="auto"/>
        <w:bottom w:val="none" w:sz="0" w:space="0" w:color="auto"/>
        <w:right w:val="none" w:sz="0" w:space="0" w:color="auto"/>
      </w:divBdr>
    </w:div>
    <w:div w:id="867571872">
      <w:bodyDiv w:val="1"/>
      <w:marLeft w:val="0"/>
      <w:marRight w:val="0"/>
      <w:marTop w:val="0"/>
      <w:marBottom w:val="0"/>
      <w:divBdr>
        <w:top w:val="none" w:sz="0" w:space="0" w:color="auto"/>
        <w:left w:val="none" w:sz="0" w:space="0" w:color="auto"/>
        <w:bottom w:val="none" w:sz="0" w:space="0" w:color="auto"/>
        <w:right w:val="none" w:sz="0" w:space="0" w:color="auto"/>
      </w:divBdr>
    </w:div>
    <w:div w:id="896892865">
      <w:bodyDiv w:val="1"/>
      <w:marLeft w:val="0"/>
      <w:marRight w:val="0"/>
      <w:marTop w:val="0"/>
      <w:marBottom w:val="0"/>
      <w:divBdr>
        <w:top w:val="none" w:sz="0" w:space="0" w:color="auto"/>
        <w:left w:val="none" w:sz="0" w:space="0" w:color="auto"/>
        <w:bottom w:val="none" w:sz="0" w:space="0" w:color="auto"/>
        <w:right w:val="none" w:sz="0" w:space="0" w:color="auto"/>
      </w:divBdr>
    </w:div>
    <w:div w:id="933129454">
      <w:bodyDiv w:val="1"/>
      <w:marLeft w:val="0"/>
      <w:marRight w:val="0"/>
      <w:marTop w:val="0"/>
      <w:marBottom w:val="0"/>
      <w:divBdr>
        <w:top w:val="none" w:sz="0" w:space="0" w:color="auto"/>
        <w:left w:val="none" w:sz="0" w:space="0" w:color="auto"/>
        <w:bottom w:val="none" w:sz="0" w:space="0" w:color="auto"/>
        <w:right w:val="none" w:sz="0" w:space="0" w:color="auto"/>
      </w:divBdr>
    </w:div>
    <w:div w:id="933168443">
      <w:bodyDiv w:val="1"/>
      <w:marLeft w:val="0"/>
      <w:marRight w:val="0"/>
      <w:marTop w:val="0"/>
      <w:marBottom w:val="0"/>
      <w:divBdr>
        <w:top w:val="none" w:sz="0" w:space="0" w:color="auto"/>
        <w:left w:val="none" w:sz="0" w:space="0" w:color="auto"/>
        <w:bottom w:val="none" w:sz="0" w:space="0" w:color="auto"/>
        <w:right w:val="none" w:sz="0" w:space="0" w:color="auto"/>
      </w:divBdr>
    </w:div>
    <w:div w:id="956988731">
      <w:bodyDiv w:val="1"/>
      <w:marLeft w:val="0"/>
      <w:marRight w:val="0"/>
      <w:marTop w:val="0"/>
      <w:marBottom w:val="0"/>
      <w:divBdr>
        <w:top w:val="none" w:sz="0" w:space="0" w:color="auto"/>
        <w:left w:val="none" w:sz="0" w:space="0" w:color="auto"/>
        <w:bottom w:val="none" w:sz="0" w:space="0" w:color="auto"/>
        <w:right w:val="none" w:sz="0" w:space="0" w:color="auto"/>
      </w:divBdr>
    </w:div>
    <w:div w:id="978219791">
      <w:bodyDiv w:val="1"/>
      <w:marLeft w:val="0"/>
      <w:marRight w:val="0"/>
      <w:marTop w:val="0"/>
      <w:marBottom w:val="0"/>
      <w:divBdr>
        <w:top w:val="none" w:sz="0" w:space="0" w:color="auto"/>
        <w:left w:val="none" w:sz="0" w:space="0" w:color="auto"/>
        <w:bottom w:val="none" w:sz="0" w:space="0" w:color="auto"/>
        <w:right w:val="none" w:sz="0" w:space="0" w:color="auto"/>
      </w:divBdr>
    </w:div>
    <w:div w:id="979652463">
      <w:bodyDiv w:val="1"/>
      <w:marLeft w:val="0"/>
      <w:marRight w:val="0"/>
      <w:marTop w:val="0"/>
      <w:marBottom w:val="0"/>
      <w:divBdr>
        <w:top w:val="none" w:sz="0" w:space="0" w:color="auto"/>
        <w:left w:val="none" w:sz="0" w:space="0" w:color="auto"/>
        <w:bottom w:val="none" w:sz="0" w:space="0" w:color="auto"/>
        <w:right w:val="none" w:sz="0" w:space="0" w:color="auto"/>
      </w:divBdr>
    </w:div>
    <w:div w:id="1007754723">
      <w:bodyDiv w:val="1"/>
      <w:marLeft w:val="0"/>
      <w:marRight w:val="0"/>
      <w:marTop w:val="0"/>
      <w:marBottom w:val="0"/>
      <w:divBdr>
        <w:top w:val="none" w:sz="0" w:space="0" w:color="auto"/>
        <w:left w:val="none" w:sz="0" w:space="0" w:color="auto"/>
        <w:bottom w:val="none" w:sz="0" w:space="0" w:color="auto"/>
        <w:right w:val="none" w:sz="0" w:space="0" w:color="auto"/>
      </w:divBdr>
    </w:div>
    <w:div w:id="1010445811">
      <w:bodyDiv w:val="1"/>
      <w:marLeft w:val="0"/>
      <w:marRight w:val="0"/>
      <w:marTop w:val="0"/>
      <w:marBottom w:val="0"/>
      <w:divBdr>
        <w:top w:val="none" w:sz="0" w:space="0" w:color="auto"/>
        <w:left w:val="none" w:sz="0" w:space="0" w:color="auto"/>
        <w:bottom w:val="none" w:sz="0" w:space="0" w:color="auto"/>
        <w:right w:val="none" w:sz="0" w:space="0" w:color="auto"/>
      </w:divBdr>
    </w:div>
    <w:div w:id="1017584362">
      <w:bodyDiv w:val="1"/>
      <w:marLeft w:val="0"/>
      <w:marRight w:val="0"/>
      <w:marTop w:val="0"/>
      <w:marBottom w:val="0"/>
      <w:divBdr>
        <w:top w:val="none" w:sz="0" w:space="0" w:color="auto"/>
        <w:left w:val="none" w:sz="0" w:space="0" w:color="auto"/>
        <w:bottom w:val="none" w:sz="0" w:space="0" w:color="auto"/>
        <w:right w:val="none" w:sz="0" w:space="0" w:color="auto"/>
      </w:divBdr>
    </w:div>
    <w:div w:id="1018585696">
      <w:bodyDiv w:val="1"/>
      <w:marLeft w:val="0"/>
      <w:marRight w:val="0"/>
      <w:marTop w:val="0"/>
      <w:marBottom w:val="0"/>
      <w:divBdr>
        <w:top w:val="none" w:sz="0" w:space="0" w:color="auto"/>
        <w:left w:val="none" w:sz="0" w:space="0" w:color="auto"/>
        <w:bottom w:val="none" w:sz="0" w:space="0" w:color="auto"/>
        <w:right w:val="none" w:sz="0" w:space="0" w:color="auto"/>
      </w:divBdr>
    </w:div>
    <w:div w:id="1027288846">
      <w:bodyDiv w:val="1"/>
      <w:marLeft w:val="0"/>
      <w:marRight w:val="0"/>
      <w:marTop w:val="0"/>
      <w:marBottom w:val="0"/>
      <w:divBdr>
        <w:top w:val="none" w:sz="0" w:space="0" w:color="auto"/>
        <w:left w:val="none" w:sz="0" w:space="0" w:color="auto"/>
        <w:bottom w:val="none" w:sz="0" w:space="0" w:color="auto"/>
        <w:right w:val="none" w:sz="0" w:space="0" w:color="auto"/>
      </w:divBdr>
    </w:div>
    <w:div w:id="1053499612">
      <w:bodyDiv w:val="1"/>
      <w:marLeft w:val="0"/>
      <w:marRight w:val="0"/>
      <w:marTop w:val="0"/>
      <w:marBottom w:val="0"/>
      <w:divBdr>
        <w:top w:val="none" w:sz="0" w:space="0" w:color="auto"/>
        <w:left w:val="none" w:sz="0" w:space="0" w:color="auto"/>
        <w:bottom w:val="none" w:sz="0" w:space="0" w:color="auto"/>
        <w:right w:val="none" w:sz="0" w:space="0" w:color="auto"/>
      </w:divBdr>
    </w:div>
    <w:div w:id="1084105181">
      <w:bodyDiv w:val="1"/>
      <w:marLeft w:val="0"/>
      <w:marRight w:val="0"/>
      <w:marTop w:val="0"/>
      <w:marBottom w:val="0"/>
      <w:divBdr>
        <w:top w:val="none" w:sz="0" w:space="0" w:color="auto"/>
        <w:left w:val="none" w:sz="0" w:space="0" w:color="auto"/>
        <w:bottom w:val="none" w:sz="0" w:space="0" w:color="auto"/>
        <w:right w:val="none" w:sz="0" w:space="0" w:color="auto"/>
      </w:divBdr>
    </w:div>
    <w:div w:id="1129204576">
      <w:bodyDiv w:val="1"/>
      <w:marLeft w:val="0"/>
      <w:marRight w:val="0"/>
      <w:marTop w:val="0"/>
      <w:marBottom w:val="0"/>
      <w:divBdr>
        <w:top w:val="none" w:sz="0" w:space="0" w:color="auto"/>
        <w:left w:val="none" w:sz="0" w:space="0" w:color="auto"/>
        <w:bottom w:val="none" w:sz="0" w:space="0" w:color="auto"/>
        <w:right w:val="none" w:sz="0" w:space="0" w:color="auto"/>
      </w:divBdr>
    </w:div>
    <w:div w:id="1172068817">
      <w:bodyDiv w:val="1"/>
      <w:marLeft w:val="0"/>
      <w:marRight w:val="0"/>
      <w:marTop w:val="0"/>
      <w:marBottom w:val="0"/>
      <w:divBdr>
        <w:top w:val="none" w:sz="0" w:space="0" w:color="auto"/>
        <w:left w:val="none" w:sz="0" w:space="0" w:color="auto"/>
        <w:bottom w:val="none" w:sz="0" w:space="0" w:color="auto"/>
        <w:right w:val="none" w:sz="0" w:space="0" w:color="auto"/>
      </w:divBdr>
    </w:div>
    <w:div w:id="1197504533">
      <w:bodyDiv w:val="1"/>
      <w:marLeft w:val="0"/>
      <w:marRight w:val="0"/>
      <w:marTop w:val="0"/>
      <w:marBottom w:val="0"/>
      <w:divBdr>
        <w:top w:val="none" w:sz="0" w:space="0" w:color="auto"/>
        <w:left w:val="none" w:sz="0" w:space="0" w:color="auto"/>
        <w:bottom w:val="none" w:sz="0" w:space="0" w:color="auto"/>
        <w:right w:val="none" w:sz="0" w:space="0" w:color="auto"/>
      </w:divBdr>
    </w:div>
    <w:div w:id="1205142109">
      <w:bodyDiv w:val="1"/>
      <w:marLeft w:val="0"/>
      <w:marRight w:val="0"/>
      <w:marTop w:val="0"/>
      <w:marBottom w:val="0"/>
      <w:divBdr>
        <w:top w:val="none" w:sz="0" w:space="0" w:color="auto"/>
        <w:left w:val="none" w:sz="0" w:space="0" w:color="auto"/>
        <w:bottom w:val="none" w:sz="0" w:space="0" w:color="auto"/>
        <w:right w:val="none" w:sz="0" w:space="0" w:color="auto"/>
      </w:divBdr>
    </w:div>
    <w:div w:id="1245646865">
      <w:bodyDiv w:val="1"/>
      <w:marLeft w:val="0"/>
      <w:marRight w:val="0"/>
      <w:marTop w:val="0"/>
      <w:marBottom w:val="0"/>
      <w:divBdr>
        <w:top w:val="none" w:sz="0" w:space="0" w:color="auto"/>
        <w:left w:val="none" w:sz="0" w:space="0" w:color="auto"/>
        <w:bottom w:val="none" w:sz="0" w:space="0" w:color="auto"/>
        <w:right w:val="none" w:sz="0" w:space="0" w:color="auto"/>
      </w:divBdr>
    </w:div>
    <w:div w:id="1249923148">
      <w:bodyDiv w:val="1"/>
      <w:marLeft w:val="0"/>
      <w:marRight w:val="0"/>
      <w:marTop w:val="0"/>
      <w:marBottom w:val="0"/>
      <w:divBdr>
        <w:top w:val="none" w:sz="0" w:space="0" w:color="auto"/>
        <w:left w:val="none" w:sz="0" w:space="0" w:color="auto"/>
        <w:bottom w:val="none" w:sz="0" w:space="0" w:color="auto"/>
        <w:right w:val="none" w:sz="0" w:space="0" w:color="auto"/>
      </w:divBdr>
    </w:div>
    <w:div w:id="1260602946">
      <w:bodyDiv w:val="1"/>
      <w:marLeft w:val="0"/>
      <w:marRight w:val="0"/>
      <w:marTop w:val="0"/>
      <w:marBottom w:val="0"/>
      <w:divBdr>
        <w:top w:val="none" w:sz="0" w:space="0" w:color="auto"/>
        <w:left w:val="none" w:sz="0" w:space="0" w:color="auto"/>
        <w:bottom w:val="none" w:sz="0" w:space="0" w:color="auto"/>
        <w:right w:val="none" w:sz="0" w:space="0" w:color="auto"/>
      </w:divBdr>
    </w:div>
    <w:div w:id="1293900981">
      <w:bodyDiv w:val="1"/>
      <w:marLeft w:val="0"/>
      <w:marRight w:val="0"/>
      <w:marTop w:val="0"/>
      <w:marBottom w:val="0"/>
      <w:divBdr>
        <w:top w:val="none" w:sz="0" w:space="0" w:color="auto"/>
        <w:left w:val="none" w:sz="0" w:space="0" w:color="auto"/>
        <w:bottom w:val="none" w:sz="0" w:space="0" w:color="auto"/>
        <w:right w:val="none" w:sz="0" w:space="0" w:color="auto"/>
      </w:divBdr>
    </w:div>
    <w:div w:id="1328170664">
      <w:bodyDiv w:val="1"/>
      <w:marLeft w:val="0"/>
      <w:marRight w:val="0"/>
      <w:marTop w:val="0"/>
      <w:marBottom w:val="0"/>
      <w:divBdr>
        <w:top w:val="none" w:sz="0" w:space="0" w:color="auto"/>
        <w:left w:val="none" w:sz="0" w:space="0" w:color="auto"/>
        <w:bottom w:val="none" w:sz="0" w:space="0" w:color="auto"/>
        <w:right w:val="none" w:sz="0" w:space="0" w:color="auto"/>
      </w:divBdr>
    </w:div>
    <w:div w:id="1358890648">
      <w:bodyDiv w:val="1"/>
      <w:marLeft w:val="0"/>
      <w:marRight w:val="0"/>
      <w:marTop w:val="0"/>
      <w:marBottom w:val="0"/>
      <w:divBdr>
        <w:top w:val="none" w:sz="0" w:space="0" w:color="auto"/>
        <w:left w:val="none" w:sz="0" w:space="0" w:color="auto"/>
        <w:bottom w:val="none" w:sz="0" w:space="0" w:color="auto"/>
        <w:right w:val="none" w:sz="0" w:space="0" w:color="auto"/>
      </w:divBdr>
    </w:div>
    <w:div w:id="1364676677">
      <w:bodyDiv w:val="1"/>
      <w:marLeft w:val="0"/>
      <w:marRight w:val="0"/>
      <w:marTop w:val="0"/>
      <w:marBottom w:val="0"/>
      <w:divBdr>
        <w:top w:val="none" w:sz="0" w:space="0" w:color="auto"/>
        <w:left w:val="none" w:sz="0" w:space="0" w:color="auto"/>
        <w:bottom w:val="none" w:sz="0" w:space="0" w:color="auto"/>
        <w:right w:val="none" w:sz="0" w:space="0" w:color="auto"/>
      </w:divBdr>
    </w:div>
    <w:div w:id="1373993836">
      <w:bodyDiv w:val="1"/>
      <w:marLeft w:val="0"/>
      <w:marRight w:val="0"/>
      <w:marTop w:val="0"/>
      <w:marBottom w:val="0"/>
      <w:divBdr>
        <w:top w:val="none" w:sz="0" w:space="0" w:color="auto"/>
        <w:left w:val="none" w:sz="0" w:space="0" w:color="auto"/>
        <w:bottom w:val="none" w:sz="0" w:space="0" w:color="auto"/>
        <w:right w:val="none" w:sz="0" w:space="0" w:color="auto"/>
      </w:divBdr>
    </w:div>
    <w:div w:id="1376613815">
      <w:bodyDiv w:val="1"/>
      <w:marLeft w:val="0"/>
      <w:marRight w:val="0"/>
      <w:marTop w:val="0"/>
      <w:marBottom w:val="0"/>
      <w:divBdr>
        <w:top w:val="none" w:sz="0" w:space="0" w:color="auto"/>
        <w:left w:val="none" w:sz="0" w:space="0" w:color="auto"/>
        <w:bottom w:val="none" w:sz="0" w:space="0" w:color="auto"/>
        <w:right w:val="none" w:sz="0" w:space="0" w:color="auto"/>
      </w:divBdr>
    </w:div>
    <w:div w:id="1389845315">
      <w:bodyDiv w:val="1"/>
      <w:marLeft w:val="0"/>
      <w:marRight w:val="0"/>
      <w:marTop w:val="0"/>
      <w:marBottom w:val="0"/>
      <w:divBdr>
        <w:top w:val="none" w:sz="0" w:space="0" w:color="auto"/>
        <w:left w:val="none" w:sz="0" w:space="0" w:color="auto"/>
        <w:bottom w:val="none" w:sz="0" w:space="0" w:color="auto"/>
        <w:right w:val="none" w:sz="0" w:space="0" w:color="auto"/>
      </w:divBdr>
    </w:div>
    <w:div w:id="1403092739">
      <w:bodyDiv w:val="1"/>
      <w:marLeft w:val="0"/>
      <w:marRight w:val="0"/>
      <w:marTop w:val="0"/>
      <w:marBottom w:val="0"/>
      <w:divBdr>
        <w:top w:val="none" w:sz="0" w:space="0" w:color="auto"/>
        <w:left w:val="none" w:sz="0" w:space="0" w:color="auto"/>
        <w:bottom w:val="none" w:sz="0" w:space="0" w:color="auto"/>
        <w:right w:val="none" w:sz="0" w:space="0" w:color="auto"/>
      </w:divBdr>
    </w:div>
    <w:div w:id="1416630133">
      <w:bodyDiv w:val="1"/>
      <w:marLeft w:val="0"/>
      <w:marRight w:val="0"/>
      <w:marTop w:val="0"/>
      <w:marBottom w:val="0"/>
      <w:divBdr>
        <w:top w:val="none" w:sz="0" w:space="0" w:color="auto"/>
        <w:left w:val="none" w:sz="0" w:space="0" w:color="auto"/>
        <w:bottom w:val="none" w:sz="0" w:space="0" w:color="auto"/>
        <w:right w:val="none" w:sz="0" w:space="0" w:color="auto"/>
      </w:divBdr>
    </w:div>
    <w:div w:id="1426416185">
      <w:bodyDiv w:val="1"/>
      <w:marLeft w:val="0"/>
      <w:marRight w:val="0"/>
      <w:marTop w:val="0"/>
      <w:marBottom w:val="0"/>
      <w:divBdr>
        <w:top w:val="none" w:sz="0" w:space="0" w:color="auto"/>
        <w:left w:val="none" w:sz="0" w:space="0" w:color="auto"/>
        <w:bottom w:val="none" w:sz="0" w:space="0" w:color="auto"/>
        <w:right w:val="none" w:sz="0" w:space="0" w:color="auto"/>
      </w:divBdr>
    </w:div>
    <w:div w:id="1429084610">
      <w:bodyDiv w:val="1"/>
      <w:marLeft w:val="0"/>
      <w:marRight w:val="0"/>
      <w:marTop w:val="0"/>
      <w:marBottom w:val="0"/>
      <w:divBdr>
        <w:top w:val="none" w:sz="0" w:space="0" w:color="auto"/>
        <w:left w:val="none" w:sz="0" w:space="0" w:color="auto"/>
        <w:bottom w:val="none" w:sz="0" w:space="0" w:color="auto"/>
        <w:right w:val="none" w:sz="0" w:space="0" w:color="auto"/>
      </w:divBdr>
    </w:div>
    <w:div w:id="1435712072">
      <w:bodyDiv w:val="1"/>
      <w:marLeft w:val="0"/>
      <w:marRight w:val="0"/>
      <w:marTop w:val="0"/>
      <w:marBottom w:val="0"/>
      <w:divBdr>
        <w:top w:val="none" w:sz="0" w:space="0" w:color="auto"/>
        <w:left w:val="none" w:sz="0" w:space="0" w:color="auto"/>
        <w:bottom w:val="none" w:sz="0" w:space="0" w:color="auto"/>
        <w:right w:val="none" w:sz="0" w:space="0" w:color="auto"/>
      </w:divBdr>
    </w:div>
    <w:div w:id="1436100305">
      <w:bodyDiv w:val="1"/>
      <w:marLeft w:val="0"/>
      <w:marRight w:val="0"/>
      <w:marTop w:val="0"/>
      <w:marBottom w:val="0"/>
      <w:divBdr>
        <w:top w:val="none" w:sz="0" w:space="0" w:color="auto"/>
        <w:left w:val="none" w:sz="0" w:space="0" w:color="auto"/>
        <w:bottom w:val="none" w:sz="0" w:space="0" w:color="auto"/>
        <w:right w:val="none" w:sz="0" w:space="0" w:color="auto"/>
      </w:divBdr>
    </w:div>
    <w:div w:id="1491868046">
      <w:bodyDiv w:val="1"/>
      <w:marLeft w:val="0"/>
      <w:marRight w:val="0"/>
      <w:marTop w:val="0"/>
      <w:marBottom w:val="0"/>
      <w:divBdr>
        <w:top w:val="none" w:sz="0" w:space="0" w:color="auto"/>
        <w:left w:val="none" w:sz="0" w:space="0" w:color="auto"/>
        <w:bottom w:val="none" w:sz="0" w:space="0" w:color="auto"/>
        <w:right w:val="none" w:sz="0" w:space="0" w:color="auto"/>
      </w:divBdr>
    </w:div>
    <w:div w:id="1515728202">
      <w:bodyDiv w:val="1"/>
      <w:marLeft w:val="0"/>
      <w:marRight w:val="0"/>
      <w:marTop w:val="0"/>
      <w:marBottom w:val="0"/>
      <w:divBdr>
        <w:top w:val="none" w:sz="0" w:space="0" w:color="auto"/>
        <w:left w:val="none" w:sz="0" w:space="0" w:color="auto"/>
        <w:bottom w:val="none" w:sz="0" w:space="0" w:color="auto"/>
        <w:right w:val="none" w:sz="0" w:space="0" w:color="auto"/>
      </w:divBdr>
    </w:div>
    <w:div w:id="1523014575">
      <w:bodyDiv w:val="1"/>
      <w:marLeft w:val="0"/>
      <w:marRight w:val="0"/>
      <w:marTop w:val="0"/>
      <w:marBottom w:val="0"/>
      <w:divBdr>
        <w:top w:val="none" w:sz="0" w:space="0" w:color="auto"/>
        <w:left w:val="none" w:sz="0" w:space="0" w:color="auto"/>
        <w:bottom w:val="none" w:sz="0" w:space="0" w:color="auto"/>
        <w:right w:val="none" w:sz="0" w:space="0" w:color="auto"/>
      </w:divBdr>
    </w:div>
    <w:div w:id="1551333510">
      <w:bodyDiv w:val="1"/>
      <w:marLeft w:val="0"/>
      <w:marRight w:val="0"/>
      <w:marTop w:val="0"/>
      <w:marBottom w:val="0"/>
      <w:divBdr>
        <w:top w:val="none" w:sz="0" w:space="0" w:color="auto"/>
        <w:left w:val="none" w:sz="0" w:space="0" w:color="auto"/>
        <w:bottom w:val="none" w:sz="0" w:space="0" w:color="auto"/>
        <w:right w:val="none" w:sz="0" w:space="0" w:color="auto"/>
      </w:divBdr>
    </w:div>
    <w:div w:id="1560436591">
      <w:bodyDiv w:val="1"/>
      <w:marLeft w:val="0"/>
      <w:marRight w:val="0"/>
      <w:marTop w:val="0"/>
      <w:marBottom w:val="0"/>
      <w:divBdr>
        <w:top w:val="none" w:sz="0" w:space="0" w:color="auto"/>
        <w:left w:val="none" w:sz="0" w:space="0" w:color="auto"/>
        <w:bottom w:val="none" w:sz="0" w:space="0" w:color="auto"/>
        <w:right w:val="none" w:sz="0" w:space="0" w:color="auto"/>
      </w:divBdr>
    </w:div>
    <w:div w:id="1599826989">
      <w:bodyDiv w:val="1"/>
      <w:marLeft w:val="0"/>
      <w:marRight w:val="0"/>
      <w:marTop w:val="0"/>
      <w:marBottom w:val="0"/>
      <w:divBdr>
        <w:top w:val="none" w:sz="0" w:space="0" w:color="auto"/>
        <w:left w:val="none" w:sz="0" w:space="0" w:color="auto"/>
        <w:bottom w:val="none" w:sz="0" w:space="0" w:color="auto"/>
        <w:right w:val="none" w:sz="0" w:space="0" w:color="auto"/>
      </w:divBdr>
    </w:div>
    <w:div w:id="1608924894">
      <w:bodyDiv w:val="1"/>
      <w:marLeft w:val="0"/>
      <w:marRight w:val="0"/>
      <w:marTop w:val="0"/>
      <w:marBottom w:val="0"/>
      <w:divBdr>
        <w:top w:val="none" w:sz="0" w:space="0" w:color="auto"/>
        <w:left w:val="none" w:sz="0" w:space="0" w:color="auto"/>
        <w:bottom w:val="none" w:sz="0" w:space="0" w:color="auto"/>
        <w:right w:val="none" w:sz="0" w:space="0" w:color="auto"/>
      </w:divBdr>
    </w:div>
    <w:div w:id="1632520713">
      <w:bodyDiv w:val="1"/>
      <w:marLeft w:val="0"/>
      <w:marRight w:val="0"/>
      <w:marTop w:val="0"/>
      <w:marBottom w:val="0"/>
      <w:divBdr>
        <w:top w:val="none" w:sz="0" w:space="0" w:color="auto"/>
        <w:left w:val="none" w:sz="0" w:space="0" w:color="auto"/>
        <w:bottom w:val="none" w:sz="0" w:space="0" w:color="auto"/>
        <w:right w:val="none" w:sz="0" w:space="0" w:color="auto"/>
      </w:divBdr>
    </w:div>
    <w:div w:id="1657147099">
      <w:bodyDiv w:val="1"/>
      <w:marLeft w:val="0"/>
      <w:marRight w:val="0"/>
      <w:marTop w:val="0"/>
      <w:marBottom w:val="0"/>
      <w:divBdr>
        <w:top w:val="none" w:sz="0" w:space="0" w:color="auto"/>
        <w:left w:val="none" w:sz="0" w:space="0" w:color="auto"/>
        <w:bottom w:val="none" w:sz="0" w:space="0" w:color="auto"/>
        <w:right w:val="none" w:sz="0" w:space="0" w:color="auto"/>
      </w:divBdr>
    </w:div>
    <w:div w:id="1721249191">
      <w:bodyDiv w:val="1"/>
      <w:marLeft w:val="0"/>
      <w:marRight w:val="0"/>
      <w:marTop w:val="0"/>
      <w:marBottom w:val="0"/>
      <w:divBdr>
        <w:top w:val="none" w:sz="0" w:space="0" w:color="auto"/>
        <w:left w:val="none" w:sz="0" w:space="0" w:color="auto"/>
        <w:bottom w:val="none" w:sz="0" w:space="0" w:color="auto"/>
        <w:right w:val="none" w:sz="0" w:space="0" w:color="auto"/>
      </w:divBdr>
    </w:div>
    <w:div w:id="1760642469">
      <w:bodyDiv w:val="1"/>
      <w:marLeft w:val="0"/>
      <w:marRight w:val="0"/>
      <w:marTop w:val="0"/>
      <w:marBottom w:val="0"/>
      <w:divBdr>
        <w:top w:val="none" w:sz="0" w:space="0" w:color="auto"/>
        <w:left w:val="none" w:sz="0" w:space="0" w:color="auto"/>
        <w:bottom w:val="none" w:sz="0" w:space="0" w:color="auto"/>
        <w:right w:val="none" w:sz="0" w:space="0" w:color="auto"/>
      </w:divBdr>
    </w:div>
    <w:div w:id="1773278126">
      <w:bodyDiv w:val="1"/>
      <w:marLeft w:val="0"/>
      <w:marRight w:val="0"/>
      <w:marTop w:val="0"/>
      <w:marBottom w:val="0"/>
      <w:divBdr>
        <w:top w:val="none" w:sz="0" w:space="0" w:color="auto"/>
        <w:left w:val="none" w:sz="0" w:space="0" w:color="auto"/>
        <w:bottom w:val="none" w:sz="0" w:space="0" w:color="auto"/>
        <w:right w:val="none" w:sz="0" w:space="0" w:color="auto"/>
      </w:divBdr>
    </w:div>
    <w:div w:id="1777749373">
      <w:bodyDiv w:val="1"/>
      <w:marLeft w:val="0"/>
      <w:marRight w:val="0"/>
      <w:marTop w:val="0"/>
      <w:marBottom w:val="0"/>
      <w:divBdr>
        <w:top w:val="none" w:sz="0" w:space="0" w:color="auto"/>
        <w:left w:val="none" w:sz="0" w:space="0" w:color="auto"/>
        <w:bottom w:val="none" w:sz="0" w:space="0" w:color="auto"/>
        <w:right w:val="none" w:sz="0" w:space="0" w:color="auto"/>
      </w:divBdr>
    </w:div>
    <w:div w:id="1779715633">
      <w:bodyDiv w:val="1"/>
      <w:marLeft w:val="0"/>
      <w:marRight w:val="0"/>
      <w:marTop w:val="0"/>
      <w:marBottom w:val="0"/>
      <w:divBdr>
        <w:top w:val="none" w:sz="0" w:space="0" w:color="auto"/>
        <w:left w:val="none" w:sz="0" w:space="0" w:color="auto"/>
        <w:bottom w:val="none" w:sz="0" w:space="0" w:color="auto"/>
        <w:right w:val="none" w:sz="0" w:space="0" w:color="auto"/>
      </w:divBdr>
    </w:div>
    <w:div w:id="1802796731">
      <w:bodyDiv w:val="1"/>
      <w:marLeft w:val="0"/>
      <w:marRight w:val="0"/>
      <w:marTop w:val="0"/>
      <w:marBottom w:val="0"/>
      <w:divBdr>
        <w:top w:val="none" w:sz="0" w:space="0" w:color="auto"/>
        <w:left w:val="none" w:sz="0" w:space="0" w:color="auto"/>
        <w:bottom w:val="none" w:sz="0" w:space="0" w:color="auto"/>
        <w:right w:val="none" w:sz="0" w:space="0" w:color="auto"/>
      </w:divBdr>
    </w:div>
    <w:div w:id="1833568631">
      <w:bodyDiv w:val="1"/>
      <w:marLeft w:val="0"/>
      <w:marRight w:val="0"/>
      <w:marTop w:val="0"/>
      <w:marBottom w:val="0"/>
      <w:divBdr>
        <w:top w:val="none" w:sz="0" w:space="0" w:color="auto"/>
        <w:left w:val="none" w:sz="0" w:space="0" w:color="auto"/>
        <w:bottom w:val="none" w:sz="0" w:space="0" w:color="auto"/>
        <w:right w:val="none" w:sz="0" w:space="0" w:color="auto"/>
      </w:divBdr>
    </w:div>
    <w:div w:id="1839542248">
      <w:bodyDiv w:val="1"/>
      <w:marLeft w:val="0"/>
      <w:marRight w:val="0"/>
      <w:marTop w:val="0"/>
      <w:marBottom w:val="0"/>
      <w:divBdr>
        <w:top w:val="none" w:sz="0" w:space="0" w:color="auto"/>
        <w:left w:val="none" w:sz="0" w:space="0" w:color="auto"/>
        <w:bottom w:val="none" w:sz="0" w:space="0" w:color="auto"/>
        <w:right w:val="none" w:sz="0" w:space="0" w:color="auto"/>
      </w:divBdr>
    </w:div>
    <w:div w:id="1852139129">
      <w:bodyDiv w:val="1"/>
      <w:marLeft w:val="0"/>
      <w:marRight w:val="0"/>
      <w:marTop w:val="0"/>
      <w:marBottom w:val="0"/>
      <w:divBdr>
        <w:top w:val="none" w:sz="0" w:space="0" w:color="auto"/>
        <w:left w:val="none" w:sz="0" w:space="0" w:color="auto"/>
        <w:bottom w:val="none" w:sz="0" w:space="0" w:color="auto"/>
        <w:right w:val="none" w:sz="0" w:space="0" w:color="auto"/>
      </w:divBdr>
      <w:divsChild>
        <w:div w:id="98645903">
          <w:marLeft w:val="0"/>
          <w:marRight w:val="0"/>
          <w:marTop w:val="0"/>
          <w:marBottom w:val="0"/>
          <w:divBdr>
            <w:top w:val="none" w:sz="0" w:space="0" w:color="auto"/>
            <w:left w:val="none" w:sz="0" w:space="0" w:color="auto"/>
            <w:bottom w:val="none" w:sz="0" w:space="0" w:color="auto"/>
            <w:right w:val="none" w:sz="0" w:space="0" w:color="auto"/>
          </w:divBdr>
          <w:divsChild>
            <w:div w:id="1116174741">
              <w:marLeft w:val="0"/>
              <w:marRight w:val="0"/>
              <w:marTop w:val="0"/>
              <w:marBottom w:val="0"/>
              <w:divBdr>
                <w:top w:val="none" w:sz="0" w:space="0" w:color="auto"/>
                <w:left w:val="none" w:sz="0" w:space="0" w:color="auto"/>
                <w:bottom w:val="none" w:sz="0" w:space="0" w:color="auto"/>
                <w:right w:val="none" w:sz="0" w:space="0" w:color="auto"/>
              </w:divBdr>
              <w:divsChild>
                <w:div w:id="2099905354">
                  <w:marLeft w:val="0"/>
                  <w:marRight w:val="0"/>
                  <w:marTop w:val="0"/>
                  <w:marBottom w:val="0"/>
                  <w:divBdr>
                    <w:top w:val="none" w:sz="0" w:space="0" w:color="auto"/>
                    <w:left w:val="none" w:sz="0" w:space="0" w:color="auto"/>
                    <w:bottom w:val="none" w:sz="0" w:space="0" w:color="auto"/>
                    <w:right w:val="none" w:sz="0" w:space="0" w:color="auto"/>
                  </w:divBdr>
                  <w:divsChild>
                    <w:div w:id="1491217428">
                      <w:marLeft w:val="0"/>
                      <w:marRight w:val="0"/>
                      <w:marTop w:val="0"/>
                      <w:marBottom w:val="0"/>
                      <w:divBdr>
                        <w:top w:val="none" w:sz="0" w:space="0" w:color="auto"/>
                        <w:left w:val="none" w:sz="0" w:space="0" w:color="auto"/>
                        <w:bottom w:val="none" w:sz="0" w:space="0" w:color="auto"/>
                        <w:right w:val="none" w:sz="0" w:space="0" w:color="auto"/>
                      </w:divBdr>
                      <w:divsChild>
                        <w:div w:id="270433521">
                          <w:marLeft w:val="0"/>
                          <w:marRight w:val="0"/>
                          <w:marTop w:val="0"/>
                          <w:marBottom w:val="0"/>
                          <w:divBdr>
                            <w:top w:val="none" w:sz="0" w:space="0" w:color="auto"/>
                            <w:left w:val="none" w:sz="0" w:space="0" w:color="auto"/>
                            <w:bottom w:val="none" w:sz="0" w:space="0" w:color="auto"/>
                            <w:right w:val="none" w:sz="0" w:space="0" w:color="auto"/>
                          </w:divBdr>
                          <w:divsChild>
                            <w:div w:id="6651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45193">
      <w:bodyDiv w:val="1"/>
      <w:marLeft w:val="0"/>
      <w:marRight w:val="0"/>
      <w:marTop w:val="0"/>
      <w:marBottom w:val="0"/>
      <w:divBdr>
        <w:top w:val="none" w:sz="0" w:space="0" w:color="auto"/>
        <w:left w:val="none" w:sz="0" w:space="0" w:color="auto"/>
        <w:bottom w:val="none" w:sz="0" w:space="0" w:color="auto"/>
        <w:right w:val="none" w:sz="0" w:space="0" w:color="auto"/>
      </w:divBdr>
    </w:div>
    <w:div w:id="1862737784">
      <w:bodyDiv w:val="1"/>
      <w:marLeft w:val="0"/>
      <w:marRight w:val="0"/>
      <w:marTop w:val="0"/>
      <w:marBottom w:val="0"/>
      <w:divBdr>
        <w:top w:val="none" w:sz="0" w:space="0" w:color="auto"/>
        <w:left w:val="none" w:sz="0" w:space="0" w:color="auto"/>
        <w:bottom w:val="none" w:sz="0" w:space="0" w:color="auto"/>
        <w:right w:val="none" w:sz="0" w:space="0" w:color="auto"/>
      </w:divBdr>
    </w:div>
    <w:div w:id="1901286678">
      <w:bodyDiv w:val="1"/>
      <w:marLeft w:val="0"/>
      <w:marRight w:val="0"/>
      <w:marTop w:val="0"/>
      <w:marBottom w:val="0"/>
      <w:divBdr>
        <w:top w:val="none" w:sz="0" w:space="0" w:color="auto"/>
        <w:left w:val="none" w:sz="0" w:space="0" w:color="auto"/>
        <w:bottom w:val="none" w:sz="0" w:space="0" w:color="auto"/>
        <w:right w:val="none" w:sz="0" w:space="0" w:color="auto"/>
      </w:divBdr>
    </w:div>
    <w:div w:id="1925525475">
      <w:bodyDiv w:val="1"/>
      <w:marLeft w:val="0"/>
      <w:marRight w:val="0"/>
      <w:marTop w:val="0"/>
      <w:marBottom w:val="0"/>
      <w:divBdr>
        <w:top w:val="none" w:sz="0" w:space="0" w:color="auto"/>
        <w:left w:val="none" w:sz="0" w:space="0" w:color="auto"/>
        <w:bottom w:val="none" w:sz="0" w:space="0" w:color="auto"/>
        <w:right w:val="none" w:sz="0" w:space="0" w:color="auto"/>
      </w:divBdr>
    </w:div>
    <w:div w:id="1969433743">
      <w:bodyDiv w:val="1"/>
      <w:marLeft w:val="0"/>
      <w:marRight w:val="0"/>
      <w:marTop w:val="0"/>
      <w:marBottom w:val="0"/>
      <w:divBdr>
        <w:top w:val="none" w:sz="0" w:space="0" w:color="auto"/>
        <w:left w:val="none" w:sz="0" w:space="0" w:color="auto"/>
        <w:bottom w:val="none" w:sz="0" w:space="0" w:color="auto"/>
        <w:right w:val="none" w:sz="0" w:space="0" w:color="auto"/>
      </w:divBdr>
    </w:div>
    <w:div w:id="1977762490">
      <w:bodyDiv w:val="1"/>
      <w:marLeft w:val="0"/>
      <w:marRight w:val="0"/>
      <w:marTop w:val="0"/>
      <w:marBottom w:val="0"/>
      <w:divBdr>
        <w:top w:val="none" w:sz="0" w:space="0" w:color="auto"/>
        <w:left w:val="none" w:sz="0" w:space="0" w:color="auto"/>
        <w:bottom w:val="none" w:sz="0" w:space="0" w:color="auto"/>
        <w:right w:val="none" w:sz="0" w:space="0" w:color="auto"/>
      </w:divBdr>
    </w:div>
    <w:div w:id="2023238349">
      <w:bodyDiv w:val="1"/>
      <w:marLeft w:val="0"/>
      <w:marRight w:val="0"/>
      <w:marTop w:val="0"/>
      <w:marBottom w:val="0"/>
      <w:divBdr>
        <w:top w:val="none" w:sz="0" w:space="0" w:color="auto"/>
        <w:left w:val="none" w:sz="0" w:space="0" w:color="auto"/>
        <w:bottom w:val="none" w:sz="0" w:space="0" w:color="auto"/>
        <w:right w:val="none" w:sz="0" w:space="0" w:color="auto"/>
      </w:divBdr>
    </w:div>
    <w:div w:id="2030401922">
      <w:bodyDiv w:val="1"/>
      <w:marLeft w:val="0"/>
      <w:marRight w:val="0"/>
      <w:marTop w:val="0"/>
      <w:marBottom w:val="0"/>
      <w:divBdr>
        <w:top w:val="none" w:sz="0" w:space="0" w:color="auto"/>
        <w:left w:val="none" w:sz="0" w:space="0" w:color="auto"/>
        <w:bottom w:val="none" w:sz="0" w:space="0" w:color="auto"/>
        <w:right w:val="none" w:sz="0" w:space="0" w:color="auto"/>
      </w:divBdr>
    </w:div>
    <w:div w:id="2045788506">
      <w:bodyDiv w:val="1"/>
      <w:marLeft w:val="0"/>
      <w:marRight w:val="0"/>
      <w:marTop w:val="0"/>
      <w:marBottom w:val="0"/>
      <w:divBdr>
        <w:top w:val="none" w:sz="0" w:space="0" w:color="auto"/>
        <w:left w:val="none" w:sz="0" w:space="0" w:color="auto"/>
        <w:bottom w:val="none" w:sz="0" w:space="0" w:color="auto"/>
        <w:right w:val="none" w:sz="0" w:space="0" w:color="auto"/>
      </w:divBdr>
    </w:div>
    <w:div w:id="2093816297">
      <w:bodyDiv w:val="1"/>
      <w:marLeft w:val="0"/>
      <w:marRight w:val="0"/>
      <w:marTop w:val="0"/>
      <w:marBottom w:val="0"/>
      <w:divBdr>
        <w:top w:val="none" w:sz="0" w:space="0" w:color="auto"/>
        <w:left w:val="none" w:sz="0" w:space="0" w:color="auto"/>
        <w:bottom w:val="none" w:sz="0" w:space="0" w:color="auto"/>
        <w:right w:val="none" w:sz="0" w:space="0" w:color="auto"/>
      </w:divBdr>
    </w:div>
    <w:div w:id="20940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chart" Target="charts/chart7.xml"/><Relationship Id="rId21" Type="http://schemas.openxmlformats.org/officeDocument/2006/relationships/header" Target="header5.xml"/><Relationship Id="rId34" Type="http://schemas.openxmlformats.org/officeDocument/2006/relationships/chart" Target="charts/chart2.xml"/><Relationship Id="rId42" Type="http://schemas.openxmlformats.org/officeDocument/2006/relationships/image" Target="media/image3.png"/><Relationship Id="rId47" Type="http://schemas.openxmlformats.org/officeDocument/2006/relationships/image" Target="media/image5.png"/><Relationship Id="rId50" Type="http://schemas.openxmlformats.org/officeDocument/2006/relationships/header" Target="header11.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www.eif.org/what_we_do/equity/single_eu_equity_instrument/cosme_efg/index.htm" TargetMode="External"/><Relationship Id="rId38" Type="http://schemas.openxmlformats.org/officeDocument/2006/relationships/chart" Target="charts/chart6.xml"/><Relationship Id="rId46"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yperlink" Target="http://www.eif.org/what_we_do/guarantees/single_eu_debt_instrument/cosme-loan-facility-growth/index.htm" TargetMode="Externa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0.xml"/><Relationship Id="rId53"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chart" Target="charts/chart4.xml"/><Relationship Id="rId49" Type="http://schemas.openxmlformats.org/officeDocument/2006/relationships/header" Target="header10.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image" Target="media/image4.emf"/><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chart" Target="charts/chart3.xml"/><Relationship Id="rId43" Type="http://schemas.openxmlformats.org/officeDocument/2006/relationships/chart" Target="charts/chart9.xml"/><Relationship Id="rId48" Type="http://schemas.openxmlformats.org/officeDocument/2006/relationships/image" Target="media/image6.png"/><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footer" Target="footer10.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essje\AppData\Local\Microsoft\Windows\Temporary%20Internet%20Files\Content.Outlook\PJXEH7VF\SMEG%20+%20CIP%20GIF.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06%20Reporting\2.%20Operational%20reporting\03%20Quarterly%20operational%20reports\2016\Geographical%20distribution%20-%20EFG%202016%20Q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Dressje\AppData\Local\Microsoft\Windows\Temporary%20Internet%20Files\Content.Outlook\PJXEH7VF\SMEG%20+%20CIP%20GI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EMPL\E\E1\3.%20Entrepreneurship\3.1%20Financial%20Instruments\3.1.5%20Implementation%20EaSI%20Guarantees\Annual%20Reporting%20to%20DG%20Budg\2017\140.8\Pie%20Charts%20FMA%20&amp;%20FCP%20for%20140.8_2016.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net1.cec.eu.int\EMPL\E\E1\3.%20Entrepreneurship\3.1%20Financial%20Instruments\3.1.5%20Implementation%20EaSI%20Guarantees\Annual%20Reporting%20to%20DG%20Budg\2017\140.8\Pie%20Charts%20EaSI%20_MF%20&amp;%20SE%20for%20140.8_2016.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EMPL\E\E1\3.%20Entrepreneurship\3.1%20Financial%20Instruments\3.1.5%20Implementation%20EaSI%20Guarantees\Annual%20Reporting%20to%20DG%20Budg\2017\140.8\Pie%20Charts%20EaSI%20_MF%20&amp;%20SE%20for%20140.8_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06%20Reporting\2.%20Operational%20reporting\03%20Quarterly%20operational%20reports\2016\Geographical%20distribution%20-%20LGF%202016%20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Actual Intermediary Size (EUR) per Country</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'CIP GIF'!$G$2:$G$16</c:f>
              <c:strCache>
                <c:ptCount val="15"/>
                <c:pt idx="0">
                  <c:v>Austria</c:v>
                </c:pt>
                <c:pt idx="1">
                  <c:v>Belgium</c:v>
                </c:pt>
                <c:pt idx="2">
                  <c:v>Denmark</c:v>
                </c:pt>
                <c:pt idx="3">
                  <c:v>Finland</c:v>
                </c:pt>
                <c:pt idx="4">
                  <c:v>France</c:v>
                </c:pt>
                <c:pt idx="5">
                  <c:v>Germany</c:v>
                </c:pt>
                <c:pt idx="6">
                  <c:v>Ireland</c:v>
                </c:pt>
                <c:pt idx="7">
                  <c:v>Italy</c:v>
                </c:pt>
                <c:pt idx="8">
                  <c:v>Luxembourg</c:v>
                </c:pt>
                <c:pt idx="9">
                  <c:v>Netherlands</c:v>
                </c:pt>
                <c:pt idx="10">
                  <c:v>Norway</c:v>
                </c:pt>
                <c:pt idx="11">
                  <c:v>Portugal</c:v>
                </c:pt>
                <c:pt idx="12">
                  <c:v>Spain</c:v>
                </c:pt>
                <c:pt idx="13">
                  <c:v>Sweden</c:v>
                </c:pt>
                <c:pt idx="14">
                  <c:v>United Kingdom</c:v>
                </c:pt>
              </c:strCache>
            </c:strRef>
          </c:cat>
          <c:val>
            <c:numRef>
              <c:f>'CIP GIF'!$H$2:$H$16</c:f>
              <c:numCache>
                <c:formatCode>_-* #.##00_-;\-* #.##00_-;_-* "-"??_-;_-@_-</c:formatCode>
                <c:ptCount val="15"/>
                <c:pt idx="0">
                  <c:v>34040000</c:v>
                </c:pt>
                <c:pt idx="1">
                  <c:v>154800000</c:v>
                </c:pt>
                <c:pt idx="2" formatCode="_(* #,##0.00_);_(* \(#,##0.00\);_(* &quot;-&quot;??_);_(@_)">
                  <c:v>9476155.574088024</c:v>
                </c:pt>
                <c:pt idx="3">
                  <c:v>281875000</c:v>
                </c:pt>
                <c:pt idx="4">
                  <c:v>520134370</c:v>
                </c:pt>
                <c:pt idx="5">
                  <c:v>311551934</c:v>
                </c:pt>
                <c:pt idx="6">
                  <c:v>73000000</c:v>
                </c:pt>
                <c:pt idx="7">
                  <c:v>441690000</c:v>
                </c:pt>
                <c:pt idx="8">
                  <c:v>159586428</c:v>
                </c:pt>
                <c:pt idx="9">
                  <c:v>249183643</c:v>
                </c:pt>
                <c:pt idx="10" formatCode="_(* #,##0.00_);_(* \(#,##0.00\);_(* &quot;-&quot;??_);_(@_)">
                  <c:v>2531466.273400614</c:v>
                </c:pt>
                <c:pt idx="11">
                  <c:v>54929800</c:v>
                </c:pt>
                <c:pt idx="12">
                  <c:v>28000000</c:v>
                </c:pt>
                <c:pt idx="13" formatCode="_(* #,##0.00_);_(* \(#,##0.00\);_(* &quot;-&quot;??_);_(@_)">
                  <c:v>1850296.2575242082</c:v>
                </c:pt>
                <c:pt idx="14" formatCode="_(* #,##0.00_);_(* \(#,##0.00\);_(* &quot;-&quot;??_);_(@_)">
                  <c:v>706368412.13810182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layout>
                <c:manualLayout>
                  <c:x val="-1.9360100648575952E-2"/>
                  <c:y val="-1.1473945503647488E-2"/>
                </c:manualLayout>
              </c:layout>
              <c:showLegendKey val="0"/>
              <c:showVal val="0"/>
              <c:showCatName val="1"/>
              <c:showSerName val="0"/>
              <c:showPercent val="1"/>
              <c:showBubbleSize val="0"/>
            </c:dLbl>
            <c:dLbl>
              <c:idx val="32"/>
              <c:layout>
                <c:manualLayout>
                  <c:x val="-0.32716635213986683"/>
                  <c:y val="9.9359162383183111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Sheet1!$E$4:$E$38</c:f>
              <c:strCache>
                <c:ptCount val="35"/>
                <c:pt idx="0">
                  <c:v>Albania</c:v>
                </c:pt>
                <c:pt idx="1">
                  <c:v>Austria</c:v>
                </c:pt>
                <c:pt idx="2">
                  <c:v>Belgium</c:v>
                </c:pt>
                <c:pt idx="3">
                  <c:v>Bosnia &amp; Herzegovina</c:v>
                </c:pt>
                <c:pt idx="4">
                  <c:v>Bulgaria</c:v>
                </c:pt>
                <c:pt idx="5">
                  <c:v>Croatia</c:v>
                </c:pt>
                <c:pt idx="6">
                  <c:v>Cyprus</c:v>
                </c:pt>
                <c:pt idx="7">
                  <c:v>Czech Republic</c:v>
                </c:pt>
                <c:pt idx="8">
                  <c:v>Denmark</c:v>
                </c:pt>
                <c:pt idx="9">
                  <c:v>Estonia</c:v>
                </c:pt>
                <c:pt idx="10">
                  <c:v>Former Yugoslav Republic of Macedonia</c:v>
                </c:pt>
                <c:pt idx="11">
                  <c:v>France</c:v>
                </c:pt>
                <c:pt idx="12">
                  <c:v>Germany</c:v>
                </c:pt>
                <c:pt idx="13">
                  <c:v>Greece</c:v>
                </c:pt>
                <c:pt idx="14">
                  <c:v>Hungary</c:v>
                </c:pt>
                <c:pt idx="15">
                  <c:v>Iceland</c:v>
                </c:pt>
                <c:pt idx="16">
                  <c:v>Ireland</c:v>
                </c:pt>
                <c:pt idx="17">
                  <c:v>Israël</c:v>
                </c:pt>
                <c:pt idx="18">
                  <c:v>Italy</c:v>
                </c:pt>
                <c:pt idx="19">
                  <c:v>Latvia</c:v>
                </c:pt>
                <c:pt idx="20">
                  <c:v>Lithuania</c:v>
                </c:pt>
                <c:pt idx="21">
                  <c:v>Luxembourg</c:v>
                </c:pt>
                <c:pt idx="22">
                  <c:v>Malta</c:v>
                </c:pt>
                <c:pt idx="23">
                  <c:v>Moldova</c:v>
                </c:pt>
                <c:pt idx="24">
                  <c:v>Multi Country</c:v>
                </c:pt>
                <c:pt idx="25">
                  <c:v>Poland</c:v>
                </c:pt>
                <c:pt idx="26">
                  <c:v>Portugal</c:v>
                </c:pt>
                <c:pt idx="27">
                  <c:v>Romania</c:v>
                </c:pt>
                <c:pt idx="28">
                  <c:v>Serbia</c:v>
                </c:pt>
                <c:pt idx="29">
                  <c:v>Slovakia</c:v>
                </c:pt>
                <c:pt idx="30">
                  <c:v>Spain</c:v>
                </c:pt>
                <c:pt idx="31">
                  <c:v>Sweden</c:v>
                </c:pt>
                <c:pt idx="32">
                  <c:v>Turkey</c:v>
                </c:pt>
                <c:pt idx="33">
                  <c:v>Ukraine</c:v>
                </c:pt>
                <c:pt idx="34">
                  <c:v>United Kingdom</c:v>
                </c:pt>
              </c:strCache>
            </c:strRef>
          </c:cat>
          <c:val>
            <c:numRef>
              <c:f>Sheet1!$F$4:$F$38</c:f>
              <c:numCache>
                <c:formatCode>0</c:formatCode>
                <c:ptCount val="35"/>
                <c:pt idx="0">
                  <c:v>20</c:v>
                </c:pt>
                <c:pt idx="1">
                  <c:v>296</c:v>
                </c:pt>
                <c:pt idx="2">
                  <c:v>220</c:v>
                </c:pt>
                <c:pt idx="3">
                  <c:v>50</c:v>
                </c:pt>
                <c:pt idx="4">
                  <c:v>65</c:v>
                </c:pt>
                <c:pt idx="5">
                  <c:v>30</c:v>
                </c:pt>
                <c:pt idx="6">
                  <c:v>10</c:v>
                </c:pt>
                <c:pt idx="7">
                  <c:v>300</c:v>
                </c:pt>
                <c:pt idx="8">
                  <c:v>314.24319182343692</c:v>
                </c:pt>
                <c:pt idx="9">
                  <c:v>40</c:v>
                </c:pt>
                <c:pt idx="10">
                  <c:v>10</c:v>
                </c:pt>
                <c:pt idx="11">
                  <c:v>1330</c:v>
                </c:pt>
                <c:pt idx="12">
                  <c:v>1285</c:v>
                </c:pt>
                <c:pt idx="13">
                  <c:v>100</c:v>
                </c:pt>
                <c:pt idx="14">
                  <c:v>15</c:v>
                </c:pt>
                <c:pt idx="15">
                  <c:v>20</c:v>
                </c:pt>
                <c:pt idx="16">
                  <c:v>100</c:v>
                </c:pt>
                <c:pt idx="17">
                  <c:v>94.867656320884009</c:v>
                </c:pt>
                <c:pt idx="18">
                  <c:v>1815</c:v>
                </c:pt>
                <c:pt idx="19">
                  <c:v>12</c:v>
                </c:pt>
                <c:pt idx="20">
                  <c:v>10</c:v>
                </c:pt>
                <c:pt idx="21">
                  <c:v>120</c:v>
                </c:pt>
                <c:pt idx="22">
                  <c:v>12</c:v>
                </c:pt>
                <c:pt idx="23">
                  <c:v>24.5</c:v>
                </c:pt>
                <c:pt idx="24">
                  <c:v>335</c:v>
                </c:pt>
                <c:pt idx="25">
                  <c:v>53.139356512467899</c:v>
                </c:pt>
                <c:pt idx="26">
                  <c:v>680</c:v>
                </c:pt>
                <c:pt idx="27">
                  <c:v>50</c:v>
                </c:pt>
                <c:pt idx="28">
                  <c:v>70</c:v>
                </c:pt>
                <c:pt idx="29">
                  <c:v>35</c:v>
                </c:pt>
                <c:pt idx="30">
                  <c:v>427.6</c:v>
                </c:pt>
                <c:pt idx="31">
                  <c:v>370.08637129785518</c:v>
                </c:pt>
                <c:pt idx="32">
                  <c:v>20</c:v>
                </c:pt>
                <c:pt idx="33">
                  <c:v>50</c:v>
                </c:pt>
                <c:pt idx="34">
                  <c:v>264.25517622005555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cap="rn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3"/>
              <c:layout>
                <c:manualLayout>
                  <c:x val="5.5125487786248942E-2"/>
                  <c:y val="-8.7654379875395354E-3"/>
                </c:manualLayout>
              </c:layout>
              <c:dLblPos val="bestFit"/>
              <c:showLegendKey val="0"/>
              <c:showVal val="1"/>
              <c:showCatName val="1"/>
              <c:showSerName val="0"/>
              <c:showPercent val="0"/>
              <c:showBubbleSize val="0"/>
            </c:dLbl>
            <c:spPr>
              <a:ln cap="sq">
                <a:round/>
              </a:ln>
            </c:spPr>
            <c:dLblPos val="bestFit"/>
            <c:showLegendKey val="0"/>
            <c:showVal val="1"/>
            <c:showCatName val="1"/>
            <c:showSerName val="0"/>
            <c:showPercent val="0"/>
            <c:showBubbleSize val="0"/>
            <c:showLeaderLines val="1"/>
          </c:dLbls>
          <c:cat>
            <c:strRef>
              <c:f>'BS_2.3.5 FR Ptf Country'!$A$7:$A$32</c:f>
              <c:strCache>
                <c:ptCount val="26"/>
                <c:pt idx="0">
                  <c:v>Albania</c:v>
                </c:pt>
                <c:pt idx="1">
                  <c:v>Austria</c:v>
                </c:pt>
                <c:pt idx="2">
                  <c:v>Belgium</c:v>
                </c:pt>
                <c:pt idx="3">
                  <c:v>Bosnia and Herzegovina</c:v>
                </c:pt>
                <c:pt idx="4">
                  <c:v>Bulgaria</c:v>
                </c:pt>
                <c:pt idx="5">
                  <c:v>Czech Republic</c:v>
                </c:pt>
                <c:pt idx="6">
                  <c:v>Denmark</c:v>
                </c:pt>
                <c:pt idx="7">
                  <c:v>Estonia</c:v>
                </c:pt>
                <c:pt idx="8">
                  <c:v>Finland</c:v>
                </c:pt>
                <c:pt idx="9">
                  <c:v>France</c:v>
                </c:pt>
                <c:pt idx="10">
                  <c:v>Germany</c:v>
                </c:pt>
                <c:pt idx="11">
                  <c:v>Greece</c:v>
                </c:pt>
                <c:pt idx="12">
                  <c:v>Ireland</c:v>
                </c:pt>
                <c:pt idx="13">
                  <c:v>Israel</c:v>
                </c:pt>
                <c:pt idx="14">
                  <c:v>Italy</c:v>
                </c:pt>
                <c:pt idx="15">
                  <c:v>Luxembourg</c:v>
                </c:pt>
                <c:pt idx="16">
                  <c:v>Macedonia</c:v>
                </c:pt>
                <c:pt idx="17">
                  <c:v>Moldova</c:v>
                </c:pt>
                <c:pt idx="18">
                  <c:v>Poland</c:v>
                </c:pt>
                <c:pt idx="19">
                  <c:v>Portugal</c:v>
                </c:pt>
                <c:pt idx="20">
                  <c:v>Romania</c:v>
                </c:pt>
                <c:pt idx="21">
                  <c:v>Serbia</c:v>
                </c:pt>
                <c:pt idx="22">
                  <c:v>Spain</c:v>
                </c:pt>
                <c:pt idx="23">
                  <c:v>Sweden</c:v>
                </c:pt>
                <c:pt idx="24">
                  <c:v>Turkey</c:v>
                </c:pt>
                <c:pt idx="25">
                  <c:v>United Kingdom</c:v>
                </c:pt>
              </c:strCache>
            </c:strRef>
          </c:cat>
          <c:val>
            <c:numRef>
              <c:f>'BS_2.3.5 FR Ptf Country'!$B$7:$B$32</c:f>
              <c:numCache>
                <c:formatCode>_-* #,##0_-;\-* #,##0_-;_-* "-"??_-;_-@_-</c:formatCode>
                <c:ptCount val="26"/>
                <c:pt idx="0">
                  <c:v>15</c:v>
                </c:pt>
                <c:pt idx="1">
                  <c:v>22</c:v>
                </c:pt>
                <c:pt idx="2">
                  <c:v>41</c:v>
                </c:pt>
                <c:pt idx="3">
                  <c:v>48</c:v>
                </c:pt>
                <c:pt idx="4">
                  <c:v>172</c:v>
                </c:pt>
                <c:pt idx="5">
                  <c:v>186</c:v>
                </c:pt>
                <c:pt idx="6">
                  <c:v>117</c:v>
                </c:pt>
                <c:pt idx="7">
                  <c:v>9</c:v>
                </c:pt>
                <c:pt idx="8">
                  <c:v>29</c:v>
                </c:pt>
                <c:pt idx="9">
                  <c:v>1289</c:v>
                </c:pt>
                <c:pt idx="10">
                  <c:v>188</c:v>
                </c:pt>
                <c:pt idx="11">
                  <c:v>1</c:v>
                </c:pt>
                <c:pt idx="12">
                  <c:v>3</c:v>
                </c:pt>
                <c:pt idx="13">
                  <c:v>6</c:v>
                </c:pt>
                <c:pt idx="14">
                  <c:v>613</c:v>
                </c:pt>
                <c:pt idx="15">
                  <c:v>34</c:v>
                </c:pt>
                <c:pt idx="16">
                  <c:v>19</c:v>
                </c:pt>
                <c:pt idx="17">
                  <c:v>22</c:v>
                </c:pt>
                <c:pt idx="18">
                  <c:v>14</c:v>
                </c:pt>
                <c:pt idx="19">
                  <c:v>360</c:v>
                </c:pt>
                <c:pt idx="20">
                  <c:v>31</c:v>
                </c:pt>
                <c:pt idx="21">
                  <c:v>32</c:v>
                </c:pt>
                <c:pt idx="22">
                  <c:v>1749</c:v>
                </c:pt>
                <c:pt idx="23">
                  <c:v>652</c:v>
                </c:pt>
                <c:pt idx="24">
                  <c:v>2</c:v>
                </c:pt>
                <c:pt idx="25">
                  <c:v>28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aseline="0"/>
            </a:pPr>
            <a:r>
              <a:rPr lang="en-GB" sz="1500" baseline="0"/>
              <a:t>Geographical distribution of Eligible Final Recipients</a:t>
            </a:r>
            <a:br>
              <a:rPr lang="en-GB" sz="1500" baseline="0"/>
            </a:br>
            <a:r>
              <a:rPr lang="en-GB" sz="1500" baseline="0"/>
              <a:t> </a:t>
            </a:r>
            <a:r>
              <a:rPr lang="en-GB" sz="1200" baseline="0"/>
              <a:t>(by amount of investments as at 31.12.2016)</a:t>
            </a:r>
          </a:p>
        </c:rich>
      </c:tx>
      <c:layout>
        <c:manualLayout>
          <c:xMode val="edge"/>
          <c:yMode val="edge"/>
          <c:x val="0.13690393005510074"/>
          <c:y val="1.1998495936572361E-2"/>
        </c:manualLayout>
      </c:layout>
      <c:overlay val="0"/>
    </c:title>
    <c:autoTitleDeleted val="0"/>
    <c:plotArea>
      <c:layout/>
      <c:pieChart>
        <c:varyColors val="1"/>
        <c:ser>
          <c:idx val="0"/>
          <c:order val="0"/>
          <c:dLbls>
            <c:dLbl>
              <c:idx val="0"/>
              <c:layout>
                <c:manualLayout>
                  <c:x val="3.0686934000799568E-2"/>
                  <c:y val="1.6101597297873867E-2"/>
                </c:manualLayout>
              </c:layout>
              <c:showLegendKey val="0"/>
              <c:showVal val="0"/>
              <c:showCatName val="1"/>
              <c:showSerName val="0"/>
              <c:showPercent val="1"/>
              <c:showBubbleSize val="0"/>
            </c:dLbl>
            <c:dLbl>
              <c:idx val="1"/>
              <c:layout>
                <c:manualLayout>
                  <c:x val="2.7609462724444214E-2"/>
                  <c:y val="-2.4476695519742721E-2"/>
                </c:manualLayout>
              </c:layout>
              <c:showLegendKey val="0"/>
              <c:showVal val="0"/>
              <c:showCatName val="1"/>
              <c:showSerName val="0"/>
              <c:showPercent val="1"/>
              <c:showBubbleSize val="0"/>
            </c:dLbl>
            <c:dLbl>
              <c:idx val="2"/>
              <c:layout>
                <c:manualLayout>
                  <c:x val="-9.6813022544367383E-2"/>
                  <c:y val="-9.7112236009469759E-3"/>
                </c:manualLayout>
              </c:layout>
              <c:showLegendKey val="0"/>
              <c:showVal val="0"/>
              <c:showCatName val="1"/>
              <c:showSerName val="0"/>
              <c:showPercent val="1"/>
              <c:showBubbleSize val="0"/>
            </c:dLbl>
            <c:dLbl>
              <c:idx val="3"/>
              <c:layout>
                <c:manualLayout>
                  <c:x val="-0.11977055848151431"/>
                  <c:y val="2.5009778301806576E-2"/>
                </c:manualLayout>
              </c:layout>
              <c:showLegendKey val="0"/>
              <c:showVal val="0"/>
              <c:showCatName val="1"/>
              <c:showSerName val="0"/>
              <c:showPercent val="1"/>
              <c:showBubbleSize val="0"/>
            </c:dLbl>
            <c:dLbl>
              <c:idx val="4"/>
              <c:layout>
                <c:manualLayout>
                  <c:x val="-5.0749682779718759E-2"/>
                  <c:y val="-2.799334130713693E-3"/>
                </c:manualLayout>
              </c:layout>
              <c:showLegendKey val="0"/>
              <c:showVal val="0"/>
              <c:showCatName val="1"/>
              <c:showSerName val="0"/>
              <c:showPercent val="1"/>
              <c:showBubbleSize val="0"/>
            </c:dLbl>
            <c:dLbl>
              <c:idx val="5"/>
              <c:layout>
                <c:manualLayout>
                  <c:x val="-8.7101388816464162E-2"/>
                  <c:y val="-3.7196754548563679E-2"/>
                </c:manualLayout>
              </c:layout>
              <c:showLegendKey val="0"/>
              <c:showVal val="0"/>
              <c:showCatName val="1"/>
              <c:showSerName val="0"/>
              <c:showPercent val="1"/>
              <c:showBubbleSize val="0"/>
            </c:dLbl>
            <c:dLbl>
              <c:idx val="6"/>
              <c:layout>
                <c:manualLayout>
                  <c:x val="4.2202986216126954E-2"/>
                  <c:y val="3.2225881606022301E-3"/>
                </c:manualLayout>
              </c:layout>
              <c:showLegendKey val="0"/>
              <c:showVal val="0"/>
              <c:showCatName val="1"/>
              <c:showSerName val="0"/>
              <c:showPercent val="1"/>
              <c:showBubbleSize val="0"/>
            </c:dLbl>
            <c:dLbl>
              <c:idx val="7"/>
              <c:layout>
                <c:manualLayout>
                  <c:x val="6.6897151101145469E-2"/>
                  <c:y val="-1.5578991873548156E-2"/>
                </c:manualLayout>
              </c:layout>
              <c:showLegendKey val="0"/>
              <c:showVal val="0"/>
              <c:showCatName val="1"/>
              <c:showSerName val="0"/>
              <c:showPercent val="1"/>
              <c:showBubbleSize val="0"/>
            </c:dLbl>
            <c:dLbl>
              <c:idx val="9"/>
              <c:layout>
                <c:manualLayout>
                  <c:x val="-2.0485303575463663E-2"/>
                  <c:y val="2.9859601100621899E-2"/>
                </c:manualLayout>
              </c:layout>
              <c:showLegendKey val="0"/>
              <c:showVal val="0"/>
              <c:showCatName val="1"/>
              <c:showSerName val="0"/>
              <c:showPercent val="1"/>
              <c:showBubbleSize val="0"/>
            </c:dLbl>
            <c:dLbl>
              <c:idx val="14"/>
              <c:layout>
                <c:manualLayout>
                  <c:x val="3.1305730823382176E-3"/>
                  <c:y val="-2.5319005641862721E-2"/>
                </c:manualLayout>
              </c:layout>
              <c:showLegendKey val="0"/>
              <c:showVal val="0"/>
              <c:showCatName val="1"/>
              <c:showSerName val="0"/>
              <c:showPercent val="1"/>
              <c:showBubbleSize val="0"/>
            </c:dLbl>
            <c:dLbl>
              <c:idx val="15"/>
              <c:layout>
                <c:manualLayout>
                  <c:x val="-7.0320349029219034E-2"/>
                  <c:y val="-7.8365821897470087E-2"/>
                </c:manualLayout>
              </c:layout>
              <c:showLegendKey val="0"/>
              <c:showVal val="0"/>
              <c:showCatName val="1"/>
              <c:showSerName val="0"/>
              <c:showPercent val="1"/>
              <c:showBubbleSize val="0"/>
            </c:dLbl>
            <c:dLbl>
              <c:idx val="16"/>
              <c:layout>
                <c:manualLayout>
                  <c:x val="-6.8745719698944913E-2"/>
                  <c:y val="-0.16610958795862765"/>
                </c:manualLayout>
              </c:layout>
              <c:showLegendKey val="0"/>
              <c:showVal val="0"/>
              <c:showCatName val="1"/>
              <c:showSerName val="0"/>
              <c:showPercent val="1"/>
              <c:showBubbleSize val="0"/>
            </c:dLbl>
            <c:dLbl>
              <c:idx val="17"/>
              <c:layout>
                <c:manualLayout>
                  <c:x val="-5.4850254645321651E-2"/>
                  <c:y val="-9.108297974517213E-3"/>
                </c:manualLayout>
              </c:layout>
              <c:showLegendKey val="0"/>
              <c:showVal val="0"/>
              <c:showCatName val="1"/>
              <c:showSerName val="0"/>
              <c:showPercent val="1"/>
              <c:showBubbleSize val="0"/>
            </c:dLbl>
            <c:dLbl>
              <c:idx val="18"/>
              <c:layout>
                <c:manualLayout>
                  <c:x val="-8.5941840051450516E-2"/>
                  <c:y val="-1.0944702572514256E-3"/>
                </c:manualLayout>
              </c:layout>
              <c:showLegendKey val="0"/>
              <c:showVal val="0"/>
              <c:showCatName val="1"/>
              <c:showSerName val="0"/>
              <c:showPercent val="1"/>
              <c:showBubbleSize val="0"/>
            </c:dLbl>
            <c:numFmt formatCode="0.0%" sourceLinked="0"/>
            <c:txPr>
              <a:bodyPr/>
              <a:lstStyle/>
              <a:p>
                <a:pPr>
                  <a:defRPr b="1"/>
                </a:pPr>
                <a:endParaRPr lang="en-US"/>
              </a:p>
            </c:txPr>
            <c:showLegendKey val="0"/>
            <c:showVal val="0"/>
            <c:showCatName val="1"/>
            <c:showSerName val="0"/>
            <c:showPercent val="1"/>
            <c:showBubbleSize val="0"/>
            <c:showLeaderLines val="1"/>
          </c:dLbls>
          <c:cat>
            <c:strRef>
              <c:f>'Final recipients'!$A$5:$A$11</c:f>
              <c:strCache>
                <c:ptCount val="7"/>
                <c:pt idx="0">
                  <c:v>France</c:v>
                </c:pt>
                <c:pt idx="1">
                  <c:v>Germany</c:v>
                </c:pt>
                <c:pt idx="2">
                  <c:v>Greece</c:v>
                </c:pt>
                <c:pt idx="3">
                  <c:v>Ireland</c:v>
                </c:pt>
                <c:pt idx="4">
                  <c:v>Italy</c:v>
                </c:pt>
                <c:pt idx="5">
                  <c:v>Netherlands</c:v>
                </c:pt>
                <c:pt idx="6">
                  <c:v>United Kingdom</c:v>
                </c:pt>
              </c:strCache>
            </c:strRef>
          </c:cat>
          <c:val>
            <c:numRef>
              <c:f>'Final recipients'!$B$5:$B$11</c:f>
              <c:numCache>
                <c:formatCode>#,##0.0</c:formatCode>
                <c:ptCount val="7"/>
                <c:pt idx="0">
                  <c:v>8.1999999999999993</c:v>
                </c:pt>
                <c:pt idx="1">
                  <c:v>36</c:v>
                </c:pt>
                <c:pt idx="2">
                  <c:v>11.2</c:v>
                </c:pt>
                <c:pt idx="3">
                  <c:v>1</c:v>
                </c:pt>
                <c:pt idx="4">
                  <c:v>3</c:v>
                </c:pt>
                <c:pt idx="5">
                  <c:v>1.3</c:v>
                </c:pt>
                <c:pt idx="6">
                  <c:v>3.4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bestFit"/>
            <c:showLegendKey val="0"/>
            <c:showVal val="0"/>
            <c:showCatName val="1"/>
            <c:showSerName val="0"/>
            <c:showPercent val="1"/>
            <c:showBubbleSize val="0"/>
            <c:showLeaderLines val="1"/>
          </c:dLbls>
          <c:cat>
            <c:strRef>
              <c:f>Sheet3!$A$13:$A$17</c:f>
              <c:strCache>
                <c:ptCount val="5"/>
                <c:pt idx="0">
                  <c:v>France</c:v>
                </c:pt>
                <c:pt idx="1">
                  <c:v>Ireland</c:v>
                </c:pt>
                <c:pt idx="2">
                  <c:v>Italy</c:v>
                </c:pt>
                <c:pt idx="3">
                  <c:v>Netherlands</c:v>
                </c:pt>
                <c:pt idx="4">
                  <c:v>Spain</c:v>
                </c:pt>
              </c:strCache>
            </c:strRef>
          </c:cat>
          <c:val>
            <c:numRef>
              <c:f>Sheet3!$B$13:$B$17</c:f>
              <c:numCache>
                <c:formatCode>0.0%</c:formatCode>
                <c:ptCount val="5"/>
                <c:pt idx="0">
                  <c:v>0.54847706333942448</c:v>
                </c:pt>
                <c:pt idx="1">
                  <c:v>6.8559632917428059E-2</c:v>
                </c:pt>
                <c:pt idx="2">
                  <c:v>9.35838989322893E-2</c:v>
                </c:pt>
                <c:pt idx="3">
                  <c:v>6.9472336146988278E-2</c:v>
                </c:pt>
                <c:pt idx="4">
                  <c:v>0.21990706866386991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1"/>
            <c:showSerName val="0"/>
            <c:showPercent val="0"/>
            <c:showBubbleSize val="0"/>
            <c:showLeaderLines val="1"/>
          </c:dLbls>
          <c:cat>
            <c:strRef>
              <c:f>'Table 1.4'!$J$6:$J$9</c:f>
              <c:strCache>
                <c:ptCount val="4"/>
                <c:pt idx="0">
                  <c:v>Italy</c:v>
                </c:pt>
                <c:pt idx="1">
                  <c:v>Netherlands</c:v>
                </c:pt>
                <c:pt idx="2">
                  <c:v>Spain</c:v>
                </c:pt>
                <c:pt idx="3">
                  <c:v>United Kingdom</c:v>
                </c:pt>
              </c:strCache>
            </c:strRef>
          </c:cat>
          <c:val>
            <c:numRef>
              <c:f>'Table 1.4'!$K$6:$K$9</c:f>
              <c:numCache>
                <c:formatCode>#,##0.0</c:formatCode>
                <c:ptCount val="4"/>
                <c:pt idx="0">
                  <c:v>2.1535709999999999</c:v>
                </c:pt>
                <c:pt idx="1">
                  <c:v>4.2450919999999996</c:v>
                </c:pt>
                <c:pt idx="2">
                  <c:v>4.8377679999999996</c:v>
                </c:pt>
                <c:pt idx="3">
                  <c:v>3.76789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Loan Amount per Country</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'SMEG (2007)'!$G$2:$G$24</c:f>
              <c:strCache>
                <c:ptCount val="23"/>
                <c:pt idx="0">
                  <c:v>Austria</c:v>
                </c:pt>
                <c:pt idx="1">
                  <c:v>Belgium</c:v>
                </c:pt>
                <c:pt idx="2">
                  <c:v>Bulgaria</c:v>
                </c:pt>
                <c:pt idx="3">
                  <c:v>Croatia</c:v>
                </c:pt>
                <c:pt idx="4">
                  <c:v>Czech Republic</c:v>
                </c:pt>
                <c:pt idx="5">
                  <c:v>Denmark</c:v>
                </c:pt>
                <c:pt idx="6">
                  <c:v>Estonia</c:v>
                </c:pt>
                <c:pt idx="7">
                  <c:v>Former Yugoslav Republic of Macedonia</c:v>
                </c:pt>
                <c:pt idx="8">
                  <c:v>France</c:v>
                </c:pt>
                <c:pt idx="9">
                  <c:v>Germany</c:v>
                </c:pt>
                <c:pt idx="10">
                  <c:v>Hungary</c:v>
                </c:pt>
                <c:pt idx="11">
                  <c:v>Italy</c:v>
                </c:pt>
                <c:pt idx="12">
                  <c:v>Latvia</c:v>
                </c:pt>
                <c:pt idx="13">
                  <c:v>Malta</c:v>
                </c:pt>
                <c:pt idx="14">
                  <c:v>Montenegro</c:v>
                </c:pt>
                <c:pt idx="15">
                  <c:v>Poland</c:v>
                </c:pt>
                <c:pt idx="16">
                  <c:v>Portugal</c:v>
                </c:pt>
                <c:pt idx="17">
                  <c:v>Romania</c:v>
                </c:pt>
                <c:pt idx="18">
                  <c:v>Serbia</c:v>
                </c:pt>
                <c:pt idx="19">
                  <c:v>Slovakia</c:v>
                </c:pt>
                <c:pt idx="20">
                  <c:v>Slovenia</c:v>
                </c:pt>
                <c:pt idx="21">
                  <c:v>Spain</c:v>
                </c:pt>
                <c:pt idx="22">
                  <c:v>Turkey</c:v>
                </c:pt>
              </c:strCache>
            </c:strRef>
          </c:cat>
          <c:val>
            <c:numRef>
              <c:f>'SMEG (2007)'!$H$2:$H$24</c:f>
              <c:numCache>
                <c:formatCode>_(* #,##0.00_);_(* \(#,##0.00\);_(* "-"??_);_(@_)</c:formatCode>
                <c:ptCount val="23"/>
                <c:pt idx="0">
                  <c:v>341.8</c:v>
                </c:pt>
                <c:pt idx="1">
                  <c:v>2989.9</c:v>
                </c:pt>
                <c:pt idx="2">
                  <c:v>13.1</c:v>
                </c:pt>
                <c:pt idx="3">
                  <c:v>48.6</c:v>
                </c:pt>
                <c:pt idx="4">
                  <c:v>570.1</c:v>
                </c:pt>
                <c:pt idx="5">
                  <c:v>3.4</c:v>
                </c:pt>
                <c:pt idx="6">
                  <c:v>1751.2</c:v>
                </c:pt>
                <c:pt idx="7">
                  <c:v>438.9</c:v>
                </c:pt>
                <c:pt idx="8">
                  <c:v>1070</c:v>
                </c:pt>
                <c:pt idx="9">
                  <c:v>3888.5</c:v>
                </c:pt>
                <c:pt idx="10">
                  <c:v>229.5</c:v>
                </c:pt>
                <c:pt idx="11">
                  <c:v>3793.2999999999997</c:v>
                </c:pt>
                <c:pt idx="12">
                  <c:v>24.9</c:v>
                </c:pt>
                <c:pt idx="13">
                  <c:v>12.7</c:v>
                </c:pt>
                <c:pt idx="14">
                  <c:v>16.3</c:v>
                </c:pt>
                <c:pt idx="15">
                  <c:v>911.30000000000007</c:v>
                </c:pt>
                <c:pt idx="16">
                  <c:v>6.2</c:v>
                </c:pt>
                <c:pt idx="17">
                  <c:v>317.8</c:v>
                </c:pt>
                <c:pt idx="18">
                  <c:v>118.7</c:v>
                </c:pt>
                <c:pt idx="19">
                  <c:v>1560.3</c:v>
                </c:pt>
                <c:pt idx="20">
                  <c:v>6.9</c:v>
                </c:pt>
                <c:pt idx="21">
                  <c:v>1161.7</c:v>
                </c:pt>
                <c:pt idx="22">
                  <c:v>1219.8000000000002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3"/>
              <c:layout>
                <c:manualLayout>
                  <c:x val="1.4079549454417459E-2"/>
                  <c:y val="-1.3816921224401162E-2"/>
                </c:manualLayout>
              </c:layout>
              <c:dLblPos val="bestFit"/>
              <c:showLegendKey val="0"/>
              <c:showVal val="0"/>
              <c:showCatName val="1"/>
              <c:showSerName val="0"/>
              <c:showPercent val="1"/>
              <c:showBubbleSize val="0"/>
            </c:dLbl>
            <c:dLbl>
              <c:idx val="4"/>
              <c:layout>
                <c:manualLayout>
                  <c:x val="-1.4079549454417459E-2"/>
                  <c:y val="4.9740916407844185E-2"/>
                </c:manualLayout>
              </c:layout>
              <c:dLblPos val="bestFit"/>
              <c:showLegendKey val="0"/>
              <c:showVal val="0"/>
              <c:showCatName val="1"/>
              <c:showSerName val="0"/>
              <c:showPercent val="1"/>
              <c:showBubbleSize val="0"/>
            </c:dLbl>
            <c:dLbl>
              <c:idx val="8"/>
              <c:layout>
                <c:manualLayout>
                  <c:x val="1.5487504399859256E-2"/>
                  <c:y val="1.3816921224401162E-2"/>
                </c:manualLayout>
              </c:layout>
              <c:dLblPos val="bestFit"/>
              <c:showLegendKey val="0"/>
              <c:showVal val="0"/>
              <c:showCatName val="1"/>
              <c:showSerName val="0"/>
              <c:showPercent val="1"/>
              <c:showBubbleSize val="0"/>
            </c:dLbl>
            <c:dLbl>
              <c:idx val="9"/>
              <c:layout>
                <c:manualLayout>
                  <c:x val="-9.8556846180922215E-3"/>
                  <c:y val="2.7633842448802322E-3"/>
                </c:manualLayout>
              </c:layout>
              <c:dLblPos val="bestFit"/>
              <c:showLegendKey val="0"/>
              <c:showVal val="0"/>
              <c:showCatName val="1"/>
              <c:showSerName val="0"/>
              <c:showPercent val="1"/>
              <c:showBubbleSize val="0"/>
            </c:dLbl>
            <c:dLbl>
              <c:idx val="13"/>
              <c:layout>
                <c:manualLayout>
                  <c:x val="0"/>
                  <c:y val="1.9343689714161626E-2"/>
                </c:manualLayout>
              </c:layout>
              <c:dLblPos val="bestFit"/>
              <c:showLegendKey val="0"/>
              <c:showVal val="0"/>
              <c:showCatName val="1"/>
              <c:showSerName val="0"/>
              <c:showPercent val="1"/>
              <c:showBubbleSize val="0"/>
            </c:dLbl>
            <c:dLbl>
              <c:idx val="14"/>
              <c:layout>
                <c:manualLayout>
                  <c:x val="-1.4079549454417458E-3"/>
                  <c:y val="-3.316061093856279E-2"/>
                </c:manualLayout>
              </c:layout>
              <c:dLblPos val="bestFit"/>
              <c:showLegendKey val="0"/>
              <c:showVal val="0"/>
              <c:showCatName val="1"/>
              <c:showSerName val="0"/>
              <c:showPercent val="1"/>
              <c:showBubbleSize val="0"/>
            </c:dLbl>
            <c:dLbl>
              <c:idx val="16"/>
              <c:layout>
                <c:manualLayout>
                  <c:x val="-3.9422738472368886E-2"/>
                  <c:y val="8.2901527346406975E-3"/>
                </c:manualLayout>
              </c:layout>
              <c:dLblPos val="bestFit"/>
              <c:showLegendKey val="0"/>
              <c:showVal val="0"/>
              <c:showCatName val="1"/>
              <c:showSerName val="0"/>
              <c:showPercent val="1"/>
              <c:showBubbleSize val="0"/>
            </c:dLbl>
            <c:dLbl>
              <c:idx val="17"/>
              <c:layout>
                <c:manualLayout>
                  <c:x val="2.8159098908834918E-2"/>
                  <c:y val="0"/>
                </c:manualLayout>
              </c:layout>
              <c:dLblPos val="bestFit"/>
              <c:showLegendKey val="0"/>
              <c:showVal val="0"/>
              <c:showCatName val="1"/>
              <c:showSerName val="0"/>
              <c:showPercent val="1"/>
              <c:showBubbleSize val="0"/>
            </c:dLbl>
            <c:numFmt formatCode="0.00%" sourceLinked="0"/>
            <c:spPr>
              <a:effectLst>
                <a:glow>
                  <a:schemeClr val="accent1"/>
                </a:glow>
              </a:effectLst>
            </c:spPr>
            <c:txPr>
              <a:bodyPr rot="0" vert="horz" anchor="ctr" anchorCtr="1"/>
              <a:lstStyle/>
              <a:p>
                <a:pPr>
                  <a:defRPr sz="900"/>
                </a:pPr>
                <a:endParaRPr lang="en-US"/>
              </a:p>
            </c:txPr>
            <c:dLblPos val="outEnd"/>
            <c:showLegendKey val="0"/>
            <c:showVal val="0"/>
            <c:showCatName val="1"/>
            <c:showSerName val="0"/>
            <c:showPercent val="1"/>
            <c:showBubbleSize val="0"/>
            <c:showLeaderLines val="1"/>
          </c:dLbls>
          <c:cat>
            <c:strRef>
              <c:f>FMA!$E$3:$E$20</c:f>
              <c:strCache>
                <c:ptCount val="18"/>
                <c:pt idx="0">
                  <c:v>France</c:v>
                </c:pt>
                <c:pt idx="1">
                  <c:v>Sweden</c:v>
                </c:pt>
                <c:pt idx="2">
                  <c:v>Romania</c:v>
                </c:pt>
                <c:pt idx="3">
                  <c:v>Slovenia</c:v>
                </c:pt>
                <c:pt idx="4">
                  <c:v>Bulgaria</c:v>
                </c:pt>
                <c:pt idx="5">
                  <c:v>Spain</c:v>
                </c:pt>
                <c:pt idx="6">
                  <c:v>Italy</c:v>
                </c:pt>
                <c:pt idx="7">
                  <c:v>Belgium</c:v>
                </c:pt>
                <c:pt idx="8">
                  <c:v>Portugal</c:v>
                </c:pt>
                <c:pt idx="9">
                  <c:v>Austria</c:v>
                </c:pt>
                <c:pt idx="10">
                  <c:v>United Kingdom</c:v>
                </c:pt>
                <c:pt idx="11">
                  <c:v>Ireland</c:v>
                </c:pt>
                <c:pt idx="12">
                  <c:v>Poland</c:v>
                </c:pt>
                <c:pt idx="13">
                  <c:v>Slovakia</c:v>
                </c:pt>
                <c:pt idx="14">
                  <c:v>Greece</c:v>
                </c:pt>
                <c:pt idx="15">
                  <c:v>Netherlands</c:v>
                </c:pt>
                <c:pt idx="16">
                  <c:v>Denmark</c:v>
                </c:pt>
                <c:pt idx="17">
                  <c:v>Croatia</c:v>
                </c:pt>
              </c:strCache>
            </c:strRef>
          </c:cat>
          <c:val>
            <c:numRef>
              <c:f>FMA!$F$3:$F$20</c:f>
              <c:numCache>
                <c:formatCode>0.00</c:formatCode>
                <c:ptCount val="18"/>
                <c:pt idx="0">
                  <c:v>37.019913603700005</c:v>
                </c:pt>
                <c:pt idx="1">
                  <c:v>2.7949773529330102</c:v>
                </c:pt>
                <c:pt idx="2">
                  <c:v>28.327789558300978</c:v>
                </c:pt>
                <c:pt idx="3">
                  <c:v>1.95</c:v>
                </c:pt>
                <c:pt idx="4">
                  <c:v>3.8674661916740001</c:v>
                </c:pt>
                <c:pt idx="5">
                  <c:v>28.726321670000001</c:v>
                </c:pt>
                <c:pt idx="6">
                  <c:v>1.57</c:v>
                </c:pt>
                <c:pt idx="7">
                  <c:v>16.29178112</c:v>
                </c:pt>
                <c:pt idx="8">
                  <c:v>10.959394229999999</c:v>
                </c:pt>
                <c:pt idx="9">
                  <c:v>2.1638226600000001</c:v>
                </c:pt>
                <c:pt idx="10">
                  <c:v>13.48469287713001</c:v>
                </c:pt>
                <c:pt idx="11">
                  <c:v>7.4789080000000006</c:v>
                </c:pt>
                <c:pt idx="12">
                  <c:v>13.741339954294981</c:v>
                </c:pt>
                <c:pt idx="13">
                  <c:v>6.76</c:v>
                </c:pt>
                <c:pt idx="14">
                  <c:v>2.5</c:v>
                </c:pt>
                <c:pt idx="15">
                  <c:v>52.850824029999998</c:v>
                </c:pt>
                <c:pt idx="16">
                  <c:v>0.68</c:v>
                </c:pt>
                <c:pt idx="17">
                  <c:v>4.49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4"/>
          <c:dLbls>
            <c:dLbl>
              <c:idx val="0"/>
              <c:layout>
                <c:manualLayout>
                  <c:x val="-4.1534598007510061E-2"/>
                  <c:y val="-4.5007012411481043E-3"/>
                </c:manualLayout>
              </c:layout>
              <c:dLblPos val="bestFit"/>
              <c:showLegendKey val="0"/>
              <c:showVal val="0"/>
              <c:showCatName val="1"/>
              <c:showSerName val="0"/>
              <c:showPercent val="1"/>
              <c:showBubbleSize val="0"/>
            </c:dLbl>
            <c:dLbl>
              <c:idx val="1"/>
              <c:layout>
                <c:manualLayout>
                  <c:x val="5.2231139826423273E-2"/>
                  <c:y val="-1.5752454344018365E-2"/>
                </c:manualLayout>
              </c:layout>
              <c:dLblPos val="bestFit"/>
              <c:showLegendKey val="0"/>
              <c:showVal val="0"/>
              <c:showCatName val="1"/>
              <c:showSerName val="0"/>
              <c:showPercent val="1"/>
              <c:showBubbleSize val="0"/>
            </c:dLbl>
            <c:dLbl>
              <c:idx val="2"/>
              <c:layout>
                <c:manualLayout>
                  <c:x val="0.10975590146196249"/>
                  <c:y val="-9.0014024822962085E-3"/>
                </c:manualLayout>
              </c:layout>
              <c:dLblPos val="bestFit"/>
              <c:showLegendKey val="0"/>
              <c:showVal val="0"/>
              <c:showCatName val="1"/>
              <c:showSerName val="0"/>
              <c:showPercent val="1"/>
              <c:showBubbleSize val="0"/>
            </c:dLbl>
            <c:dLbl>
              <c:idx val="3"/>
              <c:layout>
                <c:manualLayout>
                  <c:x val="0.12755030105944681"/>
                  <c:y val="-1.3816975617362429E-2"/>
                </c:manualLayout>
              </c:layout>
              <c:dLblPos val="bestFit"/>
              <c:showLegendKey val="0"/>
              <c:showVal val="0"/>
              <c:showCatName val="1"/>
              <c:showSerName val="0"/>
              <c:showPercent val="1"/>
              <c:showBubbleSize val="0"/>
            </c:dLbl>
            <c:dLbl>
              <c:idx val="4"/>
              <c:layout>
                <c:manualLayout>
                  <c:x val="7.1581492242653477E-2"/>
                  <c:y val="3.6238795867505731E-2"/>
                </c:manualLayout>
              </c:layout>
              <c:dLblPos val="bestFit"/>
              <c:showLegendKey val="0"/>
              <c:showVal val="0"/>
              <c:showCatName val="1"/>
              <c:showSerName val="0"/>
              <c:showPercent val="1"/>
              <c:showBubbleSize val="0"/>
            </c:dLbl>
            <c:dLbl>
              <c:idx val="7"/>
              <c:layout>
                <c:manualLayout>
                  <c:x val="8.7548415389120254E-2"/>
                  <c:y val="-6.2849735826344233E-2"/>
                </c:manualLayout>
              </c:layout>
              <c:dLblPos val="bestFit"/>
              <c:showLegendKey val="0"/>
              <c:showVal val="0"/>
              <c:showCatName val="1"/>
              <c:showSerName val="0"/>
              <c:showPercent val="1"/>
              <c:showBubbleSize val="0"/>
            </c:dLbl>
            <c:dLbl>
              <c:idx val="8"/>
              <c:layout>
                <c:manualLayout>
                  <c:x val="1.5487504399859256E-2"/>
                  <c:y val="1.3816921224401162E-2"/>
                </c:manualLayout>
              </c:layout>
              <c:dLblPos val="bestFit"/>
              <c:showLegendKey val="0"/>
              <c:showVal val="0"/>
              <c:showCatName val="1"/>
              <c:showSerName val="0"/>
              <c:showPercent val="1"/>
              <c:showBubbleSize val="0"/>
            </c:dLbl>
            <c:dLbl>
              <c:idx val="9"/>
              <c:layout>
                <c:manualLayout>
                  <c:x val="-9.8556846180922215E-3"/>
                  <c:y val="2.7633842448802322E-3"/>
                </c:manualLayout>
              </c:layout>
              <c:dLblPos val="bestFit"/>
              <c:showLegendKey val="0"/>
              <c:showVal val="0"/>
              <c:showCatName val="1"/>
              <c:showSerName val="0"/>
              <c:showPercent val="1"/>
              <c:showBubbleSize val="0"/>
            </c:dLbl>
            <c:dLbl>
              <c:idx val="11"/>
              <c:layout>
                <c:manualLayout>
                  <c:x val="1.3218390007035931E-2"/>
                  <c:y val="3.3555087545751837E-2"/>
                </c:manualLayout>
              </c:layout>
              <c:dLblPos val="bestFit"/>
              <c:showLegendKey val="0"/>
              <c:showVal val="0"/>
              <c:showCatName val="1"/>
              <c:showSerName val="0"/>
              <c:showPercent val="1"/>
              <c:showBubbleSize val="0"/>
            </c:dLbl>
            <c:dLbl>
              <c:idx val="12"/>
              <c:layout>
                <c:manualLayout>
                  <c:x val="-2.607076095243225E-2"/>
                  <c:y val="4.5007012411481043E-2"/>
                </c:manualLayout>
              </c:layout>
              <c:dLblPos val="bestFit"/>
              <c:showLegendKey val="0"/>
              <c:showVal val="0"/>
              <c:showCatName val="1"/>
              <c:showSerName val="0"/>
              <c:showPercent val="1"/>
              <c:showBubbleSize val="0"/>
            </c:dLbl>
            <c:dLbl>
              <c:idx val="13"/>
              <c:layout>
                <c:manualLayout>
                  <c:x val="0"/>
                  <c:y val="1.9343689714161626E-2"/>
                </c:manualLayout>
              </c:layout>
              <c:dLblPos val="bestFit"/>
              <c:showLegendKey val="0"/>
              <c:showVal val="0"/>
              <c:showCatName val="1"/>
              <c:showSerName val="0"/>
              <c:showPercent val="1"/>
              <c:showBubbleSize val="0"/>
            </c:dLbl>
            <c:dLbl>
              <c:idx val="14"/>
              <c:layout>
                <c:manualLayout>
                  <c:x val="-1.4079549454417458E-3"/>
                  <c:y val="-3.316061093856279E-2"/>
                </c:manualLayout>
              </c:layout>
              <c:dLblPos val="bestFit"/>
              <c:showLegendKey val="0"/>
              <c:showVal val="0"/>
              <c:showCatName val="1"/>
              <c:showSerName val="0"/>
              <c:showPercent val="1"/>
              <c:showBubbleSize val="0"/>
            </c:dLbl>
            <c:dLbl>
              <c:idx val="15"/>
              <c:layout>
                <c:manualLayout>
                  <c:x val="-5.5865916326640556E-2"/>
                  <c:y val="-6.0759466755499404E-2"/>
                </c:manualLayout>
              </c:layout>
              <c:dLblPos val="bestFit"/>
              <c:showLegendKey val="0"/>
              <c:showVal val="0"/>
              <c:showCatName val="1"/>
              <c:showSerName val="0"/>
              <c:showPercent val="1"/>
              <c:showBubbleSize val="0"/>
            </c:dLbl>
            <c:dLbl>
              <c:idx val="16"/>
              <c:layout>
                <c:manualLayout>
                  <c:x val="-3.9422738472368886E-2"/>
                  <c:y val="8.2901527346406975E-3"/>
                </c:manualLayout>
              </c:layout>
              <c:dLblPos val="bestFit"/>
              <c:showLegendKey val="0"/>
              <c:showVal val="0"/>
              <c:showCatName val="1"/>
              <c:showSerName val="0"/>
              <c:showPercent val="1"/>
              <c:showBubbleSize val="0"/>
            </c:dLbl>
            <c:dLbl>
              <c:idx val="17"/>
              <c:layout>
                <c:manualLayout>
                  <c:x val="-0.15818048092606574"/>
                  <c:y val="2.4753856826314573E-2"/>
                </c:manualLayout>
              </c:layout>
              <c:dLblPos val="bestFit"/>
              <c:showLegendKey val="0"/>
              <c:showVal val="0"/>
              <c:showCatName val="1"/>
              <c:showSerName val="0"/>
              <c:showPercent val="1"/>
              <c:showBubbleSize val="0"/>
            </c:dLbl>
            <c:dLbl>
              <c:idx val="18"/>
              <c:layout>
                <c:manualLayout>
                  <c:x val="-0.17249469996944777"/>
                  <c:y val="-6.7510518617221564E-3"/>
                </c:manualLayout>
              </c:layout>
              <c:dLblPos val="bestFit"/>
              <c:showLegendKey val="0"/>
              <c:showVal val="0"/>
              <c:showCatName val="1"/>
              <c:showSerName val="0"/>
              <c:showPercent val="1"/>
              <c:showBubbleSize val="0"/>
            </c:dLbl>
            <c:numFmt formatCode="0.00%" sourceLinked="0"/>
            <c:spPr>
              <a:effectLst>
                <a:glow>
                  <a:schemeClr val="accent1"/>
                </a:glow>
              </a:effectLst>
            </c:spPr>
            <c:txPr>
              <a:bodyPr rot="0" vert="horz" anchor="ctr" anchorCtr="1"/>
              <a:lstStyle/>
              <a:p>
                <a:pPr>
                  <a:defRPr sz="900"/>
                </a:pPr>
                <a:endParaRPr lang="en-US"/>
              </a:p>
            </c:txPr>
            <c:dLblPos val="outEnd"/>
            <c:showLegendKey val="0"/>
            <c:showVal val="0"/>
            <c:showCatName val="1"/>
            <c:showSerName val="0"/>
            <c:showPercent val="1"/>
            <c:showBubbleSize val="0"/>
            <c:showLeaderLines val="1"/>
          </c:dLbls>
          <c:cat>
            <c:strRef>
              <c:f>MF!$A$3:$A$21</c:f>
              <c:strCache>
                <c:ptCount val="19"/>
                <c:pt idx="0">
                  <c:v>Albania</c:v>
                </c:pt>
                <c:pt idx="1">
                  <c:v>Austria</c:v>
                </c:pt>
                <c:pt idx="2">
                  <c:v>Belgium</c:v>
                </c:pt>
                <c:pt idx="3">
                  <c:v>Czech Republic</c:v>
                </c:pt>
                <c:pt idx="4">
                  <c:v>Estonia</c:v>
                </c:pt>
                <c:pt idx="5">
                  <c:v>France</c:v>
                </c:pt>
                <c:pt idx="6">
                  <c:v>Germany</c:v>
                </c:pt>
                <c:pt idx="7">
                  <c:v>Greece</c:v>
                </c:pt>
                <c:pt idx="8">
                  <c:v>Ireland</c:v>
                </c:pt>
                <c:pt idx="9">
                  <c:v>Italy</c:v>
                </c:pt>
                <c:pt idx="10">
                  <c:v>Netherlands</c:v>
                </c:pt>
                <c:pt idx="11">
                  <c:v>Poland</c:v>
                </c:pt>
                <c:pt idx="12">
                  <c:v>Portugal</c:v>
                </c:pt>
                <c:pt idx="13">
                  <c:v>Romania</c:v>
                </c:pt>
                <c:pt idx="14">
                  <c:v>Slovakia</c:v>
                </c:pt>
                <c:pt idx="15">
                  <c:v>Slovenia</c:v>
                </c:pt>
                <c:pt idx="16">
                  <c:v>Spain</c:v>
                </c:pt>
                <c:pt idx="17">
                  <c:v>Sweden</c:v>
                </c:pt>
                <c:pt idx="18">
                  <c:v>United Kingdom</c:v>
                </c:pt>
              </c:strCache>
            </c:strRef>
          </c:cat>
          <c:val>
            <c:numRef>
              <c:f>MF!$B$3:$B$21</c:f>
              <c:numCache>
                <c:formatCode>0.00</c:formatCode>
                <c:ptCount val="19"/>
                <c:pt idx="0">
                  <c:v>0.26151957244399998</c:v>
                </c:pt>
                <c:pt idx="1">
                  <c:v>0.64699300000000004</c:v>
                </c:pt>
                <c:pt idx="2">
                  <c:v>4.4859329900000002</c:v>
                </c:pt>
                <c:pt idx="3">
                  <c:v>7.1610834701520698</c:v>
                </c:pt>
                <c:pt idx="4">
                  <c:v>1.7987</c:v>
                </c:pt>
                <c:pt idx="5">
                  <c:v>40.835017911500003</c:v>
                </c:pt>
                <c:pt idx="6">
                  <c:v>4.4850000000000001E-2</c:v>
                </c:pt>
                <c:pt idx="7">
                  <c:v>0.63290000000000002</c:v>
                </c:pt>
                <c:pt idx="8">
                  <c:v>6.1468759999999998</c:v>
                </c:pt>
                <c:pt idx="9">
                  <c:v>6.6852999999999998</c:v>
                </c:pt>
                <c:pt idx="10">
                  <c:v>23.132185100000001</c:v>
                </c:pt>
                <c:pt idx="11">
                  <c:v>5.2083975608789999</c:v>
                </c:pt>
                <c:pt idx="12">
                  <c:v>1.56607356</c:v>
                </c:pt>
                <c:pt idx="13">
                  <c:v>5.230748388366</c:v>
                </c:pt>
                <c:pt idx="14">
                  <c:v>0.10908</c:v>
                </c:pt>
                <c:pt idx="15">
                  <c:v>3.79531112</c:v>
                </c:pt>
                <c:pt idx="16">
                  <c:v>30.539593589999999</c:v>
                </c:pt>
                <c:pt idx="17">
                  <c:v>13.276737424893</c:v>
                </c:pt>
                <c:pt idx="18">
                  <c:v>0.73084540817400001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6.9615668824315913E-2"/>
                  <c:y val="0"/>
                </c:manualLayout>
              </c:layout>
              <c:dLblPos val="bestFit"/>
              <c:showLegendKey val="0"/>
              <c:showVal val="0"/>
              <c:showCatName val="1"/>
              <c:showSerName val="0"/>
              <c:showPercent val="1"/>
              <c:showBubbleSize val="0"/>
            </c:dLbl>
            <c:dLbl>
              <c:idx val="3"/>
              <c:layout>
                <c:manualLayout>
                  <c:x val="-5.8013057353596591E-3"/>
                  <c:y val="2.8415295655901958E-2"/>
                </c:manualLayout>
              </c:layout>
              <c:dLblPos val="bestFit"/>
              <c:showLegendKey val="0"/>
              <c:showVal val="0"/>
              <c:showCatName val="1"/>
              <c:showSerName val="0"/>
              <c:showPercent val="1"/>
              <c:showBubbleSize val="0"/>
            </c:dLbl>
            <c:dLbl>
              <c:idx val="9"/>
              <c:layout>
                <c:manualLayout>
                  <c:x val="-5.2211751618236928E-2"/>
                  <c:y val="8.7431678941236792E-3"/>
                </c:manualLayout>
              </c:layout>
              <c:dLblPos val="bestFit"/>
              <c:showLegendKey val="0"/>
              <c:showVal val="0"/>
              <c:showCatName val="1"/>
              <c:showSerName val="0"/>
              <c:showPercent val="1"/>
              <c:showBubbleSize val="0"/>
            </c:dLbl>
            <c:dLbl>
              <c:idx val="10"/>
              <c:layout>
                <c:manualLayout>
                  <c:x val="-2.1271454362985415E-2"/>
                  <c:y val="1.2522621852624655E-18"/>
                </c:manualLayout>
              </c:layout>
              <c:dLblPos val="bestFit"/>
              <c:showLegendKey val="0"/>
              <c:showVal val="0"/>
              <c:showCatName val="1"/>
              <c:showSerName val="0"/>
              <c:showPercent val="1"/>
              <c:showBubbleSize val="0"/>
            </c:dLbl>
            <c:dLbl>
              <c:idx val="11"/>
              <c:layout>
                <c:manualLayout>
                  <c:x val="5.8013057353596589E-2"/>
                  <c:y val="6.557375920592759E-3"/>
                </c:manualLayout>
              </c:layout>
              <c:dLblPos val="bestFit"/>
              <c:showLegendKey val="0"/>
              <c:showVal val="0"/>
              <c:showCatName val="1"/>
              <c:showSerName val="0"/>
              <c:showPercent val="1"/>
              <c:showBubbleSize val="0"/>
            </c:dLbl>
            <c:numFmt formatCode="0.0%" sourceLinked="0"/>
            <c:dLblPos val="outEnd"/>
            <c:showLegendKey val="0"/>
            <c:showVal val="0"/>
            <c:showCatName val="1"/>
            <c:showSerName val="0"/>
            <c:showPercent val="1"/>
            <c:showBubbleSize val="0"/>
            <c:showLeaderLines val="1"/>
          </c:dLbls>
          <c:cat>
            <c:strRef>
              <c:f>SE!$A$2:$A$4</c:f>
              <c:strCache>
                <c:ptCount val="3"/>
                <c:pt idx="0">
                  <c:v>France</c:v>
                </c:pt>
                <c:pt idx="1">
                  <c:v>Poland</c:v>
                </c:pt>
                <c:pt idx="2">
                  <c:v>Spain</c:v>
                </c:pt>
              </c:strCache>
            </c:strRef>
          </c:cat>
          <c:val>
            <c:numRef>
              <c:f>SE!$B$2:$B$4</c:f>
              <c:numCache>
                <c:formatCode>_(* #,##0.00_);_(* \(#,##0.00\);_(* "-"??_);_(@_)</c:formatCode>
                <c:ptCount val="3"/>
                <c:pt idx="0">
                  <c:v>5.1566850000000004</c:v>
                </c:pt>
                <c:pt idx="1">
                  <c:v>0.45738991921799999</c:v>
                </c:pt>
                <c:pt idx="2">
                  <c:v>6.5199999999999994E-2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4.6575759155933323E-2"/>
                  <c:y val="-2.9851154899674065E-4"/>
                </c:manualLayout>
              </c:layout>
              <c:showLegendKey val="0"/>
              <c:showVal val="0"/>
              <c:showCatName val="1"/>
              <c:showSerName val="0"/>
              <c:showPercent val="1"/>
              <c:showBubbleSize val="0"/>
            </c:dLbl>
            <c:dLbl>
              <c:idx val="1"/>
              <c:layout>
                <c:manualLayout>
                  <c:x val="-5.1860562131720293E-2"/>
                  <c:y val="-2.439177880540221E-2"/>
                </c:manualLayout>
              </c:layout>
              <c:showLegendKey val="0"/>
              <c:showVal val="0"/>
              <c:showCatName val="1"/>
              <c:showSerName val="0"/>
              <c:showPercent val="1"/>
              <c:showBubbleSize val="0"/>
            </c:dLbl>
            <c:dLbl>
              <c:idx val="6"/>
              <c:layout>
                <c:manualLayout>
                  <c:x val="9.0904903443360975E-3"/>
                  <c:y val="2.1220253913785847E-2"/>
                </c:manualLayout>
              </c:layout>
              <c:showLegendKey val="0"/>
              <c:showVal val="0"/>
              <c:showCatName val="1"/>
              <c:showSerName val="0"/>
              <c:showPercent val="1"/>
              <c:showBubbleSize val="0"/>
            </c:dLbl>
            <c:dLbl>
              <c:idx val="7"/>
              <c:layout>
                <c:manualLayout>
                  <c:x val="6.6897151101145469E-2"/>
                  <c:y val="-1.5578991873548156E-2"/>
                </c:manualLayout>
              </c:layout>
              <c:showLegendKey val="0"/>
              <c:showVal val="0"/>
              <c:showCatName val="1"/>
              <c:showSerName val="0"/>
              <c:showPercent val="1"/>
              <c:showBubbleSize val="0"/>
            </c:dLbl>
            <c:dLbl>
              <c:idx val="9"/>
              <c:layout>
                <c:manualLayout>
                  <c:x val="-2.0485303575463663E-2"/>
                  <c:y val="2.9859601100621899E-2"/>
                </c:manualLayout>
              </c:layout>
              <c:showLegendKey val="0"/>
              <c:showVal val="0"/>
              <c:showCatName val="1"/>
              <c:showSerName val="0"/>
              <c:showPercent val="1"/>
              <c:showBubbleSize val="0"/>
            </c:dLbl>
            <c:dLbl>
              <c:idx val="10"/>
              <c:layout>
                <c:manualLayout>
                  <c:x val="8.2391145643218436E-2"/>
                  <c:y val="5.2697359244835422E-2"/>
                </c:manualLayout>
              </c:layout>
              <c:showLegendKey val="0"/>
              <c:showVal val="0"/>
              <c:showCatName val="1"/>
              <c:showSerName val="0"/>
              <c:showPercent val="1"/>
              <c:showBubbleSize val="0"/>
            </c:dLbl>
            <c:dLbl>
              <c:idx val="14"/>
              <c:layout>
                <c:manualLayout>
                  <c:x val="-1.232187863934227E-2"/>
                  <c:y val="-4.9321336922227316E-2"/>
                </c:manualLayout>
              </c:layout>
              <c:showLegendKey val="0"/>
              <c:showVal val="0"/>
              <c:showCatName val="1"/>
              <c:showSerName val="0"/>
              <c:showPercent val="1"/>
              <c:showBubbleSize val="0"/>
            </c:dLbl>
            <c:dLbl>
              <c:idx val="15"/>
              <c:layout>
                <c:manualLayout>
                  <c:x val="-5.7075315916636248E-2"/>
                  <c:y val="-9.9967908604916333E-2"/>
                </c:manualLayout>
              </c:layout>
              <c:showLegendKey val="0"/>
              <c:showVal val="0"/>
              <c:showCatName val="1"/>
              <c:showSerName val="0"/>
              <c:showPercent val="1"/>
              <c:showBubbleSize val="0"/>
            </c:dLbl>
            <c:dLbl>
              <c:idx val="16"/>
              <c:layout>
                <c:manualLayout>
                  <c:x val="-5.7813005162434164E-2"/>
                  <c:y val="-0.13010603768036291"/>
                </c:manualLayout>
              </c:layout>
              <c:showLegendKey val="0"/>
              <c:showVal val="0"/>
              <c:showCatName val="1"/>
              <c:showSerName val="0"/>
              <c:showPercent val="1"/>
              <c:showBubbleSize val="0"/>
            </c:dLbl>
            <c:dLbl>
              <c:idx val="17"/>
              <c:layout>
                <c:manualLayout>
                  <c:x val="-5.0435243607794056E-2"/>
                  <c:y val="-0.18912623333581546"/>
                </c:manualLayout>
              </c:layout>
              <c:showLegendKey val="0"/>
              <c:showVal val="0"/>
              <c:showCatName val="1"/>
              <c:showSerName val="0"/>
              <c:showPercent val="1"/>
              <c:showBubbleSize val="0"/>
            </c:dLbl>
            <c:dLbl>
              <c:idx val="18"/>
              <c:layout>
                <c:manualLayout>
                  <c:x val="-6.2366724027046287E-2"/>
                  <c:y val="-0.23871821146981995"/>
                </c:manualLayout>
              </c:layout>
              <c:showLegendKey val="0"/>
              <c:showVal val="0"/>
              <c:showCatName val="1"/>
              <c:showSerName val="0"/>
              <c:showPercent val="1"/>
              <c:showBubbleSize val="0"/>
            </c:dLbl>
            <c:dLbl>
              <c:idx val="19"/>
              <c:layout>
                <c:manualLayout>
                  <c:x val="-3.707766247762076E-2"/>
                  <c:y val="-2.7759245742598283E-2"/>
                </c:manualLayout>
              </c:layout>
              <c:showLegendKey val="0"/>
              <c:showVal val="0"/>
              <c:showCatName val="1"/>
              <c:showSerName val="0"/>
              <c:showPercent val="1"/>
              <c:showBubbleSize val="0"/>
            </c:dLbl>
            <c:dLbl>
              <c:idx val="20"/>
              <c:layout>
                <c:manualLayout>
                  <c:x val="-0.14736481201439225"/>
                  <c:y val="-8.9610212396652664E-3"/>
                </c:manualLayout>
              </c:layout>
              <c:showLegendKey val="0"/>
              <c:showVal val="0"/>
              <c:showCatName val="1"/>
              <c:showSerName val="0"/>
              <c:showPercent val="1"/>
              <c:showBubbleSize val="0"/>
            </c:dLbl>
            <c:numFmt formatCode="0.0%" sourceLinked="0"/>
            <c:txPr>
              <a:bodyPr/>
              <a:lstStyle/>
              <a:p>
                <a:pPr>
                  <a:defRPr b="1"/>
                </a:pPr>
                <a:endParaRPr lang="en-US"/>
              </a:p>
            </c:txPr>
            <c:showLegendKey val="0"/>
            <c:showVal val="0"/>
            <c:showCatName val="1"/>
            <c:showSerName val="0"/>
            <c:showPercent val="1"/>
            <c:showBubbleSize val="0"/>
            <c:showLeaderLines val="1"/>
          </c:dLbls>
          <c:cat>
            <c:strRef>
              <c:f>'Final recipients'!$A$35:$A$55</c:f>
              <c:strCache>
                <c:ptCount val="21"/>
                <c:pt idx="0">
                  <c:v>Austria</c:v>
                </c:pt>
                <c:pt idx="1">
                  <c:v>Belgium</c:v>
                </c:pt>
                <c:pt idx="2">
                  <c:v>Bulgaria</c:v>
                </c:pt>
                <c:pt idx="3">
                  <c:v>Czech Republic</c:v>
                </c:pt>
                <c:pt idx="4">
                  <c:v>Denmark</c:v>
                </c:pt>
                <c:pt idx="5">
                  <c:v>Estonia</c:v>
                </c:pt>
                <c:pt idx="6">
                  <c:v>France</c:v>
                </c:pt>
                <c:pt idx="7">
                  <c:v>Germany</c:v>
                </c:pt>
                <c:pt idx="8">
                  <c:v>Greece</c:v>
                </c:pt>
                <c:pt idx="9">
                  <c:v>Hungary</c:v>
                </c:pt>
                <c:pt idx="10">
                  <c:v>Italy</c:v>
                </c:pt>
                <c:pt idx="11">
                  <c:v>Latvia</c:v>
                </c:pt>
                <c:pt idx="12">
                  <c:v>Lithuania</c:v>
                </c:pt>
                <c:pt idx="13">
                  <c:v>Montenegro</c:v>
                </c:pt>
                <c:pt idx="14">
                  <c:v>Netherlands</c:v>
                </c:pt>
                <c:pt idx="15">
                  <c:v>Poland</c:v>
                </c:pt>
                <c:pt idx="16">
                  <c:v>Romania</c:v>
                </c:pt>
                <c:pt idx="17">
                  <c:v>Slovakia</c:v>
                </c:pt>
                <c:pt idx="18">
                  <c:v>Slovenia</c:v>
                </c:pt>
                <c:pt idx="19">
                  <c:v>Spain</c:v>
                </c:pt>
                <c:pt idx="20">
                  <c:v>United Kingdom</c:v>
                </c:pt>
              </c:strCache>
            </c:strRef>
          </c:cat>
          <c:val>
            <c:numRef>
              <c:f>'Final recipients'!$B$35:$B$55</c:f>
              <c:numCache>
                <c:formatCode>#,##0.0</c:formatCode>
                <c:ptCount val="21"/>
                <c:pt idx="0">
                  <c:v>216.1</c:v>
                </c:pt>
                <c:pt idx="1">
                  <c:v>81.2</c:v>
                </c:pt>
                <c:pt idx="2">
                  <c:v>91.6</c:v>
                </c:pt>
                <c:pt idx="3">
                  <c:v>199.7</c:v>
                </c:pt>
                <c:pt idx="4">
                  <c:v>18</c:v>
                </c:pt>
                <c:pt idx="5">
                  <c:v>73.599999999999994</c:v>
                </c:pt>
                <c:pt idx="6">
                  <c:v>1274.2</c:v>
                </c:pt>
                <c:pt idx="7">
                  <c:v>553</c:v>
                </c:pt>
                <c:pt idx="8">
                  <c:v>34.200000000000003</c:v>
                </c:pt>
                <c:pt idx="9">
                  <c:v>49.9</c:v>
                </c:pt>
                <c:pt idx="10">
                  <c:v>1532.5</c:v>
                </c:pt>
                <c:pt idx="11">
                  <c:v>6.2</c:v>
                </c:pt>
                <c:pt idx="12">
                  <c:v>12.2</c:v>
                </c:pt>
                <c:pt idx="13">
                  <c:v>11</c:v>
                </c:pt>
                <c:pt idx="14">
                  <c:v>17.3</c:v>
                </c:pt>
                <c:pt idx="15">
                  <c:v>138.9</c:v>
                </c:pt>
                <c:pt idx="16">
                  <c:v>42.5</c:v>
                </c:pt>
                <c:pt idx="17">
                  <c:v>3.3</c:v>
                </c:pt>
                <c:pt idx="18">
                  <c:v>106.6</c:v>
                </c:pt>
                <c:pt idx="19">
                  <c:v>1011.4</c:v>
                </c:pt>
                <c:pt idx="20">
                  <c:v>74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2EA9FEFF883564CB9E046C56A2E086A" ma:contentTypeVersion="0" ma:contentTypeDescription="Create a new document in this library." ma:contentTypeScope="" ma:versionID="82d426c05779cc8292c21bcceaf9eb4a">
  <xsd:schema xmlns:xsd="http://www.w3.org/2001/XMLSchema" xmlns:xs="http://www.w3.org/2001/XMLSchema" xmlns:p="http://schemas.microsoft.com/office/2006/metadata/properties" xmlns:ns2="http://schemas.microsoft.com/sharepoint/v3/fields" xmlns:ns3="9e03c6b4-6243-4216-b733-3273b98e981e" targetNamespace="http://schemas.microsoft.com/office/2006/metadata/properties" ma:root="true" ma:fieldsID="2a867769fb1e181c26d3ac7f5a0c88a3" ns2:_="" ns3:_="">
    <xsd:import namespace="http://schemas.microsoft.com/sharepoint/v3/fields"/>
    <xsd:import namespace="9e03c6b4-6243-4216-b733-3273b98e981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e03c6b4-6243-4216-b733-3273b98e981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C_Collab_Reference xmlns="9e03c6b4-6243-4216-b733-3273b98e981e" xsi:nil="true"/>
    <_Status xmlns="http://schemas.microsoft.com/sharepoint/v3/fields">Not Started</_Status>
    <EC_Collab_Status xmlns="9e03c6b4-6243-4216-b733-3273b98e981e">Not Started</EC_Collab_Status>
    <EC_Collab_DocumentLanguage xmlns="9e03c6b4-6243-4216-b733-3273b98e981e">EN</EC_Collab_DocumentLanguag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BCB42F-7EAC-4332-802E-73E81493FFCC}">
  <ds:schemaRefs>
    <ds:schemaRef ds:uri="http://schemas.microsoft.com/sharepoint/v3/contenttype/forms"/>
  </ds:schemaRefs>
</ds:datastoreItem>
</file>

<file path=customXml/itemProps3.xml><?xml version="1.0" encoding="utf-8"?>
<ds:datastoreItem xmlns:ds="http://schemas.openxmlformats.org/officeDocument/2006/customXml" ds:itemID="{85204159-0CD8-424C-8316-2C80F169E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e03c6b4-6243-4216-b733-3273b98e9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964BC-52AD-47A8-B6AB-7D49F3BF6FA4}">
  <ds:schemaRefs>
    <ds:schemaRef ds:uri="http://schemas.microsoft.com/office/2006/metadata/properties"/>
    <ds:schemaRef ds:uri="http://schemas.microsoft.com/office/infopath/2007/PartnerControls"/>
    <ds:schemaRef ds:uri="9e03c6b4-6243-4216-b733-3273b98e981e"/>
    <ds:schemaRef ds:uri="http://schemas.microsoft.com/sharepoint/v3/fields"/>
  </ds:schemaRefs>
</ds:datastoreItem>
</file>

<file path=customXml/itemProps5.xml><?xml version="1.0" encoding="utf-8"?>
<ds:datastoreItem xmlns:ds="http://schemas.openxmlformats.org/officeDocument/2006/customXml" ds:itemID="{36FEBD02-74C4-46A5-9864-A9CB2D1E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94</Pages>
  <Words>27891</Words>
  <Characters>158979</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140.8 SWD part 1</vt:lpstr>
    </vt:vector>
  </TitlesOfParts>
  <Manager/>
  <Company/>
  <LinksUpToDate>false</LinksUpToDate>
  <CharactersWithSpaces>186498</CharactersWithSpaces>
  <SharedDoc>false</SharedDoc>
  <HLinks>
    <vt:vector size="582" baseType="variant">
      <vt:variant>
        <vt:i4>4587555</vt:i4>
      </vt:variant>
      <vt:variant>
        <vt:i4>528</vt:i4>
      </vt:variant>
      <vt:variant>
        <vt:i4>0</vt:i4>
      </vt:variant>
      <vt:variant>
        <vt:i4>5</vt:i4>
      </vt:variant>
      <vt:variant>
        <vt:lpwstr>http://www.solidar.org/IMG/pdf/64_briefing_social_economy.pdf</vt:lpwstr>
      </vt:variant>
      <vt:variant>
        <vt:lpwstr/>
      </vt:variant>
      <vt:variant>
        <vt:i4>1966156</vt:i4>
      </vt:variant>
      <vt:variant>
        <vt:i4>525</vt:i4>
      </vt:variant>
      <vt:variant>
        <vt:i4>0</vt:i4>
      </vt:variant>
      <vt:variant>
        <vt:i4>5</vt:i4>
      </vt:variant>
      <vt:variant>
        <vt:lpwstr>http://www.ey.com/GL/en/Services/Strategic-Growth-Markets/Global-venture-capital-insights-and-trends-2014</vt:lpwstr>
      </vt:variant>
      <vt:variant>
        <vt:lpwstr/>
      </vt:variant>
      <vt:variant>
        <vt:i4>3539043</vt:i4>
      </vt:variant>
      <vt:variant>
        <vt:i4>522</vt:i4>
      </vt:variant>
      <vt:variant>
        <vt:i4>0</vt:i4>
      </vt:variant>
      <vt:variant>
        <vt:i4>5</vt:i4>
      </vt:variant>
      <vt:variant>
        <vt:lpwstr>https://www.entsoe.eu/major-projects/ten-year-network-development-plan/tyndp-2012/</vt:lpwstr>
      </vt:variant>
      <vt:variant>
        <vt:lpwstr/>
      </vt:variant>
      <vt:variant>
        <vt:i4>88</vt:i4>
      </vt:variant>
      <vt:variant>
        <vt:i4>519</vt:i4>
      </vt:variant>
      <vt:variant>
        <vt:i4>0</vt:i4>
      </vt:variant>
      <vt:variant>
        <vt:i4>5</vt:i4>
      </vt:variant>
      <vt:variant>
        <vt:lpwstr>http://www.eib.org/products/rsff/</vt:lpwstr>
      </vt:variant>
      <vt:variant>
        <vt:lpwstr/>
      </vt:variant>
      <vt:variant>
        <vt:i4>7143450</vt:i4>
      </vt:variant>
      <vt:variant>
        <vt:i4>516</vt:i4>
      </vt:variant>
      <vt:variant>
        <vt:i4>0</vt:i4>
      </vt:variant>
      <vt:variant>
        <vt:i4>5</vt:i4>
      </vt:variant>
      <vt:variant>
        <vt:lpwstr>http://ec.europa.eu/cip/eip/access-finance/index_en.htm</vt:lpwstr>
      </vt:variant>
      <vt:variant>
        <vt:lpwstr/>
      </vt:variant>
      <vt:variant>
        <vt:i4>6094857</vt:i4>
      </vt:variant>
      <vt:variant>
        <vt:i4>513</vt:i4>
      </vt:variant>
      <vt:variant>
        <vt:i4>0</vt:i4>
      </vt:variant>
      <vt:variant>
        <vt:i4>5</vt:i4>
      </vt:variant>
      <vt:variant>
        <vt:lpwstr>http://ec.europa.eu/taxation_customs/common/consultations/tax/2012_venture_capital_en.htm</vt:lpwstr>
      </vt:variant>
      <vt:variant>
        <vt:lpwstr/>
      </vt:variant>
      <vt:variant>
        <vt:i4>8323108</vt:i4>
      </vt:variant>
      <vt:variant>
        <vt:i4>510</vt:i4>
      </vt:variant>
      <vt:variant>
        <vt:i4>0</vt:i4>
      </vt:variant>
      <vt:variant>
        <vt:i4>5</vt:i4>
      </vt:variant>
      <vt:variant>
        <vt:lpwstr>http://register.consilium.europa.eu/doc/srv?l=EN&amp;f=ST%209231%202010%20INIT</vt:lpwstr>
      </vt:variant>
      <vt:variant>
        <vt:lpwstr/>
      </vt:variant>
      <vt:variant>
        <vt:i4>2687024</vt:i4>
      </vt:variant>
      <vt:variant>
        <vt:i4>507</vt:i4>
      </vt:variant>
      <vt:variant>
        <vt:i4>0</vt:i4>
      </vt:variant>
      <vt:variant>
        <vt:i4>5</vt:i4>
      </vt:variant>
      <vt:variant>
        <vt:lpwstr>http://www.ipex.eu/IPEXL-WEB/dossier/dossier.do?code=COM&amp;year=2010&amp;number=0677</vt:lpwstr>
      </vt:variant>
      <vt:variant>
        <vt:lpwstr/>
      </vt:variant>
      <vt:variant>
        <vt:i4>720930</vt:i4>
      </vt:variant>
      <vt:variant>
        <vt:i4>501</vt:i4>
      </vt:variant>
      <vt:variant>
        <vt:i4>0</vt:i4>
      </vt:variant>
      <vt:variant>
        <vt:i4>5</vt:i4>
      </vt:variant>
      <vt:variant>
        <vt:lpwstr>http://www.eif.org/what_we_do/guarantees/single_eu_debt_instrument/cosme-loan-facility-growth/index.htm</vt:lpwstr>
      </vt:variant>
      <vt:variant>
        <vt:lpwstr/>
      </vt:variant>
      <vt:variant>
        <vt:i4>4128875</vt:i4>
      </vt:variant>
      <vt:variant>
        <vt:i4>495</vt:i4>
      </vt:variant>
      <vt:variant>
        <vt:i4>0</vt:i4>
      </vt:variant>
      <vt:variant>
        <vt:i4>5</vt:i4>
      </vt:variant>
      <vt:variant>
        <vt:lpwstr>http://www.eif.org/what_we_do/equity/single_eu_equity_instrument/cosme_efg/index.htm</vt:lpwstr>
      </vt:variant>
      <vt:variant>
        <vt:lpwstr/>
      </vt:variant>
      <vt:variant>
        <vt:i4>1441848</vt:i4>
      </vt:variant>
      <vt:variant>
        <vt:i4>467</vt:i4>
      </vt:variant>
      <vt:variant>
        <vt:i4>0</vt:i4>
      </vt:variant>
      <vt:variant>
        <vt:i4>5</vt:i4>
      </vt:variant>
      <vt:variant>
        <vt:lpwstr/>
      </vt:variant>
      <vt:variant>
        <vt:lpwstr>_Toc420686438</vt:lpwstr>
      </vt:variant>
      <vt:variant>
        <vt:i4>1441848</vt:i4>
      </vt:variant>
      <vt:variant>
        <vt:i4>461</vt:i4>
      </vt:variant>
      <vt:variant>
        <vt:i4>0</vt:i4>
      </vt:variant>
      <vt:variant>
        <vt:i4>5</vt:i4>
      </vt:variant>
      <vt:variant>
        <vt:lpwstr/>
      </vt:variant>
      <vt:variant>
        <vt:lpwstr>_Toc420686437</vt:lpwstr>
      </vt:variant>
      <vt:variant>
        <vt:i4>1441848</vt:i4>
      </vt:variant>
      <vt:variant>
        <vt:i4>455</vt:i4>
      </vt:variant>
      <vt:variant>
        <vt:i4>0</vt:i4>
      </vt:variant>
      <vt:variant>
        <vt:i4>5</vt:i4>
      </vt:variant>
      <vt:variant>
        <vt:lpwstr/>
      </vt:variant>
      <vt:variant>
        <vt:lpwstr>_Toc420686436</vt:lpwstr>
      </vt:variant>
      <vt:variant>
        <vt:i4>1441848</vt:i4>
      </vt:variant>
      <vt:variant>
        <vt:i4>449</vt:i4>
      </vt:variant>
      <vt:variant>
        <vt:i4>0</vt:i4>
      </vt:variant>
      <vt:variant>
        <vt:i4>5</vt:i4>
      </vt:variant>
      <vt:variant>
        <vt:lpwstr/>
      </vt:variant>
      <vt:variant>
        <vt:lpwstr>_Toc420686435</vt:lpwstr>
      </vt:variant>
      <vt:variant>
        <vt:i4>1441848</vt:i4>
      </vt:variant>
      <vt:variant>
        <vt:i4>443</vt:i4>
      </vt:variant>
      <vt:variant>
        <vt:i4>0</vt:i4>
      </vt:variant>
      <vt:variant>
        <vt:i4>5</vt:i4>
      </vt:variant>
      <vt:variant>
        <vt:lpwstr/>
      </vt:variant>
      <vt:variant>
        <vt:lpwstr>_Toc420686434</vt:lpwstr>
      </vt:variant>
      <vt:variant>
        <vt:i4>1441848</vt:i4>
      </vt:variant>
      <vt:variant>
        <vt:i4>437</vt:i4>
      </vt:variant>
      <vt:variant>
        <vt:i4>0</vt:i4>
      </vt:variant>
      <vt:variant>
        <vt:i4>5</vt:i4>
      </vt:variant>
      <vt:variant>
        <vt:lpwstr/>
      </vt:variant>
      <vt:variant>
        <vt:lpwstr>_Toc420686433</vt:lpwstr>
      </vt:variant>
      <vt:variant>
        <vt:i4>1441848</vt:i4>
      </vt:variant>
      <vt:variant>
        <vt:i4>431</vt:i4>
      </vt:variant>
      <vt:variant>
        <vt:i4>0</vt:i4>
      </vt:variant>
      <vt:variant>
        <vt:i4>5</vt:i4>
      </vt:variant>
      <vt:variant>
        <vt:lpwstr/>
      </vt:variant>
      <vt:variant>
        <vt:lpwstr>_Toc420686432</vt:lpwstr>
      </vt:variant>
      <vt:variant>
        <vt:i4>1441848</vt:i4>
      </vt:variant>
      <vt:variant>
        <vt:i4>425</vt:i4>
      </vt:variant>
      <vt:variant>
        <vt:i4>0</vt:i4>
      </vt:variant>
      <vt:variant>
        <vt:i4>5</vt:i4>
      </vt:variant>
      <vt:variant>
        <vt:lpwstr/>
      </vt:variant>
      <vt:variant>
        <vt:lpwstr>_Toc420686431</vt:lpwstr>
      </vt:variant>
      <vt:variant>
        <vt:i4>1441848</vt:i4>
      </vt:variant>
      <vt:variant>
        <vt:i4>419</vt:i4>
      </vt:variant>
      <vt:variant>
        <vt:i4>0</vt:i4>
      </vt:variant>
      <vt:variant>
        <vt:i4>5</vt:i4>
      </vt:variant>
      <vt:variant>
        <vt:lpwstr/>
      </vt:variant>
      <vt:variant>
        <vt:lpwstr>_Toc420686430</vt:lpwstr>
      </vt:variant>
      <vt:variant>
        <vt:i4>1507384</vt:i4>
      </vt:variant>
      <vt:variant>
        <vt:i4>413</vt:i4>
      </vt:variant>
      <vt:variant>
        <vt:i4>0</vt:i4>
      </vt:variant>
      <vt:variant>
        <vt:i4>5</vt:i4>
      </vt:variant>
      <vt:variant>
        <vt:lpwstr/>
      </vt:variant>
      <vt:variant>
        <vt:lpwstr>_Toc420686429</vt:lpwstr>
      </vt:variant>
      <vt:variant>
        <vt:i4>1507384</vt:i4>
      </vt:variant>
      <vt:variant>
        <vt:i4>407</vt:i4>
      </vt:variant>
      <vt:variant>
        <vt:i4>0</vt:i4>
      </vt:variant>
      <vt:variant>
        <vt:i4>5</vt:i4>
      </vt:variant>
      <vt:variant>
        <vt:lpwstr/>
      </vt:variant>
      <vt:variant>
        <vt:lpwstr>_Toc420686428</vt:lpwstr>
      </vt:variant>
      <vt:variant>
        <vt:i4>1507384</vt:i4>
      </vt:variant>
      <vt:variant>
        <vt:i4>401</vt:i4>
      </vt:variant>
      <vt:variant>
        <vt:i4>0</vt:i4>
      </vt:variant>
      <vt:variant>
        <vt:i4>5</vt:i4>
      </vt:variant>
      <vt:variant>
        <vt:lpwstr/>
      </vt:variant>
      <vt:variant>
        <vt:lpwstr>_Toc420686427</vt:lpwstr>
      </vt:variant>
      <vt:variant>
        <vt:i4>1507384</vt:i4>
      </vt:variant>
      <vt:variant>
        <vt:i4>395</vt:i4>
      </vt:variant>
      <vt:variant>
        <vt:i4>0</vt:i4>
      </vt:variant>
      <vt:variant>
        <vt:i4>5</vt:i4>
      </vt:variant>
      <vt:variant>
        <vt:lpwstr/>
      </vt:variant>
      <vt:variant>
        <vt:lpwstr>_Toc420686426</vt:lpwstr>
      </vt:variant>
      <vt:variant>
        <vt:i4>1507384</vt:i4>
      </vt:variant>
      <vt:variant>
        <vt:i4>389</vt:i4>
      </vt:variant>
      <vt:variant>
        <vt:i4>0</vt:i4>
      </vt:variant>
      <vt:variant>
        <vt:i4>5</vt:i4>
      </vt:variant>
      <vt:variant>
        <vt:lpwstr/>
      </vt:variant>
      <vt:variant>
        <vt:lpwstr>_Toc420686425</vt:lpwstr>
      </vt:variant>
      <vt:variant>
        <vt:i4>1507384</vt:i4>
      </vt:variant>
      <vt:variant>
        <vt:i4>383</vt:i4>
      </vt:variant>
      <vt:variant>
        <vt:i4>0</vt:i4>
      </vt:variant>
      <vt:variant>
        <vt:i4>5</vt:i4>
      </vt:variant>
      <vt:variant>
        <vt:lpwstr/>
      </vt:variant>
      <vt:variant>
        <vt:lpwstr>_Toc420686424</vt:lpwstr>
      </vt:variant>
      <vt:variant>
        <vt:i4>1507384</vt:i4>
      </vt:variant>
      <vt:variant>
        <vt:i4>377</vt:i4>
      </vt:variant>
      <vt:variant>
        <vt:i4>0</vt:i4>
      </vt:variant>
      <vt:variant>
        <vt:i4>5</vt:i4>
      </vt:variant>
      <vt:variant>
        <vt:lpwstr/>
      </vt:variant>
      <vt:variant>
        <vt:lpwstr>_Toc420686423</vt:lpwstr>
      </vt:variant>
      <vt:variant>
        <vt:i4>1507384</vt:i4>
      </vt:variant>
      <vt:variant>
        <vt:i4>371</vt:i4>
      </vt:variant>
      <vt:variant>
        <vt:i4>0</vt:i4>
      </vt:variant>
      <vt:variant>
        <vt:i4>5</vt:i4>
      </vt:variant>
      <vt:variant>
        <vt:lpwstr/>
      </vt:variant>
      <vt:variant>
        <vt:lpwstr>_Toc420686422</vt:lpwstr>
      </vt:variant>
      <vt:variant>
        <vt:i4>1507384</vt:i4>
      </vt:variant>
      <vt:variant>
        <vt:i4>365</vt:i4>
      </vt:variant>
      <vt:variant>
        <vt:i4>0</vt:i4>
      </vt:variant>
      <vt:variant>
        <vt:i4>5</vt:i4>
      </vt:variant>
      <vt:variant>
        <vt:lpwstr/>
      </vt:variant>
      <vt:variant>
        <vt:lpwstr>_Toc420686421</vt:lpwstr>
      </vt:variant>
      <vt:variant>
        <vt:i4>1507384</vt:i4>
      </vt:variant>
      <vt:variant>
        <vt:i4>359</vt:i4>
      </vt:variant>
      <vt:variant>
        <vt:i4>0</vt:i4>
      </vt:variant>
      <vt:variant>
        <vt:i4>5</vt:i4>
      </vt:variant>
      <vt:variant>
        <vt:lpwstr/>
      </vt:variant>
      <vt:variant>
        <vt:lpwstr>_Toc420686420</vt:lpwstr>
      </vt:variant>
      <vt:variant>
        <vt:i4>1310776</vt:i4>
      </vt:variant>
      <vt:variant>
        <vt:i4>353</vt:i4>
      </vt:variant>
      <vt:variant>
        <vt:i4>0</vt:i4>
      </vt:variant>
      <vt:variant>
        <vt:i4>5</vt:i4>
      </vt:variant>
      <vt:variant>
        <vt:lpwstr/>
      </vt:variant>
      <vt:variant>
        <vt:lpwstr>_Toc420686419</vt:lpwstr>
      </vt:variant>
      <vt:variant>
        <vt:i4>1310776</vt:i4>
      </vt:variant>
      <vt:variant>
        <vt:i4>347</vt:i4>
      </vt:variant>
      <vt:variant>
        <vt:i4>0</vt:i4>
      </vt:variant>
      <vt:variant>
        <vt:i4>5</vt:i4>
      </vt:variant>
      <vt:variant>
        <vt:lpwstr/>
      </vt:variant>
      <vt:variant>
        <vt:lpwstr>_Toc420686418</vt:lpwstr>
      </vt:variant>
      <vt:variant>
        <vt:i4>1310776</vt:i4>
      </vt:variant>
      <vt:variant>
        <vt:i4>341</vt:i4>
      </vt:variant>
      <vt:variant>
        <vt:i4>0</vt:i4>
      </vt:variant>
      <vt:variant>
        <vt:i4>5</vt:i4>
      </vt:variant>
      <vt:variant>
        <vt:lpwstr/>
      </vt:variant>
      <vt:variant>
        <vt:lpwstr>_Toc420686417</vt:lpwstr>
      </vt:variant>
      <vt:variant>
        <vt:i4>1310776</vt:i4>
      </vt:variant>
      <vt:variant>
        <vt:i4>335</vt:i4>
      </vt:variant>
      <vt:variant>
        <vt:i4>0</vt:i4>
      </vt:variant>
      <vt:variant>
        <vt:i4>5</vt:i4>
      </vt:variant>
      <vt:variant>
        <vt:lpwstr/>
      </vt:variant>
      <vt:variant>
        <vt:lpwstr>_Toc420686416</vt:lpwstr>
      </vt:variant>
      <vt:variant>
        <vt:i4>1310776</vt:i4>
      </vt:variant>
      <vt:variant>
        <vt:i4>329</vt:i4>
      </vt:variant>
      <vt:variant>
        <vt:i4>0</vt:i4>
      </vt:variant>
      <vt:variant>
        <vt:i4>5</vt:i4>
      </vt:variant>
      <vt:variant>
        <vt:lpwstr/>
      </vt:variant>
      <vt:variant>
        <vt:lpwstr>_Toc420686415</vt:lpwstr>
      </vt:variant>
      <vt:variant>
        <vt:i4>1310776</vt:i4>
      </vt:variant>
      <vt:variant>
        <vt:i4>323</vt:i4>
      </vt:variant>
      <vt:variant>
        <vt:i4>0</vt:i4>
      </vt:variant>
      <vt:variant>
        <vt:i4>5</vt:i4>
      </vt:variant>
      <vt:variant>
        <vt:lpwstr/>
      </vt:variant>
      <vt:variant>
        <vt:lpwstr>_Toc420686414</vt:lpwstr>
      </vt:variant>
      <vt:variant>
        <vt:i4>1310776</vt:i4>
      </vt:variant>
      <vt:variant>
        <vt:i4>317</vt:i4>
      </vt:variant>
      <vt:variant>
        <vt:i4>0</vt:i4>
      </vt:variant>
      <vt:variant>
        <vt:i4>5</vt:i4>
      </vt:variant>
      <vt:variant>
        <vt:lpwstr/>
      </vt:variant>
      <vt:variant>
        <vt:lpwstr>_Toc420686413</vt:lpwstr>
      </vt:variant>
      <vt:variant>
        <vt:i4>1310776</vt:i4>
      </vt:variant>
      <vt:variant>
        <vt:i4>311</vt:i4>
      </vt:variant>
      <vt:variant>
        <vt:i4>0</vt:i4>
      </vt:variant>
      <vt:variant>
        <vt:i4>5</vt:i4>
      </vt:variant>
      <vt:variant>
        <vt:lpwstr/>
      </vt:variant>
      <vt:variant>
        <vt:lpwstr>_Toc420686412</vt:lpwstr>
      </vt:variant>
      <vt:variant>
        <vt:i4>1310776</vt:i4>
      </vt:variant>
      <vt:variant>
        <vt:i4>305</vt:i4>
      </vt:variant>
      <vt:variant>
        <vt:i4>0</vt:i4>
      </vt:variant>
      <vt:variant>
        <vt:i4>5</vt:i4>
      </vt:variant>
      <vt:variant>
        <vt:lpwstr/>
      </vt:variant>
      <vt:variant>
        <vt:lpwstr>_Toc420686411</vt:lpwstr>
      </vt:variant>
      <vt:variant>
        <vt:i4>1310776</vt:i4>
      </vt:variant>
      <vt:variant>
        <vt:i4>299</vt:i4>
      </vt:variant>
      <vt:variant>
        <vt:i4>0</vt:i4>
      </vt:variant>
      <vt:variant>
        <vt:i4>5</vt:i4>
      </vt:variant>
      <vt:variant>
        <vt:lpwstr/>
      </vt:variant>
      <vt:variant>
        <vt:lpwstr>_Toc420686410</vt:lpwstr>
      </vt:variant>
      <vt:variant>
        <vt:i4>1376312</vt:i4>
      </vt:variant>
      <vt:variant>
        <vt:i4>293</vt:i4>
      </vt:variant>
      <vt:variant>
        <vt:i4>0</vt:i4>
      </vt:variant>
      <vt:variant>
        <vt:i4>5</vt:i4>
      </vt:variant>
      <vt:variant>
        <vt:lpwstr/>
      </vt:variant>
      <vt:variant>
        <vt:lpwstr>_Toc420686409</vt:lpwstr>
      </vt:variant>
      <vt:variant>
        <vt:i4>1376312</vt:i4>
      </vt:variant>
      <vt:variant>
        <vt:i4>287</vt:i4>
      </vt:variant>
      <vt:variant>
        <vt:i4>0</vt:i4>
      </vt:variant>
      <vt:variant>
        <vt:i4>5</vt:i4>
      </vt:variant>
      <vt:variant>
        <vt:lpwstr/>
      </vt:variant>
      <vt:variant>
        <vt:lpwstr>_Toc420686408</vt:lpwstr>
      </vt:variant>
      <vt:variant>
        <vt:i4>1376312</vt:i4>
      </vt:variant>
      <vt:variant>
        <vt:i4>281</vt:i4>
      </vt:variant>
      <vt:variant>
        <vt:i4>0</vt:i4>
      </vt:variant>
      <vt:variant>
        <vt:i4>5</vt:i4>
      </vt:variant>
      <vt:variant>
        <vt:lpwstr/>
      </vt:variant>
      <vt:variant>
        <vt:lpwstr>_Toc420686407</vt:lpwstr>
      </vt:variant>
      <vt:variant>
        <vt:i4>1376312</vt:i4>
      </vt:variant>
      <vt:variant>
        <vt:i4>275</vt:i4>
      </vt:variant>
      <vt:variant>
        <vt:i4>0</vt:i4>
      </vt:variant>
      <vt:variant>
        <vt:i4>5</vt:i4>
      </vt:variant>
      <vt:variant>
        <vt:lpwstr/>
      </vt:variant>
      <vt:variant>
        <vt:lpwstr>_Toc420686406</vt:lpwstr>
      </vt:variant>
      <vt:variant>
        <vt:i4>1376312</vt:i4>
      </vt:variant>
      <vt:variant>
        <vt:i4>269</vt:i4>
      </vt:variant>
      <vt:variant>
        <vt:i4>0</vt:i4>
      </vt:variant>
      <vt:variant>
        <vt:i4>5</vt:i4>
      </vt:variant>
      <vt:variant>
        <vt:lpwstr/>
      </vt:variant>
      <vt:variant>
        <vt:lpwstr>_Toc420686405</vt:lpwstr>
      </vt:variant>
      <vt:variant>
        <vt:i4>1376312</vt:i4>
      </vt:variant>
      <vt:variant>
        <vt:i4>263</vt:i4>
      </vt:variant>
      <vt:variant>
        <vt:i4>0</vt:i4>
      </vt:variant>
      <vt:variant>
        <vt:i4>5</vt:i4>
      </vt:variant>
      <vt:variant>
        <vt:lpwstr/>
      </vt:variant>
      <vt:variant>
        <vt:lpwstr>_Toc420686404</vt:lpwstr>
      </vt:variant>
      <vt:variant>
        <vt:i4>1376312</vt:i4>
      </vt:variant>
      <vt:variant>
        <vt:i4>257</vt:i4>
      </vt:variant>
      <vt:variant>
        <vt:i4>0</vt:i4>
      </vt:variant>
      <vt:variant>
        <vt:i4>5</vt:i4>
      </vt:variant>
      <vt:variant>
        <vt:lpwstr/>
      </vt:variant>
      <vt:variant>
        <vt:lpwstr>_Toc420686403</vt:lpwstr>
      </vt:variant>
      <vt:variant>
        <vt:i4>1376312</vt:i4>
      </vt:variant>
      <vt:variant>
        <vt:i4>251</vt:i4>
      </vt:variant>
      <vt:variant>
        <vt:i4>0</vt:i4>
      </vt:variant>
      <vt:variant>
        <vt:i4>5</vt:i4>
      </vt:variant>
      <vt:variant>
        <vt:lpwstr/>
      </vt:variant>
      <vt:variant>
        <vt:lpwstr>_Toc420686402</vt:lpwstr>
      </vt:variant>
      <vt:variant>
        <vt:i4>1376312</vt:i4>
      </vt:variant>
      <vt:variant>
        <vt:i4>245</vt:i4>
      </vt:variant>
      <vt:variant>
        <vt:i4>0</vt:i4>
      </vt:variant>
      <vt:variant>
        <vt:i4>5</vt:i4>
      </vt:variant>
      <vt:variant>
        <vt:lpwstr/>
      </vt:variant>
      <vt:variant>
        <vt:lpwstr>_Toc420686401</vt:lpwstr>
      </vt:variant>
      <vt:variant>
        <vt:i4>1376312</vt:i4>
      </vt:variant>
      <vt:variant>
        <vt:i4>239</vt:i4>
      </vt:variant>
      <vt:variant>
        <vt:i4>0</vt:i4>
      </vt:variant>
      <vt:variant>
        <vt:i4>5</vt:i4>
      </vt:variant>
      <vt:variant>
        <vt:lpwstr/>
      </vt:variant>
      <vt:variant>
        <vt:lpwstr>_Toc420686400</vt:lpwstr>
      </vt:variant>
      <vt:variant>
        <vt:i4>1835071</vt:i4>
      </vt:variant>
      <vt:variant>
        <vt:i4>233</vt:i4>
      </vt:variant>
      <vt:variant>
        <vt:i4>0</vt:i4>
      </vt:variant>
      <vt:variant>
        <vt:i4>5</vt:i4>
      </vt:variant>
      <vt:variant>
        <vt:lpwstr/>
      </vt:variant>
      <vt:variant>
        <vt:lpwstr>_Toc420686399</vt:lpwstr>
      </vt:variant>
      <vt:variant>
        <vt:i4>1835071</vt:i4>
      </vt:variant>
      <vt:variant>
        <vt:i4>227</vt:i4>
      </vt:variant>
      <vt:variant>
        <vt:i4>0</vt:i4>
      </vt:variant>
      <vt:variant>
        <vt:i4>5</vt:i4>
      </vt:variant>
      <vt:variant>
        <vt:lpwstr/>
      </vt:variant>
      <vt:variant>
        <vt:lpwstr>_Toc420686398</vt:lpwstr>
      </vt:variant>
      <vt:variant>
        <vt:i4>1835071</vt:i4>
      </vt:variant>
      <vt:variant>
        <vt:i4>221</vt:i4>
      </vt:variant>
      <vt:variant>
        <vt:i4>0</vt:i4>
      </vt:variant>
      <vt:variant>
        <vt:i4>5</vt:i4>
      </vt:variant>
      <vt:variant>
        <vt:lpwstr/>
      </vt:variant>
      <vt:variant>
        <vt:lpwstr>_Toc420686397</vt:lpwstr>
      </vt:variant>
      <vt:variant>
        <vt:i4>1835071</vt:i4>
      </vt:variant>
      <vt:variant>
        <vt:i4>215</vt:i4>
      </vt:variant>
      <vt:variant>
        <vt:i4>0</vt:i4>
      </vt:variant>
      <vt:variant>
        <vt:i4>5</vt:i4>
      </vt:variant>
      <vt:variant>
        <vt:lpwstr/>
      </vt:variant>
      <vt:variant>
        <vt:lpwstr>_Toc420686396</vt:lpwstr>
      </vt:variant>
      <vt:variant>
        <vt:i4>1835071</vt:i4>
      </vt:variant>
      <vt:variant>
        <vt:i4>209</vt:i4>
      </vt:variant>
      <vt:variant>
        <vt:i4>0</vt:i4>
      </vt:variant>
      <vt:variant>
        <vt:i4>5</vt:i4>
      </vt:variant>
      <vt:variant>
        <vt:lpwstr/>
      </vt:variant>
      <vt:variant>
        <vt:lpwstr>_Toc420686395</vt:lpwstr>
      </vt:variant>
      <vt:variant>
        <vt:i4>1835071</vt:i4>
      </vt:variant>
      <vt:variant>
        <vt:i4>203</vt:i4>
      </vt:variant>
      <vt:variant>
        <vt:i4>0</vt:i4>
      </vt:variant>
      <vt:variant>
        <vt:i4>5</vt:i4>
      </vt:variant>
      <vt:variant>
        <vt:lpwstr/>
      </vt:variant>
      <vt:variant>
        <vt:lpwstr>_Toc420686394</vt:lpwstr>
      </vt:variant>
      <vt:variant>
        <vt:i4>1835071</vt:i4>
      </vt:variant>
      <vt:variant>
        <vt:i4>197</vt:i4>
      </vt:variant>
      <vt:variant>
        <vt:i4>0</vt:i4>
      </vt:variant>
      <vt:variant>
        <vt:i4>5</vt:i4>
      </vt:variant>
      <vt:variant>
        <vt:lpwstr/>
      </vt:variant>
      <vt:variant>
        <vt:lpwstr>_Toc420686393</vt:lpwstr>
      </vt:variant>
      <vt:variant>
        <vt:i4>1835071</vt:i4>
      </vt:variant>
      <vt:variant>
        <vt:i4>191</vt:i4>
      </vt:variant>
      <vt:variant>
        <vt:i4>0</vt:i4>
      </vt:variant>
      <vt:variant>
        <vt:i4>5</vt:i4>
      </vt:variant>
      <vt:variant>
        <vt:lpwstr/>
      </vt:variant>
      <vt:variant>
        <vt:lpwstr>_Toc420686392</vt:lpwstr>
      </vt:variant>
      <vt:variant>
        <vt:i4>1835071</vt:i4>
      </vt:variant>
      <vt:variant>
        <vt:i4>185</vt:i4>
      </vt:variant>
      <vt:variant>
        <vt:i4>0</vt:i4>
      </vt:variant>
      <vt:variant>
        <vt:i4>5</vt:i4>
      </vt:variant>
      <vt:variant>
        <vt:lpwstr/>
      </vt:variant>
      <vt:variant>
        <vt:lpwstr>_Toc420686391</vt:lpwstr>
      </vt:variant>
      <vt:variant>
        <vt:i4>1835071</vt:i4>
      </vt:variant>
      <vt:variant>
        <vt:i4>179</vt:i4>
      </vt:variant>
      <vt:variant>
        <vt:i4>0</vt:i4>
      </vt:variant>
      <vt:variant>
        <vt:i4>5</vt:i4>
      </vt:variant>
      <vt:variant>
        <vt:lpwstr/>
      </vt:variant>
      <vt:variant>
        <vt:lpwstr>_Toc420686390</vt:lpwstr>
      </vt:variant>
      <vt:variant>
        <vt:i4>1900607</vt:i4>
      </vt:variant>
      <vt:variant>
        <vt:i4>173</vt:i4>
      </vt:variant>
      <vt:variant>
        <vt:i4>0</vt:i4>
      </vt:variant>
      <vt:variant>
        <vt:i4>5</vt:i4>
      </vt:variant>
      <vt:variant>
        <vt:lpwstr/>
      </vt:variant>
      <vt:variant>
        <vt:lpwstr>_Toc420686389</vt:lpwstr>
      </vt:variant>
      <vt:variant>
        <vt:i4>1900607</vt:i4>
      </vt:variant>
      <vt:variant>
        <vt:i4>167</vt:i4>
      </vt:variant>
      <vt:variant>
        <vt:i4>0</vt:i4>
      </vt:variant>
      <vt:variant>
        <vt:i4>5</vt:i4>
      </vt:variant>
      <vt:variant>
        <vt:lpwstr/>
      </vt:variant>
      <vt:variant>
        <vt:lpwstr>_Toc420686388</vt:lpwstr>
      </vt:variant>
      <vt:variant>
        <vt:i4>1900607</vt:i4>
      </vt:variant>
      <vt:variant>
        <vt:i4>161</vt:i4>
      </vt:variant>
      <vt:variant>
        <vt:i4>0</vt:i4>
      </vt:variant>
      <vt:variant>
        <vt:i4>5</vt:i4>
      </vt:variant>
      <vt:variant>
        <vt:lpwstr/>
      </vt:variant>
      <vt:variant>
        <vt:lpwstr>_Toc420686387</vt:lpwstr>
      </vt:variant>
      <vt:variant>
        <vt:i4>1900607</vt:i4>
      </vt:variant>
      <vt:variant>
        <vt:i4>155</vt:i4>
      </vt:variant>
      <vt:variant>
        <vt:i4>0</vt:i4>
      </vt:variant>
      <vt:variant>
        <vt:i4>5</vt:i4>
      </vt:variant>
      <vt:variant>
        <vt:lpwstr/>
      </vt:variant>
      <vt:variant>
        <vt:lpwstr>_Toc420686386</vt:lpwstr>
      </vt:variant>
      <vt:variant>
        <vt:i4>1900607</vt:i4>
      </vt:variant>
      <vt:variant>
        <vt:i4>149</vt:i4>
      </vt:variant>
      <vt:variant>
        <vt:i4>0</vt:i4>
      </vt:variant>
      <vt:variant>
        <vt:i4>5</vt:i4>
      </vt:variant>
      <vt:variant>
        <vt:lpwstr/>
      </vt:variant>
      <vt:variant>
        <vt:lpwstr>_Toc420686385</vt:lpwstr>
      </vt:variant>
      <vt:variant>
        <vt:i4>1900607</vt:i4>
      </vt:variant>
      <vt:variant>
        <vt:i4>143</vt:i4>
      </vt:variant>
      <vt:variant>
        <vt:i4>0</vt:i4>
      </vt:variant>
      <vt:variant>
        <vt:i4>5</vt:i4>
      </vt:variant>
      <vt:variant>
        <vt:lpwstr/>
      </vt:variant>
      <vt:variant>
        <vt:lpwstr>_Toc420686384</vt:lpwstr>
      </vt:variant>
      <vt:variant>
        <vt:i4>1900607</vt:i4>
      </vt:variant>
      <vt:variant>
        <vt:i4>137</vt:i4>
      </vt:variant>
      <vt:variant>
        <vt:i4>0</vt:i4>
      </vt:variant>
      <vt:variant>
        <vt:i4>5</vt:i4>
      </vt:variant>
      <vt:variant>
        <vt:lpwstr/>
      </vt:variant>
      <vt:variant>
        <vt:lpwstr>_Toc420686383</vt:lpwstr>
      </vt:variant>
      <vt:variant>
        <vt:i4>1900607</vt:i4>
      </vt:variant>
      <vt:variant>
        <vt:i4>131</vt:i4>
      </vt:variant>
      <vt:variant>
        <vt:i4>0</vt:i4>
      </vt:variant>
      <vt:variant>
        <vt:i4>5</vt:i4>
      </vt:variant>
      <vt:variant>
        <vt:lpwstr/>
      </vt:variant>
      <vt:variant>
        <vt:lpwstr>_Toc420686382</vt:lpwstr>
      </vt:variant>
      <vt:variant>
        <vt:i4>1900607</vt:i4>
      </vt:variant>
      <vt:variant>
        <vt:i4>125</vt:i4>
      </vt:variant>
      <vt:variant>
        <vt:i4>0</vt:i4>
      </vt:variant>
      <vt:variant>
        <vt:i4>5</vt:i4>
      </vt:variant>
      <vt:variant>
        <vt:lpwstr/>
      </vt:variant>
      <vt:variant>
        <vt:lpwstr>_Toc420686381</vt:lpwstr>
      </vt:variant>
      <vt:variant>
        <vt:i4>1900607</vt:i4>
      </vt:variant>
      <vt:variant>
        <vt:i4>119</vt:i4>
      </vt:variant>
      <vt:variant>
        <vt:i4>0</vt:i4>
      </vt:variant>
      <vt:variant>
        <vt:i4>5</vt:i4>
      </vt:variant>
      <vt:variant>
        <vt:lpwstr/>
      </vt:variant>
      <vt:variant>
        <vt:lpwstr>_Toc420686380</vt:lpwstr>
      </vt:variant>
      <vt:variant>
        <vt:i4>1179711</vt:i4>
      </vt:variant>
      <vt:variant>
        <vt:i4>113</vt:i4>
      </vt:variant>
      <vt:variant>
        <vt:i4>0</vt:i4>
      </vt:variant>
      <vt:variant>
        <vt:i4>5</vt:i4>
      </vt:variant>
      <vt:variant>
        <vt:lpwstr/>
      </vt:variant>
      <vt:variant>
        <vt:lpwstr>_Toc420686379</vt:lpwstr>
      </vt:variant>
      <vt:variant>
        <vt:i4>1179711</vt:i4>
      </vt:variant>
      <vt:variant>
        <vt:i4>107</vt:i4>
      </vt:variant>
      <vt:variant>
        <vt:i4>0</vt:i4>
      </vt:variant>
      <vt:variant>
        <vt:i4>5</vt:i4>
      </vt:variant>
      <vt:variant>
        <vt:lpwstr/>
      </vt:variant>
      <vt:variant>
        <vt:lpwstr>_Toc420686376</vt:lpwstr>
      </vt:variant>
      <vt:variant>
        <vt:i4>1179711</vt:i4>
      </vt:variant>
      <vt:variant>
        <vt:i4>101</vt:i4>
      </vt:variant>
      <vt:variant>
        <vt:i4>0</vt:i4>
      </vt:variant>
      <vt:variant>
        <vt:i4>5</vt:i4>
      </vt:variant>
      <vt:variant>
        <vt:lpwstr/>
      </vt:variant>
      <vt:variant>
        <vt:lpwstr>_Toc420686375</vt:lpwstr>
      </vt:variant>
      <vt:variant>
        <vt:i4>1179711</vt:i4>
      </vt:variant>
      <vt:variant>
        <vt:i4>95</vt:i4>
      </vt:variant>
      <vt:variant>
        <vt:i4>0</vt:i4>
      </vt:variant>
      <vt:variant>
        <vt:i4>5</vt:i4>
      </vt:variant>
      <vt:variant>
        <vt:lpwstr/>
      </vt:variant>
      <vt:variant>
        <vt:lpwstr>_Toc420686374</vt:lpwstr>
      </vt:variant>
      <vt:variant>
        <vt:i4>1179711</vt:i4>
      </vt:variant>
      <vt:variant>
        <vt:i4>89</vt:i4>
      </vt:variant>
      <vt:variant>
        <vt:i4>0</vt:i4>
      </vt:variant>
      <vt:variant>
        <vt:i4>5</vt:i4>
      </vt:variant>
      <vt:variant>
        <vt:lpwstr/>
      </vt:variant>
      <vt:variant>
        <vt:lpwstr>_Toc420686373</vt:lpwstr>
      </vt:variant>
      <vt:variant>
        <vt:i4>1179711</vt:i4>
      </vt:variant>
      <vt:variant>
        <vt:i4>83</vt:i4>
      </vt:variant>
      <vt:variant>
        <vt:i4>0</vt:i4>
      </vt:variant>
      <vt:variant>
        <vt:i4>5</vt:i4>
      </vt:variant>
      <vt:variant>
        <vt:lpwstr/>
      </vt:variant>
      <vt:variant>
        <vt:lpwstr>_Toc420686372</vt:lpwstr>
      </vt:variant>
      <vt:variant>
        <vt:i4>1179711</vt:i4>
      </vt:variant>
      <vt:variant>
        <vt:i4>77</vt:i4>
      </vt:variant>
      <vt:variant>
        <vt:i4>0</vt:i4>
      </vt:variant>
      <vt:variant>
        <vt:i4>5</vt:i4>
      </vt:variant>
      <vt:variant>
        <vt:lpwstr/>
      </vt:variant>
      <vt:variant>
        <vt:lpwstr>_Toc420686371</vt:lpwstr>
      </vt:variant>
      <vt:variant>
        <vt:i4>1179711</vt:i4>
      </vt:variant>
      <vt:variant>
        <vt:i4>71</vt:i4>
      </vt:variant>
      <vt:variant>
        <vt:i4>0</vt:i4>
      </vt:variant>
      <vt:variant>
        <vt:i4>5</vt:i4>
      </vt:variant>
      <vt:variant>
        <vt:lpwstr/>
      </vt:variant>
      <vt:variant>
        <vt:lpwstr>_Toc420686370</vt:lpwstr>
      </vt:variant>
      <vt:variant>
        <vt:i4>1245247</vt:i4>
      </vt:variant>
      <vt:variant>
        <vt:i4>65</vt:i4>
      </vt:variant>
      <vt:variant>
        <vt:i4>0</vt:i4>
      </vt:variant>
      <vt:variant>
        <vt:i4>5</vt:i4>
      </vt:variant>
      <vt:variant>
        <vt:lpwstr/>
      </vt:variant>
      <vt:variant>
        <vt:lpwstr>_Toc420686369</vt:lpwstr>
      </vt:variant>
      <vt:variant>
        <vt:i4>1245247</vt:i4>
      </vt:variant>
      <vt:variant>
        <vt:i4>59</vt:i4>
      </vt:variant>
      <vt:variant>
        <vt:i4>0</vt:i4>
      </vt:variant>
      <vt:variant>
        <vt:i4>5</vt:i4>
      </vt:variant>
      <vt:variant>
        <vt:lpwstr/>
      </vt:variant>
      <vt:variant>
        <vt:lpwstr>_Toc420686368</vt:lpwstr>
      </vt:variant>
      <vt:variant>
        <vt:i4>1245247</vt:i4>
      </vt:variant>
      <vt:variant>
        <vt:i4>53</vt:i4>
      </vt:variant>
      <vt:variant>
        <vt:i4>0</vt:i4>
      </vt:variant>
      <vt:variant>
        <vt:i4>5</vt:i4>
      </vt:variant>
      <vt:variant>
        <vt:lpwstr/>
      </vt:variant>
      <vt:variant>
        <vt:lpwstr>_Toc420686367</vt:lpwstr>
      </vt:variant>
      <vt:variant>
        <vt:i4>1245247</vt:i4>
      </vt:variant>
      <vt:variant>
        <vt:i4>47</vt:i4>
      </vt:variant>
      <vt:variant>
        <vt:i4>0</vt:i4>
      </vt:variant>
      <vt:variant>
        <vt:i4>5</vt:i4>
      </vt:variant>
      <vt:variant>
        <vt:lpwstr/>
      </vt:variant>
      <vt:variant>
        <vt:lpwstr>_Toc420686366</vt:lpwstr>
      </vt:variant>
      <vt:variant>
        <vt:i4>1245247</vt:i4>
      </vt:variant>
      <vt:variant>
        <vt:i4>41</vt:i4>
      </vt:variant>
      <vt:variant>
        <vt:i4>0</vt:i4>
      </vt:variant>
      <vt:variant>
        <vt:i4>5</vt:i4>
      </vt:variant>
      <vt:variant>
        <vt:lpwstr/>
      </vt:variant>
      <vt:variant>
        <vt:lpwstr>_Toc420686365</vt:lpwstr>
      </vt:variant>
      <vt:variant>
        <vt:i4>1245247</vt:i4>
      </vt:variant>
      <vt:variant>
        <vt:i4>35</vt:i4>
      </vt:variant>
      <vt:variant>
        <vt:i4>0</vt:i4>
      </vt:variant>
      <vt:variant>
        <vt:i4>5</vt:i4>
      </vt:variant>
      <vt:variant>
        <vt:lpwstr/>
      </vt:variant>
      <vt:variant>
        <vt:lpwstr>_Toc420686364</vt:lpwstr>
      </vt:variant>
      <vt:variant>
        <vt:i4>1245247</vt:i4>
      </vt:variant>
      <vt:variant>
        <vt:i4>29</vt:i4>
      </vt:variant>
      <vt:variant>
        <vt:i4>0</vt:i4>
      </vt:variant>
      <vt:variant>
        <vt:i4>5</vt:i4>
      </vt:variant>
      <vt:variant>
        <vt:lpwstr/>
      </vt:variant>
      <vt:variant>
        <vt:lpwstr>_Toc420686363</vt:lpwstr>
      </vt:variant>
      <vt:variant>
        <vt:i4>1245247</vt:i4>
      </vt:variant>
      <vt:variant>
        <vt:i4>23</vt:i4>
      </vt:variant>
      <vt:variant>
        <vt:i4>0</vt:i4>
      </vt:variant>
      <vt:variant>
        <vt:i4>5</vt:i4>
      </vt:variant>
      <vt:variant>
        <vt:lpwstr/>
      </vt:variant>
      <vt:variant>
        <vt:lpwstr>_Toc420686362</vt:lpwstr>
      </vt:variant>
      <vt:variant>
        <vt:i4>1245247</vt:i4>
      </vt:variant>
      <vt:variant>
        <vt:i4>17</vt:i4>
      </vt:variant>
      <vt:variant>
        <vt:i4>0</vt:i4>
      </vt:variant>
      <vt:variant>
        <vt:i4>5</vt:i4>
      </vt:variant>
      <vt:variant>
        <vt:lpwstr/>
      </vt:variant>
      <vt:variant>
        <vt:lpwstr>_Toc420686361</vt:lpwstr>
      </vt:variant>
      <vt:variant>
        <vt:i4>1245247</vt:i4>
      </vt:variant>
      <vt:variant>
        <vt:i4>11</vt:i4>
      </vt:variant>
      <vt:variant>
        <vt:i4>0</vt:i4>
      </vt:variant>
      <vt:variant>
        <vt:i4>5</vt:i4>
      </vt:variant>
      <vt:variant>
        <vt:lpwstr/>
      </vt:variant>
      <vt:variant>
        <vt:lpwstr>_Toc420686360</vt:lpwstr>
      </vt:variant>
      <vt:variant>
        <vt:i4>1048639</vt:i4>
      </vt:variant>
      <vt:variant>
        <vt:i4>5</vt:i4>
      </vt:variant>
      <vt:variant>
        <vt:i4>0</vt:i4>
      </vt:variant>
      <vt:variant>
        <vt:i4>5</vt:i4>
      </vt:variant>
      <vt:variant>
        <vt:lpwstr/>
      </vt:variant>
      <vt:variant>
        <vt:lpwstr>_Toc420686359</vt:lpwstr>
      </vt:variant>
      <vt:variant>
        <vt:i4>7864419</vt:i4>
      </vt:variant>
      <vt:variant>
        <vt:i4>24</vt:i4>
      </vt:variant>
      <vt:variant>
        <vt:i4>0</vt:i4>
      </vt:variant>
      <vt:variant>
        <vt:i4>5</vt:i4>
      </vt:variant>
      <vt:variant>
        <vt:lpwstr>http://www.cc.cec/sg/vista/view/main/commissiondossier/commissionDossierDetail.jsf</vt:lpwstr>
      </vt:variant>
      <vt:variant>
        <vt:lpwstr/>
      </vt:variant>
      <vt:variant>
        <vt:i4>3866628</vt:i4>
      </vt:variant>
      <vt:variant>
        <vt:i4>21</vt:i4>
      </vt:variant>
      <vt:variant>
        <vt:i4>0</vt:i4>
      </vt:variant>
      <vt:variant>
        <vt:i4>5</vt:i4>
      </vt:variant>
      <vt:variant>
        <vt:lpwstr>http://www.eeef.eu/tl_files/downloads/Annual_Reports/EEEF_Annual_Report_2013.pdf</vt:lpwstr>
      </vt:variant>
      <vt:variant>
        <vt:lpwstr/>
      </vt:variant>
      <vt:variant>
        <vt:i4>4128773</vt:i4>
      </vt:variant>
      <vt:variant>
        <vt:i4>18</vt:i4>
      </vt:variant>
      <vt:variant>
        <vt:i4>0</vt:i4>
      </vt:variant>
      <vt:variant>
        <vt:i4>5</vt:i4>
      </vt:variant>
      <vt:variant>
        <vt:lpwstr>http://www.europarl.europa.eu/meetdocs/2014_2019/documents/tran/dv/exanteassessmentcef_/exanteassessmentcef_en.pdf</vt:lpwstr>
      </vt:variant>
      <vt:variant>
        <vt:lpwstr/>
      </vt:variant>
      <vt:variant>
        <vt:i4>1966106</vt:i4>
      </vt:variant>
      <vt:variant>
        <vt:i4>15</vt:i4>
      </vt:variant>
      <vt:variant>
        <vt:i4>0</vt:i4>
      </vt:variant>
      <vt:variant>
        <vt:i4>5</vt:i4>
      </vt:variant>
      <vt:variant>
        <vt:lpwstr>http://ec.europa.eu/transport/themes/infrastructure/studies/doc/2014_ex-post_evaluation_of_the_loan_guarantee_instrument_for_ten-t_projects.pdf</vt:lpwstr>
      </vt:variant>
      <vt:variant>
        <vt:lpwstr/>
      </vt:variant>
      <vt:variant>
        <vt:i4>4522106</vt:i4>
      </vt:variant>
      <vt:variant>
        <vt:i4>12</vt:i4>
      </vt:variant>
      <vt:variant>
        <vt:i4>0</vt:i4>
      </vt:variant>
      <vt:variant>
        <vt:i4>5</vt:i4>
      </vt:variant>
      <vt:variant>
        <vt:lpwstr>http://ec.europa.eu/research/evaluations/pdf/archive/other_reports_studies_and_documents/interim_evaluation_report_rsff.pdf</vt:lpwstr>
      </vt:variant>
      <vt:variant>
        <vt:lpwstr/>
      </vt:variant>
      <vt:variant>
        <vt:i4>6160419</vt:i4>
      </vt:variant>
      <vt:variant>
        <vt:i4>9</vt:i4>
      </vt:variant>
      <vt:variant>
        <vt:i4>0</vt:i4>
      </vt:variant>
      <vt:variant>
        <vt:i4>5</vt:i4>
      </vt:variant>
      <vt:variant>
        <vt:lpwstr>http://ec.europa.eu/research/evaluations/pdf/archive/other_reports_studies_and_documents/mid-term_evaluation_of_the_risk-sharing_financial_facility_(rsff)_-_expert_group_report.pdf</vt:lpwstr>
      </vt:variant>
      <vt:variant>
        <vt:lpwstr/>
      </vt:variant>
      <vt:variant>
        <vt:i4>3670129</vt:i4>
      </vt:variant>
      <vt:variant>
        <vt:i4>6</vt:i4>
      </vt:variant>
      <vt:variant>
        <vt:i4>0</vt:i4>
      </vt:variant>
      <vt:variant>
        <vt:i4>5</vt:i4>
      </vt:variant>
      <vt:variant>
        <vt:lpwstr>http://www.vicoproject.org/</vt:lpwstr>
      </vt:variant>
      <vt:variant>
        <vt:lpwstr/>
      </vt:variant>
      <vt:variant>
        <vt:i4>5111932</vt:i4>
      </vt:variant>
      <vt:variant>
        <vt:i4>3</vt:i4>
      </vt:variant>
      <vt:variant>
        <vt:i4>0</vt:i4>
      </vt:variant>
      <vt:variant>
        <vt:i4>5</vt:i4>
      </vt:variant>
      <vt:variant>
        <vt:lpwstr>http://eeas.europa.eu/enp/index_en.htm</vt:lpwstr>
      </vt:variant>
      <vt:variant>
        <vt:lpwstr/>
      </vt:variant>
      <vt:variant>
        <vt:i4>4456543</vt:i4>
      </vt:variant>
      <vt:variant>
        <vt:i4>0</vt:i4>
      </vt:variant>
      <vt:variant>
        <vt:i4>0</vt:i4>
      </vt:variant>
      <vt:variant>
        <vt:i4>5</vt:i4>
      </vt:variant>
      <vt:variant>
        <vt:lpwstr>http://ec.europa.eu/social/BlobServlet?docId=12485&amp;langId=en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140.8 SWD part 1</dc:title>
  <dc:subject>140.8 SWD part 1</dc:subject>
  <dc:creator/>
  <cp:lastModifiedBy>LAGES CARVALHO Patrick (SG)</cp:lastModifiedBy>
  <cp:revision>19</cp:revision>
  <cp:lastPrinted>2017-06-27T14:55:00Z</cp:lastPrinted>
  <dcterms:created xsi:type="dcterms:W3CDTF">2017-08-04T14:27:00Z</dcterms:created>
  <dcterms:modified xsi:type="dcterms:W3CDTF">2017-09-25T06:01:00Z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Classification">
    <vt:lpwstr> </vt:lpwstr>
  </property>
  <property fmtid="{D5CDD505-2E9C-101B-9397-08002B2CF9AE}" pid="5" name="DocStatus">
    <vt:lpwstr>Green</vt:lpwstr>
  </property>
  <property fmtid="{D5CDD505-2E9C-101B-9397-08002B2CF9AE}" pid="6" name="ContentTypeId">
    <vt:lpwstr>0x010100258AA79CEB83498886A3A086811232500002EA9FEFF883564CB9E046C56A2E086A</vt:lpwstr>
  </property>
</Properties>
</file>