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430097310"/>
      <w:bookmarkStart w:id="1" w:name="_Toc399517418"/>
      <w:bookmarkStart w:id="2" w:name="_Toc387228706"/>
      <w:bookmarkStart w:id="3" w:name="_Toc388541836"/>
      <w:bookmarkStart w:id="4" w:name="_Toc387229283"/>
      <w:bookmarkStart w:id="5" w:name="_Toc388542045"/>
      <w:bookmarkStart w:id="6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A51599CCB9804C81913235A34B5B6C7F" style="width:450.7pt;height:406.75pt">
            <v:imagedata r:id="rId12" o:title=""/>
          </v:shape>
        </w:pict>
      </w:r>
    </w:p>
    <w:bookmarkEnd w:id="6"/>
    <w:p>
      <w:pPr>
        <w:rPr>
          <w:rFonts w:ascii="Times New Roman" w:hAnsi="Times New Roman" w:cs="Times New Roman"/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Subtitle"/>
        <w:spacing w:before="0" w:after="240"/>
        <w:rPr>
          <w:noProof/>
          <w:sz w:val="22"/>
          <w:szCs w:val="22"/>
        </w:rPr>
      </w:pPr>
      <w:bookmarkStart w:id="7" w:name="_GoBack"/>
      <w:bookmarkEnd w:id="7"/>
      <w:r>
        <w:rPr>
          <w:noProof/>
          <w:sz w:val="22"/>
        </w:rPr>
        <w:lastRenderedPageBreak/>
        <w:t>ПРИЛОЖЕНИЕ</w:t>
      </w:r>
      <w:bookmarkEnd w:id="0"/>
    </w:p>
    <w:p>
      <w:pPr>
        <w:spacing w:after="2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>Със следните фишове се прави обобщение на събраната към 31 декември 2016 г. информация за всяка от точките съгласно изискването в член 140, параграф 8 от Финансовия регламент. По-подробна информация може да бъде намерена в работния документ на службите на Комисията.</w:t>
      </w:r>
    </w:p>
    <w:p>
      <w:pPr>
        <w:spacing w:after="24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</w:rPr>
        <w:t xml:space="preserve">Следва да се отбележи, че докато в член 140, параграф 8, буква к) се изисква съпоставка между </w:t>
      </w:r>
      <w:r>
        <w:rPr>
          <w:rFonts w:ascii="Times New Roman" w:hAnsi="Times New Roman"/>
          <w:i/>
          <w:noProof/>
        </w:rPr>
        <w:t>целевия</w:t>
      </w:r>
      <w:r>
        <w:rPr>
          <w:rFonts w:ascii="Times New Roman" w:hAnsi="Times New Roman"/>
          <w:noProof/>
        </w:rPr>
        <w:t xml:space="preserve"> и </w:t>
      </w:r>
      <w:r>
        <w:rPr>
          <w:rFonts w:ascii="Times New Roman" w:hAnsi="Times New Roman"/>
          <w:i/>
          <w:noProof/>
        </w:rPr>
        <w:t>постигнатия</w:t>
      </w:r>
      <w:r>
        <w:rPr>
          <w:rFonts w:ascii="Times New Roman" w:hAnsi="Times New Roman"/>
          <w:noProof/>
        </w:rPr>
        <w:t xml:space="preserve"> ефект на лоста, не е определян </w:t>
      </w:r>
      <w:r>
        <w:rPr>
          <w:rFonts w:ascii="Times New Roman" w:hAnsi="Times New Roman"/>
          <w:i/>
          <w:noProof/>
        </w:rPr>
        <w:t>целеви</w:t>
      </w:r>
      <w:r>
        <w:rPr>
          <w:rFonts w:ascii="Times New Roman" w:hAnsi="Times New Roman"/>
          <w:noProof/>
        </w:rPr>
        <w:t xml:space="preserve"> ефект на лоста за повечето финансови инструменти за периода 2007—2013 г. Информацията се ограничава до </w:t>
      </w:r>
      <w:r>
        <w:rPr>
          <w:rFonts w:ascii="Times New Roman" w:hAnsi="Times New Roman"/>
          <w:i/>
          <w:noProof/>
        </w:rPr>
        <w:t>постигнатия</w:t>
      </w:r>
      <w:r>
        <w:rPr>
          <w:rFonts w:ascii="Times New Roman" w:hAnsi="Times New Roman"/>
          <w:noProof/>
        </w:rPr>
        <w:t xml:space="preserve"> ефект на лоста, чието изчисляване е описано в съответния раздел на работния документ на службите на Комисията</w:t>
      </w:r>
      <w:r>
        <w:rPr>
          <w:rStyle w:val="FootnoteReference"/>
          <w:rFonts w:ascii="Times New Roman" w:hAnsi="Times New Roman"/>
          <w:noProof/>
        </w:rPr>
        <w:footnoteReference w:id="2"/>
      </w:r>
      <w:r>
        <w:rPr>
          <w:rFonts w:ascii="Times New Roman" w:hAnsi="Times New Roman"/>
          <w:noProof/>
        </w:rPr>
        <w:t xml:space="preserve">. На този етап </w:t>
      </w:r>
      <w:r>
        <w:rPr>
          <w:rFonts w:ascii="Times New Roman" w:hAnsi="Times New Roman"/>
          <w:i/>
          <w:noProof/>
        </w:rPr>
        <w:t>постигнатият</w:t>
      </w:r>
      <w:r>
        <w:rPr>
          <w:rFonts w:ascii="Times New Roman" w:hAnsi="Times New Roman"/>
          <w:noProof/>
        </w:rPr>
        <w:t xml:space="preserve"> коефициент на ефекта на лоста в много случаи все още не е окончателен, тъй като броят на крайните получатели продължава да се увеличава. За настоящите инструменти </w:t>
      </w:r>
      <w:r>
        <w:rPr>
          <w:rFonts w:ascii="Times New Roman" w:hAnsi="Times New Roman"/>
          <w:i/>
          <w:noProof/>
        </w:rPr>
        <w:t>целевият</w:t>
      </w:r>
      <w:r>
        <w:rPr>
          <w:rFonts w:ascii="Times New Roman" w:hAnsi="Times New Roman"/>
          <w:noProof/>
        </w:rPr>
        <w:t xml:space="preserve"> ефект на лоста е представен заедно с </w:t>
      </w:r>
      <w:r>
        <w:rPr>
          <w:rFonts w:ascii="Times New Roman" w:hAnsi="Times New Roman"/>
          <w:i/>
          <w:noProof/>
        </w:rPr>
        <w:t>очаквания</w:t>
      </w:r>
      <w:r>
        <w:rPr>
          <w:rFonts w:ascii="Times New Roman" w:hAnsi="Times New Roman"/>
          <w:noProof/>
        </w:rPr>
        <w:t xml:space="preserve"> въз основа на сумата за финансиране на допустимите крайни получатели, очаквана като резултат от операциите, които упълномощеният субект вече е подписал с финансовите посредници (или крайните получатели).</w:t>
      </w:r>
    </w:p>
    <w:p>
      <w:pPr>
        <w:spacing w:after="240"/>
        <w:jc w:val="both"/>
        <w:rPr>
          <w:rFonts w:ascii="Times New Roman" w:hAnsi="Times New Roman" w:cs="Times New Roman"/>
          <w:noProof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7" w:right="1417" w:bottom="1417" w:left="1417" w:header="708" w:footer="708" w:gutter="0"/>
          <w:pgNumType w:start="2"/>
          <w:cols w:space="720"/>
          <w:docGrid w:linePitch="360"/>
        </w:sectPr>
      </w:pPr>
    </w:p>
    <w:p>
      <w:pPr>
        <w:pStyle w:val="Heading4"/>
        <w:rPr>
          <w:noProof/>
          <w:szCs w:val="22"/>
        </w:rPr>
      </w:pPr>
      <w:r>
        <w:rPr>
          <w:noProof/>
        </w:rPr>
        <w:lastRenderedPageBreak/>
        <w:t>КАПИТАЛОВИ ИНСТРУМЕНТИ</w:t>
      </w:r>
      <w:bookmarkEnd w:id="1"/>
    </w:p>
    <w:tbl>
      <w:tblPr>
        <w:tblW w:w="5433" w:type="pct"/>
        <w:tblInd w:w="-60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552"/>
        <w:gridCol w:w="2409"/>
        <w:gridCol w:w="2552"/>
        <w:gridCol w:w="2551"/>
      </w:tblGrid>
      <w:t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Механизъм за висок растеж и иновационни МСП в рамките на CIP —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GIF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(V.1.1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„ИКОНОМИЧЕСКИ И ФИНАНСОВИ ВЪПРОСИ“/„ВЪТРЕШЕН ПАЗАР, ПРОМИШЛЕНОСТ, ПРЕДПРИЕМАЧЕСТВО И МСП“</w:t>
            </w:r>
          </w:p>
        </w:tc>
        <w:tc>
          <w:tcPr>
            <w:tcW w:w="2552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Капиталов инструмент по Механизма за свързване на Европа — CEF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 1.2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„СЪОБЩИТЕЛНИ МРЕЖИ, СЪДЪРЖАНИЕ И ТЕХНОЛОГИИ“</w:t>
            </w:r>
          </w:p>
        </w:tc>
        <w:tc>
          <w:tcPr>
            <w:tcW w:w="2409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Капиталов механизъм за растеж по COSME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EFG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(V.1.3 SWD)</w:t>
            </w:r>
          </w:p>
          <w:p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„ВЪТРЕШЕН ПАЗАР, ПРОМИШЛЕНОСТ, ПРЕДПРИЕМАЧЕСТВО И МСП“</w:t>
            </w:r>
          </w:p>
        </w:tc>
        <w:tc>
          <w:tcPr>
            <w:tcW w:w="2552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Капиталов инструмент InnovFin („Хоризонт 2020“)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(V.1.4.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„НАУЧНИ ИЗСЛЕДВАНИЯ И ИНОВАЦИИ“</w:t>
            </w:r>
          </w:p>
        </w:tc>
        <w:tc>
          <w:tcPr>
            <w:tcW w:w="2551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Инвестиции за изграждане на капацитет за EaSi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(EaSI CBI)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2014 г. до 2020 г.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(V.1.5.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„ТРУДОВА ЗАЕТОСТ, СОЦИАЛНИ ВЪПРОСИ И ПРИОБЩАВАНЕ“</w:t>
            </w:r>
          </w:p>
        </w:tc>
      </w:tr>
      <w:tr>
        <w:trPr>
          <w:trHeight w:val="4209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а) Идентификационен/основен акт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Решение № 1639/2006/ЕО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 1316/2010 и Регламент (ЕС) № 2015/2010.</w:t>
            </w:r>
          </w:p>
        </w:tc>
        <w:tc>
          <w:tcPr>
            <w:tcW w:w="2409" w:type="dxa"/>
            <w:tcBorders>
              <w:top w:val="nil"/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1287/2013</w:t>
            </w:r>
          </w:p>
        </w:tc>
        <w:tc>
          <w:tcPr>
            <w:tcW w:w="2552" w:type="dxa"/>
            <w:tcBorders>
              <w:top w:val="nil"/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1291/2013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1290/2013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1296/2013</w:t>
            </w:r>
          </w:p>
        </w:tc>
        <w:tc>
          <w:tcPr>
            <w:tcW w:w="2551" w:type="dxa"/>
            <w:tcBorders>
              <w:top w:val="nil"/>
              <w:lef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  <w:lang w:val="en-GB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1296/2013</w:t>
            </w:r>
          </w:p>
        </w:tc>
      </w:tr>
      <w:t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Механизъм за висок растеж и иновационни МСП в рамките на CIP — GIF</w:t>
            </w:r>
          </w:p>
        </w:tc>
        <w:tc>
          <w:tcPr>
            <w:tcW w:w="2552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Капиталов инструмент по Механизма за свързване на Европа — CEF</w:t>
            </w:r>
          </w:p>
        </w:tc>
        <w:tc>
          <w:tcPr>
            <w:tcW w:w="2409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Капиталов механизъм за растеж по COSME -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EFG</w:t>
            </w:r>
          </w:p>
        </w:tc>
        <w:tc>
          <w:tcPr>
            <w:tcW w:w="2552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Капиталов инструмент InnovFin („Хоризонт 2020“)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Инвестиции за изграждане на капацитет за EaSi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(EaSI CBI)</w:t>
            </w:r>
          </w:p>
        </w:tc>
      </w:tr>
      <w:tr>
        <w:trPr>
          <w:trHeight w:val="2788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б) Описание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Капиталов инструмент за увеличаване на предлагането на капитал за иновативни МСП в ранен етап на развитие и етап на разширяване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after="60" w:line="240" w:lineRule="auto"/>
              <w:ind w:right="141"/>
              <w:rPr>
                <w:rFonts w:ascii="Times New Roman" w:hAnsi="Times New Roman" w:cs="Times New Roman"/>
                <w:noProof/>
                <w:sz w:val="6"/>
                <w:szCs w:val="21"/>
              </w:rPr>
            </w:pPr>
          </w:p>
          <w:p>
            <w:pPr>
              <w:spacing w:after="60" w:line="240" w:lineRule="auto"/>
              <w:ind w:right="141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Капиталов инструмент за оптимизиране на използването на ограничените ресурси на CEF за по-малките и по-рискови проекти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Капиталов инструмент, който предоставя рисков капитал и финансиране тип „мецанин“ за МСП на етапите на разширяването и растежа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Капиталов инструмент за рисков капитал и квазикапиталови инвестиции на ранни етапи в МСП и в малки дружества със средна пазарна капитализация, чийто основен предмет на дейност са научните изследвания и иновациите (включително социални предприятия)</w:t>
            </w:r>
          </w:p>
        </w:tc>
        <w:tc>
          <w:tcPr>
            <w:tcW w:w="2551" w:type="dxa"/>
            <w:tcBorders>
              <w:lef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Капиталови инструменти, имащи за цел изграждането на институционалния капацитет на финансовите посредници чрез преки и косвени капиталови инвестиции и заеми, за да разширят още повече своите операции както в областта на микрофинансирането, така и в областта на социалното предприемачество.</w:t>
            </w:r>
          </w:p>
        </w:tc>
      </w:tr>
      <w:tr>
        <w:trPr>
          <w:trHeight w:val="576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в) Участващи финансови институции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Пряко управление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551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</w:tr>
      <w:tr>
        <w:trPr>
          <w:trHeight w:val="576"/>
        </w:trP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г) Общ размер на бюджетните задължения и плащания</w:t>
            </w: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600,2 млн. евро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464,5 млн. евро</w:t>
            </w:r>
          </w:p>
        </w:tc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100 млн. евро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24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172,9 млн. евро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56,1 млн. евро</w:t>
            </w:r>
          </w:p>
        </w:tc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256,1 млн. евро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234,1 млн. евро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12,7 млн. евро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10,8 млн. евро</w:t>
            </w:r>
          </w:p>
        </w:tc>
      </w:tr>
      <w:tr>
        <w:trPr>
          <w:trHeight w:val="1533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д) Изпълнение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С фондове за рисков капитал са подписани 43 споразумения за очаквано финансиране от 3,08 млрд. евро, предназначени за 516 допустими МСП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С фондове за рисков капитал са подписани 9 споразумения за очаквано финансиране от 470,6 млрд. евро, предназначени за 64 допустими МСП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Подписани са споразумения за очаквано финансиране в размер на 565,1 млн. евро за приблизително 300 допустими МСП</w:t>
            </w:r>
          </w:p>
        </w:tc>
        <w:tc>
          <w:tcPr>
            <w:tcW w:w="2551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</w:t>
            </w:r>
          </w:p>
        </w:tc>
      </w:tr>
      <w:t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Механизъм за висок растеж и иновационни МСП в рамките на CIP — GIF</w:t>
            </w:r>
          </w:p>
        </w:tc>
        <w:tc>
          <w:tcPr>
            <w:tcW w:w="2552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Капиталов инструмент по Механизма за свързване на Европа — CEF</w:t>
            </w:r>
          </w:p>
        </w:tc>
        <w:tc>
          <w:tcPr>
            <w:tcW w:w="2409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Капиталов механизъм за растеж по COSME -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EFG</w:t>
            </w:r>
          </w:p>
        </w:tc>
        <w:tc>
          <w:tcPr>
            <w:tcW w:w="2552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Капиталов инструмент InnovFin („Хоризонт 2020“)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7BA0CD"/>
              <w:bottom w:val="nil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Инвестиции за изграждане на капацитет за EaSi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(EaSI CBI)</w:t>
            </w:r>
          </w:p>
        </w:tc>
      </w:tr>
      <w:tr>
        <w:trPr>
          <w:trHeight w:val="1114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е) Оценка на използването на сумите, които са постъпили обратно във финансовия инструмент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Над 90 %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10,9 млн. евро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0,4 млн. евро</w:t>
            </w:r>
          </w:p>
        </w:tc>
        <w:tc>
          <w:tcPr>
            <w:tcW w:w="2551" w:type="dxa"/>
            <w:tcBorders>
              <w:lef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</w:tr>
      <w:tr>
        <w:trPr>
          <w:trHeight w:val="640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ж) Баланс на доверителната сметка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1"/>
              </w:rPr>
              <w:footnoteReference w:id="3"/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423,2 млн. евро</w:t>
            </w:r>
            <w:r>
              <w:rPr>
                <w:rFonts w:ascii="Times New Roman" w:hAnsi="Times New Roman"/>
                <w:noProof/>
                <w:highlight w:val="green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51,3 млн. евро</w:t>
            </w:r>
            <w:r>
              <w:rPr>
                <w:rFonts w:ascii="Times New Roman" w:hAnsi="Times New Roman"/>
                <w:noProof/>
                <w:highlight w:val="yellow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229 млн. евро</w:t>
            </w:r>
            <w:r>
              <w:rPr>
                <w:rFonts w:ascii="Times New Roman" w:hAnsi="Times New Roman"/>
                <w:noProof/>
                <w:highlight w:val="yellow"/>
              </w:rPr>
              <w:t xml:space="preserve">  </w:t>
            </w:r>
          </w:p>
        </w:tc>
        <w:tc>
          <w:tcPr>
            <w:tcW w:w="2551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10,7 млн. евро</w:t>
            </w:r>
            <w:r>
              <w:rPr>
                <w:rFonts w:ascii="Times New Roman" w:hAnsi="Times New Roman"/>
                <w:noProof/>
                <w:highlight w:val="green"/>
              </w:rPr>
              <w:t xml:space="preserve"> </w:t>
            </w:r>
          </w:p>
        </w:tc>
      </w:tr>
      <w:tr>
        <w:trPr>
          <w:trHeight w:val="669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з) Приходи и възстановени средства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53,2 млн. евро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—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0,01 млн. евро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0,4 млн. евро</w:t>
            </w:r>
          </w:p>
        </w:tc>
        <w:tc>
          <w:tcPr>
            <w:tcW w:w="2551" w:type="dxa"/>
            <w:tcBorders>
              <w:lef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и) Стойност на капиталовите инвестиции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333,5 млн. евро</w:t>
            </w:r>
            <w:r>
              <w:rPr>
                <w:rFonts w:ascii="Times New Roman" w:hAnsi="Times New Roman"/>
                <w:noProof/>
                <w:highlight w:val="green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12,2 млн. евро</w:t>
            </w:r>
            <w:r>
              <w:rPr>
                <w:rFonts w:ascii="Times New Roman" w:hAnsi="Times New Roman"/>
                <w:noProof/>
                <w:highlight w:val="yellow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8,4 млн. евро</w:t>
            </w:r>
          </w:p>
        </w:tc>
        <w:tc>
          <w:tcPr>
            <w:tcW w:w="2551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</w:t>
            </w:r>
          </w:p>
        </w:tc>
      </w:tr>
      <w:t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й) Обезценки/активирани гаранции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19,9 млн. евро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551" w:type="dxa"/>
            <w:tcBorders>
              <w:left w:val="single" w:sz="8" w:space="0" w:color="7BA0CD"/>
            </w:tcBorders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trHeight w:val="1871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к) „Ефект на лоста“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5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5,7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5 до 17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между 4 и 6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2,7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0,4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2,21</w:t>
            </w:r>
          </w:p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0,06</w:t>
            </w:r>
          </w:p>
        </w:tc>
        <w:tc>
          <w:tcPr>
            <w:tcW w:w="2551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2</w:t>
            </w:r>
            <w:r>
              <w:rPr>
                <w:rStyle w:val="FootnoteReference"/>
                <w:rFonts w:ascii="Times New Roman" w:hAnsi="Times New Roman"/>
                <w:noProof/>
                <w:sz w:val="21"/>
              </w:rPr>
              <w:footnoteReference w:id="4"/>
            </w:r>
          </w:p>
        </w:tc>
      </w:tr>
      <w:tr>
        <w:trPr>
          <w:trHeight w:val="303"/>
        </w:trP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висок растеж и иновационни МСП в рамките на CIP — GIF</w:t>
            </w:r>
          </w:p>
        </w:tc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Капиталов инструмент по Механизма за свързване на Европа — CEF</w:t>
            </w:r>
          </w:p>
        </w:tc>
        <w:tc>
          <w:tcPr>
            <w:tcW w:w="24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 xml:space="preserve">Капиталов механизъм за растеж по COSME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EFG</w:t>
            </w:r>
          </w:p>
        </w:tc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Капиталов инструмент InnovFin („Хоризонт 2020“)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 xml:space="preserve">Инвестиции за изграждане на капацитет за EaSi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(EaSI CBI)</w:t>
            </w:r>
          </w:p>
        </w:tc>
      </w:tr>
      <w:tr>
        <w:trPr>
          <w:trHeight w:val="4540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л) Принос към постигането на целите на политиката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 xml:space="preserve">Подкрепа за повече от 1,4 млрд. евро финансиране за 484 допустими МСП; </w:t>
            </w: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Подкрепа за инвестиции в размер на приблизително 3,6 млрд. евро;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10"/>
                <w:szCs w:val="21"/>
              </w:rPr>
            </w:pP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НП</w:t>
            </w:r>
          </w:p>
        </w:tc>
        <w:tc>
          <w:tcPr>
            <w:tcW w:w="240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10"/>
                <w:szCs w:val="21"/>
              </w:rPr>
            </w:pP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Очакваният обем на дяловите инвестиции в 64 допустими крайни получатели възлиза на 470,6 млн. евро;</w:t>
            </w: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 xml:space="preserve"> Инвестиции в размер на 64 млн. евро в 12 МСП в 7 държави до края на 2016 г.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10"/>
                <w:szCs w:val="21"/>
              </w:rPr>
            </w:pP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 xml:space="preserve">Целевият обем на инвестициите в предвидени 1500 допустими крайни получатели възлиза на 2 900 млн. евро; </w:t>
            </w: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 xml:space="preserve">Очакваният обем на финансирането в 300 допустими крайни получатели възлиза на 565,1 млн. евро; </w:t>
            </w: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 xml:space="preserve">Постигнатият обем на финансирането в 8 допустими крайни получатели възлиза на 15 млн. евро; </w:t>
            </w: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Инвестициите от МСП възлизат на приблизително 15 млн. евро.</w:t>
            </w:r>
          </w:p>
        </w:tc>
        <w:tc>
          <w:tcPr>
            <w:tcW w:w="2551" w:type="dxa"/>
            <w:tcBorders>
              <w:left w:val="single" w:sz="8" w:space="0" w:color="7BA0CD"/>
            </w:tcBorders>
          </w:tcPr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10"/>
                <w:szCs w:val="21"/>
              </w:rPr>
            </w:pPr>
          </w:p>
          <w:p>
            <w:pPr>
              <w:pStyle w:val="ListParagraph"/>
              <w:spacing w:before="120"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Очакваният обем от 16 млн. евро, достъпни за инвестиции в 8 до 10 предвидени допустими финансови посредници, се очаква да генерира около 32 млн. евро инвестиции в посредниците.</w:t>
            </w:r>
          </w:p>
        </w:tc>
      </w:tr>
    </w:tbl>
    <w:p>
      <w:pPr>
        <w:rPr>
          <w:noProof/>
        </w:rPr>
      </w:pPr>
    </w:p>
    <w:p>
      <w:pPr>
        <w:rPr>
          <w:rFonts w:ascii="Times New Roman" w:eastAsia="Times New Roman" w:hAnsi="Times New Roman" w:cs="Times New Roman"/>
          <w:b/>
          <w:bCs/>
          <w:noProof/>
          <w:u w:val="single"/>
        </w:rPr>
      </w:pPr>
      <w:r>
        <w:rPr>
          <w:noProof/>
        </w:rPr>
        <w:br w:type="page"/>
      </w:r>
    </w:p>
    <w:p>
      <w:pPr>
        <w:pStyle w:val="Heading4"/>
        <w:spacing w:before="0" w:after="240"/>
        <w:ind w:left="357" w:hanging="357"/>
        <w:rPr>
          <w:noProof/>
          <w:sz w:val="22"/>
          <w:szCs w:val="22"/>
        </w:rPr>
      </w:pPr>
      <w:r>
        <w:rPr>
          <w:noProof/>
          <w:sz w:val="22"/>
        </w:rPr>
        <w:t>Г</w:t>
      </w:r>
      <w:bookmarkStart w:id="8" w:name="_Toc399517419"/>
      <w:r>
        <w:rPr>
          <w:noProof/>
          <w:sz w:val="22"/>
        </w:rPr>
        <w:t>АРАНЦИОННИ ИНСТРУМЕНТИ</w:t>
      </w:r>
      <w:bookmarkEnd w:id="2"/>
      <w:bookmarkEnd w:id="3"/>
      <w:bookmarkEnd w:id="4"/>
      <w:bookmarkEnd w:id="5"/>
      <w:bookmarkEnd w:id="8"/>
    </w:p>
    <w:tbl>
      <w:tblPr>
        <w:tblW w:w="15451" w:type="dxa"/>
        <w:tblInd w:w="-60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552"/>
        <w:gridCol w:w="2693"/>
        <w:gridCol w:w="2410"/>
        <w:gridCol w:w="2409"/>
      </w:tblGrid>
      <w:t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по отношение на МСП в рамките на CIP — SMEG07</w:t>
            </w:r>
          </w:p>
          <w:p>
            <w:pPr>
              <w:spacing w:before="60" w:after="120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(V.2.1 SWD)</w:t>
            </w:r>
          </w:p>
          <w:p>
            <w:pPr>
              <w:spacing w:before="60" w:after="120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„ВЪТРЕШЕН ПАЗАР, ПРОМИШЛЕНОСТ, ПРЕДПРИЕМАЧЕСТВО И МСП“ и „ИКОНОМИЧЕСКИ И ФИНАНСОВИ ВЪПРОСИ“</w:t>
            </w:r>
          </w:p>
        </w:tc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Европейски гаранционен механизъм за микрофинансиране „Прогрес“ — EPMF-G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(V.2.2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„ТРУДОВА ЗАЕТОСТ, СОЦИАЛНИ ВЪПРОСИ И ПРИОБЩАВАНЕ“</w:t>
            </w: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Пилотен механизъм за гарантиране по отношение на МСП и малки дружества със средна пазарна капитализация, чийто основен предмет на дейност са научните изследвания и иновациите — RSI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(V.2.5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  „НАУЧНИ ИЗСЛЕДВАНИЯ И ИНОВАЦИИ“</w:t>
            </w:r>
          </w:p>
        </w:tc>
        <w:tc>
          <w:tcPr>
            <w:tcW w:w="2410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2"/>
                <w:sz w:val="21"/>
              </w:rPr>
              <w:t>Микрофинансиране и социални предприятия</w:t>
            </w:r>
            <w: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  <w:spacing w:val="-2"/>
                <w:sz w:val="21"/>
              </w:rPr>
              <w:t>— Гаранции — EaSI-G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(V.2.3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„ТРУДОВА ЗАЕТОСТ, СОЦИАЛНИ ВЪПРОСИ И ПРИОБЩАВАНЕ“</w:t>
            </w:r>
          </w:p>
        </w:tc>
        <w:tc>
          <w:tcPr>
            <w:tcW w:w="24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на заеми по COSME — МГЗ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(V.2.4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„ВЪТРЕШЕН ПАЗАР, ПРОМИШЛЕНОСТ, ПРЕДПРИЕМАЧЕСТВО И МСП“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  <w:sz w:val="21"/>
              </w:rPr>
              <w:footnoteReference w:id="5"/>
            </w:r>
          </w:p>
        </w:tc>
      </w:tr>
      <w:tr>
        <w:trPr>
          <w:trHeight w:val="763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а) Идентификационен/</w:t>
            </w:r>
            <w:r>
              <w:rPr>
                <w:rFonts w:ascii="Times New Roman" w:hAnsi="Times New Roman"/>
                <w:b/>
                <w:noProof/>
                <w:sz w:val="21"/>
                <w:lang w:val="en-GB"/>
              </w:rPr>
              <w:br/>
            </w:r>
            <w:r>
              <w:rPr>
                <w:rFonts w:ascii="Times New Roman" w:hAnsi="Times New Roman"/>
                <w:b/>
                <w:noProof/>
                <w:sz w:val="21"/>
              </w:rPr>
              <w:t>основен акт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i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Решение № 1639/2006/ЕО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i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Решение № 283/2010/ЕС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Решение № 1982/2006/ЕО</w:t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1296/2013</w:t>
            </w:r>
          </w:p>
        </w:tc>
        <w:tc>
          <w:tcPr>
            <w:tcW w:w="2409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1287/2013</w:t>
            </w:r>
          </w:p>
        </w:tc>
      </w:tr>
      <w:tr>
        <w:trPr>
          <w:trHeight w:val="1965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б) Описание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Гаранционен инструмент за подобряване на достъпа на МСП до финансиране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Гаранционен инструмент за подобряване на достъпа на физическите лица и микропредприятията до микрофинансиране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Гаранционен инструмент за подобряване на достъпа на инвестициите в НИРД до заемно финансиране</w:t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pacing w:val="-4"/>
                <w:sz w:val="21"/>
              </w:rPr>
              <w:t>Гаранционен инструмент за насърчаване на заетостта и социалното приобщаване чрез увеличаване на достъпа до микрофинансиране и подпомагане на социалните предприятия</w:t>
            </w:r>
          </w:p>
        </w:tc>
        <w:tc>
          <w:tcPr>
            <w:tcW w:w="2409" w:type="dxa"/>
            <w:tcBorders>
              <w:lef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 за предоставяне на гаранции и други механизми за поделяне на риска с цел подобряване на достъпа на МСП до финансиране</w:t>
            </w:r>
          </w:p>
        </w:tc>
      </w:tr>
      <w:tr>
        <w:trPr>
          <w:trHeight w:val="2810"/>
        </w:trP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по отношение на МСП в рамките на CIP — SMEG07</w:t>
            </w:r>
          </w:p>
        </w:tc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Европейски гаранционен механизъм за микрофинансиране „Прогрес“ — EPMF-G</w:t>
            </w: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Пилотен механизъм за гарантиране по отношение на МСП и малки дружества със средна пазарна капитализация, чийто основен предмет на дейност са научните изследвания и иновациите — RSI</w:t>
            </w:r>
          </w:p>
        </w:tc>
        <w:tc>
          <w:tcPr>
            <w:tcW w:w="2410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Микрофинансиране и социални предприятия</w:t>
            </w:r>
            <w: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— Гаранции — EaSI-G</w:t>
            </w:r>
          </w:p>
        </w:tc>
        <w:tc>
          <w:tcPr>
            <w:tcW w:w="24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на заеми по COSME — МГЗ</w:t>
            </w:r>
          </w:p>
        </w:tc>
      </w:tr>
      <w:tr>
        <w:trPr>
          <w:trHeight w:val="683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в) Участващи финансови институции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409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</w:tr>
      <w:tr>
        <w:trPr>
          <w:trHeight w:val="851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г) Общ размер на бюджетните задължения и плащания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649,9 млн. евро</w:t>
            </w:r>
          </w:p>
          <w:p>
            <w:pPr>
              <w:pStyle w:val="ListParagraph"/>
              <w:keepNext/>
              <w:keepLines/>
              <w:spacing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424,7 млн. евро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23,6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22,5 млн. евро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270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270 млн. евро</w:t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 w:line="240" w:lineRule="auto"/>
              <w:rPr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68,8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42,2 млн. евро</w:t>
            </w:r>
          </w:p>
        </w:tc>
        <w:tc>
          <w:tcPr>
            <w:tcW w:w="2409" w:type="dxa"/>
            <w:tcBorders>
              <w:lef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375,5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183,0 млн. евро</w:t>
            </w:r>
          </w:p>
        </w:tc>
      </w:tr>
      <w:t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д) Изпълнение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Подписани са 70 споразумения с 52 финансови посредници за 23,1 млрд. евро очаквано финансиране, подкрепено от</w:t>
            </w:r>
            <w:r>
              <w:rPr>
                <w:noProof/>
              </w:rPr>
              <w:tab/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 xml:space="preserve">523,4 млн. евро гарантиран обем 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Подписани са 36 споразумения за 286,48 млн. евро очаквано финансиране, подкрепено от</w:t>
            </w:r>
            <w:r>
              <w:rPr>
                <w:noProof/>
              </w:rPr>
              <w:tab/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 xml:space="preserve">20,96 млн. евро гарантиран обем 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35 подписани споразумения; 3,3 млрд. евро очаквано финансиране за 3000 допустими крайни получатели; 2,33 млрд. евро постигнато финансиране за 4146 допустими крайни получатели 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pacing w:val="-2"/>
                <w:sz w:val="21"/>
              </w:rPr>
              <w:t>Подписани са 40 споразумения за 753,58 млн. евро очаквано финансиране за 55 815 допустими крайни получатели, подкрепено от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pacing w:val="-2"/>
                <w:sz w:val="21"/>
              </w:rPr>
              <w:t>59,41 млн. евро гарантиран обем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pacing w:val="-2"/>
                <w:sz w:val="21"/>
              </w:rPr>
              <w:t>Подписани са 40 споразумения за 157,96 млн. евро постигнато финансиране за 12 804 допустими крайни получатели, подкрепено от</w:t>
            </w:r>
            <w:r>
              <w:rPr>
                <w:noProof/>
                <w:spacing w:val="-2"/>
              </w:rPr>
              <w:tab/>
            </w:r>
            <w:r>
              <w:rPr>
                <w:rFonts w:ascii="Times New Roman" w:hAnsi="Times New Roman" w:cs="Times New Roman"/>
                <w:noProof/>
                <w:spacing w:val="-2"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pacing w:val="-2"/>
                <w:sz w:val="21"/>
              </w:rPr>
              <w:t>59,41 млн. евро гарантиран обем</w:t>
            </w:r>
          </w:p>
        </w:tc>
        <w:tc>
          <w:tcPr>
            <w:tcW w:w="2409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Подписани са 67 споразумения с 61 финансови посредници за 18,9 млрд. евро очаквано финансиране за около 291 000 МСП   </w:t>
            </w:r>
          </w:p>
        </w:tc>
      </w:tr>
      <w:tr>
        <w:trPr>
          <w:trHeight w:val="826"/>
        </w:trP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по отношение на МСП в рамките на CIP — SMEG07</w:t>
            </w:r>
          </w:p>
        </w:tc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Европейски гаранционен механизъм за микрофинансиране „Прогрес“ — EPMF-G</w:t>
            </w: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Пилотен механизъм за гарантиране по отношение на МСП и малки дружества със средна пазарна капитализация, чийто основен предмет на дейност са научните изследвания и иновациите — RSI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Микрофинансиране и социални предприятия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— Гаранции — EaSI-G</w:t>
            </w:r>
          </w:p>
        </w:tc>
        <w:tc>
          <w:tcPr>
            <w:tcW w:w="24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на заеми по COSME — МГЗ</w:t>
            </w:r>
          </w:p>
        </w:tc>
      </w:tr>
      <w:t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Над 60 %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Всички постъпления са били използвани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64,1 млн. евро</w:t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409" w:type="dxa"/>
            <w:tcBorders>
              <w:lef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trHeight w:val="625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ж) Баланс на доверителната сметка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1"/>
              </w:rPr>
              <w:footnoteReference w:id="6"/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99,6 млн. евро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9,59 млн. евро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181,8 млн. евро</w:t>
            </w:r>
            <w:r>
              <w:rPr>
                <w:rStyle w:val="FootnoteReference"/>
                <w:rFonts w:ascii="Times New Roman" w:hAnsi="Times New Roman"/>
                <w:noProof/>
                <w:sz w:val="21"/>
              </w:rPr>
              <w:footnoteReference w:id="7"/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38,8 млн. евро</w:t>
            </w:r>
          </w:p>
        </w:tc>
        <w:tc>
          <w:tcPr>
            <w:tcW w:w="2409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160,3 млн. евро</w:t>
            </w:r>
          </w:p>
        </w:tc>
      </w:tr>
      <w:tr>
        <w:trPr>
          <w:trHeight w:val="623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з) Приходи и възстановени средства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21,8 млн. евро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1,0 млн. евро общи приходи 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65,9 млн. евро</w:t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0,02 млн. евро общи приходи</w:t>
            </w:r>
          </w:p>
        </w:tc>
        <w:tc>
          <w:tcPr>
            <w:tcW w:w="2409" w:type="dxa"/>
            <w:tcBorders>
              <w:lef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0,29 млн. евро</w:t>
            </w:r>
          </w:p>
        </w:tc>
      </w:tr>
      <w:tr>
        <w:trPr>
          <w:trHeight w:val="647"/>
        </w:trP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и) Стойност на капиталовите инвестиции</w:t>
            </w: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4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trHeight w:val="826"/>
        </w:trPr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по отношение на МСП в рамките на CIP — SMEG07</w:t>
            </w:r>
          </w:p>
        </w:tc>
        <w:tc>
          <w:tcPr>
            <w:tcW w:w="255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Европейски гаранционен механизъм за микрофинансиране „Прогрес“ — EPMF-G</w:t>
            </w:r>
          </w:p>
        </w:tc>
        <w:tc>
          <w:tcPr>
            <w:tcW w:w="26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Пилотен механизъм за гарантиране по отношение на МСП и малки дружества със средна пазарна капитализация, чийто основен предмет на дейност са научните изследвания и иновациите — RSI</w:t>
            </w:r>
          </w:p>
        </w:tc>
        <w:tc>
          <w:tcPr>
            <w:tcW w:w="2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Микрофинансиране и социални предприятия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  <w:br/>
            </w: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— Гаранции — EaSI-G</w:t>
            </w:r>
          </w:p>
        </w:tc>
        <w:tc>
          <w:tcPr>
            <w:tcW w:w="240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на заеми по COSME — МГЗ</w:t>
            </w:r>
          </w:p>
        </w:tc>
      </w:tr>
      <w:tr>
        <w:trPr>
          <w:trHeight w:val="686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й) Обезценки/активирани гаранции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292,6 млн. евро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12,1 млн. евро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14,7 млн. евро</w:t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0,55 млн. евро</w:t>
            </w:r>
          </w:p>
        </w:tc>
        <w:tc>
          <w:tcPr>
            <w:tcW w:w="2409" w:type="dxa"/>
            <w:tcBorders>
              <w:lef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4,8 млн. евро</w:t>
            </w:r>
          </w:p>
        </w:tc>
      </w:tr>
      <w:tr>
        <w:trPr>
          <w:trHeight w:val="1080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к) „Ефект на лоста“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tabs>
                <w:tab w:val="num" w:pos="1080"/>
              </w:tabs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44</w:t>
            </w:r>
          </w:p>
          <w:p>
            <w:pPr>
              <w:tabs>
                <w:tab w:val="num" w:pos="1080"/>
              </w:tabs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40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6,67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12,1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9,98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12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8,5</w:t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5,5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11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2,3</w:t>
            </w:r>
          </w:p>
        </w:tc>
        <w:tc>
          <w:tcPr>
            <w:tcW w:w="2409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20 до 30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32,9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9,7</w:t>
            </w:r>
          </w:p>
        </w:tc>
      </w:tr>
      <w:tr>
        <w:trPr>
          <w:trHeight w:val="3200"/>
        </w:trPr>
        <w:tc>
          <w:tcPr>
            <w:tcW w:w="2694" w:type="dxa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л) Принос към постигането на целите на политиката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от 21,1 млрд. евро ново финансиране, достигащо до 385 772 МСП с 469 269 заема;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 за инвестиции в размер на 30,9 млрд.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23 обхванати държави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създадени/запазени 385 772 работни места.</w:t>
            </w:r>
          </w:p>
        </w:tc>
        <w:tc>
          <w:tcPr>
            <w:tcW w:w="255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от 235,63 млн. евро нови микрокредити, достигащи до 19 713 допустими крайни получатели с 20 980 заема;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Подкрепа за инвестиции в размер на 336,5 млн. евро; 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18 обхванати държави — членки на ЕС;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подкрепени 37 038 работни места.</w:t>
            </w:r>
          </w:p>
        </w:tc>
        <w:tc>
          <w:tcPr>
            <w:tcW w:w="2693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подкрепа от 2,3 млрд. евро нови заеми за финансиране, достигащи до 4 146 допустими крайни получатели; 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инвестиции в размер на почти 4,7 млрд.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17 обхванати държави.</w:t>
            </w:r>
          </w:p>
        </w:tc>
        <w:tc>
          <w:tcPr>
            <w:tcW w:w="241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157,9 млн. евро ново финансиране, достигащо до 12 804 крайни получатели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инвестиции в размер на 225,6 млн.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20 обхванати държави.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409" w:type="dxa"/>
            <w:tcBorders>
              <w:left w:val="single" w:sz="8" w:space="0" w:color="7BA0CD"/>
            </w:tcBorders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5,5 млрд. евро ново финансиране, достигащо до 143 344 крайни получатели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инвестиции в размер на 7,8 млрд.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21 обхванати държави.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noProof/>
        </w:rPr>
      </w:pPr>
    </w:p>
    <w:tbl>
      <w:tblPr>
        <w:tblW w:w="15451" w:type="dxa"/>
        <w:tblInd w:w="-60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606"/>
        <w:gridCol w:w="3199"/>
        <w:gridCol w:w="2976"/>
        <w:gridCol w:w="2840"/>
        <w:gridCol w:w="2830"/>
      </w:tblGrid>
      <w:tr>
        <w:trPr>
          <w:trHeight w:val="1960"/>
        </w:trPr>
        <w:tc>
          <w:tcPr>
            <w:tcW w:w="3606" w:type="dxa"/>
            <w:shd w:val="clear" w:color="auto" w:fill="4F81BD" w:themeFill="accent1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3199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bookmarkStart w:id="9" w:name="_Ref387223784"/>
            <w:bookmarkStart w:id="10" w:name="_Toc387228829"/>
            <w:bookmarkStart w:id="11" w:name="_Toc388541891"/>
            <w:bookmarkStart w:id="12" w:name="_Toc393281937"/>
            <w:bookmarkStart w:id="13" w:name="_Toc400446066"/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МСП и малки дружества със средна пазарна капитализация (Инструмент за кредитни услуги за научноизследователска и развойна дейност) в рамките на „Хоризонт 2020“ — InnovFin SMEG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(V.2.6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„НАУЧНИ ИЗСЛЕДВАНИЯ И ИНОВАЦИИ“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  <w:sz w:val="21"/>
              </w:rPr>
              <w:footnoteReference w:id="8"/>
            </w:r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2976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за секторите на културата и творчеството — CCSGF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 2.7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„СЪОБЩИТЕЛНИ МРЕЖИ, СЪДЪРЖАНИЕ И ТЕХНОЛОГИИ“ и „ОБРАЗОВАНИЕ, МЛАДЕЖ, СПОРТ И КУЛТУРА“</w:t>
            </w:r>
          </w:p>
        </w:tc>
        <w:tc>
          <w:tcPr>
            <w:tcW w:w="2840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на студентски заеми (програма „Еразъм+“) — МГСЗ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(V.2.8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„ОБРАЗОВАНИЕ, МЛАДЕЖ, СПОРТ И КУЛТУРА“</w:t>
            </w:r>
          </w:p>
        </w:tc>
        <w:tc>
          <w:tcPr>
            <w:tcW w:w="2830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Инструменти за частно финансиране за енергийна ефективност — PF4EE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(V.2.9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„ДЕЙСТВИЯ ПО КЛИМАТА“</w:t>
            </w:r>
          </w:p>
        </w:tc>
      </w:tr>
      <w:tr>
        <w:trPr>
          <w:trHeight w:val="558"/>
        </w:trPr>
        <w:tc>
          <w:tcPr>
            <w:tcW w:w="3606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а) Идентификационен/основен акт</w:t>
            </w:r>
          </w:p>
        </w:tc>
        <w:tc>
          <w:tcPr>
            <w:tcW w:w="3199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1291/2013 и Регламент (ЕС) № 1290/2013</w:t>
            </w:r>
          </w:p>
        </w:tc>
        <w:tc>
          <w:tcPr>
            <w:tcW w:w="297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1295/2013</w:t>
            </w:r>
          </w:p>
        </w:tc>
        <w:tc>
          <w:tcPr>
            <w:tcW w:w="284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1288/2013</w:t>
            </w:r>
          </w:p>
        </w:tc>
        <w:tc>
          <w:tcPr>
            <w:tcW w:w="283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1293/2013</w:t>
            </w:r>
          </w:p>
        </w:tc>
      </w:tr>
      <w:tr>
        <w:trPr>
          <w:trHeight w:val="1432"/>
        </w:trPr>
        <w:tc>
          <w:tcPr>
            <w:tcW w:w="3606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б) Описание</w:t>
            </w:r>
          </w:p>
        </w:tc>
        <w:tc>
          <w:tcPr>
            <w:tcW w:w="3199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Гаранционен инструмент за подобряване на достъпа до рисково финансиране на МСП, свързани с НИРД, и малки дружества със средна пазарна капитализация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Гаранционен инструмент за укрепване на конкурентоспособността на сектора на културата и творчеството, подкрепящ заеми от финансови институции за МСП, осъществяващи дейност в сектора на културата и творчеството.</w:t>
            </w:r>
          </w:p>
        </w:tc>
        <w:tc>
          <w:tcPr>
            <w:tcW w:w="2840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Гаранционен инструмент за подкрепа на мобилността, равнопоставеността и високите постижения чрез заеми за мобилност на студенти за обучение за магистърска степен</w:t>
            </w:r>
          </w:p>
        </w:tc>
        <w:tc>
          <w:tcPr>
            <w:tcW w:w="2830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Гаранционен инструмент (пилотна инициатива), предназначен да предоставя достъп до адекватно и достъпно търговско финансиране за допустими инвестиции за енергийна ефективност (EE)</w:t>
            </w:r>
          </w:p>
        </w:tc>
      </w:tr>
      <w:tr>
        <w:trPr>
          <w:trHeight w:val="506"/>
        </w:trPr>
        <w:tc>
          <w:tcPr>
            <w:tcW w:w="3606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в) Участващи финансови институции</w:t>
            </w:r>
          </w:p>
        </w:tc>
        <w:tc>
          <w:tcPr>
            <w:tcW w:w="3199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97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84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283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</w:t>
            </w:r>
          </w:p>
        </w:tc>
      </w:tr>
      <w:tr>
        <w:trPr>
          <w:trHeight w:val="1110"/>
        </w:trPr>
        <w:tc>
          <w:tcPr>
            <w:tcW w:w="3606" w:type="dxa"/>
            <w:shd w:val="clear" w:color="auto" w:fill="4F81BD" w:themeFill="accent1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3199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МСП и малки дружества със средна пазарна капитализация (Инструмент за кредитни услуги за научноизследователска и развойна дейност) в рамките на „Хоризонт 2020“ — InnovFin SMEG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  <w:sz w:val="21"/>
              </w:rPr>
              <w:footnoteReference w:id="9"/>
            </w:r>
          </w:p>
        </w:tc>
        <w:tc>
          <w:tcPr>
            <w:tcW w:w="2976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за секторите на културата и творчеството — CCSG</w:t>
            </w:r>
          </w:p>
        </w:tc>
        <w:tc>
          <w:tcPr>
            <w:tcW w:w="2840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на студентски заеми (програма „Еразъм+“) — МГСЗ</w:t>
            </w:r>
          </w:p>
        </w:tc>
        <w:tc>
          <w:tcPr>
            <w:tcW w:w="2830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Инструменти за частно финансиране за енергийна ефективност — PF4EE</w:t>
            </w:r>
          </w:p>
        </w:tc>
      </w:tr>
      <w:tr>
        <w:trPr>
          <w:trHeight w:val="684"/>
        </w:trPr>
        <w:tc>
          <w:tcPr>
            <w:tcW w:w="3606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г) Общ размер на бюджетните задължения и плащания</w:t>
            </w:r>
          </w:p>
        </w:tc>
        <w:tc>
          <w:tcPr>
            <w:tcW w:w="3199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534,5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478,2 млн. евро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14,8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5,98 млн. евро</w:t>
            </w:r>
          </w:p>
        </w:tc>
        <w:tc>
          <w:tcPr>
            <w:tcW w:w="2840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115,7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21,2 млн. евро</w:t>
            </w:r>
          </w:p>
        </w:tc>
        <w:tc>
          <w:tcPr>
            <w:tcW w:w="2830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70,0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19,1 млн. евро</w:t>
            </w:r>
          </w:p>
        </w:tc>
      </w:tr>
      <w:tr>
        <w:trPr>
          <w:trHeight w:val="684"/>
        </w:trPr>
        <w:tc>
          <w:tcPr>
            <w:tcW w:w="360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д) Изпълнение</w:t>
            </w:r>
          </w:p>
        </w:tc>
        <w:tc>
          <w:tcPr>
            <w:tcW w:w="319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109 подписани споразумения със 71 финансови посредници; Очаквано финансиране от 8,6 млрд. евро за около 24 000 МСП и дружества със средна пазарна капитализация; Постигнато финансиране от 1,94 млрд. евро за 5682 МСП и дружества със средна пазарна капитализация;</w:t>
            </w:r>
          </w:p>
        </w:tc>
        <w:tc>
          <w:tcPr>
            <w:tcW w:w="29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8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Подписани са 6 споразумения за 160,0 млн. евро очаквано финансиране за 11 500 допустими крайни получатели, подкрепено от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1"/>
              </w:rPr>
              <w:t>25,9 млн. евро гарантиран обем</w:t>
            </w:r>
          </w:p>
        </w:tc>
        <w:tc>
          <w:tcPr>
            <w:tcW w:w="283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(6 крайни получатели; 6 подписани споразумения)</w:t>
            </w:r>
          </w:p>
        </w:tc>
      </w:tr>
      <w:tr>
        <w:tc>
          <w:tcPr>
            <w:tcW w:w="3606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е) Оценка на използването на сумите, които са постъпили обратно във финансовия инструмент</w:t>
            </w:r>
          </w:p>
        </w:tc>
        <w:tc>
          <w:tcPr>
            <w:tcW w:w="3199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1,89 млн. евро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840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830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trHeight w:val="1110"/>
        </w:trPr>
        <w:tc>
          <w:tcPr>
            <w:tcW w:w="3606" w:type="dxa"/>
            <w:shd w:val="clear" w:color="auto" w:fill="4F81BD" w:themeFill="accent1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3199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МСП и малки дружества със средна пазарна капитализация (Инструмент за кредитни услуги за научноизследователска и развойна дейност) в рамките на „Хоризонт 2020“ — InnovFin SMEG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/>
                <w:sz w:val="21"/>
              </w:rPr>
              <w:footnoteReference w:id="10"/>
            </w:r>
          </w:p>
        </w:tc>
        <w:tc>
          <w:tcPr>
            <w:tcW w:w="2976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за секторите на културата и творчеството — CCSG</w:t>
            </w:r>
          </w:p>
        </w:tc>
        <w:tc>
          <w:tcPr>
            <w:tcW w:w="2840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гарантиране на студентски заеми (програма „Еразъм+“) — МГСЗ</w:t>
            </w:r>
          </w:p>
        </w:tc>
        <w:tc>
          <w:tcPr>
            <w:tcW w:w="2830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Инструменти за частно финансиране за енергийна ефективност — PF4EE</w:t>
            </w:r>
          </w:p>
        </w:tc>
      </w:tr>
      <w:tr>
        <w:tc>
          <w:tcPr>
            <w:tcW w:w="3606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ж) Баланс на доверителната сметка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1"/>
              </w:rPr>
              <w:footnoteReference w:id="11"/>
            </w:r>
          </w:p>
        </w:tc>
        <w:tc>
          <w:tcPr>
            <w:tcW w:w="3199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467 млн. евро</w:t>
            </w:r>
          </w:p>
        </w:tc>
        <w:tc>
          <w:tcPr>
            <w:tcW w:w="297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5,67 млн. евро</w:t>
            </w:r>
          </w:p>
        </w:tc>
        <w:tc>
          <w:tcPr>
            <w:tcW w:w="284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15,9 млн. евро</w:t>
            </w:r>
          </w:p>
        </w:tc>
        <w:tc>
          <w:tcPr>
            <w:tcW w:w="283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17,99 млн. евро</w:t>
            </w:r>
            <w:r>
              <w:rPr>
                <w:rFonts w:ascii="Times New Roman" w:hAnsi="Times New Roman"/>
                <w:noProof/>
                <w:highlight w:val="yellow"/>
              </w:rPr>
              <w:t xml:space="preserve"> </w:t>
            </w:r>
          </w:p>
        </w:tc>
      </w:tr>
      <w:tr>
        <w:tc>
          <w:tcPr>
            <w:tcW w:w="3606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з) Приходи и възстановени средства</w:t>
            </w:r>
          </w:p>
        </w:tc>
        <w:tc>
          <w:tcPr>
            <w:tcW w:w="3199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2,17 млн. евро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2840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0,1 млн. евро</w:t>
            </w:r>
          </w:p>
        </w:tc>
        <w:tc>
          <w:tcPr>
            <w:tcW w:w="2830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0,006 млн. евро</w:t>
            </w:r>
          </w:p>
        </w:tc>
      </w:tr>
      <w:tr>
        <w:tc>
          <w:tcPr>
            <w:tcW w:w="3606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и) Стойност на капиталовите инвестиции</w:t>
            </w:r>
          </w:p>
        </w:tc>
        <w:tc>
          <w:tcPr>
            <w:tcW w:w="3199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97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84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83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c>
          <w:tcPr>
            <w:tcW w:w="3606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й) Обезценки/активирани гаранции</w:t>
            </w:r>
          </w:p>
        </w:tc>
        <w:tc>
          <w:tcPr>
            <w:tcW w:w="3199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2,3 млн. евро</w:t>
            </w:r>
          </w:p>
        </w:tc>
        <w:tc>
          <w:tcPr>
            <w:tcW w:w="297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2840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2830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</w:tr>
      <w:tr>
        <w:tc>
          <w:tcPr>
            <w:tcW w:w="3606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к) „Ефект на лоста“</w:t>
            </w:r>
          </w:p>
        </w:tc>
        <w:tc>
          <w:tcPr>
            <w:tcW w:w="3199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9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9,6</w:t>
            </w:r>
          </w:p>
          <w:p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2,2</w:t>
            </w:r>
          </w:p>
        </w:tc>
        <w:tc>
          <w:tcPr>
            <w:tcW w:w="297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5,7</w:t>
            </w:r>
          </w:p>
        </w:tc>
        <w:tc>
          <w:tcPr>
            <w:tcW w:w="284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5,7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1,4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0,03</w:t>
            </w:r>
          </w:p>
        </w:tc>
        <w:tc>
          <w:tcPr>
            <w:tcW w:w="2830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8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13</w:t>
            </w:r>
          </w:p>
        </w:tc>
      </w:tr>
      <w:tr>
        <w:trPr>
          <w:trHeight w:val="761"/>
        </w:trPr>
        <w:tc>
          <w:tcPr>
            <w:tcW w:w="3606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i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л) Принос към постигането на целите на политиката</w:t>
            </w:r>
          </w:p>
        </w:tc>
        <w:tc>
          <w:tcPr>
            <w:tcW w:w="3199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1944 млн. евро нови заеми за финансиране, достигащи до 682 крайни получатели;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инвестиции в размер на 2,8 млрд.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689 млн. ново целево финансиране за културата и творческия сектор.</w:t>
            </w:r>
          </w:p>
        </w:tc>
        <w:tc>
          <w:tcPr>
            <w:tcW w:w="2840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3,1 млн. евро вече отпуснато финансиране за 247 студенти по магистърски програми;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Подпомагане на транснационалната мобилност за студенти по магистърски програми.</w:t>
            </w:r>
          </w:p>
        </w:tc>
        <w:tc>
          <w:tcPr>
            <w:tcW w:w="2830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Целевото финансиране от ЕИБ възлиза на 430 млн. евро, а свързаната с енергийната ефективност целева инвестиция на около 540 млн. евро;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Също така се предвижда пилотен опит за възможна модернизация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</w:p>
    <w:p>
      <w:pPr>
        <w:pStyle w:val="Heading4"/>
        <w:spacing w:before="120"/>
        <w:rPr>
          <w:noProof/>
          <w:sz w:val="22"/>
          <w:szCs w:val="22"/>
        </w:rPr>
      </w:pPr>
      <w:bookmarkStart w:id="14" w:name="_Toc399517420"/>
      <w:r>
        <w:rPr>
          <w:noProof/>
          <w:sz w:val="22"/>
        </w:rPr>
        <w:t>ИНСТРУМЕНТИ ЗА ПОДЕЛЯНЕ НА РИСКА</w:t>
      </w:r>
      <w:bookmarkEnd w:id="14"/>
    </w:p>
    <w:tbl>
      <w:tblPr>
        <w:tblStyle w:val="MediumShading1-Accent1"/>
        <w:tblW w:w="5433" w:type="pct"/>
        <w:tblInd w:w="-601" w:type="dxa"/>
        <w:tblBorders>
          <w:insideH w:val="none" w:sz="0" w:space="0" w:color="auto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2884"/>
        <w:gridCol w:w="2419"/>
        <w:gridCol w:w="2465"/>
        <w:gridCol w:w="2620"/>
        <w:gridCol w:w="2396"/>
        <w:gridCol w:w="26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  <w:shd w:val="clear" w:color="auto" w:fill="4F81BD" w:themeFill="accent1"/>
          </w:tcPr>
          <w:p>
            <w:pPr>
              <w:spacing w:line="276" w:lineRule="auto"/>
              <w:rPr>
                <w:rFonts w:ascii="Times New Roman" w:hAnsi="Times New Roman"/>
                <w:b w:val="0"/>
                <w:bCs w:val="0"/>
                <w:noProof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Механизъм за финансиране с поделяне на риска - RSFF</w:t>
            </w:r>
          </w:p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(V.3.1 SWD)</w:t>
            </w:r>
          </w:p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Отговорна генерална дирекция: „НАУЧНИ ИЗСЛЕДВАНИЯ И ИНОВАЦИИ“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 за кредитни услуги за научноизследователска и развойна дейност в рамките на „Хоризонт 2020“ — InnovFin</w:t>
            </w:r>
          </w:p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(V.3.2 SWD)</w:t>
            </w:r>
          </w:p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Отговорна генерална дирекция: „НАУЧНИ ИЗСЛЕДВАНИЯ И ИНОВАЦИИ“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Дългов инструмент за поделяне на риска по Механизма за свързване на Европа — CEF DI</w:t>
            </w:r>
          </w:p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(V. 3.3 SWD)</w:t>
            </w:r>
          </w:p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Отговорна генерална дирекция:</w:t>
            </w:r>
          </w:p>
          <w:p>
            <w:pPr>
              <w:spacing w:before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„МОБИЛНОСТ И ТРАНСПОРТ“, „ЕНЕРГЕТИКА“, „СЪОБЩИТЕЛНИ МРЕЖИ, СЪДЪРЖАНИЕ И ТЕХНОЛОГИИ“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 за финансиране на природен капитал — NCFF</w:t>
            </w:r>
          </w:p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(V.3.4 SWD)</w:t>
            </w:r>
            <w:r>
              <w:rPr>
                <w:rFonts w:ascii="Times New Roman" w:hAnsi="Times New Roman"/>
                <w:bCs w:val="0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Отговорна генерална дирекция: „ОКОЛНА СРЕДА“/„ДЕЙСТВИЯ ПО КЛИМАТА“</w:t>
            </w:r>
          </w:p>
        </w:tc>
        <w:tc>
          <w:tcPr>
            <w:tcW w:w="2667" w:type="dxa"/>
            <w:tcBorders>
              <w:lef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21"/>
              </w:rPr>
              <w:t>Инициатива за МСП</w:t>
            </w:r>
          </w:p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21"/>
              </w:rPr>
              <w:t>(V.3.5 SWD)</w:t>
            </w:r>
          </w:p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color w:val="FFFFFF" w:themeColor="background1"/>
                <w:sz w:val="21"/>
              </w:rPr>
              <w:t>Отговорна генерална дирекция: „ИКОНОМИЧЕСКИ И ФИНАНСОВИ ВЪПРОСИ“, „НАУЧНИ ИЗСЛЕДВАНИЯ И ИНОВАЦИИ“, „ВЪТРЕШЕН ПАЗАР, ПРОМИШЛЕНОСТ, ПРЕДПРИЕМАЧЕСТВО И МСП“, „РЕГИОНАЛНА И СЕЛИЩНА ПОЛИТИКА“, „ЗЕМЕДЕЛИЕ И РАЗВИТИЕ НА СЕЛСКИТЕ РАЙОНИ“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а) Идентификационен/</w:t>
            </w:r>
            <w:r>
              <w:rPr>
                <w:rFonts w:ascii="Times New Roman" w:hAnsi="Times New Roman"/>
                <w:noProof/>
                <w:sz w:val="21"/>
              </w:rPr>
              <w:br/>
              <w:t>основен акт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Решение № 1982/2006/ЕО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1291/2013 и Регламент (ЕС) № 1290/2013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№ 1316/2013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1293/2013</w:t>
            </w:r>
          </w:p>
        </w:tc>
        <w:tc>
          <w:tcPr>
            <w:tcW w:w="2667" w:type="dxa"/>
            <w:tcBorders>
              <w:lef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Регламенти (ЕС) № 1287/2013, № 1291/2013 и № 1303/2013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rPr>
                <w:rFonts w:ascii="Times New Roman" w:hAnsi="Times New Roman"/>
                <w:b w:val="0"/>
                <w:bCs w:val="0"/>
                <w:noProof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финансиране с поделяне на риска — RSFF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кредитни услуги за научноизследователска и развойна дейност в рамките на „Хоризонт 2020“ — InnovFin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Дългов инструмент за поделяне на риска по Механизма за свързване на Европа — CEF DI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финансиране на природен капитал — NCFF</w:t>
            </w:r>
          </w:p>
        </w:tc>
        <w:tc>
          <w:tcPr>
            <w:tcW w:w="2667" w:type="dxa"/>
            <w:tcBorders>
              <w:lef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 xml:space="preserve">Инициатива за МСП </w:t>
            </w:r>
          </w:p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б) Описание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Дългов финансов инструмент, насочен към подобряване на достъпа до рисково финансиране за крайните получатели за научни изследвания, развитие и иновации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Дългов финансов инструмент, насочен към подобряване на достъпа до финансиране на дълга за крайните получатели за инвестиции в НИРД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 за поделяне на риска за заеми/гаранции/облигации за проекти, предназначени за улесняване на финансирането на инфраструктурни проекти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 за поделяне на риска за финансиране на инвестиции в природния капитал, генериращи приходи</w:t>
            </w:r>
          </w:p>
        </w:tc>
        <w:tc>
          <w:tcPr>
            <w:tcW w:w="2667" w:type="dxa"/>
            <w:tcBorders>
              <w:lef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 за поделяне на риска за допълване и възползване от взаимодействията между съществуващите национални и европейски програми за подпомагане на МСП, създаващ допълнително финансиране за МСП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в) Участващи финансови институции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</w:t>
            </w:r>
          </w:p>
        </w:tc>
        <w:tc>
          <w:tcPr>
            <w:tcW w:w="2667" w:type="dxa"/>
            <w:tcBorders>
              <w:left w:val="single" w:sz="8" w:space="0" w:color="7BA0CD"/>
            </w:tcBorders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ЕИБ, ЕИФ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г) Общ размер на бюджетните задължения и плащания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960,7 млн. евро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960,7 млн. евро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796 млн. евро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786 млн. евро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688,7 млн. евро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479,4 млн. евро 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50 млн. евро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11,7 млн. евро</w:t>
            </w:r>
          </w:p>
        </w:tc>
        <w:tc>
          <w:tcPr>
            <w:tcW w:w="2667" w:type="dxa"/>
            <w:tcBorders>
              <w:lef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23,3 млн. евро</w:t>
            </w:r>
            <w:r>
              <w:rPr>
                <w:rStyle w:val="FootnoteReference"/>
                <w:rFonts w:ascii="Times New Roman" w:hAnsi="Times New Roman"/>
                <w:noProof/>
                <w:sz w:val="21"/>
              </w:rPr>
              <w:footnoteReference w:id="12"/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19,3 млн. евро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rPr>
                <w:rFonts w:ascii="Times New Roman" w:hAnsi="Times New Roman"/>
                <w:b w:val="0"/>
                <w:bCs w:val="0"/>
                <w:noProof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финансиране с поделяне на риска — RSFF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кредитни услуги за научноизследователска и развойна дейност в рамките на „Хоризонт 2020“ — InnovFin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Дългов инструмент за поделяне на риска по Механизма за свързване на Европа — CEF DI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финансиране на природен капитал — NCFF</w:t>
            </w:r>
          </w:p>
        </w:tc>
        <w:tc>
          <w:tcPr>
            <w:tcW w:w="2667" w:type="dxa"/>
            <w:tcBorders>
              <w:lef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color w:val="FFFFFF" w:themeColor="background1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 xml:space="preserve">Инициатива за МСП </w:t>
            </w:r>
          </w:p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д) Изпълнение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Подписани са споразумения за 11,3 млрд. евро очаквано финансиране за 114 допустими крайни получатели. Постигнатото финансиране за 112 допустими крайни получатели възлиза на 10,2 млрд. евро;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Подписани са споразумения за 5,9 млрд. евро очаквано финансиране за 97 допустими крайни получатели. Постигнатото финансиране за 72 допустими крайни получатели възлиза на 3,5 млрд. евро;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Проекти по слети инструменти — LGTT и PBI (подписани споразумения на стойност 13,8 млрд. евро за 11 крайни получатели); 1 транспортен проект (по предишен инструмент LGTT) рефинансиран, 1 споразумение за гаранция, сключено с банка (ноември 2016 г.), в размер на 150 млн. евро, по който обаче все още няма нови инвестиции.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операции)</w:t>
            </w:r>
          </w:p>
        </w:tc>
        <w:tc>
          <w:tcPr>
            <w:tcW w:w="2667" w:type="dxa"/>
            <w:tcBorders>
              <w:lef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— все още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е) Оценка на използването на сумите, които са постъпили обратно във финансовия инструмент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pacing w:val="-4"/>
                <w:sz w:val="21"/>
              </w:rPr>
              <w:t>476 млн. евро бяха заделени за Инструмента за кредитни услуги за научноизследователска и развойна дейност в рамките на „Хоризонт 2020“ — InnovFin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pacing w:val="-2"/>
                <w:sz w:val="21"/>
              </w:rPr>
              <w:t xml:space="preserve">6 млн. евро бяха заделени за Инструмента за кредитни услуги за научноизследователска и развойна дейност в рамките на „Хоризонт 2020“ — InnovFin 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  <w:tc>
          <w:tcPr>
            <w:tcW w:w="2667" w:type="dxa"/>
            <w:tcBorders>
              <w:lef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ж) Баланс на доверителната сметка</w:t>
            </w:r>
            <w:r>
              <w:rPr>
                <w:rStyle w:val="FootnoteReference"/>
                <w:rFonts w:ascii="Times New Roman" w:hAnsi="Times New Roman"/>
                <w:noProof/>
                <w:sz w:val="21"/>
              </w:rPr>
              <w:footnoteReference w:id="13"/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712,3 млн. евро</w:t>
            </w:r>
            <w:r>
              <w:rPr>
                <w:rStyle w:val="FootnoteReference"/>
                <w:rFonts w:ascii="Times New Roman" w:hAnsi="Times New Roman"/>
                <w:noProof/>
                <w:sz w:val="21"/>
              </w:rPr>
              <w:footnoteReference w:id="14"/>
            </w:r>
            <w:r>
              <w:rPr>
                <w:rFonts w:ascii="Times New Roman" w:hAnsi="Times New Roman"/>
                <w:noProof/>
                <w:highlight w:val="yellow"/>
              </w:rPr>
              <w:t xml:space="preserve"> 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698 млн. евро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492,9 млн. евро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10,25 млн. евро</w:t>
            </w:r>
          </w:p>
        </w:tc>
        <w:tc>
          <w:tcPr>
            <w:tcW w:w="2667" w:type="dxa"/>
            <w:tcBorders>
              <w:left w:val="single" w:sz="8" w:space="0" w:color="7BA0CD"/>
            </w:tcBorders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rPr>
                <w:rFonts w:ascii="Times New Roman" w:hAnsi="Times New Roman"/>
                <w:b w:val="0"/>
                <w:bCs w:val="0"/>
                <w:noProof/>
                <w:sz w:val="21"/>
                <w:szCs w:val="21"/>
              </w:rPr>
            </w:pP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финансиране с поделяне на риска — RSFF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кредитни услуги за научноизследователска и развойна дейност в рамките на „Хоризонт 2020“ — InnovFin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Дългов инструмент за поделяне на риска по Механизма за свързване на Европа — CEF DI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финансиране на природен капитал — NCFF</w:t>
            </w:r>
          </w:p>
        </w:tc>
        <w:tc>
          <w:tcPr>
            <w:tcW w:w="2667" w:type="dxa"/>
            <w:tcBorders>
              <w:lef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 xml:space="preserve">Инициатива за МСП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з) Приходи и възстановени средства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476 млн. евро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31,5 млн. евро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13,4 млн. евро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НП </w:t>
            </w:r>
          </w:p>
        </w:tc>
        <w:tc>
          <w:tcPr>
            <w:tcW w:w="2667" w:type="dxa"/>
            <w:tcBorders>
              <w:lef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и) Стойност на капиталовите инвестиции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  <w:tc>
          <w:tcPr>
            <w:tcW w:w="2667" w:type="dxa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 (все още няма инвестиции)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й) Обезценки / активирани гаранции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10,7 млн. евро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91,43 млн. евро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667" w:type="dxa"/>
            <w:tcBorders>
              <w:lef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0,8 млн. евро</w:t>
            </w:r>
            <w:r>
              <w:rPr>
                <w:rFonts w:ascii="Times New Roman" w:hAnsi="Times New Roman"/>
                <w:noProof/>
                <w:highlight w:val="yellow"/>
              </w:rPr>
              <w:t xml:space="preserve">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right w:val="single" w:sz="8" w:space="0" w:color="7BA0CD"/>
            </w:tcBorders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к) „Ефект на лоста“</w:t>
            </w:r>
          </w:p>
        </w:tc>
        <w:tc>
          <w:tcPr>
            <w:tcW w:w="2419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5 до 6,5</w:t>
            </w:r>
          </w:p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12</w:t>
            </w:r>
          </w:p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10,6</w:t>
            </w:r>
          </w:p>
        </w:tc>
        <w:tc>
          <w:tcPr>
            <w:tcW w:w="2465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12,5</w:t>
            </w:r>
          </w:p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7,5</w:t>
            </w:r>
          </w:p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4,5</w:t>
            </w:r>
          </w:p>
        </w:tc>
        <w:tc>
          <w:tcPr>
            <w:tcW w:w="2620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6 до 15</w:t>
            </w:r>
          </w:p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22,6</w:t>
            </w:r>
          </w:p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20,1</w:t>
            </w:r>
          </w:p>
        </w:tc>
        <w:tc>
          <w:tcPr>
            <w:tcW w:w="2396" w:type="dxa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2 до 4</w:t>
            </w:r>
          </w:p>
        </w:tc>
        <w:tc>
          <w:tcPr>
            <w:tcW w:w="2667" w:type="dxa"/>
            <w:tcBorders>
              <w:left w:val="single" w:sz="8" w:space="0" w:color="7BA0CD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7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7</w:t>
            </w:r>
          </w:p>
          <w:p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3,2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  <w:tcBorders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л) Принос към постигането на целите на политиката</w:t>
            </w:r>
          </w:p>
        </w:tc>
        <w:tc>
          <w:tcPr>
            <w:tcW w:w="24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10,2 млрд. евро ново финансиране за риск, предназначено за 112 допустими крайни получатели;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 за инвестиции в размер на 20,4 млрд. евро;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25 обхванати държави.</w:t>
            </w:r>
          </w:p>
        </w:tc>
        <w:tc>
          <w:tcPr>
            <w:tcW w:w="246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3,5 млрд. евро ново финансиране за риск, предназначено за 72 допустими крайни получатели;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 за инвестиции в размер на 10,2 млрд. евро;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23 обхванати държави.</w:t>
            </w:r>
          </w:p>
        </w:tc>
        <w:tc>
          <w:tcPr>
            <w:tcW w:w="262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 за инвестиции в размер на 13,8 млрд. евро;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7 обхванати държави.</w:t>
            </w: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</w:p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</w:p>
        </w:tc>
        <w:tc>
          <w:tcPr>
            <w:tcW w:w="239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6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Целево финансиране от 120 до 240 млн. евро за насърчаване на биологичното разнообразие и адаптирането </w:t>
            </w:r>
          </w:p>
          <w:p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към изменението на климата. </w:t>
            </w:r>
          </w:p>
        </w:tc>
        <w:tc>
          <w:tcPr>
            <w:tcW w:w="2667" w:type="dxa"/>
            <w:tcBorders>
              <w:left w:val="single" w:sz="8" w:space="0" w:color="7BA0CD"/>
              <w:bottom w:val="single" w:sz="8" w:space="0" w:color="7BA0CD"/>
            </w:tcBorders>
            <w:shd w:val="clear" w:color="auto" w:fill="FFFFFF" w:themeFill="background1"/>
          </w:tcPr>
          <w:p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Ще бъде генерирано целево финансиране от 5723 млн. евро за всички испански региони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p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noProof/>
        </w:rPr>
        <w:br w:type="page"/>
      </w:r>
    </w:p>
    <w:p>
      <w:pPr>
        <w:pStyle w:val="Heading4"/>
        <w:spacing w:before="120"/>
        <w:rPr>
          <w:noProof/>
          <w:sz w:val="22"/>
          <w:szCs w:val="22"/>
        </w:rPr>
      </w:pPr>
      <w:r>
        <w:rPr>
          <w:noProof/>
        </w:rPr>
        <w:t>С</w:t>
      </w:r>
      <w:bookmarkStart w:id="15" w:name="_Toc399517421"/>
      <w:r>
        <w:rPr>
          <w:noProof/>
        </w:rPr>
        <w:t>ПЕЦИАЛНИ ИНВЕСТИЦИОННИ МЕХАНИЗМИ</w:t>
      </w:r>
      <w:bookmarkEnd w:id="15"/>
    </w:p>
    <w:tbl>
      <w:tblPr>
        <w:tblStyle w:val="MediumShading1-Accent1"/>
        <w:tblW w:w="5433" w:type="pct"/>
        <w:tblInd w:w="-601" w:type="dxa"/>
        <w:tblBorders>
          <w:insideH w:val="none" w:sz="0" w:space="0" w:color="auto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544"/>
        <w:gridCol w:w="3829"/>
        <w:gridCol w:w="4252"/>
        <w:gridCol w:w="382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rPr>
                <w:rFonts w:ascii="Times New Roman" w:hAnsi="Times New Roman"/>
                <w:b w:val="0"/>
                <w:bCs w:val="0"/>
                <w:noProof/>
                <w:sz w:val="21"/>
                <w:szCs w:val="21"/>
              </w:rPr>
            </w:pP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Европейски гаранционен механизъм за микрофинансиране „Прогрес“ — FCP-FIS</w:t>
            </w:r>
          </w:p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(V.4.1 SWD)</w:t>
            </w:r>
          </w:p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Отговорна генерална дирекция: „ТРУДОВА ЗАЕТОСТ, СОЦИАЛНИ ВЪПРОСИ И ПРИОБЩАВАНЕ“ 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Европейски фонд 2020 г. — Marguerite</w:t>
            </w:r>
          </w:p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(V.4.2 SWD)</w:t>
            </w:r>
            <w:r>
              <w:rPr>
                <w:rFonts w:ascii="Times New Roman" w:hAnsi="Times New Roman"/>
                <w:bCs w:val="0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Отговорна генерална дирекция: „МОБИЛНОСТ И ТРАНСПОРТ“</w:t>
            </w:r>
          </w:p>
        </w:tc>
        <w:tc>
          <w:tcPr>
            <w:tcW w:w="1238" w:type="pct"/>
            <w:tcBorders>
              <w:lef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Европейски фонд за енергийна ефективност — EEEF</w:t>
            </w:r>
          </w:p>
          <w:p>
            <w:pPr>
              <w:spacing w:before="6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(V.4.3 SWD)</w:t>
            </w:r>
            <w:r>
              <w:rPr>
                <w:rFonts w:ascii="Times New Roman" w:hAnsi="Times New Roman"/>
                <w:bCs w:val="0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Отговорна генерална дирекция: „ЕНЕРГЕТИКА“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а) Идентификационен/основен акт</w:t>
            </w: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Решение № 283/2010/ЕС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 680/2007 и Решение C(2010)941</w:t>
            </w:r>
          </w:p>
        </w:tc>
        <w:tc>
          <w:tcPr>
            <w:tcW w:w="1238" w:type="pct"/>
            <w:tcBorders>
              <w:lef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1233/2010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б) Описание</w:t>
            </w: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Некорпоративна съсобственост на ценни книжа и други допустими активи, насочена към увеличаване на достъпа до микрофинансиране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Общоевропейски фонд за дялово участие, който има за цел да подкрепя успешни дългосрочни инфраструктурни инвестиции в ЕС в транспорта, енергетиката и сектора на възобновяемите енергийни източници</w:t>
            </w:r>
          </w:p>
        </w:tc>
        <w:tc>
          <w:tcPr>
            <w:tcW w:w="1238" w:type="pct"/>
            <w:tcBorders>
              <w:left w:val="single" w:sz="8" w:space="0" w:color="7BA0CD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Специализиран инвестиционен фонд (SICAV SIF) за инвестиране в проекти за енергийна ефективност, възобновяема енергия и чист градски транспорт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в) Участващи финансови институции</w:t>
            </w: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 (управляваващо дружество)</w:t>
            </w:r>
          </w:p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 (съинвеститор)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Съинвеститори: Франция (CDC), Италия (CdP), Германия (KfW), Испания (ICO) и Полша (PKO), както и ЕИБ</w:t>
            </w:r>
          </w:p>
        </w:tc>
        <w:tc>
          <w:tcPr>
            <w:tcW w:w="1238" w:type="pct"/>
            <w:tcBorders>
              <w:lef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 (упълномощен субект, инвеститор), Deutsche Bank (инвестиционен мениджър, инвеститор), CDP (инвеститор)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г) Общ размер на бюджетните задължения и плащания</w:t>
            </w: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80 млн. евро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80 млн. евро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80 млн. евро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noProof/>
                <w:sz w:val="21"/>
              </w:rPr>
              <w:t>43,7 млн. евро</w:t>
            </w:r>
          </w:p>
        </w:tc>
        <w:tc>
          <w:tcPr>
            <w:tcW w:w="1238" w:type="pct"/>
            <w:tcBorders>
              <w:left w:val="single" w:sz="8" w:space="0" w:color="7BA0CD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146,3 млн. евро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116,2 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</w:tcPr>
          <w:p>
            <w:pPr>
              <w:spacing w:before="60" w:after="120" w:line="276" w:lineRule="auto"/>
              <w:rPr>
                <w:rFonts w:ascii="Times New Roman" w:hAnsi="Times New Roman"/>
                <w:b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д) Изпълнение</w:t>
            </w:r>
          </w:p>
          <w:p>
            <w:pPr>
              <w:spacing w:line="276" w:lineRule="auto"/>
              <w:rPr>
                <w:rFonts w:ascii="Times New Roman" w:hAnsi="Times New Roman"/>
                <w:b w:val="0"/>
                <w:bCs w:val="0"/>
                <w:noProof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b w:val="0"/>
                <w:bCs w:val="0"/>
                <w:noProof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noProof/>
                <w:sz w:val="21"/>
                <w:szCs w:val="21"/>
              </w:rPr>
            </w:pP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Подписани са 50 споразумения за 402,3 млн. евро очаквано финансиране за над 60 062 допустими крайни получатели.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 Очаквано финансиране от 710 млн. евро под формата на капитал (на равнище фонд „Marguerite“) за 20 до 30 проекта; В момента се финансират 12 проекта с общ размер на собствения капитал от 455 млн. евро на ниво фондове (собствен капитал на ниво проект: 1,8 млрд. евро)</w:t>
            </w:r>
          </w:p>
        </w:tc>
        <w:tc>
          <w:tcPr>
            <w:tcW w:w="1238" w:type="pct"/>
            <w:tcBorders>
              <w:left w:val="single" w:sz="8" w:space="0" w:color="7BA0CD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Очаквано финансиране от 237 млн. евро под формата на капитал (на равнище ЕФЕЕ) за 20 до 30 проекта; Следва да се отбележи, че EEEF е отворен за нов инвеститори и може допълнително да се увеличи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Европейски гаранционен механизъм за микрофинансиране „Прогрес“ — FCP-FIS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Европейски фонд 2020 г. — Marguerite </w:t>
            </w:r>
          </w:p>
        </w:tc>
        <w:tc>
          <w:tcPr>
            <w:tcW w:w="1238" w:type="pct"/>
            <w:tcBorders>
              <w:left w:val="single" w:sz="8" w:space="0" w:color="7BA0CD"/>
            </w:tcBorders>
            <w:shd w:val="clear" w:color="auto" w:fill="4F81BD" w:themeFill="accent1"/>
          </w:tcPr>
          <w:p>
            <w:pPr>
              <w:spacing w:before="60"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Европейски фонд за енергийна ефективност — EEEF </w:t>
            </w:r>
          </w:p>
        </w:tc>
      </w:tr>
      <w:tr>
        <w:tblPrEx>
          <w:tblBorders>
            <w:insideH w:val="single" w:sz="8" w:space="0" w:color="7BA0CD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4" w:space="0" w:color="8DB3E2" w:themeColor="text2" w:themeTint="66"/>
            </w:tcBorders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1239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13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1238" w:type="pct"/>
            <w:tcBorders>
              <w:left w:val="single" w:sz="4" w:space="0" w:color="8DB3E2" w:themeColor="text2" w:themeTint="66"/>
            </w:tcBorders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blPrEx>
          <w:tblBorders>
            <w:insideH w:val="single" w:sz="8" w:space="0" w:color="7BA0CD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4" w:space="0" w:color="8DB3E2" w:themeColor="text2" w:themeTint="66"/>
            </w:tcBorders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ж) Баланс на доверителната сметка</w:t>
            </w:r>
            <w:r>
              <w:rPr>
                <w:rStyle w:val="FootnoteReference"/>
                <w:rFonts w:ascii="Times New Roman" w:hAnsi="Times New Roman"/>
                <w:noProof/>
                <w:sz w:val="21"/>
              </w:rPr>
              <w:footnoteReference w:id="15"/>
            </w:r>
          </w:p>
        </w:tc>
        <w:tc>
          <w:tcPr>
            <w:tcW w:w="1239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1376" w:type="pct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1238" w:type="pct"/>
            <w:tcBorders>
              <w:left w:val="single" w:sz="4" w:space="0" w:color="8DB3E2" w:themeColor="text2" w:themeTint="66"/>
            </w:tcBorders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 млн. евро</w:t>
            </w:r>
            <w:r>
              <w:rPr>
                <w:rFonts w:ascii="Times New Roman" w:hAnsi="Times New Roman"/>
                <w:noProof/>
                <w:highlight w:val="yellow"/>
              </w:rPr>
              <w:t xml:space="preserve">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з) Приходи и възстановени средства</w:t>
            </w: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 (от гледна точка на бюджета)</w:t>
            </w:r>
          </w:p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noProof/>
                <w:sz w:val="21"/>
              </w:rPr>
              <w:t xml:space="preserve">Забележки: </w:t>
            </w:r>
          </w:p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noProof/>
                <w:sz w:val="21"/>
              </w:rPr>
              <w:t>3,5 млн. евро приходи през 2016 г. и 16,8 млн. евро общи приходи</w:t>
            </w:r>
          </w:p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noProof/>
                <w:sz w:val="21"/>
              </w:rPr>
              <w:t>15,1 млн. евро възстановени средства през 2016 г. и 24,8 млн. евро общи приходи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1238" w:type="pct"/>
            <w:tcBorders>
              <w:left w:val="single" w:sz="8" w:space="0" w:color="7BA0CD"/>
            </w:tcBorders>
            <w:shd w:val="clear" w:color="auto" w:fill="auto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Приходи през 2016 г.: 4,5 млн. евро (неодитирана стойност)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br/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и) Стойност на капиталовите инвестиции</w:t>
            </w: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Нетна стойност: 75,1 млн. евро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Нетна стойност: 54 млн. евро</w:t>
            </w:r>
          </w:p>
        </w:tc>
        <w:tc>
          <w:tcPr>
            <w:tcW w:w="1238" w:type="pct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Нетна стойност: 97,1 млн. евро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й) Обезценки/активирани гаранции</w:t>
            </w: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1238" w:type="pct"/>
            <w:tcBorders>
              <w:left w:val="single" w:sz="8" w:space="0" w:color="7BA0CD"/>
            </w:tcBorders>
            <w:shd w:val="clear" w:color="auto" w:fill="auto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к) „Ефект на лоста“</w:t>
            </w:r>
          </w:p>
        </w:tc>
        <w:tc>
          <w:tcPr>
            <w:tcW w:w="1239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2,83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5,02</w:t>
            </w:r>
          </w:p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2,95</w:t>
            </w:r>
          </w:p>
        </w:tc>
        <w:tc>
          <w:tcPr>
            <w:tcW w:w="1376" w:type="pct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42</w:t>
            </w:r>
          </w:p>
        </w:tc>
        <w:tc>
          <w:tcPr>
            <w:tcW w:w="1238" w:type="pct"/>
            <w:tcBorders>
              <w:left w:val="single" w:sz="8" w:space="0" w:color="7BA0CD"/>
            </w:tcBorders>
            <w:shd w:val="clear" w:color="auto" w:fill="D3DFEE"/>
          </w:tcPr>
          <w:p>
            <w:pPr>
              <w:spacing w:before="6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2,2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76" w:lineRule="auto"/>
              <w:rPr>
                <w:rFonts w:ascii="Times New Roman" w:hAnsi="Times New Roman"/>
                <w:bCs w:val="0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л) Принос към постигането на целите на политиката</w:t>
            </w:r>
          </w:p>
        </w:tc>
        <w:tc>
          <w:tcPr>
            <w:tcW w:w="1239" w:type="pct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от 236,06 млн. евро ново финансиране, достигащо до 32 428 допустими крайни получатели с 35 241 микрокредита;</w:t>
            </w:r>
          </w:p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инвестиции в размер на 337,2 млн. евро;</w:t>
            </w:r>
          </w:p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16 обхванати държави — членки на ЕС.</w:t>
            </w:r>
          </w:p>
        </w:tc>
        <w:tc>
          <w:tcPr>
            <w:tcW w:w="1376" w:type="pct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от 455 млн. евро ново финансиране под формата на капитал за 12 проекта (крайни получатели);</w:t>
            </w:r>
          </w:p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инвестиции общо в размер на 5,4 млрд. евро (капитал и дългово финансиране);</w:t>
            </w:r>
          </w:p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9 обхванати държави.</w:t>
            </w:r>
          </w:p>
        </w:tc>
        <w:tc>
          <w:tcPr>
            <w:tcW w:w="1238" w:type="pct"/>
            <w:tcBorders>
              <w:left w:val="single" w:sz="8" w:space="0" w:color="7BA0CD"/>
              <w:bottom w:val="single" w:sz="8" w:space="0" w:color="7BA0CD"/>
            </w:tcBorders>
            <w:shd w:val="clear" w:color="auto" w:fill="auto"/>
          </w:tcPr>
          <w:p>
            <w:p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от 121 млн. евро ново финансиране под формата на капитал за 11 проекта, което представлява инвестиция от общо 224 млн. евро.</w:t>
            </w:r>
          </w:p>
        </w:tc>
      </w:tr>
    </w:tbl>
    <w:p>
      <w:pPr>
        <w:pStyle w:val="Heading4"/>
        <w:spacing w:before="120"/>
        <w:rPr>
          <w:noProof/>
          <w:sz w:val="22"/>
          <w:szCs w:val="22"/>
        </w:rPr>
      </w:pPr>
      <w:bookmarkStart w:id="16" w:name="_Toc420402803"/>
      <w:bookmarkStart w:id="17" w:name="_Toc420402856"/>
      <w:bookmarkStart w:id="18" w:name="_Toc420402804"/>
      <w:bookmarkStart w:id="19" w:name="_Toc420402857"/>
      <w:bookmarkStart w:id="20" w:name="_Toc399517422"/>
      <w:bookmarkEnd w:id="16"/>
      <w:bookmarkEnd w:id="17"/>
      <w:bookmarkEnd w:id="18"/>
      <w:bookmarkEnd w:id="19"/>
      <w:r>
        <w:rPr>
          <w:noProof/>
        </w:rPr>
        <w:br w:type="page"/>
      </w:r>
      <w:r>
        <w:rPr>
          <w:noProof/>
          <w:sz w:val="22"/>
        </w:rPr>
        <w:t>ФИНАНСОВИ ИНСТРУМЕНТИ В СТРАНИТЕ, УЧАСТВАЩИ В ПРОЦЕСА НА РАЗШИРЯВАНЕ</w:t>
      </w:r>
      <w:bookmarkEnd w:id="20"/>
    </w:p>
    <w:tbl>
      <w:tblPr>
        <w:tblW w:w="5433" w:type="pct"/>
        <w:tblInd w:w="-60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4285"/>
        <w:gridCol w:w="3666"/>
        <w:gridCol w:w="3683"/>
        <w:gridCol w:w="3817"/>
      </w:tblGrid>
      <w:tr>
        <w:tc>
          <w:tcPr>
            <w:tcW w:w="4285" w:type="dxa"/>
            <w:shd w:val="clear" w:color="auto" w:fill="4F81BD" w:themeFill="accent1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3666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Механизъм за гарантиране по WB EDIF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z w:val="21"/>
              </w:rPr>
              <w:footnoteReference w:id="16"/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 — GF WB 1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(V.5.1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3683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Механизъм за гарантиране II по WB EDIF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z w:val="21"/>
              </w:rPr>
              <w:footnoteReference w:id="17"/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 — GF WB 2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(V.5.2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381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Фонд за разширяване на предприятията — ENEF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z w:val="21"/>
              </w:rPr>
              <w:footnoteReference w:id="18"/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(V.5.3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„ПОЛИТИКА ЗА СЪСЕДСТВО И ПРЕГОВОРИ ЗА РАЗШИРЯВАНЕ“</w:t>
            </w:r>
          </w:p>
        </w:tc>
      </w:tr>
      <w:tr>
        <w:tc>
          <w:tcPr>
            <w:tcW w:w="4285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а) Идентификационен/основен акт</w:t>
            </w:r>
          </w:p>
        </w:tc>
        <w:tc>
          <w:tcPr>
            <w:tcW w:w="366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 1085/2006 на Съвета</w:t>
            </w:r>
          </w:p>
        </w:tc>
        <w:tc>
          <w:tcPr>
            <w:tcW w:w="3683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 231/2014</w:t>
            </w:r>
          </w:p>
        </w:tc>
        <w:tc>
          <w:tcPr>
            <w:tcW w:w="381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i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 1085/2006 на Съвета</w:t>
            </w:r>
          </w:p>
        </w:tc>
      </w:tr>
      <w:tr>
        <w:tc>
          <w:tcPr>
            <w:tcW w:w="4285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б) Описание</w:t>
            </w:r>
          </w:p>
        </w:tc>
        <w:tc>
          <w:tcPr>
            <w:tcW w:w="366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Гаранционен инструмент за създаване на условия за появата и развитието на иновационни МСП с голям потенциал в Западните Балкани</w:t>
            </w:r>
          </w:p>
        </w:tc>
        <w:tc>
          <w:tcPr>
            <w:tcW w:w="3683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Пряко продължение на GF WB EDIF 1; Гаранционен инструмент за създаване на условия за появата и развитието на иновационни МСП с голям потенциал в Западните Балкани</w:t>
            </w:r>
          </w:p>
        </w:tc>
        <w:tc>
          <w:tcPr>
            <w:tcW w:w="3817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Капиталов инструмент за финансиране на развитието и разрастването на вече съществуващи МСП в Западните Балкани</w:t>
            </w:r>
          </w:p>
        </w:tc>
      </w:tr>
      <w:tr>
        <w:trPr>
          <w:trHeight w:val="853"/>
        </w:trPr>
        <w:tc>
          <w:tcPr>
            <w:tcW w:w="4285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в) Участващи финансови институции</w:t>
            </w:r>
          </w:p>
        </w:tc>
        <w:tc>
          <w:tcPr>
            <w:tcW w:w="366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3683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</w:t>
            </w:r>
          </w:p>
        </w:tc>
        <w:tc>
          <w:tcPr>
            <w:tcW w:w="381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 (попечител)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ЕБВР, DEG, OeEB</w:t>
            </w:r>
          </w:p>
        </w:tc>
      </w:tr>
      <w:tr>
        <w:trPr>
          <w:trHeight w:val="1489"/>
        </w:trPr>
        <w:tc>
          <w:tcPr>
            <w:tcW w:w="4285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г) Общ размер на бюджетните задължения и плащания</w:t>
            </w:r>
          </w:p>
        </w:tc>
        <w:tc>
          <w:tcPr>
            <w:tcW w:w="366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21,9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21,9 млн. евро</w:t>
            </w:r>
          </w:p>
        </w:tc>
        <w:tc>
          <w:tcPr>
            <w:tcW w:w="3683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17,5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10 млн. евро</w:t>
            </w:r>
          </w:p>
        </w:tc>
        <w:tc>
          <w:tcPr>
            <w:tcW w:w="3817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11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10,4 млн. евро</w:t>
            </w:r>
          </w:p>
        </w:tc>
      </w:tr>
      <w:tr>
        <w:tc>
          <w:tcPr>
            <w:tcW w:w="4285" w:type="dxa"/>
            <w:shd w:val="clear" w:color="auto" w:fill="4F81BD" w:themeFill="accent1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3666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Механизъм за гарантиране по WB EDIF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z w:val="21"/>
              </w:rPr>
              <w:footnoteReference w:id="19"/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 — GF WB 1</w:t>
            </w:r>
          </w:p>
        </w:tc>
        <w:tc>
          <w:tcPr>
            <w:tcW w:w="3683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Механизъм за гарантиране II по WB EDIF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z w:val="21"/>
              </w:rPr>
              <w:footnoteReference w:id="20"/>
            </w: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 xml:space="preserve"> — GF WB 2</w:t>
            </w:r>
          </w:p>
        </w:tc>
        <w:tc>
          <w:tcPr>
            <w:tcW w:w="381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Фонд за разширяване на предприятията — ENEF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z w:val="21"/>
              </w:rPr>
              <w:footnoteReference w:id="21"/>
            </w:r>
          </w:p>
        </w:tc>
      </w:tr>
      <w:tr>
        <w:tc>
          <w:tcPr>
            <w:tcW w:w="4285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д) Изпълнение</w:t>
            </w:r>
          </w:p>
        </w:tc>
        <w:tc>
          <w:tcPr>
            <w:tcW w:w="366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Подписани са 6 споразумения с банки за очаквано финансиране от 117,9 млн. евро за крайни получатели</w:t>
            </w:r>
          </w:p>
        </w:tc>
        <w:tc>
          <w:tcPr>
            <w:tcW w:w="3683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Очаквано финансиране: 107 млн. евро  </w:t>
            </w:r>
          </w:p>
        </w:tc>
        <w:tc>
          <w:tcPr>
            <w:tcW w:w="381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Очаквано финансиране от (прибл.) 97 млн. евро под формата на капитал (на равнище фонд „ENEF “) за прибл. 15 крайни получатели постигнато финансиране: 475 млн. евро за 3 крайни получатели.</w:t>
            </w:r>
          </w:p>
        </w:tc>
      </w:tr>
      <w:tr>
        <w:tc>
          <w:tcPr>
            <w:tcW w:w="4285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366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0,003 млн. евро</w:t>
            </w:r>
          </w:p>
        </w:tc>
        <w:tc>
          <w:tcPr>
            <w:tcW w:w="3683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3817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trHeight w:val="450"/>
        </w:trPr>
        <w:tc>
          <w:tcPr>
            <w:tcW w:w="4285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ж) Баланс на доверителната сметка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1"/>
              </w:rPr>
              <w:footnoteReference w:id="22"/>
            </w:r>
          </w:p>
        </w:tc>
        <w:tc>
          <w:tcPr>
            <w:tcW w:w="366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19,34 млн. евро</w:t>
            </w:r>
          </w:p>
        </w:tc>
        <w:tc>
          <w:tcPr>
            <w:tcW w:w="3683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9,6 млн. евро</w:t>
            </w:r>
          </w:p>
        </w:tc>
        <w:tc>
          <w:tcPr>
            <w:tcW w:w="381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9,79 млн. евро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>
        <w:tc>
          <w:tcPr>
            <w:tcW w:w="4285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з) Приходи и възстановени средства</w:t>
            </w:r>
          </w:p>
        </w:tc>
        <w:tc>
          <w:tcPr>
            <w:tcW w:w="366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0,02 млн. евро</w:t>
            </w:r>
          </w:p>
        </w:tc>
        <w:tc>
          <w:tcPr>
            <w:tcW w:w="3683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3817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trHeight w:val="907"/>
        </w:trPr>
        <w:tc>
          <w:tcPr>
            <w:tcW w:w="4285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и) Стойност на капиталовите инвестиции</w:t>
            </w:r>
          </w:p>
        </w:tc>
        <w:tc>
          <w:tcPr>
            <w:tcW w:w="366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3683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381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1,22 млн. евро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>
        <w:tc>
          <w:tcPr>
            <w:tcW w:w="4285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й) Обезценки/активирани гаранции</w:t>
            </w:r>
          </w:p>
        </w:tc>
        <w:tc>
          <w:tcPr>
            <w:tcW w:w="366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0,51 млн. евро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3683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3817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</w:tr>
      <w:tr>
        <w:tc>
          <w:tcPr>
            <w:tcW w:w="4285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к) „Ефект на лоста“</w:t>
            </w:r>
          </w:p>
        </w:tc>
        <w:tc>
          <w:tcPr>
            <w:tcW w:w="366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7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5,4</w:t>
            </w:r>
          </w:p>
        </w:tc>
        <w:tc>
          <w:tcPr>
            <w:tcW w:w="3683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4 до 5,2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6,1</w:t>
            </w:r>
          </w:p>
        </w:tc>
        <w:tc>
          <w:tcPr>
            <w:tcW w:w="381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10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8,8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0,4</w:t>
            </w:r>
          </w:p>
        </w:tc>
      </w:tr>
      <w:tr>
        <w:trPr>
          <w:trHeight w:val="761"/>
        </w:trPr>
        <w:tc>
          <w:tcPr>
            <w:tcW w:w="4285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л) Принос към постигането на целите на политиката</w:t>
            </w:r>
          </w:p>
        </w:tc>
        <w:tc>
          <w:tcPr>
            <w:tcW w:w="3666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117,9 млн. евро постигнато финансиране за 1430 крайни получатели.</w:t>
            </w:r>
          </w:p>
        </w:tc>
        <w:tc>
          <w:tcPr>
            <w:tcW w:w="3683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Все още няма данни (6 операции с финансови посредници (банкови) в процеса на подготовка). </w:t>
            </w:r>
          </w:p>
        </w:tc>
        <w:tc>
          <w:tcPr>
            <w:tcW w:w="3817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от 4,75 млн. евро ново финансиране за 3 крайни получатели.</w:t>
            </w:r>
          </w:p>
        </w:tc>
      </w:tr>
    </w:tbl>
    <w:p>
      <w:pPr>
        <w:jc w:val="both"/>
        <w:rPr>
          <w:rFonts w:ascii="Times New Roman" w:hAnsi="Times New Roman" w:cs="Times New Roman"/>
          <w:noProof/>
        </w:rPr>
      </w:pPr>
    </w:p>
    <w:tbl>
      <w:tblPr>
        <w:tblW w:w="5433" w:type="pct"/>
        <w:tblInd w:w="-60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600"/>
        <w:gridCol w:w="2998"/>
        <w:gridCol w:w="2998"/>
        <w:gridCol w:w="2998"/>
        <w:gridCol w:w="2857"/>
      </w:tblGrid>
      <w:tr>
        <w:tc>
          <w:tcPr>
            <w:tcW w:w="3600" w:type="dxa"/>
            <w:shd w:val="clear" w:color="auto" w:fill="4F81BD" w:themeFill="accent1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998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Фонд за иновации в предприятията — ENIF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FFFFFF" w:themeColor="background1"/>
                <w:sz w:val="21"/>
              </w:rPr>
              <w:footnoteReference w:id="23"/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(V.5.4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2998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Европейски фонд за Югоизточна Европа — EFSE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(V.5.5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2998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Фонд „Екология за растеж“ — GGF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(V.5.6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„ПОЛИТИКА ЗА СЪСЕДСТВО И ПРЕГОВОРИ ЗА РАЗШИРЯВАНЕ“</w:t>
            </w:r>
          </w:p>
        </w:tc>
        <w:tc>
          <w:tcPr>
            <w:tcW w:w="285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Заем за възстановяване на МСП за Турция — RSL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(V.5.7 SWD)</w:t>
            </w:r>
          </w:p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Отговорна генерална дирекция: „ПОЛИТИКА ЗА СЪСЕДСТВО И ПРЕГОВОРИ ЗА РАЗШИРЯВАНЕ“</w:t>
            </w:r>
          </w:p>
        </w:tc>
      </w:tr>
      <w:tr>
        <w:trPr>
          <w:trHeight w:val="564"/>
        </w:trPr>
        <w:tc>
          <w:tcPr>
            <w:tcW w:w="3600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а) Идентификационен/основен акт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 1085/2006 на Съвета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 1085/2006 на Съвета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i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 1085/2006 на Съвета</w:t>
            </w:r>
          </w:p>
        </w:tc>
        <w:tc>
          <w:tcPr>
            <w:tcW w:w="285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 1085/2006 на Съвета</w:t>
            </w:r>
          </w:p>
        </w:tc>
      </w:tr>
      <w:tr>
        <w:trPr>
          <w:trHeight w:val="1296"/>
        </w:trPr>
        <w:tc>
          <w:tcPr>
            <w:tcW w:w="3600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б) Описание</w:t>
            </w:r>
          </w:p>
        </w:tc>
        <w:tc>
          <w:tcPr>
            <w:tcW w:w="2998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Капиталов инструмент за финансиране на ранен етап на иновативни МСП на Западните Балкани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Публично-частно партньорство за подпомагане развитието на частния сектор в района на разширяване чрез подкрепа за МСП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Иновационен фонд, който да предостави финансиране за проекти за енергийна ефективност и възобновяема енергия в Югоизточна Европа и Турция</w:t>
            </w:r>
          </w:p>
        </w:tc>
        <w:tc>
          <w:tcPr>
            <w:tcW w:w="2857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 за съвместно финансиране за смекчаване на въздействието на кризата и подпомагане на МСП с цел развитие на турската икономика</w:t>
            </w:r>
          </w:p>
        </w:tc>
      </w:tr>
      <w:tr>
        <w:trPr>
          <w:trHeight w:val="1004"/>
        </w:trPr>
        <w:tc>
          <w:tcPr>
            <w:tcW w:w="3600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в) Участващи финансови институции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 (попечител)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ЕБВР, KfW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 (попечител)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Други инвеститори (напр. ЕБВР, KfW, ЕИБ)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 (попечител)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Съинвеститори (например ЕИБ, ЕБВР и KfW)</w:t>
            </w:r>
          </w:p>
        </w:tc>
        <w:tc>
          <w:tcPr>
            <w:tcW w:w="285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 (партньор за поделяне на риска)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Halkbank, Akbank</w:t>
            </w:r>
          </w:p>
        </w:tc>
      </w:tr>
      <w:tr>
        <w:tc>
          <w:tcPr>
            <w:tcW w:w="3600" w:type="dxa"/>
            <w:shd w:val="clear" w:color="auto" w:fill="4F81BD" w:themeFill="accent1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998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Фонд за иновации в предприятията — ENIF</w:t>
            </w:r>
          </w:p>
        </w:tc>
        <w:tc>
          <w:tcPr>
            <w:tcW w:w="2998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Европейски фонд за Югоизточна Европа — EFSE</w:t>
            </w:r>
          </w:p>
        </w:tc>
        <w:tc>
          <w:tcPr>
            <w:tcW w:w="2998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Фонд „Екология за растеж“ — GGF</w:t>
            </w:r>
          </w:p>
        </w:tc>
        <w:tc>
          <w:tcPr>
            <w:tcW w:w="285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Заем за възстановяване на МСП за Турция — RSL</w:t>
            </w:r>
          </w:p>
        </w:tc>
      </w:tr>
      <w:tr>
        <w:trPr>
          <w:trHeight w:val="679"/>
        </w:trPr>
        <w:tc>
          <w:tcPr>
            <w:tcW w:w="3600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г) Общ размер на бюджетните задължения и плащания</w:t>
            </w:r>
          </w:p>
        </w:tc>
        <w:tc>
          <w:tcPr>
            <w:tcW w:w="2998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21,2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21,2 млн. евро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87,68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87,68 млн. евро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38,6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38,6 млн. евро</w:t>
            </w:r>
          </w:p>
        </w:tc>
        <w:tc>
          <w:tcPr>
            <w:tcW w:w="2857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30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30 млн. евро</w:t>
            </w:r>
          </w:p>
        </w:tc>
      </w:tr>
      <w:tr>
        <w:tc>
          <w:tcPr>
            <w:tcW w:w="3600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д) Изпълнение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Очаквано финансиране от 50 млн. евро под формата на капитал (на равнище фонд „ENIF“); постигнато финансиране: 1,18 млн. евро (за 5 крайни получатели)  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Дял на ЕС в размер на 113,7 млн. евро, заделени за фонд EFSE постигнато финансиране: 120 695 отпуснати заема в Югоизточна Европа и 702 790 заема, отпуснати от декември 2005 г. на обща стойност 4,3 млрд. евро.  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Дял на ЕС в размер на 38,6 млн. евро, отпуснат за фонд GGF, с очаквано финансиране от 411,7 млн. евро и постигнато финансиране от 429,9 млн. евро за 16 701 крайни получатели.</w:t>
            </w:r>
          </w:p>
        </w:tc>
        <w:tc>
          <w:tcPr>
            <w:tcW w:w="285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299,6 млн. евро вече предоставено финансиране за 265 крайни получатели</w:t>
            </w:r>
          </w:p>
        </w:tc>
      </w:tr>
      <w:tr>
        <w:tc>
          <w:tcPr>
            <w:tcW w:w="360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299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99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99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85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c>
          <w:tcPr>
            <w:tcW w:w="3600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ж) Баланс на доверителната сметка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1"/>
              </w:rPr>
              <w:footnoteReference w:id="24"/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19,6 млн. евро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85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18,06 млн. евро</w:t>
            </w:r>
          </w:p>
        </w:tc>
      </w:tr>
      <w:tr>
        <w:tc>
          <w:tcPr>
            <w:tcW w:w="3600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з) Приходи и възстановени средства</w:t>
            </w:r>
          </w:p>
        </w:tc>
        <w:tc>
          <w:tcPr>
            <w:tcW w:w="2998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857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18,06 млн. евро</w:t>
            </w:r>
          </w:p>
        </w:tc>
      </w:tr>
      <w:tr>
        <w:trPr>
          <w:trHeight w:val="675"/>
        </w:trPr>
        <w:tc>
          <w:tcPr>
            <w:tcW w:w="3600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и) Стойност на капиталовите инвестиции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0,44 млн. евро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116,7 млн. евро (на равнище EFSE)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39,3 млн. евро (на равнище GGF)</w:t>
            </w:r>
          </w:p>
        </w:tc>
        <w:tc>
          <w:tcPr>
            <w:tcW w:w="285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c>
          <w:tcPr>
            <w:tcW w:w="3600" w:type="dxa"/>
            <w:shd w:val="clear" w:color="auto" w:fill="4F81BD" w:themeFill="accent1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998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Фонд за иновации в предприятията — ENIF</w:t>
            </w:r>
          </w:p>
        </w:tc>
        <w:tc>
          <w:tcPr>
            <w:tcW w:w="2998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Европейски фонд за Югоизточна Европа — EFSE</w:t>
            </w:r>
          </w:p>
        </w:tc>
        <w:tc>
          <w:tcPr>
            <w:tcW w:w="2998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Фонд „Екология за растеж“ — GGF</w:t>
            </w:r>
          </w:p>
        </w:tc>
        <w:tc>
          <w:tcPr>
            <w:tcW w:w="285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 w:themeColor="background1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 w:themeColor="background1"/>
                <w:sz w:val="21"/>
              </w:rPr>
              <w:t>Заем за възстановяване на МСП за Турция — RSL</w:t>
            </w:r>
          </w:p>
        </w:tc>
      </w:tr>
      <w:tr>
        <w:tc>
          <w:tcPr>
            <w:tcW w:w="3600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й) Обезценки/активирани гаранции</w:t>
            </w:r>
          </w:p>
        </w:tc>
        <w:tc>
          <w:tcPr>
            <w:tcW w:w="2998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857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няма</w:t>
            </w:r>
          </w:p>
        </w:tc>
      </w:tr>
      <w:tr>
        <w:tc>
          <w:tcPr>
            <w:tcW w:w="3600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к) „Ефект на лоста“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2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0,06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49</w:t>
            </w:r>
          </w:p>
        </w:tc>
        <w:tc>
          <w:tcPr>
            <w:tcW w:w="2998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10,7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12,6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11,1</w:t>
            </w:r>
          </w:p>
        </w:tc>
        <w:tc>
          <w:tcPr>
            <w:tcW w:w="2857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10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10</w:t>
            </w:r>
          </w:p>
        </w:tc>
      </w:tr>
      <w:tr>
        <w:trPr>
          <w:trHeight w:val="761"/>
        </w:trPr>
        <w:tc>
          <w:tcPr>
            <w:tcW w:w="3600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л) Принос към постигането на целите на политиката</w:t>
            </w:r>
          </w:p>
        </w:tc>
        <w:tc>
          <w:tcPr>
            <w:tcW w:w="2998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Очаквано финансиране от 50 млн. евро под формата на капитал (на равнище фонд ENIF); постигнато финансиране: 1,18 млн. евро (за 5 крайни получатели)  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4,3 млрд. евро ново финансиране за 702 790 крайни получатели;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EFSE е международен модел за микрофинансиране (вж. работния документ на службите на Комисията).</w:t>
            </w:r>
          </w:p>
        </w:tc>
        <w:tc>
          <w:tcPr>
            <w:tcW w:w="2998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429,9 млн. евро постигнато финансиране за 16 701 крайни получатели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1 548 436 MWh/г., годишни икономии на енергия;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Намаляване на емисиите на CO</w:t>
            </w:r>
            <w:r>
              <w:rPr>
                <w:rFonts w:ascii="Times New Roman" w:hAnsi="Times New Roman"/>
                <w:noProof/>
                <w:sz w:val="21"/>
                <w:vertAlign w:val="subscript"/>
              </w:rPr>
              <w:t>2</w:t>
            </w:r>
            <w:r>
              <w:rPr>
                <w:rFonts w:ascii="Times New Roman" w:hAnsi="Times New Roman"/>
                <w:noProof/>
                <w:sz w:val="21"/>
              </w:rPr>
              <w:t xml:space="preserve"> с 389 434 тона/годишно.</w:t>
            </w:r>
          </w:p>
        </w:tc>
        <w:tc>
          <w:tcPr>
            <w:tcW w:w="2857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299,6 млн. евро ново финансиране за 265 допустими крайни получатели, предназначено за разкриването на 4000 нови работни места.</w:t>
            </w:r>
          </w:p>
        </w:tc>
      </w:tr>
    </w:tbl>
    <w:p>
      <w:pPr>
        <w:pStyle w:val="Heading4"/>
        <w:numPr>
          <w:ilvl w:val="0"/>
          <w:numId w:val="0"/>
        </w:numPr>
        <w:spacing w:before="120"/>
        <w:rPr>
          <w:noProof/>
          <w:sz w:val="22"/>
          <w:szCs w:val="22"/>
        </w:rPr>
      </w:pPr>
      <w:bookmarkStart w:id="21" w:name="_Toc399517423"/>
      <w:r>
        <w:rPr>
          <w:noProof/>
        </w:rPr>
        <w:br w:type="page"/>
      </w:r>
      <w:r>
        <w:rPr>
          <w:noProof/>
          <w:sz w:val="22"/>
        </w:rPr>
        <w:t>Е - ФИНАНСОВИ ИНСТРУМЕНТИ ЗА ДЪРЖАВИТЕ, ОБХВАНАТИ ОТ ПОЛИТИКАТА НА ДОБРОСЪСЕДСТВО, И ДЪРЖАВИТЕ ПО ИСР</w:t>
      </w:r>
      <w:bookmarkEnd w:id="21"/>
    </w:p>
    <w:tbl>
      <w:tblPr>
        <w:tblW w:w="15451" w:type="dxa"/>
        <w:tblInd w:w="-60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2694"/>
        <w:gridCol w:w="1984"/>
        <w:gridCol w:w="2126"/>
        <w:gridCol w:w="1985"/>
        <w:gridCol w:w="2551"/>
      </w:tblGrid>
      <w:tr>
        <w:trPr>
          <w:trHeight w:val="2495"/>
        </w:trPr>
        <w:tc>
          <w:tcPr>
            <w:tcW w:w="212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  <w:sz w:val="21"/>
              </w:rPr>
              <w:t>Механизъм за инвестиции по линия на добросъседството — NIF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  <w:sz w:val="21"/>
              </w:rPr>
              <w:t>(V.6.1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pacing w:val="-6"/>
                <w:sz w:val="21"/>
              </w:rPr>
              <w:t>Отговорна генерална дирекция: „ПОЛИТИКА ЗА СЪСЕДСТВО И ПРЕГОВОРИ ЗА РАЗШИРЯВАНЕ</w:t>
            </w: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“</w:t>
            </w:r>
          </w:p>
        </w:tc>
        <w:tc>
          <w:tcPr>
            <w:tcW w:w="269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инвестиции в Централна Азия — IFCA и механизъм за инвестиции в Азия — AIF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(V.6.2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„МЕЖДУНАРОДНО СЪТРУДНИЧЕСТВО И РАЗВИТИЕ“</w:t>
            </w: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инвестиции в Латинска Америка — LAIF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(V.6.3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„МЕЖДУНАРОДНО СЪТРУДНИЧЕСТВО И РАЗВИТИЕ“</w:t>
            </w:r>
          </w:p>
        </w:tc>
        <w:tc>
          <w:tcPr>
            <w:tcW w:w="2126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Подкрепа за Инструмента за FEMIP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(V.6.4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„ПОЛИТИКА ЗА СЪСЕДСТВО И ПРЕГОВОРИ ЗА РАЗШИРЯВАНЕ“</w:t>
            </w:r>
          </w:p>
        </w:tc>
        <w:tc>
          <w:tcPr>
            <w:tcW w:w="1985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GEEREF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(V.6.5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„МЕЖДУНАРОДНО СЪТРУДНИЧЕСТВО И РАЗВИТИЕ“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Тематично съчетаване (ElectriFI, AgriFI, изменение на климата)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(V.6.6 SWD)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Отговорна генерална дирекция: „МЕЖДУНАРОДНО СЪТРУДНИЧЕСТВО И РАЗВИТИЕ“</w:t>
            </w:r>
          </w:p>
        </w:tc>
      </w:tr>
      <w:tr>
        <w:trPr>
          <w:trHeight w:val="4531"/>
        </w:trPr>
        <w:tc>
          <w:tcPr>
            <w:tcW w:w="2127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а) Идентификационен/основен акт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 (ЕО) № 1638/2006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232/2014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236/2014</w:t>
            </w:r>
          </w:p>
        </w:tc>
        <w:tc>
          <w:tcPr>
            <w:tcW w:w="2694" w:type="dxa"/>
            <w:shd w:val="clear" w:color="auto" w:fill="D3DFEE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 (ЕО) № 1905/2006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233/2014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236/2014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 1905/2006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233/2014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236/2014</w:t>
            </w:r>
          </w:p>
        </w:tc>
        <w:tc>
          <w:tcPr>
            <w:tcW w:w="2126" w:type="dxa"/>
            <w:shd w:val="clear" w:color="auto" w:fill="D3DFEE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 (ЕО) № 1638/2006</w:t>
            </w:r>
          </w:p>
        </w:tc>
        <w:tc>
          <w:tcPr>
            <w:tcW w:w="1985" w:type="dxa"/>
            <w:shd w:val="clear" w:color="auto" w:fill="D3DFEE"/>
          </w:tcPr>
          <w:p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 (ЕО) № 1905/2006</w:t>
            </w:r>
          </w:p>
          <w:p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 233/2014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 (ЕС) № 236/2014</w:t>
            </w:r>
          </w:p>
        </w:tc>
        <w:tc>
          <w:tcPr>
            <w:tcW w:w="2551" w:type="dxa"/>
            <w:shd w:val="clear" w:color="auto" w:fill="D3DFEE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(ЕО) № 1905/2006</w:t>
            </w:r>
          </w:p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233/2014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Регламент (ЕС) № 236/2014</w:t>
            </w:r>
          </w:p>
        </w:tc>
      </w:tr>
      <w:tr>
        <w:tc>
          <w:tcPr>
            <w:tcW w:w="212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инвестиции по линия на добросъседството — NIF</w:t>
            </w:r>
          </w:p>
        </w:tc>
        <w:tc>
          <w:tcPr>
            <w:tcW w:w="269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инвестиции в Централна Азия — IFCA и механизъм за инвестиции в Азия — AIF</w:t>
            </w: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инвестиции в Латинска Америка — LAIF</w:t>
            </w:r>
          </w:p>
        </w:tc>
        <w:tc>
          <w:tcPr>
            <w:tcW w:w="2126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Подкрепа за Инструмента за FEMIP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GEEREF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Тематично съчетаване (ElectriFI, AgriFI, изменение на климата)</w:t>
            </w:r>
          </w:p>
        </w:tc>
      </w:tr>
      <w:tr>
        <w:trPr>
          <w:trHeight w:val="7366"/>
        </w:trPr>
        <w:tc>
          <w:tcPr>
            <w:tcW w:w="2127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б) Описание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 за насърчаване на инвестиции с акцент върху енергетиката, транспорта, околната среда, МСП и социално-икономическото развитие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IFCA: Инструмент за насърчаване на инвестиции и възлови инфраструктури с акцент върху енергетиката и околната среда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AIF: Инструмент за насърчаване на инвестиции и ключови инфраструктури с акцент върху изменението на климата, „зелените“ инвестиции, МСП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Инструмент, който има за цел насърчаването на инвестициите и инфраструктури в сектори като транспорта, енергетиката, околната среда и социалния сектор в Латинска Америка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Инструмент за осигуряване на капитал за частния сектор при условия, които не са налични на местно равнище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Механизъм за финансиране, чиято цел е да се насърчават проекти за енергийна ефективност и възобновяема енергия чрез регионални фондове за дялово участие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ElectriFI има за цел да преодолее пропуските в структурирането и финансирането на инвестициите, като подобри достъпа до чисти, надеждни и достъпни електроенергийни и енергийни услуги по целия свят. Основната цел на AgriFI е развиването на приобщаващи и устойчиви вериги за създаване на стойност, основани на селското стопанство. Действията в областта на изменението на климата са насочени към разработването на местни стратегии за климата в планове за действие, бюджети и инвестиционни проекти. </w:t>
            </w:r>
          </w:p>
        </w:tc>
      </w:tr>
      <w:tr>
        <w:tc>
          <w:tcPr>
            <w:tcW w:w="212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инвестиции по линия на добросъседството — NIF</w:t>
            </w:r>
          </w:p>
        </w:tc>
        <w:tc>
          <w:tcPr>
            <w:tcW w:w="269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инвестиции в Централна Азия — IFCA и механизъм за инвестиции в Азия — AIF</w:t>
            </w: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инвестиции в Латинска Америка — LAIF</w:t>
            </w:r>
          </w:p>
        </w:tc>
        <w:tc>
          <w:tcPr>
            <w:tcW w:w="2126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Подкрепа за Инструмента за FEMIP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GEEREF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Тематично съчетаване (ElectriFI, AgriFI, изменение на климата)</w:t>
            </w:r>
          </w:p>
        </w:tc>
      </w:tr>
      <w:tr>
        <w:trPr>
          <w:trHeight w:val="1838"/>
        </w:trPr>
        <w:tc>
          <w:tcPr>
            <w:tcW w:w="2127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 xml:space="preserve">в) Участващи финансови институции </w:t>
            </w:r>
            <w:r>
              <w:rPr>
                <w:rFonts w:ascii="Times New Roman" w:hAnsi="Times New Roman"/>
                <w:i/>
                <w:noProof/>
                <w:sz w:val="21"/>
              </w:rPr>
              <w:t>(водещи финансови институции за инструменти по ИСР)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ЕИБ, ЕБВР, CEB, NIB, NEFCO, AFD, KfW, AECID, SIMEST</w:t>
            </w:r>
          </w:p>
        </w:tc>
        <w:tc>
          <w:tcPr>
            <w:tcW w:w="269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ЕИБ, ЕБВР, KfW, AFD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EИБ, AFD, AECID, KfW</w:t>
            </w:r>
          </w:p>
        </w:tc>
        <w:tc>
          <w:tcPr>
            <w:tcW w:w="2126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</w:t>
            </w:r>
          </w:p>
        </w:tc>
        <w:tc>
          <w:tcPr>
            <w:tcW w:w="1985" w:type="dxa"/>
            <w:shd w:val="clear" w:color="auto" w:fill="D3DFEE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ЕИФ (попечител)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ЕИБ,</w:t>
            </w:r>
          </w:p>
        </w:tc>
        <w:tc>
          <w:tcPr>
            <w:tcW w:w="2551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AFD, FMO, KfW, PROPARCO</w:t>
            </w:r>
          </w:p>
        </w:tc>
      </w:tr>
      <w:tr>
        <w:trPr>
          <w:trHeight w:val="1516"/>
        </w:trPr>
        <w:tc>
          <w:tcPr>
            <w:tcW w:w="2127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г) Общ размер на бюджетните задължения и плащания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1678,64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757,17 млн. евро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349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(IFCA: 166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AIF: 183 млн. евро)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132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(IFCA: 82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AIF: 50 млн. евро)</w:t>
            </w:r>
          </w:p>
        </w:tc>
        <w:tc>
          <w:tcPr>
            <w:tcW w:w="1984" w:type="dxa"/>
            <w:shd w:val="clear" w:color="auto" w:fill="auto"/>
          </w:tcPr>
          <w:p>
            <w:pPr>
              <w:shd w:val="clear" w:color="auto" w:fill="FFFFFF"/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305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305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Елемент във връзка с изменението на климата: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17,3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15,8 млн. евро</w:t>
            </w:r>
          </w:p>
        </w:tc>
        <w:tc>
          <w:tcPr>
            <w:tcW w:w="2126" w:type="dxa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224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224 млн. евро</w:t>
            </w:r>
          </w:p>
        </w:tc>
        <w:tc>
          <w:tcPr>
            <w:tcW w:w="1985" w:type="dxa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81,1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79,5 млн. евро</w:t>
            </w:r>
          </w:p>
        </w:tc>
        <w:tc>
          <w:tcPr>
            <w:tcW w:w="2551" w:type="dxa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270,3 млн. евро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34,9 млн. евро</w:t>
            </w:r>
          </w:p>
        </w:tc>
      </w:tr>
      <w:tr>
        <w:trPr>
          <w:trHeight w:val="684"/>
        </w:trPr>
        <w:tc>
          <w:tcPr>
            <w:tcW w:w="2127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д) Изпълнение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16,95 млрд. евро одобрено финансиране за 123 проекта.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269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pacing w:val="-2"/>
                <w:sz w:val="21"/>
              </w:rPr>
              <w:t xml:space="preserve">4,1 млрд. евро общо финансирани инвестиции, от които е одобрено финансиране в размер на 2672 млн. евро (285 млн. евро вноска от ЕС — IFCA 143 млн. евро, AIF 142 млн. евро - + 2387 млн. евро — IFCA 605 млн. евро, AIF 1782 млн. евро) чрез европейските финансови институции за 46 проекта (IFCA: 22, AIF: 24). 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7</w:t>
            </w:r>
            <w:r>
              <w:rPr>
                <w:rFonts w:ascii="Times New Roman" w:hAnsi="Times New Roman"/>
                <w:noProof/>
                <w:spacing w:val="-2"/>
                <w:sz w:val="21"/>
              </w:rPr>
              <w:t>,5 млрд. евро общо финансирани инвестиции, от които е одобрено финансиране в размер на 3946 млн. евро (274 млн. евро вноска от ЕС +  3672 млн. евро) чрез европейските финансови институции за 33 проекта.</w:t>
            </w:r>
          </w:p>
        </w:tc>
        <w:tc>
          <w:tcPr>
            <w:tcW w:w="2126" w:type="dxa"/>
            <w:shd w:val="clear" w:color="auto" w:fill="D3DFEE"/>
          </w:tcPr>
          <w:p>
            <w:pPr>
              <w:spacing w:before="60" w:after="120" w:line="240" w:lineRule="auto"/>
              <w:ind w:right="57"/>
              <w:contextualSpacing/>
              <w:rPr>
                <w:rFonts w:ascii="Times New Roman" w:hAnsi="Times New Roman" w:cs="Times New Roman"/>
                <w:noProof/>
                <w:sz w:val="4"/>
                <w:szCs w:val="21"/>
              </w:rPr>
            </w:pPr>
          </w:p>
          <w:p>
            <w:pPr>
              <w:spacing w:before="60" w:after="120" w:line="240" w:lineRule="auto"/>
              <w:ind w:right="57"/>
              <w:contextualSpacing/>
              <w:rPr>
                <w:rFonts w:ascii="Times New Roman" w:hAnsi="Times New Roman" w:cs="Times New Roman"/>
                <w:noProof/>
                <w:spacing w:val="-4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pacing w:val="-4"/>
                <w:sz w:val="21"/>
              </w:rPr>
              <w:t>33,1 млн. евро бяха отпуснати за операции за техническа помощ; 180,3 млн. евро финансиране, отпуснато за 28 операции с рисков капитал за проекти на обща стойност от почти 4,4 млрд. евро; Съфинансиране от ЕИБ с 2,3 млрд. евро.</w:t>
            </w:r>
          </w:p>
        </w:tc>
        <w:tc>
          <w:tcPr>
            <w:tcW w:w="1985" w:type="dxa"/>
            <w:shd w:val="clear" w:color="auto" w:fill="D3DFEE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222 млн. евро очаквано финансиране за допустими проекти; постигнато финансиране: 148 млн. евро за 84 проекта. 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 </w:t>
            </w:r>
          </w:p>
        </w:tc>
        <w:tc>
          <w:tcPr>
            <w:tcW w:w="2551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все още не е наличен; първи договор, сключен по линия на ElectriFI на европейските финансови институции за развитие, за инвестиране на 2,5 млн. щатски долара в конвертируеми облигации в проект в Хаити.</w:t>
            </w:r>
          </w:p>
        </w:tc>
      </w:tr>
      <w:tr>
        <w:tc>
          <w:tcPr>
            <w:tcW w:w="212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инвестиции по линия на добросъседството — NIF</w:t>
            </w:r>
          </w:p>
        </w:tc>
        <w:tc>
          <w:tcPr>
            <w:tcW w:w="269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инвестиции в Централна Азия — IFCA и механизъм за инвестиции в Азия — AIF</w:t>
            </w: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инвестиции в Латинска Америка — LAIF</w:t>
            </w:r>
          </w:p>
        </w:tc>
        <w:tc>
          <w:tcPr>
            <w:tcW w:w="2126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Подкрепа за Инструмента за FEMIP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GEEREF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Тематично съчетаване (ElectriFI, AgriFI, изменение на климата)</w:t>
            </w:r>
          </w:p>
        </w:tc>
      </w:tr>
      <w:tr>
        <w:trPr>
          <w:trHeight w:val="823"/>
        </w:trPr>
        <w:tc>
          <w:tcPr>
            <w:tcW w:w="2127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е) Оценка на използването на сумите, които са постъпили обратно във финансовия инструмент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126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1985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551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trHeight w:val="947"/>
        </w:trPr>
        <w:tc>
          <w:tcPr>
            <w:tcW w:w="212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ж) Баланс на доверителната сметка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1"/>
              </w:rPr>
              <w:footnoteReference w:id="25"/>
            </w:r>
          </w:p>
        </w:tc>
        <w:tc>
          <w:tcPr>
            <w:tcW w:w="19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Вж. подробности за 10 различни доверителни сметки в работен документ 2 на службите на Комисията, раздел 6.1</w:t>
            </w:r>
          </w:p>
        </w:tc>
        <w:tc>
          <w:tcPr>
            <w:tcW w:w="269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MIFA „Дългов фонд“ (по линия на IFCA и AIF): 9,23 млн. евро</w:t>
            </w:r>
          </w:p>
        </w:tc>
        <w:tc>
          <w:tcPr>
            <w:tcW w:w="19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1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45,37 млн. евро </w:t>
            </w:r>
          </w:p>
        </w:tc>
        <w:tc>
          <w:tcPr>
            <w:tcW w:w="19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73,58 млн. евро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30,3 млн. евро</w:t>
            </w:r>
          </w:p>
        </w:tc>
      </w:tr>
      <w:tr>
        <w:tc>
          <w:tcPr>
            <w:tcW w:w="2127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з) Приходи и възстановени средства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126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13,7 млн. евро</w:t>
            </w:r>
          </w:p>
        </w:tc>
        <w:tc>
          <w:tcPr>
            <w:tcW w:w="1985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551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c>
          <w:tcPr>
            <w:tcW w:w="2127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и) Стойност на капиталовите инвестиции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pacing w:val="-6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pacing w:val="-6"/>
                <w:sz w:val="21"/>
              </w:rPr>
              <w:t>SANAD: 8,76 млн. долара</w:t>
            </w:r>
            <w:r>
              <w:rPr>
                <w:rFonts w:ascii="Times New Roman" w:hAnsi="Times New Roman" w:cs="Times New Roman"/>
                <w:noProof/>
                <w:spacing w:val="-6"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pacing w:val="-6"/>
                <w:sz w:val="21"/>
              </w:rPr>
              <w:t>EFSE: 4,80 млн. евро</w:t>
            </w:r>
            <w:r>
              <w:rPr>
                <w:rFonts w:ascii="Times New Roman" w:hAnsi="Times New Roman"/>
                <w:noProof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6"/>
              </w:rPr>
              <w:br/>
            </w:r>
            <w:r>
              <w:rPr>
                <w:rFonts w:ascii="Times New Roman" w:hAnsi="Times New Roman"/>
                <w:noProof/>
                <w:spacing w:val="-6"/>
              </w:rPr>
              <w:t>GGF: 9,94 млн. евро</w:t>
            </w:r>
          </w:p>
        </w:tc>
        <w:tc>
          <w:tcPr>
            <w:tcW w:w="269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9,23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(MIFA, вж. по-горе)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126" w:type="dxa"/>
            <w:shd w:val="clear" w:color="auto" w:fill="D3DFEE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81,4 млн. евро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72,3 млн. евро</w:t>
            </w:r>
          </w:p>
        </w:tc>
        <w:tc>
          <w:tcPr>
            <w:tcW w:w="2551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c>
          <w:tcPr>
            <w:tcW w:w="2127" w:type="dxa"/>
            <w:shd w:val="clear" w:color="auto" w:fill="4F81BD" w:themeFill="accent1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инвестиции по линия на добросъседството — NIF</w:t>
            </w:r>
          </w:p>
        </w:tc>
        <w:tc>
          <w:tcPr>
            <w:tcW w:w="269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Механизъм за инвестиции в Централна Азия — IFCA и механизъм за инвестиции в Азия — AIF</w:t>
            </w:r>
          </w:p>
        </w:tc>
        <w:tc>
          <w:tcPr>
            <w:tcW w:w="1984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Инструмент за инвестиции в Латинска Америка — LAIF</w:t>
            </w:r>
          </w:p>
        </w:tc>
        <w:tc>
          <w:tcPr>
            <w:tcW w:w="2126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Подкрепа за Инструмента за FEMIP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GEEREF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4F81BD" w:themeFill="accent1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FFFFFF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1"/>
              </w:rPr>
              <w:t>Тематично съчетаване (ElectriFI, AgriFI, изменение на климата)</w:t>
            </w:r>
          </w:p>
        </w:tc>
      </w:tr>
      <w:tr>
        <w:tc>
          <w:tcPr>
            <w:tcW w:w="2127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й) Обезценки/активирани гаранции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0 EUR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126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8,9 млн. евро</w:t>
            </w:r>
          </w:p>
        </w:tc>
        <w:tc>
          <w:tcPr>
            <w:tcW w:w="1985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  <w:tc>
          <w:tcPr>
            <w:tcW w:w="2551" w:type="dxa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НП</w:t>
            </w:r>
          </w:p>
        </w:tc>
      </w:tr>
      <w:tr>
        <w:trPr>
          <w:trHeight w:val="1174"/>
        </w:trPr>
        <w:tc>
          <w:tcPr>
            <w:tcW w:w="2127" w:type="dxa"/>
            <w:shd w:val="clear" w:color="auto" w:fill="D3DFEE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к) „Ефект на лоста“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4—5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Очакван: 6,48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9,1</w:t>
            </w:r>
          </w:p>
        </w:tc>
        <w:tc>
          <w:tcPr>
            <w:tcW w:w="269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4—5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14,4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(IFCA: 6,9 — AIF: 22,2)</w:t>
            </w:r>
          </w:p>
        </w:tc>
        <w:tc>
          <w:tcPr>
            <w:tcW w:w="1984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4—5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Постигнат: 27,5</w:t>
            </w:r>
          </w:p>
        </w:tc>
        <w:tc>
          <w:tcPr>
            <w:tcW w:w="2126" w:type="dxa"/>
            <w:shd w:val="clear" w:color="auto" w:fill="D3DFEE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 (2007—2014 г.): 6,0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Постигнат (2014 г.): 26,8</w:t>
            </w:r>
          </w:p>
        </w:tc>
        <w:tc>
          <w:tcPr>
            <w:tcW w:w="1985" w:type="dxa"/>
            <w:shd w:val="clear" w:color="auto" w:fill="D3DFEE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i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Целеви: 2,7</w:t>
            </w: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noProof/>
                <w:sz w:val="21"/>
              </w:rPr>
              <w:t>Постигнат: 2,7</w:t>
            </w:r>
            <w:r>
              <w:rPr>
                <w:rFonts w:ascii="Times New Roman" w:hAnsi="Times New Roman" w:cs="Times New Roman"/>
                <w:i/>
                <w:noProof/>
                <w:sz w:val="21"/>
                <w:szCs w:val="21"/>
              </w:rPr>
              <w:br/>
            </w:r>
            <w:r>
              <w:rPr>
                <w:rFonts w:ascii="Times New Roman" w:hAnsi="Times New Roman"/>
                <w:i/>
                <w:noProof/>
                <w:sz w:val="21"/>
              </w:rPr>
              <w:t>(на равнище фонд на фондовете — равнище на първа вноска)</w:t>
            </w:r>
          </w:p>
        </w:tc>
        <w:tc>
          <w:tcPr>
            <w:tcW w:w="2551" w:type="dxa"/>
            <w:shd w:val="clear" w:color="auto" w:fill="D3DFEE"/>
          </w:tcPr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 xml:space="preserve">Целеви ElectriFI: 7,4 </w:t>
            </w:r>
          </w:p>
          <w:p>
            <w:pPr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Целеви AgriFI: 7,8</w:t>
            </w:r>
          </w:p>
        </w:tc>
      </w:tr>
      <w:tr>
        <w:trPr>
          <w:trHeight w:val="2017"/>
        </w:trPr>
        <w:tc>
          <w:tcPr>
            <w:tcW w:w="2127" w:type="dxa"/>
            <w:shd w:val="clear" w:color="auto" w:fill="auto"/>
          </w:tcPr>
          <w:p>
            <w:pPr>
              <w:spacing w:before="60" w:after="120"/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л) Принос към постигането на целите на политиката</w:t>
            </w:r>
          </w:p>
        </w:tc>
        <w:tc>
          <w:tcPr>
            <w:tcW w:w="198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инвестиции в размер на 29,22 млрд. евро (общо разходи за проекти);</w:t>
            </w:r>
          </w:p>
          <w:p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122 финансирани проекта, представляващи 16,95 млрд. постигнато финансиране.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ListParagraph"/>
              <w:spacing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Подкрепа за инвестиции в размер на 4,1 млрд. евро (IFCA: 970 млн. евро,</w:t>
            </w:r>
          </w:p>
          <w:p>
            <w:pPr>
              <w:pStyle w:val="ListParagraph"/>
              <w:spacing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AIF: 3152 млн. евро);</w:t>
            </w:r>
          </w:p>
          <w:p>
            <w:pPr>
              <w:pStyle w:val="ListParagraph"/>
              <w:spacing w:after="120" w:line="240" w:lineRule="auto"/>
              <w:ind w:left="0"/>
              <w:rPr>
                <w:noProof/>
                <w:sz w:val="21"/>
                <w:szCs w:val="21"/>
              </w:rPr>
            </w:pPr>
          </w:p>
          <w:p>
            <w:pPr>
              <w:pStyle w:val="ListParagraph"/>
              <w:spacing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17 обхванати държави (IFCA: 5, AIF: 12).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инвестиции в размер на повече от 7,5 млрд. евро;</w:t>
            </w:r>
          </w:p>
          <w:p>
            <w:pPr>
              <w:pStyle w:val="ListParagraph"/>
              <w:spacing w:after="120" w:line="240" w:lineRule="auto"/>
              <w:ind w:left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11 обхванати държави.</w:t>
            </w:r>
          </w:p>
        </w:tc>
        <w:tc>
          <w:tcPr>
            <w:tcW w:w="2126" w:type="dxa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Подкрепа за инвестиции в размер на почти 4,4 млрд. евро;</w:t>
            </w:r>
          </w:p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6 обхванати държави.</w:t>
            </w:r>
          </w:p>
        </w:tc>
        <w:tc>
          <w:tcPr>
            <w:tcW w:w="1985" w:type="dxa"/>
          </w:tcPr>
          <w:p>
            <w:pPr>
              <w:pStyle w:val="ListParagraph"/>
              <w:spacing w:after="120" w:line="240" w:lineRule="auto"/>
              <w:ind w:left="0" w:right="57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</w:rPr>
              <w:t>148 млн. евро ново финансиране, инвестирани в 11 регионални фонда за дялово участие или корпоративни фонда; Подкрепа за инвестиции/проекти в размер на приблизително 3 млрд. евро.</w:t>
            </w:r>
          </w:p>
        </w:tc>
        <w:tc>
          <w:tcPr>
            <w:tcW w:w="2551" w:type="dxa"/>
          </w:tcPr>
          <w:p>
            <w:pPr>
              <w:spacing w:before="60" w:after="120" w:line="240" w:lineRule="auto"/>
              <w:ind w:right="57"/>
              <w:rPr>
                <w:rFonts w:ascii="Times New Roman" w:hAnsi="Times New Roman" w:cs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</w:rPr>
              <w:t>Потенциалната инвестиция, свързана с предложенията, останали досега в рамките на ElectriFI на европейските финансови институции за развитие, възлиза на 26,6 млн. евро, при инсталирана мощност от 38,3 MW.</w:t>
            </w:r>
          </w:p>
        </w:tc>
      </w:tr>
    </w:tbl>
    <w:p>
      <w:pPr>
        <w:rPr>
          <w:rFonts w:ascii="Times New Roman" w:hAnsi="Times New Roman" w:cs="Times New Roman"/>
          <w:noProof/>
          <w:sz w:val="20"/>
          <w:szCs w:val="20"/>
        </w:rPr>
      </w:pPr>
    </w:p>
    <w:sectPr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 w:code="9"/>
      <w:pgMar w:top="1417" w:right="1417" w:bottom="1417" w:left="1417" w:header="708" w:footer="708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Действащият Финансов регламент и неговите правила за прилагане се нуждаят от единен подход при докладването за „ефекта на лоста“. Тъй като разпоредбите, свързани с финансовите инструменти, влязоха в сила от януари 2014 г., подходът ще бъде приложен само по отношение на финансовите инструменти за периода 2014—2020 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Включително всички активи: текущи и нетекущи срочни депозити и облигации, капиталови инвестиции и чуждестранни валути, държани по сметките на финансовия инструмент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Стойността на целевия ефект на лоста се отнася за предвидените инвестиции за финансовите посредници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Данни, включващи ЕФСИ, за повече подробности вж. работния документ на службите на Комисията документ. 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Включително всички активи: текущи и нетекущи срочни депозити и облигации, капиталови инвестиции и чуждестранни валути, държани по сметките на финансовия инструмент</w:t>
      </w:r>
    </w:p>
  </w:footnote>
  <w:footnote w:id="7">
    <w:p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Моля, имайте предвид, че цифрата е включена също в механизма за финансиране с поделяне на риска.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Данни, включващи ЕФСИ, за повече подробности вж. работния документ на службите на Комисията документ.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Данни, включващи ЕФСИ, за повече подробности вж. работния документ на службите на Комисията документ.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Данни, включващи ЕФСИ, за повече подробности вж. работния документ на службите на Комисията документ.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Включително всички активи: текущи и нетекущи срочни депозити и облигации, капиталови инвестиции и чуждестранни валути, държани по сметките на финансовия инструмент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Цифрите се отнасят само до „Хоризонт 2020“ и МГЗ по COSME, не е включен приносът на ЕФРР (вж. работния документ на службите на Комисията за повече подробности).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Включително всички активи: текущи и нетекущи срочни депозити и облигации, капиталови инвестиции и чуждестранни валути, държани по сметките на финансовия инструмент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Моля, имайте предвид, че предоставената цифра не включва частта за RSI (181 млн. евро).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 xml:space="preserve"> Включително всички активи: текущи и нетекущи срочни депозити и облигации, капиталови инвестиции и чуждестранни валути, държани по сметките на финансовия инструмент</w:t>
      </w:r>
    </w:p>
  </w:footnote>
  <w:footnote w:id="16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Механизъм за развитие на предприятията и иновациите за Западните Балкани (WB EDIF).</w:t>
      </w:r>
    </w:p>
  </w:footnote>
  <w:footnote w:id="17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Механизъм за развитие на предприятията и иновациите за Западните Балкани (WB EDIF).</w:t>
      </w:r>
    </w:p>
  </w:footnote>
  <w:footnote w:id="18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По WB EDIF.</w:t>
      </w:r>
    </w:p>
  </w:footnote>
  <w:footnote w:id="19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Механизъм за развитие на предприятията и иновациите за Западните Балкани (WB EDIF).</w:t>
      </w:r>
    </w:p>
  </w:footnote>
  <w:footnote w:id="20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Механизъм за развитие на предприятията и иновациите за Западните Балкани (WB EDIF).</w:t>
      </w:r>
    </w:p>
  </w:footnote>
  <w:footnote w:id="21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 xml:space="preserve"> По WB EDIF.</w:t>
      </w:r>
    </w:p>
  </w:footnote>
  <w:footnote w:id="22">
    <w:p>
      <w:pPr>
        <w:pStyle w:val="FootnoteText"/>
        <w:spacing w:before="0" w:after="120"/>
        <w:ind w:left="284" w:hanging="426"/>
        <w:jc w:val="both"/>
      </w:pPr>
      <w:r>
        <w:rPr>
          <w:rStyle w:val="FootnoteReference"/>
        </w:rPr>
        <w:footnoteRef/>
      </w:r>
      <w:r>
        <w:t>Включително всички активи: текущи и нетекущи срочни депозити и облигации, капиталови инвестиции и чуждестранни валути, държани по сметките на финансовия инструмент</w:t>
      </w:r>
    </w:p>
    <w:p>
      <w:pPr>
        <w:pStyle w:val="FootnoteText"/>
      </w:pPr>
    </w:p>
  </w:footnote>
  <w:footnote w:id="23">
    <w:p>
      <w:pPr>
        <w:pStyle w:val="FootnoteText"/>
        <w:spacing w:before="0" w:after="120"/>
        <w:ind w:left="284" w:hanging="426"/>
        <w:jc w:val="both"/>
        <w:rPr>
          <w:color w:val="FF00FF"/>
        </w:rPr>
      </w:pPr>
      <w:r>
        <w:rPr>
          <w:rStyle w:val="FootnoteReference"/>
        </w:rPr>
        <w:footnoteRef/>
      </w:r>
      <w:r>
        <w:t xml:space="preserve"> </w:t>
      </w:r>
      <w:r>
        <w:tab/>
        <w:t>По WB EDIF.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 xml:space="preserve"> Включително всички активи: текущи и нетекущи срочни депозити и облигации, капиталови инвестиции и чуждестранни валути, държани по сметките на финансовия инструмент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 xml:space="preserve"> Включително всички активи: текущи и нетекущи срочни депозити и облигации, капиталови инвестиции и чуждестранни валути, държани по сметките на финансовия инструмент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52B"/>
    <w:multiLevelType w:val="hybridMultilevel"/>
    <w:tmpl w:val="CD049374"/>
    <w:styleLink w:val="1111111"/>
    <w:lvl w:ilvl="0" w:tplc="C4B26E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7517"/>
    <w:multiLevelType w:val="hybridMultilevel"/>
    <w:tmpl w:val="35AA31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954FF"/>
    <w:multiLevelType w:val="multilevel"/>
    <w:tmpl w:val="F9F01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8EE"/>
    <w:multiLevelType w:val="hybridMultilevel"/>
    <w:tmpl w:val="6AB87428"/>
    <w:lvl w:ilvl="0" w:tplc="00007380">
      <w:start w:val="1"/>
      <w:numFmt w:val="lowerLetter"/>
      <w:lvlRestart w:val="0"/>
      <w:pStyle w:val="Heading5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D422F80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653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2F11FC6"/>
    <w:multiLevelType w:val="multilevel"/>
    <w:tmpl w:val="B38ECDF0"/>
    <w:styleLink w:val="11111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503D7D"/>
    <w:multiLevelType w:val="multilevel"/>
    <w:tmpl w:val="64CA2D9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pStyle w:val="Heading4bi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5bis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EDC5D18"/>
    <w:multiLevelType w:val="hybridMultilevel"/>
    <w:tmpl w:val="5E845C8E"/>
    <w:lvl w:ilvl="0" w:tplc="2132DE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E22E3"/>
    <w:multiLevelType w:val="hybridMultilevel"/>
    <w:tmpl w:val="10FCDBC6"/>
    <w:lvl w:ilvl="0" w:tplc="D39A6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/>
      </w:rPr>
    </w:lvl>
  </w:abstractNum>
  <w:abstractNum w:abstractNumId="10">
    <w:nsid w:val="4B401244"/>
    <w:multiLevelType w:val="hybridMultilevel"/>
    <w:tmpl w:val="0092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F7C26"/>
    <w:multiLevelType w:val="hybridMultilevel"/>
    <w:tmpl w:val="9EF6BB8C"/>
    <w:lvl w:ilvl="0" w:tplc="A36E351E">
      <w:start w:val="1"/>
      <w:numFmt w:val="bullet"/>
      <w:pStyle w:val="Key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A2424">
      <w:start w:val="2"/>
      <w:numFmt w:val="bullet"/>
      <w:lvlText w:val="•"/>
      <w:lvlJc w:val="left"/>
      <w:pPr>
        <w:ind w:left="2370" w:hanging="57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B4628"/>
    <w:multiLevelType w:val="hybridMultilevel"/>
    <w:tmpl w:val="F1F62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A5764"/>
    <w:multiLevelType w:val="hybridMultilevel"/>
    <w:tmpl w:val="9C68B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D69EB"/>
    <w:multiLevelType w:val="hybridMultilevel"/>
    <w:tmpl w:val="4EE4D2F2"/>
    <w:lvl w:ilvl="0" w:tplc="3DF2C38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1653D02"/>
    <w:multiLevelType w:val="hybridMultilevel"/>
    <w:tmpl w:val="977AC3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B0884"/>
    <w:multiLevelType w:val="hybridMultilevel"/>
    <w:tmpl w:val="00923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53902"/>
    <w:multiLevelType w:val="hybridMultilevel"/>
    <w:tmpl w:val="6894725A"/>
    <w:lvl w:ilvl="0" w:tplc="67440BF2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453B3"/>
    <w:multiLevelType w:val="hybridMultilevel"/>
    <w:tmpl w:val="F5E60D02"/>
    <w:lvl w:ilvl="0" w:tplc="434E88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60AD8"/>
    <w:multiLevelType w:val="hybridMultilevel"/>
    <w:tmpl w:val="BB6E089E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AD412C9"/>
    <w:multiLevelType w:val="hybridMultilevel"/>
    <w:tmpl w:val="B80AFFEA"/>
    <w:lvl w:ilvl="0" w:tplc="4F889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013F7"/>
    <w:multiLevelType w:val="multilevel"/>
    <w:tmpl w:val="C8B42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5664A"/>
    <w:multiLevelType w:val="hybridMultilevel"/>
    <w:tmpl w:val="4DCCFE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A2AB8"/>
    <w:multiLevelType w:val="hybridMultilevel"/>
    <w:tmpl w:val="A99657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473C7"/>
    <w:multiLevelType w:val="hybridMultilevel"/>
    <w:tmpl w:val="E30CC438"/>
    <w:lvl w:ilvl="0" w:tplc="CD1C246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pStyle w:val="Heading4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B6A27F8">
      <w:start w:val="1"/>
      <w:numFmt w:val="lowerLetter"/>
      <w:lvlText w:val="(%2)"/>
      <w:lvlJc w:val="left"/>
      <w:pPr>
        <w:ind w:left="1140" w:hanging="360"/>
      </w:pPr>
      <w:rPr>
        <w:rFonts w:hint="default"/>
      </w:rPr>
    </w:lvl>
    <w:lvl w:ilvl="2" w:tplc="87EA8504">
      <w:start w:val="2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3" w:tplc="130AAAFE">
      <w:start w:val="1"/>
      <w:numFmt w:val="lowerRoman"/>
      <w:lvlText w:val="%4)"/>
      <w:lvlJc w:val="left"/>
      <w:pPr>
        <w:ind w:left="2940" w:hanging="720"/>
      </w:pPr>
      <w:rPr>
        <w:rFonts w:hint="default"/>
      </w:rPr>
    </w:lvl>
    <w:lvl w:ilvl="4" w:tplc="2752EBEE">
      <w:start w:val="1"/>
      <w:numFmt w:val="decimal"/>
      <w:lvlText w:val="%5."/>
      <w:lvlJc w:val="left"/>
      <w:pPr>
        <w:ind w:left="33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E7C247A"/>
    <w:multiLevelType w:val="hybridMultilevel"/>
    <w:tmpl w:val="1BC0F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9"/>
  </w:num>
  <w:num w:numId="10">
    <w:abstractNumId w:val="24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20"/>
  </w:num>
  <w:num w:numId="16">
    <w:abstractNumId w:val="3"/>
  </w:num>
  <w:num w:numId="17">
    <w:abstractNumId w:val="10"/>
  </w:num>
  <w:num w:numId="18">
    <w:abstractNumId w:val="25"/>
  </w:num>
  <w:num w:numId="19">
    <w:abstractNumId w:val="1"/>
  </w:num>
  <w:num w:numId="20">
    <w:abstractNumId w:val="19"/>
  </w:num>
  <w:num w:numId="21">
    <w:abstractNumId w:val="22"/>
  </w:num>
  <w:num w:numId="22">
    <w:abstractNumId w:val="15"/>
  </w:num>
  <w:num w:numId="23">
    <w:abstractNumId w:val="23"/>
  </w:num>
  <w:num w:numId="24">
    <w:abstractNumId w:val="2"/>
  </w:num>
  <w:num w:numId="25">
    <w:abstractNumId w:val="21"/>
  </w:num>
  <w:num w:numId="26">
    <w:abstractNumId w:val="14"/>
  </w:num>
  <w:num w:numId="27">
    <w:abstractNumId w:val="24"/>
  </w:num>
  <w:num w:numId="2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erfederico Asdrubali">
    <w15:presenceInfo w15:providerId="Windows Live" w15:userId="98971def9a781a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51599CCB9804C81913235A34B5B6C7F"/>
    <w:docVar w:name="LW_CROSSREFERENCE" w:val="{SWD(2017) 312 final}"/>
    <w:docVar w:name="LW_DocType" w:val="NORMAL"/>
    <w:docVar w:name="LW_EMISSION" w:val="25.9.2017"/>
    <w:docVar w:name="LW_EMISSION_ISODATE" w:val="2017-09-2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2?\u1080?\u1085?\u1072?\u1085?\u1089?\u1086?\u1074?\u1080?\u1090?\u1077? \u1080?\u1085?\u1089?\u1090?\u1088?\u1091?\u1084?\u1077?\u1085?\u1090?\u1080?, \u1087?\u1086?\u1076?\u1082?\u1088?\u1077?\u1087?\u1077?\u1085?\u1080? \u1086?\u1090? \u1086?\u1073?\u1097?\u1080?\u1103? \u1073?\u1102?\u1076?\u1078?\u1077?\u1090? \u1089?\u1098?\u1075?\u1083?\u1072?\u1089?\u1085?\u1086? \u1095?\u1083?\u1077?\u1085? 140, \u1087?\u1072?\u1088?\u1072?\u1075?\u1088?\u1072?\u1092? 8 \u1086?\u1090? \u1060?\u1080?\u1085?\u1072?\u1085?\u1089?\u1086?\u1074?\u1080?\u1103? \u1088?\u1077?\u1075?\u1083?\u1072?\u1084?\u1077?\u1085?\u1090? \u1082?\u1098?\u1084? 31 \u1076?\u1077?\u1082?\u1077?\u1084?\u1074?\u1088?\u1080? 2016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7) 53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 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ind w:right="141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numId w:val="3"/>
      </w:numPr>
      <w:spacing w:before="360" w:after="12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3">
    <w:name w:val="heading 3"/>
    <w:aliases w:val="Heading 3 bis"/>
    <w:basedOn w:val="Normal"/>
    <w:next w:val="Normal"/>
    <w:link w:val="Heading3Char"/>
    <w:uiPriority w:val="9"/>
    <w:unhideWhenUsed/>
    <w:qFormat/>
    <w:pPr>
      <w:keepNext/>
      <w:numPr>
        <w:ilvl w:val="1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0" w:after="360" w:line="240" w:lineRule="auto"/>
      <w:contextualSpacing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numId w:val="10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numPr>
        <w:numId w:val="16"/>
      </w:numPr>
      <w:spacing w:before="240" w:after="120" w:line="240" w:lineRule="auto"/>
      <w:ind w:right="142"/>
      <w:jc w:val="both"/>
      <w:outlineLvl w:val="4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120" w:after="40" w:line="240" w:lineRule="auto"/>
      <w:jc w:val="both"/>
      <w:outlineLvl w:val="5"/>
    </w:pPr>
    <w:rPr>
      <w:rFonts w:ascii="Times New Roman" w:eastAsia="Calibri" w:hAnsi="Times New Roman" w:cs="Times New Roman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aliases w:val="Heading 3 bis Char"/>
    <w:basedOn w:val="DefaultParagraphFont"/>
    <w:link w:val="Heading3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Calibri" w:hAnsi="Times New Roman" w:cs="Times New Roman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60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before="60" w:after="100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before="60" w:after="100"/>
      <w:ind w:left="220"/>
    </w:pPr>
    <w:rPr>
      <w:rFonts w:ascii="Times New Roman" w:eastAsia="Calibri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before="60" w:after="100"/>
      <w:ind w:left="440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6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Text1">
    <w:name w:val="Text 1"/>
    <w:basedOn w:val="Normal"/>
    <w:pPr>
      <w:spacing w:before="60"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ence number,Ref,de nota al pie,note TESI,SUPERS,EN Footnote text,EN Footnote Reference,number,no...,E F,fr,o,FR,F"/>
    <w:uiPriority w:val="99"/>
    <w:rPr>
      <w:shd w:val="clear" w:color="auto" w:fill="auto"/>
      <w:vertAlign w:val="superscript"/>
    </w:rPr>
  </w:style>
  <w:style w:type="paragraph" w:styleId="NormalIndent">
    <w:name w:val="Normal Indent"/>
    <w:basedOn w:val="Normal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Nor">
    <w:name w:val="Nor"/>
    <w:aliases w:val="ql"/>
    <w:basedOn w:val="ListParagraph"/>
    <w:pPr>
      <w:spacing w:after="0" w:line="240" w:lineRule="auto"/>
      <w:ind w:left="0"/>
      <w:jc w:val="both"/>
    </w:pPr>
    <w:rPr>
      <w:rFonts w:ascii="Constantia" w:hAnsi="Constantia" w:cs="EUAlbertina"/>
      <w:b/>
      <w:i/>
      <w:color w:val="00000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60" w:after="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tabs>
        <w:tab w:val="left" w:pos="2160"/>
      </w:tabs>
      <w:spacing w:before="60"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pPr>
      <w:numPr>
        <w:numId w:val="4"/>
      </w:numPr>
    </w:pPr>
  </w:style>
  <w:style w:type="numbering" w:customStyle="1" w:styleId="1111111">
    <w:name w:val="1 / 1.1 / 1.1.11"/>
    <w:basedOn w:val="NoList"/>
    <w:next w:val="111111"/>
    <w:pPr>
      <w:numPr>
        <w:numId w:val="5"/>
      </w:numPr>
    </w:pPr>
  </w:style>
  <w:style w:type="character" w:styleId="SubtleEmphasis">
    <w:name w:val="Subtle Emphasis"/>
    <w:uiPriority w:val="19"/>
    <w:qFormat/>
    <w:rPr>
      <w:b/>
      <w:i/>
      <w:iCs/>
      <w:color w:val="808080"/>
    </w:rPr>
  </w:style>
  <w:style w:type="numbering" w:customStyle="1" w:styleId="1111112">
    <w:name w:val="1 / 1.1 / 1.1.12"/>
    <w:basedOn w:val="NoList"/>
    <w:next w:val="111111"/>
    <w:pPr>
      <w:numPr>
        <w:numId w:val="2"/>
      </w:numPr>
    </w:pPr>
  </w:style>
  <w:style w:type="paragraph" w:styleId="ListBullet">
    <w:name w:val="List Bullet"/>
    <w:basedOn w:val="Normal"/>
    <w:pPr>
      <w:numPr>
        <w:numId w:val="9"/>
      </w:numPr>
      <w:spacing w:before="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utexte">
    <w:name w:val="Corps du texte_"/>
    <w:link w:val="Corpsdutexte0"/>
    <w:uiPriority w:val="99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before="4680" w:after="0" w:line="240" w:lineRule="atLeast"/>
      <w:ind w:hanging="460"/>
    </w:p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4380" w:after="0" w:line="24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sdutexte10">
    <w:name w:val="Corps du texte10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3">
    <w:name w:val="Corps du texte (3)_"/>
    <w:link w:val="Corpsdutexte30"/>
    <w:uiPriority w:val="99"/>
    <w:rPr>
      <w:b/>
      <w:bCs/>
      <w:sz w:val="23"/>
      <w:szCs w:val="23"/>
      <w:shd w:val="clear" w:color="auto" w:fill="FFFFFF"/>
    </w:rPr>
  </w:style>
  <w:style w:type="character" w:customStyle="1" w:styleId="Corpsdutexte7">
    <w:name w:val="Corps du texte7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Gras5">
    <w:name w:val="Corps du texte + Gras5"/>
    <w:uiPriority w:val="99"/>
    <w:rPr>
      <w:b/>
      <w:bCs/>
      <w:sz w:val="23"/>
      <w:szCs w:val="23"/>
      <w:u w:val="none"/>
      <w:shd w:val="clear" w:color="auto" w:fill="FFFFFF"/>
    </w:rPr>
  </w:style>
  <w:style w:type="character" w:customStyle="1" w:styleId="Corpsdutexte6">
    <w:name w:val="Corps du texte6"/>
    <w:uiPriority w:val="99"/>
    <w:rPr>
      <w:sz w:val="23"/>
      <w:szCs w:val="23"/>
      <w:u w:val="none"/>
      <w:shd w:val="clear" w:color="auto" w:fill="FFFFFF"/>
    </w:rPr>
  </w:style>
  <w:style w:type="character" w:customStyle="1" w:styleId="CorpsdutexteGras4">
    <w:name w:val="Corps du texte + Gras4"/>
    <w:uiPriority w:val="99"/>
    <w:rPr>
      <w:b/>
      <w:bCs/>
      <w:sz w:val="23"/>
      <w:szCs w:val="23"/>
      <w:u w:val="none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pPr>
      <w:widowControl w:val="0"/>
      <w:shd w:val="clear" w:color="auto" w:fill="FFFFFF"/>
      <w:spacing w:before="480" w:after="240" w:line="240" w:lineRule="atLeast"/>
      <w:ind w:hanging="720"/>
      <w:jc w:val="both"/>
    </w:pPr>
    <w:rPr>
      <w:b/>
      <w:bCs/>
      <w:sz w:val="23"/>
      <w:szCs w:val="23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before="60" w:after="6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ption1">
    <w:name w:val="Caption1"/>
    <w:basedOn w:val="Caption"/>
    <w:next w:val="Normal"/>
    <w:link w:val="captionChar0"/>
    <w:qFormat/>
    <w:pPr>
      <w:keepNext/>
      <w:jc w:val="center"/>
    </w:pPr>
    <w:rPr>
      <w:i/>
      <w:sz w:val="22"/>
    </w:rPr>
  </w:style>
  <w:style w:type="paragraph" w:customStyle="1" w:styleId="SourceCap">
    <w:name w:val="SourceCap"/>
    <w:basedOn w:val="Normal"/>
    <w:next w:val="Normal"/>
    <w:link w:val="SourceCapChar"/>
    <w:qFormat/>
    <w:pPr>
      <w:spacing w:before="60" w:after="160"/>
      <w:ind w:left="851"/>
    </w:pPr>
    <w:rPr>
      <w:rFonts w:ascii="Times New Roman" w:eastAsia="Calibri" w:hAnsi="Times New Roman" w:cs="Times New Roman"/>
      <w:b/>
      <w:i/>
      <w:sz w:val="21"/>
      <w:szCs w:val="20"/>
    </w:rPr>
  </w:style>
  <w:style w:type="character" w:customStyle="1" w:styleId="CaptionChar">
    <w:name w:val="Caption Char"/>
    <w:link w:val="Caption"/>
    <w:uiPriority w:val="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aptionChar0">
    <w:name w:val="caption Char"/>
    <w:link w:val="Caption1"/>
    <w:rPr>
      <w:rFonts w:ascii="Times New Roman" w:eastAsia="Calibri" w:hAnsi="Times New Roman" w:cs="Times New Roman"/>
      <w:b/>
      <w:bCs/>
      <w:i/>
      <w:szCs w:val="20"/>
    </w:rPr>
  </w:style>
  <w:style w:type="character" w:customStyle="1" w:styleId="SourceCapChar">
    <w:name w:val="SourceCap Char"/>
    <w:link w:val="SourceCap"/>
    <w:rPr>
      <w:rFonts w:ascii="Times New Roman" w:eastAsia="Calibri" w:hAnsi="Times New Roman" w:cs="Times New Roman"/>
      <w:b/>
      <w:i/>
      <w:sz w:val="21"/>
      <w:szCs w:val="20"/>
    </w:rPr>
  </w:style>
  <w:style w:type="paragraph" w:customStyle="1" w:styleId="KeyPoints">
    <w:name w:val="KeyPoints"/>
    <w:basedOn w:val="Normal"/>
    <w:link w:val="KeyPointsChar"/>
    <w:qFormat/>
    <w:pPr>
      <w:numPr>
        <w:numId w:val="1"/>
      </w:numPr>
      <w:spacing w:before="60" w:after="60" w:line="240" w:lineRule="auto"/>
      <w:ind w:left="0" w:hanging="357"/>
      <w:contextualSpacing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before="60" w:after="60"/>
      <w:ind w:left="720"/>
    </w:pPr>
    <w:rPr>
      <w:rFonts w:ascii="Times New Roman" w:eastAsia="Calibri" w:hAnsi="Times New Roman" w:cs="Times New Roman"/>
      <w:sz w:val="24"/>
    </w:rPr>
  </w:style>
  <w:style w:type="character" w:customStyle="1" w:styleId="KeyPointsChar">
    <w:name w:val="KeyPoints Char"/>
    <w:link w:val="KeyPoints"/>
    <w:rPr>
      <w:rFonts w:ascii="Times New Roman" w:eastAsia="Calibri" w:hAnsi="Times New Roman" w:cs="Times New Roman"/>
      <w:i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spacing w:before="60" w:after="60"/>
      <w:ind w:left="960"/>
    </w:pPr>
    <w:rPr>
      <w:rFonts w:ascii="Times New Roman" w:eastAsia="Calibri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MS Mincho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MS Mincho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MS Mincho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MS Mincho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60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s2">
    <w:name w:val="s2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20">
    <w:name w:val="bumpedfont20"/>
  </w:style>
  <w:style w:type="paragraph" w:customStyle="1" w:styleId="Bulletedlist">
    <w:name w:val="Bulleted list"/>
    <w:basedOn w:val="Normal"/>
    <w:qFormat/>
    <w:pPr>
      <w:numPr>
        <w:numId w:val="12"/>
      </w:numPr>
      <w:spacing w:before="60" w:after="60" w:line="240" w:lineRule="auto"/>
      <w:jc w:val="both"/>
    </w:pPr>
    <w:rPr>
      <w:rFonts w:ascii="Arial" w:eastAsia="MS Mincho" w:hAnsi="Arial" w:cs="Arial"/>
    </w:rPr>
  </w:style>
  <w:style w:type="paragraph" w:customStyle="1" w:styleId="Heading4bis">
    <w:name w:val="Heading 4 bis"/>
    <w:basedOn w:val="Heading4"/>
    <w:link w:val="Heading4bisChar"/>
    <w:qFormat/>
    <w:pPr>
      <w:numPr>
        <w:ilvl w:val="2"/>
        <w:numId w:val="3"/>
      </w:numPr>
    </w:pPr>
    <w:rPr>
      <w:u w:val="none"/>
    </w:rPr>
  </w:style>
  <w:style w:type="paragraph" w:customStyle="1" w:styleId="Heading5bis">
    <w:name w:val="Heading 5 bis"/>
    <w:basedOn w:val="Heading5"/>
    <w:link w:val="Heading5bisChar"/>
    <w:qFormat/>
    <w:pPr>
      <w:numPr>
        <w:ilvl w:val="3"/>
        <w:numId w:val="3"/>
      </w:numPr>
      <w:spacing w:before="120"/>
    </w:pPr>
  </w:style>
  <w:style w:type="character" w:customStyle="1" w:styleId="Heading4bisChar">
    <w:name w:val="Heading 4 bis Char"/>
    <w:link w:val="Heading4bis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bisChar">
    <w:name w:val="Heading 5 bis Char"/>
    <w:link w:val="Heading5bis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Heading3-a">
    <w:name w:val="Heading 3-a"/>
    <w:basedOn w:val="Heading3"/>
    <w:link w:val="Heading3-a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240"/>
    </w:p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3-aChar">
    <w:name w:val="Heading 3-a Char"/>
    <w:basedOn w:val="Heading3Char"/>
    <w:link w:val="Heading3-a"/>
    <w:rPr>
      <w:rFonts w:ascii="Times New Roman" w:eastAsia="Calibri" w:hAnsi="Times New Roman" w:cs="Times New Roman"/>
      <w:b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sz w:val="24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40"/>
      <w:ind w:right="141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numId w:val="3"/>
      </w:numPr>
      <w:spacing w:before="360" w:after="120" w:line="240" w:lineRule="auto"/>
      <w:jc w:val="both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3">
    <w:name w:val="heading 3"/>
    <w:aliases w:val="Heading 3 bis"/>
    <w:basedOn w:val="Normal"/>
    <w:next w:val="Normal"/>
    <w:link w:val="Heading3Char"/>
    <w:uiPriority w:val="9"/>
    <w:unhideWhenUsed/>
    <w:qFormat/>
    <w:pPr>
      <w:keepNext/>
      <w:numPr>
        <w:ilvl w:val="1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0" w:after="360" w:line="240" w:lineRule="auto"/>
      <w:contextualSpacing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numId w:val="10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numPr>
        <w:numId w:val="16"/>
      </w:numPr>
      <w:spacing w:before="240" w:after="120" w:line="240" w:lineRule="auto"/>
      <w:ind w:right="142"/>
      <w:jc w:val="both"/>
      <w:outlineLvl w:val="4"/>
    </w:pPr>
    <w:rPr>
      <w:rFonts w:ascii="Times New Roman" w:eastAsia="Calibri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120" w:after="40" w:line="240" w:lineRule="auto"/>
      <w:jc w:val="both"/>
      <w:outlineLvl w:val="5"/>
    </w:pPr>
    <w:rPr>
      <w:rFonts w:ascii="Times New Roman" w:eastAsia="Calibri" w:hAnsi="Times New Roman" w:cs="Times New Roman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aliases w:val="Heading 3 bis Char"/>
    <w:basedOn w:val="DefaultParagraphFont"/>
    <w:link w:val="Heading3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Calibri" w:hAnsi="Times New Roman" w:cs="Times New Roman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60"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before="60" w:after="60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before="60" w:after="100"/>
    </w:pPr>
    <w:rPr>
      <w:rFonts w:ascii="Times New Roman" w:eastAsia="Calibri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before="60" w:after="100"/>
      <w:ind w:left="220"/>
    </w:pPr>
    <w:rPr>
      <w:rFonts w:ascii="Times New Roman" w:eastAsia="Calibri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spacing w:before="60" w:after="100"/>
      <w:ind w:left="440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6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Text1">
    <w:name w:val="Text 1"/>
    <w:basedOn w:val="Normal"/>
    <w:pPr>
      <w:spacing w:before="60"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ootnote symbol,Footnote,Voetnootverwijzing,Times 10 Point,Exposant 3 Point,Appel note de bas de p,BVI fnr,Footnote reference number,Ref,de nota al pie,note TESI,SUPERS,EN Footnote text,EN Footnote Reference,number,no...,E F,fr,o,FR,F"/>
    <w:uiPriority w:val="99"/>
    <w:rPr>
      <w:shd w:val="clear" w:color="auto" w:fill="auto"/>
      <w:vertAlign w:val="superscript"/>
    </w:rPr>
  </w:style>
  <w:style w:type="paragraph" w:styleId="NormalIndent">
    <w:name w:val="Normal Indent"/>
    <w:basedOn w:val="Normal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60"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Nor">
    <w:name w:val="Nor"/>
    <w:aliases w:val="ql"/>
    <w:basedOn w:val="ListParagraph"/>
    <w:pPr>
      <w:spacing w:after="0" w:line="240" w:lineRule="auto"/>
      <w:ind w:left="0"/>
      <w:jc w:val="both"/>
    </w:pPr>
    <w:rPr>
      <w:rFonts w:ascii="Constantia" w:hAnsi="Constantia" w:cs="EUAlbertina"/>
      <w:b/>
      <w:i/>
      <w:color w:val="00000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60" w:after="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2">
    <w:name w:val="Text 2"/>
    <w:basedOn w:val="Normal"/>
    <w:pPr>
      <w:tabs>
        <w:tab w:val="left" w:pos="2160"/>
      </w:tabs>
      <w:spacing w:before="60"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pPr>
      <w:numPr>
        <w:numId w:val="4"/>
      </w:numPr>
    </w:pPr>
  </w:style>
  <w:style w:type="numbering" w:customStyle="1" w:styleId="1111111">
    <w:name w:val="1 / 1.1 / 1.1.11"/>
    <w:basedOn w:val="NoList"/>
    <w:next w:val="111111"/>
    <w:pPr>
      <w:numPr>
        <w:numId w:val="5"/>
      </w:numPr>
    </w:pPr>
  </w:style>
  <w:style w:type="character" w:styleId="SubtleEmphasis">
    <w:name w:val="Subtle Emphasis"/>
    <w:uiPriority w:val="19"/>
    <w:qFormat/>
    <w:rPr>
      <w:b/>
      <w:i/>
      <w:iCs/>
      <w:color w:val="808080"/>
    </w:rPr>
  </w:style>
  <w:style w:type="numbering" w:customStyle="1" w:styleId="1111112">
    <w:name w:val="1 / 1.1 / 1.1.12"/>
    <w:basedOn w:val="NoList"/>
    <w:next w:val="111111"/>
    <w:pPr>
      <w:numPr>
        <w:numId w:val="2"/>
      </w:numPr>
    </w:pPr>
  </w:style>
  <w:style w:type="paragraph" w:styleId="ListBullet">
    <w:name w:val="List Bullet"/>
    <w:basedOn w:val="Normal"/>
    <w:pPr>
      <w:numPr>
        <w:numId w:val="9"/>
      </w:numPr>
      <w:spacing w:before="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utexte">
    <w:name w:val="Corps du texte_"/>
    <w:link w:val="Corpsdutexte0"/>
    <w:uiPriority w:val="99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pPr>
      <w:widowControl w:val="0"/>
      <w:shd w:val="clear" w:color="auto" w:fill="FFFFFF"/>
      <w:spacing w:before="4680" w:after="0" w:line="240" w:lineRule="atLeast"/>
      <w:ind w:hanging="460"/>
    </w:p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4380" w:after="0" w:line="24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sdutexte10">
    <w:name w:val="Corps du texte10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3">
    <w:name w:val="Corps du texte (3)_"/>
    <w:link w:val="Corpsdutexte30"/>
    <w:uiPriority w:val="99"/>
    <w:rPr>
      <w:b/>
      <w:bCs/>
      <w:sz w:val="23"/>
      <w:szCs w:val="23"/>
      <w:shd w:val="clear" w:color="auto" w:fill="FFFFFF"/>
    </w:rPr>
  </w:style>
  <w:style w:type="character" w:customStyle="1" w:styleId="Corpsdutexte7">
    <w:name w:val="Corps du texte7"/>
    <w:uiPriority w:val="99"/>
    <w:rPr>
      <w:sz w:val="23"/>
      <w:szCs w:val="23"/>
      <w:u w:val="single"/>
      <w:shd w:val="clear" w:color="auto" w:fill="FFFFFF"/>
    </w:rPr>
  </w:style>
  <w:style w:type="character" w:customStyle="1" w:styleId="CorpsdutexteGras5">
    <w:name w:val="Corps du texte + Gras5"/>
    <w:uiPriority w:val="99"/>
    <w:rPr>
      <w:b/>
      <w:bCs/>
      <w:sz w:val="23"/>
      <w:szCs w:val="23"/>
      <w:u w:val="none"/>
      <w:shd w:val="clear" w:color="auto" w:fill="FFFFFF"/>
    </w:rPr>
  </w:style>
  <w:style w:type="character" w:customStyle="1" w:styleId="Corpsdutexte6">
    <w:name w:val="Corps du texte6"/>
    <w:uiPriority w:val="99"/>
    <w:rPr>
      <w:sz w:val="23"/>
      <w:szCs w:val="23"/>
      <w:u w:val="none"/>
      <w:shd w:val="clear" w:color="auto" w:fill="FFFFFF"/>
    </w:rPr>
  </w:style>
  <w:style w:type="character" w:customStyle="1" w:styleId="CorpsdutexteGras4">
    <w:name w:val="Corps du texte + Gras4"/>
    <w:uiPriority w:val="99"/>
    <w:rPr>
      <w:b/>
      <w:bCs/>
      <w:sz w:val="23"/>
      <w:szCs w:val="23"/>
      <w:u w:val="none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pPr>
      <w:widowControl w:val="0"/>
      <w:shd w:val="clear" w:color="auto" w:fill="FFFFFF"/>
      <w:spacing w:before="480" w:after="240" w:line="240" w:lineRule="atLeast"/>
      <w:ind w:hanging="720"/>
      <w:jc w:val="both"/>
    </w:pPr>
    <w:rPr>
      <w:b/>
      <w:bCs/>
      <w:sz w:val="23"/>
      <w:szCs w:val="23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pPr>
      <w:spacing w:before="60" w:after="6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ption1">
    <w:name w:val="Caption1"/>
    <w:basedOn w:val="Caption"/>
    <w:next w:val="Normal"/>
    <w:link w:val="captionChar0"/>
    <w:qFormat/>
    <w:pPr>
      <w:keepNext/>
      <w:jc w:val="center"/>
    </w:pPr>
    <w:rPr>
      <w:i/>
      <w:sz w:val="22"/>
    </w:rPr>
  </w:style>
  <w:style w:type="paragraph" w:customStyle="1" w:styleId="SourceCap">
    <w:name w:val="SourceCap"/>
    <w:basedOn w:val="Normal"/>
    <w:next w:val="Normal"/>
    <w:link w:val="SourceCapChar"/>
    <w:qFormat/>
    <w:pPr>
      <w:spacing w:before="60" w:after="160"/>
      <w:ind w:left="851"/>
    </w:pPr>
    <w:rPr>
      <w:rFonts w:ascii="Times New Roman" w:eastAsia="Calibri" w:hAnsi="Times New Roman" w:cs="Times New Roman"/>
      <w:b/>
      <w:i/>
      <w:sz w:val="21"/>
      <w:szCs w:val="20"/>
    </w:rPr>
  </w:style>
  <w:style w:type="character" w:customStyle="1" w:styleId="CaptionChar">
    <w:name w:val="Caption Char"/>
    <w:link w:val="Caption"/>
    <w:uiPriority w:val="3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aptionChar0">
    <w:name w:val="caption Char"/>
    <w:link w:val="Caption1"/>
    <w:rPr>
      <w:rFonts w:ascii="Times New Roman" w:eastAsia="Calibri" w:hAnsi="Times New Roman" w:cs="Times New Roman"/>
      <w:b/>
      <w:bCs/>
      <w:i/>
      <w:szCs w:val="20"/>
    </w:rPr>
  </w:style>
  <w:style w:type="character" w:customStyle="1" w:styleId="SourceCapChar">
    <w:name w:val="SourceCap Char"/>
    <w:link w:val="SourceCap"/>
    <w:rPr>
      <w:rFonts w:ascii="Times New Roman" w:eastAsia="Calibri" w:hAnsi="Times New Roman" w:cs="Times New Roman"/>
      <w:b/>
      <w:i/>
      <w:sz w:val="21"/>
      <w:szCs w:val="20"/>
    </w:rPr>
  </w:style>
  <w:style w:type="paragraph" w:customStyle="1" w:styleId="KeyPoints">
    <w:name w:val="KeyPoints"/>
    <w:basedOn w:val="Normal"/>
    <w:link w:val="KeyPointsChar"/>
    <w:qFormat/>
    <w:pPr>
      <w:numPr>
        <w:numId w:val="1"/>
      </w:numPr>
      <w:spacing w:before="60" w:after="60" w:line="240" w:lineRule="auto"/>
      <w:ind w:left="0" w:hanging="357"/>
      <w:contextualSpacing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pPr>
      <w:spacing w:before="60" w:after="60"/>
      <w:ind w:left="720"/>
    </w:pPr>
    <w:rPr>
      <w:rFonts w:ascii="Times New Roman" w:eastAsia="Calibri" w:hAnsi="Times New Roman" w:cs="Times New Roman"/>
      <w:sz w:val="24"/>
    </w:rPr>
  </w:style>
  <w:style w:type="character" w:customStyle="1" w:styleId="KeyPointsChar">
    <w:name w:val="KeyPoints Char"/>
    <w:link w:val="KeyPoints"/>
    <w:rPr>
      <w:rFonts w:ascii="Times New Roman" w:eastAsia="Calibri" w:hAnsi="Times New Roman" w:cs="Times New Roman"/>
      <w:i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pPr>
      <w:spacing w:before="60" w:after="60"/>
      <w:ind w:left="960"/>
    </w:pPr>
    <w:rPr>
      <w:rFonts w:ascii="Times New Roman" w:eastAsia="Calibri" w:hAnsi="Times New Roman" w:cs="Times New Roman"/>
      <w:sz w:val="24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MS Mincho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MS Mincho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MS Mincho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MS Mincho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MS Gothic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60" w:after="60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s2">
    <w:name w:val="s2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20">
    <w:name w:val="bumpedfont20"/>
  </w:style>
  <w:style w:type="paragraph" w:customStyle="1" w:styleId="Bulletedlist">
    <w:name w:val="Bulleted list"/>
    <w:basedOn w:val="Normal"/>
    <w:qFormat/>
    <w:pPr>
      <w:numPr>
        <w:numId w:val="12"/>
      </w:numPr>
      <w:spacing w:before="60" w:after="60" w:line="240" w:lineRule="auto"/>
      <w:jc w:val="both"/>
    </w:pPr>
    <w:rPr>
      <w:rFonts w:ascii="Arial" w:eastAsia="MS Mincho" w:hAnsi="Arial" w:cs="Arial"/>
    </w:rPr>
  </w:style>
  <w:style w:type="paragraph" w:customStyle="1" w:styleId="Heading4bis">
    <w:name w:val="Heading 4 bis"/>
    <w:basedOn w:val="Heading4"/>
    <w:link w:val="Heading4bisChar"/>
    <w:qFormat/>
    <w:pPr>
      <w:numPr>
        <w:ilvl w:val="2"/>
        <w:numId w:val="3"/>
      </w:numPr>
    </w:pPr>
    <w:rPr>
      <w:u w:val="none"/>
    </w:rPr>
  </w:style>
  <w:style w:type="paragraph" w:customStyle="1" w:styleId="Heading5bis">
    <w:name w:val="Heading 5 bis"/>
    <w:basedOn w:val="Heading5"/>
    <w:link w:val="Heading5bisChar"/>
    <w:qFormat/>
    <w:pPr>
      <w:numPr>
        <w:ilvl w:val="3"/>
        <w:numId w:val="3"/>
      </w:numPr>
      <w:spacing w:before="120"/>
    </w:pPr>
  </w:style>
  <w:style w:type="character" w:customStyle="1" w:styleId="Heading4bisChar">
    <w:name w:val="Heading 4 bis Char"/>
    <w:link w:val="Heading4bis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5bisChar">
    <w:name w:val="Heading 5 bis Char"/>
    <w:link w:val="Heading5bis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Heading3-a">
    <w:name w:val="Heading 3-a"/>
    <w:basedOn w:val="Heading3"/>
    <w:link w:val="Heading3-a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240"/>
    </w:p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3-aChar">
    <w:name w:val="Heading 3-a Char"/>
    <w:basedOn w:val="Heading3Char"/>
    <w:link w:val="Heading3-a"/>
    <w:rPr>
      <w:rFonts w:ascii="Times New Roman" w:eastAsia="Calibri" w:hAnsi="Times New Roman" w:cs="Times New Roman"/>
      <w:b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sz w:val="24"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2EA9FEFF883564CB9E046C56A2E086A" ma:contentTypeVersion="0" ma:contentTypeDescription="Create a new document in this library." ma:contentTypeScope="" ma:versionID="82d426c05779cc8292c21bcceaf9eb4a">
  <xsd:schema xmlns:xsd="http://www.w3.org/2001/XMLSchema" xmlns:xs="http://www.w3.org/2001/XMLSchema" xmlns:p="http://schemas.microsoft.com/office/2006/metadata/properties" xmlns:ns2="http://schemas.microsoft.com/sharepoint/v3/fields" xmlns:ns3="9e03c6b4-6243-4216-b733-3273b98e981e" targetNamespace="http://schemas.microsoft.com/office/2006/metadata/properties" ma:root="true" ma:fieldsID="2a867769fb1e181c26d3ac7f5a0c88a3" ns2:_="" ns3:_="">
    <xsd:import namespace="http://schemas.microsoft.com/sharepoint/v3/fields"/>
    <xsd:import namespace="9e03c6b4-6243-4216-b733-3273b98e981e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3c6b4-6243-4216-b733-3273b98e981e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9e03c6b4-6243-4216-b733-3273b98e981e" xsi:nil="true"/>
    <_Status xmlns="http://schemas.microsoft.com/sharepoint/v3/fields">Not Started</_Status>
    <EC_Collab_Status xmlns="9e03c6b4-6243-4216-b733-3273b98e981e">Not Started</EC_Collab_Status>
    <EC_Collab_DocumentLanguage xmlns="9e03c6b4-6243-4216-b733-3273b98e981e">EN</EC_Collab_Document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81A0-D3BC-46BC-803E-371F62BA8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9e03c6b4-6243-4216-b733-3273b98e9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EB91C-5964-4B35-9506-B83363EC874D}">
  <ds:schemaRefs>
    <ds:schemaRef ds:uri="http://schemas.microsoft.com/office/2006/metadata/properties"/>
    <ds:schemaRef ds:uri="http://schemas.microsoft.com/office/infopath/2007/PartnerControls"/>
    <ds:schemaRef ds:uri="9e03c6b4-6243-4216-b733-3273b98e981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E467B92-D76E-47A6-B28B-BF3098E2B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29AF2-2F82-486E-9097-C2E1F299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31</Pages>
  <Words>5962</Words>
  <Characters>33572</Characters>
  <Application>Microsoft Office Word</Application>
  <DocSecurity>0</DocSecurity>
  <Lines>2398</Lines>
  <Paragraphs>1013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140.8 Annex</vt:lpstr>
    </vt:vector>
  </TitlesOfParts>
  <Company>European Commission</Company>
  <LinksUpToDate>false</LinksUpToDate>
  <CharactersWithSpaces>38521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140.8 Annex</dc:title>
  <dc:subject>140.8 Annex</dc:subject>
  <dc:creator>DRESSE Jean-Dominique (ECFIN)</dc:creator>
  <cp:lastModifiedBy>DIGIT/A3</cp:lastModifiedBy>
  <cp:revision>19</cp:revision>
  <cp:lastPrinted>2017-08-02T13:24:00Z</cp:lastPrinted>
  <dcterms:created xsi:type="dcterms:W3CDTF">2017-09-14T07:18:00Z</dcterms:created>
  <dcterms:modified xsi:type="dcterms:W3CDTF">2017-09-25T05:10:00Z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  <property fmtid="{D5CDD505-2E9C-101B-9397-08002B2CF9AE}" pid="8" name="ContentTypeId">
    <vt:lpwstr>0x010100258AA79CEB83498886A3A086811232500002EA9FEFF883564CB9E046C56A2E086A</vt:lpwstr>
  </property>
</Properties>
</file>