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32F" w:rsidRDefault="009B0276">
      <w:pPr>
        <w:pStyle w:val="Pagedecouverture"/>
        <w:rPr>
          <w:noProof/>
        </w:rPr>
      </w:pPr>
      <w:bookmarkStart w:id="0" w:name="LW_BM_COVERPAGE"/>
      <w:r>
        <w:rPr>
          <w:noProof/>
        </w:rPr>
        <w:pict>
          <v:shape id="_x0000_i1025" type="#_x0000_t75" alt="B015A8A2085C4D7DB32CFD0BFE58A00F" style="width:450.4pt;height:320.65pt">
            <v:imagedata r:id="rId13" o:title=""/>
          </v:shape>
        </w:pict>
      </w:r>
    </w:p>
    <w:bookmarkEnd w:id="0"/>
    <w:p w:rsidR="004E032F" w:rsidRDefault="004E032F">
      <w:pPr>
        <w:rPr>
          <w:noProof/>
        </w:rPr>
        <w:sectPr w:rsidR="004E032F">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1"/>
          <w:cols w:space="720"/>
          <w:docGrid w:linePitch="360"/>
        </w:sectPr>
      </w:pPr>
    </w:p>
    <w:p w:rsidR="004E032F" w:rsidRDefault="009B0276">
      <w:pPr>
        <w:pStyle w:val="TOCHeading"/>
        <w:jc w:val="center"/>
        <w:rPr>
          <w:noProof/>
        </w:rPr>
      </w:pPr>
      <w:r>
        <w:rPr>
          <w:noProof/>
        </w:rPr>
        <w:lastRenderedPageBreak/>
        <w:t>Съдържание</w:t>
      </w:r>
    </w:p>
    <w:p w:rsidR="004E032F" w:rsidRDefault="009B0276">
      <w:pPr>
        <w:pStyle w:val="TOC2"/>
        <w:tabs>
          <w:tab w:val="left" w:pos="720"/>
          <w:tab w:val="right" w:leader="dot" w:pos="9062"/>
        </w:tabs>
        <w:rPr>
          <w:rFonts w:asciiTheme="minorHAnsi" w:eastAsiaTheme="minorEastAsia" w:hAnsiTheme="minorHAnsi" w:cstheme="minorBidi"/>
          <w:noProof/>
          <w:sz w:val="22"/>
          <w:lang w:eastAsia="en-GB"/>
        </w:rPr>
      </w:pPr>
      <w:r>
        <w:rPr>
          <w:noProof/>
        </w:rPr>
        <w:fldChar w:fldCharType="begin"/>
      </w:r>
      <w:r>
        <w:rPr>
          <w:noProof/>
        </w:rPr>
        <w:instrText xml:space="preserve"> TOC \o "1-3" \h \z \u </w:instrText>
      </w:r>
      <w:r>
        <w:rPr>
          <w:noProof/>
        </w:rPr>
        <w:fldChar w:fldCharType="separate"/>
      </w:r>
      <w:hyperlink w:anchor="_Toc493242920" w:history="1">
        <w:r>
          <w:rPr>
            <w:rStyle w:val="Hyperlink"/>
            <w:noProof/>
          </w:rPr>
          <w:t>1.</w:t>
        </w:r>
        <w:r>
          <w:rPr>
            <w:rFonts w:asciiTheme="minorHAnsi" w:eastAsiaTheme="minorEastAsia" w:hAnsiTheme="minorHAnsi" w:cstheme="minorBidi"/>
            <w:noProof/>
            <w:sz w:val="22"/>
            <w:lang w:eastAsia="en-GB"/>
          </w:rPr>
          <w:tab/>
        </w:r>
        <w:r>
          <w:rPr>
            <w:rStyle w:val="Hyperlink"/>
            <w:noProof/>
          </w:rPr>
          <w:t>ВЪВЕДЕНИЕ</w:t>
        </w:r>
        <w:r>
          <w:rPr>
            <w:noProof/>
            <w:webHidden/>
          </w:rPr>
          <w:tab/>
        </w:r>
        <w:r>
          <w:rPr>
            <w:noProof/>
            <w:webHidden/>
          </w:rPr>
          <w:fldChar w:fldCharType="begin"/>
        </w:r>
        <w:r>
          <w:rPr>
            <w:noProof/>
            <w:webHidden/>
          </w:rPr>
          <w:instrText xml:space="preserve"> PAGEREF _Toc493242920 \h </w:instrText>
        </w:r>
        <w:r>
          <w:rPr>
            <w:noProof/>
            <w:webHidden/>
          </w:rPr>
        </w:r>
        <w:r>
          <w:rPr>
            <w:noProof/>
            <w:webHidden/>
          </w:rPr>
          <w:fldChar w:fldCharType="separate"/>
        </w:r>
        <w:r w:rsidR="00225A8C">
          <w:rPr>
            <w:noProof/>
            <w:webHidden/>
          </w:rPr>
          <w:t>3</w:t>
        </w:r>
        <w:r>
          <w:rPr>
            <w:noProof/>
            <w:webHidden/>
          </w:rPr>
          <w:fldChar w:fldCharType="end"/>
        </w:r>
      </w:hyperlink>
    </w:p>
    <w:p w:rsidR="004E032F" w:rsidRDefault="009B0276">
      <w:pPr>
        <w:pStyle w:val="TOC2"/>
        <w:tabs>
          <w:tab w:val="left" w:pos="720"/>
          <w:tab w:val="right" w:leader="dot" w:pos="9062"/>
        </w:tabs>
        <w:rPr>
          <w:rFonts w:asciiTheme="minorHAnsi" w:eastAsiaTheme="minorEastAsia" w:hAnsiTheme="minorHAnsi" w:cstheme="minorBidi"/>
          <w:noProof/>
          <w:sz w:val="22"/>
          <w:lang w:eastAsia="en-GB"/>
        </w:rPr>
      </w:pPr>
      <w:hyperlink w:anchor="_Toc493242921" w:history="1">
        <w:r>
          <w:rPr>
            <w:rStyle w:val="Hyperlink"/>
            <w:noProof/>
          </w:rPr>
          <w:t>2.</w:t>
        </w:r>
        <w:r>
          <w:rPr>
            <w:rFonts w:asciiTheme="minorHAnsi" w:eastAsiaTheme="minorEastAsia" w:hAnsiTheme="minorHAnsi" w:cstheme="minorBidi"/>
            <w:noProof/>
            <w:sz w:val="22"/>
            <w:lang w:eastAsia="en-GB"/>
          </w:rPr>
          <w:tab/>
        </w:r>
        <w:r>
          <w:rPr>
            <w:rStyle w:val="Hyperlink"/>
            <w:noProof/>
          </w:rPr>
          <w:t>ОБЩ ПРЕГЛЕД НА СЪВКУПНОСТТА ОТ ФИНАНСОВИ ИНСТРУМЕНТИ</w:t>
        </w:r>
        <w:r>
          <w:rPr>
            <w:noProof/>
            <w:webHidden/>
          </w:rPr>
          <w:tab/>
        </w:r>
        <w:r>
          <w:rPr>
            <w:noProof/>
            <w:webHidden/>
          </w:rPr>
          <w:fldChar w:fldCharType="begin"/>
        </w:r>
        <w:r>
          <w:rPr>
            <w:noProof/>
            <w:webHidden/>
          </w:rPr>
          <w:instrText xml:space="preserve"> PAGEREF _Toc493242921 \h </w:instrText>
        </w:r>
        <w:r>
          <w:rPr>
            <w:noProof/>
            <w:webHidden/>
          </w:rPr>
        </w:r>
        <w:r>
          <w:rPr>
            <w:noProof/>
            <w:webHidden/>
          </w:rPr>
          <w:fldChar w:fldCharType="separate"/>
        </w:r>
        <w:r w:rsidR="00225A8C">
          <w:rPr>
            <w:noProof/>
            <w:webHidden/>
          </w:rPr>
          <w:t>4</w:t>
        </w:r>
        <w:r>
          <w:rPr>
            <w:noProof/>
            <w:webHidden/>
          </w:rPr>
          <w:fldChar w:fldCharType="end"/>
        </w:r>
      </w:hyperlink>
    </w:p>
    <w:p w:rsidR="004E032F" w:rsidRDefault="009B0276">
      <w:pPr>
        <w:pStyle w:val="TOC2"/>
        <w:tabs>
          <w:tab w:val="left" w:pos="720"/>
          <w:tab w:val="right" w:leader="dot" w:pos="9062"/>
        </w:tabs>
        <w:rPr>
          <w:rFonts w:asciiTheme="minorHAnsi" w:eastAsiaTheme="minorEastAsia" w:hAnsiTheme="minorHAnsi" w:cstheme="minorBidi"/>
          <w:noProof/>
          <w:sz w:val="22"/>
          <w:lang w:eastAsia="en-GB"/>
        </w:rPr>
      </w:pPr>
      <w:hyperlink w:anchor="_Toc493242922" w:history="1">
        <w:r>
          <w:rPr>
            <w:rStyle w:val="Hyperlink"/>
            <w:noProof/>
          </w:rPr>
          <w:t>3.</w:t>
        </w:r>
        <w:r>
          <w:rPr>
            <w:rFonts w:asciiTheme="minorHAnsi" w:eastAsiaTheme="minorEastAsia" w:hAnsiTheme="minorHAnsi" w:cstheme="minorBidi"/>
            <w:noProof/>
            <w:sz w:val="22"/>
            <w:lang w:eastAsia="en-GB"/>
          </w:rPr>
          <w:tab/>
        </w:r>
        <w:r>
          <w:rPr>
            <w:rStyle w:val="Hyperlink"/>
            <w:noProof/>
          </w:rPr>
          <w:t>ОБОСНОВКА НА ФИНАНСОВИТЕ ИНСТРУМЕНТИ</w:t>
        </w:r>
        <w:r>
          <w:rPr>
            <w:noProof/>
            <w:webHidden/>
          </w:rPr>
          <w:tab/>
        </w:r>
        <w:r>
          <w:rPr>
            <w:noProof/>
            <w:webHidden/>
          </w:rPr>
          <w:fldChar w:fldCharType="begin"/>
        </w:r>
        <w:r>
          <w:rPr>
            <w:noProof/>
            <w:webHidden/>
          </w:rPr>
          <w:instrText xml:space="preserve"> PAGEREF _Toc493242922 \h </w:instrText>
        </w:r>
        <w:r>
          <w:rPr>
            <w:noProof/>
            <w:webHidden/>
          </w:rPr>
        </w:r>
        <w:r>
          <w:rPr>
            <w:noProof/>
            <w:webHidden/>
          </w:rPr>
          <w:fldChar w:fldCharType="separate"/>
        </w:r>
        <w:r w:rsidR="00225A8C">
          <w:rPr>
            <w:noProof/>
            <w:webHidden/>
          </w:rPr>
          <w:t>6</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3" w:history="1">
        <w:r>
          <w:rPr>
            <w:rStyle w:val="Hyperlink"/>
            <w:noProof/>
          </w:rPr>
          <w:t>3.1.</w:t>
        </w:r>
        <w:r>
          <w:rPr>
            <w:rFonts w:asciiTheme="minorHAnsi" w:eastAsiaTheme="minorEastAsia" w:hAnsiTheme="minorHAnsi" w:cstheme="minorBidi"/>
            <w:noProof/>
            <w:sz w:val="22"/>
            <w:lang w:eastAsia="en-GB"/>
          </w:rPr>
          <w:tab/>
        </w:r>
        <w:r>
          <w:rPr>
            <w:rStyle w:val="Hyperlink"/>
            <w:noProof/>
          </w:rPr>
          <w:t>Текущ икономически контекст</w:t>
        </w:r>
        <w:r>
          <w:rPr>
            <w:noProof/>
            <w:webHidden/>
          </w:rPr>
          <w:tab/>
        </w:r>
        <w:r>
          <w:rPr>
            <w:noProof/>
            <w:webHidden/>
          </w:rPr>
          <w:fldChar w:fldCharType="begin"/>
        </w:r>
        <w:r>
          <w:rPr>
            <w:noProof/>
            <w:webHidden/>
          </w:rPr>
          <w:instrText xml:space="preserve"> PAGEREF _Toc493242923 \h </w:instrText>
        </w:r>
        <w:r>
          <w:rPr>
            <w:noProof/>
            <w:webHidden/>
          </w:rPr>
        </w:r>
        <w:r>
          <w:rPr>
            <w:noProof/>
            <w:webHidden/>
          </w:rPr>
          <w:fldChar w:fldCharType="separate"/>
        </w:r>
        <w:r w:rsidR="00225A8C">
          <w:rPr>
            <w:noProof/>
            <w:webHidden/>
          </w:rPr>
          <w:t>6</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4" w:history="1">
        <w:r>
          <w:rPr>
            <w:rStyle w:val="Hyperlink"/>
            <w:noProof/>
          </w:rPr>
          <w:t>3.2.</w:t>
        </w:r>
        <w:r>
          <w:rPr>
            <w:rFonts w:asciiTheme="minorHAnsi" w:eastAsiaTheme="minorEastAsia" w:hAnsiTheme="minorHAnsi" w:cstheme="minorBidi"/>
            <w:noProof/>
            <w:sz w:val="22"/>
            <w:lang w:eastAsia="en-GB"/>
          </w:rPr>
          <w:tab/>
        </w:r>
        <w:r>
          <w:rPr>
            <w:rStyle w:val="Hyperlink"/>
            <w:noProof/>
          </w:rPr>
          <w:t>Финансовите инструменти позволяват да се постигне повече с по-малко средства направи повече с по-малко</w:t>
        </w:r>
        <w:r>
          <w:rPr>
            <w:noProof/>
            <w:webHidden/>
          </w:rPr>
          <w:tab/>
        </w:r>
        <w:r>
          <w:rPr>
            <w:noProof/>
            <w:webHidden/>
          </w:rPr>
          <w:fldChar w:fldCharType="begin"/>
        </w:r>
        <w:r>
          <w:rPr>
            <w:noProof/>
            <w:webHidden/>
          </w:rPr>
          <w:instrText xml:space="preserve"> PAGEREF _Toc493242924 \h </w:instrText>
        </w:r>
        <w:r>
          <w:rPr>
            <w:noProof/>
            <w:webHidden/>
          </w:rPr>
        </w:r>
        <w:r>
          <w:rPr>
            <w:noProof/>
            <w:webHidden/>
          </w:rPr>
          <w:fldChar w:fldCharType="separate"/>
        </w:r>
        <w:r w:rsidR="00225A8C">
          <w:rPr>
            <w:noProof/>
            <w:webHidden/>
          </w:rPr>
          <w:t>6</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5" w:history="1">
        <w:r>
          <w:rPr>
            <w:rStyle w:val="Hyperlink"/>
            <w:noProof/>
          </w:rPr>
          <w:t>3.3.</w:t>
        </w:r>
        <w:r>
          <w:rPr>
            <w:rFonts w:asciiTheme="minorHAnsi" w:eastAsiaTheme="minorEastAsia" w:hAnsiTheme="minorHAnsi" w:cstheme="minorBidi"/>
            <w:noProof/>
            <w:sz w:val="22"/>
            <w:lang w:eastAsia="en-GB"/>
          </w:rPr>
          <w:tab/>
        </w:r>
        <w:r>
          <w:rPr>
            <w:rStyle w:val="Hyperlink"/>
            <w:noProof/>
          </w:rPr>
          <w:t>Финансовите</w:t>
        </w:r>
        <w:r>
          <w:rPr>
            <w:rStyle w:val="Hyperlink"/>
            <w:noProof/>
          </w:rPr>
          <w:t xml:space="preserve"> инструменти</w:t>
        </w:r>
        <w:bookmarkStart w:id="1" w:name="_GoBack"/>
        <w:bookmarkEnd w:id="1"/>
        <w:r>
          <w:rPr>
            <w:rStyle w:val="Hyperlink"/>
            <w:noProof/>
          </w:rPr>
          <w:t xml:space="preserve"> постигат по-голямо въздействие, когато се съчетават и смесват с други фондове</w:t>
        </w:r>
        <w:r>
          <w:rPr>
            <w:noProof/>
            <w:webHidden/>
          </w:rPr>
          <w:tab/>
        </w:r>
        <w:r>
          <w:rPr>
            <w:noProof/>
            <w:webHidden/>
          </w:rPr>
          <w:fldChar w:fldCharType="begin"/>
        </w:r>
        <w:r>
          <w:rPr>
            <w:noProof/>
            <w:webHidden/>
          </w:rPr>
          <w:instrText xml:space="preserve"> PAGEREF _Toc493242925 \h </w:instrText>
        </w:r>
        <w:r>
          <w:rPr>
            <w:noProof/>
            <w:webHidden/>
          </w:rPr>
        </w:r>
        <w:r>
          <w:rPr>
            <w:noProof/>
            <w:webHidden/>
          </w:rPr>
          <w:fldChar w:fldCharType="separate"/>
        </w:r>
        <w:r w:rsidR="00225A8C">
          <w:rPr>
            <w:noProof/>
            <w:webHidden/>
          </w:rPr>
          <w:t>7</w:t>
        </w:r>
        <w:r>
          <w:rPr>
            <w:noProof/>
            <w:webHidden/>
          </w:rPr>
          <w:fldChar w:fldCharType="end"/>
        </w:r>
      </w:hyperlink>
    </w:p>
    <w:p w:rsidR="004E032F" w:rsidRDefault="009B0276">
      <w:pPr>
        <w:pStyle w:val="TOC2"/>
        <w:tabs>
          <w:tab w:val="left" w:pos="720"/>
          <w:tab w:val="right" w:leader="dot" w:pos="9062"/>
        </w:tabs>
        <w:rPr>
          <w:rFonts w:asciiTheme="minorHAnsi" w:eastAsiaTheme="minorEastAsia" w:hAnsiTheme="minorHAnsi" w:cstheme="minorBidi"/>
          <w:noProof/>
          <w:sz w:val="22"/>
          <w:lang w:eastAsia="en-GB"/>
        </w:rPr>
      </w:pPr>
      <w:hyperlink w:anchor="_Toc493242926" w:history="1">
        <w:r>
          <w:rPr>
            <w:rStyle w:val="Hyperlink"/>
            <w:noProof/>
          </w:rPr>
          <w:t>4.</w:t>
        </w:r>
        <w:r>
          <w:rPr>
            <w:rFonts w:asciiTheme="minorHAnsi" w:eastAsiaTheme="minorEastAsia" w:hAnsiTheme="minorHAnsi" w:cstheme="minorBidi"/>
            <w:noProof/>
            <w:sz w:val="22"/>
            <w:lang w:eastAsia="en-GB"/>
          </w:rPr>
          <w:tab/>
        </w:r>
        <w:r>
          <w:rPr>
            <w:rStyle w:val="Hyperlink"/>
            <w:noProof/>
          </w:rPr>
          <w:t>АНАЛИЗ НА ДОКЛАДВАНАТА ИНФОРМАЦИЯ</w:t>
        </w:r>
        <w:r>
          <w:rPr>
            <w:noProof/>
            <w:webHidden/>
          </w:rPr>
          <w:tab/>
        </w:r>
        <w:r>
          <w:rPr>
            <w:noProof/>
            <w:webHidden/>
          </w:rPr>
          <w:fldChar w:fldCharType="begin"/>
        </w:r>
        <w:r>
          <w:rPr>
            <w:noProof/>
            <w:webHidden/>
          </w:rPr>
          <w:instrText xml:space="preserve"> PAGEREF _Toc493242926 \h </w:instrText>
        </w:r>
        <w:r>
          <w:rPr>
            <w:noProof/>
            <w:webHidden/>
          </w:rPr>
        </w:r>
        <w:r>
          <w:rPr>
            <w:noProof/>
            <w:webHidden/>
          </w:rPr>
          <w:fldChar w:fldCharType="separate"/>
        </w:r>
        <w:r w:rsidR="00225A8C">
          <w:rPr>
            <w:noProof/>
            <w:webHidden/>
          </w:rPr>
          <w:t>8</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7" w:history="1">
        <w:r>
          <w:rPr>
            <w:rStyle w:val="Hyperlink"/>
            <w:noProof/>
          </w:rPr>
          <w:t>4.1.</w:t>
        </w:r>
        <w:r>
          <w:rPr>
            <w:rFonts w:asciiTheme="minorHAnsi" w:eastAsiaTheme="minorEastAsia" w:hAnsiTheme="minorHAnsi" w:cstheme="minorBidi"/>
            <w:noProof/>
            <w:sz w:val="22"/>
            <w:lang w:eastAsia="en-GB"/>
          </w:rPr>
          <w:tab/>
        </w:r>
        <w:r>
          <w:rPr>
            <w:rStyle w:val="Hyperlink"/>
            <w:noProof/>
          </w:rPr>
          <w:t>Финансов ефект на лоста на инструментите за периода 2007—2013 г.</w:t>
        </w:r>
        <w:r>
          <w:rPr>
            <w:noProof/>
            <w:webHidden/>
          </w:rPr>
          <w:tab/>
        </w:r>
        <w:r>
          <w:rPr>
            <w:noProof/>
            <w:webHidden/>
          </w:rPr>
          <w:fldChar w:fldCharType="begin"/>
        </w:r>
        <w:r>
          <w:rPr>
            <w:noProof/>
            <w:webHidden/>
          </w:rPr>
          <w:instrText xml:space="preserve"> PAGEREF _Toc493242927 \h </w:instrText>
        </w:r>
        <w:r>
          <w:rPr>
            <w:noProof/>
            <w:webHidden/>
          </w:rPr>
        </w:r>
        <w:r>
          <w:rPr>
            <w:noProof/>
            <w:webHidden/>
          </w:rPr>
          <w:fldChar w:fldCharType="separate"/>
        </w:r>
        <w:r w:rsidR="00225A8C">
          <w:rPr>
            <w:noProof/>
            <w:webHidden/>
          </w:rPr>
          <w:t>9</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8" w:history="1">
        <w:r>
          <w:rPr>
            <w:rStyle w:val="Hyperlink"/>
            <w:noProof/>
          </w:rPr>
          <w:t>4.2.</w:t>
        </w:r>
        <w:r>
          <w:rPr>
            <w:rFonts w:asciiTheme="minorHAnsi" w:eastAsiaTheme="minorEastAsia" w:hAnsiTheme="minorHAnsi" w:cstheme="minorBidi"/>
            <w:noProof/>
            <w:sz w:val="22"/>
            <w:lang w:eastAsia="en-GB"/>
          </w:rPr>
          <w:tab/>
        </w:r>
        <w:r>
          <w:rPr>
            <w:rStyle w:val="Hyperlink"/>
            <w:noProof/>
          </w:rPr>
          <w:t>Финансов ефект на лоста на инструментите за периода 2014—2020 г.</w:t>
        </w:r>
        <w:r>
          <w:rPr>
            <w:noProof/>
            <w:webHidden/>
          </w:rPr>
          <w:tab/>
        </w:r>
        <w:r>
          <w:rPr>
            <w:noProof/>
            <w:webHidden/>
          </w:rPr>
          <w:fldChar w:fldCharType="begin"/>
        </w:r>
        <w:r>
          <w:rPr>
            <w:noProof/>
            <w:webHidden/>
          </w:rPr>
          <w:instrText xml:space="preserve"> PAGEREF _Toc493242928 \h </w:instrText>
        </w:r>
        <w:r>
          <w:rPr>
            <w:noProof/>
            <w:webHidden/>
          </w:rPr>
        </w:r>
        <w:r>
          <w:rPr>
            <w:noProof/>
            <w:webHidden/>
          </w:rPr>
          <w:fldChar w:fldCharType="separate"/>
        </w:r>
        <w:r w:rsidR="00225A8C">
          <w:rPr>
            <w:noProof/>
            <w:webHidden/>
          </w:rPr>
          <w:t>12</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29" w:history="1">
        <w:r>
          <w:rPr>
            <w:rStyle w:val="Hyperlink"/>
            <w:noProof/>
          </w:rPr>
          <w:t>4.3.</w:t>
        </w:r>
        <w:r>
          <w:rPr>
            <w:rFonts w:asciiTheme="minorHAnsi" w:eastAsiaTheme="minorEastAsia" w:hAnsiTheme="minorHAnsi" w:cstheme="minorBidi"/>
            <w:noProof/>
            <w:sz w:val="22"/>
            <w:lang w:eastAsia="en-GB"/>
          </w:rPr>
          <w:tab/>
        </w:r>
        <w:r>
          <w:rPr>
            <w:rStyle w:val="Hyperlink"/>
            <w:noProof/>
          </w:rPr>
          <w:t>Обслужвани целеви групи</w:t>
        </w:r>
        <w:r>
          <w:rPr>
            <w:noProof/>
            <w:webHidden/>
          </w:rPr>
          <w:tab/>
        </w:r>
        <w:r>
          <w:rPr>
            <w:noProof/>
            <w:webHidden/>
          </w:rPr>
          <w:fldChar w:fldCharType="begin"/>
        </w:r>
        <w:r>
          <w:rPr>
            <w:noProof/>
            <w:webHidden/>
          </w:rPr>
          <w:instrText xml:space="preserve"> PAGEREF _Toc493242929 \h </w:instrText>
        </w:r>
        <w:r>
          <w:rPr>
            <w:noProof/>
            <w:webHidden/>
          </w:rPr>
        </w:r>
        <w:r>
          <w:rPr>
            <w:noProof/>
            <w:webHidden/>
          </w:rPr>
          <w:fldChar w:fldCharType="separate"/>
        </w:r>
        <w:r w:rsidR="00225A8C">
          <w:rPr>
            <w:noProof/>
            <w:webHidden/>
          </w:rPr>
          <w:t>15</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30" w:history="1">
        <w:r>
          <w:rPr>
            <w:rStyle w:val="Hyperlink"/>
            <w:noProof/>
          </w:rPr>
          <w:t>4.4.</w:t>
        </w:r>
        <w:r>
          <w:rPr>
            <w:rFonts w:asciiTheme="minorHAnsi" w:eastAsiaTheme="minorEastAsia" w:hAnsiTheme="minorHAnsi" w:cstheme="minorBidi"/>
            <w:noProof/>
            <w:sz w:val="22"/>
            <w:lang w:eastAsia="en-GB"/>
          </w:rPr>
          <w:tab/>
        </w:r>
        <w:r>
          <w:rPr>
            <w:rStyle w:val="Hyperlink"/>
            <w:noProof/>
          </w:rPr>
          <w:t xml:space="preserve">Географско разпределение на </w:t>
        </w:r>
        <w:r>
          <w:rPr>
            <w:rStyle w:val="Hyperlink"/>
            <w:noProof/>
            <w:lang w:val="bg-BG"/>
          </w:rPr>
          <w:t>постигнатото</w:t>
        </w:r>
        <w:r>
          <w:rPr>
            <w:rStyle w:val="Hyperlink"/>
            <w:noProof/>
          </w:rPr>
          <w:t xml:space="preserve"> финансиране</w:t>
        </w:r>
        <w:r>
          <w:rPr>
            <w:noProof/>
            <w:webHidden/>
          </w:rPr>
          <w:tab/>
        </w:r>
        <w:r>
          <w:rPr>
            <w:noProof/>
            <w:webHidden/>
          </w:rPr>
          <w:fldChar w:fldCharType="begin"/>
        </w:r>
        <w:r>
          <w:rPr>
            <w:noProof/>
            <w:webHidden/>
          </w:rPr>
          <w:instrText xml:space="preserve"> PAGEREF _Toc493242930 \h </w:instrText>
        </w:r>
        <w:r>
          <w:rPr>
            <w:noProof/>
            <w:webHidden/>
          </w:rPr>
        </w:r>
        <w:r>
          <w:rPr>
            <w:noProof/>
            <w:webHidden/>
          </w:rPr>
          <w:fldChar w:fldCharType="separate"/>
        </w:r>
        <w:r w:rsidR="00225A8C">
          <w:rPr>
            <w:noProof/>
            <w:webHidden/>
          </w:rPr>
          <w:t>17</w:t>
        </w:r>
        <w:r>
          <w:rPr>
            <w:noProof/>
            <w:webHidden/>
          </w:rPr>
          <w:fldChar w:fldCharType="end"/>
        </w:r>
      </w:hyperlink>
    </w:p>
    <w:p w:rsidR="004E032F" w:rsidRDefault="009B0276">
      <w:pPr>
        <w:pStyle w:val="TOC3"/>
        <w:tabs>
          <w:tab w:val="left" w:pos="1100"/>
          <w:tab w:val="right" w:leader="dot" w:pos="9062"/>
        </w:tabs>
        <w:rPr>
          <w:rFonts w:asciiTheme="minorHAnsi" w:eastAsiaTheme="minorEastAsia" w:hAnsiTheme="minorHAnsi" w:cstheme="minorBidi"/>
          <w:noProof/>
          <w:sz w:val="22"/>
          <w:lang w:eastAsia="en-GB"/>
        </w:rPr>
      </w:pPr>
      <w:hyperlink w:anchor="_Toc493242931" w:history="1">
        <w:r>
          <w:rPr>
            <w:rStyle w:val="Hyperlink"/>
            <w:noProof/>
          </w:rPr>
          <w:t>4.5.</w:t>
        </w:r>
        <w:r>
          <w:rPr>
            <w:rFonts w:asciiTheme="minorHAnsi" w:eastAsiaTheme="minorEastAsia" w:hAnsiTheme="minorHAnsi" w:cstheme="minorBidi"/>
            <w:noProof/>
            <w:sz w:val="22"/>
            <w:lang w:eastAsia="en-GB"/>
          </w:rPr>
          <w:tab/>
        </w:r>
        <w:r>
          <w:rPr>
            <w:rStyle w:val="Hyperlink"/>
            <w:noProof/>
          </w:rPr>
          <w:t>Примери за успешни действия</w:t>
        </w:r>
        <w:r>
          <w:rPr>
            <w:noProof/>
            <w:webHidden/>
          </w:rPr>
          <w:tab/>
        </w:r>
        <w:r>
          <w:rPr>
            <w:noProof/>
            <w:webHidden/>
          </w:rPr>
          <w:fldChar w:fldCharType="begin"/>
        </w:r>
        <w:r>
          <w:rPr>
            <w:noProof/>
            <w:webHidden/>
          </w:rPr>
          <w:instrText xml:space="preserve"> PAGEREF _Toc493242931 \h </w:instrText>
        </w:r>
        <w:r>
          <w:rPr>
            <w:noProof/>
            <w:webHidden/>
          </w:rPr>
        </w:r>
        <w:r>
          <w:rPr>
            <w:noProof/>
            <w:webHidden/>
          </w:rPr>
          <w:fldChar w:fldCharType="separate"/>
        </w:r>
        <w:r w:rsidR="00225A8C">
          <w:rPr>
            <w:noProof/>
            <w:webHidden/>
          </w:rPr>
          <w:t>21</w:t>
        </w:r>
        <w:r>
          <w:rPr>
            <w:noProof/>
            <w:webHidden/>
          </w:rPr>
          <w:fldChar w:fldCharType="end"/>
        </w:r>
      </w:hyperlink>
    </w:p>
    <w:p w:rsidR="004E032F" w:rsidRDefault="009B0276">
      <w:pPr>
        <w:pStyle w:val="TOC2"/>
        <w:tabs>
          <w:tab w:val="left" w:pos="720"/>
          <w:tab w:val="right" w:leader="dot" w:pos="9062"/>
        </w:tabs>
        <w:rPr>
          <w:rFonts w:asciiTheme="minorHAnsi" w:eastAsiaTheme="minorEastAsia" w:hAnsiTheme="minorHAnsi" w:cstheme="minorBidi"/>
          <w:noProof/>
          <w:sz w:val="22"/>
          <w:lang w:eastAsia="en-GB"/>
        </w:rPr>
      </w:pPr>
      <w:hyperlink w:anchor="_Toc493242932" w:history="1">
        <w:r>
          <w:rPr>
            <w:rStyle w:val="Hyperlink"/>
            <w:noProof/>
          </w:rPr>
          <w:t>5.</w:t>
        </w:r>
        <w:r>
          <w:rPr>
            <w:rFonts w:asciiTheme="minorHAnsi" w:eastAsiaTheme="minorEastAsia" w:hAnsiTheme="minorHAnsi" w:cstheme="minorBidi"/>
            <w:noProof/>
            <w:sz w:val="22"/>
            <w:lang w:eastAsia="en-GB"/>
          </w:rPr>
          <w:tab/>
        </w:r>
        <w:r>
          <w:rPr>
            <w:rStyle w:val="Hyperlink"/>
            <w:noProof/>
          </w:rPr>
          <w:t>ЗАКЛЮЧЕНИЕ</w:t>
        </w:r>
        <w:r>
          <w:rPr>
            <w:noProof/>
            <w:webHidden/>
          </w:rPr>
          <w:tab/>
        </w:r>
        <w:r>
          <w:rPr>
            <w:noProof/>
            <w:webHidden/>
          </w:rPr>
          <w:fldChar w:fldCharType="begin"/>
        </w:r>
        <w:r>
          <w:rPr>
            <w:noProof/>
            <w:webHidden/>
          </w:rPr>
          <w:instrText xml:space="preserve"> PAGEREF _Toc493242932 \h </w:instrText>
        </w:r>
        <w:r>
          <w:rPr>
            <w:noProof/>
            <w:webHidden/>
          </w:rPr>
        </w:r>
        <w:r>
          <w:rPr>
            <w:noProof/>
            <w:webHidden/>
          </w:rPr>
          <w:fldChar w:fldCharType="separate"/>
        </w:r>
        <w:r w:rsidR="00225A8C">
          <w:rPr>
            <w:noProof/>
            <w:webHidden/>
          </w:rPr>
          <w:t>23</w:t>
        </w:r>
        <w:r>
          <w:rPr>
            <w:noProof/>
            <w:webHidden/>
          </w:rPr>
          <w:fldChar w:fldCharType="end"/>
        </w:r>
      </w:hyperlink>
    </w:p>
    <w:p w:rsidR="004E032F" w:rsidRDefault="009B0276">
      <w:pPr>
        <w:pStyle w:val="TOC2"/>
        <w:tabs>
          <w:tab w:val="left" w:pos="720"/>
          <w:tab w:val="right" w:leader="dot" w:pos="9062"/>
        </w:tabs>
        <w:rPr>
          <w:rFonts w:ascii="Calibri" w:eastAsia="MS Mincho" w:hAnsi="Calibri"/>
          <w:noProof/>
          <w:sz w:val="22"/>
        </w:rPr>
      </w:pPr>
      <w:r>
        <w:rPr>
          <w:bCs/>
          <w:noProof/>
        </w:rPr>
        <w:fldChar w:fldCharType="end"/>
      </w:r>
    </w:p>
    <w:p w:rsidR="004E032F" w:rsidRDefault="009B0276">
      <w:pPr>
        <w:pStyle w:val="Heading2"/>
        <w:rPr>
          <w:noProof/>
        </w:rPr>
      </w:pPr>
      <w:r>
        <w:rPr>
          <w:noProof/>
        </w:rPr>
        <w:br w:type="page"/>
      </w:r>
      <w:bookmarkStart w:id="2" w:name="_Toc486353195"/>
      <w:bookmarkStart w:id="3" w:name="_Toc493242920"/>
      <w:bookmarkStart w:id="4" w:name="_Toc387228706"/>
      <w:bookmarkStart w:id="5" w:name="_Toc388541836"/>
      <w:bookmarkStart w:id="6" w:name="_Toc387229283"/>
      <w:bookmarkStart w:id="7" w:name="_Toc388542045"/>
      <w:r>
        <w:rPr>
          <w:noProof/>
        </w:rPr>
        <w:lastRenderedPageBreak/>
        <w:t>ВЪВЕДЕНИЕ</w:t>
      </w:r>
      <w:bookmarkEnd w:id="2"/>
      <w:bookmarkEnd w:id="3"/>
    </w:p>
    <w:p w:rsidR="004E032F" w:rsidRDefault="009B0276">
      <w:pPr>
        <w:spacing w:before="100" w:beforeAutospacing="1" w:after="120"/>
        <w:jc w:val="both"/>
        <w:rPr>
          <w:noProof/>
          <w:szCs w:val="24"/>
        </w:rPr>
      </w:pPr>
      <w:r>
        <w:rPr>
          <w:noProof/>
        </w:rPr>
        <w:t>Съгласно член 140, параграф 8 от</w:t>
      </w:r>
      <w:r>
        <w:rPr>
          <w:noProof/>
        </w:rPr>
        <w:t xml:space="preserve"> Финансовия регламент Комисията представя наед Европейския парламент и на Съвета своя годишен доклад относно дейностите, които са свързани с финансовите инструменти на равнището на ЕС за вътрешните и външните политики на Съюза, подкрепяни от бюджета на Съю</w:t>
      </w:r>
      <w:r>
        <w:rPr>
          <w:noProof/>
        </w:rPr>
        <w:t>за и управлявани пряко или косвено от Комисията</w:t>
      </w:r>
      <w:r>
        <w:rPr>
          <w:rStyle w:val="FootnoteReference"/>
          <w:noProof/>
        </w:rPr>
        <w:footnoteReference w:id="2"/>
      </w:r>
      <w:r>
        <w:rPr>
          <w:noProof/>
        </w:rPr>
        <w:t>. Това е четвъртото издание на доклада по тази разпоредба</w:t>
      </w:r>
      <w:r>
        <w:rPr>
          <w:rStyle w:val="FootnoteReference"/>
          <w:noProof/>
        </w:rPr>
        <w:footnoteReference w:id="3"/>
      </w:r>
      <w:r>
        <w:rPr>
          <w:noProof/>
        </w:rPr>
        <w:t>.</w:t>
      </w:r>
    </w:p>
    <w:p w:rsidR="004E032F" w:rsidRDefault="009B0276">
      <w:pPr>
        <w:spacing w:before="0" w:after="120"/>
        <w:jc w:val="both"/>
        <w:rPr>
          <w:noProof/>
          <w:spacing w:val="-2"/>
          <w:szCs w:val="24"/>
        </w:rPr>
      </w:pPr>
      <w:r>
        <w:rPr>
          <w:noProof/>
          <w:spacing w:val="-2"/>
        </w:rPr>
        <w:t>С доклада се цели на Европейския парламент и на Съвета да се предостави пълен преглед на финансовите инструменти, създадени на равнището на ЕС, какт</w:t>
      </w:r>
      <w:r>
        <w:rPr>
          <w:noProof/>
          <w:spacing w:val="-2"/>
        </w:rPr>
        <w:t>о и резултатите от тяхното прилагане както в количествено, така и в качествено отношение, които следва да се използват като динамичен инструмент за процеса на вземане на решения. За да го направи по-полезен в това отношение, Комисията предложи, в рамките н</w:t>
      </w:r>
      <w:r>
        <w:rPr>
          <w:noProof/>
          <w:spacing w:val="-2"/>
        </w:rPr>
        <w:t>а предложението за преразглеждане на Финансовия регламент, обединяване на този доклад и другите документи, предоставящи информация за финансовите инструменти на ЕС</w:t>
      </w:r>
      <w:r>
        <w:rPr>
          <w:rStyle w:val="FootnoteReference"/>
          <w:noProof/>
          <w:spacing w:val="-2"/>
        </w:rPr>
        <w:footnoteReference w:id="4"/>
      </w:r>
      <w:r>
        <w:rPr>
          <w:noProof/>
          <w:spacing w:val="-2"/>
        </w:rPr>
        <w:t>,</w:t>
      </w:r>
      <w:r>
        <w:rPr>
          <w:noProof/>
          <w:spacing w:val="-2"/>
          <w:szCs w:val="24"/>
        </w:rPr>
        <w:sym w:font="Symbol" w:char="F02D"/>
      </w:r>
      <w:r>
        <w:rPr>
          <w:noProof/>
          <w:spacing w:val="-2"/>
        </w:rPr>
        <w:t xml:space="preserve"> които понастоящем се представят по различно време</w:t>
      </w:r>
      <w:r>
        <w:rPr>
          <w:noProof/>
          <w:spacing w:val="-2"/>
          <w:szCs w:val="24"/>
        </w:rPr>
        <w:sym w:font="Symbol" w:char="F02D"/>
      </w:r>
      <w:r>
        <w:rPr>
          <w:noProof/>
          <w:spacing w:val="-2"/>
        </w:rPr>
        <w:t xml:space="preserve">, в единен доклад, придружаващ проектобюджета. Новият доклад, </w:t>
      </w:r>
      <w:r>
        <w:rPr>
          <w:noProof/>
          <w:spacing w:val="-2"/>
          <w:szCs w:val="24"/>
        </w:rPr>
        <w:sym w:font="Symbol" w:char="F02D"/>
      </w:r>
      <w:r>
        <w:rPr>
          <w:noProof/>
          <w:spacing w:val="-2"/>
        </w:rPr>
        <w:t xml:space="preserve"> предвиден в предложението на Комисията за преразглеждане на Финансовия регламент</w:t>
      </w:r>
      <w:r>
        <w:rPr>
          <w:rStyle w:val="FootnoteReference"/>
          <w:noProof/>
          <w:spacing w:val="-2"/>
        </w:rPr>
        <w:footnoteReference w:id="5"/>
      </w:r>
      <w:r>
        <w:rPr>
          <w:noProof/>
          <w:spacing w:val="-2"/>
        </w:rPr>
        <w:t xml:space="preserve"> </w:t>
      </w:r>
      <w:r>
        <w:rPr>
          <w:noProof/>
          <w:spacing w:val="-2"/>
          <w:szCs w:val="24"/>
        </w:rPr>
        <w:sym w:font="Symbol" w:char="F02D"/>
      </w:r>
      <w:r>
        <w:rPr>
          <w:noProof/>
          <w:spacing w:val="-2"/>
        </w:rPr>
        <w:t xml:space="preserve">, ще обхваща не само финансовите инструменти, както се изисква в докладите съгласно Финансовия регламент, но </w:t>
      </w:r>
      <w:r>
        <w:rPr>
          <w:noProof/>
          <w:spacing w:val="-2"/>
        </w:rPr>
        <w:t>и бюджетните гаранции и финансовата помощ</w:t>
      </w:r>
      <w:r>
        <w:rPr>
          <w:rStyle w:val="FootnoteReference"/>
          <w:noProof/>
          <w:spacing w:val="-2"/>
        </w:rPr>
        <w:footnoteReference w:id="6"/>
      </w:r>
      <w:r>
        <w:rPr>
          <w:noProof/>
          <w:spacing w:val="-2"/>
        </w:rPr>
        <w:t>. Изготвянето на разширени доклади може да започне от влизането в сила на преразгледания Финансов регламент.</w:t>
      </w:r>
    </w:p>
    <w:p w:rsidR="004E032F" w:rsidRDefault="009B0276">
      <w:pPr>
        <w:spacing w:before="0" w:after="120"/>
        <w:jc w:val="both"/>
        <w:rPr>
          <w:noProof/>
          <w:spacing w:val="-4"/>
        </w:rPr>
      </w:pPr>
      <w:r>
        <w:rPr>
          <w:noProof/>
          <w:spacing w:val="-4"/>
        </w:rPr>
        <w:t>Следва да се отбележи, че подкрепяните от бюджета на Съюза инструменти, прилагани от държавите членки при</w:t>
      </w:r>
      <w:r>
        <w:rPr>
          <w:noProof/>
          <w:spacing w:val="-4"/>
        </w:rPr>
        <w:t xml:space="preserve"> споделено управление, са предмет на отделни доклади. За програмния период 2007—2013 г. до 1 октомври всяка година беше публикуван годишен обобщен доклад за прилагането на инструментите за финансовия инженеринг по Европейския фонд за регионално развитие (Е</w:t>
      </w:r>
      <w:r>
        <w:rPr>
          <w:noProof/>
          <w:spacing w:val="-4"/>
        </w:rPr>
        <w:t>ФРР) и Европейския социален фонд (ЕСФ)</w:t>
      </w:r>
      <w:r>
        <w:rPr>
          <w:rStyle w:val="FootnoteReference"/>
          <w:noProof/>
          <w:spacing w:val="-4"/>
        </w:rPr>
        <w:footnoteReference w:id="7"/>
      </w:r>
      <w:r>
        <w:rPr>
          <w:noProof/>
          <w:spacing w:val="-4"/>
        </w:rPr>
        <w:t xml:space="preserve">. Считано от 2016 г. Комисията предоставя обобщени данни за напредъка в прилагането на финансови инструменти при споделено управление, както се изисква в Регламента за общоприложимите разпоредби (РОР) за европейските </w:t>
      </w:r>
      <w:r>
        <w:rPr>
          <w:noProof/>
          <w:spacing w:val="-4"/>
        </w:rPr>
        <w:t xml:space="preserve">структурни и инвестиционни </w:t>
      </w:r>
      <w:r>
        <w:rPr>
          <w:noProof/>
          <w:spacing w:val="-4"/>
        </w:rPr>
        <w:lastRenderedPageBreak/>
        <w:t>фондове (ЕФРР, ЕСФ, Кохезионния фонд (КХ), Европейския земеделски фонд за развитие на селските райони (ЕЗФРСР) и Европейския фонд за морско дело и рибарство (ЕФМДР)</w:t>
      </w:r>
      <w:r>
        <w:rPr>
          <w:rStyle w:val="FootnoteReference"/>
          <w:noProof/>
          <w:spacing w:val="-4"/>
        </w:rPr>
        <w:footnoteReference w:id="8"/>
      </w:r>
      <w:r>
        <w:rPr>
          <w:noProof/>
          <w:spacing w:val="-4"/>
        </w:rPr>
        <w:t>. Първият годишен обобщен доклад за програмния период 2014—2020 </w:t>
      </w:r>
      <w:r>
        <w:rPr>
          <w:noProof/>
          <w:spacing w:val="-4"/>
        </w:rPr>
        <w:t>г. беше публикуван в края на 2016 г.</w:t>
      </w:r>
      <w:r>
        <w:rPr>
          <w:rStyle w:val="FootnoteReference"/>
          <w:noProof/>
          <w:spacing w:val="-4"/>
        </w:rPr>
        <w:footnoteReference w:id="9"/>
      </w:r>
      <w:r>
        <w:rPr>
          <w:noProof/>
          <w:spacing w:val="-4"/>
        </w:rPr>
        <w:t>. Аналогично, операции по финансиране и инвестиране по линия на бюджетната гаранция от ЕФСИ — които не са финансови инструменти по смисъла на Финансовия регламент — съгласно регламента за ЕФСИ са предмет на отделни докл</w:t>
      </w:r>
      <w:r>
        <w:rPr>
          <w:noProof/>
          <w:spacing w:val="-4"/>
        </w:rPr>
        <w:t>ади</w:t>
      </w:r>
      <w:r>
        <w:rPr>
          <w:rStyle w:val="FootnoteReference"/>
          <w:noProof/>
          <w:spacing w:val="-4"/>
        </w:rPr>
        <w:footnoteReference w:id="10"/>
      </w:r>
      <w:r>
        <w:rPr>
          <w:noProof/>
          <w:spacing w:val="-4"/>
        </w:rPr>
        <w:t>.</w:t>
      </w:r>
    </w:p>
    <w:p w:rsidR="004E032F" w:rsidRDefault="009B0276">
      <w:pPr>
        <w:spacing w:before="0" w:after="120"/>
        <w:jc w:val="both"/>
        <w:rPr>
          <w:noProof/>
          <w:spacing w:val="-6"/>
        </w:rPr>
      </w:pPr>
      <w:r>
        <w:rPr>
          <w:noProof/>
          <w:spacing w:val="-6"/>
        </w:rPr>
        <w:t>Настоящият доклад относно управляваните на равнището на ЕС инструменти се придружава от работен документ на службите на Комисията, който съдържа подробната информация за всеки финансов инструмент, изисквана в член 140, параграф 8, букви а)—л) от Фина</w:t>
      </w:r>
      <w:r>
        <w:rPr>
          <w:noProof/>
          <w:spacing w:val="-6"/>
        </w:rPr>
        <w:t xml:space="preserve">нсовия регламент. В </w:t>
      </w:r>
      <w:r>
        <w:rPr>
          <w:noProof/>
          <w:spacing w:val="-6"/>
          <w:u w:val="single"/>
        </w:rPr>
        <w:t>приложение 1</w:t>
      </w:r>
      <w:r>
        <w:rPr>
          <w:noProof/>
          <w:spacing w:val="-6"/>
        </w:rPr>
        <w:t xml:space="preserve"> към настоящия доклад тази информация е обобщена под формата на таблица за всеки инструмент. Освен това в обобщаваща таблица на страница 4 на работния документ на службите на Комисията се съдържа обобщен списък на финансовит</w:t>
      </w:r>
      <w:r>
        <w:rPr>
          <w:noProof/>
          <w:spacing w:val="-6"/>
        </w:rPr>
        <w:t>е инструменти, обхванати от доклада, заедно с правна и финансова информация.</w:t>
      </w:r>
    </w:p>
    <w:p w:rsidR="004E032F" w:rsidRDefault="004E032F">
      <w:pPr>
        <w:spacing w:before="0" w:after="0"/>
        <w:jc w:val="both"/>
        <w:rPr>
          <w:noProof/>
        </w:rPr>
      </w:pPr>
    </w:p>
    <w:p w:rsidR="004E032F" w:rsidRDefault="009B0276">
      <w:pPr>
        <w:pStyle w:val="Heading2"/>
        <w:spacing w:before="120"/>
        <w:ind w:left="357" w:hanging="357"/>
        <w:rPr>
          <w:noProof/>
        </w:rPr>
      </w:pPr>
      <w:bookmarkStart w:id="8" w:name="_Toc486353196"/>
      <w:bookmarkStart w:id="9" w:name="_Toc493242921"/>
      <w:r>
        <w:rPr>
          <w:noProof/>
        </w:rPr>
        <w:t>ОБЩ ПРЕГЛЕД НА СЪВКУПНОСТТА ОТ ФИНАНСОВИ ИНСТРУМЕНТИ</w:t>
      </w:r>
      <w:bookmarkEnd w:id="8"/>
      <w:bookmarkEnd w:id="9"/>
    </w:p>
    <w:p w:rsidR="004E032F" w:rsidRDefault="009B0276">
      <w:pPr>
        <w:spacing w:before="100" w:beforeAutospacing="1" w:after="100" w:afterAutospacing="1"/>
        <w:jc w:val="both"/>
        <w:rPr>
          <w:noProof/>
          <w:spacing w:val="-2"/>
          <w:szCs w:val="24"/>
        </w:rPr>
      </w:pPr>
      <w:r>
        <w:rPr>
          <w:noProof/>
          <w:spacing w:val="-2"/>
        </w:rPr>
        <w:t>Финансовите инструменти представляват „мерките на Съюза за финансова подкрепа, предоставяна като допълнителна подкрепа от бюд</w:t>
      </w:r>
      <w:r>
        <w:rPr>
          <w:noProof/>
          <w:spacing w:val="-2"/>
        </w:rPr>
        <w:t>жета с цел реализиране на една или повече конкретни цели на политиките на Съюза. Инструментите може да бъдат под формата на капиталови или квазикапиталови инвестиции, заеми или гаранции, или други инструменти за поделяне на риска, като по целесъобразност м</w:t>
      </w:r>
      <w:r>
        <w:rPr>
          <w:noProof/>
          <w:spacing w:val="-2"/>
        </w:rPr>
        <w:t>оже да бъдат комбинирани с безвъзмездни средства“</w:t>
      </w:r>
      <w:r>
        <w:rPr>
          <w:rStyle w:val="FootnoteReference"/>
          <w:noProof/>
          <w:spacing w:val="-2"/>
        </w:rPr>
        <w:footnoteReference w:id="11"/>
      </w:r>
      <w:r>
        <w:rPr>
          <w:noProof/>
          <w:spacing w:val="-2"/>
        </w:rPr>
        <w:t>; Понастоящем Комисията управлява пряко или косвено 35 финансови инструмента. На фигура 1 по-долу е показано как тези 35 инструмента, разграничени според типа (капиталови, гаранционни или смесени инструмент</w:t>
      </w:r>
      <w:r>
        <w:rPr>
          <w:noProof/>
          <w:spacing w:val="-2"/>
        </w:rPr>
        <w:t xml:space="preserve">и), се фокусират върху три основни стратегически цели: </w:t>
      </w:r>
      <w:r>
        <w:rPr>
          <w:noProof/>
          <w:spacing w:val="-2"/>
          <w:u w:val="single"/>
          <w:lang w:val="bg-BG"/>
        </w:rPr>
        <w:t>м</w:t>
      </w:r>
      <w:r>
        <w:rPr>
          <w:noProof/>
          <w:spacing w:val="-2"/>
          <w:u w:val="single"/>
        </w:rPr>
        <w:t xml:space="preserve">алки и средни предприятия </w:t>
      </w:r>
      <w:r>
        <w:rPr>
          <w:noProof/>
          <w:spacing w:val="-2"/>
        </w:rPr>
        <w:t xml:space="preserve">(„стратегически целеви групи“), </w:t>
      </w:r>
      <w:r>
        <w:rPr>
          <w:noProof/>
          <w:spacing w:val="-2"/>
          <w:u w:val="single"/>
        </w:rPr>
        <w:t>инфраструктура</w:t>
      </w:r>
      <w:r>
        <w:rPr>
          <w:noProof/>
          <w:spacing w:val="-2"/>
        </w:rPr>
        <w:t xml:space="preserve"> </w:t>
      </w:r>
      <w:r>
        <w:rPr>
          <w:noProof/>
          <w:spacing w:val="-2"/>
          <w:szCs w:val="24"/>
        </w:rPr>
        <w:sym w:font="Symbol" w:char="F02D"/>
      </w:r>
      <w:r>
        <w:rPr>
          <w:noProof/>
          <w:spacing w:val="-2"/>
          <w:szCs w:val="24"/>
          <w:lang w:val="bg-BG"/>
        </w:rPr>
        <w:t xml:space="preserve"> </w:t>
      </w:r>
      <w:r>
        <w:rPr>
          <w:noProof/>
          <w:spacing w:val="-2"/>
        </w:rPr>
        <w:t>в по-широк смисъл, включваща както материална, така и нематериална инфраструктура, като например научни изследвания и иноваци</w:t>
      </w:r>
      <w:r>
        <w:rPr>
          <w:noProof/>
          <w:spacing w:val="-2"/>
        </w:rPr>
        <w:t>и</w:t>
      </w:r>
      <w:r>
        <w:rPr>
          <w:noProof/>
          <w:spacing w:val="-2"/>
          <w:szCs w:val="24"/>
        </w:rPr>
        <w:sym w:font="Symbol" w:char="F02D"/>
      </w:r>
      <w:r>
        <w:rPr>
          <w:noProof/>
          <w:spacing w:val="-2"/>
        </w:rPr>
        <w:t xml:space="preserve"> („стратегически целеви сектори“) и </w:t>
      </w:r>
      <w:r>
        <w:rPr>
          <w:noProof/>
          <w:spacing w:val="-2"/>
          <w:u w:val="single"/>
        </w:rPr>
        <w:t>държавите, обхванати от политиката за разширяване и за добросъседство, и държавите, обхванати от Инструмента за сътрудничество за развитие</w:t>
      </w:r>
      <w:r>
        <w:rPr>
          <w:noProof/>
          <w:spacing w:val="-2"/>
        </w:rPr>
        <w:t xml:space="preserve"> („стратегически държави извън ЕС“). На фигура 1 се прави също така разграничени</w:t>
      </w:r>
      <w:r>
        <w:rPr>
          <w:noProof/>
          <w:spacing w:val="-2"/>
        </w:rPr>
        <w:t>е между инструментите, установени по многогодишната финансова рамка (МФР) за периода 2007—2013 г. (вътрешни орбити), и инструментите, установени по МФР за периода 2014—2020 г. (външни орбити), като се показва относителният размер на инструментите по отноше</w:t>
      </w:r>
      <w:r>
        <w:rPr>
          <w:noProof/>
          <w:spacing w:val="-2"/>
        </w:rPr>
        <w:t>ние на бюджетните пакети.</w:t>
      </w:r>
    </w:p>
    <w:p w:rsidR="004E032F" w:rsidRDefault="004E032F">
      <w:pPr>
        <w:spacing w:before="0" w:after="0" w:line="240" w:lineRule="auto"/>
        <w:rPr>
          <w:noProof/>
          <w:szCs w:val="24"/>
        </w:rPr>
        <w:sectPr w:rsidR="004E032F">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0" w:footer="0" w:gutter="0"/>
          <w:pgNumType w:start="2"/>
          <w:cols w:space="708"/>
          <w:docGrid w:linePitch="360"/>
        </w:sectPr>
      </w:pPr>
    </w:p>
    <w:p w:rsidR="004E032F" w:rsidRDefault="009B0276">
      <w:pPr>
        <w:spacing w:before="0" w:after="0" w:line="240" w:lineRule="auto"/>
        <w:rPr>
          <w:b/>
          <w:bCs/>
          <w:noProof/>
          <w:sz w:val="22"/>
        </w:rPr>
      </w:pPr>
      <w:r>
        <w:rPr>
          <w:b/>
          <w:noProof/>
          <w:sz w:val="22"/>
        </w:rPr>
        <w:lastRenderedPageBreak/>
        <w:t>Фигура </w:t>
      </w:r>
      <w:r>
        <w:rPr>
          <w:b/>
          <w:bCs/>
          <w:noProof/>
          <w:sz w:val="22"/>
        </w:rPr>
        <w:fldChar w:fldCharType="begin"/>
      </w:r>
      <w:r>
        <w:rPr>
          <w:b/>
          <w:bCs/>
          <w:noProof/>
          <w:sz w:val="22"/>
        </w:rPr>
        <w:instrText xml:space="preserve"> SEQ Graph \* ARABIC </w:instrText>
      </w:r>
      <w:r>
        <w:rPr>
          <w:b/>
          <w:bCs/>
          <w:noProof/>
          <w:sz w:val="22"/>
        </w:rPr>
        <w:fldChar w:fldCharType="separate"/>
      </w:r>
      <w:r>
        <w:rPr>
          <w:b/>
          <w:bCs/>
          <w:noProof/>
          <w:sz w:val="22"/>
        </w:rPr>
        <w:t>1</w:t>
      </w:r>
      <w:r>
        <w:rPr>
          <w:b/>
          <w:bCs/>
          <w:noProof/>
          <w:sz w:val="22"/>
        </w:rPr>
        <w:fldChar w:fldCharType="end"/>
      </w:r>
      <w:r>
        <w:rPr>
          <w:b/>
          <w:noProof/>
          <w:sz w:val="22"/>
        </w:rPr>
        <w:t xml:space="preserve">: Финансови инструменти за периода 2007—2013 г. и 2014—2020 г. към 31.12.2016 г. (в млн. </w:t>
      </w:r>
      <w:r>
        <w:rPr>
          <w:b/>
          <w:noProof/>
        </w:rPr>
        <w:t>евро)</w:t>
      </w:r>
    </w:p>
    <w:p w:rsidR="004E032F" w:rsidRDefault="009B0276">
      <w:pPr>
        <w:spacing w:before="100" w:beforeAutospacing="1" w:after="0"/>
        <w:jc w:val="center"/>
        <w:rPr>
          <w:noProof/>
          <w:szCs w:val="24"/>
          <w:lang w:val="bg-BG"/>
        </w:rPr>
      </w:pPr>
      <w:r>
        <w:rPr>
          <w:noProof/>
          <w:lang w:eastAsia="en-GB"/>
        </w:rPr>
        <w:drawing>
          <wp:inline distT="0" distB="0" distL="0" distR="0">
            <wp:extent cx="8122722" cy="5118265"/>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66"/>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8117508" cy="5114980"/>
                    </a:xfrm>
                    <a:prstGeom prst="rect">
                      <a:avLst/>
                    </a:prstGeom>
                    <a:noFill/>
                    <a:ln>
                      <a:noFill/>
                    </a:ln>
                  </pic:spPr>
                </pic:pic>
              </a:graphicData>
            </a:graphic>
          </wp:inline>
        </w:drawing>
      </w:r>
    </w:p>
    <w:p w:rsidR="004E032F" w:rsidRDefault="009B0276">
      <w:pPr>
        <w:spacing w:before="120" w:after="100" w:afterAutospacing="1"/>
        <w:rPr>
          <w:noProof/>
          <w:spacing w:val="-2"/>
          <w:sz w:val="18"/>
          <w:szCs w:val="18"/>
          <w:lang w:val="bg-BG"/>
        </w:rPr>
      </w:pPr>
      <w:r>
        <w:rPr>
          <w:noProof/>
          <w:spacing w:val="-2"/>
          <w:sz w:val="18"/>
          <w:lang w:val="bg-BG"/>
        </w:rPr>
        <w:t xml:space="preserve">Бележки: Списъкът с акронимите на </w:t>
      </w:r>
      <w:r>
        <w:rPr>
          <w:noProof/>
          <w:spacing w:val="-2"/>
          <w:sz w:val="18"/>
          <w:lang w:val="bg-BG"/>
        </w:rPr>
        <w:t>финансовите инструменти може да бъде намерен в края на настоящия документ. За инициативата за МСП цифрата включва само приноса на ЕФРР.</w:t>
      </w:r>
      <w:r>
        <w:rPr>
          <w:noProof/>
          <w:spacing w:val="-2"/>
          <w:lang w:val="bg-BG"/>
        </w:rPr>
        <w:br w:type="page"/>
      </w:r>
    </w:p>
    <w:p w:rsidR="004E032F" w:rsidRDefault="004E032F">
      <w:pPr>
        <w:spacing w:before="0" w:after="100" w:afterAutospacing="1"/>
        <w:rPr>
          <w:noProof/>
          <w:sz w:val="18"/>
          <w:szCs w:val="18"/>
          <w:lang w:val="bg-BG"/>
        </w:rPr>
        <w:sectPr w:rsidR="004E032F">
          <w:headerReference w:type="even" r:id="rId27"/>
          <w:headerReference w:type="default" r:id="rId28"/>
          <w:footerReference w:type="even" r:id="rId29"/>
          <w:footerReference w:type="default" r:id="rId30"/>
          <w:headerReference w:type="first" r:id="rId31"/>
          <w:footerReference w:type="first" r:id="rId32"/>
          <w:pgSz w:w="16838" w:h="11906" w:orient="landscape"/>
          <w:pgMar w:top="1417" w:right="1417" w:bottom="1417" w:left="1417" w:header="0" w:footer="0" w:gutter="0"/>
          <w:cols w:space="708"/>
          <w:docGrid w:linePitch="360"/>
        </w:sectPr>
      </w:pPr>
    </w:p>
    <w:p w:rsidR="004E032F" w:rsidRDefault="009B0276">
      <w:pPr>
        <w:spacing w:before="100" w:beforeAutospacing="1" w:after="100" w:afterAutospacing="1"/>
        <w:jc w:val="both"/>
        <w:rPr>
          <w:noProof/>
          <w:szCs w:val="24"/>
          <w:lang w:val="bg-BG"/>
        </w:rPr>
      </w:pPr>
      <w:r>
        <w:rPr>
          <w:noProof/>
          <w:lang w:val="bg-BG"/>
        </w:rPr>
        <w:lastRenderedPageBreak/>
        <w:t>Общият размер на финансовото участие в инструментите на Съюза</w:t>
      </w:r>
      <w:r>
        <w:rPr>
          <w:noProof/>
          <w:lang w:val="bg-BG"/>
        </w:rPr>
        <w:t xml:space="preserve"> за периода 2007—2013 г. възлезе на близо 5,7 милиарда евро. През периода 2014—2020</w:t>
      </w:r>
      <w:r>
        <w:rPr>
          <w:noProof/>
        </w:rPr>
        <w:t> </w:t>
      </w:r>
      <w:r>
        <w:rPr>
          <w:noProof/>
          <w:lang w:val="bg-BG"/>
        </w:rPr>
        <w:t>г. общият бюджетен пакет за финансовите инструменти възлиза на почти 9</w:t>
      </w:r>
      <w:r>
        <w:rPr>
          <w:noProof/>
        </w:rPr>
        <w:t> </w:t>
      </w:r>
      <w:r>
        <w:rPr>
          <w:noProof/>
          <w:lang w:val="bg-BG"/>
        </w:rPr>
        <w:t>милиарда евро, от които повече от 4,9</w:t>
      </w:r>
      <w:r>
        <w:rPr>
          <w:noProof/>
        </w:rPr>
        <w:t> </w:t>
      </w:r>
      <w:r>
        <w:rPr>
          <w:noProof/>
          <w:lang w:val="bg-BG"/>
        </w:rPr>
        <w:t>милиарда евро, т.е. около половината, са представлявали поети з</w:t>
      </w:r>
      <w:r>
        <w:rPr>
          <w:noProof/>
          <w:lang w:val="bg-BG"/>
        </w:rPr>
        <w:t>адължения до края на 2016</w:t>
      </w:r>
      <w:r>
        <w:rPr>
          <w:noProof/>
        </w:rPr>
        <w:t> </w:t>
      </w:r>
      <w:r>
        <w:rPr>
          <w:noProof/>
          <w:lang w:val="bg-BG"/>
        </w:rPr>
        <w:t>г.</w:t>
      </w:r>
      <w:r>
        <w:rPr>
          <w:rStyle w:val="FootnoteReference"/>
          <w:noProof/>
        </w:rPr>
        <w:footnoteReference w:id="12"/>
      </w:r>
      <w:r>
        <w:rPr>
          <w:noProof/>
          <w:lang w:val="bg-BG"/>
        </w:rPr>
        <w:t>.</w:t>
      </w:r>
    </w:p>
    <w:p w:rsidR="004E032F" w:rsidRDefault="009B0276">
      <w:pPr>
        <w:pStyle w:val="Heading2"/>
        <w:spacing w:after="0"/>
        <w:rPr>
          <w:noProof/>
        </w:rPr>
      </w:pPr>
      <w:bookmarkStart w:id="10" w:name="_Toc486353197"/>
      <w:bookmarkStart w:id="11" w:name="_Toc493242922"/>
      <w:r>
        <w:rPr>
          <w:noProof/>
        </w:rPr>
        <w:t>ОБОСНОВКА НА ФИНАНСОВИТЕ ИНСТРУМЕНТИ</w:t>
      </w:r>
      <w:bookmarkEnd w:id="10"/>
      <w:bookmarkEnd w:id="11"/>
    </w:p>
    <w:p w:rsidR="004E032F" w:rsidRDefault="009B0276">
      <w:pPr>
        <w:pStyle w:val="Heading3-a"/>
        <w:rPr>
          <w:noProof/>
        </w:rPr>
      </w:pPr>
      <w:bookmarkStart w:id="12" w:name="_Toc486350736"/>
      <w:bookmarkStart w:id="13" w:name="_Toc486353198"/>
      <w:bookmarkStart w:id="14" w:name="_Toc493242923"/>
      <w:r>
        <w:rPr>
          <w:noProof/>
        </w:rPr>
        <w:t>Текущ икономически контекст</w:t>
      </w:r>
      <w:bookmarkStart w:id="15" w:name="_Toc486353199"/>
      <w:bookmarkEnd w:id="12"/>
      <w:bookmarkEnd w:id="13"/>
      <w:bookmarkEnd w:id="14"/>
      <w:bookmarkEnd w:id="15"/>
    </w:p>
    <w:p w:rsidR="004E032F" w:rsidRDefault="009B0276">
      <w:pPr>
        <w:spacing w:before="100" w:beforeAutospacing="1" w:after="100" w:afterAutospacing="1"/>
        <w:jc w:val="both"/>
        <w:rPr>
          <w:noProof/>
          <w:szCs w:val="24"/>
        </w:rPr>
      </w:pPr>
      <w:r>
        <w:rPr>
          <w:noProof/>
        </w:rPr>
        <w:t>Икономическият контекст през 2016 г., в който бяха реализирани финансовите инструменти, се характеризираше с ниски, но положителни темпове на растеж на държавит</w:t>
      </w:r>
      <w:r>
        <w:rPr>
          <w:noProof/>
        </w:rPr>
        <w:t xml:space="preserve">е членки.. Европа се стреми към бавно, но стабилно възстановяване от икономическата и финансовата криза; темпът на този растеж обаче е все още ограничен поради структурни слабости в резултат на кризата. Инвестициите все още не са се увеличили значително и </w:t>
      </w:r>
      <w:r>
        <w:rPr>
          <w:noProof/>
        </w:rPr>
        <w:t>не се очаква да се повишат съществено през следващите няколко години поради политическата несигурност и скромната средносрочна и дългосрочна перспектива за търсенето. По-специално високите равнища на дълга на частния сектор и големият дял на необслужваните</w:t>
      </w:r>
      <w:r>
        <w:rPr>
          <w:noProof/>
        </w:rPr>
        <w:t xml:space="preserve"> кредити все още ограничават способността на банките да предоставят заеми, като по този начин се възпрепятстват икономическият растеж и финансовата стабилност. Тези предизвикателства продължават да изискват действия за по-нататъшно намаляване на зависимост</w:t>
      </w:r>
      <w:r>
        <w:rPr>
          <w:noProof/>
        </w:rPr>
        <w:t xml:space="preserve">та на европейската икономика от предоставянето на заеми от страна на банковия сектор. Достъпът до капиталово финансиране като алтернативен източник на финансиране, особено за малките предприятия, остава ограничен. </w:t>
      </w:r>
    </w:p>
    <w:p w:rsidR="004E032F" w:rsidRDefault="009B0276">
      <w:pPr>
        <w:spacing w:before="100" w:beforeAutospacing="1" w:after="100" w:afterAutospacing="1"/>
        <w:jc w:val="both"/>
        <w:rPr>
          <w:noProof/>
          <w:spacing w:val="-2"/>
          <w:szCs w:val="24"/>
        </w:rPr>
      </w:pPr>
      <w:r>
        <w:rPr>
          <w:noProof/>
          <w:spacing w:val="-2"/>
        </w:rPr>
        <w:t xml:space="preserve">По-подробен анализ на икономическия и </w:t>
      </w:r>
      <w:r>
        <w:rPr>
          <w:noProof/>
          <w:spacing w:val="-2"/>
        </w:rPr>
        <w:t>финансовия контекст, в който се прилагат финансовите инструменти, включително информация за пропуските във финансирането, се съдържа в приложението към работния документ на службите на Комисията.</w:t>
      </w:r>
    </w:p>
    <w:p w:rsidR="004E032F" w:rsidRDefault="009B0276">
      <w:pPr>
        <w:pStyle w:val="Heading3-a"/>
        <w:rPr>
          <w:noProof/>
        </w:rPr>
      </w:pPr>
      <w:bookmarkStart w:id="16" w:name="_Toc486353200"/>
      <w:bookmarkStart w:id="17" w:name="_Toc493242924"/>
      <w:r>
        <w:rPr>
          <w:noProof/>
        </w:rPr>
        <w:t>Финансовите инструменти позволяват да се постигне повече с п</w:t>
      </w:r>
      <w:r>
        <w:rPr>
          <w:noProof/>
        </w:rPr>
        <w:t>о-малко средства направи повече с по-малко</w:t>
      </w:r>
      <w:bookmarkEnd w:id="16"/>
      <w:bookmarkEnd w:id="17"/>
    </w:p>
    <w:p w:rsidR="004E032F" w:rsidRDefault="009B0276">
      <w:pPr>
        <w:spacing w:before="100" w:beforeAutospacing="1" w:after="100" w:afterAutospacing="1"/>
        <w:jc w:val="both"/>
        <w:rPr>
          <w:noProof/>
          <w:szCs w:val="24"/>
        </w:rPr>
      </w:pPr>
      <w:r>
        <w:rPr>
          <w:noProof/>
        </w:rPr>
        <w:t>Като цяло наличните средства за подкрепа на резултатите от политиката на ЕС са ограничени и поради това са необходими допълнителни ресурси за по-ефективно изпълнение на обществените цели. Финансовите инструменти н</w:t>
      </w:r>
      <w:r>
        <w:rPr>
          <w:noProof/>
        </w:rPr>
        <w:t>а равнището на Съюза допринасят за насърчаването на публичните финансови институции и частните инвеститори да отпускат заеми за реалната икономика, и по-специално за МСП с по-висок риск. Финансовите инструменти изпълняват изключително полезна роля при ката</w:t>
      </w:r>
      <w:r>
        <w:rPr>
          <w:noProof/>
        </w:rPr>
        <w:t xml:space="preserve">лизирането на допълнителни частни и публични средства чрез поделяне на някои от финансовите рискове с други публични или частни участници, осигурявайки по този </w:t>
      </w:r>
      <w:r>
        <w:rPr>
          <w:noProof/>
        </w:rPr>
        <w:lastRenderedPageBreak/>
        <w:t>начин финансов ефект на лоста. Тъй като публичните ресурси на държавите членки ще останат ограни</w:t>
      </w:r>
      <w:r>
        <w:rPr>
          <w:noProof/>
        </w:rPr>
        <w:t>чени, използването на финансовите инструменти в по-голяма степен, допълнено с бюджетни гаранции, а при необходимост — с безвъзмездни средства, е необходимо за отключването на допълнителни инвестиции от бюджета на ЕС, което ще оптимизира въздействието на бю</w:t>
      </w:r>
      <w:r>
        <w:rPr>
          <w:noProof/>
        </w:rPr>
        <w:t xml:space="preserve">джета върху финансирането на политиките на ЕС („да постигаме повече с по-малко средства“). </w:t>
      </w:r>
    </w:p>
    <w:p w:rsidR="004E032F" w:rsidRDefault="009B0276">
      <w:pPr>
        <w:spacing w:before="100" w:beforeAutospacing="1" w:after="100" w:afterAutospacing="1"/>
        <w:jc w:val="both"/>
        <w:rPr>
          <w:noProof/>
          <w:szCs w:val="24"/>
        </w:rPr>
      </w:pPr>
      <w:r>
        <w:rPr>
          <w:noProof/>
        </w:rPr>
        <w:t>Анализ на финансовия ефект на лоста за различните видове инструменти (всички сектори) е представен по-долу в раздел 4.</w:t>
      </w:r>
    </w:p>
    <w:p w:rsidR="004E032F" w:rsidRDefault="009B0276">
      <w:pPr>
        <w:spacing w:before="100" w:beforeAutospacing="1" w:after="100" w:afterAutospacing="1"/>
        <w:jc w:val="both"/>
        <w:rPr>
          <w:noProof/>
          <w:spacing w:val="-2"/>
          <w:szCs w:val="24"/>
        </w:rPr>
      </w:pPr>
      <w:r>
        <w:rPr>
          <w:noProof/>
          <w:spacing w:val="-2"/>
        </w:rPr>
        <w:t>Финансовият ефект на лоста обаче не е единств</w:t>
      </w:r>
      <w:r>
        <w:rPr>
          <w:noProof/>
          <w:spacing w:val="-2"/>
        </w:rPr>
        <w:t>еният ефект на лоста: когато финансовите посредници бъдат стимулирани да преследват общи цели чрез съгласуване на интересите, финансовите инструменти също така осигуряват политическо въздействие в различни условия и юрисдикции. Освен това се постига инстит</w:t>
      </w:r>
      <w:r>
        <w:rPr>
          <w:noProof/>
          <w:spacing w:val="-2"/>
        </w:rPr>
        <w:t>уционално въздействие, по-специално чрез мобилизиране на експертните знания в областта на политиката на ЕС на институционалните участници във веригата на прилагане.</w:t>
      </w:r>
    </w:p>
    <w:p w:rsidR="004E032F" w:rsidRDefault="009B0276">
      <w:pPr>
        <w:spacing w:before="100" w:beforeAutospacing="1" w:after="100" w:afterAutospacing="1"/>
        <w:jc w:val="both"/>
        <w:rPr>
          <w:noProof/>
          <w:szCs w:val="24"/>
        </w:rPr>
      </w:pPr>
      <w:r>
        <w:rPr>
          <w:noProof/>
        </w:rPr>
        <w:t xml:space="preserve">Въз основа на тази обосновка финансовите инструменти вече са изиграли значителна роля за </w:t>
      </w:r>
      <w:r>
        <w:rPr>
          <w:noProof/>
        </w:rPr>
        <w:t>осигуряване на средства за важни целеви групи, като например МСП, иновативните предприятия и микропредприятията, както и за подкрепа на проекти с висока стойност в стратегически сектори като транспорта и енергетиката. Те спомогнаха за справяне с неефективн</w:t>
      </w:r>
      <w:r>
        <w:rPr>
          <w:noProof/>
        </w:rPr>
        <w:t>остта на пазара и успяха да мобилизират значителни допълнителни ресурси от частния и публичния сектор</w:t>
      </w:r>
      <w:r>
        <w:rPr>
          <w:rStyle w:val="FootnoteReference"/>
          <w:noProof/>
        </w:rPr>
        <w:footnoteReference w:id="13"/>
      </w:r>
      <w:r>
        <w:rPr>
          <w:noProof/>
        </w:rPr>
        <w:t xml:space="preserve">. </w:t>
      </w:r>
    </w:p>
    <w:p w:rsidR="004E032F" w:rsidRDefault="009B0276">
      <w:pPr>
        <w:pStyle w:val="Heading3-a"/>
        <w:rPr>
          <w:noProof/>
        </w:rPr>
      </w:pPr>
      <w:bookmarkStart w:id="18" w:name="_Toc486353201"/>
      <w:bookmarkStart w:id="19" w:name="_Toc493242925"/>
      <w:r>
        <w:rPr>
          <w:noProof/>
        </w:rPr>
        <w:t>Финансовите инструменти постигат по-голямо въздействие, когато се съчетават и смесват с други фондове</w:t>
      </w:r>
      <w:bookmarkEnd w:id="18"/>
      <w:bookmarkEnd w:id="19"/>
    </w:p>
    <w:p w:rsidR="004E032F" w:rsidRDefault="009B0276">
      <w:pPr>
        <w:spacing w:before="100" w:beforeAutospacing="1" w:after="100" w:afterAutospacing="1"/>
        <w:jc w:val="both"/>
        <w:rPr>
          <w:noProof/>
          <w:szCs w:val="24"/>
        </w:rPr>
      </w:pPr>
      <w:r>
        <w:rPr>
          <w:noProof/>
        </w:rPr>
        <w:t>Ключов извод, направен от прилагането на финансов</w:t>
      </w:r>
      <w:r>
        <w:rPr>
          <w:noProof/>
        </w:rPr>
        <w:t>ите инструменти до момента, е ползата от съчетаването на различни източници на финансиране от ЕС, с цел да се постигне по-голямо въздействие на инвестираните средства в реалната икономика и по-голяма гъвкавост при изпълнението и целевия избор. Освен това с</w:t>
      </w:r>
      <w:r>
        <w:rPr>
          <w:noProof/>
        </w:rPr>
        <w:t>ъчетаването на финансови инструменти с безвъзмездни средства от ЕС, както и с регионални или национални фондове може да бъде необходимо за покриване на капиталовите разходи на проекти, които не могат да бъдат финансирани единствено чрез бюджетните финансов</w:t>
      </w:r>
      <w:r>
        <w:rPr>
          <w:noProof/>
        </w:rPr>
        <w:t xml:space="preserve">и инструменти на ЕС. Такива възможности за смесване вече се предлагат в МФР за периода 2014—2020 г. </w:t>
      </w:r>
    </w:p>
    <w:p w:rsidR="004E032F" w:rsidRDefault="009B0276">
      <w:pPr>
        <w:spacing w:before="100" w:beforeAutospacing="1" w:after="100" w:afterAutospacing="1"/>
        <w:jc w:val="both"/>
        <w:rPr>
          <w:noProof/>
          <w:spacing w:val="-6"/>
          <w:szCs w:val="24"/>
        </w:rPr>
      </w:pPr>
      <w:r>
        <w:rPr>
          <w:noProof/>
          <w:spacing w:val="-6"/>
        </w:rPr>
        <w:t>Например финансовите инструменти, създадени по програма „Хоризонт 2020“ за научни изследвания и иновации или COSME за МСП, бяха използвани в комбинация с г</w:t>
      </w:r>
      <w:r>
        <w:rPr>
          <w:noProof/>
          <w:spacing w:val="-6"/>
        </w:rPr>
        <w:t xml:space="preserve">аранция от бюджета. Още от самото начало финансовите инструменти по COSME и „Хоризонт 2020“ </w:t>
      </w:r>
      <w:r>
        <w:rPr>
          <w:noProof/>
          <w:spacing w:val="-6"/>
        </w:rPr>
        <w:lastRenderedPageBreak/>
        <w:t xml:space="preserve">бяха посрещнати с голям интерес от страна на пазара — техният първоначален финансов ресурс бе бързо изчерпан. Ето защо беше решено инструментите да бъдат разширени </w:t>
      </w:r>
      <w:r>
        <w:rPr>
          <w:noProof/>
          <w:spacing w:val="-6"/>
        </w:rPr>
        <w:t>чрез експозицията в рамките на капацитета за поемане на риск на Европейския фонд за стратегически инвестиции (ЕФСИ)</w:t>
      </w:r>
      <w:r>
        <w:rPr>
          <w:rStyle w:val="FootnoteReference"/>
          <w:noProof/>
          <w:spacing w:val="-6"/>
        </w:rPr>
        <w:footnoteReference w:id="14"/>
      </w:r>
      <w:r>
        <w:rPr>
          <w:noProof/>
          <w:spacing w:val="-6"/>
        </w:rPr>
        <w:t>, първия стълб на Плана за инвестиции за Европа</w:t>
      </w:r>
      <w:r>
        <w:rPr>
          <w:noProof/>
          <w:spacing w:val="-6"/>
          <w:lang w:val="bg-BG"/>
        </w:rPr>
        <w:t>.</w:t>
      </w:r>
      <w:r>
        <w:rPr>
          <w:rStyle w:val="FootnoteReference"/>
          <w:noProof/>
          <w:spacing w:val="-6"/>
        </w:rPr>
        <w:footnoteReference w:id="15"/>
      </w:r>
      <w:r>
        <w:rPr>
          <w:noProof/>
          <w:spacing w:val="-6"/>
        </w:rPr>
        <w:t xml:space="preserve"> </w:t>
      </w:r>
      <w:r>
        <w:rPr>
          <w:rStyle w:val="FootnoteReference"/>
          <w:noProof/>
          <w:spacing w:val="-6"/>
        </w:rPr>
        <w:footnoteReference w:id="16"/>
      </w:r>
    </w:p>
    <w:p w:rsidR="004E032F" w:rsidRDefault="009B0276">
      <w:pPr>
        <w:spacing w:before="100" w:beforeAutospacing="1" w:after="100" w:afterAutospacing="1"/>
        <w:jc w:val="both"/>
        <w:rPr>
          <w:noProof/>
          <w:szCs w:val="24"/>
        </w:rPr>
      </w:pPr>
      <w:r>
        <w:rPr>
          <w:noProof/>
        </w:rPr>
        <w:t>Друг пример е съчетаването на ресурси от финансовите инструменти на равнището на ЕС, ЕФС</w:t>
      </w:r>
      <w:r>
        <w:rPr>
          <w:noProof/>
        </w:rPr>
        <w:t>И и безвъзмездните средства за финансова помощ в областта на транспорта по Механизма за свързване на Европа (МСЕ), с цел отпускането на безвъзмездни средства от МСЕ да зависи от одобрението за финансиране по ЕФСИ или от сключването на споразумение за финан</w:t>
      </w:r>
      <w:r>
        <w:rPr>
          <w:noProof/>
        </w:rPr>
        <w:t xml:space="preserve">сиране с частен източник на финансиране, или национална насърчителна банка (ННБ) в рамките на 12 месеца от сключването на споразумението за отпускане на безвъзмездни средства. </w:t>
      </w:r>
    </w:p>
    <w:p w:rsidR="004E032F" w:rsidRDefault="009B0276">
      <w:pPr>
        <w:spacing w:before="100" w:beforeAutospacing="1" w:after="100" w:afterAutospacing="1"/>
        <w:jc w:val="both"/>
        <w:rPr>
          <w:noProof/>
          <w:szCs w:val="24"/>
        </w:rPr>
      </w:pPr>
      <w:r>
        <w:rPr>
          <w:noProof/>
        </w:rPr>
        <w:t>В перспектива финансирането на проектите чрез т. нар. „инвестиционни платформи“</w:t>
      </w:r>
      <w:r>
        <w:rPr>
          <w:noProof/>
        </w:rPr>
        <w:t xml:space="preserve"> по ЕФСИ е друг начин, което може да бъде подкрепен въз основа на по-високия катализиращ ефект на различните източници на финансиране, а именно фондовете на ЕС, собствените ресурси на групата на Европейската инвестиционна банка (ЕИБ), ННБ, частно финансира</w:t>
      </w:r>
      <w:r>
        <w:rPr>
          <w:noProof/>
        </w:rPr>
        <w:t>не, институционални инвеститори, държавни инвестиционни фондове и др., с цел увеличаване на капитала, използван за подпомагане на проектите.</w:t>
      </w:r>
    </w:p>
    <w:p w:rsidR="004E032F" w:rsidRDefault="009B0276">
      <w:pPr>
        <w:spacing w:before="100" w:beforeAutospacing="1" w:after="100" w:afterAutospacing="1"/>
        <w:jc w:val="both"/>
        <w:rPr>
          <w:noProof/>
          <w:szCs w:val="24"/>
        </w:rPr>
      </w:pPr>
      <w:r>
        <w:rPr>
          <w:noProof/>
        </w:rPr>
        <w:t>Освен това Регламентът за общоприложимите разпоредби (РОР)</w:t>
      </w:r>
      <w:r>
        <w:rPr>
          <w:rStyle w:val="FootnoteReference"/>
          <w:noProof/>
        </w:rPr>
        <w:footnoteReference w:id="17"/>
      </w:r>
      <w:r>
        <w:rPr>
          <w:noProof/>
        </w:rPr>
        <w:t xml:space="preserve"> позволява на държавите членки да комбинират европейскит</w:t>
      </w:r>
      <w:r>
        <w:rPr>
          <w:noProof/>
        </w:rPr>
        <w:t>е структурни и инвестиционни фондове (ЕСИФ) с ресурсите на „Хоризонт 2020“ и COSME в рамките на съвместни финансови инструменти. В предложението си за преразглеждане на Финансовия регламент Комисията препоръчва да се улесни още повече съчетаването на инстр</w:t>
      </w:r>
      <w:r>
        <w:rPr>
          <w:noProof/>
        </w:rPr>
        <w:t>ументите</w:t>
      </w:r>
      <w:r>
        <w:rPr>
          <w:rStyle w:val="FootnoteReference"/>
          <w:noProof/>
        </w:rPr>
        <w:footnoteReference w:id="18"/>
      </w:r>
      <w:r>
        <w:rPr>
          <w:noProof/>
        </w:rPr>
        <w:t xml:space="preserve">. </w:t>
      </w:r>
    </w:p>
    <w:p w:rsidR="004E032F" w:rsidRDefault="009B0276">
      <w:pPr>
        <w:pStyle w:val="Heading2"/>
        <w:rPr>
          <w:noProof/>
        </w:rPr>
      </w:pPr>
      <w:bookmarkStart w:id="20" w:name="_Toc486350740"/>
      <w:bookmarkStart w:id="21" w:name="_Toc486353202"/>
      <w:bookmarkStart w:id="22" w:name="_Toc486353203"/>
      <w:bookmarkStart w:id="23" w:name="_Toc493242926"/>
      <w:bookmarkEnd w:id="20"/>
      <w:bookmarkEnd w:id="21"/>
      <w:r>
        <w:rPr>
          <w:noProof/>
        </w:rPr>
        <w:t>АНАЛИЗ НА ДОКЛАДВАНАТА ИНФОРМАЦИЯ</w:t>
      </w:r>
      <w:bookmarkEnd w:id="22"/>
      <w:bookmarkEnd w:id="23"/>
    </w:p>
    <w:p w:rsidR="004E032F" w:rsidRDefault="009B0276">
      <w:pPr>
        <w:spacing w:before="100" w:beforeAutospacing="1" w:after="100" w:afterAutospacing="1"/>
        <w:jc w:val="both"/>
        <w:rPr>
          <w:noProof/>
          <w:spacing w:val="-4"/>
          <w:szCs w:val="24"/>
        </w:rPr>
      </w:pPr>
      <w:r>
        <w:rPr>
          <w:noProof/>
          <w:spacing w:val="-4"/>
        </w:rPr>
        <w:t>Информацията за финансовите инструменти, докладвана на Съвета и Европейския парламент съгласно член 140, параграф 8 от Финансовия регламент, има за цел да гарантира прозрачност и отчетност при използването на п</w:t>
      </w:r>
      <w:r>
        <w:rPr>
          <w:noProof/>
          <w:spacing w:val="-4"/>
        </w:rPr>
        <w:t xml:space="preserve">арите на данъкоплатците. В </w:t>
      </w:r>
      <w:r>
        <w:rPr>
          <w:noProof/>
          <w:spacing w:val="-4"/>
        </w:rPr>
        <w:lastRenderedPageBreak/>
        <w:t>работния документ на службите на Комисията се съдържа много информация за отделните инструменти с акцент върху правото на бюджетния орган на пълен поглед върху изпълнението на бюджета на ЕС чрез финансовите инструменти. Въз основ</w:t>
      </w:r>
      <w:r>
        <w:rPr>
          <w:noProof/>
          <w:spacing w:val="-4"/>
        </w:rPr>
        <w:t>а на тази информация е възможно да се направят и някои общи заключения относно степента на постигане на целите на финансовите инструменти, по-специално във връзка с основната им обосновка — финансовия ефект на лоста („да постигаме повече с по-малко средств</w:t>
      </w:r>
      <w:r>
        <w:rPr>
          <w:noProof/>
          <w:spacing w:val="-4"/>
        </w:rPr>
        <w:t xml:space="preserve">а“). </w:t>
      </w:r>
    </w:p>
    <w:p w:rsidR="004E032F" w:rsidRDefault="009B0276">
      <w:pPr>
        <w:spacing w:before="100" w:beforeAutospacing="1" w:after="100" w:afterAutospacing="1"/>
        <w:jc w:val="both"/>
        <w:rPr>
          <w:noProof/>
          <w:spacing w:val="-6"/>
          <w:szCs w:val="24"/>
        </w:rPr>
      </w:pPr>
      <w:r>
        <w:rPr>
          <w:noProof/>
          <w:spacing w:val="-6"/>
        </w:rPr>
        <w:t>Това, което се откроява от наличните доказателства от прилагането досега, е, че чрез финансовите инструменти са насочени значителни средства към редица крайни бенефициери в реалната икономика. Така доказателствата сочат, че финансовите инструменти са</w:t>
      </w:r>
      <w:r>
        <w:rPr>
          <w:noProof/>
          <w:spacing w:val="-6"/>
        </w:rPr>
        <w:t xml:space="preserve"> ефективен начин за справяне с нуждите от финансиране на реалната икономика: използвани при партньорства с публични и частни институции, те спомагат за преодоляването на неефективността на пазара при предоставянето на външно финансиране.</w:t>
      </w:r>
    </w:p>
    <w:p w:rsidR="004E032F" w:rsidRDefault="009B0276">
      <w:pPr>
        <w:spacing w:before="100" w:beforeAutospacing="1" w:after="100" w:afterAutospacing="1"/>
        <w:jc w:val="both"/>
        <w:rPr>
          <w:noProof/>
          <w:szCs w:val="24"/>
        </w:rPr>
      </w:pPr>
      <w:r>
        <w:rPr>
          <w:noProof/>
        </w:rPr>
        <w:t>Графики 1—8 в след</w:t>
      </w:r>
      <w:r>
        <w:rPr>
          <w:noProof/>
        </w:rPr>
        <w:t>ващите раздели представят визуално прилагането на финансовите инструменти по отношение на бюджетните ресурси, ефекта на лоста, финансирането и инвестициите в реалната икономика в МФР за 2007—2013 г. и 2014—2020 г. към 31 декември 2016 г. както общо, така и</w:t>
      </w:r>
      <w:r>
        <w:rPr>
          <w:noProof/>
        </w:rPr>
        <w:t xml:space="preserve"> по финансови категории (дългови , капиталови и смесени инструменти).</w:t>
      </w:r>
    </w:p>
    <w:p w:rsidR="004E032F" w:rsidRDefault="009B0276">
      <w:pPr>
        <w:pStyle w:val="Heading3-a"/>
        <w:rPr>
          <w:noProof/>
        </w:rPr>
      </w:pPr>
      <w:bookmarkStart w:id="24" w:name="_Toc486353204"/>
      <w:bookmarkStart w:id="25" w:name="_Toc493242927"/>
      <w:r>
        <w:rPr>
          <w:noProof/>
        </w:rPr>
        <w:t>Финансов ефект на лоста на инструментите за периода 2007—2013 г.</w:t>
      </w:r>
      <w:r>
        <w:rPr>
          <w:rStyle w:val="FootnoteReference"/>
          <w:noProof/>
        </w:rPr>
        <w:footnoteReference w:id="19"/>
      </w:r>
      <w:bookmarkEnd w:id="24"/>
      <w:bookmarkEnd w:id="25"/>
    </w:p>
    <w:p w:rsidR="004E032F" w:rsidRDefault="009B0276">
      <w:pPr>
        <w:spacing w:before="100" w:beforeAutospacing="1" w:after="100" w:afterAutospacing="1"/>
        <w:jc w:val="both"/>
        <w:rPr>
          <w:noProof/>
          <w:szCs w:val="24"/>
        </w:rPr>
      </w:pPr>
      <w:r>
        <w:rPr>
          <w:noProof/>
        </w:rPr>
        <w:t xml:space="preserve">До 31 декември 2016 г. общият размер на финансовото участие в инструментите на Съюза за периода 2007—2013 г., възлизащо </w:t>
      </w:r>
      <w:r>
        <w:rPr>
          <w:noProof/>
        </w:rPr>
        <w:t>на близо 5,7 милиарда евро, подкрепи финансиране от около 81,7 милиарда евро, както и инвестиции в размер на 134 милиарда евро в полза на стратегически целеви групи и сектори в области на вътрешните и външните политики на ЕС. Постигнатият агрегиран коефици</w:t>
      </w:r>
      <w:r>
        <w:rPr>
          <w:noProof/>
        </w:rPr>
        <w:t xml:space="preserve">ент на ефекта на лоста е 14,4 (вж. </w:t>
      </w:r>
      <w:r>
        <w:rPr>
          <w:noProof/>
          <w:u w:val="single"/>
        </w:rPr>
        <w:t>графика 1</w:t>
      </w:r>
      <w:r>
        <w:rPr>
          <w:noProof/>
        </w:rPr>
        <w:t xml:space="preserve">). </w:t>
      </w:r>
    </w:p>
    <w:p w:rsidR="004E032F" w:rsidRDefault="009B0276">
      <w:pPr>
        <w:pStyle w:val="Caption"/>
        <w:keepNext/>
        <w:spacing w:after="240"/>
        <w:rPr>
          <w:noProof/>
          <w:spacing w:val="-2"/>
          <w:sz w:val="22"/>
          <w:szCs w:val="22"/>
        </w:rPr>
      </w:pPr>
      <w:r>
        <w:rPr>
          <w:noProof/>
          <w:spacing w:val="-2"/>
          <w:sz w:val="22"/>
        </w:rPr>
        <w:lastRenderedPageBreak/>
        <w:t>Графика 1: Финансови инструменти за периода 2007—2013 г. към 31</w:t>
      </w:r>
      <w:r>
        <w:rPr>
          <w:noProof/>
          <w:spacing w:val="-2"/>
        </w:rPr>
        <w:t>.12.2016 г. (в млрд. евро)</w:t>
      </w:r>
    </w:p>
    <w:p w:rsidR="004E032F" w:rsidRDefault="009B0276">
      <w:pPr>
        <w:rPr>
          <w:noProof/>
          <w:lang w:val="bg-BG"/>
        </w:rPr>
      </w:pPr>
      <w:r>
        <w:rPr>
          <w:noProof/>
          <w:lang w:eastAsia="en-GB"/>
        </w:rPr>
        <w:drawing>
          <wp:inline distT="0" distB="0" distL="0" distR="0">
            <wp:extent cx="5762847" cy="3370521"/>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62823" cy="3370507"/>
                    </a:xfrm>
                    <a:prstGeom prst="rect">
                      <a:avLst/>
                    </a:prstGeom>
                    <a:noFill/>
                  </pic:spPr>
                </pic:pic>
              </a:graphicData>
            </a:graphic>
          </wp:inline>
        </w:drawing>
      </w:r>
    </w:p>
    <w:p w:rsidR="004E032F" w:rsidRDefault="009B0276">
      <w:pPr>
        <w:spacing w:before="0" w:after="0" w:line="240" w:lineRule="auto"/>
        <w:rPr>
          <w:noProof/>
          <w:sz w:val="16"/>
          <w:szCs w:val="16"/>
          <w:lang w:val="bg-BG"/>
        </w:rPr>
      </w:pPr>
      <w:r>
        <w:rPr>
          <w:noProof/>
          <w:sz w:val="16"/>
          <w:lang w:val="bg-BG"/>
        </w:rPr>
        <w:t xml:space="preserve">Разглеждани инструменти: </w:t>
      </w:r>
      <w:r>
        <w:rPr>
          <w:noProof/>
          <w:sz w:val="16"/>
        </w:rPr>
        <w:t>SMEG</w:t>
      </w:r>
      <w:r>
        <w:rPr>
          <w:noProof/>
          <w:sz w:val="16"/>
          <w:lang w:val="bg-BG"/>
        </w:rPr>
        <w:t xml:space="preserve"> 07, </w:t>
      </w:r>
      <w:r>
        <w:rPr>
          <w:noProof/>
          <w:sz w:val="16"/>
        </w:rPr>
        <w:t>EPMF</w:t>
      </w:r>
      <w:r>
        <w:rPr>
          <w:noProof/>
          <w:sz w:val="16"/>
          <w:lang w:val="bg-BG"/>
        </w:rPr>
        <w:t>-</w:t>
      </w:r>
      <w:r>
        <w:rPr>
          <w:noProof/>
          <w:sz w:val="16"/>
        </w:rPr>
        <w:t>G</w:t>
      </w:r>
      <w:r>
        <w:rPr>
          <w:noProof/>
          <w:sz w:val="16"/>
          <w:lang w:val="bg-BG"/>
        </w:rPr>
        <w:t xml:space="preserve">, </w:t>
      </w:r>
      <w:r>
        <w:rPr>
          <w:noProof/>
          <w:sz w:val="16"/>
        </w:rPr>
        <w:t>RSI</w:t>
      </w:r>
      <w:r>
        <w:rPr>
          <w:noProof/>
          <w:sz w:val="16"/>
          <w:lang w:val="bg-BG"/>
        </w:rPr>
        <w:t xml:space="preserve">, </w:t>
      </w:r>
      <w:r>
        <w:rPr>
          <w:noProof/>
          <w:sz w:val="16"/>
        </w:rPr>
        <w:t>RSFF</w:t>
      </w:r>
      <w:r>
        <w:rPr>
          <w:noProof/>
          <w:sz w:val="16"/>
          <w:lang w:val="bg-BG"/>
        </w:rPr>
        <w:t xml:space="preserve">, </w:t>
      </w:r>
      <w:r>
        <w:rPr>
          <w:noProof/>
          <w:sz w:val="16"/>
        </w:rPr>
        <w:t>FCP</w:t>
      </w:r>
      <w:r>
        <w:rPr>
          <w:noProof/>
          <w:sz w:val="16"/>
          <w:lang w:val="bg-BG"/>
        </w:rPr>
        <w:t>-</w:t>
      </w:r>
      <w:r>
        <w:rPr>
          <w:noProof/>
          <w:sz w:val="16"/>
        </w:rPr>
        <w:t>FIS</w:t>
      </w:r>
      <w:r>
        <w:rPr>
          <w:noProof/>
          <w:sz w:val="16"/>
          <w:lang w:val="bg-BG"/>
        </w:rPr>
        <w:t xml:space="preserve">, </w:t>
      </w:r>
      <w:r>
        <w:rPr>
          <w:noProof/>
          <w:sz w:val="16"/>
        </w:rPr>
        <w:t>EDIF</w:t>
      </w:r>
      <w:r>
        <w:rPr>
          <w:noProof/>
          <w:sz w:val="16"/>
          <w:lang w:val="bg-BG"/>
        </w:rPr>
        <w:t xml:space="preserve"> </w:t>
      </w:r>
      <w:r>
        <w:rPr>
          <w:noProof/>
          <w:sz w:val="16"/>
        </w:rPr>
        <w:t>GF</w:t>
      </w:r>
      <w:r>
        <w:rPr>
          <w:noProof/>
          <w:sz w:val="16"/>
          <w:lang w:val="bg-BG"/>
        </w:rPr>
        <w:t xml:space="preserve"> 1, </w:t>
      </w:r>
      <w:r>
        <w:rPr>
          <w:noProof/>
          <w:sz w:val="16"/>
        </w:rPr>
        <w:t>EFSE</w:t>
      </w:r>
      <w:r>
        <w:rPr>
          <w:noProof/>
          <w:sz w:val="16"/>
          <w:lang w:val="bg-BG"/>
        </w:rPr>
        <w:t xml:space="preserve">, </w:t>
      </w:r>
      <w:r>
        <w:rPr>
          <w:noProof/>
          <w:sz w:val="16"/>
        </w:rPr>
        <w:t>RSL</w:t>
      </w:r>
      <w:r>
        <w:rPr>
          <w:noProof/>
          <w:sz w:val="16"/>
          <w:lang w:val="bg-BG"/>
        </w:rPr>
        <w:t xml:space="preserve"> Турция, </w:t>
      </w:r>
      <w:r>
        <w:rPr>
          <w:noProof/>
          <w:sz w:val="16"/>
        </w:rPr>
        <w:t>GIF</w:t>
      </w:r>
      <w:r>
        <w:rPr>
          <w:noProof/>
          <w:sz w:val="16"/>
          <w:lang w:val="bg-BG"/>
        </w:rPr>
        <w:t xml:space="preserve"> (</w:t>
      </w:r>
      <w:r>
        <w:rPr>
          <w:noProof/>
          <w:sz w:val="16"/>
        </w:rPr>
        <w:t>CIP</w:t>
      </w:r>
      <w:r>
        <w:rPr>
          <w:noProof/>
          <w:sz w:val="16"/>
          <w:lang w:val="bg-BG"/>
        </w:rPr>
        <w:t xml:space="preserve">), </w:t>
      </w:r>
      <w:r>
        <w:rPr>
          <w:noProof/>
          <w:sz w:val="16"/>
        </w:rPr>
        <w:t>Marguerite</w:t>
      </w:r>
      <w:r>
        <w:rPr>
          <w:noProof/>
          <w:sz w:val="16"/>
          <w:lang w:val="bg-BG"/>
        </w:rPr>
        <w:t xml:space="preserve">, </w:t>
      </w:r>
      <w:r>
        <w:rPr>
          <w:noProof/>
          <w:sz w:val="16"/>
        </w:rPr>
        <w:t>ENEF</w:t>
      </w:r>
      <w:r>
        <w:rPr>
          <w:noProof/>
          <w:sz w:val="16"/>
          <w:lang w:val="bg-BG"/>
        </w:rPr>
        <w:t xml:space="preserve"> по линия на </w:t>
      </w:r>
      <w:r>
        <w:rPr>
          <w:noProof/>
          <w:sz w:val="16"/>
        </w:rPr>
        <w:t>EDIF</w:t>
      </w:r>
      <w:r>
        <w:rPr>
          <w:noProof/>
          <w:sz w:val="16"/>
          <w:lang w:val="bg-BG"/>
        </w:rPr>
        <w:t xml:space="preserve">, </w:t>
      </w:r>
      <w:r>
        <w:rPr>
          <w:noProof/>
          <w:sz w:val="16"/>
        </w:rPr>
        <w:t>ENIF</w:t>
      </w:r>
      <w:r>
        <w:rPr>
          <w:noProof/>
          <w:sz w:val="16"/>
          <w:lang w:val="bg-BG"/>
        </w:rPr>
        <w:t xml:space="preserve"> по линия на </w:t>
      </w:r>
      <w:r>
        <w:rPr>
          <w:noProof/>
          <w:sz w:val="16"/>
        </w:rPr>
        <w:t>EDIF</w:t>
      </w:r>
      <w:r>
        <w:rPr>
          <w:noProof/>
          <w:sz w:val="16"/>
          <w:lang w:val="bg-BG"/>
        </w:rPr>
        <w:t xml:space="preserve">, подкрепа за </w:t>
      </w:r>
      <w:r>
        <w:rPr>
          <w:noProof/>
          <w:sz w:val="16"/>
        </w:rPr>
        <w:t>FEMIP</w:t>
      </w:r>
      <w:r>
        <w:rPr>
          <w:noProof/>
          <w:sz w:val="16"/>
          <w:lang w:val="bg-BG"/>
        </w:rPr>
        <w:t xml:space="preserve">, </w:t>
      </w:r>
      <w:r>
        <w:rPr>
          <w:noProof/>
          <w:sz w:val="16"/>
        </w:rPr>
        <w:t>GEEREF</w:t>
      </w:r>
      <w:r>
        <w:rPr>
          <w:noProof/>
          <w:sz w:val="16"/>
          <w:lang w:val="bg-BG"/>
        </w:rPr>
        <w:t xml:space="preserve">, </w:t>
      </w:r>
      <w:r>
        <w:rPr>
          <w:noProof/>
          <w:sz w:val="16"/>
        </w:rPr>
        <w:t>EEEF</w:t>
      </w:r>
      <w:r>
        <w:rPr>
          <w:noProof/>
          <w:sz w:val="16"/>
          <w:lang w:val="bg-BG"/>
        </w:rPr>
        <w:t xml:space="preserve">, </w:t>
      </w:r>
      <w:r>
        <w:rPr>
          <w:noProof/>
          <w:sz w:val="16"/>
        </w:rPr>
        <w:t>GGF</w:t>
      </w:r>
      <w:r>
        <w:rPr>
          <w:noProof/>
          <w:sz w:val="16"/>
          <w:lang w:val="bg-BG"/>
        </w:rPr>
        <w:t xml:space="preserve">, </w:t>
      </w:r>
      <w:r>
        <w:rPr>
          <w:noProof/>
          <w:sz w:val="16"/>
        </w:rPr>
        <w:t>NIF</w:t>
      </w:r>
      <w:r>
        <w:rPr>
          <w:noProof/>
          <w:sz w:val="16"/>
          <w:lang w:val="bg-BG"/>
        </w:rPr>
        <w:t xml:space="preserve">, </w:t>
      </w:r>
      <w:r>
        <w:rPr>
          <w:noProof/>
          <w:sz w:val="16"/>
        </w:rPr>
        <w:t>IFCA</w:t>
      </w:r>
      <w:r>
        <w:rPr>
          <w:noProof/>
          <w:sz w:val="16"/>
          <w:lang w:val="bg-BG"/>
        </w:rPr>
        <w:t>&amp;</w:t>
      </w:r>
      <w:r>
        <w:rPr>
          <w:noProof/>
          <w:sz w:val="16"/>
        </w:rPr>
        <w:t>AIF</w:t>
      </w:r>
      <w:r>
        <w:rPr>
          <w:noProof/>
          <w:sz w:val="16"/>
          <w:lang w:val="bg-BG"/>
        </w:rPr>
        <w:t xml:space="preserve">, </w:t>
      </w:r>
      <w:r>
        <w:rPr>
          <w:noProof/>
          <w:sz w:val="16"/>
        </w:rPr>
        <w:t>LAIF</w:t>
      </w:r>
    </w:p>
    <w:p w:rsidR="004E032F" w:rsidRDefault="004E032F">
      <w:pPr>
        <w:pStyle w:val="Caption"/>
        <w:keepNext/>
        <w:jc w:val="both"/>
        <w:rPr>
          <w:noProof/>
          <w:lang w:val="bg-BG"/>
        </w:rPr>
      </w:pPr>
    </w:p>
    <w:p w:rsidR="004E032F" w:rsidRDefault="009B0276">
      <w:pPr>
        <w:rPr>
          <w:noProof/>
          <w:spacing w:val="-6"/>
          <w:lang w:val="bg-BG"/>
        </w:rPr>
      </w:pPr>
      <w:r>
        <w:rPr>
          <w:noProof/>
          <w:spacing w:val="-6"/>
          <w:lang w:val="bg-BG"/>
        </w:rPr>
        <w:t xml:space="preserve">В </w:t>
      </w:r>
      <w:r>
        <w:rPr>
          <w:noProof/>
          <w:spacing w:val="-6"/>
          <w:u w:val="single"/>
          <w:lang w:val="bg-BG"/>
        </w:rPr>
        <w:t>графики 2—4</w:t>
      </w:r>
      <w:r>
        <w:rPr>
          <w:noProof/>
          <w:spacing w:val="-6"/>
          <w:lang w:val="bg-BG"/>
        </w:rPr>
        <w:t xml:space="preserve"> по-долу е дадена разбивка </w:t>
      </w:r>
      <w:r>
        <w:rPr>
          <w:noProof/>
          <w:spacing w:val="-6"/>
          <w:u w:val="single"/>
          <w:lang w:val="bg-BG"/>
        </w:rPr>
        <w:t>по видове инструменти</w:t>
      </w:r>
      <w:r>
        <w:rPr>
          <w:noProof/>
          <w:spacing w:val="-6"/>
          <w:lang w:val="bg-BG"/>
        </w:rPr>
        <w:t xml:space="preserve"> за периода 2007—2013</w:t>
      </w:r>
      <w:r>
        <w:rPr>
          <w:noProof/>
          <w:spacing w:val="-6"/>
        </w:rPr>
        <w:t> </w:t>
      </w:r>
      <w:r>
        <w:rPr>
          <w:noProof/>
          <w:spacing w:val="-6"/>
          <w:lang w:val="bg-BG"/>
        </w:rPr>
        <w:t>г.</w:t>
      </w:r>
    </w:p>
    <w:p w:rsidR="004E032F" w:rsidRDefault="004E032F">
      <w:pPr>
        <w:rPr>
          <w:noProof/>
          <w:lang w:val="bg-BG"/>
        </w:rPr>
      </w:pPr>
    </w:p>
    <w:p w:rsidR="004E032F" w:rsidRDefault="009B0276">
      <w:pPr>
        <w:pStyle w:val="Caption"/>
        <w:keepNext/>
        <w:jc w:val="both"/>
        <w:rPr>
          <w:noProof/>
          <w:sz w:val="22"/>
          <w:szCs w:val="22"/>
          <w:lang w:val="bg-BG"/>
        </w:rPr>
      </w:pPr>
      <w:r>
        <w:rPr>
          <w:noProof/>
          <w:sz w:val="22"/>
          <w:lang w:val="bg-BG"/>
        </w:rPr>
        <w:t>Графика</w:t>
      </w:r>
      <w:r>
        <w:rPr>
          <w:noProof/>
          <w:sz w:val="22"/>
        </w:rPr>
        <w:t> </w:t>
      </w:r>
      <w:r>
        <w:rPr>
          <w:noProof/>
          <w:sz w:val="22"/>
          <w:lang w:val="bg-BG"/>
        </w:rPr>
        <w:t>2: Дългови финансови инструменти за периода 2007—2013</w:t>
      </w:r>
      <w:r>
        <w:rPr>
          <w:noProof/>
          <w:sz w:val="22"/>
        </w:rPr>
        <w:t> </w:t>
      </w:r>
      <w:r>
        <w:rPr>
          <w:noProof/>
          <w:sz w:val="22"/>
          <w:lang w:val="bg-BG"/>
        </w:rPr>
        <w:t xml:space="preserve">г. към 31.12.2016 г. </w:t>
      </w:r>
      <w:r>
        <w:rPr>
          <w:noProof/>
          <w:sz w:val="22"/>
          <w:lang w:val="bg-BG"/>
        </w:rPr>
        <w:br/>
        <w:t>(в м</w:t>
      </w:r>
      <w:r>
        <w:rPr>
          <w:noProof/>
          <w:lang w:val="bg-BG"/>
        </w:rPr>
        <w:t>лрд. евро)</w:t>
      </w:r>
    </w:p>
    <w:p w:rsidR="004E032F" w:rsidRDefault="009B0276">
      <w:pPr>
        <w:rPr>
          <w:noProof/>
          <w:sz w:val="16"/>
          <w:szCs w:val="16"/>
          <w:lang w:val="it-IT"/>
        </w:rPr>
      </w:pPr>
      <w:r>
        <w:rPr>
          <w:noProof/>
          <w:sz w:val="20"/>
          <w:szCs w:val="24"/>
          <w:lang w:eastAsia="en-GB"/>
        </w:rPr>
        <w:drawing>
          <wp:inline distT="0" distB="0" distL="0" distR="0">
            <wp:extent cx="5209954" cy="34544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04098" cy="3450590"/>
                    </a:xfrm>
                    <a:prstGeom prst="rect">
                      <a:avLst/>
                    </a:prstGeom>
                    <a:noFill/>
                  </pic:spPr>
                </pic:pic>
              </a:graphicData>
            </a:graphic>
          </wp:inline>
        </w:drawing>
      </w:r>
    </w:p>
    <w:p w:rsidR="004E032F" w:rsidRDefault="009B0276">
      <w:pPr>
        <w:rPr>
          <w:noProof/>
          <w:sz w:val="16"/>
          <w:szCs w:val="16"/>
          <w:lang w:val="bg-BG"/>
        </w:rPr>
      </w:pPr>
      <w:r>
        <w:rPr>
          <w:noProof/>
          <w:sz w:val="16"/>
          <w:lang w:val="bg-BG"/>
        </w:rPr>
        <w:t xml:space="preserve">Разглеждани инструменти: </w:t>
      </w:r>
      <w:r>
        <w:rPr>
          <w:noProof/>
          <w:sz w:val="16"/>
          <w:lang w:val="it-IT"/>
        </w:rPr>
        <w:t>SMEG</w:t>
      </w:r>
      <w:r>
        <w:rPr>
          <w:noProof/>
          <w:sz w:val="16"/>
          <w:lang w:val="bg-BG"/>
        </w:rPr>
        <w:t xml:space="preserve"> 07, </w:t>
      </w:r>
      <w:r>
        <w:rPr>
          <w:noProof/>
          <w:sz w:val="16"/>
          <w:lang w:val="it-IT"/>
        </w:rPr>
        <w:t>EPMF</w:t>
      </w:r>
      <w:r>
        <w:rPr>
          <w:noProof/>
          <w:sz w:val="16"/>
          <w:lang w:val="bg-BG"/>
        </w:rPr>
        <w:t>-</w:t>
      </w:r>
      <w:r>
        <w:rPr>
          <w:noProof/>
          <w:sz w:val="16"/>
          <w:lang w:val="it-IT"/>
        </w:rPr>
        <w:t>G</w:t>
      </w:r>
      <w:r>
        <w:rPr>
          <w:noProof/>
          <w:sz w:val="16"/>
          <w:lang w:val="bg-BG"/>
        </w:rPr>
        <w:t xml:space="preserve">, </w:t>
      </w:r>
      <w:r>
        <w:rPr>
          <w:noProof/>
          <w:sz w:val="16"/>
          <w:lang w:val="it-IT"/>
        </w:rPr>
        <w:t>RSI</w:t>
      </w:r>
      <w:r>
        <w:rPr>
          <w:noProof/>
          <w:sz w:val="16"/>
          <w:lang w:val="bg-BG"/>
        </w:rPr>
        <w:t xml:space="preserve">, </w:t>
      </w:r>
      <w:r>
        <w:rPr>
          <w:noProof/>
          <w:sz w:val="16"/>
          <w:lang w:val="it-IT"/>
        </w:rPr>
        <w:t>RSFF</w:t>
      </w:r>
      <w:r>
        <w:rPr>
          <w:noProof/>
          <w:sz w:val="16"/>
          <w:lang w:val="bg-BG"/>
        </w:rPr>
        <w:t xml:space="preserve">, </w:t>
      </w:r>
      <w:r>
        <w:rPr>
          <w:noProof/>
          <w:sz w:val="16"/>
          <w:lang w:val="it-IT"/>
        </w:rPr>
        <w:t>FCP</w:t>
      </w:r>
      <w:r>
        <w:rPr>
          <w:noProof/>
          <w:sz w:val="16"/>
          <w:lang w:val="bg-BG"/>
        </w:rPr>
        <w:t>-</w:t>
      </w:r>
      <w:r>
        <w:rPr>
          <w:noProof/>
          <w:sz w:val="16"/>
          <w:lang w:val="it-IT"/>
        </w:rPr>
        <w:t>FIS</w:t>
      </w:r>
      <w:r>
        <w:rPr>
          <w:noProof/>
          <w:sz w:val="16"/>
          <w:lang w:val="bg-BG"/>
        </w:rPr>
        <w:t xml:space="preserve">, </w:t>
      </w:r>
      <w:r>
        <w:rPr>
          <w:noProof/>
          <w:sz w:val="16"/>
          <w:lang w:val="it-IT"/>
        </w:rPr>
        <w:t>EDIF</w:t>
      </w:r>
      <w:r>
        <w:rPr>
          <w:noProof/>
          <w:sz w:val="16"/>
          <w:lang w:val="bg-BG"/>
        </w:rPr>
        <w:t xml:space="preserve"> </w:t>
      </w:r>
      <w:r>
        <w:rPr>
          <w:noProof/>
          <w:sz w:val="16"/>
          <w:lang w:val="it-IT"/>
        </w:rPr>
        <w:t>GF</w:t>
      </w:r>
      <w:r>
        <w:rPr>
          <w:noProof/>
          <w:sz w:val="16"/>
          <w:lang w:val="bg-BG"/>
        </w:rPr>
        <w:t xml:space="preserve"> 1, </w:t>
      </w:r>
      <w:r>
        <w:rPr>
          <w:noProof/>
          <w:sz w:val="16"/>
          <w:lang w:val="it-IT"/>
        </w:rPr>
        <w:t>EFSE</w:t>
      </w:r>
      <w:r>
        <w:rPr>
          <w:noProof/>
          <w:sz w:val="16"/>
          <w:lang w:val="bg-BG"/>
        </w:rPr>
        <w:t xml:space="preserve">, </w:t>
      </w:r>
      <w:r>
        <w:rPr>
          <w:noProof/>
          <w:sz w:val="16"/>
          <w:lang w:val="it-IT"/>
        </w:rPr>
        <w:t>RSL</w:t>
      </w:r>
      <w:r>
        <w:rPr>
          <w:noProof/>
          <w:sz w:val="16"/>
          <w:lang w:val="bg-BG"/>
        </w:rPr>
        <w:t xml:space="preserve"> Турция.</w:t>
      </w:r>
    </w:p>
    <w:p w:rsidR="004E032F" w:rsidRDefault="004E032F">
      <w:pPr>
        <w:rPr>
          <w:noProof/>
          <w:sz w:val="20"/>
          <w:szCs w:val="24"/>
          <w:lang w:val="bg-BG"/>
        </w:rPr>
      </w:pPr>
    </w:p>
    <w:p w:rsidR="004E032F" w:rsidRDefault="009B0276">
      <w:pPr>
        <w:pStyle w:val="Caption"/>
        <w:keepNext/>
        <w:rPr>
          <w:noProof/>
          <w:sz w:val="22"/>
          <w:szCs w:val="22"/>
          <w:lang w:val="bg-BG"/>
        </w:rPr>
      </w:pPr>
      <w:r>
        <w:rPr>
          <w:noProof/>
          <w:spacing w:val="-4"/>
          <w:sz w:val="22"/>
          <w:lang w:val="bg-BG"/>
        </w:rPr>
        <w:lastRenderedPageBreak/>
        <w:t>Графика</w:t>
      </w:r>
      <w:r>
        <w:rPr>
          <w:noProof/>
          <w:spacing w:val="-4"/>
          <w:sz w:val="22"/>
        </w:rPr>
        <w:t> </w:t>
      </w:r>
      <w:r>
        <w:rPr>
          <w:noProof/>
          <w:spacing w:val="-4"/>
          <w:sz w:val="22"/>
          <w:lang w:val="bg-BG"/>
        </w:rPr>
        <w:t>3:</w:t>
      </w:r>
      <w:r>
        <w:rPr>
          <w:b w:val="0"/>
          <w:noProof/>
          <w:spacing w:val="-4"/>
          <w:sz w:val="22"/>
          <w:lang w:val="bg-BG"/>
        </w:rPr>
        <w:t xml:space="preserve"> </w:t>
      </w:r>
      <w:r>
        <w:rPr>
          <w:noProof/>
          <w:spacing w:val="-4"/>
          <w:sz w:val="22"/>
          <w:lang w:val="bg-BG"/>
        </w:rPr>
        <w:t>Капиталови финансови инструменти за периода 2007—2013</w:t>
      </w:r>
      <w:r>
        <w:rPr>
          <w:noProof/>
          <w:spacing w:val="-4"/>
          <w:sz w:val="22"/>
        </w:rPr>
        <w:t> </w:t>
      </w:r>
      <w:r>
        <w:rPr>
          <w:noProof/>
          <w:spacing w:val="-4"/>
          <w:sz w:val="22"/>
          <w:lang w:val="bg-BG"/>
        </w:rPr>
        <w:t>г. към 31.12.2016</w:t>
      </w:r>
      <w:r>
        <w:rPr>
          <w:noProof/>
          <w:spacing w:val="-4"/>
          <w:sz w:val="22"/>
          <w:lang w:val="it-IT"/>
        </w:rPr>
        <w:t> </w:t>
      </w:r>
      <w:r>
        <w:rPr>
          <w:noProof/>
          <w:spacing w:val="-4"/>
          <w:sz w:val="22"/>
          <w:lang w:val="bg-BG"/>
        </w:rPr>
        <w:t>г.</w:t>
      </w:r>
      <w:r>
        <w:rPr>
          <w:noProof/>
          <w:sz w:val="22"/>
          <w:lang w:val="bg-BG"/>
        </w:rPr>
        <w:t xml:space="preserve"> </w:t>
      </w:r>
      <w:r>
        <w:rPr>
          <w:noProof/>
          <w:sz w:val="22"/>
          <w:lang w:val="bg-BG"/>
        </w:rPr>
        <w:br/>
        <w:t>(в м</w:t>
      </w:r>
      <w:r>
        <w:rPr>
          <w:noProof/>
          <w:lang w:val="bg-BG"/>
        </w:rPr>
        <w:t>лрд. евро)</w:t>
      </w:r>
    </w:p>
    <w:p w:rsidR="004E032F" w:rsidRDefault="009B0276">
      <w:pPr>
        <w:rPr>
          <w:noProof/>
          <w:sz w:val="16"/>
        </w:rPr>
      </w:pPr>
      <w:r>
        <w:rPr>
          <w:noProof/>
          <w:sz w:val="16"/>
          <w:lang w:eastAsia="en-GB"/>
        </w:rPr>
        <w:drawing>
          <wp:inline distT="0" distB="0" distL="0" distR="0">
            <wp:extent cx="5263117" cy="33598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263887" cy="3360381"/>
                    </a:xfrm>
                    <a:prstGeom prst="rect">
                      <a:avLst/>
                    </a:prstGeom>
                    <a:noFill/>
                  </pic:spPr>
                </pic:pic>
              </a:graphicData>
            </a:graphic>
          </wp:inline>
        </w:drawing>
      </w:r>
    </w:p>
    <w:p w:rsidR="004E032F" w:rsidRDefault="009B0276">
      <w:pPr>
        <w:rPr>
          <w:noProof/>
          <w:sz w:val="16"/>
          <w:szCs w:val="16"/>
        </w:rPr>
      </w:pPr>
      <w:r>
        <w:rPr>
          <w:noProof/>
          <w:sz w:val="16"/>
        </w:rPr>
        <w:t xml:space="preserve">Разглеждани </w:t>
      </w:r>
      <w:r>
        <w:rPr>
          <w:noProof/>
          <w:sz w:val="16"/>
        </w:rPr>
        <w:t>инструменти: GIF (CIP), Marguerite, ENEF по линия на EDIF, ENIF по линия на EDIF, подкрепа за FEMIP, GEEREF</w:t>
      </w:r>
    </w:p>
    <w:p w:rsidR="004E032F" w:rsidRDefault="004E032F">
      <w:pPr>
        <w:rPr>
          <w:noProof/>
        </w:rPr>
      </w:pPr>
    </w:p>
    <w:p w:rsidR="004E032F" w:rsidRDefault="009B0276">
      <w:pPr>
        <w:pStyle w:val="Caption"/>
        <w:keepNext/>
        <w:rPr>
          <w:noProof/>
          <w:sz w:val="22"/>
          <w:szCs w:val="22"/>
        </w:rPr>
      </w:pPr>
      <w:r>
        <w:rPr>
          <w:noProof/>
          <w:sz w:val="22"/>
        </w:rPr>
        <w:t>Графика 4:</w:t>
      </w:r>
      <w:r>
        <w:rPr>
          <w:b w:val="0"/>
          <w:noProof/>
          <w:sz w:val="22"/>
        </w:rPr>
        <w:t xml:space="preserve"> </w:t>
      </w:r>
      <w:r>
        <w:rPr>
          <w:noProof/>
          <w:sz w:val="22"/>
        </w:rPr>
        <w:t>Смесени (дългови и капиталови) финансови инструменти за периода 2007—2013 г. към 31.12.2016 г. (в м</w:t>
      </w:r>
      <w:r>
        <w:rPr>
          <w:noProof/>
        </w:rPr>
        <w:t>лрд. евро)</w:t>
      </w:r>
    </w:p>
    <w:p w:rsidR="004E032F" w:rsidRDefault="009B0276">
      <w:pPr>
        <w:rPr>
          <w:noProof/>
          <w:sz w:val="16"/>
        </w:rPr>
      </w:pPr>
      <w:r>
        <w:rPr>
          <w:noProof/>
          <w:sz w:val="16"/>
          <w:lang w:eastAsia="en-GB"/>
        </w:rPr>
        <w:drawing>
          <wp:inline distT="0" distB="0" distL="0" distR="0">
            <wp:extent cx="5401340" cy="34333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01340" cy="3433328"/>
                    </a:xfrm>
                    <a:prstGeom prst="rect">
                      <a:avLst/>
                    </a:prstGeom>
                    <a:noFill/>
                  </pic:spPr>
                </pic:pic>
              </a:graphicData>
            </a:graphic>
          </wp:inline>
        </w:drawing>
      </w:r>
    </w:p>
    <w:p w:rsidR="004E032F" w:rsidRDefault="009B0276">
      <w:pPr>
        <w:rPr>
          <w:noProof/>
          <w:sz w:val="16"/>
          <w:szCs w:val="16"/>
        </w:rPr>
      </w:pPr>
      <w:r>
        <w:rPr>
          <w:noProof/>
          <w:sz w:val="16"/>
        </w:rPr>
        <w:t>Разглеждани инструменти:</w:t>
      </w:r>
      <w:r>
        <w:rPr>
          <w:noProof/>
          <w:sz w:val="16"/>
        </w:rPr>
        <w:t xml:space="preserve"> EEEF, GGF, NIF, IFCA&amp;AIF, LAIF</w:t>
      </w:r>
    </w:p>
    <w:p w:rsidR="004E032F" w:rsidRDefault="009B0276">
      <w:pPr>
        <w:pStyle w:val="Heading3-a"/>
        <w:rPr>
          <w:noProof/>
        </w:rPr>
      </w:pPr>
      <w:bookmarkStart w:id="26" w:name="_Toc486353205"/>
      <w:bookmarkStart w:id="27" w:name="_Toc493242928"/>
      <w:r>
        <w:rPr>
          <w:noProof/>
        </w:rPr>
        <w:lastRenderedPageBreak/>
        <w:t>Финансов ефект на лоста на инструментите за периода 2014—2020 г.</w:t>
      </w:r>
      <w:r>
        <w:rPr>
          <w:rStyle w:val="FootnoteReference"/>
          <w:noProof/>
        </w:rPr>
        <w:footnoteReference w:id="20"/>
      </w:r>
      <w:bookmarkEnd w:id="26"/>
      <w:bookmarkEnd w:id="27"/>
    </w:p>
    <w:p w:rsidR="004E032F" w:rsidRDefault="009B0276">
      <w:pPr>
        <w:spacing w:before="100" w:beforeAutospacing="1" w:after="100" w:afterAutospacing="1"/>
        <w:jc w:val="both"/>
        <w:rPr>
          <w:noProof/>
          <w:szCs w:val="24"/>
        </w:rPr>
      </w:pPr>
      <w:r>
        <w:rPr>
          <w:noProof/>
        </w:rPr>
        <w:t>През 2014—2020 г. бюджетният пакет в размер на почти 9 милиарда евро</w:t>
      </w:r>
      <w:r>
        <w:rPr>
          <w:rStyle w:val="FootnoteReference"/>
          <w:noProof/>
        </w:rPr>
        <w:footnoteReference w:id="21"/>
      </w:r>
      <w:r>
        <w:rPr>
          <w:noProof/>
        </w:rPr>
        <w:t xml:space="preserve"> е насочен към подкрепа на финансиране от повече от 88 милиарда евро, което показва среде</w:t>
      </w:r>
      <w:r>
        <w:rPr>
          <w:noProof/>
        </w:rPr>
        <w:t xml:space="preserve">н коефициент на ефекта на лоста от почти 10 и инвестиции в размер на 116,2 милиарда евро (вж. </w:t>
      </w:r>
      <w:r>
        <w:rPr>
          <w:noProof/>
          <w:u w:val="single"/>
        </w:rPr>
        <w:t>Графика 5</w:t>
      </w:r>
      <w:r>
        <w:rPr>
          <w:noProof/>
        </w:rPr>
        <w:t>). Както е посочено в предишния доклад, по-ниският среден коефициент на ефекта на лоста в сравнение с финансовите инструменти за периода 2007—2013 г. пок</w:t>
      </w:r>
      <w:r>
        <w:rPr>
          <w:noProof/>
        </w:rPr>
        <w:t xml:space="preserve">азва, че с цел да се насърчи добавената стойност на участието на Съюза, финансовите инструменти за периода 2014—2020 г. включват продукти, покриващи по-висок риск в сравнение с обичайните инструменти за периода 2007—2013 г. Следва да се отбележи обаче, че </w:t>
      </w:r>
      <w:r>
        <w:rPr>
          <w:noProof/>
        </w:rPr>
        <w:t xml:space="preserve">въздействието, докладвано за инструментите за периода 2007—2013 г., представлява </w:t>
      </w:r>
      <w:r>
        <w:rPr>
          <w:i/>
          <w:noProof/>
        </w:rPr>
        <w:t>реално</w:t>
      </w:r>
      <w:r>
        <w:rPr>
          <w:noProof/>
        </w:rPr>
        <w:t xml:space="preserve"> постигнатият ефект на лоста, докато въздействието, докладвано за инструментите за периода 2014—2020 г. е </w:t>
      </w:r>
      <w:r>
        <w:rPr>
          <w:i/>
          <w:noProof/>
        </w:rPr>
        <w:t>целевият</w:t>
      </w:r>
      <w:r>
        <w:rPr>
          <w:noProof/>
        </w:rPr>
        <w:t xml:space="preserve"> ефект на лоста</w:t>
      </w:r>
      <w:r>
        <w:rPr>
          <w:rStyle w:val="FootnoteReference"/>
          <w:noProof/>
        </w:rPr>
        <w:footnoteReference w:id="22"/>
      </w:r>
      <w:r>
        <w:rPr>
          <w:noProof/>
        </w:rPr>
        <w:t>. Финансовото участие на Съюза в размер</w:t>
      </w:r>
      <w:r>
        <w:rPr>
          <w:noProof/>
        </w:rPr>
        <w:t xml:space="preserve"> на 4,9 милиарда евро, отпуснати към 31 декември 2016 г., се очаква да подкрепи финансиране в размер на около 57 милиарда евро, което отразява очакван коефициент на ефекта на лоста от 11,5 и очакван размер на инвестициите от около 85 милиарда евро</w:t>
      </w:r>
      <w:r>
        <w:rPr>
          <w:rStyle w:val="FootnoteReference"/>
          <w:noProof/>
        </w:rPr>
        <w:footnoteReference w:id="23"/>
      </w:r>
      <w:r>
        <w:rPr>
          <w:noProof/>
        </w:rPr>
        <w:t>.</w:t>
      </w:r>
    </w:p>
    <w:p w:rsidR="004E032F" w:rsidRDefault="009B0276">
      <w:pPr>
        <w:pStyle w:val="Caption"/>
        <w:keepNext/>
        <w:spacing w:before="0" w:after="0" w:line="240" w:lineRule="auto"/>
        <w:rPr>
          <w:noProof/>
          <w:spacing w:val="-2"/>
          <w:sz w:val="22"/>
          <w:szCs w:val="22"/>
        </w:rPr>
      </w:pPr>
      <w:r>
        <w:rPr>
          <w:noProof/>
          <w:spacing w:val="-2"/>
          <w:sz w:val="22"/>
        </w:rPr>
        <w:lastRenderedPageBreak/>
        <w:t>График</w:t>
      </w:r>
      <w:r>
        <w:rPr>
          <w:noProof/>
          <w:spacing w:val="-2"/>
          <w:sz w:val="22"/>
        </w:rPr>
        <w:t>а 5:</w:t>
      </w:r>
      <w:r>
        <w:rPr>
          <w:b w:val="0"/>
          <w:noProof/>
          <w:spacing w:val="-2"/>
          <w:sz w:val="22"/>
        </w:rPr>
        <w:t xml:space="preserve"> </w:t>
      </w:r>
      <w:r>
        <w:rPr>
          <w:noProof/>
          <w:spacing w:val="-2"/>
          <w:sz w:val="22"/>
        </w:rPr>
        <w:t>Финансови инструменти за периода 2014—2020 г. към 31</w:t>
      </w:r>
      <w:r>
        <w:rPr>
          <w:noProof/>
          <w:spacing w:val="-2"/>
        </w:rPr>
        <w:t>.12.2014 г. (в млрд. евро)</w:t>
      </w:r>
    </w:p>
    <w:p w:rsidR="004E032F" w:rsidRDefault="009B0276">
      <w:pPr>
        <w:rPr>
          <w:noProof/>
          <w:sz w:val="16"/>
        </w:rPr>
      </w:pPr>
      <w:r>
        <w:rPr>
          <w:noProof/>
          <w:lang w:eastAsia="en-GB"/>
        </w:rPr>
        <w:drawing>
          <wp:inline distT="0" distB="0" distL="0" distR="0">
            <wp:extent cx="5932968" cy="355768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932968" cy="3557688"/>
                    </a:xfrm>
                    <a:prstGeom prst="rect">
                      <a:avLst/>
                    </a:prstGeom>
                    <a:noFill/>
                    <a:ln>
                      <a:noFill/>
                    </a:ln>
                  </pic:spPr>
                </pic:pic>
              </a:graphicData>
            </a:graphic>
          </wp:inline>
        </w:drawing>
      </w:r>
    </w:p>
    <w:p w:rsidR="004E032F" w:rsidRDefault="009B0276">
      <w:pPr>
        <w:spacing w:before="0" w:after="0" w:line="240" w:lineRule="auto"/>
        <w:rPr>
          <w:noProof/>
          <w:sz w:val="16"/>
          <w:szCs w:val="16"/>
        </w:rPr>
      </w:pPr>
      <w:r>
        <w:rPr>
          <w:noProof/>
          <w:sz w:val="16"/>
        </w:rPr>
        <w:t xml:space="preserve">Разглеждани инструменти: МГЗ по COSME, инициативата на ЕС за </w:t>
      </w:r>
      <w:r>
        <w:rPr>
          <w:noProof/>
          <w:sz w:val="16"/>
          <w:szCs w:val="16"/>
        </w:rPr>
        <w:t>МСП (цифрите включват само приноса на ЕФРР) , EaSI, гаранции InnovFin за МСП, гаранционен механизъм за сектор</w:t>
      </w:r>
      <w:r>
        <w:rPr>
          <w:noProof/>
          <w:sz w:val="16"/>
          <w:szCs w:val="16"/>
        </w:rPr>
        <w:t>ите на културата, гаранционен механизъм за студентски заеми (SLGF), PF4EE, Innovfin за големи проекти, CEF DI, RSDI, гаранционен механизъм 2, EFG, капиталов инструмент (CEF), капиталов инструмент InnovFin, NCFF, тематично съчетаване.</w:t>
      </w:r>
    </w:p>
    <w:p w:rsidR="004E032F" w:rsidRDefault="009B0276">
      <w:pPr>
        <w:rPr>
          <w:noProof/>
          <w:sz w:val="16"/>
          <w:szCs w:val="16"/>
        </w:rPr>
      </w:pPr>
      <w:r>
        <w:rPr>
          <w:noProof/>
          <w:sz w:val="16"/>
          <w:szCs w:val="16"/>
        </w:rPr>
        <w:t xml:space="preserve">Включително </w:t>
      </w:r>
      <w:r>
        <w:rPr>
          <w:noProof/>
          <w:sz w:val="16"/>
          <w:szCs w:val="16"/>
        </w:rPr>
        <w:t>актуализации на първоначалния бюджет и съответните финансови и инвестиционни суми.</w:t>
      </w:r>
    </w:p>
    <w:p w:rsidR="004E032F" w:rsidRDefault="009B0276">
      <w:pPr>
        <w:spacing w:before="0" w:after="0" w:line="240" w:lineRule="auto"/>
        <w:jc w:val="both"/>
        <w:rPr>
          <w:noProof/>
        </w:rPr>
      </w:pPr>
      <w:r>
        <w:rPr>
          <w:noProof/>
        </w:rPr>
        <w:t xml:space="preserve">В </w:t>
      </w:r>
      <w:r>
        <w:rPr>
          <w:noProof/>
          <w:u w:val="single"/>
        </w:rPr>
        <w:t>графики 6—8</w:t>
      </w:r>
      <w:r>
        <w:rPr>
          <w:noProof/>
        </w:rPr>
        <w:t xml:space="preserve"> е дадена разбивка </w:t>
      </w:r>
      <w:r>
        <w:rPr>
          <w:noProof/>
          <w:u w:val="single"/>
        </w:rPr>
        <w:t>по видове инструменти</w:t>
      </w:r>
      <w:r>
        <w:rPr>
          <w:noProof/>
        </w:rPr>
        <w:t xml:space="preserve"> (дългови, капиталови или смесени) за периода 2014—2020 г.</w:t>
      </w:r>
    </w:p>
    <w:p w:rsidR="004E032F" w:rsidRDefault="009B0276">
      <w:pPr>
        <w:pStyle w:val="Caption"/>
        <w:keepNext/>
        <w:spacing w:before="120" w:line="240" w:lineRule="auto"/>
        <w:jc w:val="both"/>
        <w:rPr>
          <w:noProof/>
          <w:spacing w:val="-6"/>
          <w:sz w:val="22"/>
          <w:szCs w:val="22"/>
        </w:rPr>
      </w:pPr>
      <w:r>
        <w:rPr>
          <w:noProof/>
          <w:spacing w:val="-6"/>
          <w:sz w:val="22"/>
        </w:rPr>
        <w:t>Графика 6: Дългови финансови инструменти за периода 2014—2020</w:t>
      </w:r>
      <w:r>
        <w:rPr>
          <w:noProof/>
          <w:spacing w:val="-6"/>
          <w:sz w:val="22"/>
        </w:rPr>
        <w:t> г. към 31.12.2016 г.</w:t>
      </w:r>
      <w:r>
        <w:rPr>
          <w:noProof/>
          <w:spacing w:val="-6"/>
          <w:sz w:val="22"/>
        </w:rPr>
        <w:br/>
        <w:t>(в м</w:t>
      </w:r>
      <w:r>
        <w:rPr>
          <w:noProof/>
          <w:spacing w:val="-6"/>
        </w:rPr>
        <w:t>лрд. евро)</w:t>
      </w:r>
    </w:p>
    <w:p w:rsidR="004E032F" w:rsidRDefault="009B0276">
      <w:pPr>
        <w:rPr>
          <w:noProof/>
          <w:sz w:val="16"/>
        </w:rPr>
      </w:pPr>
      <w:r>
        <w:rPr>
          <w:noProof/>
          <w:sz w:val="16"/>
          <w:lang w:eastAsia="en-GB"/>
        </w:rPr>
        <w:drawing>
          <wp:inline distT="0" distB="0" distL="0" distR="0">
            <wp:extent cx="5592726" cy="312565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592638" cy="3125605"/>
                    </a:xfrm>
                    <a:prstGeom prst="rect">
                      <a:avLst/>
                    </a:prstGeom>
                    <a:noFill/>
                  </pic:spPr>
                </pic:pic>
              </a:graphicData>
            </a:graphic>
          </wp:inline>
        </w:drawing>
      </w:r>
    </w:p>
    <w:p w:rsidR="004E032F" w:rsidRDefault="009B0276">
      <w:pPr>
        <w:spacing w:after="0" w:line="240" w:lineRule="auto"/>
        <w:rPr>
          <w:noProof/>
          <w:sz w:val="16"/>
          <w:szCs w:val="16"/>
        </w:rPr>
      </w:pPr>
      <w:r>
        <w:rPr>
          <w:noProof/>
          <w:sz w:val="16"/>
        </w:rPr>
        <w:t>Разглеждани инструменти: МГЗ по COSME, инициативата на ЕС за МСП (цифрите включват само приноса на ЕФРР), EaSI, гаранции InnovFin за МСП, гаранционен механизъм за секторите на културата, гаранционен механизъм за студе</w:t>
      </w:r>
      <w:r>
        <w:rPr>
          <w:noProof/>
          <w:sz w:val="16"/>
        </w:rPr>
        <w:t>нтски заеми (SLGF), PF4EE, Innovfin за големи проекти, CEF DI, RSDI.</w:t>
      </w:r>
    </w:p>
    <w:p w:rsidR="004E032F" w:rsidRDefault="009B0276">
      <w:pPr>
        <w:spacing w:before="0" w:line="240" w:lineRule="auto"/>
        <w:rPr>
          <w:noProof/>
        </w:rPr>
      </w:pPr>
      <w:r>
        <w:rPr>
          <w:noProof/>
          <w:sz w:val="16"/>
        </w:rPr>
        <w:t>Включително актуализации на първоначалния бюджетен пакет и на размера на финансирането и инвестициите.</w:t>
      </w:r>
    </w:p>
    <w:p w:rsidR="004E032F" w:rsidRDefault="009B0276">
      <w:pPr>
        <w:pStyle w:val="Caption"/>
        <w:keepNext/>
        <w:rPr>
          <w:noProof/>
          <w:spacing w:val="-2"/>
        </w:rPr>
      </w:pPr>
      <w:r>
        <w:rPr>
          <w:noProof/>
          <w:spacing w:val="-2"/>
          <w:sz w:val="22"/>
        </w:rPr>
        <w:lastRenderedPageBreak/>
        <w:t>Графика 7:</w:t>
      </w:r>
      <w:r>
        <w:rPr>
          <w:b w:val="0"/>
          <w:noProof/>
          <w:spacing w:val="-2"/>
          <w:sz w:val="22"/>
        </w:rPr>
        <w:t xml:space="preserve"> </w:t>
      </w:r>
      <w:r>
        <w:rPr>
          <w:noProof/>
          <w:spacing w:val="-2"/>
          <w:sz w:val="22"/>
        </w:rPr>
        <w:t>Капиталови финансови инструменти за периода 2014—2020 г. към 31.12.2016 г</w:t>
      </w:r>
      <w:r>
        <w:rPr>
          <w:noProof/>
          <w:spacing w:val="-2"/>
          <w:sz w:val="22"/>
        </w:rPr>
        <w:t>. (в м</w:t>
      </w:r>
      <w:r>
        <w:rPr>
          <w:noProof/>
          <w:spacing w:val="-2"/>
        </w:rPr>
        <w:t>лрд. евро)</w:t>
      </w:r>
    </w:p>
    <w:p w:rsidR="004E032F" w:rsidRDefault="009B0276">
      <w:pPr>
        <w:rPr>
          <w:noProof/>
        </w:rPr>
      </w:pPr>
      <w:r>
        <w:rPr>
          <w:noProof/>
          <w:lang w:eastAsia="en-GB"/>
        </w:rPr>
        <w:drawing>
          <wp:inline distT="0" distB="0" distL="0" distR="0">
            <wp:extent cx="5613991" cy="3274828"/>
            <wp:effectExtent l="0" t="0" r="635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11859" cy="3273584"/>
                    </a:xfrm>
                    <a:prstGeom prst="rect">
                      <a:avLst/>
                    </a:prstGeom>
                    <a:noFill/>
                  </pic:spPr>
                </pic:pic>
              </a:graphicData>
            </a:graphic>
          </wp:inline>
        </w:drawing>
      </w:r>
    </w:p>
    <w:p w:rsidR="004E032F" w:rsidRDefault="009B0276">
      <w:pPr>
        <w:rPr>
          <w:noProof/>
          <w:sz w:val="16"/>
          <w:szCs w:val="16"/>
        </w:rPr>
      </w:pPr>
      <w:r>
        <w:rPr>
          <w:noProof/>
          <w:sz w:val="16"/>
        </w:rPr>
        <w:t>Разглеждани инструменти: EFG, капиталов инструмент (CEF), капиталов инструмент InnovFin</w:t>
      </w:r>
    </w:p>
    <w:p w:rsidR="004E032F" w:rsidRDefault="009B0276">
      <w:pPr>
        <w:rPr>
          <w:noProof/>
          <w:sz w:val="16"/>
          <w:szCs w:val="16"/>
        </w:rPr>
      </w:pPr>
      <w:r>
        <w:rPr>
          <w:noProof/>
          <w:sz w:val="16"/>
        </w:rPr>
        <w:t>Включително актуализации на първоначалния бюджет и съответните финансови и инвестиционни суми.</w:t>
      </w:r>
    </w:p>
    <w:p w:rsidR="004E032F" w:rsidRDefault="004E032F">
      <w:pPr>
        <w:rPr>
          <w:noProof/>
          <w:sz w:val="16"/>
          <w:szCs w:val="16"/>
        </w:rPr>
      </w:pPr>
    </w:p>
    <w:p w:rsidR="004E032F" w:rsidRDefault="009B0276">
      <w:pPr>
        <w:pStyle w:val="Caption"/>
        <w:keepNext/>
        <w:spacing w:after="0" w:line="240" w:lineRule="auto"/>
        <w:rPr>
          <w:noProof/>
          <w:sz w:val="22"/>
          <w:szCs w:val="22"/>
        </w:rPr>
      </w:pPr>
      <w:r>
        <w:rPr>
          <w:noProof/>
          <w:sz w:val="22"/>
        </w:rPr>
        <w:t xml:space="preserve">Графика 8: Смесени (дългови и капиталови) финансови </w:t>
      </w:r>
      <w:r>
        <w:rPr>
          <w:noProof/>
          <w:sz w:val="22"/>
        </w:rPr>
        <w:t>инструменти за периода 2014—2020 г. към 31.12.2016 г. (в м</w:t>
      </w:r>
      <w:r>
        <w:rPr>
          <w:noProof/>
        </w:rPr>
        <w:t>лрд. евро)</w:t>
      </w:r>
    </w:p>
    <w:p w:rsidR="004E032F" w:rsidRDefault="009B0276">
      <w:pPr>
        <w:rPr>
          <w:noProof/>
          <w:sz w:val="16"/>
        </w:rPr>
      </w:pPr>
      <w:r>
        <w:rPr>
          <w:noProof/>
          <w:lang w:eastAsia="en-GB"/>
        </w:rPr>
        <w:drawing>
          <wp:inline distT="0" distB="0" distL="0" distR="0">
            <wp:extent cx="5760720" cy="3640804"/>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760720" cy="3640804"/>
                    </a:xfrm>
                    <a:prstGeom prst="rect">
                      <a:avLst/>
                    </a:prstGeom>
                    <a:noFill/>
                    <a:ln>
                      <a:noFill/>
                    </a:ln>
                  </pic:spPr>
                </pic:pic>
              </a:graphicData>
            </a:graphic>
          </wp:inline>
        </w:drawing>
      </w:r>
    </w:p>
    <w:p w:rsidR="004E032F" w:rsidRDefault="009B0276">
      <w:pPr>
        <w:rPr>
          <w:noProof/>
          <w:sz w:val="16"/>
          <w:szCs w:val="16"/>
        </w:rPr>
      </w:pPr>
      <w:r>
        <w:rPr>
          <w:noProof/>
          <w:sz w:val="16"/>
        </w:rPr>
        <w:t>Разглеждани инструменти: NCFF, тематично съчетаване</w:t>
      </w:r>
    </w:p>
    <w:p w:rsidR="004E032F" w:rsidRDefault="009B0276">
      <w:pPr>
        <w:rPr>
          <w:noProof/>
          <w:sz w:val="16"/>
          <w:szCs w:val="16"/>
        </w:rPr>
      </w:pPr>
      <w:r>
        <w:rPr>
          <w:noProof/>
          <w:sz w:val="16"/>
        </w:rPr>
        <w:t>Включително актуализации на първоначалния бюджетен пакет и на размера на финансирането и инвестициите.</w:t>
      </w:r>
    </w:p>
    <w:p w:rsidR="004E032F" w:rsidRDefault="009B0276">
      <w:pPr>
        <w:spacing w:before="0" w:after="0" w:line="240" w:lineRule="auto"/>
        <w:rPr>
          <w:noProof/>
          <w:szCs w:val="24"/>
        </w:rPr>
      </w:pPr>
      <w:r>
        <w:rPr>
          <w:noProof/>
        </w:rPr>
        <w:br w:type="page"/>
      </w:r>
    </w:p>
    <w:p w:rsidR="004E032F" w:rsidRDefault="009B0276">
      <w:pPr>
        <w:pStyle w:val="Heading3-a"/>
        <w:rPr>
          <w:noProof/>
        </w:rPr>
      </w:pPr>
      <w:bookmarkStart w:id="28" w:name="_Toc486353206"/>
      <w:bookmarkStart w:id="29" w:name="_Toc493242929"/>
      <w:r>
        <w:rPr>
          <w:noProof/>
        </w:rPr>
        <w:lastRenderedPageBreak/>
        <w:t>Обслужвани целеви групи</w:t>
      </w:r>
      <w:bookmarkEnd w:id="28"/>
      <w:bookmarkEnd w:id="29"/>
    </w:p>
    <w:p w:rsidR="004E032F" w:rsidRDefault="009B0276">
      <w:pPr>
        <w:spacing w:before="100" w:beforeAutospacing="1" w:after="100" w:afterAutospacing="1"/>
        <w:jc w:val="both"/>
        <w:rPr>
          <w:noProof/>
          <w:szCs w:val="24"/>
        </w:rPr>
      </w:pPr>
      <w:r>
        <w:rPr>
          <w:noProof/>
        </w:rPr>
        <w:t xml:space="preserve">Разпределянето на общия размер на поетите задължения по отрасли е показано на </w:t>
      </w:r>
      <w:r>
        <w:rPr>
          <w:noProof/>
          <w:u w:val="single"/>
        </w:rPr>
        <w:t>графики 9 и 10</w:t>
      </w:r>
      <w:r>
        <w:rPr>
          <w:noProof/>
        </w:rPr>
        <w:t xml:space="preserve"> за всеки програмен период. На диаграмите МСП представляват самостоятелна стратегическа целева група, а материалната и нематериалната инфраструктура са групирани в </w:t>
      </w:r>
      <w:r>
        <w:rPr>
          <w:noProof/>
        </w:rPr>
        <w:t>стратегически целеви сектори. Намаленото финансиране за стратегически региони извън ЕС в настоящата МФР се обяснява с факта, че бяха разширени някои съществуващи задължения за външни инструменти.</w:t>
      </w:r>
    </w:p>
    <w:p w:rsidR="004E032F" w:rsidRDefault="009B0276">
      <w:pPr>
        <w:spacing w:before="100" w:beforeAutospacing="1" w:after="100" w:afterAutospacing="1"/>
        <w:jc w:val="both"/>
        <w:rPr>
          <w:noProof/>
          <w:spacing w:val="-4"/>
          <w:szCs w:val="24"/>
        </w:rPr>
      </w:pPr>
      <w:r>
        <w:rPr>
          <w:noProof/>
          <w:spacing w:val="-4"/>
        </w:rPr>
        <w:t>Следва да се обърне внимание, че при прякото сравнение между</w:t>
      </w:r>
      <w:r>
        <w:rPr>
          <w:noProof/>
          <w:spacing w:val="-4"/>
        </w:rPr>
        <w:t xml:space="preserve"> графика 9 и графика 10 следва да се вземе предвид фактът, че до края на 2016 г. ангажиментите по инструментите за периода 2007—2013 г. вече са били изпълнени, докато поетите задължения по инструментите за периода 2014—2020 г. все още са в процес на изпълн</w:t>
      </w:r>
      <w:r>
        <w:rPr>
          <w:noProof/>
          <w:spacing w:val="-4"/>
        </w:rPr>
        <w:t>ение.</w:t>
      </w:r>
    </w:p>
    <w:p w:rsidR="004E032F" w:rsidRDefault="009B0276">
      <w:pPr>
        <w:pStyle w:val="Caption"/>
        <w:keepNext/>
        <w:jc w:val="both"/>
        <w:rPr>
          <w:noProof/>
          <w:sz w:val="22"/>
          <w:szCs w:val="22"/>
        </w:rPr>
      </w:pPr>
      <w:r>
        <w:rPr>
          <w:noProof/>
          <w:sz w:val="22"/>
        </w:rPr>
        <w:t>Графика 9: Финансови инструменти за периода 2007—2013 г. — Бюджетни задължения, разбити по цели, към 31</w:t>
      </w:r>
      <w:r>
        <w:rPr>
          <w:noProof/>
        </w:rPr>
        <w:t>.12.2016 г. (в млн. евро)</w:t>
      </w:r>
    </w:p>
    <w:p w:rsidR="004E032F" w:rsidRDefault="009B0276">
      <w:pPr>
        <w:pStyle w:val="NormalWeb"/>
        <w:spacing w:before="0" w:after="0"/>
        <w:textAlignment w:val="baseline"/>
        <w:rPr>
          <w:b/>
          <w:noProof/>
          <w:kern w:val="24"/>
          <w:sz w:val="16"/>
        </w:rPr>
      </w:pPr>
      <w:r>
        <w:rPr>
          <w:noProof/>
          <w:lang w:eastAsia="en-GB"/>
        </w:rPr>
        <w:drawing>
          <wp:inline distT="0" distB="0" distL="0" distR="0">
            <wp:extent cx="5760720" cy="312044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760720" cy="3120441"/>
                    </a:xfrm>
                    <a:prstGeom prst="rect">
                      <a:avLst/>
                    </a:prstGeom>
                  </pic:spPr>
                </pic:pic>
              </a:graphicData>
            </a:graphic>
          </wp:inline>
        </w:drawing>
      </w:r>
    </w:p>
    <w:p w:rsidR="004E032F" w:rsidRDefault="009B0276">
      <w:pPr>
        <w:pStyle w:val="NormalWeb"/>
        <w:spacing w:before="0" w:after="0"/>
        <w:textAlignment w:val="baseline"/>
        <w:rPr>
          <w:noProof/>
          <w:kern w:val="24"/>
          <w:sz w:val="16"/>
          <w:szCs w:val="16"/>
        </w:rPr>
      </w:pPr>
      <w:r>
        <w:rPr>
          <w:b/>
          <w:noProof/>
          <w:kern w:val="24"/>
          <w:sz w:val="16"/>
        </w:rPr>
        <w:t xml:space="preserve">Стратегически целеви сектори: </w:t>
      </w:r>
      <w:r>
        <w:rPr>
          <w:noProof/>
          <w:kern w:val="24"/>
          <w:sz w:val="16"/>
        </w:rPr>
        <w:t xml:space="preserve">Marguerite, EEEF, GIF (по CIP), RSI, RSFF, EPMF-G, FCP-FIS </w:t>
      </w:r>
    </w:p>
    <w:p w:rsidR="004E032F" w:rsidRDefault="009B0276">
      <w:pPr>
        <w:pStyle w:val="NormalWeb"/>
        <w:spacing w:before="0" w:after="0"/>
        <w:textAlignment w:val="baseline"/>
        <w:rPr>
          <w:b/>
          <w:bCs/>
          <w:noProof/>
          <w:kern w:val="24"/>
          <w:sz w:val="16"/>
          <w:szCs w:val="16"/>
        </w:rPr>
      </w:pPr>
      <w:r>
        <w:rPr>
          <w:b/>
          <w:noProof/>
          <w:kern w:val="24"/>
          <w:sz w:val="16"/>
        </w:rPr>
        <w:t xml:space="preserve">Стратегически целеви групи: </w:t>
      </w:r>
      <w:r>
        <w:rPr>
          <w:noProof/>
          <w:kern w:val="24"/>
          <w:sz w:val="16"/>
        </w:rPr>
        <w:t>S</w:t>
      </w:r>
      <w:r>
        <w:rPr>
          <w:noProof/>
          <w:kern w:val="24"/>
          <w:sz w:val="16"/>
        </w:rPr>
        <w:t>MEG 07</w:t>
      </w:r>
    </w:p>
    <w:p w:rsidR="004E032F" w:rsidRDefault="009B0276">
      <w:pPr>
        <w:pStyle w:val="NormalWeb"/>
        <w:spacing w:before="0" w:after="0"/>
        <w:textAlignment w:val="baseline"/>
        <w:rPr>
          <w:noProof/>
          <w:kern w:val="24"/>
          <w:sz w:val="16"/>
          <w:szCs w:val="16"/>
        </w:rPr>
      </w:pPr>
      <w:r>
        <w:rPr>
          <w:b/>
          <w:noProof/>
          <w:kern w:val="24"/>
          <w:sz w:val="16"/>
        </w:rPr>
        <w:t>Стратегически региони извън ЕС</w:t>
      </w:r>
      <w:r>
        <w:rPr>
          <w:noProof/>
        </w:rPr>
        <w:t>:</w:t>
      </w:r>
      <w:r>
        <w:rPr>
          <w:noProof/>
          <w:kern w:val="24"/>
          <w:sz w:val="16"/>
        </w:rPr>
        <w:t xml:space="preserve"> IFCA, AIF, LAIF, GEEREF, EDIF GF 1, ENEF по линия на EDIF, ENIF по линия на EDIF, EFSE, GGF, RSLT за МСП, NIF, подкрепа за FEMIP</w:t>
      </w:r>
    </w:p>
    <w:p w:rsidR="004E032F" w:rsidRDefault="009B0276">
      <w:pPr>
        <w:pStyle w:val="Caption"/>
        <w:keepNext/>
        <w:spacing w:before="120"/>
        <w:jc w:val="both"/>
        <w:rPr>
          <w:noProof/>
          <w:sz w:val="22"/>
          <w:szCs w:val="22"/>
        </w:rPr>
      </w:pPr>
      <w:r>
        <w:rPr>
          <w:noProof/>
          <w:sz w:val="22"/>
        </w:rPr>
        <w:lastRenderedPageBreak/>
        <w:t>Графика </w:t>
      </w:r>
      <w:r>
        <w:rPr>
          <w:noProof/>
          <w:sz w:val="22"/>
          <w:szCs w:val="22"/>
        </w:rPr>
        <w:fldChar w:fldCharType="begin"/>
      </w:r>
      <w:r>
        <w:rPr>
          <w:noProof/>
          <w:sz w:val="22"/>
          <w:szCs w:val="22"/>
        </w:rPr>
        <w:instrText xml:space="preserve"> SEQ Graph \* ARABIC </w:instrText>
      </w:r>
      <w:r>
        <w:rPr>
          <w:noProof/>
          <w:sz w:val="22"/>
          <w:szCs w:val="22"/>
        </w:rPr>
        <w:fldChar w:fldCharType="separate"/>
      </w:r>
      <w:r>
        <w:rPr>
          <w:noProof/>
          <w:sz w:val="22"/>
          <w:szCs w:val="22"/>
        </w:rPr>
        <w:t>10</w:t>
      </w:r>
      <w:r>
        <w:rPr>
          <w:noProof/>
          <w:sz w:val="22"/>
          <w:szCs w:val="22"/>
        </w:rPr>
        <w:fldChar w:fldCharType="end"/>
      </w:r>
      <w:r>
        <w:rPr>
          <w:noProof/>
          <w:sz w:val="22"/>
        </w:rPr>
        <w:t>:</w:t>
      </w:r>
      <w:r>
        <w:rPr>
          <w:b w:val="0"/>
          <w:noProof/>
          <w:sz w:val="22"/>
        </w:rPr>
        <w:t xml:space="preserve"> </w:t>
      </w:r>
      <w:r>
        <w:rPr>
          <w:noProof/>
          <w:sz w:val="22"/>
        </w:rPr>
        <w:t>Финансови инструменти за периода 2014—2020 г. — Бюдж</w:t>
      </w:r>
      <w:r>
        <w:rPr>
          <w:noProof/>
          <w:sz w:val="22"/>
        </w:rPr>
        <w:t>етни задължения, разбити по цели, към 31.12.2016 г. (в м</w:t>
      </w:r>
      <w:r>
        <w:rPr>
          <w:noProof/>
        </w:rPr>
        <w:t>лн. евро)</w:t>
      </w:r>
    </w:p>
    <w:p w:rsidR="004E032F" w:rsidRDefault="009B0276">
      <w:pPr>
        <w:pStyle w:val="Caption"/>
        <w:keepNext/>
        <w:jc w:val="both"/>
        <w:rPr>
          <w:noProof/>
        </w:rPr>
      </w:pPr>
      <w:r>
        <w:rPr>
          <w:noProof/>
          <w:lang w:eastAsia="en-GB"/>
        </w:rPr>
        <w:drawing>
          <wp:inline distT="0" distB="0" distL="0" distR="0">
            <wp:extent cx="5760720" cy="30291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760720" cy="3029186"/>
                    </a:xfrm>
                    <a:prstGeom prst="rect">
                      <a:avLst/>
                    </a:prstGeom>
                  </pic:spPr>
                </pic:pic>
              </a:graphicData>
            </a:graphic>
          </wp:inline>
        </w:drawing>
      </w:r>
    </w:p>
    <w:p w:rsidR="004E032F" w:rsidRDefault="009B0276">
      <w:pPr>
        <w:pStyle w:val="Caption"/>
        <w:keepNext/>
        <w:jc w:val="both"/>
        <w:rPr>
          <w:b w:val="0"/>
          <w:noProof/>
          <w:sz w:val="16"/>
          <w:szCs w:val="16"/>
        </w:rPr>
      </w:pPr>
      <w:r>
        <w:rPr>
          <w:noProof/>
          <w:sz w:val="16"/>
          <w:szCs w:val="16"/>
        </w:rPr>
        <w:t xml:space="preserve">Стратегически целеви сектори: </w:t>
      </w:r>
      <w:r>
        <w:rPr>
          <w:b w:val="0"/>
          <w:noProof/>
          <w:sz w:val="16"/>
          <w:szCs w:val="16"/>
        </w:rPr>
        <w:t xml:space="preserve">гаранционен механизъм за секторите на културата, SLGF, PF4EE, RSDI, капиталов инструмент (CEF), NCFF, гаранции InnovFin за МСП, гаранции InnovFin L-M, рисков капитал на InnovFin за МСП, EaSI. </w:t>
      </w:r>
    </w:p>
    <w:p w:rsidR="004E032F" w:rsidRDefault="009B0276">
      <w:pPr>
        <w:rPr>
          <w:noProof/>
          <w:sz w:val="16"/>
          <w:szCs w:val="16"/>
        </w:rPr>
      </w:pPr>
      <w:r>
        <w:rPr>
          <w:b/>
          <w:noProof/>
          <w:sz w:val="16"/>
          <w:szCs w:val="16"/>
        </w:rPr>
        <w:t>Стратегически целеви групи</w:t>
      </w:r>
      <w:r>
        <w:rPr>
          <w:noProof/>
          <w:sz w:val="16"/>
          <w:szCs w:val="16"/>
        </w:rPr>
        <w:t>: МГЗ по COSME, инициативата на ЕС за</w:t>
      </w:r>
      <w:r>
        <w:rPr>
          <w:noProof/>
          <w:sz w:val="16"/>
          <w:szCs w:val="16"/>
        </w:rPr>
        <w:t xml:space="preserve"> МСП, EFG по COSME </w:t>
      </w:r>
    </w:p>
    <w:p w:rsidR="004E032F" w:rsidRDefault="009B0276">
      <w:pPr>
        <w:rPr>
          <w:b/>
          <w:bCs/>
          <w:noProof/>
          <w:sz w:val="16"/>
          <w:szCs w:val="16"/>
        </w:rPr>
      </w:pPr>
      <w:r>
        <w:rPr>
          <w:b/>
          <w:noProof/>
          <w:sz w:val="16"/>
          <w:szCs w:val="16"/>
        </w:rPr>
        <w:t>Стратегически региони извън ЕС</w:t>
      </w:r>
      <w:r>
        <w:rPr>
          <w:noProof/>
          <w:sz w:val="16"/>
          <w:szCs w:val="16"/>
        </w:rPr>
        <w:t>: EDIF GF2, тематично съчетаване</w:t>
      </w:r>
    </w:p>
    <w:p w:rsidR="004E032F" w:rsidRDefault="009B0276">
      <w:pPr>
        <w:spacing w:before="0" w:after="240"/>
        <w:jc w:val="both"/>
        <w:rPr>
          <w:noProof/>
        </w:rPr>
      </w:pPr>
      <w:r>
        <w:rPr>
          <w:noProof/>
        </w:rPr>
        <w:t xml:space="preserve">Следва да се отбележи, че подкрепяните от бюджета на Съюза инструменти, прилагани от държавите членки при споделено управление, са предмет на отделни доклади. За програмния </w:t>
      </w:r>
      <w:r>
        <w:rPr>
          <w:noProof/>
        </w:rPr>
        <w:t>период 2007—2013 г. до 1 октомври всяка година беше публикуван годишен обобщен доклад за прилагането на инструментите за финансовия инженеринг по Европейския фонд за регионално развитие (ЕФРР) и Европейския социален фонд (ЕСФ)</w:t>
      </w:r>
      <w:r>
        <w:rPr>
          <w:rStyle w:val="FootnoteReference"/>
          <w:noProof/>
        </w:rPr>
        <w:footnoteReference w:id="24"/>
      </w:r>
      <w:r>
        <w:rPr>
          <w:noProof/>
        </w:rPr>
        <w:t>. Считано от 2016 г. Комисият</w:t>
      </w:r>
      <w:r>
        <w:rPr>
          <w:noProof/>
        </w:rPr>
        <w:t>а предоставя обобщени данни за напредъка в прилагането на финансови инструменти при споделено управление, както се изисква в Регламента за общоприложимите разпоредби (РОР) за европейските структурни и инвестиционни фондове (ЕФРР, ЕСФ, Кохезионния фонд (КХ)</w:t>
      </w:r>
      <w:r>
        <w:rPr>
          <w:noProof/>
        </w:rPr>
        <w:t>, Европейския земеделски фонд за развитие на селските райони (ЕЗФРСР) и Европейския фонд за морско дело и рибарство (ЕФМДР)</w:t>
      </w:r>
      <w:r>
        <w:rPr>
          <w:rStyle w:val="FootnoteReference"/>
          <w:noProof/>
        </w:rPr>
        <w:footnoteReference w:id="25"/>
      </w:r>
      <w:r>
        <w:rPr>
          <w:noProof/>
        </w:rPr>
        <w:t>. За програмния период 2014—2020 г. първият годишен обобщен доклад беше публикуван в края на 2016 г.</w:t>
      </w:r>
      <w:r>
        <w:rPr>
          <w:rStyle w:val="FootnoteReference"/>
          <w:noProof/>
        </w:rPr>
        <w:footnoteReference w:id="26"/>
      </w:r>
      <w:r>
        <w:rPr>
          <w:noProof/>
        </w:rPr>
        <w:t>. Аналогично, операции по финан</w:t>
      </w:r>
      <w:r>
        <w:rPr>
          <w:noProof/>
        </w:rPr>
        <w:t>сиране и инвестиране по линия на бюджетната гаранция от ЕФСИ — които не са финансови инструменти по смисъла на Финансовия регламент, съгласно регламента за ЕФСИ са предмет на отделни доклади</w:t>
      </w:r>
      <w:r>
        <w:rPr>
          <w:rStyle w:val="FootnoteReference"/>
          <w:noProof/>
        </w:rPr>
        <w:footnoteReference w:id="27"/>
      </w:r>
      <w:r>
        <w:rPr>
          <w:noProof/>
        </w:rPr>
        <w:t>.</w:t>
      </w:r>
    </w:p>
    <w:p w:rsidR="004E032F" w:rsidRDefault="009B0276">
      <w:pPr>
        <w:pStyle w:val="Heading3-a"/>
        <w:rPr>
          <w:noProof/>
        </w:rPr>
      </w:pPr>
      <w:bookmarkStart w:id="30" w:name="_Toc486353207"/>
      <w:bookmarkStart w:id="31" w:name="_Toc493242930"/>
      <w:r>
        <w:rPr>
          <w:noProof/>
        </w:rPr>
        <w:lastRenderedPageBreak/>
        <w:t xml:space="preserve">Географско разпределение на </w:t>
      </w:r>
      <w:r>
        <w:rPr>
          <w:noProof/>
          <w:lang w:val="bg-BG"/>
        </w:rPr>
        <w:t>постигнатото</w:t>
      </w:r>
      <w:r>
        <w:rPr>
          <w:noProof/>
        </w:rPr>
        <w:t xml:space="preserve"> финансиране</w:t>
      </w:r>
      <w:bookmarkEnd w:id="30"/>
      <w:bookmarkEnd w:id="31"/>
      <w:r>
        <w:rPr>
          <w:noProof/>
        </w:rPr>
        <w:t xml:space="preserve"> </w:t>
      </w:r>
    </w:p>
    <w:p w:rsidR="004E032F" w:rsidRDefault="009B0276">
      <w:pPr>
        <w:spacing w:before="0" w:after="240"/>
        <w:jc w:val="both"/>
        <w:rPr>
          <w:noProof/>
          <w:szCs w:val="24"/>
        </w:rPr>
      </w:pPr>
      <w:r>
        <w:rPr>
          <w:noProof/>
        </w:rPr>
        <w:t>Финансовите инструменти имат различен географски обхват, определен от съответното им правно основание. Освен това, тъй като се обуславят основно от търсенето, разпределението им се определя от съответните изисквания за финансиране. На следващите диаграми е</w:t>
      </w:r>
      <w:r>
        <w:rPr>
          <w:noProof/>
        </w:rPr>
        <w:t xml:space="preserve"> показано разпределението на финансирането между държавите според различните класификации на инструментите (като цяло и по МФР).</w:t>
      </w:r>
    </w:p>
    <w:p w:rsidR="004E032F" w:rsidRDefault="009B0276">
      <w:pPr>
        <w:spacing w:before="100" w:beforeAutospacing="1" w:after="100" w:afterAutospacing="1"/>
        <w:jc w:val="both"/>
        <w:rPr>
          <w:noProof/>
          <w:szCs w:val="24"/>
        </w:rPr>
      </w:pPr>
      <w:r>
        <w:rPr>
          <w:noProof/>
        </w:rPr>
        <w:t>Както беше посочено по-горе, срокът на редица външни инструменти, установени в МФР за периода 2007—2013 г., беше продължен в МФ</w:t>
      </w:r>
      <w:r>
        <w:rPr>
          <w:noProof/>
        </w:rPr>
        <w:t>Р за периода 2014—2020 г., и делът на финансирането, който е преминал към финансиране извън ЕС чрез финансови инструменти на ЕС през периода 2014—2020 г., е пропорционално по-малък, тъй като те вече са отчетени за периода 2007—2013 г.</w:t>
      </w:r>
    </w:p>
    <w:p w:rsidR="004E032F" w:rsidRDefault="009B0276">
      <w:pPr>
        <w:spacing w:before="100" w:beforeAutospacing="1" w:after="100" w:afterAutospacing="1"/>
        <w:jc w:val="both"/>
        <w:rPr>
          <w:noProof/>
          <w:szCs w:val="24"/>
        </w:rPr>
      </w:pPr>
      <w:r>
        <w:rPr>
          <w:noProof/>
        </w:rPr>
        <w:t>Големите западни държ</w:t>
      </w:r>
      <w:r>
        <w:rPr>
          <w:noProof/>
        </w:rPr>
        <w:t>ави — членки на ЕС, като например Франция и Италия, изглежда са се възползвали по-специално от разширяването на финансовите инструменти през периода 2014—2020 г. в сравнение с МФР за периода 2007—2013 г., тъй като техният дял в цялостното постигнато финанс</w:t>
      </w:r>
      <w:r>
        <w:rPr>
          <w:noProof/>
        </w:rPr>
        <w:t>иране е значително увеличен (Франция от 4,9 % на 39,9 % и Италия от 6,9 % на 15,6 %). Тези високи темпове на растеж обаче могат да се обяснят със споменатия по-горе по-нисък дял за външните инструменти. Останалата част от увеличението на френския дял се дъ</w:t>
      </w:r>
      <w:r>
        <w:rPr>
          <w:noProof/>
        </w:rPr>
        <w:t>лжи най-вече на участието в инициативата „Облигации за проекти“ за периода 2007—2013 г. и Инструмента за гарантиране на заемите по проекти, свързани с трансевропейските транспортни мрежи, които вече са обединени в дълговия инструмент за поделяне на риска п</w:t>
      </w:r>
      <w:r>
        <w:rPr>
          <w:noProof/>
        </w:rPr>
        <w:t>о Механизма за свързване на Европа за периода 2014—2020 г. — CEF DI.</w:t>
      </w:r>
    </w:p>
    <w:p w:rsidR="004E032F" w:rsidRDefault="004E032F">
      <w:pPr>
        <w:spacing w:before="100" w:beforeAutospacing="1" w:after="100" w:afterAutospacing="1"/>
        <w:jc w:val="both"/>
        <w:rPr>
          <w:noProof/>
          <w:szCs w:val="24"/>
        </w:rPr>
      </w:pPr>
    </w:p>
    <w:p w:rsidR="004E032F" w:rsidRDefault="004E032F">
      <w:pPr>
        <w:spacing w:before="0" w:after="240"/>
        <w:jc w:val="both"/>
        <w:rPr>
          <w:noProof/>
          <w:szCs w:val="24"/>
        </w:rPr>
      </w:pPr>
    </w:p>
    <w:p w:rsidR="004E032F" w:rsidRDefault="004E032F">
      <w:pPr>
        <w:keepNext/>
        <w:jc w:val="both"/>
        <w:rPr>
          <w:b/>
          <w:bCs/>
          <w:noProof/>
          <w:sz w:val="22"/>
        </w:rPr>
        <w:sectPr w:rsidR="004E032F">
          <w:headerReference w:type="even" r:id="rId43"/>
          <w:headerReference w:type="default" r:id="rId44"/>
          <w:footerReference w:type="even" r:id="rId45"/>
          <w:footerReference w:type="default" r:id="rId46"/>
          <w:headerReference w:type="first" r:id="rId47"/>
          <w:footerReference w:type="first" r:id="rId48"/>
          <w:pgSz w:w="11906" w:h="16838"/>
          <w:pgMar w:top="1417" w:right="1417" w:bottom="1276" w:left="1417" w:header="0" w:footer="0" w:gutter="0"/>
          <w:cols w:space="708"/>
          <w:docGrid w:linePitch="360"/>
        </w:sectPr>
      </w:pPr>
    </w:p>
    <w:p w:rsidR="004E032F" w:rsidRDefault="009B0276">
      <w:pPr>
        <w:keepNext/>
        <w:spacing w:before="120" w:after="0" w:line="240" w:lineRule="auto"/>
        <w:jc w:val="both"/>
        <w:rPr>
          <w:b/>
          <w:bCs/>
          <w:noProof/>
          <w:spacing w:val="-6"/>
          <w:sz w:val="22"/>
        </w:rPr>
      </w:pPr>
      <w:r>
        <w:rPr>
          <w:b/>
          <w:noProof/>
          <w:spacing w:val="-6"/>
          <w:sz w:val="22"/>
        </w:rPr>
        <w:lastRenderedPageBreak/>
        <w:t>Графика </w:t>
      </w:r>
      <w:r>
        <w:rPr>
          <w:b/>
          <w:bCs/>
          <w:noProof/>
          <w:spacing w:val="-6"/>
          <w:sz w:val="22"/>
        </w:rPr>
        <w:fldChar w:fldCharType="begin"/>
      </w:r>
      <w:r>
        <w:rPr>
          <w:b/>
          <w:bCs/>
          <w:noProof/>
          <w:spacing w:val="-6"/>
          <w:sz w:val="22"/>
        </w:rPr>
        <w:instrText xml:space="preserve"> SEQ Graph \* ARABIC </w:instrText>
      </w:r>
      <w:r>
        <w:rPr>
          <w:b/>
          <w:bCs/>
          <w:noProof/>
          <w:spacing w:val="-6"/>
          <w:sz w:val="22"/>
        </w:rPr>
        <w:fldChar w:fldCharType="separate"/>
      </w:r>
      <w:r>
        <w:rPr>
          <w:b/>
          <w:bCs/>
          <w:noProof/>
          <w:spacing w:val="-6"/>
          <w:sz w:val="22"/>
        </w:rPr>
        <w:t>11</w:t>
      </w:r>
      <w:r>
        <w:rPr>
          <w:b/>
          <w:bCs/>
          <w:noProof/>
          <w:spacing w:val="-6"/>
          <w:sz w:val="22"/>
        </w:rPr>
        <w:fldChar w:fldCharType="end"/>
      </w:r>
      <w:r>
        <w:rPr>
          <w:b/>
          <w:noProof/>
          <w:spacing w:val="-6"/>
          <w:sz w:val="22"/>
        </w:rPr>
        <w:t>:</w:t>
      </w:r>
      <w:r>
        <w:rPr>
          <w:noProof/>
          <w:spacing w:val="-6"/>
          <w:sz w:val="22"/>
        </w:rPr>
        <w:t xml:space="preserve"> </w:t>
      </w:r>
      <w:r>
        <w:rPr>
          <w:b/>
          <w:noProof/>
          <w:spacing w:val="-6"/>
          <w:sz w:val="22"/>
        </w:rPr>
        <w:t>Финансови инструменти за периодите 2007—2013 г. и 2014—2020 г. — Общо постигнато финансиране</w:t>
      </w:r>
      <w:r>
        <w:rPr>
          <w:b/>
          <w:noProof/>
          <w:spacing w:val="-6"/>
          <w:sz w:val="22"/>
        </w:rPr>
        <w:t xml:space="preserve"> по географско место</w:t>
      </w:r>
      <w:r>
        <w:rPr>
          <w:b/>
          <w:noProof/>
          <w:spacing w:val="-6"/>
        </w:rPr>
        <w:t>назначение към 31.12.2016 г.</w:t>
      </w:r>
    </w:p>
    <w:p w:rsidR="004E032F" w:rsidRDefault="009B0276">
      <w:pPr>
        <w:spacing w:before="0" w:after="0" w:line="240" w:lineRule="auto"/>
        <w:rPr>
          <w:noProof/>
        </w:rPr>
      </w:pPr>
      <w:r>
        <w:rPr>
          <w:noProof/>
          <w:lang w:eastAsia="en-GB"/>
        </w:rPr>
        <w:drawing>
          <wp:inline distT="0" distB="0" distL="0" distR="0">
            <wp:extent cx="8990308" cy="5355771"/>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90308" cy="5355771"/>
                    </a:xfrm>
                    <a:prstGeom prst="rect">
                      <a:avLst/>
                    </a:prstGeom>
                    <a:noFill/>
                    <a:ln>
                      <a:noFill/>
                    </a:ln>
                  </pic:spPr>
                </pic:pic>
              </a:graphicData>
            </a:graphic>
          </wp:inline>
        </w:drawing>
      </w:r>
    </w:p>
    <w:p w:rsidR="004E032F" w:rsidRDefault="004E032F">
      <w:pPr>
        <w:rPr>
          <w:noProof/>
        </w:rPr>
        <w:sectPr w:rsidR="004E032F">
          <w:headerReference w:type="even" r:id="rId50"/>
          <w:headerReference w:type="default" r:id="rId51"/>
          <w:footerReference w:type="even" r:id="rId52"/>
          <w:footerReference w:type="default" r:id="rId53"/>
          <w:headerReference w:type="first" r:id="rId54"/>
          <w:footerReference w:type="first" r:id="rId55"/>
          <w:pgSz w:w="16838" w:h="11906" w:orient="landscape"/>
          <w:pgMar w:top="1417" w:right="1417" w:bottom="1417" w:left="1417" w:header="0" w:footer="0" w:gutter="0"/>
          <w:cols w:space="708"/>
          <w:docGrid w:linePitch="360"/>
        </w:sectPr>
      </w:pPr>
    </w:p>
    <w:p w:rsidR="004E032F" w:rsidRDefault="009B0276">
      <w:pPr>
        <w:spacing w:before="0" w:after="240"/>
        <w:jc w:val="both"/>
        <w:rPr>
          <w:b/>
          <w:noProof/>
          <w:spacing w:val="-6"/>
        </w:rPr>
      </w:pPr>
      <w:r>
        <w:rPr>
          <w:b/>
          <w:noProof/>
          <w:spacing w:val="-6"/>
          <w:sz w:val="22"/>
        </w:rPr>
        <w:lastRenderedPageBreak/>
        <w:t>Графика </w:t>
      </w:r>
      <w:r>
        <w:rPr>
          <w:b/>
          <w:bCs/>
          <w:noProof/>
          <w:spacing w:val="-6"/>
          <w:sz w:val="22"/>
        </w:rPr>
        <w:fldChar w:fldCharType="begin"/>
      </w:r>
      <w:r>
        <w:rPr>
          <w:b/>
          <w:bCs/>
          <w:noProof/>
          <w:spacing w:val="-6"/>
          <w:sz w:val="22"/>
        </w:rPr>
        <w:instrText xml:space="preserve"> SEQ Graph \* ARABIC </w:instrText>
      </w:r>
      <w:r>
        <w:rPr>
          <w:b/>
          <w:bCs/>
          <w:noProof/>
          <w:spacing w:val="-6"/>
          <w:sz w:val="22"/>
        </w:rPr>
        <w:fldChar w:fldCharType="separate"/>
      </w:r>
      <w:r>
        <w:rPr>
          <w:b/>
          <w:bCs/>
          <w:noProof/>
          <w:spacing w:val="-6"/>
          <w:sz w:val="22"/>
        </w:rPr>
        <w:t>12</w:t>
      </w:r>
      <w:r>
        <w:rPr>
          <w:b/>
          <w:bCs/>
          <w:noProof/>
          <w:spacing w:val="-6"/>
          <w:sz w:val="22"/>
        </w:rPr>
        <w:fldChar w:fldCharType="end"/>
      </w:r>
      <w:r>
        <w:rPr>
          <w:b/>
          <w:noProof/>
          <w:spacing w:val="-6"/>
          <w:sz w:val="22"/>
        </w:rPr>
        <w:t>:</w:t>
      </w:r>
      <w:r>
        <w:rPr>
          <w:noProof/>
          <w:spacing w:val="-6"/>
          <w:sz w:val="22"/>
        </w:rPr>
        <w:t xml:space="preserve"> </w:t>
      </w:r>
      <w:r>
        <w:rPr>
          <w:b/>
          <w:noProof/>
          <w:spacing w:val="-6"/>
          <w:sz w:val="22"/>
        </w:rPr>
        <w:t>Финансови инструменти за периода 2007—2013 г. — Постигнато финансиране по географско место</w:t>
      </w:r>
      <w:r>
        <w:rPr>
          <w:b/>
          <w:noProof/>
          <w:spacing w:val="-6"/>
        </w:rPr>
        <w:t xml:space="preserve">назначение към </w:t>
      </w:r>
      <w:r>
        <w:rPr>
          <w:b/>
          <w:noProof/>
          <w:spacing w:val="-6"/>
        </w:rPr>
        <w:t>31.12.2016 г.</w:t>
      </w:r>
    </w:p>
    <w:p w:rsidR="004E032F" w:rsidRDefault="009B0276">
      <w:pPr>
        <w:spacing w:before="0" w:after="240"/>
        <w:jc w:val="both"/>
        <w:rPr>
          <w:b/>
          <w:bCs/>
          <w:noProof/>
          <w:sz w:val="22"/>
        </w:rPr>
      </w:pPr>
      <w:r>
        <w:rPr>
          <w:noProof/>
          <w:lang w:eastAsia="en-GB"/>
        </w:rPr>
        <w:drawing>
          <wp:inline distT="0" distB="0" distL="0" distR="0">
            <wp:extent cx="8892540" cy="4689808"/>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892540" cy="4689808"/>
                    </a:xfrm>
                    <a:prstGeom prst="rect">
                      <a:avLst/>
                    </a:prstGeom>
                    <a:noFill/>
                    <a:ln>
                      <a:noFill/>
                    </a:ln>
                  </pic:spPr>
                </pic:pic>
              </a:graphicData>
            </a:graphic>
          </wp:inline>
        </w:drawing>
      </w:r>
      <w:r>
        <w:rPr>
          <w:b/>
          <w:noProof/>
          <w:sz w:val="22"/>
        </w:rPr>
        <w:t xml:space="preserve"> </w:t>
      </w:r>
    </w:p>
    <w:p w:rsidR="004E032F" w:rsidRDefault="004E032F">
      <w:pPr>
        <w:spacing w:before="0" w:after="240"/>
        <w:jc w:val="both"/>
        <w:rPr>
          <w:noProof/>
        </w:rPr>
        <w:sectPr w:rsidR="004E032F">
          <w:headerReference w:type="even" r:id="rId57"/>
          <w:headerReference w:type="default" r:id="rId58"/>
          <w:footerReference w:type="even" r:id="rId59"/>
          <w:footerReference w:type="default" r:id="rId60"/>
          <w:headerReference w:type="first" r:id="rId61"/>
          <w:footerReference w:type="first" r:id="rId62"/>
          <w:pgSz w:w="16838" w:h="11906" w:orient="landscape"/>
          <w:pgMar w:top="1417" w:right="1417" w:bottom="1417" w:left="1417" w:header="0" w:footer="0" w:gutter="0"/>
          <w:cols w:space="708"/>
          <w:docGrid w:linePitch="360"/>
        </w:sectPr>
      </w:pPr>
    </w:p>
    <w:p w:rsidR="004E032F" w:rsidRDefault="009B0276">
      <w:pPr>
        <w:spacing w:before="0" w:after="0" w:line="240" w:lineRule="auto"/>
        <w:jc w:val="both"/>
        <w:rPr>
          <w:b/>
          <w:noProof/>
          <w:spacing w:val="-6"/>
        </w:rPr>
      </w:pPr>
      <w:r>
        <w:rPr>
          <w:b/>
          <w:noProof/>
          <w:spacing w:val="-6"/>
          <w:sz w:val="22"/>
        </w:rPr>
        <w:lastRenderedPageBreak/>
        <w:t>Графика </w:t>
      </w:r>
      <w:r>
        <w:rPr>
          <w:b/>
          <w:bCs/>
          <w:noProof/>
          <w:spacing w:val="-6"/>
          <w:sz w:val="22"/>
        </w:rPr>
        <w:fldChar w:fldCharType="begin"/>
      </w:r>
      <w:r>
        <w:rPr>
          <w:b/>
          <w:bCs/>
          <w:noProof/>
          <w:spacing w:val="-6"/>
          <w:sz w:val="22"/>
        </w:rPr>
        <w:instrText xml:space="preserve"> SEQ Graph \* ARABIC </w:instrText>
      </w:r>
      <w:r>
        <w:rPr>
          <w:b/>
          <w:bCs/>
          <w:noProof/>
          <w:spacing w:val="-6"/>
          <w:sz w:val="22"/>
        </w:rPr>
        <w:fldChar w:fldCharType="separate"/>
      </w:r>
      <w:r>
        <w:rPr>
          <w:b/>
          <w:bCs/>
          <w:noProof/>
          <w:spacing w:val="-6"/>
          <w:sz w:val="22"/>
        </w:rPr>
        <w:t>13</w:t>
      </w:r>
      <w:r>
        <w:rPr>
          <w:b/>
          <w:bCs/>
          <w:noProof/>
          <w:spacing w:val="-6"/>
          <w:sz w:val="22"/>
        </w:rPr>
        <w:fldChar w:fldCharType="end"/>
      </w:r>
      <w:r>
        <w:rPr>
          <w:b/>
          <w:noProof/>
          <w:spacing w:val="-6"/>
          <w:sz w:val="22"/>
        </w:rPr>
        <w:t>:</w:t>
      </w:r>
      <w:r>
        <w:rPr>
          <w:noProof/>
          <w:spacing w:val="-6"/>
          <w:sz w:val="22"/>
        </w:rPr>
        <w:t xml:space="preserve"> </w:t>
      </w:r>
      <w:r>
        <w:rPr>
          <w:b/>
          <w:noProof/>
          <w:spacing w:val="-6"/>
          <w:sz w:val="22"/>
        </w:rPr>
        <w:t>Финансови инструменти за периода 2014—2020 г. — Постигнато финансиране по географско место</w:t>
      </w:r>
      <w:r>
        <w:rPr>
          <w:b/>
          <w:noProof/>
          <w:spacing w:val="-6"/>
        </w:rPr>
        <w:t>назначение към 31.12.2016 г.</w:t>
      </w:r>
    </w:p>
    <w:p w:rsidR="004E032F" w:rsidRDefault="004E032F">
      <w:pPr>
        <w:spacing w:before="0" w:after="0" w:line="240" w:lineRule="auto"/>
        <w:jc w:val="both"/>
        <w:rPr>
          <w:b/>
          <w:noProof/>
          <w:spacing w:val="-6"/>
        </w:rPr>
      </w:pPr>
    </w:p>
    <w:p w:rsidR="004E032F" w:rsidRDefault="009B0276">
      <w:pPr>
        <w:spacing w:before="0" w:after="0"/>
        <w:jc w:val="both"/>
        <w:rPr>
          <w:noProof/>
        </w:rPr>
      </w:pPr>
      <w:r>
        <w:rPr>
          <w:noProof/>
          <w:lang w:eastAsia="en-GB"/>
        </w:rPr>
        <w:drawing>
          <wp:inline distT="0" distB="0" distL="0" distR="0">
            <wp:extent cx="7547212" cy="5344643"/>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550768" cy="5347161"/>
                    </a:xfrm>
                    <a:prstGeom prst="rect">
                      <a:avLst/>
                    </a:prstGeom>
                    <a:noFill/>
                    <a:ln>
                      <a:noFill/>
                    </a:ln>
                  </pic:spPr>
                </pic:pic>
              </a:graphicData>
            </a:graphic>
          </wp:inline>
        </w:drawing>
      </w:r>
    </w:p>
    <w:p w:rsidR="004E032F" w:rsidRDefault="004E032F">
      <w:pPr>
        <w:spacing w:before="0" w:after="240"/>
        <w:jc w:val="center"/>
        <w:rPr>
          <w:noProof/>
        </w:rPr>
        <w:sectPr w:rsidR="004E032F">
          <w:headerReference w:type="even" r:id="rId64"/>
          <w:headerReference w:type="default" r:id="rId65"/>
          <w:footerReference w:type="even" r:id="rId66"/>
          <w:footerReference w:type="default" r:id="rId67"/>
          <w:headerReference w:type="first" r:id="rId68"/>
          <w:footerReference w:type="first" r:id="rId69"/>
          <w:pgSz w:w="16838" w:h="11906" w:orient="landscape"/>
          <w:pgMar w:top="1417" w:right="1417" w:bottom="1417" w:left="1417" w:header="0" w:footer="0" w:gutter="0"/>
          <w:cols w:space="708"/>
          <w:docGrid w:linePitch="360"/>
        </w:sectPr>
      </w:pPr>
    </w:p>
    <w:p w:rsidR="004E032F" w:rsidRDefault="009B0276">
      <w:pPr>
        <w:spacing w:before="0" w:after="240"/>
        <w:jc w:val="both"/>
        <w:rPr>
          <w:noProof/>
        </w:rPr>
      </w:pPr>
      <w:bookmarkStart w:id="32" w:name="_Toc486350746"/>
      <w:bookmarkStart w:id="33" w:name="_Toc486353208"/>
      <w:bookmarkStart w:id="34" w:name="_Toc486350747"/>
      <w:bookmarkStart w:id="35" w:name="_Toc486353209"/>
      <w:bookmarkStart w:id="36" w:name="_Toc486350748"/>
      <w:bookmarkStart w:id="37" w:name="_Toc486353210"/>
      <w:bookmarkStart w:id="38" w:name="_Toc486350749"/>
      <w:bookmarkStart w:id="39" w:name="_Toc486353211"/>
      <w:bookmarkStart w:id="40" w:name="_Toc486350750"/>
      <w:bookmarkStart w:id="41" w:name="_Toc486353212"/>
      <w:bookmarkStart w:id="42" w:name="_Toc486350751"/>
      <w:bookmarkStart w:id="43" w:name="_Toc486353213"/>
      <w:bookmarkStart w:id="44" w:name="_Toc486350752"/>
      <w:bookmarkStart w:id="45" w:name="_Toc486353214"/>
      <w:bookmarkStart w:id="46" w:name="_Toc486350753"/>
      <w:bookmarkStart w:id="47" w:name="_Toc486353215"/>
      <w:bookmarkStart w:id="48" w:name="_Toc486350754"/>
      <w:bookmarkStart w:id="49" w:name="_Toc486353216"/>
      <w:bookmarkStart w:id="50" w:name="_Toc486350755"/>
      <w:bookmarkStart w:id="51" w:name="_Toc486353217"/>
      <w:bookmarkStart w:id="52" w:name="_Toc486350756"/>
      <w:bookmarkStart w:id="53" w:name="_Toc486353218"/>
      <w:bookmarkStart w:id="54" w:name="_Toc486350757"/>
      <w:bookmarkStart w:id="55" w:name="_Toc486353219"/>
      <w:bookmarkStart w:id="56" w:name="_Toc486350758"/>
      <w:bookmarkStart w:id="57" w:name="_Toc486353220"/>
      <w:bookmarkStart w:id="58" w:name="_Toc48635322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Pr>
          <w:noProof/>
        </w:rPr>
        <w:lastRenderedPageBreak/>
        <w:t xml:space="preserve">Що се отнася до разпределението по видове инструменти (което не е показано на графиката), географското разпределение на </w:t>
      </w:r>
      <w:r>
        <w:rPr>
          <w:noProof/>
          <w:u w:val="single"/>
        </w:rPr>
        <w:t>дълговите</w:t>
      </w:r>
      <w:r>
        <w:rPr>
          <w:noProof/>
        </w:rPr>
        <w:t xml:space="preserve"> инструменти облагодетелства големите държави от ЕС като Франция, Германия и Италия, докат</w:t>
      </w:r>
      <w:r>
        <w:rPr>
          <w:noProof/>
        </w:rPr>
        <w:t xml:space="preserve">о държавите извън ЕС (главно в Средиземноморието) използват </w:t>
      </w:r>
      <w:r>
        <w:rPr>
          <w:noProof/>
          <w:u w:val="single"/>
        </w:rPr>
        <w:t>капиталови</w:t>
      </w:r>
      <w:r>
        <w:rPr>
          <w:noProof/>
        </w:rPr>
        <w:t xml:space="preserve"> и по-специално </w:t>
      </w:r>
      <w:r>
        <w:rPr>
          <w:noProof/>
          <w:u w:val="single"/>
        </w:rPr>
        <w:t>смесени</w:t>
      </w:r>
      <w:r>
        <w:rPr>
          <w:noProof/>
        </w:rPr>
        <w:t xml:space="preserve"> (дългови и капиталови) инструменти.</w:t>
      </w:r>
    </w:p>
    <w:p w:rsidR="004E032F" w:rsidRDefault="009B0276">
      <w:pPr>
        <w:pStyle w:val="Heading3-a"/>
        <w:rPr>
          <w:noProof/>
        </w:rPr>
      </w:pPr>
      <w:bookmarkStart w:id="59" w:name="_Toc493242931"/>
      <w:r>
        <w:rPr>
          <w:noProof/>
        </w:rPr>
        <w:t>Примери за успешни действия</w:t>
      </w:r>
      <w:bookmarkEnd w:id="59"/>
    </w:p>
    <w:p w:rsidR="004E032F" w:rsidRDefault="009B0276">
      <w:pPr>
        <w:spacing w:before="100" w:beforeAutospacing="1" w:after="100" w:afterAutospacing="1"/>
        <w:jc w:val="both"/>
        <w:rPr>
          <w:noProof/>
          <w:szCs w:val="24"/>
        </w:rPr>
      </w:pPr>
      <w:r>
        <w:rPr>
          <w:noProof/>
        </w:rPr>
        <w:t xml:space="preserve">В предишния и в текущия програмен период подкрепата на Съюза се предоставя на предприятия и други </w:t>
      </w:r>
      <w:r>
        <w:rPr>
          <w:noProof/>
        </w:rPr>
        <w:t>целеви групи, по-специално МСП; на стратегическите сектори, като например в областта на научните изследвания и иновациите, материалната инфраструктура и енергийната ефективност, социалното предприемачество, образованието и културата; както и на държави изв</w:t>
      </w:r>
      <w:r>
        <w:rPr>
          <w:noProof/>
        </w:rPr>
        <w:t>ън ЕС, което доведе до успеха на много предприемачески проекти. По-долу са посочени някои примери:</w:t>
      </w:r>
    </w:p>
    <w:p w:rsidR="004E032F" w:rsidRDefault="009B0276">
      <w:pPr>
        <w:jc w:val="both"/>
        <w:rPr>
          <w:b/>
          <w:bCs/>
          <w:noProof/>
          <w:color w:val="000000"/>
          <w:u w:val="single"/>
        </w:rPr>
      </w:pPr>
      <w:r>
        <w:rPr>
          <w:b/>
          <w:noProof/>
          <w:u w:val="single"/>
        </w:rPr>
        <w:t>МСП</w:t>
      </w:r>
      <w:r>
        <w:rPr>
          <w:b/>
          <w:noProof/>
        </w:rPr>
        <w:t>:</w:t>
      </w:r>
      <w:r>
        <w:rPr>
          <w:b/>
          <w:noProof/>
          <w:color w:val="000000"/>
        </w:rPr>
        <w:t xml:space="preserve"> </w:t>
      </w:r>
      <w:r>
        <w:rPr>
          <w:b/>
          <w:i/>
          <w:noProof/>
          <w:color w:val="000000"/>
        </w:rPr>
        <w:t xml:space="preserve">Механизмът за гарантиране на заеми по </w:t>
      </w:r>
      <w:r>
        <w:rPr>
          <w:b/>
          <w:i/>
          <w:noProof/>
        </w:rPr>
        <w:t>ЕФСИ/COSME</w:t>
      </w:r>
    </w:p>
    <w:p w:rsidR="004E032F" w:rsidRDefault="009B0276">
      <w:pPr>
        <w:pStyle w:val="ListParagraph"/>
        <w:numPr>
          <w:ilvl w:val="1"/>
          <w:numId w:val="41"/>
        </w:numPr>
        <w:spacing w:before="100" w:beforeAutospacing="1" w:after="100" w:afterAutospacing="1"/>
        <w:ind w:hanging="851"/>
        <w:jc w:val="both"/>
        <w:rPr>
          <w:rFonts w:eastAsia="Times New Roman"/>
          <w:noProof/>
          <w:spacing w:val="-4"/>
          <w:szCs w:val="24"/>
        </w:rPr>
      </w:pPr>
      <w:r>
        <w:rPr>
          <w:noProof/>
          <w:spacing w:val="-4"/>
        </w:rPr>
        <w:t>Финансирането, подкрепено от програмата на ЕС за конкурентоспособност на предприятията и малките и сред</w:t>
      </w:r>
      <w:r>
        <w:rPr>
          <w:noProof/>
          <w:spacing w:val="-4"/>
        </w:rPr>
        <w:t>ните предприятия (COSME), която подкрепя растежа сред МСП с по-рисков профил, помогна на полския търговец на стомана на едро Presto Stal да въведе нови услуги. Бизнес моделът на Presto Stal, със седалище в Клавково, Северна Полша, е ориентиран към местните</w:t>
      </w:r>
      <w:r>
        <w:rPr>
          <w:noProof/>
          <w:spacing w:val="-4"/>
        </w:rPr>
        <w:t xml:space="preserve"> клиенти. Наскоро Presto Stal реши да разшири гамата на предлаганите услуги: това включваше закупуването на земя за нов централен офис и цех. Необходима бе значителна инвестиция, която стана възможна благодарение на COSME. Гарантираният от ЕС заем осигури </w:t>
      </w:r>
      <w:r>
        <w:rPr>
          <w:noProof/>
          <w:spacing w:val="-4"/>
        </w:rPr>
        <w:t xml:space="preserve">финансова стабилност на дружеството по време на изпълнението на проекта за разширяване и вече се полагат основите на новите сгради. В резултат на това Presto Stal нае допълнителен персонал, като се очаква през 2017 г. броят на работниците да достигне 10. </w:t>
      </w:r>
      <w:hyperlink r:id="rId70">
        <w:r>
          <w:rPr>
            <w:rStyle w:val="Hyperlink"/>
            <w:noProof/>
            <w:spacing w:val="-4"/>
          </w:rPr>
          <w:t>https://ec.europa.eu/commission/sites/beta-political/files/brochure-investment-plan-17x17-june17_en.pdf</w:t>
        </w:r>
      </w:hyperlink>
    </w:p>
    <w:p w:rsidR="004E032F" w:rsidRDefault="009B0276">
      <w:pPr>
        <w:spacing w:before="0" w:after="0"/>
        <w:jc w:val="both"/>
        <w:rPr>
          <w:b/>
          <w:bCs/>
          <w:noProof/>
          <w:color w:val="000000"/>
          <w:spacing w:val="-4"/>
          <w:u w:val="single"/>
        </w:rPr>
      </w:pPr>
      <w:r>
        <w:rPr>
          <w:b/>
          <w:noProof/>
          <w:spacing w:val="-4"/>
          <w:u w:val="single"/>
        </w:rPr>
        <w:t>Научни изследвания и иновации</w:t>
      </w:r>
      <w:r>
        <w:rPr>
          <w:b/>
          <w:noProof/>
          <w:spacing w:val="-4"/>
        </w:rPr>
        <w:t>:</w:t>
      </w:r>
      <w:r>
        <w:rPr>
          <w:b/>
          <w:noProof/>
          <w:color w:val="000000"/>
          <w:spacing w:val="-4"/>
        </w:rPr>
        <w:t xml:space="preserve"> </w:t>
      </w:r>
      <w:r>
        <w:rPr>
          <w:b/>
          <w:i/>
          <w:noProof/>
          <w:color w:val="000000"/>
          <w:spacing w:val="-4"/>
        </w:rPr>
        <w:t>ЕФСИ/„Хоризонт 2020“ — Гаранционен механизъм InnovFin за МСП</w:t>
      </w:r>
    </w:p>
    <w:p w:rsidR="004E032F" w:rsidRDefault="009B0276">
      <w:pPr>
        <w:pStyle w:val="ListParagraph"/>
        <w:numPr>
          <w:ilvl w:val="1"/>
          <w:numId w:val="41"/>
        </w:numPr>
        <w:spacing w:before="100" w:beforeAutospacing="1" w:after="100" w:afterAutospacing="1"/>
        <w:ind w:left="709" w:hanging="709"/>
        <w:jc w:val="both"/>
        <w:rPr>
          <w:rFonts w:eastAsia="Times New Roman"/>
          <w:noProof/>
          <w:spacing w:val="-4"/>
          <w:szCs w:val="24"/>
        </w:rPr>
      </w:pPr>
      <w:r>
        <w:rPr>
          <w:noProof/>
          <w:spacing w:val="-4"/>
        </w:rPr>
        <w:t xml:space="preserve">Не всеки може да си изкарва прехраната с това, което му е най-приятно. Но в случая с Matthieu Gobbi и Jérôme Giacomoni двамата постигат точно това. Докато се обучават в престижния </w:t>
      </w:r>
      <w:r>
        <w:rPr>
          <w:i/>
          <w:noProof/>
          <w:spacing w:val="-4"/>
        </w:rPr>
        <w:t>École Polytech</w:t>
      </w:r>
      <w:r>
        <w:rPr>
          <w:i/>
          <w:noProof/>
          <w:spacing w:val="-4"/>
        </w:rPr>
        <w:t>nique</w:t>
      </w:r>
      <w:r>
        <w:rPr>
          <w:noProof/>
          <w:spacing w:val="-4"/>
        </w:rPr>
        <w:t xml:space="preserve"> в Париж, заедно решават да направят кариера от страстта си към аеростати и балони с горещ въздух. През 1993 г. двамата 25-годишни инженери основават Aerophile, дружество, специализирано в разработването на привързани балони с хелий, които са прикрепе</w:t>
      </w:r>
      <w:r>
        <w:rPr>
          <w:noProof/>
          <w:spacing w:val="-4"/>
        </w:rPr>
        <w:t>ни към земята.</w:t>
      </w:r>
    </w:p>
    <w:p w:rsidR="004E032F" w:rsidRDefault="009B0276">
      <w:pPr>
        <w:pStyle w:val="ListParagraph"/>
        <w:spacing w:before="100" w:beforeAutospacing="1" w:after="100" w:afterAutospacing="1"/>
        <w:ind w:left="709"/>
        <w:jc w:val="both"/>
        <w:rPr>
          <w:rFonts w:eastAsia="Times New Roman"/>
          <w:noProof/>
          <w:szCs w:val="24"/>
        </w:rPr>
      </w:pPr>
      <w:r>
        <w:rPr>
          <w:noProof/>
        </w:rPr>
        <w:t xml:space="preserve">След повече от 20 години Aerophile става основното дъщерно дружество на сегашното много по-голямо дружество Aerogroupe. Със 110 служители и впечатляващи темпове на растеж Matthieu и Jérôme успяват да позиционират </w:t>
      </w:r>
      <w:r>
        <w:rPr>
          <w:noProof/>
        </w:rPr>
        <w:lastRenderedPageBreak/>
        <w:t>Aerophile на пазара като све</w:t>
      </w:r>
      <w:r>
        <w:rPr>
          <w:noProof/>
        </w:rPr>
        <w:t>товен лидер в областта на привързаните балони, като правят балоните си с различни размери. Като предлагат продуктите си в около 30 държави по света, Matthieu и Jérôme пускат един от своите балони дори на последните олимпийски игри в Рио де Жанейро.</w:t>
      </w:r>
    </w:p>
    <w:p w:rsidR="004E032F" w:rsidRDefault="009B0276">
      <w:pPr>
        <w:pStyle w:val="ListParagraph"/>
        <w:spacing w:before="100" w:beforeAutospacing="1" w:after="100" w:afterAutospacing="1"/>
        <w:ind w:left="709"/>
        <w:jc w:val="both"/>
        <w:rPr>
          <w:rFonts w:eastAsia="Times New Roman"/>
          <w:noProof/>
          <w:szCs w:val="24"/>
        </w:rPr>
      </w:pPr>
      <w:r>
        <w:rPr>
          <w:noProof/>
        </w:rPr>
        <w:t>Въпреки</w:t>
      </w:r>
      <w:r>
        <w:rPr>
          <w:noProof/>
        </w:rPr>
        <w:t xml:space="preserve"> това те знаят, че в определен момент от развитието на своето дружество трябва да разнообразят продуктовата си линия: една от техните новаторски идеи впоследствие е да създадат „Aerobar“, първият летящ бар, който позволява на клиентите да пият на височина </w:t>
      </w:r>
      <w:r>
        <w:rPr>
          <w:noProof/>
        </w:rPr>
        <w:t>няколко метра нагоре във въздуха, както и да открият увеселителен парк „le Parc du Petit Prince“, базиран на романа „</w:t>
      </w:r>
      <w:r>
        <w:rPr>
          <w:i/>
          <w:noProof/>
        </w:rPr>
        <w:t>Малкия принц</w:t>
      </w:r>
      <w:r>
        <w:rPr>
          <w:noProof/>
        </w:rPr>
        <w:t>“ на Антоан дьо Сен-Екзюпери.</w:t>
      </w:r>
    </w:p>
    <w:p w:rsidR="004E032F" w:rsidRDefault="009B0276">
      <w:pPr>
        <w:pStyle w:val="ListParagraph"/>
        <w:spacing w:before="100" w:beforeAutospacing="1" w:after="100" w:afterAutospacing="1"/>
        <w:ind w:left="709"/>
        <w:jc w:val="both"/>
        <w:rPr>
          <w:rFonts w:eastAsia="Times New Roman"/>
          <w:noProof/>
          <w:szCs w:val="24"/>
        </w:rPr>
      </w:pPr>
      <w:r>
        <w:rPr>
          <w:noProof/>
        </w:rPr>
        <w:t xml:space="preserve">За подпомагане на растежа на тяхното дружество Matthieu и Jérôme са получили гаранция, подкрепена от Европейския инвестиционен фонд (ЕИФ) по ЕФСИ, първия стълб на Плана за инвестиции за Европа. </w:t>
      </w:r>
      <w:r>
        <w:rPr>
          <w:noProof/>
          <w:u w:val="single"/>
        </w:rPr>
        <w:t>Планът за инвестиции за Европа, инициативата на ЕС, имаща за ц</w:t>
      </w:r>
      <w:r>
        <w:rPr>
          <w:noProof/>
          <w:u w:val="single"/>
        </w:rPr>
        <w:t>ел генерирането на нови инвестиции в Европа чрез подкрепата на иновативни малки и средни предприятия в комбинация с гаранции InnovFin за МСП</w:t>
      </w:r>
      <w:r>
        <w:rPr>
          <w:noProof/>
        </w:rPr>
        <w:t>, пряко е подпомогнала Matthieu и Jérôme при осъществяването на последните им бизнес планове и създаването на 100 се</w:t>
      </w:r>
      <w:r>
        <w:rPr>
          <w:noProof/>
        </w:rPr>
        <w:t>зонни работни места.</w:t>
      </w:r>
    </w:p>
    <w:p w:rsidR="004E032F" w:rsidRDefault="009B0276">
      <w:pPr>
        <w:pStyle w:val="ListParagraph"/>
        <w:spacing w:before="100" w:beforeAutospacing="1" w:after="100" w:afterAutospacing="1"/>
        <w:ind w:left="709"/>
        <w:jc w:val="both"/>
        <w:rPr>
          <w:rFonts w:eastAsia="Times New Roman"/>
          <w:noProof/>
          <w:szCs w:val="24"/>
        </w:rPr>
      </w:pPr>
      <w:hyperlink r:id="rId71" w:history="1">
        <w:r>
          <w:rPr>
            <w:rStyle w:val="Hyperlink"/>
            <w:noProof/>
          </w:rPr>
          <w:t>http://www.eif.org/what_we_do/guarantees/case-studies/efsi_innovfin_aerogroupe_france.htm?lang=-en</w:t>
        </w:r>
      </w:hyperlink>
    </w:p>
    <w:p w:rsidR="004E032F" w:rsidRDefault="009B0276">
      <w:pPr>
        <w:spacing w:before="0" w:after="0"/>
        <w:jc w:val="both"/>
        <w:rPr>
          <w:b/>
          <w:bCs/>
          <w:noProof/>
          <w:color w:val="000000"/>
          <w:u w:val="single"/>
        </w:rPr>
      </w:pPr>
      <w:r>
        <w:rPr>
          <w:b/>
          <w:noProof/>
          <w:u w:val="single"/>
        </w:rPr>
        <w:t>Инфраструктура и енер</w:t>
      </w:r>
      <w:r>
        <w:rPr>
          <w:b/>
          <w:noProof/>
          <w:u w:val="single"/>
        </w:rPr>
        <w:t>гийна ефективност</w:t>
      </w:r>
      <w:r>
        <w:rPr>
          <w:b/>
          <w:noProof/>
        </w:rPr>
        <w:t>:</w:t>
      </w:r>
      <w:r>
        <w:rPr>
          <w:b/>
          <w:noProof/>
          <w:color w:val="000000"/>
        </w:rPr>
        <w:t xml:space="preserve"> </w:t>
      </w:r>
      <w:r>
        <w:rPr>
          <w:b/>
          <w:i/>
          <w:noProof/>
          <w:color w:val="000000"/>
        </w:rPr>
        <w:t>Европейски фонд за енергетика, изменение на климата и инфраструктура 2020 г. (Marguerite)</w:t>
      </w:r>
      <w:r>
        <w:rPr>
          <w:b/>
          <w:noProof/>
          <w:color w:val="000000"/>
          <w:u w:val="single"/>
        </w:rPr>
        <w:t xml:space="preserve"> </w:t>
      </w:r>
    </w:p>
    <w:p w:rsidR="004E032F" w:rsidRDefault="009B0276">
      <w:pPr>
        <w:pStyle w:val="ListParagraph"/>
        <w:numPr>
          <w:ilvl w:val="1"/>
          <w:numId w:val="41"/>
        </w:numPr>
        <w:spacing w:before="100" w:beforeAutospacing="1" w:after="100" w:afterAutospacing="1"/>
        <w:ind w:left="709" w:hanging="709"/>
        <w:jc w:val="both"/>
        <w:rPr>
          <w:rFonts w:eastAsia="Times New Roman"/>
          <w:noProof/>
          <w:szCs w:val="24"/>
        </w:rPr>
      </w:pPr>
      <w:r>
        <w:rPr>
          <w:noProof/>
        </w:rPr>
        <w:t>Чрез фонда Marguerite участието на Съюза подкрепи (наред с другото) придобиването на дял от 29 % в AS Latvijas Gaze (LG), вертикално интегрирано д</w:t>
      </w:r>
      <w:r>
        <w:rPr>
          <w:noProof/>
        </w:rPr>
        <w:t xml:space="preserve">ружество за газ, отговарящо за преноса, разпределението, съхранението и доставката на природен газ в Латвия. LG експлоатира и поддържа латвийските газопроводи за пренос и разпределение, както и подземното съоръжение за съхранение на газ Inčukalns, третото </w:t>
      </w:r>
      <w:r>
        <w:rPr>
          <w:noProof/>
        </w:rPr>
        <w:t>най-голямо съоръжение за съхранение в ЕС и стратегически актив за сигурността на доставките на газ в балтийските държави. LG също така осигурява доставката на природен газ за повече от 400 000 вътрешни клиенти и доставя газ на клиенти в Естония, Северозапа</w:t>
      </w:r>
      <w:r>
        <w:rPr>
          <w:noProof/>
        </w:rPr>
        <w:t xml:space="preserve">дна Русия и Литва. Дружеството спонсорира два проекта от общ интерес, които ще подобрят регионалната сигурност на доставките на газ. </w:t>
      </w:r>
    </w:p>
    <w:p w:rsidR="004E032F" w:rsidRDefault="009B0276">
      <w:pPr>
        <w:pStyle w:val="ListParagraph"/>
        <w:spacing w:before="100" w:beforeAutospacing="1" w:after="100" w:afterAutospacing="1"/>
        <w:ind w:left="709"/>
        <w:jc w:val="both"/>
        <w:rPr>
          <w:rFonts w:eastAsia="Times New Roman"/>
          <w:noProof/>
        </w:rPr>
      </w:pPr>
      <w:hyperlink r:id="rId72">
        <w:r>
          <w:rPr>
            <w:rStyle w:val="Hyperlink"/>
            <w:noProof/>
          </w:rPr>
          <w:t>http://www.reuters.com/art</w:t>
        </w:r>
        <w:r>
          <w:rPr>
            <w:rStyle w:val="Hyperlink"/>
            <w:noProof/>
          </w:rPr>
          <w:t>icle/latvijas-gaze-ma-marguerite-eon-idUSL8N15C3D3</w:t>
        </w:r>
      </w:hyperlink>
    </w:p>
    <w:p w:rsidR="004E032F" w:rsidRDefault="009B0276">
      <w:pPr>
        <w:spacing w:before="0" w:after="0"/>
        <w:jc w:val="both"/>
        <w:rPr>
          <w:b/>
          <w:bCs/>
          <w:noProof/>
          <w:color w:val="000000"/>
          <w:u w:val="single"/>
        </w:rPr>
      </w:pPr>
      <w:r>
        <w:rPr>
          <w:b/>
          <w:noProof/>
          <w:u w:val="single"/>
        </w:rPr>
        <w:t>Инфраструктура и енергийна ефективност</w:t>
      </w:r>
      <w:r>
        <w:rPr>
          <w:b/>
          <w:noProof/>
        </w:rPr>
        <w:t>:</w:t>
      </w:r>
      <w:r>
        <w:rPr>
          <w:b/>
          <w:noProof/>
          <w:color w:val="000000"/>
        </w:rPr>
        <w:t xml:space="preserve"> </w:t>
      </w:r>
      <w:r>
        <w:rPr>
          <w:b/>
          <w:i/>
          <w:noProof/>
          <w:color w:val="000000"/>
        </w:rPr>
        <w:t>Инструменти за частно финансиране за енергийна ефективност</w:t>
      </w:r>
      <w:r>
        <w:rPr>
          <w:b/>
          <w:noProof/>
          <w:color w:val="000000"/>
          <w:u w:val="single"/>
        </w:rPr>
        <w:t xml:space="preserve"> (</w:t>
      </w:r>
      <w:r>
        <w:rPr>
          <w:b/>
          <w:i/>
          <w:noProof/>
          <w:color w:val="000000"/>
        </w:rPr>
        <w:t>PF4EE)</w:t>
      </w:r>
    </w:p>
    <w:p w:rsidR="004E032F" w:rsidRDefault="009B0276">
      <w:pPr>
        <w:pStyle w:val="ListParagraph"/>
        <w:numPr>
          <w:ilvl w:val="1"/>
          <w:numId w:val="41"/>
        </w:numPr>
        <w:spacing w:before="100" w:beforeAutospacing="1" w:after="100" w:afterAutospacing="1"/>
        <w:ind w:left="709" w:hanging="709"/>
        <w:jc w:val="both"/>
        <w:rPr>
          <w:rFonts w:eastAsia="Times New Roman"/>
          <w:b/>
          <w:noProof/>
        </w:rPr>
      </w:pPr>
      <w:r>
        <w:rPr>
          <w:noProof/>
        </w:rPr>
        <w:t>Чешката Komercni Banka (KB) беше първият финансов посредник, който сключи договор PF4EE. Един от п</w:t>
      </w:r>
      <w:r>
        <w:rPr>
          <w:noProof/>
        </w:rPr>
        <w:t xml:space="preserve">оследващите проекти беше оптимизацията на отоплителната система на индустриален цех на МСП за хлебни изделия — изолация на стените и прозорците. Проектът беше на обща стойност от </w:t>
      </w:r>
      <w:r>
        <w:rPr>
          <w:noProof/>
        </w:rPr>
        <w:lastRenderedPageBreak/>
        <w:t xml:space="preserve">приблизително 300 000 евро, от които 20 % бяха осигурени от PF4EE и доведоха </w:t>
      </w:r>
      <w:r>
        <w:rPr>
          <w:noProof/>
        </w:rPr>
        <w:t>до икономии на енергия в размер на около 60 000 евро годишно.</w:t>
      </w:r>
    </w:p>
    <w:p w:rsidR="004E032F" w:rsidRDefault="009B0276">
      <w:pPr>
        <w:pStyle w:val="Heading2"/>
        <w:rPr>
          <w:noProof/>
        </w:rPr>
      </w:pPr>
      <w:bookmarkStart w:id="60" w:name="_Toc493242932"/>
      <w:r>
        <w:rPr>
          <w:noProof/>
        </w:rPr>
        <w:t>ЗАКЛЮЧЕНИЕ</w:t>
      </w:r>
      <w:bookmarkEnd w:id="58"/>
      <w:bookmarkEnd w:id="60"/>
    </w:p>
    <w:p w:rsidR="004E032F" w:rsidRDefault="009B0276">
      <w:pPr>
        <w:spacing w:before="0" w:after="240"/>
        <w:jc w:val="both"/>
        <w:rPr>
          <w:noProof/>
        </w:rPr>
      </w:pPr>
      <w:r>
        <w:rPr>
          <w:noProof/>
        </w:rPr>
        <w:t>Финансовите инструменти на ЕС се оказаха ефективни (например от гледна точка на обхват) и икономически рентабилни (например от гледна точка на ефект на лоста) за преодоляването на тру</w:t>
      </w:r>
      <w:r>
        <w:rPr>
          <w:noProof/>
        </w:rPr>
        <w:t>дностите, пред които е изправена икономиката на ЕС по отношение на подходящ достъп до финансиране при разумни условия. Финансовите инструменти позволяват да се разшири обхватът на бюджета на ЕС в реалната икономика и Комисията внимателно ще разгледа, по-сп</w:t>
      </w:r>
      <w:r>
        <w:rPr>
          <w:noProof/>
        </w:rPr>
        <w:t>ециално в контекста на предстоящите предложения за следващата МФР, възможността за засилване на съществуващите инструменти или ще потърси нови в отговор на несъвършенствата на пазара или във връзка с неоптимални инвестиционни ситуации, когато най-подходящи</w:t>
      </w:r>
      <w:r>
        <w:rPr>
          <w:noProof/>
        </w:rPr>
        <w:t xml:space="preserve">те модели за оказване на подкрепа от ЕС изглеждат пазарното финансиране с гаранция от ЕС, капиталовите инвестиции или споразуменията за поделяне на риска. </w:t>
      </w:r>
    </w:p>
    <w:p w:rsidR="004E032F" w:rsidRDefault="009B0276">
      <w:pPr>
        <w:spacing w:before="0" w:after="240"/>
        <w:jc w:val="both"/>
        <w:rPr>
          <w:noProof/>
          <w:spacing w:val="-6"/>
        </w:rPr>
      </w:pPr>
      <w:r>
        <w:rPr>
          <w:noProof/>
          <w:spacing w:val="-6"/>
        </w:rPr>
        <w:t>Въпреки че безвъзмездната финансова подкрепа ще продължи да бъде необходима, в някои области на поли</w:t>
      </w:r>
      <w:r>
        <w:rPr>
          <w:noProof/>
          <w:spacing w:val="-6"/>
        </w:rPr>
        <w:t>тиката иновативните финансови инструменти и/или бюджетните гаранции от типа на ЕФСИ могат да представляват по-целесъобразен и икономически ефективен отговор. В документа за размисъл относно бъдещето на финансите на ЕС се припомня, че инструментите за подел</w:t>
      </w:r>
      <w:r>
        <w:rPr>
          <w:noProof/>
          <w:spacing w:val="-6"/>
        </w:rPr>
        <w:t>яне на риска могат да играят важна роля за изпълнението на бюджета в бъдеще, за способността да се постига повече с по-малко средства и да се усили ефектът на бюджета на ЕС, по-специално в период на бюджетни ограничения</w:t>
      </w:r>
      <w:r>
        <w:rPr>
          <w:rStyle w:val="FootnoteReference"/>
          <w:noProof/>
          <w:spacing w:val="-6"/>
        </w:rPr>
        <w:footnoteReference w:id="28"/>
      </w:r>
      <w:r>
        <w:rPr>
          <w:noProof/>
          <w:spacing w:val="-6"/>
        </w:rPr>
        <w:t xml:space="preserve">. </w:t>
      </w:r>
    </w:p>
    <w:p w:rsidR="004E032F" w:rsidRDefault="009B0276">
      <w:pPr>
        <w:spacing w:before="0" w:after="240"/>
        <w:jc w:val="both"/>
        <w:rPr>
          <w:noProof/>
        </w:rPr>
      </w:pPr>
      <w:r>
        <w:rPr>
          <w:noProof/>
        </w:rPr>
        <w:t xml:space="preserve">По същия начин, макар и </w:t>
      </w:r>
      <w:r>
        <w:rPr>
          <w:noProof/>
        </w:rPr>
        <w:t>аргументите за увеличаване на бюджетните средства за финансови инструменти да са силни, Комисията ще оцени степента, до която би могъл да бъде намален големият понастоящем брой на инструментите. Както беше припомнено в документа за размисъл относно бъдещет</w:t>
      </w:r>
      <w:r>
        <w:rPr>
          <w:noProof/>
        </w:rPr>
        <w:t>о на финансите на ЕС, една от възможностите за решаване на този въпрос би могла да бъде създаването на единен фонд с възможности за смесване и специфични за политиката направления</w:t>
      </w:r>
      <w:r>
        <w:rPr>
          <w:rStyle w:val="FootnoteReference"/>
          <w:noProof/>
        </w:rPr>
        <w:footnoteReference w:id="29"/>
      </w:r>
      <w:r>
        <w:rPr>
          <w:noProof/>
        </w:rPr>
        <w:t xml:space="preserve">. Както е показано на фигура 1, няколко от настоящите 35 инструмента са </w:t>
      </w:r>
      <w:r>
        <w:rPr>
          <w:noProof/>
        </w:rPr>
        <w:t>насочени към едни и същи сегменти, което може да води до припокриване, създаващо риск от объркване между бенефициерите и ненужна административна тежест.</w:t>
      </w:r>
    </w:p>
    <w:p w:rsidR="004E032F" w:rsidRDefault="009B0276">
      <w:pPr>
        <w:spacing w:before="0" w:after="240"/>
        <w:jc w:val="both"/>
        <w:rPr>
          <w:noProof/>
        </w:rPr>
      </w:pPr>
      <w:r>
        <w:rPr>
          <w:noProof/>
        </w:rPr>
        <w:t xml:space="preserve">Подобаващо внимание ще бъде отделено, за да се гарантира също, че организаторите на проекти и целевите </w:t>
      </w:r>
      <w:r>
        <w:rPr>
          <w:noProof/>
        </w:rPr>
        <w:t>бенефициери на финансовите инструменти имат достъп до информация по различни начини за подкрепеното от ЕС финансиране, като например портала „Достъп до финансиране за МСП“</w:t>
      </w:r>
      <w:r>
        <w:rPr>
          <w:rStyle w:val="FootnoteReference"/>
          <w:noProof/>
        </w:rPr>
        <w:footnoteReference w:id="30"/>
      </w:r>
      <w:r>
        <w:rPr>
          <w:noProof/>
        </w:rPr>
        <w:t xml:space="preserve">. </w:t>
      </w:r>
    </w:p>
    <w:p w:rsidR="004E032F" w:rsidRDefault="009B0276">
      <w:pPr>
        <w:spacing w:before="0" w:after="240"/>
        <w:jc w:val="both"/>
        <w:rPr>
          <w:noProof/>
        </w:rPr>
      </w:pPr>
      <w:r>
        <w:rPr>
          <w:noProof/>
        </w:rPr>
        <w:lastRenderedPageBreak/>
        <w:t>Същевременно Комисията ще продължи да търси правилния баланс за осигуряване на по</w:t>
      </w:r>
      <w:r>
        <w:rPr>
          <w:noProof/>
        </w:rPr>
        <w:t>дходяща отчетност, докладване, мониторинг и одит, като същевременно се стреми към възможно най-ефикасно и ефективно прилагане на финансовите инструменти. Въпреки че настоящата рамка за прилагането на инструментите за периода 2014—2020 г. съдържа важни разп</w:t>
      </w:r>
      <w:r>
        <w:rPr>
          <w:noProof/>
        </w:rPr>
        <w:t>оредби относно техническите изисквания, прозрачността, вътрешния контрол, одита и докладването, регулаторната рамка следва непрекъснато да се преразглежда, за да се намали допълнително бюрокрацията, да се улесни прилагането и за по-нататъшното хармонизиран</w:t>
      </w:r>
      <w:r>
        <w:rPr>
          <w:noProof/>
        </w:rPr>
        <w:t xml:space="preserve">е при разработването на финансови инструменти за най-ефикасни и актуални пазарни практики. </w:t>
      </w:r>
    </w:p>
    <w:p w:rsidR="004E032F" w:rsidRDefault="009B0276">
      <w:pPr>
        <w:spacing w:before="0" w:after="240"/>
        <w:jc w:val="both"/>
        <w:rPr>
          <w:noProof/>
        </w:rPr>
      </w:pPr>
      <w:r>
        <w:rPr>
          <w:noProof/>
        </w:rPr>
        <w:t>Комисията извършва междинна оценка на отделните инструменти, както се изисква от секторните правни основания. Предложението на Комисията за преразглеждане на Финанс</w:t>
      </w:r>
      <w:r>
        <w:rPr>
          <w:noProof/>
        </w:rPr>
        <w:t>овия регламент, което в момента е в процес на обсъждане с Европейския парламент и Съвета, изхожда от извлечените поуки от опита, за да подготви почвата за следващото поколение финансови инструменти и бюджетни гаранции с оглед на създаването на най-подходящ</w:t>
      </w:r>
      <w:r>
        <w:rPr>
          <w:noProof/>
        </w:rPr>
        <w:t>ата регулаторна среда за изпълнение на съгласуваните цели на политиката.</w:t>
      </w:r>
    </w:p>
    <w:p w:rsidR="004E032F" w:rsidRDefault="004E032F">
      <w:pPr>
        <w:spacing w:before="0" w:after="0" w:line="240" w:lineRule="auto"/>
        <w:rPr>
          <w:noProof/>
        </w:rPr>
      </w:pPr>
      <w:bookmarkStart w:id="61" w:name="_Toc430097288"/>
      <w:bookmarkStart w:id="62" w:name="_Toc430097294"/>
      <w:bookmarkStart w:id="63" w:name="_Toc430097296"/>
      <w:bookmarkStart w:id="64" w:name="_Toc430097298"/>
      <w:bookmarkStart w:id="65" w:name="_Toc430097300"/>
      <w:bookmarkStart w:id="66" w:name="_Toc430097301"/>
      <w:bookmarkStart w:id="67" w:name="_Toc430097302"/>
      <w:bookmarkStart w:id="68" w:name="_Toc430097305"/>
      <w:bookmarkStart w:id="69" w:name="_Toc430097307"/>
      <w:bookmarkEnd w:id="4"/>
      <w:bookmarkEnd w:id="5"/>
      <w:bookmarkEnd w:id="6"/>
      <w:bookmarkEnd w:id="7"/>
      <w:bookmarkEnd w:id="61"/>
      <w:bookmarkEnd w:id="62"/>
      <w:bookmarkEnd w:id="63"/>
      <w:bookmarkEnd w:id="64"/>
      <w:bookmarkEnd w:id="65"/>
      <w:bookmarkEnd w:id="66"/>
      <w:bookmarkEnd w:id="67"/>
      <w:bookmarkEnd w:id="68"/>
      <w:bookmarkEnd w:id="69"/>
    </w:p>
    <w:p w:rsidR="004E032F" w:rsidRDefault="009B0276">
      <w:pPr>
        <w:spacing w:before="0" w:after="0" w:line="240" w:lineRule="auto"/>
        <w:rPr>
          <w:b/>
          <w:noProof/>
          <w:szCs w:val="24"/>
        </w:rPr>
      </w:pPr>
      <w:r>
        <w:rPr>
          <w:b/>
          <w:noProof/>
        </w:rPr>
        <w:t>АКРОНИМИ НА ФИНАНСОВИТЕ ИНСТРУМЕНТИ</w:t>
      </w:r>
    </w:p>
    <w:p w:rsidR="004E032F" w:rsidRDefault="004E032F">
      <w:pPr>
        <w:spacing w:before="0" w:after="0" w:line="240" w:lineRule="auto"/>
        <w:rPr>
          <w:b/>
          <w:noProof/>
          <w:szCs w:val="24"/>
        </w:rPr>
      </w:pPr>
    </w:p>
    <w:p w:rsidR="004E032F" w:rsidRDefault="009B0276">
      <w:pPr>
        <w:spacing w:before="0" w:after="0" w:line="240" w:lineRule="auto"/>
        <w:ind w:left="1077" w:hanging="1077"/>
        <w:contextualSpacing/>
        <w:rPr>
          <w:noProof/>
          <w:szCs w:val="24"/>
        </w:rPr>
      </w:pPr>
      <w:r>
        <w:rPr>
          <w:b/>
          <w:noProof/>
        </w:rPr>
        <w:t>CCS - GF</w:t>
      </w:r>
      <w:r>
        <w:rPr>
          <w:noProof/>
        </w:rPr>
        <w:t xml:space="preserve">: </w:t>
      </w:r>
      <w:r>
        <w:rPr>
          <w:noProof/>
        </w:rPr>
        <w:tab/>
      </w:r>
      <w:r>
        <w:rPr>
          <w:noProof/>
        </w:rPr>
        <w:tab/>
        <w:t>Гаранционен механизъм за секторите на културата и творчеството</w:t>
      </w:r>
    </w:p>
    <w:p w:rsidR="004E032F" w:rsidRDefault="009B0276">
      <w:pPr>
        <w:spacing w:before="0" w:after="0" w:line="240" w:lineRule="auto"/>
        <w:ind w:left="1077" w:hanging="1077"/>
        <w:contextualSpacing/>
        <w:rPr>
          <w:b/>
          <w:noProof/>
          <w:szCs w:val="24"/>
        </w:rPr>
      </w:pPr>
      <w:r>
        <w:rPr>
          <w:b/>
          <w:noProof/>
        </w:rPr>
        <w:t xml:space="preserve">МСЕ: </w:t>
      </w:r>
      <w:r>
        <w:rPr>
          <w:noProof/>
        </w:rPr>
        <w:tab/>
      </w:r>
      <w:r>
        <w:rPr>
          <w:noProof/>
        </w:rPr>
        <w:tab/>
      </w:r>
      <w:r>
        <w:rPr>
          <w:noProof/>
        </w:rPr>
        <w:tab/>
        <w:t>Механизъм за свързване на Европа.</w:t>
      </w:r>
    </w:p>
    <w:p w:rsidR="004E032F" w:rsidRDefault="009B0276">
      <w:pPr>
        <w:spacing w:before="0" w:after="0" w:line="240" w:lineRule="auto"/>
        <w:ind w:left="2160" w:hanging="2160"/>
        <w:contextualSpacing/>
        <w:rPr>
          <w:noProof/>
          <w:szCs w:val="24"/>
        </w:rPr>
      </w:pPr>
      <w:r>
        <w:rPr>
          <w:b/>
          <w:noProof/>
        </w:rPr>
        <w:t>CEF DI</w:t>
      </w:r>
      <w:r>
        <w:rPr>
          <w:noProof/>
        </w:rPr>
        <w:t xml:space="preserve">: </w:t>
      </w:r>
      <w:r>
        <w:rPr>
          <w:noProof/>
        </w:rPr>
        <w:tab/>
        <w:t>Дългов инструмент з</w:t>
      </w:r>
      <w:r>
        <w:rPr>
          <w:noProof/>
        </w:rPr>
        <w:t>а поделяне на риска по Механизма за свързване на Европа</w:t>
      </w:r>
    </w:p>
    <w:p w:rsidR="004E032F" w:rsidRDefault="009B0276">
      <w:pPr>
        <w:spacing w:before="0" w:after="0" w:line="240" w:lineRule="auto"/>
        <w:ind w:left="2160" w:hanging="2160"/>
        <w:contextualSpacing/>
        <w:rPr>
          <w:noProof/>
          <w:szCs w:val="24"/>
        </w:rPr>
      </w:pPr>
      <w:r>
        <w:rPr>
          <w:b/>
          <w:noProof/>
        </w:rPr>
        <w:t>Капиталов инструмент (CEF)</w:t>
      </w:r>
      <w:r>
        <w:rPr>
          <w:noProof/>
        </w:rPr>
        <w:t>:</w:t>
      </w:r>
      <w:r>
        <w:rPr>
          <w:noProof/>
          <w:lang w:val="bg-BG"/>
        </w:rPr>
        <w:t xml:space="preserve"> </w:t>
      </w:r>
      <w:r>
        <w:rPr>
          <w:noProof/>
        </w:rPr>
        <w:t>Капиталов инструмент по Механизма за свързване на Европа</w:t>
      </w:r>
    </w:p>
    <w:p w:rsidR="004E032F" w:rsidRDefault="009B0276">
      <w:pPr>
        <w:spacing w:before="0" w:after="0" w:line="240" w:lineRule="auto"/>
        <w:ind w:left="1077" w:hanging="1077"/>
        <w:contextualSpacing/>
        <w:rPr>
          <w:b/>
          <w:noProof/>
          <w:szCs w:val="24"/>
        </w:rPr>
      </w:pPr>
      <w:r>
        <w:rPr>
          <w:b/>
          <w:noProof/>
        </w:rPr>
        <w:t xml:space="preserve">CIP: </w:t>
      </w:r>
      <w:r>
        <w:rPr>
          <w:noProof/>
        </w:rPr>
        <w:tab/>
      </w:r>
      <w:r>
        <w:rPr>
          <w:noProof/>
        </w:rPr>
        <w:tab/>
      </w:r>
      <w:r>
        <w:rPr>
          <w:noProof/>
        </w:rPr>
        <w:tab/>
        <w:t>Рамкова програма за конкурентоспособност и иновации.</w:t>
      </w:r>
    </w:p>
    <w:p w:rsidR="004E032F" w:rsidRDefault="009B0276">
      <w:pPr>
        <w:spacing w:before="0" w:after="0" w:line="240" w:lineRule="auto"/>
        <w:ind w:left="2160" w:hanging="2160"/>
        <w:contextualSpacing/>
        <w:rPr>
          <w:b/>
          <w:noProof/>
          <w:szCs w:val="24"/>
        </w:rPr>
      </w:pPr>
      <w:r>
        <w:rPr>
          <w:b/>
          <w:noProof/>
        </w:rPr>
        <w:t>COSME</w:t>
      </w:r>
      <w:r>
        <w:rPr>
          <w:noProof/>
        </w:rPr>
        <w:t xml:space="preserve">: </w:t>
      </w:r>
      <w:r>
        <w:rPr>
          <w:noProof/>
        </w:rPr>
        <w:tab/>
        <w:t>Програма за конкурентоспособност на предприяти</w:t>
      </w:r>
      <w:r>
        <w:rPr>
          <w:noProof/>
        </w:rPr>
        <w:t>ята и малките и средните предприятия</w:t>
      </w:r>
    </w:p>
    <w:p w:rsidR="004E032F" w:rsidRDefault="009B0276">
      <w:pPr>
        <w:spacing w:before="0" w:after="0" w:line="240" w:lineRule="auto"/>
        <w:ind w:left="2160" w:hanging="2160"/>
        <w:contextualSpacing/>
        <w:rPr>
          <w:noProof/>
          <w:szCs w:val="24"/>
          <w:lang w:val="bg-BG"/>
        </w:rPr>
      </w:pPr>
      <w:r>
        <w:rPr>
          <w:b/>
          <w:noProof/>
        </w:rPr>
        <w:t>EaSI - CBI</w:t>
      </w:r>
      <w:r>
        <w:rPr>
          <w:noProof/>
        </w:rPr>
        <w:t>:</w:t>
      </w:r>
      <w:r>
        <w:rPr>
          <w:noProof/>
        </w:rPr>
        <w:tab/>
        <w:t>Инвестиции за изграждане на капацитет за заетост и социални иновации</w:t>
      </w:r>
    </w:p>
    <w:p w:rsidR="004E032F" w:rsidRDefault="009B0276">
      <w:pPr>
        <w:spacing w:before="0" w:after="0" w:line="240" w:lineRule="auto"/>
        <w:ind w:left="2160" w:hanging="2160"/>
        <w:contextualSpacing/>
        <w:rPr>
          <w:noProof/>
          <w:szCs w:val="24"/>
          <w:lang w:val="bg-BG"/>
        </w:rPr>
      </w:pPr>
      <w:r>
        <w:rPr>
          <w:b/>
          <w:noProof/>
        </w:rPr>
        <w:t>EaSI</w:t>
      </w:r>
      <w:r>
        <w:rPr>
          <w:b/>
          <w:noProof/>
          <w:lang w:val="bg-BG"/>
        </w:rPr>
        <w:t xml:space="preserve"> - </w:t>
      </w:r>
      <w:r>
        <w:rPr>
          <w:b/>
          <w:noProof/>
        </w:rPr>
        <w:t>G</w:t>
      </w:r>
      <w:r>
        <w:rPr>
          <w:noProof/>
          <w:lang w:val="bg-BG"/>
        </w:rPr>
        <w:t xml:space="preserve">: </w:t>
      </w:r>
      <w:r>
        <w:rPr>
          <w:noProof/>
          <w:lang w:val="bg-BG"/>
        </w:rPr>
        <w:tab/>
        <w:t>Микрофинансиране за заетост и социални иновации и социално предприемачество</w:t>
      </w:r>
    </w:p>
    <w:p w:rsidR="004E032F" w:rsidRDefault="009B0276">
      <w:pPr>
        <w:spacing w:before="0" w:after="0" w:line="240" w:lineRule="auto"/>
        <w:ind w:left="1077" w:hanging="1077"/>
        <w:contextualSpacing/>
        <w:rPr>
          <w:noProof/>
          <w:szCs w:val="24"/>
          <w:lang w:val="bg-BG"/>
        </w:rPr>
      </w:pPr>
      <w:r>
        <w:rPr>
          <w:b/>
          <w:noProof/>
        </w:rPr>
        <w:t>EEEF</w:t>
      </w:r>
      <w:r>
        <w:rPr>
          <w:noProof/>
          <w:lang w:val="bg-BG"/>
        </w:rPr>
        <w:t xml:space="preserve">: </w:t>
      </w:r>
      <w:r>
        <w:rPr>
          <w:noProof/>
          <w:lang w:val="bg-BG"/>
        </w:rPr>
        <w:tab/>
      </w:r>
      <w:r>
        <w:rPr>
          <w:noProof/>
          <w:lang w:val="bg-BG"/>
        </w:rPr>
        <w:tab/>
      </w:r>
      <w:r>
        <w:rPr>
          <w:noProof/>
          <w:lang w:val="bg-BG"/>
        </w:rPr>
        <w:tab/>
        <w:t>Европейски фонд за енергийна ефективност</w:t>
      </w:r>
    </w:p>
    <w:p w:rsidR="004E032F" w:rsidRDefault="009B0276">
      <w:pPr>
        <w:spacing w:before="0" w:after="0" w:line="240" w:lineRule="auto"/>
        <w:ind w:left="1077" w:hanging="1077"/>
        <w:contextualSpacing/>
        <w:rPr>
          <w:noProof/>
          <w:szCs w:val="24"/>
          <w:lang w:val="bg-BG"/>
        </w:rPr>
      </w:pPr>
      <w:r>
        <w:rPr>
          <w:b/>
          <w:noProof/>
        </w:rPr>
        <w:t>E</w:t>
      </w:r>
      <w:r>
        <w:rPr>
          <w:b/>
          <w:noProof/>
        </w:rPr>
        <w:t>FG</w:t>
      </w:r>
      <w:r>
        <w:rPr>
          <w:b/>
          <w:noProof/>
          <w:lang w:val="bg-BG"/>
        </w:rPr>
        <w:t xml:space="preserve"> по </w:t>
      </w:r>
      <w:r>
        <w:rPr>
          <w:b/>
          <w:noProof/>
        </w:rPr>
        <w:t>COSME</w:t>
      </w:r>
      <w:r>
        <w:rPr>
          <w:noProof/>
          <w:lang w:val="bg-BG"/>
        </w:rPr>
        <w:t xml:space="preserve">: </w:t>
      </w:r>
      <w:r>
        <w:rPr>
          <w:noProof/>
          <w:lang w:val="bg-BG"/>
        </w:rPr>
        <w:tab/>
        <w:t xml:space="preserve">Капиталов механизъм за растеж по </w:t>
      </w:r>
      <w:r>
        <w:rPr>
          <w:noProof/>
        </w:rPr>
        <w:t>COSME</w:t>
      </w:r>
    </w:p>
    <w:p w:rsidR="004E032F" w:rsidRDefault="009B0276">
      <w:pPr>
        <w:spacing w:before="0" w:after="0" w:line="240" w:lineRule="auto"/>
        <w:ind w:left="1077" w:hanging="1077"/>
        <w:contextualSpacing/>
        <w:rPr>
          <w:noProof/>
          <w:szCs w:val="24"/>
          <w:lang w:val="bg-BG"/>
        </w:rPr>
      </w:pPr>
      <w:r>
        <w:rPr>
          <w:b/>
          <w:noProof/>
        </w:rPr>
        <w:t>EFSE</w:t>
      </w:r>
      <w:r>
        <w:rPr>
          <w:noProof/>
          <w:lang w:val="bg-BG"/>
        </w:rPr>
        <w:t xml:space="preserve">: </w:t>
      </w:r>
      <w:r>
        <w:rPr>
          <w:noProof/>
          <w:lang w:val="bg-BG"/>
        </w:rPr>
        <w:tab/>
      </w:r>
      <w:r>
        <w:rPr>
          <w:noProof/>
          <w:lang w:val="bg-BG"/>
        </w:rPr>
        <w:tab/>
      </w:r>
      <w:r>
        <w:rPr>
          <w:noProof/>
          <w:lang w:val="bg-BG"/>
        </w:rPr>
        <w:tab/>
        <w:t>Европейски фонд за Югоизточна Европа</w:t>
      </w:r>
    </w:p>
    <w:p w:rsidR="004E032F" w:rsidRDefault="009B0276">
      <w:pPr>
        <w:spacing w:before="0" w:after="0" w:line="240" w:lineRule="auto"/>
        <w:ind w:left="2160" w:hanging="2160"/>
        <w:contextualSpacing/>
        <w:rPr>
          <w:noProof/>
          <w:szCs w:val="24"/>
          <w:lang w:val="bg-BG"/>
        </w:rPr>
      </w:pPr>
      <w:r>
        <w:rPr>
          <w:b/>
          <w:noProof/>
        </w:rPr>
        <w:t>ENEF</w:t>
      </w:r>
      <w:r>
        <w:rPr>
          <w:b/>
          <w:noProof/>
          <w:lang w:val="bg-BG"/>
        </w:rPr>
        <w:t xml:space="preserve"> по линия на </w:t>
      </w:r>
      <w:r>
        <w:rPr>
          <w:b/>
          <w:noProof/>
        </w:rPr>
        <w:t>EDIF</w:t>
      </w:r>
      <w:r>
        <w:rPr>
          <w:noProof/>
          <w:lang w:val="bg-BG"/>
        </w:rPr>
        <w:t xml:space="preserve">: </w:t>
      </w:r>
      <w:r>
        <w:rPr>
          <w:noProof/>
          <w:lang w:val="bg-BG"/>
        </w:rPr>
        <w:tab/>
        <w:t>Фонд за разширяване на предприятията по Инструмента за развитие на предприятията и иновациите за Западните Балкани</w:t>
      </w:r>
    </w:p>
    <w:p w:rsidR="004E032F" w:rsidRDefault="009B0276">
      <w:pPr>
        <w:spacing w:before="0" w:after="0" w:line="240" w:lineRule="auto"/>
        <w:ind w:left="2160" w:hanging="2160"/>
        <w:contextualSpacing/>
        <w:rPr>
          <w:noProof/>
          <w:szCs w:val="24"/>
          <w:lang w:val="bg-BG"/>
        </w:rPr>
      </w:pPr>
      <w:r>
        <w:rPr>
          <w:b/>
          <w:noProof/>
        </w:rPr>
        <w:t>ENIF</w:t>
      </w:r>
      <w:r>
        <w:rPr>
          <w:b/>
          <w:noProof/>
          <w:lang w:val="bg-BG"/>
        </w:rPr>
        <w:t xml:space="preserve"> по линия на </w:t>
      </w:r>
      <w:r>
        <w:rPr>
          <w:b/>
          <w:noProof/>
        </w:rPr>
        <w:t>E</w:t>
      </w:r>
      <w:r>
        <w:rPr>
          <w:b/>
          <w:noProof/>
        </w:rPr>
        <w:t>DIF</w:t>
      </w:r>
      <w:r>
        <w:rPr>
          <w:noProof/>
          <w:lang w:val="bg-BG"/>
        </w:rPr>
        <w:t xml:space="preserve">: </w:t>
      </w:r>
      <w:r>
        <w:rPr>
          <w:noProof/>
          <w:lang w:val="bg-BG"/>
        </w:rPr>
        <w:tab/>
        <w:t>Фонд за иновации в предприятията по Инструмента за развитие на предприятията и иновациите за Западните Балкани</w:t>
      </w:r>
    </w:p>
    <w:p w:rsidR="004E032F" w:rsidRDefault="009B0276">
      <w:pPr>
        <w:spacing w:before="0" w:after="0" w:line="240" w:lineRule="auto"/>
        <w:ind w:left="2160" w:hanging="2160"/>
        <w:contextualSpacing/>
        <w:rPr>
          <w:noProof/>
          <w:szCs w:val="24"/>
          <w:lang w:val="bg-BG"/>
        </w:rPr>
      </w:pPr>
      <w:r>
        <w:rPr>
          <w:b/>
          <w:noProof/>
        </w:rPr>
        <w:t>EPMF</w:t>
      </w:r>
      <w:r>
        <w:rPr>
          <w:b/>
          <w:noProof/>
          <w:lang w:val="bg-BG"/>
        </w:rPr>
        <w:t xml:space="preserve"> - </w:t>
      </w:r>
      <w:r>
        <w:rPr>
          <w:b/>
          <w:noProof/>
        </w:rPr>
        <w:t>G</w:t>
      </w:r>
      <w:r>
        <w:rPr>
          <w:noProof/>
          <w:lang w:val="bg-BG"/>
        </w:rPr>
        <w:t xml:space="preserve">: </w:t>
      </w:r>
      <w:r>
        <w:rPr>
          <w:noProof/>
          <w:lang w:val="bg-BG"/>
        </w:rPr>
        <w:tab/>
        <w:t>Европейски гаранционен механизъм за микрофинансиране „Прогрес“</w:t>
      </w:r>
    </w:p>
    <w:p w:rsidR="004E032F" w:rsidRDefault="009B0276">
      <w:pPr>
        <w:spacing w:before="0" w:after="0" w:line="240" w:lineRule="auto"/>
        <w:ind w:left="2160" w:hanging="2160"/>
        <w:contextualSpacing/>
        <w:rPr>
          <w:noProof/>
          <w:szCs w:val="24"/>
          <w:lang w:val="bg-BG"/>
        </w:rPr>
      </w:pPr>
      <w:r>
        <w:rPr>
          <w:b/>
          <w:noProof/>
        </w:rPr>
        <w:t>EPMF</w:t>
      </w:r>
      <w:r>
        <w:rPr>
          <w:b/>
          <w:noProof/>
          <w:lang w:val="bg-BG"/>
        </w:rPr>
        <w:t xml:space="preserve"> - </w:t>
      </w:r>
      <w:r>
        <w:rPr>
          <w:b/>
          <w:noProof/>
        </w:rPr>
        <w:t>FCP</w:t>
      </w:r>
      <w:r>
        <w:rPr>
          <w:b/>
          <w:noProof/>
          <w:lang w:val="bg-BG"/>
        </w:rPr>
        <w:t xml:space="preserve"> - </w:t>
      </w:r>
      <w:r>
        <w:rPr>
          <w:b/>
          <w:noProof/>
        </w:rPr>
        <w:t>FIS</w:t>
      </w:r>
      <w:r>
        <w:rPr>
          <w:noProof/>
          <w:lang w:val="bg-BG"/>
        </w:rPr>
        <w:t>:</w:t>
      </w:r>
      <w:r>
        <w:rPr>
          <w:noProof/>
          <w:lang w:val="bg-BG"/>
        </w:rPr>
        <w:tab/>
      </w:r>
      <w:r>
        <w:rPr>
          <w:noProof/>
          <w:lang w:val="bg-BG"/>
        </w:rPr>
        <w:t xml:space="preserve">Европейски механизъм за микрофинансиране „Прогрес“ — </w:t>
      </w:r>
      <w:r>
        <w:rPr>
          <w:noProof/>
        </w:rPr>
        <w:t>Fonds</w:t>
      </w:r>
      <w:r>
        <w:rPr>
          <w:noProof/>
          <w:lang w:val="bg-BG"/>
        </w:rPr>
        <w:t xml:space="preserve"> </w:t>
      </w:r>
      <w:r>
        <w:rPr>
          <w:noProof/>
        </w:rPr>
        <w:t>Commun</w:t>
      </w:r>
      <w:r>
        <w:rPr>
          <w:noProof/>
          <w:lang w:val="bg-BG"/>
        </w:rPr>
        <w:t xml:space="preserve"> </w:t>
      </w:r>
      <w:r>
        <w:rPr>
          <w:noProof/>
        </w:rPr>
        <w:t>de</w:t>
      </w:r>
      <w:r>
        <w:rPr>
          <w:noProof/>
          <w:lang w:val="bg-BG"/>
        </w:rPr>
        <w:t xml:space="preserve"> </w:t>
      </w:r>
      <w:r>
        <w:rPr>
          <w:noProof/>
        </w:rPr>
        <w:t>Placement</w:t>
      </w:r>
      <w:r>
        <w:rPr>
          <w:noProof/>
          <w:lang w:val="bg-BG"/>
        </w:rPr>
        <w:t xml:space="preserve"> — </w:t>
      </w:r>
      <w:r>
        <w:rPr>
          <w:noProof/>
        </w:rPr>
        <w:t>Fonds</w:t>
      </w:r>
      <w:r>
        <w:rPr>
          <w:noProof/>
          <w:lang w:val="bg-BG"/>
        </w:rPr>
        <w:t xml:space="preserve"> </w:t>
      </w:r>
      <w:r>
        <w:rPr>
          <w:noProof/>
        </w:rPr>
        <w:t>d</w:t>
      </w:r>
      <w:r>
        <w:rPr>
          <w:noProof/>
          <w:lang w:val="bg-BG"/>
        </w:rPr>
        <w:t>’</w:t>
      </w:r>
      <w:r>
        <w:rPr>
          <w:noProof/>
        </w:rPr>
        <w:t>Investissement</w:t>
      </w:r>
      <w:r>
        <w:rPr>
          <w:noProof/>
          <w:lang w:val="bg-BG"/>
        </w:rPr>
        <w:t xml:space="preserve"> </w:t>
      </w:r>
      <w:r>
        <w:rPr>
          <w:noProof/>
        </w:rPr>
        <w:t>Sp</w:t>
      </w:r>
      <w:r>
        <w:rPr>
          <w:noProof/>
          <w:lang w:val="bg-BG"/>
        </w:rPr>
        <w:t>é</w:t>
      </w:r>
      <w:r>
        <w:rPr>
          <w:noProof/>
        </w:rPr>
        <w:t>cialis</w:t>
      </w:r>
      <w:r>
        <w:rPr>
          <w:noProof/>
          <w:lang w:val="bg-BG"/>
        </w:rPr>
        <w:t>é</w:t>
      </w:r>
    </w:p>
    <w:p w:rsidR="004E032F" w:rsidRDefault="009B0276">
      <w:pPr>
        <w:spacing w:before="0" w:after="0" w:line="240" w:lineRule="auto"/>
        <w:ind w:left="2160" w:hanging="2160"/>
        <w:contextualSpacing/>
        <w:rPr>
          <w:noProof/>
          <w:szCs w:val="24"/>
          <w:lang w:val="bg-BG"/>
        </w:rPr>
      </w:pPr>
      <w:r>
        <w:rPr>
          <w:b/>
          <w:noProof/>
        </w:rPr>
        <w:t>FEMIP</w:t>
      </w:r>
      <w:r>
        <w:rPr>
          <w:noProof/>
          <w:lang w:val="bg-BG"/>
        </w:rPr>
        <w:t xml:space="preserve">: </w:t>
      </w:r>
      <w:r>
        <w:rPr>
          <w:noProof/>
          <w:lang w:val="bg-BG"/>
        </w:rPr>
        <w:tab/>
        <w:t>Подкрепа за Инструмента за евро-средиземноморски инвестиции и партньорство</w:t>
      </w:r>
    </w:p>
    <w:p w:rsidR="004E032F" w:rsidRDefault="009B0276">
      <w:pPr>
        <w:spacing w:before="0" w:after="0" w:line="240" w:lineRule="auto"/>
        <w:contextualSpacing/>
        <w:rPr>
          <w:b/>
          <w:noProof/>
          <w:szCs w:val="24"/>
          <w:lang w:val="bg-BG"/>
        </w:rPr>
      </w:pPr>
      <w:r>
        <w:rPr>
          <w:b/>
          <w:noProof/>
          <w:lang w:val="bg-BG"/>
        </w:rPr>
        <w:t>РП7:</w:t>
      </w:r>
      <w:r>
        <w:rPr>
          <w:noProof/>
          <w:lang w:val="bg-BG"/>
        </w:rPr>
        <w:tab/>
        <w:t xml:space="preserve"> </w:t>
      </w:r>
      <w:r>
        <w:rPr>
          <w:noProof/>
          <w:lang w:val="bg-BG"/>
        </w:rPr>
        <w:tab/>
      </w:r>
      <w:r>
        <w:rPr>
          <w:noProof/>
          <w:lang w:val="bg-BG"/>
        </w:rPr>
        <w:tab/>
        <w:t xml:space="preserve">Рамкова програма за научни изследвания и </w:t>
      </w:r>
      <w:r>
        <w:rPr>
          <w:noProof/>
          <w:lang w:val="bg-BG"/>
        </w:rPr>
        <w:t>технологично развитие</w:t>
      </w:r>
    </w:p>
    <w:p w:rsidR="004E032F" w:rsidRDefault="009B0276">
      <w:pPr>
        <w:spacing w:before="0" w:after="0" w:line="240" w:lineRule="auto"/>
        <w:ind w:left="1077" w:hanging="1077"/>
        <w:contextualSpacing/>
        <w:rPr>
          <w:noProof/>
          <w:szCs w:val="24"/>
          <w:lang w:val="bg-BG"/>
        </w:rPr>
      </w:pPr>
      <w:r>
        <w:rPr>
          <w:b/>
          <w:noProof/>
        </w:rPr>
        <w:lastRenderedPageBreak/>
        <w:t>GEEREF</w:t>
      </w:r>
      <w:r>
        <w:rPr>
          <w:noProof/>
          <w:lang w:val="bg-BG"/>
        </w:rPr>
        <w:t xml:space="preserve">: </w:t>
      </w:r>
      <w:r>
        <w:rPr>
          <w:noProof/>
          <w:lang w:val="bg-BG"/>
        </w:rPr>
        <w:tab/>
      </w:r>
      <w:r>
        <w:rPr>
          <w:noProof/>
          <w:lang w:val="bg-BG"/>
        </w:rPr>
        <w:tab/>
        <w:t>Световен фонд за енергийна ефективност и възобновяема енергия</w:t>
      </w:r>
    </w:p>
    <w:p w:rsidR="004E032F" w:rsidRDefault="009B0276">
      <w:pPr>
        <w:spacing w:before="0" w:after="0" w:line="240" w:lineRule="auto"/>
        <w:ind w:left="1077" w:hanging="1077"/>
        <w:contextualSpacing/>
        <w:rPr>
          <w:noProof/>
          <w:szCs w:val="24"/>
          <w:lang w:val="bg-BG"/>
        </w:rPr>
      </w:pPr>
      <w:r>
        <w:rPr>
          <w:b/>
          <w:noProof/>
        </w:rPr>
        <w:t>GGF</w:t>
      </w:r>
      <w:r>
        <w:rPr>
          <w:noProof/>
          <w:lang w:val="bg-BG"/>
        </w:rPr>
        <w:t xml:space="preserve">: </w:t>
      </w:r>
      <w:r>
        <w:rPr>
          <w:noProof/>
          <w:lang w:val="bg-BG"/>
        </w:rPr>
        <w:tab/>
      </w:r>
      <w:r>
        <w:rPr>
          <w:noProof/>
          <w:lang w:val="bg-BG"/>
        </w:rPr>
        <w:tab/>
      </w:r>
      <w:r>
        <w:rPr>
          <w:noProof/>
          <w:lang w:val="bg-BG"/>
        </w:rPr>
        <w:tab/>
        <w:t>Фонд „Екология за растеж“</w:t>
      </w:r>
    </w:p>
    <w:p w:rsidR="004E032F" w:rsidRDefault="009B0276">
      <w:pPr>
        <w:spacing w:before="0" w:after="0" w:line="240" w:lineRule="auto"/>
        <w:ind w:left="2160" w:hanging="2160"/>
        <w:contextualSpacing/>
        <w:rPr>
          <w:noProof/>
          <w:szCs w:val="24"/>
          <w:lang w:val="bg-BG"/>
        </w:rPr>
      </w:pPr>
      <w:r>
        <w:rPr>
          <w:b/>
          <w:noProof/>
        </w:rPr>
        <w:t>GIF</w:t>
      </w:r>
      <w:r>
        <w:rPr>
          <w:b/>
          <w:noProof/>
          <w:lang w:val="bg-BG"/>
        </w:rPr>
        <w:t xml:space="preserve"> по </w:t>
      </w:r>
      <w:r>
        <w:rPr>
          <w:b/>
          <w:noProof/>
        </w:rPr>
        <w:t>CIP</w:t>
      </w:r>
      <w:r>
        <w:rPr>
          <w:noProof/>
          <w:lang w:val="bg-BG"/>
        </w:rPr>
        <w:t xml:space="preserve">: </w:t>
      </w:r>
      <w:r>
        <w:rPr>
          <w:noProof/>
          <w:lang w:val="bg-BG"/>
        </w:rPr>
        <w:tab/>
        <w:t>Механизъм за висок растеж и иновации на МСП по Рамковата програма за конкурентоспособност и иновации</w:t>
      </w:r>
    </w:p>
    <w:p w:rsidR="004E032F" w:rsidRDefault="009B0276">
      <w:pPr>
        <w:spacing w:before="0" w:after="0" w:line="240" w:lineRule="auto"/>
        <w:ind w:left="2160" w:hanging="2160"/>
        <w:contextualSpacing/>
        <w:rPr>
          <w:noProof/>
          <w:szCs w:val="24"/>
          <w:lang w:val="bg-BG"/>
        </w:rPr>
      </w:pPr>
      <w:r>
        <w:rPr>
          <w:b/>
          <w:noProof/>
        </w:rPr>
        <w:t>IFCA</w:t>
      </w:r>
      <w:r>
        <w:rPr>
          <w:b/>
          <w:noProof/>
          <w:lang w:val="bg-BG"/>
        </w:rPr>
        <w:t xml:space="preserve"> и </w:t>
      </w:r>
      <w:r>
        <w:rPr>
          <w:b/>
          <w:noProof/>
        </w:rPr>
        <w:t>AIF</w:t>
      </w:r>
      <w:r>
        <w:rPr>
          <w:noProof/>
          <w:lang w:val="bg-BG"/>
        </w:rPr>
        <w:t xml:space="preserve">: </w:t>
      </w:r>
      <w:r>
        <w:rPr>
          <w:noProof/>
          <w:lang w:val="bg-BG"/>
        </w:rPr>
        <w:tab/>
        <w:t>М</w:t>
      </w:r>
      <w:r>
        <w:rPr>
          <w:noProof/>
          <w:lang w:val="bg-BG"/>
        </w:rPr>
        <w:t>еханизъм за инвестиции в Централна Азия и механизъм за инвестиции в Азия</w:t>
      </w:r>
    </w:p>
    <w:p w:rsidR="004E032F" w:rsidRDefault="009B0276">
      <w:pPr>
        <w:spacing w:before="0" w:after="0" w:line="240" w:lineRule="auto"/>
        <w:ind w:left="1077" w:hanging="1077"/>
        <w:contextualSpacing/>
        <w:rPr>
          <w:noProof/>
          <w:szCs w:val="24"/>
          <w:lang w:val="bg-BG"/>
        </w:rPr>
      </w:pPr>
      <w:r>
        <w:rPr>
          <w:b/>
          <w:noProof/>
        </w:rPr>
        <w:t>LAIF</w:t>
      </w:r>
      <w:r>
        <w:rPr>
          <w:noProof/>
          <w:lang w:val="bg-BG"/>
        </w:rPr>
        <w:t xml:space="preserve">: </w:t>
      </w:r>
      <w:r>
        <w:rPr>
          <w:noProof/>
          <w:lang w:val="bg-BG"/>
        </w:rPr>
        <w:tab/>
      </w:r>
      <w:r>
        <w:rPr>
          <w:noProof/>
          <w:lang w:val="bg-BG"/>
        </w:rPr>
        <w:tab/>
      </w:r>
      <w:r>
        <w:rPr>
          <w:noProof/>
          <w:lang w:val="bg-BG"/>
        </w:rPr>
        <w:tab/>
        <w:t>Механизъм за инвестиции в Латинска Америка</w:t>
      </w:r>
    </w:p>
    <w:p w:rsidR="004E032F" w:rsidRDefault="009B0276">
      <w:pPr>
        <w:spacing w:before="0" w:after="0" w:line="240" w:lineRule="auto"/>
        <w:ind w:left="2160" w:hanging="2160"/>
        <w:contextualSpacing/>
        <w:rPr>
          <w:noProof/>
          <w:szCs w:val="24"/>
          <w:lang w:val="bg-BG"/>
        </w:rPr>
      </w:pPr>
      <w:r>
        <w:rPr>
          <w:b/>
          <w:noProof/>
        </w:rPr>
        <w:t>LGF</w:t>
      </w:r>
      <w:r>
        <w:rPr>
          <w:b/>
          <w:noProof/>
          <w:lang w:val="bg-BG"/>
        </w:rPr>
        <w:t xml:space="preserve"> по </w:t>
      </w:r>
      <w:r>
        <w:rPr>
          <w:b/>
          <w:noProof/>
        </w:rPr>
        <w:t>COSME</w:t>
      </w:r>
      <w:r>
        <w:rPr>
          <w:noProof/>
          <w:lang w:val="bg-BG"/>
        </w:rPr>
        <w:t>: Механизъм за гарантиране на заеми по Програмата за конкурентоспособност на предприятията и малките и средните предпри</w:t>
      </w:r>
      <w:r>
        <w:rPr>
          <w:noProof/>
          <w:lang w:val="bg-BG"/>
        </w:rPr>
        <w:t>ятия</w:t>
      </w:r>
    </w:p>
    <w:p w:rsidR="004E032F" w:rsidRDefault="009B0276">
      <w:pPr>
        <w:spacing w:before="0" w:after="0" w:line="240" w:lineRule="auto"/>
        <w:ind w:left="1077" w:hanging="1077"/>
        <w:contextualSpacing/>
        <w:rPr>
          <w:noProof/>
          <w:szCs w:val="24"/>
          <w:lang w:val="bg-BG"/>
        </w:rPr>
      </w:pPr>
      <w:r>
        <w:rPr>
          <w:b/>
          <w:noProof/>
        </w:rPr>
        <w:t>NCFF</w:t>
      </w:r>
      <w:r>
        <w:rPr>
          <w:noProof/>
          <w:lang w:val="bg-BG"/>
        </w:rPr>
        <w:t>:</w:t>
      </w:r>
      <w:r>
        <w:rPr>
          <w:noProof/>
          <w:lang w:val="bg-BG"/>
        </w:rPr>
        <w:tab/>
      </w:r>
      <w:r>
        <w:rPr>
          <w:noProof/>
          <w:lang w:val="bg-BG"/>
        </w:rPr>
        <w:tab/>
      </w:r>
      <w:r>
        <w:rPr>
          <w:noProof/>
          <w:lang w:val="bg-BG"/>
        </w:rPr>
        <w:tab/>
        <w:t>Инструмент за финансиране на природен капитал</w:t>
      </w:r>
    </w:p>
    <w:p w:rsidR="004E032F" w:rsidRDefault="009B0276">
      <w:pPr>
        <w:spacing w:before="0" w:after="0" w:line="240" w:lineRule="auto"/>
        <w:ind w:left="1077" w:hanging="1077"/>
        <w:contextualSpacing/>
        <w:rPr>
          <w:noProof/>
          <w:szCs w:val="24"/>
          <w:lang w:val="bg-BG"/>
        </w:rPr>
      </w:pPr>
      <w:r>
        <w:rPr>
          <w:b/>
          <w:noProof/>
        </w:rPr>
        <w:t>NIF</w:t>
      </w:r>
      <w:r>
        <w:rPr>
          <w:noProof/>
          <w:lang w:val="bg-BG"/>
        </w:rPr>
        <w:t xml:space="preserve">: </w:t>
      </w:r>
      <w:r>
        <w:rPr>
          <w:noProof/>
          <w:lang w:val="bg-BG"/>
        </w:rPr>
        <w:tab/>
      </w:r>
      <w:r>
        <w:rPr>
          <w:noProof/>
          <w:lang w:val="bg-BG"/>
        </w:rPr>
        <w:tab/>
      </w:r>
      <w:r>
        <w:rPr>
          <w:noProof/>
          <w:lang w:val="bg-BG"/>
        </w:rPr>
        <w:tab/>
        <w:t>Механизъм за инвестиции по линия на добросъседството</w:t>
      </w:r>
    </w:p>
    <w:p w:rsidR="004E032F" w:rsidRDefault="009B0276">
      <w:pPr>
        <w:spacing w:before="0" w:after="0" w:line="240" w:lineRule="auto"/>
        <w:ind w:left="1077" w:hanging="1077"/>
        <w:contextualSpacing/>
        <w:rPr>
          <w:noProof/>
          <w:szCs w:val="24"/>
          <w:lang w:val="bg-BG"/>
        </w:rPr>
      </w:pPr>
      <w:r>
        <w:rPr>
          <w:b/>
          <w:noProof/>
        </w:rPr>
        <w:t>PF</w:t>
      </w:r>
      <w:r>
        <w:rPr>
          <w:b/>
          <w:noProof/>
          <w:lang w:val="bg-BG"/>
        </w:rPr>
        <w:t>4</w:t>
      </w:r>
      <w:r>
        <w:rPr>
          <w:b/>
          <w:noProof/>
        </w:rPr>
        <w:t>EE</w:t>
      </w:r>
      <w:r>
        <w:rPr>
          <w:noProof/>
          <w:lang w:val="bg-BG"/>
        </w:rPr>
        <w:t xml:space="preserve">: </w:t>
      </w:r>
      <w:r>
        <w:rPr>
          <w:noProof/>
          <w:lang w:val="bg-BG"/>
        </w:rPr>
        <w:tab/>
      </w:r>
      <w:r>
        <w:rPr>
          <w:noProof/>
          <w:lang w:val="bg-BG"/>
        </w:rPr>
        <w:tab/>
      </w:r>
      <w:r>
        <w:rPr>
          <w:noProof/>
          <w:lang w:val="bg-BG"/>
        </w:rPr>
        <w:tab/>
        <w:t>Инструменти за частно финансиране за енергийна ефективност</w:t>
      </w:r>
    </w:p>
    <w:p w:rsidR="004E032F" w:rsidRDefault="009B0276">
      <w:pPr>
        <w:spacing w:before="0" w:after="0" w:line="240" w:lineRule="auto"/>
        <w:ind w:left="1077" w:hanging="1077"/>
        <w:contextualSpacing/>
        <w:rPr>
          <w:noProof/>
          <w:szCs w:val="24"/>
          <w:lang w:val="bg-BG"/>
        </w:rPr>
      </w:pPr>
      <w:r>
        <w:rPr>
          <w:b/>
          <w:noProof/>
        </w:rPr>
        <w:t>RSFF</w:t>
      </w:r>
      <w:r>
        <w:rPr>
          <w:noProof/>
          <w:lang w:val="bg-BG"/>
        </w:rPr>
        <w:t xml:space="preserve">: </w:t>
      </w:r>
      <w:r>
        <w:rPr>
          <w:noProof/>
          <w:lang w:val="bg-BG"/>
        </w:rPr>
        <w:tab/>
      </w:r>
      <w:r>
        <w:rPr>
          <w:noProof/>
          <w:lang w:val="bg-BG"/>
        </w:rPr>
        <w:tab/>
      </w:r>
      <w:r>
        <w:rPr>
          <w:noProof/>
          <w:lang w:val="bg-BG"/>
        </w:rPr>
        <w:tab/>
        <w:t>Механизъм за финансиране с поделяне на риска по РП7</w:t>
      </w:r>
    </w:p>
    <w:p w:rsidR="004E032F" w:rsidRDefault="009B0276">
      <w:pPr>
        <w:spacing w:before="0" w:after="0" w:line="240" w:lineRule="auto"/>
        <w:ind w:left="2160" w:hanging="2160"/>
        <w:contextualSpacing/>
        <w:rPr>
          <w:noProof/>
          <w:szCs w:val="24"/>
          <w:lang w:val="bg-BG"/>
        </w:rPr>
      </w:pPr>
      <w:r>
        <w:rPr>
          <w:b/>
          <w:noProof/>
        </w:rPr>
        <w:t>RSI</w:t>
      </w:r>
      <w:r>
        <w:rPr>
          <w:noProof/>
          <w:lang w:val="bg-BG"/>
        </w:rPr>
        <w:t xml:space="preserve">: </w:t>
      </w:r>
      <w:r>
        <w:rPr>
          <w:noProof/>
          <w:lang w:val="bg-BG"/>
        </w:rPr>
        <w:tab/>
      </w:r>
      <w:r>
        <w:rPr>
          <w:noProof/>
          <w:lang w:val="bg-BG"/>
        </w:rPr>
        <w:t>Механизъм за поделяне на риска (Пилотен механизъм за гарантиране по отношение на МСП и малки дружества със средна пазарна капитализация, чийто основен предмет на дейност са научните изследвания и иновациите)) по РП7</w:t>
      </w:r>
    </w:p>
    <w:p w:rsidR="004E032F" w:rsidRDefault="009B0276">
      <w:pPr>
        <w:spacing w:before="0" w:after="0" w:line="240" w:lineRule="auto"/>
        <w:ind w:left="1077" w:hanging="1077"/>
        <w:contextualSpacing/>
        <w:rPr>
          <w:noProof/>
          <w:szCs w:val="24"/>
          <w:lang w:val="bg-BG"/>
        </w:rPr>
      </w:pPr>
      <w:r>
        <w:rPr>
          <w:b/>
          <w:noProof/>
        </w:rPr>
        <w:t>RSL</w:t>
      </w:r>
      <w:r>
        <w:rPr>
          <w:noProof/>
          <w:lang w:val="bg-BG"/>
        </w:rPr>
        <w:t xml:space="preserve">: </w:t>
      </w:r>
      <w:r>
        <w:rPr>
          <w:noProof/>
          <w:lang w:val="bg-BG"/>
        </w:rPr>
        <w:tab/>
      </w:r>
      <w:r>
        <w:rPr>
          <w:noProof/>
          <w:lang w:val="bg-BG"/>
        </w:rPr>
        <w:tab/>
      </w:r>
      <w:r>
        <w:rPr>
          <w:noProof/>
          <w:lang w:val="bg-BG"/>
        </w:rPr>
        <w:tab/>
        <w:t>Заем за възстановяване за Турция</w:t>
      </w:r>
    </w:p>
    <w:p w:rsidR="004E032F" w:rsidRDefault="009B0276">
      <w:pPr>
        <w:spacing w:before="0" w:after="0" w:line="240" w:lineRule="auto"/>
        <w:ind w:left="2160" w:hanging="2160"/>
        <w:contextualSpacing/>
        <w:rPr>
          <w:b/>
          <w:noProof/>
          <w:szCs w:val="24"/>
          <w:lang w:val="bg-BG"/>
        </w:rPr>
      </w:pPr>
      <w:r>
        <w:rPr>
          <w:b/>
          <w:noProof/>
        </w:rPr>
        <w:t>SMEG</w:t>
      </w:r>
      <w:r>
        <w:rPr>
          <w:b/>
          <w:noProof/>
          <w:lang w:val="bg-BG"/>
        </w:rPr>
        <w:t xml:space="preserve">07 по </w:t>
      </w:r>
      <w:r>
        <w:rPr>
          <w:b/>
          <w:noProof/>
        </w:rPr>
        <w:t>CIP</w:t>
      </w:r>
      <w:r>
        <w:rPr>
          <w:noProof/>
          <w:lang w:val="bg-BG"/>
        </w:rPr>
        <w:t xml:space="preserve">: </w:t>
      </w:r>
      <w:r>
        <w:rPr>
          <w:noProof/>
          <w:lang w:val="bg-BG"/>
        </w:rPr>
        <w:tab/>
        <w:t>Механизъм за гарантиране по отношение на МСП за 2007 г. по Рамковата програма за конкурентоспособност и иновации</w:t>
      </w:r>
      <w:r>
        <w:rPr>
          <w:b/>
          <w:noProof/>
          <w:lang w:val="bg-BG"/>
        </w:rPr>
        <w:t xml:space="preserve"> </w:t>
      </w:r>
    </w:p>
    <w:p w:rsidR="004E032F" w:rsidRDefault="009B0276">
      <w:pPr>
        <w:spacing w:before="0" w:after="0" w:line="240" w:lineRule="auto"/>
        <w:ind w:left="2160" w:hanging="2160"/>
        <w:contextualSpacing/>
        <w:rPr>
          <w:noProof/>
          <w:szCs w:val="24"/>
          <w:lang w:val="bg-BG"/>
        </w:rPr>
      </w:pPr>
      <w:r>
        <w:rPr>
          <w:b/>
          <w:noProof/>
        </w:rPr>
        <w:t>WB</w:t>
      </w:r>
      <w:r>
        <w:rPr>
          <w:b/>
          <w:noProof/>
          <w:lang w:val="bg-BG"/>
        </w:rPr>
        <w:t xml:space="preserve"> </w:t>
      </w:r>
      <w:r>
        <w:rPr>
          <w:b/>
          <w:noProof/>
        </w:rPr>
        <w:t>EDIF</w:t>
      </w:r>
      <w:r>
        <w:rPr>
          <w:b/>
          <w:noProof/>
          <w:lang w:val="bg-BG"/>
        </w:rPr>
        <w:t xml:space="preserve"> </w:t>
      </w:r>
      <w:r>
        <w:rPr>
          <w:b/>
          <w:noProof/>
        </w:rPr>
        <w:t>GF</w:t>
      </w:r>
      <w:r>
        <w:rPr>
          <w:b/>
          <w:noProof/>
          <w:lang w:val="bg-BG"/>
        </w:rPr>
        <w:t>1</w:t>
      </w:r>
      <w:r>
        <w:rPr>
          <w:noProof/>
          <w:lang w:val="bg-BG"/>
        </w:rPr>
        <w:t xml:space="preserve">: </w:t>
      </w:r>
      <w:r>
        <w:rPr>
          <w:noProof/>
          <w:lang w:val="bg-BG"/>
        </w:rPr>
        <w:tab/>
        <w:t xml:space="preserve">Механизъм за гарантиране </w:t>
      </w:r>
      <w:r>
        <w:rPr>
          <w:noProof/>
        </w:rPr>
        <w:t>I</w:t>
      </w:r>
      <w:r>
        <w:rPr>
          <w:noProof/>
          <w:lang w:val="bg-BG"/>
        </w:rPr>
        <w:t xml:space="preserve"> по Инструмента за развитие на предприятията и иновациите за Западните Балкани</w:t>
      </w:r>
    </w:p>
    <w:p w:rsidR="004E032F" w:rsidRDefault="009B0276">
      <w:pPr>
        <w:keepNext/>
        <w:ind w:left="2160" w:hanging="2160"/>
        <w:jc w:val="both"/>
        <w:rPr>
          <w:noProof/>
          <w:szCs w:val="24"/>
          <w:lang w:val="bg-BG"/>
        </w:rPr>
      </w:pPr>
      <w:r>
        <w:rPr>
          <w:b/>
          <w:noProof/>
        </w:rPr>
        <w:t>WB</w:t>
      </w:r>
      <w:r>
        <w:rPr>
          <w:b/>
          <w:noProof/>
          <w:lang w:val="bg-BG"/>
        </w:rPr>
        <w:t xml:space="preserve"> </w:t>
      </w:r>
      <w:r>
        <w:rPr>
          <w:b/>
          <w:noProof/>
        </w:rPr>
        <w:t>EDIF</w:t>
      </w:r>
      <w:r>
        <w:rPr>
          <w:b/>
          <w:noProof/>
          <w:lang w:val="bg-BG"/>
        </w:rPr>
        <w:t xml:space="preserve"> </w:t>
      </w:r>
      <w:r>
        <w:rPr>
          <w:b/>
          <w:noProof/>
        </w:rPr>
        <w:t>GF</w:t>
      </w:r>
      <w:r>
        <w:rPr>
          <w:b/>
          <w:noProof/>
          <w:lang w:val="bg-BG"/>
        </w:rPr>
        <w:t>2</w:t>
      </w:r>
      <w:r>
        <w:rPr>
          <w:noProof/>
          <w:lang w:val="bg-BG"/>
        </w:rPr>
        <w:t xml:space="preserve">: </w:t>
      </w:r>
      <w:r>
        <w:rPr>
          <w:noProof/>
          <w:lang w:val="bg-BG"/>
        </w:rPr>
        <w:tab/>
        <w:t xml:space="preserve">Механизъм за гарантиране </w:t>
      </w:r>
      <w:r>
        <w:rPr>
          <w:noProof/>
        </w:rPr>
        <w:t>II</w:t>
      </w:r>
      <w:r>
        <w:rPr>
          <w:noProof/>
          <w:lang w:val="bg-BG"/>
        </w:rPr>
        <w:t xml:space="preserve"> по Инструмента за развитие на предприятията и иновациите за Западните Балкани</w:t>
      </w:r>
    </w:p>
    <w:p w:rsidR="004E032F" w:rsidRDefault="004E032F">
      <w:pPr>
        <w:spacing w:before="0" w:after="200" w:line="240" w:lineRule="auto"/>
        <w:ind w:left="1077" w:hanging="720"/>
        <w:contextualSpacing/>
        <w:jc w:val="both"/>
        <w:rPr>
          <w:noProof/>
          <w:szCs w:val="24"/>
          <w:lang w:val="bg-BG"/>
        </w:rPr>
      </w:pPr>
    </w:p>
    <w:p w:rsidR="004E032F" w:rsidRDefault="004E032F">
      <w:pPr>
        <w:keepNext/>
        <w:jc w:val="both"/>
        <w:rPr>
          <w:noProof/>
          <w:szCs w:val="24"/>
          <w:lang w:val="bg-BG"/>
        </w:rPr>
      </w:pPr>
    </w:p>
    <w:p w:rsidR="004E032F" w:rsidRDefault="004E032F">
      <w:pPr>
        <w:pStyle w:val="TOCHeading"/>
        <w:jc w:val="center"/>
        <w:rPr>
          <w:noProof/>
          <w:szCs w:val="24"/>
          <w:lang w:val="bg-BG"/>
        </w:rPr>
      </w:pPr>
    </w:p>
    <w:sectPr w:rsidR="004E032F">
      <w:headerReference w:type="even" r:id="rId73"/>
      <w:headerReference w:type="default" r:id="rId74"/>
      <w:footerReference w:type="even" r:id="rId75"/>
      <w:footerReference w:type="default" r:id="rId76"/>
      <w:headerReference w:type="first" r:id="rId77"/>
      <w:footerReference w:type="first" r:id="rId78"/>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276" w:rsidRDefault="009B0276">
      <w:pPr>
        <w:spacing w:after="0" w:line="240" w:lineRule="auto"/>
      </w:pPr>
      <w:r>
        <w:separator/>
      </w:r>
    </w:p>
  </w:endnote>
  <w:endnote w:type="continuationSeparator" w:id="0">
    <w:p w:rsidR="009B0276" w:rsidRDefault="009B0276">
      <w:pPr>
        <w:spacing w:after="0" w:line="240" w:lineRule="auto"/>
      </w:pPr>
      <w:r>
        <w:continuationSeparator/>
      </w:r>
    </w:p>
  </w:endnote>
  <w:endnote w:type="continuationNotice" w:id="1">
    <w:p w:rsidR="009B0276" w:rsidRDefault="009B027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17</w:t>
    </w:r>
    <w:r>
      <w:fldChar w:fldCharType="end"/>
    </w:r>
  </w:p>
  <w:p w:rsidR="004E032F" w:rsidRDefault="004E032F">
    <w:pPr>
      <w:pStyle w:val="Footer"/>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18</w:t>
    </w:r>
    <w:r>
      <w:fldChar w:fldCharType="end"/>
    </w:r>
  </w:p>
  <w:p w:rsidR="004E032F" w:rsidRDefault="004E032F">
    <w:pPr>
      <w:pStyle w:val="Footer"/>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19</w:t>
    </w:r>
    <w:r>
      <w:fldChar w:fldCharType="end"/>
    </w:r>
  </w:p>
  <w:p w:rsidR="004E032F" w:rsidRDefault="004E032F">
    <w:pPr>
      <w:pStyle w:val="Footer"/>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w:instrText>
    </w:r>
    <w:r>
      <w:instrText xml:space="preserve">MAT </w:instrText>
    </w:r>
    <w:r>
      <w:fldChar w:fldCharType="separate"/>
    </w:r>
    <w:r w:rsidR="00225A8C">
      <w:rPr>
        <w:noProof/>
      </w:rPr>
      <w:t>20</w:t>
    </w:r>
    <w:r>
      <w:fldChar w:fldCharType="end"/>
    </w:r>
  </w:p>
  <w:p w:rsidR="004E032F" w:rsidRDefault="004E032F">
    <w:pPr>
      <w:pStyle w:val="Footer"/>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25</w:t>
    </w:r>
    <w:r>
      <w:fldChar w:fldCharType="end"/>
    </w:r>
  </w:p>
  <w:p w:rsidR="004E032F" w:rsidRDefault="004E032F">
    <w:pPr>
      <w:pStyle w:val="Footer"/>
      <w:jc w:val="center"/>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2</w:t>
    </w:r>
    <w:r>
      <w:fldChar w:fldCharType="end"/>
    </w:r>
  </w:p>
  <w:p w:rsidR="004E032F" w:rsidRDefault="004E032F">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9B0276">
    <w:pPr>
      <w:pStyle w:val="Footer"/>
      <w:jc w:val="center"/>
    </w:pPr>
    <w:r>
      <w:fldChar w:fldCharType="begin"/>
    </w:r>
    <w:r>
      <w:instrText xml:space="preserve"> PAGE   \* MERGEFORMAT </w:instrText>
    </w:r>
    <w:r>
      <w:fldChar w:fldCharType="separate"/>
    </w:r>
    <w:r w:rsidR="00225A8C">
      <w:rPr>
        <w:noProof/>
      </w:rPr>
      <w:t>5</w:t>
    </w:r>
    <w:r>
      <w:fldChar w:fldCharType="end"/>
    </w:r>
  </w:p>
  <w:p w:rsidR="004E032F" w:rsidRDefault="004E032F">
    <w:pPr>
      <w:pStyle w:val="Footer"/>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276" w:rsidRDefault="009B0276">
      <w:pPr>
        <w:spacing w:after="0" w:line="240" w:lineRule="auto"/>
      </w:pPr>
      <w:r>
        <w:separator/>
      </w:r>
    </w:p>
  </w:footnote>
  <w:footnote w:type="continuationSeparator" w:id="0">
    <w:p w:rsidR="009B0276" w:rsidRDefault="009B0276">
      <w:pPr>
        <w:spacing w:after="0" w:line="240" w:lineRule="auto"/>
      </w:pPr>
      <w:r>
        <w:continuationSeparator/>
      </w:r>
    </w:p>
  </w:footnote>
  <w:footnote w:type="continuationNotice" w:id="1">
    <w:p w:rsidR="009B0276" w:rsidRDefault="009B0276">
      <w:pPr>
        <w:spacing w:before="0" w:after="0" w:line="240" w:lineRule="auto"/>
      </w:pPr>
    </w:p>
  </w:footnote>
  <w:footnote w:id="2">
    <w:p w:rsidR="004E032F" w:rsidRDefault="009B0276">
      <w:pPr>
        <w:pStyle w:val="FootnoteText"/>
        <w:spacing w:before="0"/>
        <w:jc w:val="both"/>
        <w:rPr>
          <w:sz w:val="18"/>
          <w:szCs w:val="18"/>
        </w:rPr>
      </w:pPr>
      <w:r>
        <w:rPr>
          <w:rStyle w:val="FootnoteReference"/>
          <w:sz w:val="18"/>
        </w:rPr>
        <w:footnoteRef/>
      </w:r>
      <w:r>
        <w:rPr>
          <w:sz w:val="18"/>
        </w:rPr>
        <w:t xml:space="preserve"> 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ОВ L 298, 26.10.2012 г., стp. 1.</w:t>
      </w:r>
    </w:p>
  </w:footnote>
  <w:footnote w:id="3">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COM(2016)675 final, 24.10.2016 </w:t>
      </w:r>
      <w:r>
        <w:rPr>
          <w:sz w:val="18"/>
        </w:rPr>
        <w:t>г</w:t>
      </w:r>
      <w:r>
        <w:rPr>
          <w:sz w:val="18"/>
          <w:lang w:val="pt-PT"/>
        </w:rPr>
        <w:t xml:space="preserve">; COM(2015)565 final, 13.11.2015 </w:t>
      </w:r>
      <w:r>
        <w:rPr>
          <w:sz w:val="18"/>
        </w:rPr>
        <w:t>г</w:t>
      </w:r>
      <w:r>
        <w:rPr>
          <w:sz w:val="18"/>
          <w:lang w:val="pt-PT"/>
        </w:rPr>
        <w:t xml:space="preserve">.; COM(2014)686 final, 30.10.2014 </w:t>
      </w:r>
      <w:r>
        <w:rPr>
          <w:sz w:val="18"/>
        </w:rPr>
        <w:t>г</w:t>
      </w:r>
      <w:r>
        <w:rPr>
          <w:sz w:val="18"/>
          <w:lang w:val="pt-PT"/>
        </w:rPr>
        <w:t>.</w:t>
      </w:r>
    </w:p>
  </w:footnote>
  <w:footnote w:id="4">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В</w:t>
      </w:r>
      <w:r>
        <w:rPr>
          <w:sz w:val="18"/>
          <w:lang w:val="pt-PT"/>
        </w:rPr>
        <w:t xml:space="preserve"> </w:t>
      </w:r>
      <w:r>
        <w:rPr>
          <w:sz w:val="18"/>
        </w:rPr>
        <w:t>допълнение</w:t>
      </w:r>
      <w:r>
        <w:rPr>
          <w:sz w:val="18"/>
          <w:lang w:val="pt-PT"/>
        </w:rPr>
        <w:t xml:space="preserve"> </w:t>
      </w:r>
      <w:r>
        <w:rPr>
          <w:sz w:val="18"/>
        </w:rPr>
        <w:t>към</w:t>
      </w:r>
      <w:r>
        <w:rPr>
          <w:sz w:val="18"/>
          <w:lang w:val="pt-PT"/>
        </w:rPr>
        <w:t xml:space="preserve"> </w:t>
      </w:r>
      <w:r>
        <w:rPr>
          <w:sz w:val="18"/>
        </w:rPr>
        <w:t>настоящия</w:t>
      </w:r>
      <w:r>
        <w:rPr>
          <w:sz w:val="18"/>
          <w:lang w:val="pt-PT"/>
        </w:rPr>
        <w:t xml:space="preserve"> </w:t>
      </w:r>
      <w:r>
        <w:rPr>
          <w:sz w:val="18"/>
        </w:rPr>
        <w:t>доклад</w:t>
      </w:r>
      <w:r>
        <w:rPr>
          <w:sz w:val="18"/>
          <w:lang w:val="pt-PT"/>
        </w:rPr>
        <w:t xml:space="preserve">, </w:t>
      </w:r>
      <w:r>
        <w:rPr>
          <w:sz w:val="18"/>
        </w:rPr>
        <w:t>по</w:t>
      </w:r>
      <w:r>
        <w:rPr>
          <w:sz w:val="18"/>
          <w:lang w:val="pt-PT"/>
        </w:rPr>
        <w:t>-</w:t>
      </w:r>
      <w:r>
        <w:rPr>
          <w:sz w:val="18"/>
        </w:rPr>
        <w:t>специално</w:t>
      </w:r>
      <w:r>
        <w:rPr>
          <w:sz w:val="18"/>
          <w:lang w:val="pt-PT"/>
        </w:rPr>
        <w:t xml:space="preserve"> </w:t>
      </w:r>
      <w:r>
        <w:rPr>
          <w:sz w:val="18"/>
        </w:rPr>
        <w:t>работния</w:t>
      </w:r>
      <w:r>
        <w:rPr>
          <w:sz w:val="18"/>
          <w:lang w:val="pt-PT"/>
        </w:rPr>
        <w:t xml:space="preserve"> </w:t>
      </w:r>
      <w:r>
        <w:rPr>
          <w:sz w:val="18"/>
        </w:rPr>
        <w:t>документ</w:t>
      </w:r>
      <w:r>
        <w:rPr>
          <w:sz w:val="18"/>
          <w:lang w:val="pt-PT"/>
        </w:rPr>
        <w:t xml:space="preserve">, </w:t>
      </w:r>
      <w:r>
        <w:rPr>
          <w:sz w:val="18"/>
        </w:rPr>
        <w:t>изготвен</w:t>
      </w:r>
      <w:r>
        <w:rPr>
          <w:sz w:val="18"/>
          <w:lang w:val="pt-PT"/>
        </w:rPr>
        <w:t xml:space="preserve"> </w:t>
      </w:r>
      <w:r>
        <w:rPr>
          <w:sz w:val="18"/>
        </w:rPr>
        <w:t>въз</w:t>
      </w:r>
      <w:r>
        <w:rPr>
          <w:sz w:val="18"/>
          <w:lang w:val="pt-PT"/>
        </w:rPr>
        <w:t xml:space="preserve"> </w:t>
      </w:r>
      <w:r>
        <w:rPr>
          <w:sz w:val="18"/>
        </w:rPr>
        <w:t>основа</w:t>
      </w:r>
      <w:r>
        <w:rPr>
          <w:sz w:val="18"/>
          <w:lang w:val="pt-PT"/>
        </w:rPr>
        <w:t xml:space="preserve"> </w:t>
      </w:r>
      <w:r>
        <w:rPr>
          <w:sz w:val="18"/>
        </w:rPr>
        <w:t>на</w:t>
      </w:r>
      <w:r>
        <w:rPr>
          <w:sz w:val="18"/>
          <w:lang w:val="pt-PT"/>
        </w:rPr>
        <w:t xml:space="preserve"> </w:t>
      </w:r>
      <w:r>
        <w:rPr>
          <w:sz w:val="18"/>
        </w:rPr>
        <w:t>член</w:t>
      </w:r>
      <w:r>
        <w:rPr>
          <w:sz w:val="18"/>
          <w:lang w:val="pt-PT"/>
        </w:rPr>
        <w:t xml:space="preserve"> 38, </w:t>
      </w:r>
      <w:r>
        <w:rPr>
          <w:sz w:val="18"/>
        </w:rPr>
        <w:t>параграф</w:t>
      </w:r>
      <w:r>
        <w:rPr>
          <w:sz w:val="18"/>
          <w:lang w:val="pt-PT"/>
        </w:rPr>
        <w:t xml:space="preserve"> 5 </w:t>
      </w:r>
      <w:r>
        <w:rPr>
          <w:sz w:val="18"/>
        </w:rPr>
        <w:t>от</w:t>
      </w:r>
      <w:r>
        <w:rPr>
          <w:sz w:val="18"/>
          <w:lang w:val="pt-PT"/>
        </w:rPr>
        <w:t xml:space="preserve"> </w:t>
      </w:r>
      <w:r>
        <w:rPr>
          <w:sz w:val="18"/>
        </w:rPr>
        <w:t>Финансовия</w:t>
      </w:r>
      <w:r>
        <w:rPr>
          <w:sz w:val="18"/>
          <w:lang w:val="pt-PT"/>
        </w:rPr>
        <w:t xml:space="preserve"> </w:t>
      </w:r>
      <w:r>
        <w:rPr>
          <w:sz w:val="18"/>
        </w:rPr>
        <w:t>регламент</w:t>
      </w:r>
      <w:r>
        <w:rPr>
          <w:sz w:val="18"/>
          <w:lang w:val="pt-PT"/>
        </w:rPr>
        <w:t xml:space="preserve">, </w:t>
      </w:r>
      <w:r>
        <w:rPr>
          <w:sz w:val="18"/>
        </w:rPr>
        <w:t>и</w:t>
      </w:r>
      <w:r>
        <w:rPr>
          <w:sz w:val="18"/>
          <w:lang w:val="pt-PT"/>
        </w:rPr>
        <w:t xml:space="preserve"> </w:t>
      </w:r>
      <w:r>
        <w:rPr>
          <w:sz w:val="18"/>
        </w:rPr>
        <w:t>документа</w:t>
      </w:r>
      <w:r>
        <w:rPr>
          <w:sz w:val="18"/>
          <w:lang w:val="pt-PT"/>
        </w:rPr>
        <w:t xml:space="preserve">, </w:t>
      </w:r>
      <w:r>
        <w:rPr>
          <w:sz w:val="18"/>
        </w:rPr>
        <w:t>съдържащ</w:t>
      </w:r>
      <w:r>
        <w:rPr>
          <w:sz w:val="18"/>
          <w:lang w:val="pt-PT"/>
        </w:rPr>
        <w:t xml:space="preserve"> </w:t>
      </w:r>
      <w:r>
        <w:rPr>
          <w:sz w:val="18"/>
        </w:rPr>
        <w:t>информацията</w:t>
      </w:r>
      <w:r>
        <w:rPr>
          <w:sz w:val="18"/>
          <w:lang w:val="pt-PT"/>
        </w:rPr>
        <w:t xml:space="preserve">, </w:t>
      </w:r>
      <w:r>
        <w:rPr>
          <w:sz w:val="18"/>
        </w:rPr>
        <w:t>която</w:t>
      </w:r>
      <w:r>
        <w:rPr>
          <w:sz w:val="18"/>
          <w:lang w:val="pt-PT"/>
        </w:rPr>
        <w:t xml:space="preserve"> </w:t>
      </w:r>
      <w:r>
        <w:rPr>
          <w:sz w:val="18"/>
        </w:rPr>
        <w:t>се</w:t>
      </w:r>
      <w:r>
        <w:rPr>
          <w:sz w:val="18"/>
          <w:lang w:val="pt-PT"/>
        </w:rPr>
        <w:t xml:space="preserve"> </w:t>
      </w:r>
      <w:r>
        <w:rPr>
          <w:sz w:val="18"/>
        </w:rPr>
        <w:t>изисква</w:t>
      </w:r>
      <w:r>
        <w:rPr>
          <w:sz w:val="18"/>
          <w:lang w:val="pt-PT"/>
        </w:rPr>
        <w:t xml:space="preserve"> </w:t>
      </w:r>
      <w:r>
        <w:rPr>
          <w:sz w:val="18"/>
        </w:rPr>
        <w:t>съгласно</w:t>
      </w:r>
      <w:r>
        <w:rPr>
          <w:sz w:val="18"/>
          <w:lang w:val="pt-PT"/>
        </w:rPr>
        <w:t xml:space="preserve"> </w:t>
      </w:r>
      <w:r>
        <w:rPr>
          <w:sz w:val="18"/>
        </w:rPr>
        <w:t>член</w:t>
      </w:r>
      <w:r>
        <w:rPr>
          <w:sz w:val="18"/>
          <w:lang w:val="pt-PT"/>
        </w:rPr>
        <w:t xml:space="preserve"> 49, </w:t>
      </w:r>
      <w:r>
        <w:rPr>
          <w:sz w:val="18"/>
        </w:rPr>
        <w:t>параграф</w:t>
      </w:r>
      <w:r>
        <w:rPr>
          <w:sz w:val="18"/>
          <w:lang w:val="pt-PT"/>
        </w:rPr>
        <w:t xml:space="preserve"> 1, </w:t>
      </w:r>
      <w:r>
        <w:rPr>
          <w:sz w:val="18"/>
        </w:rPr>
        <w:t>буква</w:t>
      </w:r>
      <w:r>
        <w:rPr>
          <w:sz w:val="18"/>
          <w:lang w:val="pt-PT"/>
        </w:rPr>
        <w:t xml:space="preserve"> </w:t>
      </w:r>
      <w:r>
        <w:rPr>
          <w:sz w:val="18"/>
        </w:rPr>
        <w:t>д</w:t>
      </w:r>
      <w:r>
        <w:rPr>
          <w:sz w:val="18"/>
          <w:lang w:val="pt-PT"/>
        </w:rPr>
        <w:t xml:space="preserve">) </w:t>
      </w:r>
      <w:r>
        <w:rPr>
          <w:sz w:val="18"/>
        </w:rPr>
        <w:t>от</w:t>
      </w:r>
      <w:r>
        <w:rPr>
          <w:sz w:val="18"/>
          <w:lang w:val="pt-PT"/>
        </w:rPr>
        <w:t xml:space="preserve"> </w:t>
      </w:r>
      <w:r>
        <w:rPr>
          <w:sz w:val="18"/>
        </w:rPr>
        <w:t>Финансовия</w:t>
      </w:r>
      <w:r>
        <w:rPr>
          <w:sz w:val="18"/>
          <w:lang w:val="pt-PT"/>
        </w:rPr>
        <w:t xml:space="preserve"> </w:t>
      </w:r>
      <w:r>
        <w:rPr>
          <w:sz w:val="18"/>
        </w:rPr>
        <w:t>регламент</w:t>
      </w:r>
      <w:r>
        <w:rPr>
          <w:sz w:val="18"/>
          <w:lang w:val="pt-PT"/>
        </w:rPr>
        <w:t>.</w:t>
      </w:r>
    </w:p>
  </w:footnote>
  <w:footnote w:id="5">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Вж</w:t>
      </w:r>
      <w:r>
        <w:rPr>
          <w:sz w:val="18"/>
          <w:lang w:val="pt-PT"/>
        </w:rPr>
        <w:t xml:space="preserve">. </w:t>
      </w:r>
      <w:r>
        <w:rPr>
          <w:sz w:val="18"/>
          <w:szCs w:val="18"/>
        </w:rPr>
        <w:t>Предложение</w:t>
      </w:r>
      <w:r>
        <w:rPr>
          <w:sz w:val="18"/>
          <w:szCs w:val="18"/>
          <w:lang w:val="pt-PT"/>
        </w:rPr>
        <w:t xml:space="preserve"> </w:t>
      </w:r>
      <w:r>
        <w:rPr>
          <w:sz w:val="18"/>
          <w:szCs w:val="18"/>
        </w:rPr>
        <w:t>за</w:t>
      </w:r>
      <w:r>
        <w:rPr>
          <w:sz w:val="18"/>
          <w:szCs w:val="18"/>
          <w:lang w:val="pt-PT"/>
        </w:rPr>
        <w:t xml:space="preserve"> </w:t>
      </w:r>
      <w:r>
        <w:rPr>
          <w:sz w:val="18"/>
          <w:szCs w:val="18"/>
        </w:rPr>
        <w:t>Регламент</w:t>
      </w:r>
      <w:r>
        <w:rPr>
          <w:sz w:val="18"/>
          <w:szCs w:val="18"/>
          <w:lang w:val="pt-PT"/>
        </w:rPr>
        <w:t xml:space="preserve"> </w:t>
      </w:r>
      <w:r>
        <w:rPr>
          <w:sz w:val="18"/>
          <w:szCs w:val="18"/>
        </w:rPr>
        <w:t>на</w:t>
      </w:r>
      <w:r>
        <w:rPr>
          <w:sz w:val="18"/>
          <w:szCs w:val="18"/>
          <w:lang w:val="pt-PT"/>
        </w:rPr>
        <w:t xml:space="preserve"> </w:t>
      </w:r>
      <w:r>
        <w:rPr>
          <w:sz w:val="18"/>
          <w:szCs w:val="18"/>
        </w:rPr>
        <w:t>Европейския</w:t>
      </w:r>
      <w:r>
        <w:rPr>
          <w:sz w:val="18"/>
          <w:szCs w:val="18"/>
          <w:lang w:val="pt-PT"/>
        </w:rPr>
        <w:t xml:space="preserve"> </w:t>
      </w:r>
      <w:r>
        <w:rPr>
          <w:sz w:val="18"/>
          <w:szCs w:val="18"/>
        </w:rPr>
        <w:t>парламент</w:t>
      </w:r>
      <w:r>
        <w:rPr>
          <w:sz w:val="18"/>
          <w:szCs w:val="18"/>
          <w:lang w:val="pt-PT"/>
        </w:rPr>
        <w:t xml:space="preserve"> </w:t>
      </w:r>
      <w:r>
        <w:rPr>
          <w:sz w:val="18"/>
          <w:szCs w:val="18"/>
        </w:rPr>
        <w:t>и</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относно</w:t>
      </w:r>
      <w:r>
        <w:rPr>
          <w:sz w:val="18"/>
          <w:szCs w:val="18"/>
          <w:lang w:val="pt-PT"/>
        </w:rPr>
        <w:t xml:space="preserve"> </w:t>
      </w:r>
      <w:r>
        <w:rPr>
          <w:sz w:val="18"/>
          <w:szCs w:val="18"/>
        </w:rPr>
        <w:t>финансовите</w:t>
      </w:r>
      <w:r>
        <w:rPr>
          <w:sz w:val="18"/>
          <w:szCs w:val="18"/>
          <w:lang w:val="pt-PT"/>
        </w:rPr>
        <w:t xml:space="preserve"> </w:t>
      </w:r>
      <w:r>
        <w:rPr>
          <w:sz w:val="18"/>
          <w:szCs w:val="18"/>
        </w:rPr>
        <w:t>правила</w:t>
      </w:r>
      <w:r>
        <w:rPr>
          <w:sz w:val="18"/>
          <w:szCs w:val="18"/>
          <w:lang w:val="pt-PT"/>
        </w:rPr>
        <w:t xml:space="preserve">, </w:t>
      </w:r>
      <w:r>
        <w:rPr>
          <w:sz w:val="18"/>
          <w:szCs w:val="18"/>
        </w:rPr>
        <w:t>приложими</w:t>
      </w:r>
      <w:r>
        <w:rPr>
          <w:sz w:val="18"/>
          <w:szCs w:val="18"/>
          <w:lang w:val="pt-PT"/>
        </w:rPr>
        <w:t xml:space="preserve"> </w:t>
      </w:r>
      <w:r>
        <w:rPr>
          <w:sz w:val="18"/>
          <w:szCs w:val="18"/>
        </w:rPr>
        <w:t>за</w:t>
      </w:r>
      <w:r>
        <w:rPr>
          <w:sz w:val="18"/>
          <w:szCs w:val="18"/>
          <w:lang w:val="pt-PT"/>
        </w:rPr>
        <w:t xml:space="preserve"> </w:t>
      </w:r>
      <w:r>
        <w:rPr>
          <w:sz w:val="18"/>
          <w:szCs w:val="18"/>
        </w:rPr>
        <w:t>общия</w:t>
      </w:r>
      <w:r>
        <w:rPr>
          <w:sz w:val="18"/>
          <w:szCs w:val="18"/>
          <w:lang w:val="pt-PT"/>
        </w:rPr>
        <w:t xml:space="preserve"> </w:t>
      </w:r>
      <w:r>
        <w:rPr>
          <w:sz w:val="18"/>
          <w:szCs w:val="18"/>
        </w:rPr>
        <w:t>бюджет</w:t>
      </w:r>
      <w:r>
        <w:rPr>
          <w:sz w:val="18"/>
          <w:szCs w:val="18"/>
          <w:lang w:val="pt-PT"/>
        </w:rPr>
        <w:t xml:space="preserve"> </w:t>
      </w:r>
      <w:r>
        <w:rPr>
          <w:sz w:val="18"/>
          <w:szCs w:val="18"/>
        </w:rPr>
        <w:t>на</w:t>
      </w:r>
      <w:r>
        <w:rPr>
          <w:sz w:val="18"/>
          <w:szCs w:val="18"/>
          <w:lang w:val="pt-PT"/>
        </w:rPr>
        <w:t xml:space="preserve"> </w:t>
      </w:r>
      <w:r>
        <w:rPr>
          <w:sz w:val="18"/>
          <w:szCs w:val="18"/>
        </w:rPr>
        <w:t>Съюза</w:t>
      </w:r>
      <w:r>
        <w:rPr>
          <w:sz w:val="18"/>
          <w:szCs w:val="18"/>
          <w:lang w:val="pt-PT"/>
        </w:rPr>
        <w:t xml:space="preserve">, </w:t>
      </w:r>
      <w:r>
        <w:rPr>
          <w:sz w:val="18"/>
          <w:szCs w:val="18"/>
        </w:rPr>
        <w:t>и</w:t>
      </w:r>
      <w:r>
        <w:rPr>
          <w:sz w:val="18"/>
          <w:szCs w:val="18"/>
          <w:lang w:val="pt-PT"/>
        </w:rPr>
        <w:t xml:space="preserve"> </w:t>
      </w:r>
      <w:r>
        <w:rPr>
          <w:sz w:val="18"/>
          <w:szCs w:val="18"/>
        </w:rPr>
        <w:t>за</w:t>
      </w:r>
      <w:r>
        <w:rPr>
          <w:sz w:val="18"/>
          <w:szCs w:val="18"/>
          <w:lang w:val="pt-PT"/>
        </w:rPr>
        <w:t xml:space="preserve"> </w:t>
      </w:r>
      <w:r>
        <w:rPr>
          <w:sz w:val="18"/>
          <w:szCs w:val="18"/>
        </w:rPr>
        <w:t>изменение</w:t>
      </w:r>
      <w:r>
        <w:rPr>
          <w:sz w:val="18"/>
          <w:szCs w:val="18"/>
          <w:lang w:val="pt-PT"/>
        </w:rPr>
        <w:t xml:space="preserve"> </w:t>
      </w:r>
      <w:r>
        <w:rPr>
          <w:sz w:val="18"/>
          <w:szCs w:val="18"/>
        </w:rPr>
        <w:t>на</w:t>
      </w:r>
      <w:r>
        <w:rPr>
          <w:sz w:val="18"/>
          <w:szCs w:val="18"/>
          <w:lang w:val="pt-PT"/>
        </w:rPr>
        <w:t xml:space="preserve"> </w:t>
      </w:r>
      <w:r>
        <w:rPr>
          <w:sz w:val="18"/>
          <w:szCs w:val="18"/>
        </w:rPr>
        <w:t>р</w:t>
      </w:r>
      <w:r>
        <w:rPr>
          <w:sz w:val="18"/>
          <w:szCs w:val="18"/>
        </w:rPr>
        <w:t>егламенти</w:t>
      </w:r>
      <w:r>
        <w:rPr>
          <w:sz w:val="18"/>
          <w:szCs w:val="18"/>
          <w:lang w:val="pt-PT"/>
        </w:rPr>
        <w:t xml:space="preserve"> (</w:t>
      </w:r>
      <w:r>
        <w:rPr>
          <w:sz w:val="18"/>
          <w:szCs w:val="18"/>
        </w:rPr>
        <w:t>ЕС</w:t>
      </w:r>
      <w:r>
        <w:rPr>
          <w:sz w:val="18"/>
          <w:szCs w:val="18"/>
          <w:lang w:val="pt-PT"/>
        </w:rPr>
        <w:t>) № 1296/2013, (</w:t>
      </w:r>
      <w:r>
        <w:rPr>
          <w:sz w:val="18"/>
          <w:szCs w:val="18"/>
        </w:rPr>
        <w:t>ЕС</w:t>
      </w:r>
      <w:r>
        <w:rPr>
          <w:sz w:val="18"/>
          <w:szCs w:val="18"/>
          <w:lang w:val="pt-PT"/>
        </w:rPr>
        <w:t>) № 1299/2013, (</w:t>
      </w:r>
      <w:r>
        <w:rPr>
          <w:sz w:val="18"/>
          <w:szCs w:val="18"/>
        </w:rPr>
        <w:t>ЕС</w:t>
      </w:r>
      <w:r>
        <w:rPr>
          <w:sz w:val="18"/>
          <w:szCs w:val="18"/>
          <w:lang w:val="pt-PT"/>
        </w:rPr>
        <w:t>) № 1301/2013, (</w:t>
      </w:r>
      <w:r>
        <w:rPr>
          <w:sz w:val="18"/>
          <w:szCs w:val="18"/>
        </w:rPr>
        <w:t>ЕС</w:t>
      </w:r>
      <w:r>
        <w:rPr>
          <w:sz w:val="18"/>
          <w:szCs w:val="18"/>
          <w:lang w:val="pt-PT"/>
        </w:rPr>
        <w:t>) № 1303/2013, (</w:t>
      </w:r>
      <w:r>
        <w:rPr>
          <w:sz w:val="18"/>
          <w:szCs w:val="18"/>
        </w:rPr>
        <w:t>ЕС</w:t>
      </w:r>
      <w:r>
        <w:rPr>
          <w:sz w:val="18"/>
          <w:szCs w:val="18"/>
          <w:lang w:val="pt-PT"/>
        </w:rPr>
        <w:t>) № 1304/2013, (</w:t>
      </w:r>
      <w:r>
        <w:rPr>
          <w:sz w:val="18"/>
          <w:szCs w:val="18"/>
        </w:rPr>
        <w:t>ЕС</w:t>
      </w:r>
      <w:r>
        <w:rPr>
          <w:sz w:val="18"/>
          <w:szCs w:val="18"/>
          <w:lang w:val="pt-PT"/>
        </w:rPr>
        <w:t>) № 1305/2013, (</w:t>
      </w:r>
      <w:r>
        <w:rPr>
          <w:sz w:val="18"/>
          <w:szCs w:val="18"/>
        </w:rPr>
        <w:t>ЕС</w:t>
      </w:r>
      <w:r>
        <w:rPr>
          <w:sz w:val="18"/>
          <w:szCs w:val="18"/>
          <w:lang w:val="pt-PT"/>
        </w:rPr>
        <w:t>) № 1306/2013, (</w:t>
      </w:r>
      <w:r>
        <w:rPr>
          <w:sz w:val="18"/>
          <w:szCs w:val="18"/>
        </w:rPr>
        <w:t>ЕС</w:t>
      </w:r>
      <w:r>
        <w:rPr>
          <w:sz w:val="18"/>
          <w:szCs w:val="18"/>
          <w:lang w:val="pt-PT"/>
        </w:rPr>
        <w:t>) № 1307/2013, (</w:t>
      </w:r>
      <w:r>
        <w:rPr>
          <w:sz w:val="18"/>
          <w:szCs w:val="18"/>
        </w:rPr>
        <w:t>ЕС</w:t>
      </w:r>
      <w:r>
        <w:rPr>
          <w:sz w:val="18"/>
          <w:szCs w:val="18"/>
          <w:lang w:val="pt-PT"/>
        </w:rPr>
        <w:t>) № 1308/2013, (</w:t>
      </w:r>
      <w:r>
        <w:rPr>
          <w:sz w:val="18"/>
          <w:szCs w:val="18"/>
        </w:rPr>
        <w:t>ЕС</w:t>
      </w:r>
      <w:r>
        <w:rPr>
          <w:sz w:val="18"/>
          <w:szCs w:val="18"/>
          <w:lang w:val="pt-PT"/>
        </w:rPr>
        <w:t>) № 1309/2013, (</w:t>
      </w:r>
      <w:r>
        <w:rPr>
          <w:sz w:val="18"/>
          <w:szCs w:val="18"/>
        </w:rPr>
        <w:t>ЕС</w:t>
      </w:r>
      <w:r>
        <w:rPr>
          <w:sz w:val="18"/>
          <w:szCs w:val="18"/>
          <w:lang w:val="pt-PT"/>
        </w:rPr>
        <w:t>) № 1316/2013, (</w:t>
      </w:r>
      <w:r>
        <w:rPr>
          <w:sz w:val="18"/>
          <w:szCs w:val="18"/>
        </w:rPr>
        <w:t>ЕС</w:t>
      </w:r>
      <w:r>
        <w:rPr>
          <w:sz w:val="18"/>
          <w:szCs w:val="18"/>
          <w:lang w:val="pt-PT"/>
        </w:rPr>
        <w:t>) № 223/2014, (</w:t>
      </w:r>
      <w:r>
        <w:rPr>
          <w:sz w:val="18"/>
          <w:szCs w:val="18"/>
        </w:rPr>
        <w:t>ЕС</w:t>
      </w:r>
      <w:r>
        <w:rPr>
          <w:sz w:val="18"/>
          <w:szCs w:val="18"/>
          <w:lang w:val="pt-PT"/>
        </w:rPr>
        <w:t>) № 283/2014, (</w:t>
      </w:r>
      <w:r>
        <w:rPr>
          <w:sz w:val="18"/>
          <w:szCs w:val="18"/>
        </w:rPr>
        <w:t>ЕС</w:t>
      </w:r>
      <w:r>
        <w:rPr>
          <w:sz w:val="18"/>
          <w:szCs w:val="18"/>
          <w:lang w:val="pt-PT"/>
        </w:rPr>
        <w:t xml:space="preserve">) № 652/2014 </w:t>
      </w:r>
      <w:r>
        <w:rPr>
          <w:sz w:val="18"/>
          <w:szCs w:val="18"/>
        </w:rPr>
        <w:t>на</w:t>
      </w:r>
      <w:r>
        <w:rPr>
          <w:sz w:val="18"/>
          <w:szCs w:val="18"/>
          <w:lang w:val="pt-PT"/>
        </w:rPr>
        <w:t xml:space="preserve"> </w:t>
      </w:r>
      <w:r>
        <w:rPr>
          <w:sz w:val="18"/>
          <w:szCs w:val="18"/>
        </w:rPr>
        <w:t>Европейския</w:t>
      </w:r>
      <w:r>
        <w:rPr>
          <w:sz w:val="18"/>
          <w:szCs w:val="18"/>
          <w:lang w:val="pt-PT"/>
        </w:rPr>
        <w:t xml:space="preserve"> </w:t>
      </w:r>
      <w:r>
        <w:rPr>
          <w:sz w:val="18"/>
          <w:szCs w:val="18"/>
        </w:rPr>
        <w:t>парламент</w:t>
      </w:r>
      <w:r>
        <w:rPr>
          <w:sz w:val="18"/>
          <w:szCs w:val="18"/>
          <w:lang w:val="pt-PT"/>
        </w:rPr>
        <w:t xml:space="preserve"> </w:t>
      </w:r>
      <w:r>
        <w:rPr>
          <w:sz w:val="18"/>
          <w:szCs w:val="18"/>
        </w:rPr>
        <w:t>и</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w:t>
      </w:r>
      <w:r>
        <w:rPr>
          <w:sz w:val="18"/>
          <w:szCs w:val="18"/>
        </w:rPr>
        <w:t>и</w:t>
      </w:r>
      <w:r>
        <w:rPr>
          <w:sz w:val="18"/>
          <w:szCs w:val="18"/>
          <w:lang w:val="pt-PT"/>
        </w:rPr>
        <w:t xml:space="preserve"> </w:t>
      </w:r>
      <w:r>
        <w:rPr>
          <w:sz w:val="18"/>
          <w:szCs w:val="18"/>
        </w:rPr>
        <w:t>на</w:t>
      </w:r>
      <w:r>
        <w:rPr>
          <w:sz w:val="18"/>
          <w:szCs w:val="18"/>
          <w:lang w:val="pt-PT"/>
        </w:rPr>
        <w:t xml:space="preserve"> </w:t>
      </w:r>
      <w:r>
        <w:rPr>
          <w:sz w:val="18"/>
          <w:szCs w:val="18"/>
        </w:rPr>
        <w:t>Решение</w:t>
      </w:r>
      <w:r>
        <w:rPr>
          <w:sz w:val="18"/>
          <w:szCs w:val="18"/>
          <w:lang w:val="pt-PT"/>
        </w:rPr>
        <w:t xml:space="preserve"> № 541/2014/</w:t>
      </w:r>
      <w:r>
        <w:rPr>
          <w:sz w:val="18"/>
          <w:szCs w:val="18"/>
        </w:rPr>
        <w:t>ЕС</w:t>
      </w:r>
      <w:r>
        <w:rPr>
          <w:sz w:val="18"/>
          <w:szCs w:val="18"/>
          <w:lang w:val="pt-PT"/>
        </w:rPr>
        <w:t xml:space="preserve"> </w:t>
      </w:r>
      <w:r>
        <w:rPr>
          <w:sz w:val="18"/>
          <w:szCs w:val="18"/>
        </w:rPr>
        <w:t>на</w:t>
      </w:r>
      <w:r>
        <w:rPr>
          <w:sz w:val="18"/>
          <w:szCs w:val="18"/>
          <w:lang w:val="pt-PT"/>
        </w:rPr>
        <w:t xml:space="preserve"> </w:t>
      </w:r>
      <w:r>
        <w:rPr>
          <w:sz w:val="18"/>
          <w:szCs w:val="18"/>
        </w:rPr>
        <w:t>Европейския</w:t>
      </w:r>
      <w:r>
        <w:rPr>
          <w:sz w:val="18"/>
          <w:szCs w:val="18"/>
          <w:lang w:val="pt-PT"/>
        </w:rPr>
        <w:t xml:space="preserve"> </w:t>
      </w:r>
      <w:r>
        <w:rPr>
          <w:sz w:val="18"/>
          <w:szCs w:val="18"/>
        </w:rPr>
        <w:t>парламент</w:t>
      </w:r>
      <w:r>
        <w:rPr>
          <w:sz w:val="18"/>
          <w:szCs w:val="18"/>
          <w:lang w:val="pt-PT"/>
        </w:rPr>
        <w:t xml:space="preserve"> </w:t>
      </w:r>
      <w:r>
        <w:rPr>
          <w:sz w:val="18"/>
          <w:szCs w:val="18"/>
        </w:rPr>
        <w:t>и</w:t>
      </w:r>
      <w:r>
        <w:rPr>
          <w:sz w:val="18"/>
          <w:szCs w:val="18"/>
          <w:lang w:val="pt-PT"/>
        </w:rPr>
        <w:t xml:space="preserve"> </w:t>
      </w:r>
      <w:r>
        <w:rPr>
          <w:sz w:val="18"/>
          <w:szCs w:val="18"/>
        </w:rPr>
        <w:t>на</w:t>
      </w:r>
      <w:r>
        <w:rPr>
          <w:sz w:val="18"/>
          <w:szCs w:val="18"/>
          <w:lang w:val="pt-PT"/>
        </w:rPr>
        <w:t xml:space="preserve"> </w:t>
      </w:r>
      <w:r>
        <w:rPr>
          <w:sz w:val="18"/>
          <w:szCs w:val="18"/>
        </w:rPr>
        <w:t>Съвета</w:t>
      </w:r>
      <w:r>
        <w:rPr>
          <w:sz w:val="18"/>
          <w:szCs w:val="18"/>
          <w:lang w:val="pt-PT"/>
        </w:rPr>
        <w:t xml:space="preserve">, COM(2016) 605 final, 14.09.2016 </w:t>
      </w:r>
      <w:r>
        <w:rPr>
          <w:sz w:val="18"/>
          <w:szCs w:val="18"/>
        </w:rPr>
        <w:t>г</w:t>
      </w:r>
      <w:r>
        <w:rPr>
          <w:sz w:val="18"/>
          <w:szCs w:val="18"/>
          <w:lang w:val="pt-PT"/>
        </w:rPr>
        <w:t xml:space="preserve">., </w:t>
      </w:r>
      <w:r>
        <w:rPr>
          <w:sz w:val="18"/>
          <w:szCs w:val="18"/>
        </w:rPr>
        <w:t>по</w:t>
      </w:r>
      <w:r>
        <w:rPr>
          <w:sz w:val="18"/>
          <w:szCs w:val="18"/>
          <w:lang w:val="pt-PT"/>
        </w:rPr>
        <w:t>-</w:t>
      </w:r>
      <w:r>
        <w:rPr>
          <w:sz w:val="18"/>
          <w:szCs w:val="18"/>
        </w:rPr>
        <w:t>специално</w:t>
      </w:r>
      <w:r>
        <w:rPr>
          <w:sz w:val="18"/>
          <w:szCs w:val="18"/>
          <w:lang w:val="pt-PT"/>
        </w:rPr>
        <w:t xml:space="preserve"> </w:t>
      </w:r>
      <w:r>
        <w:rPr>
          <w:sz w:val="18"/>
          <w:szCs w:val="18"/>
        </w:rPr>
        <w:t>предложения</w:t>
      </w:r>
      <w:r>
        <w:rPr>
          <w:sz w:val="18"/>
          <w:szCs w:val="18"/>
          <w:lang w:val="pt-PT"/>
        </w:rPr>
        <w:t xml:space="preserve"> </w:t>
      </w:r>
      <w:r>
        <w:rPr>
          <w:sz w:val="18"/>
          <w:szCs w:val="18"/>
        </w:rPr>
        <w:t>нов</w:t>
      </w:r>
      <w:r>
        <w:rPr>
          <w:sz w:val="18"/>
          <w:szCs w:val="18"/>
          <w:lang w:val="pt-PT"/>
        </w:rPr>
        <w:t xml:space="preserve"> </w:t>
      </w:r>
      <w:r>
        <w:rPr>
          <w:sz w:val="18"/>
          <w:szCs w:val="18"/>
        </w:rPr>
        <w:t>член</w:t>
      </w:r>
      <w:r>
        <w:rPr>
          <w:sz w:val="18"/>
          <w:szCs w:val="18"/>
          <w:lang w:val="pt-PT"/>
        </w:rPr>
        <w:t xml:space="preserve"> 39, </w:t>
      </w:r>
      <w:r>
        <w:rPr>
          <w:sz w:val="18"/>
          <w:szCs w:val="18"/>
        </w:rPr>
        <w:t>параграф</w:t>
      </w:r>
      <w:r>
        <w:rPr>
          <w:sz w:val="18"/>
          <w:szCs w:val="18"/>
          <w:lang w:val="pt-PT"/>
        </w:rPr>
        <w:t xml:space="preserve"> 4 </w:t>
      </w:r>
      <w:r>
        <w:rPr>
          <w:sz w:val="18"/>
          <w:szCs w:val="18"/>
        </w:rPr>
        <w:t>и</w:t>
      </w:r>
      <w:r>
        <w:rPr>
          <w:sz w:val="18"/>
          <w:szCs w:val="18"/>
          <w:lang w:val="pt-PT"/>
        </w:rPr>
        <w:t xml:space="preserve"> </w:t>
      </w:r>
      <w:r>
        <w:rPr>
          <w:sz w:val="18"/>
          <w:szCs w:val="18"/>
        </w:rPr>
        <w:t>член</w:t>
      </w:r>
      <w:r>
        <w:rPr>
          <w:sz w:val="18"/>
          <w:szCs w:val="18"/>
          <w:lang w:val="pt-PT"/>
        </w:rPr>
        <w:t xml:space="preserve"> 242.</w:t>
      </w:r>
    </w:p>
  </w:footnote>
  <w:footnote w:id="6">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Определена</w:t>
      </w:r>
      <w:r>
        <w:rPr>
          <w:sz w:val="18"/>
          <w:lang w:val="pt-PT"/>
        </w:rPr>
        <w:t xml:space="preserve"> </w:t>
      </w:r>
      <w:r>
        <w:rPr>
          <w:sz w:val="18"/>
        </w:rPr>
        <w:t>в</w:t>
      </w:r>
      <w:r>
        <w:rPr>
          <w:sz w:val="18"/>
          <w:lang w:val="pt-PT"/>
        </w:rPr>
        <w:t xml:space="preserve"> </w:t>
      </w:r>
      <w:r>
        <w:rPr>
          <w:sz w:val="18"/>
        </w:rPr>
        <w:t>предложението</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вж</w:t>
      </w:r>
      <w:r>
        <w:rPr>
          <w:sz w:val="18"/>
          <w:lang w:val="pt-PT"/>
        </w:rPr>
        <w:t xml:space="preserve">. </w:t>
      </w:r>
      <w:r>
        <w:rPr>
          <w:sz w:val="18"/>
        </w:rPr>
        <w:t>бележка</w:t>
      </w:r>
      <w:r>
        <w:rPr>
          <w:sz w:val="18"/>
          <w:lang w:val="pt-PT"/>
        </w:rPr>
        <w:t xml:space="preserve"> </w:t>
      </w:r>
      <w:r>
        <w:rPr>
          <w:sz w:val="18"/>
        </w:rPr>
        <w:t>под</w:t>
      </w:r>
      <w:r>
        <w:rPr>
          <w:sz w:val="18"/>
          <w:lang w:val="pt-PT"/>
        </w:rPr>
        <w:t xml:space="preserve"> </w:t>
      </w:r>
      <w:r>
        <w:rPr>
          <w:sz w:val="18"/>
        </w:rPr>
        <w:t>линия</w:t>
      </w:r>
      <w:r>
        <w:rPr>
          <w:sz w:val="18"/>
          <w:lang w:val="pt-PT"/>
        </w:rPr>
        <w:t xml:space="preserve"> 4) </w:t>
      </w:r>
      <w:r>
        <w:rPr>
          <w:sz w:val="18"/>
        </w:rPr>
        <w:t>като</w:t>
      </w:r>
      <w:r>
        <w:rPr>
          <w:sz w:val="18"/>
          <w:lang w:val="pt-PT"/>
        </w:rPr>
        <w:t xml:space="preserve"> </w:t>
      </w:r>
      <w:r>
        <w:rPr>
          <w:sz w:val="18"/>
        </w:rPr>
        <w:t>помощ</w:t>
      </w:r>
      <w:r>
        <w:rPr>
          <w:sz w:val="18"/>
          <w:lang w:val="pt-PT"/>
        </w:rPr>
        <w:t xml:space="preserve"> </w:t>
      </w:r>
      <w:r>
        <w:rPr>
          <w:sz w:val="18"/>
        </w:rPr>
        <w:t>за</w:t>
      </w:r>
      <w:r>
        <w:rPr>
          <w:sz w:val="18"/>
          <w:lang w:val="pt-PT"/>
        </w:rPr>
        <w:t xml:space="preserve"> </w:t>
      </w:r>
      <w:r>
        <w:rPr>
          <w:sz w:val="18"/>
        </w:rPr>
        <w:t>държавите</w:t>
      </w:r>
      <w:r>
        <w:rPr>
          <w:sz w:val="18"/>
          <w:lang w:val="pt-PT"/>
        </w:rPr>
        <w:t xml:space="preserve"> </w:t>
      </w:r>
      <w:r>
        <w:rPr>
          <w:sz w:val="18"/>
        </w:rPr>
        <w:t>членки</w:t>
      </w:r>
      <w:r>
        <w:rPr>
          <w:sz w:val="18"/>
          <w:lang w:val="pt-PT"/>
        </w:rPr>
        <w:t xml:space="preserve"> </w:t>
      </w:r>
      <w:r>
        <w:rPr>
          <w:sz w:val="18"/>
        </w:rPr>
        <w:t>или</w:t>
      </w:r>
      <w:r>
        <w:rPr>
          <w:sz w:val="18"/>
          <w:lang w:val="pt-PT"/>
        </w:rPr>
        <w:t xml:space="preserve"> </w:t>
      </w:r>
      <w:r>
        <w:rPr>
          <w:sz w:val="18"/>
        </w:rPr>
        <w:t>за</w:t>
      </w:r>
      <w:r>
        <w:rPr>
          <w:sz w:val="18"/>
          <w:lang w:val="pt-PT"/>
        </w:rPr>
        <w:t xml:space="preserve"> </w:t>
      </w:r>
      <w:r>
        <w:rPr>
          <w:sz w:val="18"/>
        </w:rPr>
        <w:t>трети</w:t>
      </w:r>
      <w:r>
        <w:rPr>
          <w:sz w:val="18"/>
          <w:lang w:val="pt-PT"/>
        </w:rPr>
        <w:t xml:space="preserve"> </w:t>
      </w:r>
      <w:r>
        <w:rPr>
          <w:sz w:val="18"/>
        </w:rPr>
        <w:t>държави</w:t>
      </w:r>
      <w:r>
        <w:rPr>
          <w:sz w:val="18"/>
          <w:lang w:val="pt-PT"/>
        </w:rPr>
        <w:t xml:space="preserve"> </w:t>
      </w:r>
      <w:r>
        <w:rPr>
          <w:sz w:val="18"/>
        </w:rPr>
        <w:t>под</w:t>
      </w:r>
      <w:r>
        <w:rPr>
          <w:sz w:val="18"/>
          <w:lang w:val="pt-PT"/>
        </w:rPr>
        <w:t xml:space="preserve"> </w:t>
      </w:r>
      <w:r>
        <w:rPr>
          <w:sz w:val="18"/>
        </w:rPr>
        <w:t>формата</w:t>
      </w:r>
      <w:r>
        <w:rPr>
          <w:sz w:val="18"/>
          <w:lang w:val="pt-PT"/>
        </w:rPr>
        <w:t xml:space="preserve"> </w:t>
      </w:r>
      <w:r>
        <w:rPr>
          <w:sz w:val="18"/>
        </w:rPr>
        <w:t>на</w:t>
      </w:r>
      <w:r>
        <w:rPr>
          <w:sz w:val="18"/>
          <w:lang w:val="pt-PT"/>
        </w:rPr>
        <w:t xml:space="preserve"> </w:t>
      </w:r>
      <w:r>
        <w:rPr>
          <w:sz w:val="18"/>
        </w:rPr>
        <w:t>заем</w:t>
      </w:r>
      <w:r>
        <w:rPr>
          <w:sz w:val="18"/>
          <w:lang w:val="pt-PT"/>
        </w:rPr>
        <w:t xml:space="preserve"> </w:t>
      </w:r>
      <w:r>
        <w:rPr>
          <w:sz w:val="18"/>
        </w:rPr>
        <w:t>или</w:t>
      </w:r>
      <w:r>
        <w:rPr>
          <w:sz w:val="18"/>
          <w:lang w:val="pt-PT"/>
        </w:rPr>
        <w:t xml:space="preserve"> </w:t>
      </w:r>
      <w:r>
        <w:rPr>
          <w:sz w:val="18"/>
        </w:rPr>
        <w:t>кредитна</w:t>
      </w:r>
      <w:r>
        <w:rPr>
          <w:sz w:val="18"/>
          <w:lang w:val="pt-PT"/>
        </w:rPr>
        <w:t xml:space="preserve"> </w:t>
      </w:r>
      <w:r>
        <w:rPr>
          <w:sz w:val="18"/>
        </w:rPr>
        <w:t>линия</w:t>
      </w:r>
      <w:r>
        <w:rPr>
          <w:sz w:val="18"/>
          <w:lang w:val="pt-PT"/>
        </w:rPr>
        <w:t xml:space="preserve">, </w:t>
      </w:r>
      <w:r>
        <w:rPr>
          <w:sz w:val="18"/>
        </w:rPr>
        <w:t>или</w:t>
      </w:r>
      <w:r>
        <w:rPr>
          <w:sz w:val="18"/>
          <w:lang w:val="pt-PT"/>
        </w:rPr>
        <w:t xml:space="preserve"> </w:t>
      </w:r>
      <w:r>
        <w:rPr>
          <w:sz w:val="18"/>
        </w:rPr>
        <w:t>друг</w:t>
      </w:r>
      <w:r>
        <w:rPr>
          <w:sz w:val="18"/>
          <w:lang w:val="pt-PT"/>
        </w:rPr>
        <w:t xml:space="preserve"> </w:t>
      </w:r>
      <w:r>
        <w:rPr>
          <w:sz w:val="18"/>
        </w:rPr>
        <w:t>инструмент</w:t>
      </w:r>
      <w:r>
        <w:rPr>
          <w:sz w:val="18"/>
          <w:lang w:val="pt-PT"/>
        </w:rPr>
        <w:t xml:space="preserve">, </w:t>
      </w:r>
      <w:r>
        <w:rPr>
          <w:sz w:val="18"/>
        </w:rPr>
        <w:t>който</w:t>
      </w:r>
      <w:r>
        <w:rPr>
          <w:sz w:val="18"/>
          <w:lang w:val="pt-PT"/>
        </w:rPr>
        <w:t xml:space="preserve"> </w:t>
      </w:r>
      <w:r>
        <w:rPr>
          <w:sz w:val="18"/>
        </w:rPr>
        <w:t>се</w:t>
      </w:r>
      <w:r>
        <w:rPr>
          <w:sz w:val="18"/>
          <w:lang w:val="pt-PT"/>
        </w:rPr>
        <w:t xml:space="preserve"> </w:t>
      </w:r>
      <w:r>
        <w:rPr>
          <w:sz w:val="18"/>
        </w:rPr>
        <w:t>счита</w:t>
      </w:r>
      <w:r>
        <w:rPr>
          <w:sz w:val="18"/>
          <w:lang w:val="pt-PT"/>
        </w:rPr>
        <w:t xml:space="preserve"> </w:t>
      </w:r>
      <w:r>
        <w:rPr>
          <w:sz w:val="18"/>
        </w:rPr>
        <w:t>за</w:t>
      </w:r>
      <w:r>
        <w:rPr>
          <w:sz w:val="18"/>
          <w:lang w:val="pt-PT"/>
        </w:rPr>
        <w:t xml:space="preserve"> </w:t>
      </w:r>
      <w:r>
        <w:rPr>
          <w:sz w:val="18"/>
        </w:rPr>
        <w:t>подходящ</w:t>
      </w:r>
      <w:r>
        <w:rPr>
          <w:sz w:val="18"/>
          <w:lang w:val="pt-PT"/>
        </w:rPr>
        <w:t xml:space="preserve"> </w:t>
      </w:r>
      <w:r>
        <w:rPr>
          <w:sz w:val="18"/>
        </w:rPr>
        <w:t>за</w:t>
      </w:r>
      <w:r>
        <w:rPr>
          <w:sz w:val="18"/>
          <w:lang w:val="pt-PT"/>
        </w:rPr>
        <w:t xml:space="preserve"> </w:t>
      </w:r>
      <w:r>
        <w:rPr>
          <w:sz w:val="18"/>
        </w:rPr>
        <w:t>осигуряване</w:t>
      </w:r>
      <w:r>
        <w:rPr>
          <w:sz w:val="18"/>
          <w:lang w:val="pt-PT"/>
        </w:rPr>
        <w:t xml:space="preserve"> </w:t>
      </w:r>
      <w:r>
        <w:rPr>
          <w:sz w:val="18"/>
        </w:rPr>
        <w:t>на</w:t>
      </w:r>
      <w:r>
        <w:rPr>
          <w:sz w:val="18"/>
          <w:lang w:val="pt-PT"/>
        </w:rPr>
        <w:t xml:space="preserve"> </w:t>
      </w:r>
      <w:r>
        <w:rPr>
          <w:sz w:val="18"/>
        </w:rPr>
        <w:t>ефективността</w:t>
      </w:r>
      <w:r>
        <w:rPr>
          <w:sz w:val="18"/>
          <w:lang w:val="pt-PT"/>
        </w:rPr>
        <w:t xml:space="preserve"> </w:t>
      </w:r>
      <w:r>
        <w:rPr>
          <w:sz w:val="18"/>
        </w:rPr>
        <w:t>на</w:t>
      </w:r>
      <w:r>
        <w:rPr>
          <w:sz w:val="18"/>
          <w:lang w:val="pt-PT"/>
        </w:rPr>
        <w:t xml:space="preserve"> </w:t>
      </w:r>
      <w:r>
        <w:rPr>
          <w:sz w:val="18"/>
        </w:rPr>
        <w:t>подкрепата</w:t>
      </w:r>
      <w:r>
        <w:rPr>
          <w:sz w:val="18"/>
          <w:lang w:val="pt-PT"/>
        </w:rPr>
        <w:t xml:space="preserve">, </w:t>
      </w:r>
      <w:r>
        <w:rPr>
          <w:sz w:val="18"/>
        </w:rPr>
        <w:t>за</w:t>
      </w:r>
      <w:r>
        <w:rPr>
          <w:sz w:val="18"/>
          <w:lang w:val="pt-PT"/>
        </w:rPr>
        <w:t xml:space="preserve"> </w:t>
      </w:r>
      <w:r>
        <w:rPr>
          <w:sz w:val="18"/>
        </w:rPr>
        <w:t>което</w:t>
      </w:r>
      <w:r>
        <w:rPr>
          <w:sz w:val="18"/>
          <w:lang w:val="pt-PT"/>
        </w:rPr>
        <w:t xml:space="preserve"> </w:t>
      </w:r>
      <w:r>
        <w:rPr>
          <w:sz w:val="18"/>
        </w:rPr>
        <w:t>Съюзът</w:t>
      </w:r>
      <w:r>
        <w:rPr>
          <w:sz w:val="18"/>
          <w:lang w:val="pt-PT"/>
        </w:rPr>
        <w:t xml:space="preserve"> </w:t>
      </w:r>
      <w:r>
        <w:rPr>
          <w:sz w:val="18"/>
        </w:rPr>
        <w:t>може</w:t>
      </w:r>
      <w:r>
        <w:rPr>
          <w:sz w:val="18"/>
          <w:lang w:val="pt-PT"/>
        </w:rPr>
        <w:t xml:space="preserve"> </w:t>
      </w:r>
      <w:r>
        <w:rPr>
          <w:sz w:val="18"/>
        </w:rPr>
        <w:t>да</w:t>
      </w:r>
      <w:r>
        <w:rPr>
          <w:sz w:val="18"/>
          <w:lang w:val="pt-PT"/>
        </w:rPr>
        <w:t xml:space="preserve"> </w:t>
      </w:r>
      <w:r>
        <w:rPr>
          <w:sz w:val="18"/>
        </w:rPr>
        <w:t>заеме</w:t>
      </w:r>
      <w:r>
        <w:rPr>
          <w:sz w:val="18"/>
          <w:lang w:val="pt-PT"/>
        </w:rPr>
        <w:t xml:space="preserve"> </w:t>
      </w:r>
      <w:r>
        <w:rPr>
          <w:sz w:val="18"/>
        </w:rPr>
        <w:t>необходимите</w:t>
      </w:r>
      <w:r>
        <w:rPr>
          <w:sz w:val="18"/>
          <w:lang w:val="pt-PT"/>
        </w:rPr>
        <w:t xml:space="preserve"> </w:t>
      </w:r>
      <w:r>
        <w:rPr>
          <w:sz w:val="18"/>
        </w:rPr>
        <w:t>с</w:t>
      </w:r>
      <w:r>
        <w:rPr>
          <w:sz w:val="18"/>
        </w:rPr>
        <w:t>редства</w:t>
      </w:r>
      <w:r>
        <w:rPr>
          <w:sz w:val="18"/>
          <w:lang w:val="pt-PT"/>
        </w:rPr>
        <w:t xml:space="preserve"> </w:t>
      </w:r>
      <w:r>
        <w:rPr>
          <w:sz w:val="18"/>
        </w:rPr>
        <w:t>от</w:t>
      </w:r>
      <w:r>
        <w:rPr>
          <w:sz w:val="18"/>
          <w:lang w:val="pt-PT"/>
        </w:rPr>
        <w:t xml:space="preserve"> </w:t>
      </w:r>
      <w:r>
        <w:rPr>
          <w:sz w:val="18"/>
        </w:rPr>
        <w:t>името</w:t>
      </w:r>
      <w:r>
        <w:rPr>
          <w:sz w:val="18"/>
          <w:lang w:val="pt-PT"/>
        </w:rPr>
        <w:t xml:space="preserve"> </w:t>
      </w:r>
      <w:r>
        <w:rPr>
          <w:sz w:val="18"/>
        </w:rPr>
        <w:t>на</w:t>
      </w:r>
      <w:r>
        <w:rPr>
          <w:sz w:val="18"/>
          <w:lang w:val="pt-PT"/>
        </w:rPr>
        <w:t xml:space="preserve"> </w:t>
      </w:r>
      <w:r>
        <w:rPr>
          <w:sz w:val="18"/>
        </w:rPr>
        <w:t>Съюза</w:t>
      </w:r>
      <w:r>
        <w:rPr>
          <w:sz w:val="18"/>
          <w:lang w:val="pt-PT"/>
        </w:rPr>
        <w:t xml:space="preserve"> </w:t>
      </w:r>
      <w:r>
        <w:rPr>
          <w:sz w:val="18"/>
        </w:rPr>
        <w:t>от</w:t>
      </w:r>
      <w:r>
        <w:rPr>
          <w:sz w:val="18"/>
          <w:lang w:val="pt-PT"/>
        </w:rPr>
        <w:t xml:space="preserve"> </w:t>
      </w:r>
      <w:r>
        <w:rPr>
          <w:sz w:val="18"/>
        </w:rPr>
        <w:t>капиталовите</w:t>
      </w:r>
      <w:r>
        <w:rPr>
          <w:sz w:val="18"/>
          <w:lang w:val="pt-PT"/>
        </w:rPr>
        <w:t xml:space="preserve"> </w:t>
      </w:r>
      <w:r>
        <w:rPr>
          <w:sz w:val="18"/>
        </w:rPr>
        <w:t>пазари</w:t>
      </w:r>
      <w:r>
        <w:rPr>
          <w:sz w:val="18"/>
          <w:lang w:val="pt-PT"/>
        </w:rPr>
        <w:t xml:space="preserve"> </w:t>
      </w:r>
      <w:r>
        <w:rPr>
          <w:sz w:val="18"/>
        </w:rPr>
        <w:t>или</w:t>
      </w:r>
      <w:r>
        <w:rPr>
          <w:sz w:val="18"/>
          <w:lang w:val="pt-PT"/>
        </w:rPr>
        <w:t xml:space="preserve"> </w:t>
      </w:r>
      <w:r>
        <w:rPr>
          <w:sz w:val="18"/>
        </w:rPr>
        <w:t>от</w:t>
      </w:r>
      <w:r>
        <w:rPr>
          <w:sz w:val="18"/>
          <w:lang w:val="pt-PT"/>
        </w:rPr>
        <w:t xml:space="preserve"> </w:t>
      </w:r>
      <w:r>
        <w:rPr>
          <w:sz w:val="18"/>
        </w:rPr>
        <w:t>финансови</w:t>
      </w:r>
      <w:r>
        <w:rPr>
          <w:sz w:val="18"/>
          <w:lang w:val="pt-PT"/>
        </w:rPr>
        <w:t xml:space="preserve"> </w:t>
      </w:r>
      <w:r>
        <w:rPr>
          <w:sz w:val="18"/>
        </w:rPr>
        <w:t>институции</w:t>
      </w:r>
      <w:r>
        <w:rPr>
          <w:sz w:val="18"/>
          <w:lang w:val="pt-PT"/>
        </w:rPr>
        <w:t>.</w:t>
      </w:r>
    </w:p>
  </w:footnote>
  <w:footnote w:id="7">
    <w:p w:rsidR="004E032F" w:rsidRDefault="009B0276">
      <w:pPr>
        <w:spacing w:before="0" w:after="0" w:line="240" w:lineRule="auto"/>
        <w:jc w:val="both"/>
        <w:rPr>
          <w:sz w:val="18"/>
          <w:szCs w:val="18"/>
          <w:lang w:val="pt-PT"/>
        </w:rPr>
      </w:pPr>
      <w:r>
        <w:rPr>
          <w:rStyle w:val="FootnoteReference"/>
          <w:sz w:val="18"/>
        </w:rPr>
        <w:footnoteRef/>
      </w:r>
      <w:r>
        <w:rPr>
          <w:sz w:val="18"/>
          <w:lang w:val="pt-PT"/>
        </w:rPr>
        <w:t xml:space="preserve"> </w:t>
      </w:r>
      <w:r>
        <w:rPr>
          <w:sz w:val="18"/>
        </w:rPr>
        <w:t>Пълният</w:t>
      </w:r>
      <w:r>
        <w:rPr>
          <w:sz w:val="18"/>
          <w:lang w:val="pt-PT"/>
        </w:rPr>
        <w:t xml:space="preserve"> </w:t>
      </w:r>
      <w:r>
        <w:rPr>
          <w:sz w:val="18"/>
        </w:rPr>
        <w:t>доклад</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е</w:t>
      </w:r>
      <w:r>
        <w:rPr>
          <w:sz w:val="18"/>
          <w:lang w:val="pt-PT"/>
        </w:rPr>
        <w:t xml:space="preserve"> </w:t>
      </w:r>
      <w:r>
        <w:rPr>
          <w:sz w:val="18"/>
        </w:rPr>
        <w:t>достъпен</w:t>
      </w:r>
      <w:r>
        <w:rPr>
          <w:sz w:val="18"/>
          <w:lang w:val="pt-PT"/>
        </w:rPr>
        <w:t xml:space="preserve"> </w:t>
      </w:r>
      <w:r>
        <w:rPr>
          <w:sz w:val="18"/>
        </w:rPr>
        <w:t>на</w:t>
      </w:r>
      <w:r>
        <w:rPr>
          <w:sz w:val="18"/>
          <w:lang w:val="pt-PT"/>
        </w:rPr>
        <w:t xml:space="preserve"> </w:t>
      </w:r>
      <w:r>
        <w:rPr>
          <w:sz w:val="18"/>
        </w:rPr>
        <w:t>адрес</w:t>
      </w:r>
      <w:r>
        <w:rPr>
          <w:sz w:val="18"/>
          <w:lang w:val="pt-PT"/>
        </w:rPr>
        <w:t xml:space="preserve">: </w:t>
      </w:r>
    </w:p>
    <w:p w:rsidR="004E032F" w:rsidRDefault="009B0276">
      <w:pPr>
        <w:spacing w:before="0" w:after="0" w:line="240" w:lineRule="auto"/>
        <w:jc w:val="both"/>
        <w:rPr>
          <w:sz w:val="18"/>
          <w:szCs w:val="18"/>
          <w:lang w:val="pt-PT"/>
        </w:rPr>
      </w:pPr>
      <w:hyperlink r:id="rId1">
        <w:r>
          <w:rPr>
            <w:rStyle w:val="Hyperlink"/>
            <w:sz w:val="18"/>
            <w:lang w:val="pt-PT"/>
          </w:rPr>
          <w:t>http://ec.europa.eu/regional_policy/sources/thefunds/fin_inst/pdf/summary_data_fei_2015.pdf</w:t>
        </w:r>
      </w:hyperlink>
      <w:r>
        <w:rPr>
          <w:rStyle w:val="Hyperlink"/>
          <w:color w:val="auto"/>
          <w:sz w:val="18"/>
          <w:u w:val="none"/>
          <w:lang w:val="pt-PT"/>
        </w:rPr>
        <w:t>.</w:t>
      </w:r>
    </w:p>
  </w:footnote>
  <w:footnote w:id="8">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Член</w:t>
      </w:r>
      <w:r>
        <w:rPr>
          <w:sz w:val="18"/>
          <w:lang w:val="pt-PT"/>
        </w:rPr>
        <w:t xml:space="preserve"> 46, </w:t>
      </w:r>
      <w:r>
        <w:rPr>
          <w:sz w:val="18"/>
        </w:rPr>
        <w:t>параграф</w:t>
      </w:r>
      <w:r>
        <w:rPr>
          <w:sz w:val="18"/>
          <w:lang w:val="pt-PT"/>
        </w:rPr>
        <w:t xml:space="preserve"> 4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 1303/2013.</w:t>
      </w:r>
    </w:p>
  </w:footnote>
  <w:footnote w:id="9">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От</w:t>
      </w:r>
      <w:r>
        <w:rPr>
          <w:sz w:val="18"/>
          <w:lang w:val="pt-PT"/>
        </w:rPr>
        <w:t xml:space="preserve"> 31 </w:t>
      </w:r>
      <w:r>
        <w:rPr>
          <w:sz w:val="18"/>
        </w:rPr>
        <w:t>декември</w:t>
      </w:r>
      <w:r>
        <w:rPr>
          <w:sz w:val="18"/>
          <w:lang w:val="pt-PT"/>
        </w:rPr>
        <w:t xml:space="preserve"> 2015 </w:t>
      </w:r>
      <w:r>
        <w:rPr>
          <w:sz w:val="18"/>
        </w:rPr>
        <w:t>г</w:t>
      </w:r>
      <w:r>
        <w:rPr>
          <w:sz w:val="18"/>
          <w:lang w:val="pt-PT"/>
        </w:rPr>
        <w:t xml:space="preserve">. </w:t>
      </w:r>
      <w:r>
        <w:rPr>
          <w:sz w:val="18"/>
        </w:rPr>
        <w:t>докладът</w:t>
      </w:r>
      <w:r>
        <w:rPr>
          <w:sz w:val="18"/>
          <w:lang w:val="pt-PT"/>
        </w:rPr>
        <w:t xml:space="preserve"> </w:t>
      </w:r>
      <w:r>
        <w:rPr>
          <w:sz w:val="18"/>
        </w:rPr>
        <w:t>е</w:t>
      </w:r>
      <w:r>
        <w:rPr>
          <w:sz w:val="18"/>
          <w:lang w:val="pt-PT"/>
        </w:rPr>
        <w:t xml:space="preserve"> </w:t>
      </w:r>
      <w:r>
        <w:rPr>
          <w:sz w:val="18"/>
        </w:rPr>
        <w:t>достъпен</w:t>
      </w:r>
      <w:r>
        <w:rPr>
          <w:sz w:val="18"/>
          <w:lang w:val="pt-PT"/>
        </w:rPr>
        <w:t xml:space="preserve"> </w:t>
      </w:r>
      <w:r>
        <w:rPr>
          <w:sz w:val="18"/>
        </w:rPr>
        <w:t>на</w:t>
      </w:r>
      <w:r>
        <w:rPr>
          <w:sz w:val="18"/>
          <w:lang w:val="pt-PT"/>
        </w:rPr>
        <w:t xml:space="preserve"> </w:t>
      </w:r>
      <w:r>
        <w:rPr>
          <w:sz w:val="18"/>
        </w:rPr>
        <w:t>адрес</w:t>
      </w:r>
      <w:r>
        <w:rPr>
          <w:sz w:val="18"/>
          <w:lang w:val="pt-PT"/>
        </w:rPr>
        <w:t>:</w:t>
      </w:r>
    </w:p>
    <w:p w:rsidR="004E032F" w:rsidRDefault="009B0276">
      <w:pPr>
        <w:pStyle w:val="FootnoteText"/>
        <w:spacing w:before="0"/>
        <w:jc w:val="both"/>
        <w:rPr>
          <w:sz w:val="18"/>
          <w:szCs w:val="18"/>
          <w:lang w:val="pt-PT"/>
        </w:rPr>
      </w:pPr>
      <w:hyperlink r:id="rId2">
        <w:r>
          <w:rPr>
            <w:rStyle w:val="Hyperlink"/>
            <w:sz w:val="18"/>
            <w:lang w:val="pt-PT"/>
          </w:rPr>
          <w:t>http://ec.europa.eu/regional_policy/sources/thefunds/fin_inst/pdf/summary_data_fi_1420_2015.pdf</w:t>
        </w:r>
      </w:hyperlink>
      <w:r>
        <w:rPr>
          <w:rStyle w:val="Hyperlink"/>
          <w:color w:val="auto"/>
          <w:sz w:val="18"/>
          <w:u w:val="none"/>
          <w:lang w:val="pt-PT"/>
        </w:rPr>
        <w:t>.</w:t>
      </w:r>
    </w:p>
  </w:footnote>
  <w:footnote w:id="10">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Членове</w:t>
      </w:r>
      <w:r>
        <w:rPr>
          <w:sz w:val="18"/>
          <w:lang w:val="pt-PT"/>
        </w:rPr>
        <w:t xml:space="preserve"> 16—18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xml:space="preserve">) 2015/1017). </w:t>
      </w:r>
      <w:r>
        <w:rPr>
          <w:sz w:val="18"/>
        </w:rPr>
        <w:t>По</w:t>
      </w:r>
      <w:r>
        <w:rPr>
          <w:sz w:val="18"/>
          <w:lang w:val="pt-PT"/>
        </w:rPr>
        <w:t>-</w:t>
      </w:r>
      <w:r>
        <w:rPr>
          <w:sz w:val="18"/>
        </w:rPr>
        <w:t>специално</w:t>
      </w:r>
      <w:r>
        <w:rPr>
          <w:sz w:val="18"/>
          <w:lang w:val="pt-PT"/>
        </w:rPr>
        <w:t xml:space="preserve"> </w:t>
      </w:r>
      <w:r>
        <w:rPr>
          <w:sz w:val="18"/>
        </w:rPr>
        <w:t>в</w:t>
      </w:r>
      <w:r>
        <w:rPr>
          <w:sz w:val="18"/>
          <w:lang w:val="pt-PT"/>
        </w:rPr>
        <w:t xml:space="preserve"> </w:t>
      </w:r>
      <w:r>
        <w:rPr>
          <w:sz w:val="18"/>
        </w:rPr>
        <w:t>член</w:t>
      </w:r>
      <w:r>
        <w:rPr>
          <w:sz w:val="18"/>
          <w:lang w:val="pt-PT"/>
        </w:rPr>
        <w:t xml:space="preserve"> 16, </w:t>
      </w:r>
      <w:r>
        <w:rPr>
          <w:sz w:val="18"/>
        </w:rPr>
        <w:t>параграф</w:t>
      </w:r>
      <w:r>
        <w:rPr>
          <w:sz w:val="18"/>
          <w:lang w:val="pt-PT"/>
        </w:rPr>
        <w:t xml:space="preserve"> 2 </w:t>
      </w:r>
      <w:r>
        <w:rPr>
          <w:sz w:val="18"/>
        </w:rPr>
        <w:t>от</w:t>
      </w:r>
      <w:r>
        <w:rPr>
          <w:sz w:val="18"/>
          <w:lang w:val="pt-PT"/>
        </w:rPr>
        <w:t xml:space="preserve"> </w:t>
      </w:r>
      <w:r>
        <w:rPr>
          <w:sz w:val="18"/>
        </w:rPr>
        <w:t>ЕИБ</w:t>
      </w:r>
      <w:r>
        <w:rPr>
          <w:sz w:val="18"/>
          <w:lang w:val="pt-PT"/>
        </w:rPr>
        <w:t xml:space="preserve"> </w:t>
      </w:r>
      <w:r>
        <w:rPr>
          <w:sz w:val="18"/>
        </w:rPr>
        <w:t>се</w:t>
      </w:r>
      <w:r>
        <w:rPr>
          <w:sz w:val="18"/>
          <w:lang w:val="pt-PT"/>
        </w:rPr>
        <w:t xml:space="preserve"> </w:t>
      </w:r>
      <w:r>
        <w:rPr>
          <w:sz w:val="18"/>
        </w:rPr>
        <w:t>изисква</w:t>
      </w:r>
      <w:r>
        <w:rPr>
          <w:sz w:val="18"/>
          <w:lang w:val="pt-PT"/>
        </w:rPr>
        <w:t xml:space="preserve">, </w:t>
      </w:r>
      <w:r>
        <w:rPr>
          <w:sz w:val="18"/>
        </w:rPr>
        <w:t>когато</w:t>
      </w:r>
      <w:r>
        <w:rPr>
          <w:sz w:val="18"/>
          <w:lang w:val="pt-PT"/>
        </w:rPr>
        <w:t xml:space="preserve"> </w:t>
      </w:r>
      <w:r>
        <w:rPr>
          <w:sz w:val="18"/>
        </w:rPr>
        <w:t>е</w:t>
      </w:r>
      <w:r>
        <w:rPr>
          <w:sz w:val="18"/>
          <w:lang w:val="pt-PT"/>
        </w:rPr>
        <w:t xml:space="preserve"> </w:t>
      </w:r>
      <w:r>
        <w:rPr>
          <w:sz w:val="18"/>
        </w:rPr>
        <w:t>целесъобразно</w:t>
      </w:r>
      <w:r>
        <w:rPr>
          <w:sz w:val="18"/>
          <w:lang w:val="pt-PT"/>
        </w:rPr>
        <w:t xml:space="preserve"> — </w:t>
      </w:r>
      <w:r>
        <w:rPr>
          <w:sz w:val="18"/>
        </w:rPr>
        <w:t>в</w:t>
      </w:r>
      <w:r>
        <w:rPr>
          <w:sz w:val="18"/>
          <w:lang w:val="pt-PT"/>
        </w:rPr>
        <w:t xml:space="preserve"> </w:t>
      </w:r>
      <w:r>
        <w:rPr>
          <w:sz w:val="18"/>
        </w:rPr>
        <w:t>сътрудничество</w:t>
      </w:r>
      <w:r>
        <w:rPr>
          <w:sz w:val="18"/>
          <w:lang w:val="pt-PT"/>
        </w:rPr>
        <w:t xml:space="preserve"> </w:t>
      </w:r>
      <w:r>
        <w:rPr>
          <w:sz w:val="18"/>
        </w:rPr>
        <w:t>с</w:t>
      </w:r>
      <w:r>
        <w:rPr>
          <w:sz w:val="18"/>
          <w:lang w:val="pt-PT"/>
        </w:rPr>
        <w:t xml:space="preserve"> </w:t>
      </w:r>
      <w:r>
        <w:rPr>
          <w:sz w:val="18"/>
        </w:rPr>
        <w:t>Европейския</w:t>
      </w:r>
      <w:r>
        <w:rPr>
          <w:sz w:val="18"/>
          <w:lang w:val="pt-PT"/>
        </w:rPr>
        <w:t xml:space="preserve"> </w:t>
      </w:r>
      <w:r>
        <w:rPr>
          <w:sz w:val="18"/>
        </w:rPr>
        <w:t>инвестиционен</w:t>
      </w:r>
      <w:r>
        <w:rPr>
          <w:sz w:val="18"/>
          <w:lang w:val="pt-PT"/>
        </w:rPr>
        <w:t xml:space="preserve"> </w:t>
      </w:r>
      <w:r>
        <w:rPr>
          <w:sz w:val="18"/>
        </w:rPr>
        <w:t>фонд</w:t>
      </w:r>
      <w:r>
        <w:rPr>
          <w:sz w:val="18"/>
          <w:lang w:val="pt-PT"/>
        </w:rPr>
        <w:t xml:space="preserve"> (</w:t>
      </w:r>
      <w:r>
        <w:rPr>
          <w:sz w:val="18"/>
        </w:rPr>
        <w:t>ЕИФ</w:t>
      </w:r>
      <w:r>
        <w:rPr>
          <w:sz w:val="18"/>
          <w:lang w:val="pt-PT"/>
        </w:rPr>
        <w:t xml:space="preserve">), </w:t>
      </w:r>
      <w:r>
        <w:rPr>
          <w:sz w:val="18"/>
        </w:rPr>
        <w:t>да</w:t>
      </w:r>
      <w:r>
        <w:rPr>
          <w:sz w:val="18"/>
          <w:lang w:val="pt-PT"/>
        </w:rPr>
        <w:t xml:space="preserve"> </w:t>
      </w:r>
      <w:r>
        <w:rPr>
          <w:sz w:val="18"/>
        </w:rPr>
        <w:t>представя</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годишен</w:t>
      </w:r>
      <w:r>
        <w:rPr>
          <w:sz w:val="18"/>
          <w:lang w:val="pt-PT"/>
        </w:rPr>
        <w:t xml:space="preserve"> </w:t>
      </w:r>
      <w:r>
        <w:rPr>
          <w:sz w:val="18"/>
        </w:rPr>
        <w:t>доклад</w:t>
      </w:r>
      <w:r>
        <w:rPr>
          <w:sz w:val="18"/>
          <w:lang w:val="pt-PT"/>
        </w:rPr>
        <w:t xml:space="preserve"> </w:t>
      </w:r>
      <w:r>
        <w:rPr>
          <w:sz w:val="18"/>
        </w:rPr>
        <w:t>относно</w:t>
      </w:r>
      <w:r>
        <w:rPr>
          <w:sz w:val="18"/>
          <w:lang w:val="pt-PT"/>
        </w:rPr>
        <w:t xml:space="preserve"> </w:t>
      </w:r>
      <w:r>
        <w:rPr>
          <w:sz w:val="18"/>
        </w:rPr>
        <w:t>операциите</w:t>
      </w:r>
      <w:r>
        <w:rPr>
          <w:sz w:val="18"/>
          <w:lang w:val="pt-PT"/>
        </w:rPr>
        <w:t xml:space="preserve"> </w:t>
      </w:r>
      <w:r>
        <w:rPr>
          <w:sz w:val="18"/>
        </w:rPr>
        <w:t>по</w:t>
      </w:r>
      <w:r>
        <w:rPr>
          <w:sz w:val="18"/>
          <w:lang w:val="pt-PT"/>
        </w:rPr>
        <w:t xml:space="preserve"> </w:t>
      </w:r>
      <w:r>
        <w:rPr>
          <w:sz w:val="18"/>
        </w:rPr>
        <w:t>финансиране</w:t>
      </w:r>
      <w:r>
        <w:rPr>
          <w:sz w:val="18"/>
          <w:lang w:val="pt-PT"/>
        </w:rPr>
        <w:t xml:space="preserve"> </w:t>
      </w:r>
      <w:r>
        <w:rPr>
          <w:sz w:val="18"/>
        </w:rPr>
        <w:t>и</w:t>
      </w:r>
      <w:r>
        <w:rPr>
          <w:sz w:val="18"/>
          <w:lang w:val="pt-PT"/>
        </w:rPr>
        <w:t xml:space="preserve"> </w:t>
      </w:r>
      <w:r>
        <w:rPr>
          <w:sz w:val="18"/>
        </w:rPr>
        <w:t>инвестиране</w:t>
      </w:r>
      <w:r>
        <w:rPr>
          <w:sz w:val="18"/>
          <w:lang w:val="pt-PT"/>
        </w:rPr>
        <w:t xml:space="preserve"> </w:t>
      </w:r>
      <w:r>
        <w:rPr>
          <w:sz w:val="18"/>
        </w:rPr>
        <w:t>на</w:t>
      </w:r>
      <w:r>
        <w:rPr>
          <w:sz w:val="18"/>
          <w:lang w:val="pt-PT"/>
        </w:rPr>
        <w:t xml:space="preserve"> </w:t>
      </w:r>
      <w:r>
        <w:rPr>
          <w:sz w:val="18"/>
        </w:rPr>
        <w:t>ЕИБ</w:t>
      </w:r>
      <w:r>
        <w:rPr>
          <w:sz w:val="18"/>
          <w:lang w:val="pt-PT"/>
        </w:rPr>
        <w:t xml:space="preserve">, </w:t>
      </w:r>
      <w:r>
        <w:rPr>
          <w:sz w:val="18"/>
        </w:rPr>
        <w:t>обхванати</w:t>
      </w:r>
      <w:r>
        <w:rPr>
          <w:sz w:val="18"/>
          <w:lang w:val="pt-PT"/>
        </w:rPr>
        <w:t xml:space="preserve"> </w:t>
      </w:r>
      <w:r>
        <w:rPr>
          <w:sz w:val="18"/>
        </w:rPr>
        <w:t>от</w:t>
      </w:r>
      <w:r>
        <w:rPr>
          <w:sz w:val="18"/>
          <w:lang w:val="pt-PT"/>
        </w:rPr>
        <w:t xml:space="preserve"> </w:t>
      </w:r>
      <w:r>
        <w:rPr>
          <w:sz w:val="18"/>
        </w:rPr>
        <w:t>регламента</w:t>
      </w:r>
      <w:r>
        <w:rPr>
          <w:sz w:val="18"/>
          <w:lang w:val="pt-PT"/>
        </w:rPr>
        <w:t xml:space="preserve"> </w:t>
      </w:r>
      <w:r>
        <w:rPr>
          <w:sz w:val="18"/>
        </w:rPr>
        <w:t>за</w:t>
      </w:r>
      <w:r>
        <w:rPr>
          <w:sz w:val="18"/>
          <w:lang w:val="pt-PT"/>
        </w:rPr>
        <w:t xml:space="preserve"> </w:t>
      </w:r>
      <w:r>
        <w:rPr>
          <w:sz w:val="18"/>
        </w:rPr>
        <w:t>ЕФСИ</w:t>
      </w:r>
      <w:r>
        <w:rPr>
          <w:sz w:val="18"/>
          <w:lang w:val="pt-PT"/>
        </w:rPr>
        <w:t xml:space="preserve">. </w:t>
      </w:r>
      <w:r>
        <w:rPr>
          <w:sz w:val="18"/>
        </w:rPr>
        <w:t>Пълният</w:t>
      </w:r>
      <w:r>
        <w:rPr>
          <w:sz w:val="18"/>
          <w:lang w:val="pt-PT"/>
        </w:rPr>
        <w:t xml:space="preserve"> </w:t>
      </w:r>
      <w:r>
        <w:rPr>
          <w:sz w:val="18"/>
        </w:rPr>
        <w:t>текст</w:t>
      </w:r>
      <w:r>
        <w:rPr>
          <w:sz w:val="18"/>
          <w:lang w:val="pt-PT"/>
        </w:rPr>
        <w:t xml:space="preserve"> </w:t>
      </w:r>
      <w:r>
        <w:rPr>
          <w:sz w:val="18"/>
        </w:rPr>
        <w:t>на</w:t>
      </w:r>
      <w:r>
        <w:rPr>
          <w:sz w:val="18"/>
          <w:lang w:val="pt-PT"/>
        </w:rPr>
        <w:t xml:space="preserve"> </w:t>
      </w:r>
      <w:r>
        <w:rPr>
          <w:sz w:val="18"/>
        </w:rPr>
        <w:t>д</w:t>
      </w:r>
      <w:r>
        <w:rPr>
          <w:sz w:val="18"/>
        </w:rPr>
        <w:t>оклада</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можете</w:t>
      </w:r>
      <w:r>
        <w:rPr>
          <w:sz w:val="18"/>
          <w:lang w:val="pt-PT"/>
        </w:rPr>
        <w:t xml:space="preserve"> </w:t>
      </w:r>
      <w:r>
        <w:rPr>
          <w:sz w:val="18"/>
        </w:rPr>
        <w:t>да</w:t>
      </w:r>
      <w:r>
        <w:rPr>
          <w:sz w:val="18"/>
          <w:lang w:val="pt-PT"/>
        </w:rPr>
        <w:t xml:space="preserve"> </w:t>
      </w:r>
      <w:r>
        <w:rPr>
          <w:sz w:val="18"/>
        </w:rPr>
        <w:t>намерите</w:t>
      </w:r>
      <w:r>
        <w:rPr>
          <w:sz w:val="18"/>
          <w:lang w:val="pt-PT"/>
        </w:rPr>
        <w:t xml:space="preserve"> </w:t>
      </w:r>
      <w:r>
        <w:t>на</w:t>
      </w:r>
      <w:r>
        <w:rPr>
          <w:lang w:val="pt-PT"/>
        </w:rPr>
        <w:t xml:space="preserve"> </w:t>
      </w:r>
      <w:r>
        <w:t>адрес</w:t>
      </w:r>
      <w:r>
        <w:rPr>
          <w:lang w:val="pt-PT"/>
        </w:rPr>
        <w:t xml:space="preserve">: </w:t>
      </w:r>
      <w:hyperlink r:id="rId3">
        <w:r>
          <w:rPr>
            <w:rStyle w:val="Hyperlink"/>
            <w:sz w:val="18"/>
            <w:lang w:val="pt-PT"/>
          </w:rPr>
          <w:t>http://www.eib.org/attachments/strategies/efsi_2015_report_ep_council_en.pdf</w:t>
        </w:r>
      </w:hyperlink>
      <w:r>
        <w:rPr>
          <w:rStyle w:val="Hyperlink"/>
          <w:color w:val="auto"/>
          <w:sz w:val="18"/>
          <w:u w:val="none"/>
          <w:lang w:val="pt-PT"/>
        </w:rPr>
        <w:t>.</w:t>
      </w:r>
    </w:p>
  </w:footnote>
  <w:footnote w:id="11">
    <w:p w:rsidR="004E032F" w:rsidRDefault="009B0276">
      <w:pPr>
        <w:pStyle w:val="FootnoteText"/>
        <w:rPr>
          <w:sz w:val="18"/>
          <w:szCs w:val="18"/>
          <w:lang w:val="pt-PT"/>
        </w:rPr>
      </w:pPr>
      <w:r>
        <w:rPr>
          <w:rStyle w:val="FootnoteReference"/>
        </w:rPr>
        <w:footnoteRef/>
      </w:r>
      <w:r>
        <w:rPr>
          <w:lang w:val="pt-PT"/>
        </w:rPr>
        <w:t xml:space="preserve"> </w:t>
      </w:r>
      <w:r>
        <w:rPr>
          <w:sz w:val="18"/>
          <w:szCs w:val="18"/>
        </w:rPr>
        <w:t>Член</w:t>
      </w:r>
      <w:r>
        <w:rPr>
          <w:sz w:val="18"/>
          <w:szCs w:val="18"/>
          <w:lang w:val="pt-PT"/>
        </w:rPr>
        <w:t xml:space="preserve"> 21, </w:t>
      </w:r>
      <w:r>
        <w:rPr>
          <w:sz w:val="18"/>
          <w:szCs w:val="18"/>
        </w:rPr>
        <w:t>буква</w:t>
      </w:r>
      <w:r>
        <w:rPr>
          <w:sz w:val="18"/>
          <w:szCs w:val="18"/>
          <w:lang w:val="pt-PT"/>
        </w:rPr>
        <w:t xml:space="preserve"> </w:t>
      </w:r>
      <w:r>
        <w:rPr>
          <w:sz w:val="18"/>
          <w:szCs w:val="18"/>
        </w:rPr>
        <w:t>п</w:t>
      </w:r>
      <w:r>
        <w:rPr>
          <w:sz w:val="18"/>
          <w:szCs w:val="18"/>
          <w:lang w:val="pt-PT"/>
        </w:rPr>
        <w:t xml:space="preserve">) </w:t>
      </w:r>
      <w:r>
        <w:rPr>
          <w:sz w:val="18"/>
          <w:szCs w:val="18"/>
        </w:rPr>
        <w:t>от</w:t>
      </w:r>
      <w:r>
        <w:rPr>
          <w:sz w:val="18"/>
          <w:szCs w:val="18"/>
          <w:lang w:val="pt-PT"/>
        </w:rPr>
        <w:t xml:space="preserve"> </w:t>
      </w:r>
      <w:r>
        <w:rPr>
          <w:sz w:val="18"/>
          <w:szCs w:val="18"/>
        </w:rPr>
        <w:t>Финансовия</w:t>
      </w:r>
      <w:r>
        <w:rPr>
          <w:sz w:val="18"/>
          <w:szCs w:val="18"/>
          <w:lang w:val="pt-PT"/>
        </w:rPr>
        <w:t xml:space="preserve"> </w:t>
      </w:r>
      <w:r>
        <w:rPr>
          <w:sz w:val="18"/>
          <w:szCs w:val="18"/>
        </w:rPr>
        <w:t>регламент</w:t>
      </w:r>
      <w:r>
        <w:rPr>
          <w:sz w:val="18"/>
          <w:szCs w:val="18"/>
          <w:lang w:val="pt-PT"/>
        </w:rPr>
        <w:t>.</w:t>
      </w:r>
    </w:p>
  </w:footnote>
  <w:footnote w:id="12">
    <w:p w:rsidR="004E032F" w:rsidRDefault="009B0276">
      <w:pPr>
        <w:pStyle w:val="FootnoteText"/>
        <w:jc w:val="both"/>
        <w:rPr>
          <w:lang w:val="pt-PT"/>
        </w:rPr>
      </w:pPr>
      <w:r>
        <w:rPr>
          <w:rStyle w:val="FootnoteReference"/>
        </w:rPr>
        <w:footnoteRef/>
      </w:r>
      <w:r>
        <w:rPr>
          <w:lang w:val="pt-PT"/>
        </w:rPr>
        <w:t xml:space="preserve"> </w:t>
      </w:r>
      <w:r>
        <w:rPr>
          <w:sz w:val="18"/>
        </w:rPr>
        <w:t>Тази</w:t>
      </w:r>
      <w:r>
        <w:rPr>
          <w:sz w:val="18"/>
          <w:lang w:val="pt-PT"/>
        </w:rPr>
        <w:t xml:space="preserve"> </w:t>
      </w:r>
      <w:r>
        <w:rPr>
          <w:sz w:val="18"/>
        </w:rPr>
        <w:t>цифра</w:t>
      </w:r>
      <w:r>
        <w:rPr>
          <w:sz w:val="18"/>
          <w:lang w:val="pt-PT"/>
        </w:rPr>
        <w:t xml:space="preserve"> </w:t>
      </w:r>
      <w:r>
        <w:rPr>
          <w:sz w:val="18"/>
        </w:rPr>
        <w:t>включва</w:t>
      </w:r>
      <w:r>
        <w:rPr>
          <w:sz w:val="18"/>
          <w:lang w:val="pt-PT"/>
        </w:rPr>
        <w:t xml:space="preserve"> </w:t>
      </w:r>
      <w:r>
        <w:rPr>
          <w:sz w:val="18"/>
        </w:rPr>
        <w:t>обратните</w:t>
      </w:r>
      <w:r>
        <w:rPr>
          <w:sz w:val="18"/>
          <w:lang w:val="pt-PT"/>
        </w:rPr>
        <w:t xml:space="preserve"> </w:t>
      </w:r>
      <w:r>
        <w:rPr>
          <w:sz w:val="18"/>
        </w:rPr>
        <w:t>потоци</w:t>
      </w:r>
      <w:r>
        <w:rPr>
          <w:sz w:val="18"/>
          <w:lang w:val="pt-PT"/>
        </w:rPr>
        <w:t xml:space="preserve">, </w:t>
      </w:r>
      <w:r>
        <w:rPr>
          <w:sz w:val="18"/>
        </w:rPr>
        <w:t>приноса</w:t>
      </w:r>
      <w:r>
        <w:rPr>
          <w:sz w:val="18"/>
          <w:lang w:val="pt-PT"/>
        </w:rPr>
        <w:t xml:space="preserve"> </w:t>
      </w:r>
      <w:r>
        <w:rPr>
          <w:sz w:val="18"/>
        </w:rPr>
        <w:t>на</w:t>
      </w:r>
      <w:r>
        <w:rPr>
          <w:sz w:val="18"/>
          <w:lang w:val="pt-PT"/>
        </w:rPr>
        <w:t xml:space="preserve"> </w:t>
      </w:r>
      <w:r>
        <w:rPr>
          <w:sz w:val="18"/>
        </w:rPr>
        <w:t>ЕФСИ</w:t>
      </w:r>
      <w:r>
        <w:rPr>
          <w:sz w:val="18"/>
          <w:lang w:val="pt-PT"/>
        </w:rPr>
        <w:t xml:space="preserve"> </w:t>
      </w:r>
      <w:r>
        <w:rPr>
          <w:sz w:val="18"/>
        </w:rPr>
        <w:t>към</w:t>
      </w:r>
      <w:r>
        <w:rPr>
          <w:sz w:val="18"/>
          <w:lang w:val="pt-PT"/>
        </w:rPr>
        <w:t xml:space="preserve"> </w:t>
      </w:r>
      <w:r>
        <w:rPr>
          <w:sz w:val="18"/>
        </w:rPr>
        <w:t>няколко</w:t>
      </w:r>
      <w:r>
        <w:rPr>
          <w:sz w:val="18"/>
          <w:lang w:val="pt-PT"/>
        </w:rPr>
        <w:t xml:space="preserve"> </w:t>
      </w:r>
      <w:r>
        <w:rPr>
          <w:sz w:val="18"/>
        </w:rPr>
        <w:t>финансови</w:t>
      </w:r>
      <w:r>
        <w:rPr>
          <w:sz w:val="18"/>
          <w:lang w:val="pt-PT"/>
        </w:rPr>
        <w:t xml:space="preserve"> </w:t>
      </w:r>
      <w:r>
        <w:rPr>
          <w:sz w:val="18"/>
        </w:rPr>
        <w:t>инструмента</w:t>
      </w:r>
      <w:r>
        <w:rPr>
          <w:sz w:val="18"/>
          <w:lang w:val="pt-PT"/>
        </w:rPr>
        <w:t xml:space="preserve">, </w:t>
      </w:r>
      <w:r>
        <w:rPr>
          <w:sz w:val="18"/>
        </w:rPr>
        <w:t>приноса</w:t>
      </w:r>
      <w:r>
        <w:rPr>
          <w:sz w:val="18"/>
          <w:lang w:val="pt-PT"/>
        </w:rPr>
        <w:t xml:space="preserve"> </w:t>
      </w:r>
      <w:r>
        <w:rPr>
          <w:sz w:val="18"/>
        </w:rPr>
        <w:t>на</w:t>
      </w:r>
      <w:r>
        <w:rPr>
          <w:sz w:val="18"/>
          <w:lang w:val="pt-PT"/>
        </w:rPr>
        <w:t xml:space="preserve"> </w:t>
      </w:r>
      <w:r>
        <w:rPr>
          <w:sz w:val="18"/>
        </w:rPr>
        <w:t>ЕФРР</w:t>
      </w:r>
      <w:r>
        <w:rPr>
          <w:sz w:val="18"/>
          <w:lang w:val="pt-PT"/>
        </w:rPr>
        <w:t xml:space="preserve"> </w:t>
      </w:r>
      <w:r>
        <w:rPr>
          <w:sz w:val="18"/>
        </w:rPr>
        <w:t>за</w:t>
      </w:r>
      <w:r>
        <w:rPr>
          <w:sz w:val="18"/>
          <w:lang w:val="pt-PT"/>
        </w:rPr>
        <w:t xml:space="preserve"> </w:t>
      </w:r>
      <w:r>
        <w:rPr>
          <w:sz w:val="18"/>
        </w:rPr>
        <w:t>инициативата</w:t>
      </w:r>
      <w:r>
        <w:rPr>
          <w:sz w:val="18"/>
          <w:lang w:val="pt-PT"/>
        </w:rPr>
        <w:t xml:space="preserve"> </w:t>
      </w:r>
      <w:r>
        <w:rPr>
          <w:sz w:val="18"/>
        </w:rPr>
        <w:t>за</w:t>
      </w:r>
      <w:r>
        <w:rPr>
          <w:sz w:val="18"/>
          <w:lang w:val="pt-PT"/>
        </w:rPr>
        <w:t xml:space="preserve"> </w:t>
      </w:r>
      <w:r>
        <w:rPr>
          <w:sz w:val="18"/>
        </w:rPr>
        <w:t>МСП</w:t>
      </w:r>
      <w:r>
        <w:rPr>
          <w:sz w:val="18"/>
          <w:lang w:val="pt-PT"/>
        </w:rPr>
        <w:t xml:space="preserve"> </w:t>
      </w:r>
      <w:r>
        <w:rPr>
          <w:sz w:val="18"/>
        </w:rPr>
        <w:t>и</w:t>
      </w:r>
      <w:r>
        <w:rPr>
          <w:sz w:val="18"/>
          <w:lang w:val="pt-PT"/>
        </w:rPr>
        <w:t xml:space="preserve"> </w:t>
      </w:r>
      <w:r>
        <w:rPr>
          <w:sz w:val="18"/>
        </w:rPr>
        <w:t>сливането</w:t>
      </w:r>
      <w:r>
        <w:rPr>
          <w:sz w:val="18"/>
          <w:lang w:val="pt-PT"/>
        </w:rPr>
        <w:t xml:space="preserve"> </w:t>
      </w:r>
      <w:r>
        <w:rPr>
          <w:sz w:val="18"/>
        </w:rPr>
        <w:t>на</w:t>
      </w:r>
      <w:r>
        <w:rPr>
          <w:sz w:val="18"/>
          <w:lang w:val="pt-PT"/>
        </w:rPr>
        <w:t xml:space="preserve"> LGTT </w:t>
      </w:r>
      <w:r>
        <w:rPr>
          <w:sz w:val="18"/>
        </w:rPr>
        <w:t>и</w:t>
      </w:r>
      <w:r>
        <w:rPr>
          <w:sz w:val="18"/>
          <w:lang w:val="pt-PT"/>
        </w:rPr>
        <w:t xml:space="preserve"> PBI </w:t>
      </w:r>
      <w:r>
        <w:rPr>
          <w:sz w:val="18"/>
        </w:rPr>
        <w:t>с</w:t>
      </w:r>
      <w:r>
        <w:rPr>
          <w:sz w:val="18"/>
          <w:lang w:val="pt-PT"/>
        </w:rPr>
        <w:t xml:space="preserve"> </w:t>
      </w:r>
      <w:r>
        <w:rPr>
          <w:sz w:val="18"/>
        </w:rPr>
        <w:t>дълговия</w:t>
      </w:r>
      <w:r>
        <w:rPr>
          <w:sz w:val="18"/>
          <w:lang w:val="pt-PT"/>
        </w:rPr>
        <w:t xml:space="preserve"> </w:t>
      </w:r>
      <w:r>
        <w:rPr>
          <w:sz w:val="18"/>
        </w:rPr>
        <w:t>инструмент</w:t>
      </w:r>
      <w:r>
        <w:rPr>
          <w:sz w:val="18"/>
          <w:lang w:val="pt-PT"/>
        </w:rPr>
        <w:t xml:space="preserve"> </w:t>
      </w:r>
      <w:r>
        <w:rPr>
          <w:sz w:val="18"/>
        </w:rPr>
        <w:t>по</w:t>
      </w:r>
      <w:r>
        <w:rPr>
          <w:sz w:val="18"/>
          <w:lang w:val="pt-PT"/>
        </w:rPr>
        <w:t xml:space="preserve"> </w:t>
      </w:r>
      <w:r>
        <w:rPr>
          <w:sz w:val="18"/>
        </w:rPr>
        <w:t>МСЕ</w:t>
      </w:r>
      <w:r>
        <w:rPr>
          <w:sz w:val="18"/>
          <w:lang w:val="pt-PT"/>
        </w:rPr>
        <w:t>.</w:t>
      </w:r>
    </w:p>
  </w:footnote>
  <w:footnote w:id="13">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Например</w:t>
      </w:r>
      <w:r>
        <w:rPr>
          <w:sz w:val="18"/>
          <w:lang w:val="pt-PT"/>
        </w:rPr>
        <w:t xml:space="preserve"> </w:t>
      </w:r>
      <w:r>
        <w:rPr>
          <w:sz w:val="18"/>
        </w:rPr>
        <w:t>до</w:t>
      </w:r>
      <w:r>
        <w:rPr>
          <w:sz w:val="18"/>
          <w:lang w:val="pt-PT"/>
        </w:rPr>
        <w:t xml:space="preserve"> </w:t>
      </w:r>
      <w:r>
        <w:rPr>
          <w:sz w:val="18"/>
        </w:rPr>
        <w:t>края</w:t>
      </w:r>
      <w:r>
        <w:rPr>
          <w:sz w:val="18"/>
          <w:lang w:val="pt-PT"/>
        </w:rPr>
        <w:t xml:space="preserve"> </w:t>
      </w:r>
      <w:r>
        <w:rPr>
          <w:sz w:val="18"/>
        </w:rPr>
        <w:t>на</w:t>
      </w:r>
      <w:r>
        <w:rPr>
          <w:sz w:val="18"/>
          <w:lang w:val="pt-PT"/>
        </w:rPr>
        <w:t xml:space="preserve"> 2016 </w:t>
      </w:r>
      <w:r>
        <w:rPr>
          <w:sz w:val="18"/>
        </w:rPr>
        <w:t>г</w:t>
      </w:r>
      <w:r>
        <w:rPr>
          <w:sz w:val="18"/>
          <w:lang w:val="pt-PT"/>
        </w:rPr>
        <w:t xml:space="preserve">. </w:t>
      </w:r>
      <w:r>
        <w:rPr>
          <w:sz w:val="18"/>
        </w:rPr>
        <w:t>основните</w:t>
      </w:r>
      <w:r>
        <w:rPr>
          <w:sz w:val="18"/>
          <w:lang w:val="pt-PT"/>
        </w:rPr>
        <w:t xml:space="preserve"> </w:t>
      </w:r>
      <w:r>
        <w:rPr>
          <w:sz w:val="18"/>
        </w:rPr>
        <w:t>финансови</w:t>
      </w:r>
      <w:r>
        <w:rPr>
          <w:sz w:val="18"/>
          <w:lang w:val="pt-PT"/>
        </w:rPr>
        <w:t xml:space="preserve"> </w:t>
      </w:r>
      <w:r>
        <w:rPr>
          <w:sz w:val="18"/>
        </w:rPr>
        <w:t>инструменти</w:t>
      </w:r>
      <w:r>
        <w:rPr>
          <w:sz w:val="18"/>
          <w:lang w:val="pt-PT"/>
        </w:rPr>
        <w:t xml:space="preserve"> </w:t>
      </w:r>
      <w:r>
        <w:rPr>
          <w:sz w:val="18"/>
        </w:rPr>
        <w:t>на</w:t>
      </w:r>
      <w:r>
        <w:rPr>
          <w:sz w:val="18"/>
          <w:lang w:val="pt-PT"/>
        </w:rPr>
        <w:t xml:space="preserve"> </w:t>
      </w:r>
      <w:r>
        <w:rPr>
          <w:sz w:val="18"/>
        </w:rPr>
        <w:t>равнището</w:t>
      </w:r>
      <w:r>
        <w:rPr>
          <w:sz w:val="18"/>
          <w:lang w:val="pt-PT"/>
        </w:rPr>
        <w:t xml:space="preserve"> </w:t>
      </w:r>
      <w:r>
        <w:rPr>
          <w:sz w:val="18"/>
        </w:rPr>
        <w:t>на</w:t>
      </w:r>
      <w:r>
        <w:rPr>
          <w:sz w:val="18"/>
          <w:lang w:val="pt-PT"/>
        </w:rPr>
        <w:t xml:space="preserve"> </w:t>
      </w:r>
      <w:r>
        <w:rPr>
          <w:sz w:val="18"/>
        </w:rPr>
        <w:t>ЕС</w:t>
      </w:r>
      <w:r>
        <w:rPr>
          <w:sz w:val="18"/>
          <w:lang w:val="pt-PT"/>
        </w:rPr>
        <w:t xml:space="preserve"> </w:t>
      </w:r>
      <w:r>
        <w:rPr>
          <w:sz w:val="18"/>
        </w:rPr>
        <w:t>за</w:t>
      </w:r>
      <w:r>
        <w:rPr>
          <w:sz w:val="18"/>
          <w:lang w:val="pt-PT"/>
        </w:rPr>
        <w:t xml:space="preserve"> </w:t>
      </w:r>
      <w:r>
        <w:rPr>
          <w:sz w:val="18"/>
        </w:rPr>
        <w:t>периода</w:t>
      </w:r>
      <w:r>
        <w:rPr>
          <w:sz w:val="18"/>
          <w:lang w:val="pt-PT"/>
        </w:rPr>
        <w:t xml:space="preserve"> 2007—2013 </w:t>
      </w:r>
      <w:r>
        <w:rPr>
          <w:sz w:val="18"/>
        </w:rPr>
        <w:t>г</w:t>
      </w:r>
      <w:r>
        <w:rPr>
          <w:sz w:val="18"/>
          <w:lang w:val="pt-PT"/>
        </w:rPr>
        <w:t xml:space="preserve">., </w:t>
      </w:r>
      <w:r>
        <w:rPr>
          <w:sz w:val="18"/>
        </w:rPr>
        <w:t>предназначени</w:t>
      </w:r>
      <w:r>
        <w:rPr>
          <w:sz w:val="18"/>
          <w:lang w:val="pt-PT"/>
        </w:rPr>
        <w:t xml:space="preserve"> </w:t>
      </w:r>
      <w:r>
        <w:rPr>
          <w:sz w:val="18"/>
        </w:rPr>
        <w:t>за</w:t>
      </w:r>
      <w:r>
        <w:rPr>
          <w:sz w:val="18"/>
          <w:lang w:val="pt-PT"/>
        </w:rPr>
        <w:t xml:space="preserve"> </w:t>
      </w:r>
      <w:r>
        <w:rPr>
          <w:sz w:val="18"/>
        </w:rPr>
        <w:t>подкрепа</w:t>
      </w:r>
      <w:r>
        <w:rPr>
          <w:sz w:val="18"/>
          <w:lang w:val="pt-PT"/>
        </w:rPr>
        <w:t xml:space="preserve"> </w:t>
      </w:r>
      <w:r>
        <w:rPr>
          <w:sz w:val="18"/>
        </w:rPr>
        <w:t>на</w:t>
      </w:r>
      <w:r>
        <w:rPr>
          <w:sz w:val="18"/>
          <w:lang w:val="pt-PT"/>
        </w:rPr>
        <w:t xml:space="preserve"> </w:t>
      </w:r>
      <w:r>
        <w:rPr>
          <w:sz w:val="18"/>
        </w:rPr>
        <w:t>МСП</w:t>
      </w:r>
      <w:r>
        <w:rPr>
          <w:sz w:val="18"/>
          <w:lang w:val="pt-PT"/>
        </w:rPr>
        <w:t xml:space="preserve"> (CIP-GIF, CIP-SMEG 07 </w:t>
      </w:r>
      <w:r>
        <w:rPr>
          <w:sz w:val="18"/>
        </w:rPr>
        <w:t>и</w:t>
      </w:r>
      <w:r>
        <w:rPr>
          <w:sz w:val="18"/>
          <w:lang w:val="pt-PT"/>
        </w:rPr>
        <w:t xml:space="preserve"> RSI) </w:t>
      </w:r>
      <w:r>
        <w:rPr>
          <w:sz w:val="18"/>
        </w:rPr>
        <w:t>и</w:t>
      </w:r>
      <w:r>
        <w:rPr>
          <w:sz w:val="18"/>
          <w:lang w:val="pt-PT"/>
        </w:rPr>
        <w:t xml:space="preserve"> </w:t>
      </w:r>
      <w:r>
        <w:rPr>
          <w:sz w:val="18"/>
        </w:rPr>
        <w:t>за</w:t>
      </w:r>
      <w:r>
        <w:rPr>
          <w:sz w:val="18"/>
          <w:lang w:val="pt-PT"/>
        </w:rPr>
        <w:t xml:space="preserve"> </w:t>
      </w:r>
      <w:r>
        <w:rPr>
          <w:sz w:val="18"/>
        </w:rPr>
        <w:t>подпомагане</w:t>
      </w:r>
      <w:r>
        <w:rPr>
          <w:sz w:val="18"/>
          <w:lang w:val="pt-PT"/>
        </w:rPr>
        <w:t xml:space="preserve"> </w:t>
      </w:r>
      <w:r>
        <w:rPr>
          <w:sz w:val="18"/>
        </w:rPr>
        <w:t>на</w:t>
      </w:r>
      <w:r>
        <w:rPr>
          <w:sz w:val="18"/>
          <w:lang w:val="pt-PT"/>
        </w:rPr>
        <w:t xml:space="preserve"> </w:t>
      </w:r>
      <w:r>
        <w:rPr>
          <w:sz w:val="18"/>
        </w:rPr>
        <w:t>микропредприятията</w:t>
      </w:r>
      <w:r>
        <w:rPr>
          <w:sz w:val="18"/>
          <w:lang w:val="pt-PT"/>
        </w:rPr>
        <w:t xml:space="preserve"> </w:t>
      </w:r>
      <w:r>
        <w:rPr>
          <w:sz w:val="18"/>
        </w:rPr>
        <w:t>и</w:t>
      </w:r>
      <w:r>
        <w:rPr>
          <w:sz w:val="18"/>
          <w:lang w:val="pt-PT"/>
        </w:rPr>
        <w:t xml:space="preserve"> </w:t>
      </w:r>
      <w:r>
        <w:rPr>
          <w:sz w:val="18"/>
        </w:rPr>
        <w:t>самостоятелно</w:t>
      </w:r>
      <w:r>
        <w:rPr>
          <w:sz w:val="18"/>
          <w:lang w:val="pt-PT"/>
        </w:rPr>
        <w:t xml:space="preserve"> </w:t>
      </w:r>
      <w:r>
        <w:rPr>
          <w:sz w:val="18"/>
        </w:rPr>
        <w:t>заетите</w:t>
      </w:r>
      <w:r>
        <w:rPr>
          <w:sz w:val="18"/>
          <w:lang w:val="pt-PT"/>
        </w:rPr>
        <w:t xml:space="preserve"> </w:t>
      </w:r>
      <w:r>
        <w:rPr>
          <w:sz w:val="18"/>
        </w:rPr>
        <w:t>лица</w:t>
      </w:r>
      <w:r>
        <w:rPr>
          <w:sz w:val="18"/>
          <w:lang w:val="pt-PT"/>
        </w:rPr>
        <w:t xml:space="preserve"> (EPMF), </w:t>
      </w:r>
      <w:r>
        <w:rPr>
          <w:sz w:val="18"/>
        </w:rPr>
        <w:t>финансирани</w:t>
      </w:r>
      <w:r>
        <w:rPr>
          <w:sz w:val="18"/>
          <w:lang w:val="pt-PT"/>
        </w:rPr>
        <w:t xml:space="preserve"> </w:t>
      </w:r>
      <w:r>
        <w:rPr>
          <w:sz w:val="18"/>
        </w:rPr>
        <w:t>с</w:t>
      </w:r>
      <w:r>
        <w:rPr>
          <w:sz w:val="18"/>
          <w:lang w:val="pt-PT"/>
        </w:rPr>
        <w:t xml:space="preserve"> </w:t>
      </w:r>
      <w:r>
        <w:rPr>
          <w:sz w:val="18"/>
        </w:rPr>
        <w:t>общ</w:t>
      </w:r>
      <w:r>
        <w:rPr>
          <w:sz w:val="18"/>
          <w:lang w:val="pt-PT"/>
        </w:rPr>
        <w:t xml:space="preserve"> </w:t>
      </w:r>
      <w:r>
        <w:rPr>
          <w:sz w:val="18"/>
        </w:rPr>
        <w:t>бюджетен</w:t>
      </w:r>
      <w:r>
        <w:rPr>
          <w:sz w:val="18"/>
          <w:lang w:val="pt-PT"/>
        </w:rPr>
        <w:t xml:space="preserve"> </w:t>
      </w:r>
      <w:r>
        <w:rPr>
          <w:sz w:val="18"/>
        </w:rPr>
        <w:t>принос</w:t>
      </w:r>
      <w:r>
        <w:rPr>
          <w:sz w:val="18"/>
          <w:lang w:val="pt-PT"/>
        </w:rPr>
        <w:t xml:space="preserve"> </w:t>
      </w:r>
      <w:r>
        <w:rPr>
          <w:sz w:val="18"/>
        </w:rPr>
        <w:t>от</w:t>
      </w:r>
      <w:r>
        <w:rPr>
          <w:sz w:val="18"/>
          <w:lang w:val="pt-PT"/>
        </w:rPr>
        <w:t xml:space="preserve"> </w:t>
      </w:r>
      <w:r>
        <w:rPr>
          <w:sz w:val="18"/>
        </w:rPr>
        <w:t>по</w:t>
      </w:r>
      <w:r>
        <w:rPr>
          <w:sz w:val="18"/>
          <w:lang w:val="pt-PT"/>
        </w:rPr>
        <w:t>-</w:t>
      </w:r>
      <w:r>
        <w:rPr>
          <w:sz w:val="18"/>
        </w:rPr>
        <w:t>малко</w:t>
      </w:r>
      <w:r>
        <w:rPr>
          <w:sz w:val="18"/>
          <w:lang w:val="pt-PT"/>
        </w:rPr>
        <w:t xml:space="preserve"> </w:t>
      </w:r>
      <w:r>
        <w:rPr>
          <w:sz w:val="18"/>
        </w:rPr>
        <w:t>от</w:t>
      </w:r>
      <w:r>
        <w:rPr>
          <w:sz w:val="18"/>
          <w:lang w:val="pt-PT"/>
        </w:rPr>
        <w:t xml:space="preserve"> 1,6 </w:t>
      </w:r>
      <w:r>
        <w:t>милиарда</w:t>
      </w:r>
      <w:r>
        <w:rPr>
          <w:lang w:val="pt-PT"/>
        </w:rPr>
        <w:t xml:space="preserve"> </w:t>
      </w:r>
      <w:r>
        <w:t>евро</w:t>
      </w:r>
      <w:r>
        <w:rPr>
          <w:lang w:val="pt-PT"/>
        </w:rPr>
        <w:t xml:space="preserve">, </w:t>
      </w:r>
      <w:r>
        <w:t>подкрепиха</w:t>
      </w:r>
      <w:r>
        <w:rPr>
          <w:lang w:val="pt-PT"/>
        </w:rPr>
        <w:t xml:space="preserve"> </w:t>
      </w:r>
      <w:r>
        <w:t>предоставянето</w:t>
      </w:r>
      <w:r>
        <w:rPr>
          <w:lang w:val="pt-PT"/>
        </w:rPr>
        <w:t xml:space="preserve"> </w:t>
      </w:r>
      <w:r>
        <w:t>на</w:t>
      </w:r>
      <w:r>
        <w:rPr>
          <w:lang w:val="pt-PT"/>
        </w:rPr>
        <w:t xml:space="preserve"> </w:t>
      </w:r>
      <w:r>
        <w:t>заеми</w:t>
      </w:r>
      <w:r>
        <w:rPr>
          <w:lang w:val="pt-PT"/>
        </w:rPr>
        <w:t xml:space="preserve"> </w:t>
      </w:r>
      <w:r>
        <w:t>в</w:t>
      </w:r>
      <w:r>
        <w:rPr>
          <w:lang w:val="pt-PT"/>
        </w:rPr>
        <w:t xml:space="preserve"> </w:t>
      </w:r>
      <w:r>
        <w:t>размер</w:t>
      </w:r>
      <w:r>
        <w:rPr>
          <w:lang w:val="pt-PT"/>
        </w:rPr>
        <w:t xml:space="preserve"> </w:t>
      </w:r>
      <w:r>
        <w:t>на</w:t>
      </w:r>
      <w:r>
        <w:rPr>
          <w:lang w:val="pt-PT"/>
        </w:rPr>
        <w:t xml:space="preserve"> </w:t>
      </w:r>
      <w:r>
        <w:t>почти</w:t>
      </w:r>
      <w:r>
        <w:rPr>
          <w:lang w:val="pt-PT"/>
        </w:rPr>
        <w:t xml:space="preserve"> 23 </w:t>
      </w:r>
      <w:r>
        <w:t>милиарда</w:t>
      </w:r>
      <w:r>
        <w:rPr>
          <w:lang w:val="pt-PT"/>
        </w:rPr>
        <w:t xml:space="preserve"> </w:t>
      </w:r>
      <w:r>
        <w:t>евро</w:t>
      </w:r>
      <w:r>
        <w:rPr>
          <w:lang w:val="pt-PT"/>
        </w:rPr>
        <w:t xml:space="preserve"> </w:t>
      </w:r>
      <w:r>
        <w:t>и</w:t>
      </w:r>
      <w:r>
        <w:rPr>
          <w:lang w:val="pt-PT"/>
        </w:rPr>
        <w:t xml:space="preserve"> </w:t>
      </w:r>
      <w:r>
        <w:t>мобилизираха</w:t>
      </w:r>
      <w:r>
        <w:rPr>
          <w:lang w:val="pt-PT"/>
        </w:rPr>
        <w:t xml:space="preserve"> </w:t>
      </w:r>
      <w:r>
        <w:t>капиталови</w:t>
      </w:r>
      <w:r>
        <w:rPr>
          <w:lang w:val="pt-PT"/>
        </w:rPr>
        <w:t xml:space="preserve"> </w:t>
      </w:r>
      <w:r>
        <w:t>инвестиции</w:t>
      </w:r>
      <w:r>
        <w:rPr>
          <w:lang w:val="pt-PT"/>
        </w:rPr>
        <w:t xml:space="preserve"> </w:t>
      </w:r>
      <w:r>
        <w:t>от</w:t>
      </w:r>
      <w:r>
        <w:rPr>
          <w:lang w:val="pt-PT"/>
        </w:rPr>
        <w:t xml:space="preserve"> </w:t>
      </w:r>
      <w:r>
        <w:t>над</w:t>
      </w:r>
      <w:r>
        <w:rPr>
          <w:lang w:val="pt-PT"/>
        </w:rPr>
        <w:t xml:space="preserve"> 1,2 </w:t>
      </w:r>
      <w:r>
        <w:t>милиарда</w:t>
      </w:r>
      <w:r>
        <w:rPr>
          <w:lang w:val="pt-PT"/>
        </w:rPr>
        <w:t xml:space="preserve"> </w:t>
      </w:r>
      <w:r>
        <w:t>евро</w:t>
      </w:r>
      <w:r>
        <w:rPr>
          <w:lang w:val="pt-PT"/>
        </w:rPr>
        <w:t xml:space="preserve">, </w:t>
      </w:r>
      <w:r>
        <w:t>като</w:t>
      </w:r>
      <w:r>
        <w:rPr>
          <w:lang w:val="pt-PT"/>
        </w:rPr>
        <w:t xml:space="preserve"> </w:t>
      </w:r>
      <w:r>
        <w:t>подобриха</w:t>
      </w:r>
      <w:r>
        <w:rPr>
          <w:lang w:val="pt-PT"/>
        </w:rPr>
        <w:t xml:space="preserve"> </w:t>
      </w:r>
      <w:r>
        <w:t>достъпа</w:t>
      </w:r>
      <w:r>
        <w:rPr>
          <w:lang w:val="pt-PT"/>
        </w:rPr>
        <w:t xml:space="preserve"> </w:t>
      </w:r>
      <w:r>
        <w:t>до</w:t>
      </w:r>
      <w:r>
        <w:rPr>
          <w:lang w:val="pt-PT"/>
        </w:rPr>
        <w:t xml:space="preserve"> </w:t>
      </w:r>
      <w:r>
        <w:t>финансиране</w:t>
      </w:r>
      <w:r>
        <w:rPr>
          <w:lang w:val="pt-PT"/>
        </w:rPr>
        <w:t xml:space="preserve"> </w:t>
      </w:r>
      <w:r>
        <w:t>за</w:t>
      </w:r>
      <w:r>
        <w:rPr>
          <w:lang w:val="pt-PT"/>
        </w:rPr>
        <w:t xml:space="preserve"> </w:t>
      </w:r>
      <w:r>
        <w:t>над</w:t>
      </w:r>
      <w:r>
        <w:rPr>
          <w:lang w:val="pt-PT"/>
        </w:rPr>
        <w:t xml:space="preserve"> 400 000 </w:t>
      </w:r>
      <w:r>
        <w:t>МСП</w:t>
      </w:r>
      <w:r>
        <w:rPr>
          <w:lang w:val="pt-PT"/>
        </w:rPr>
        <w:t>.</w:t>
      </w:r>
    </w:p>
  </w:footnote>
  <w:footnote w:id="14">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Регламент</w:t>
      </w:r>
      <w:r>
        <w:rPr>
          <w:sz w:val="18"/>
          <w:lang w:val="pt-PT"/>
        </w:rPr>
        <w:t> (</w:t>
      </w:r>
      <w:r>
        <w:rPr>
          <w:sz w:val="18"/>
        </w:rPr>
        <w:t>ЕС</w:t>
      </w:r>
      <w:r>
        <w:rPr>
          <w:sz w:val="18"/>
          <w:lang w:val="pt-PT"/>
        </w:rPr>
        <w:t xml:space="preserve">) 2015/1017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w:t>
      </w:r>
      <w:r>
        <w:rPr>
          <w:sz w:val="18"/>
        </w:rPr>
        <w:t>вета</w:t>
      </w:r>
      <w:r>
        <w:rPr>
          <w:sz w:val="18"/>
          <w:lang w:val="pt-PT"/>
        </w:rPr>
        <w:t xml:space="preserve"> </w:t>
      </w:r>
      <w:r>
        <w:rPr>
          <w:sz w:val="18"/>
        </w:rPr>
        <w:t>от</w:t>
      </w:r>
      <w:r>
        <w:rPr>
          <w:sz w:val="18"/>
          <w:lang w:val="pt-PT"/>
        </w:rPr>
        <w:t xml:space="preserve"> 25 </w:t>
      </w:r>
      <w:r>
        <w:rPr>
          <w:sz w:val="18"/>
        </w:rPr>
        <w:t>юни</w:t>
      </w:r>
      <w:r>
        <w:rPr>
          <w:sz w:val="18"/>
          <w:lang w:val="pt-PT"/>
        </w:rPr>
        <w:t xml:space="preserve"> 2015 </w:t>
      </w:r>
      <w:r>
        <w:rPr>
          <w:sz w:val="18"/>
        </w:rPr>
        <w:t>г</w:t>
      </w:r>
      <w:r>
        <w:rPr>
          <w:sz w:val="18"/>
          <w:lang w:val="pt-PT"/>
        </w:rPr>
        <w:t xml:space="preserve">. </w:t>
      </w:r>
      <w:r>
        <w:rPr>
          <w:sz w:val="18"/>
        </w:rPr>
        <w:t>за</w:t>
      </w:r>
      <w:r>
        <w:rPr>
          <w:sz w:val="18"/>
          <w:lang w:val="pt-PT"/>
        </w:rPr>
        <w:t xml:space="preserve"> </w:t>
      </w:r>
      <w:r>
        <w:rPr>
          <w:sz w:val="18"/>
        </w:rPr>
        <w:t>Европейския</w:t>
      </w:r>
      <w:r>
        <w:rPr>
          <w:sz w:val="18"/>
          <w:lang w:val="pt-PT"/>
        </w:rPr>
        <w:t xml:space="preserve"> </w:t>
      </w:r>
      <w:r>
        <w:rPr>
          <w:sz w:val="18"/>
        </w:rPr>
        <w:t>фонд</w:t>
      </w:r>
      <w:r>
        <w:rPr>
          <w:sz w:val="18"/>
          <w:lang w:val="pt-PT"/>
        </w:rPr>
        <w:t xml:space="preserve"> </w:t>
      </w:r>
      <w:r>
        <w:rPr>
          <w:sz w:val="18"/>
        </w:rPr>
        <w:t>за</w:t>
      </w:r>
      <w:r>
        <w:rPr>
          <w:sz w:val="18"/>
          <w:lang w:val="pt-PT"/>
        </w:rPr>
        <w:t xml:space="preserve"> </w:t>
      </w:r>
      <w:r>
        <w:rPr>
          <w:sz w:val="18"/>
        </w:rPr>
        <w:t>стратегически</w:t>
      </w:r>
      <w:r>
        <w:rPr>
          <w:sz w:val="18"/>
          <w:lang w:val="pt-PT"/>
        </w:rPr>
        <w:t xml:space="preserve"> </w:t>
      </w:r>
      <w:r>
        <w:rPr>
          <w:sz w:val="18"/>
        </w:rPr>
        <w:t>инвестиции</w:t>
      </w:r>
      <w:r>
        <w:rPr>
          <w:sz w:val="18"/>
          <w:lang w:val="pt-PT"/>
        </w:rPr>
        <w:t xml:space="preserve">, </w:t>
      </w:r>
      <w:r>
        <w:rPr>
          <w:sz w:val="18"/>
        </w:rPr>
        <w:t>Европейския</w:t>
      </w:r>
      <w:r>
        <w:rPr>
          <w:sz w:val="18"/>
          <w:lang w:val="pt-PT"/>
        </w:rPr>
        <w:t xml:space="preserve"> </w:t>
      </w:r>
      <w:r>
        <w:rPr>
          <w:sz w:val="18"/>
        </w:rPr>
        <w:t>консултантски</w:t>
      </w:r>
      <w:r>
        <w:rPr>
          <w:sz w:val="18"/>
          <w:lang w:val="pt-PT"/>
        </w:rPr>
        <w:t xml:space="preserve"> </w:t>
      </w:r>
      <w:r>
        <w:rPr>
          <w:sz w:val="18"/>
        </w:rPr>
        <w:t>център</w:t>
      </w:r>
      <w:r>
        <w:rPr>
          <w:sz w:val="18"/>
          <w:lang w:val="pt-PT"/>
        </w:rPr>
        <w:t xml:space="preserve"> </w:t>
      </w:r>
      <w:r>
        <w:rPr>
          <w:sz w:val="18"/>
        </w:rPr>
        <w:t>по</w:t>
      </w:r>
      <w:r>
        <w:rPr>
          <w:sz w:val="18"/>
          <w:lang w:val="pt-PT"/>
        </w:rPr>
        <w:t xml:space="preserve"> </w:t>
      </w:r>
      <w:r>
        <w:rPr>
          <w:sz w:val="18"/>
        </w:rPr>
        <w:t>инвестиционни</w:t>
      </w:r>
      <w:r>
        <w:rPr>
          <w:sz w:val="18"/>
          <w:lang w:val="pt-PT"/>
        </w:rPr>
        <w:t xml:space="preserve"> </w:t>
      </w:r>
      <w:r>
        <w:rPr>
          <w:sz w:val="18"/>
        </w:rPr>
        <w:t>въпроси</w:t>
      </w:r>
      <w:r>
        <w:rPr>
          <w:sz w:val="18"/>
          <w:lang w:val="pt-PT"/>
        </w:rPr>
        <w:t xml:space="preserve"> </w:t>
      </w:r>
      <w:r>
        <w:rPr>
          <w:sz w:val="18"/>
        </w:rPr>
        <w:t>и</w:t>
      </w:r>
      <w:r>
        <w:rPr>
          <w:sz w:val="18"/>
          <w:lang w:val="pt-PT"/>
        </w:rPr>
        <w:t xml:space="preserve"> </w:t>
      </w:r>
      <w:r>
        <w:rPr>
          <w:sz w:val="18"/>
        </w:rPr>
        <w:t>Европейския</w:t>
      </w:r>
      <w:r>
        <w:rPr>
          <w:sz w:val="18"/>
          <w:lang w:val="pt-PT"/>
        </w:rPr>
        <w:t xml:space="preserve"> </w:t>
      </w:r>
      <w:r>
        <w:rPr>
          <w:sz w:val="18"/>
        </w:rPr>
        <w:t>портал</w:t>
      </w:r>
      <w:r>
        <w:rPr>
          <w:sz w:val="18"/>
          <w:lang w:val="pt-PT"/>
        </w:rPr>
        <w:t xml:space="preserve"> </w:t>
      </w:r>
      <w:r>
        <w:rPr>
          <w:sz w:val="18"/>
        </w:rPr>
        <w:t>за</w:t>
      </w:r>
      <w:r>
        <w:rPr>
          <w:sz w:val="18"/>
          <w:lang w:val="pt-PT"/>
        </w:rPr>
        <w:t xml:space="preserve"> </w:t>
      </w:r>
      <w:r>
        <w:rPr>
          <w:sz w:val="18"/>
        </w:rPr>
        <w:t>инвестиционни</w:t>
      </w:r>
      <w:r>
        <w:rPr>
          <w:sz w:val="18"/>
          <w:lang w:val="pt-PT"/>
        </w:rPr>
        <w:t xml:space="preserve"> </w:t>
      </w:r>
      <w:r>
        <w:rPr>
          <w:sz w:val="18"/>
        </w:rPr>
        <w:t>проекти</w:t>
      </w:r>
      <w:r>
        <w:rPr>
          <w:sz w:val="18"/>
          <w:lang w:val="pt-PT"/>
        </w:rPr>
        <w:t xml:space="preserve"> </w:t>
      </w:r>
      <w:r>
        <w:rPr>
          <w:sz w:val="18"/>
        </w:rPr>
        <w:t>и</w:t>
      </w:r>
      <w:r>
        <w:rPr>
          <w:sz w:val="18"/>
          <w:lang w:val="pt-PT"/>
        </w:rPr>
        <w:t xml:space="preserve"> </w:t>
      </w:r>
      <w:r>
        <w:rPr>
          <w:sz w:val="18"/>
        </w:rPr>
        <w:t>за</w:t>
      </w:r>
      <w:r>
        <w:rPr>
          <w:sz w:val="18"/>
          <w:lang w:val="pt-PT"/>
        </w:rPr>
        <w:t xml:space="preserve"> </w:t>
      </w:r>
      <w:r>
        <w:rPr>
          <w:sz w:val="18"/>
        </w:rPr>
        <w:t>изменение</w:t>
      </w:r>
      <w:r>
        <w:rPr>
          <w:sz w:val="18"/>
          <w:lang w:val="pt-PT"/>
        </w:rPr>
        <w:t xml:space="preserve"> </w:t>
      </w:r>
      <w:r>
        <w:rPr>
          <w:sz w:val="18"/>
        </w:rPr>
        <w:t>на</w:t>
      </w:r>
      <w:r>
        <w:rPr>
          <w:sz w:val="18"/>
          <w:lang w:val="pt-PT"/>
        </w:rPr>
        <w:t xml:space="preserve"> </w:t>
      </w:r>
      <w:r>
        <w:rPr>
          <w:sz w:val="18"/>
        </w:rPr>
        <w:t>регламенти</w:t>
      </w:r>
      <w:r>
        <w:rPr>
          <w:sz w:val="18"/>
          <w:lang w:val="pt-PT"/>
        </w:rPr>
        <w:t xml:space="preserve"> (</w:t>
      </w:r>
      <w:r>
        <w:rPr>
          <w:sz w:val="18"/>
        </w:rPr>
        <w:t>ЕС</w:t>
      </w:r>
      <w:r>
        <w:rPr>
          <w:sz w:val="18"/>
          <w:lang w:val="pt-PT"/>
        </w:rPr>
        <w:t xml:space="preserve">) № 1291/2013 </w:t>
      </w:r>
      <w:r>
        <w:rPr>
          <w:sz w:val="18"/>
        </w:rPr>
        <w:t>и</w:t>
      </w:r>
      <w:r>
        <w:rPr>
          <w:sz w:val="18"/>
          <w:lang w:val="pt-PT"/>
        </w:rPr>
        <w:t xml:space="preserve"> (</w:t>
      </w:r>
      <w:r>
        <w:rPr>
          <w:sz w:val="18"/>
        </w:rPr>
        <w:t>ЕС</w:t>
      </w:r>
      <w:r>
        <w:rPr>
          <w:sz w:val="18"/>
          <w:lang w:val="pt-PT"/>
        </w:rPr>
        <w:t xml:space="preserve">) № 1316/2013 — </w:t>
      </w:r>
      <w:r>
        <w:rPr>
          <w:sz w:val="18"/>
        </w:rPr>
        <w:t>Европейски</w:t>
      </w:r>
      <w:r>
        <w:rPr>
          <w:sz w:val="18"/>
          <w:lang w:val="pt-PT"/>
        </w:rPr>
        <w:t xml:space="preserve"> </w:t>
      </w:r>
      <w:r>
        <w:rPr>
          <w:sz w:val="18"/>
        </w:rPr>
        <w:t>фонд</w:t>
      </w:r>
      <w:r>
        <w:rPr>
          <w:sz w:val="18"/>
          <w:lang w:val="pt-PT"/>
        </w:rPr>
        <w:t xml:space="preserve"> </w:t>
      </w:r>
      <w:r>
        <w:rPr>
          <w:sz w:val="18"/>
        </w:rPr>
        <w:t>за</w:t>
      </w:r>
      <w:r>
        <w:rPr>
          <w:sz w:val="18"/>
          <w:lang w:val="pt-PT"/>
        </w:rPr>
        <w:t xml:space="preserve"> </w:t>
      </w:r>
      <w:r>
        <w:rPr>
          <w:sz w:val="18"/>
        </w:rPr>
        <w:t>стратегически</w:t>
      </w:r>
      <w:r>
        <w:rPr>
          <w:sz w:val="18"/>
          <w:lang w:val="pt-PT"/>
        </w:rPr>
        <w:t xml:space="preserve"> </w:t>
      </w:r>
      <w:r>
        <w:rPr>
          <w:sz w:val="18"/>
        </w:rPr>
        <w:t>инвестиции</w:t>
      </w:r>
      <w:r>
        <w:rPr>
          <w:sz w:val="18"/>
          <w:lang w:val="pt-PT"/>
        </w:rPr>
        <w:t xml:space="preserve">, </w:t>
      </w:r>
      <w:r>
        <w:rPr>
          <w:sz w:val="18"/>
        </w:rPr>
        <w:t>ОВ</w:t>
      </w:r>
      <w:r>
        <w:rPr>
          <w:sz w:val="18"/>
          <w:lang w:val="pt-PT"/>
        </w:rPr>
        <w:t xml:space="preserve"> L 169, 1.7.2015 </w:t>
      </w:r>
      <w:r>
        <w:rPr>
          <w:sz w:val="18"/>
        </w:rPr>
        <w:t>г</w:t>
      </w:r>
      <w:r>
        <w:rPr>
          <w:sz w:val="18"/>
          <w:lang w:val="pt-PT"/>
        </w:rPr>
        <w:t xml:space="preserve">., </w:t>
      </w:r>
      <w:r>
        <w:rPr>
          <w:sz w:val="18"/>
        </w:rPr>
        <w:t>стр</w:t>
      </w:r>
      <w:r>
        <w:rPr>
          <w:sz w:val="18"/>
          <w:lang w:val="pt-PT"/>
        </w:rPr>
        <w:t>. 1.</w:t>
      </w:r>
    </w:p>
  </w:footnote>
  <w:footnote w:id="15">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Докато</w:t>
      </w:r>
      <w:r>
        <w:rPr>
          <w:sz w:val="18"/>
          <w:lang w:val="pt-PT"/>
        </w:rPr>
        <w:t xml:space="preserve"> </w:t>
      </w:r>
      <w:r>
        <w:rPr>
          <w:sz w:val="18"/>
        </w:rPr>
        <w:t>ЕФСИ</w:t>
      </w:r>
      <w:r>
        <w:rPr>
          <w:sz w:val="18"/>
          <w:lang w:val="pt-PT"/>
        </w:rPr>
        <w:t xml:space="preserve"> </w:t>
      </w:r>
      <w:r>
        <w:rPr>
          <w:sz w:val="18"/>
        </w:rPr>
        <w:t>подлежи</w:t>
      </w:r>
      <w:r>
        <w:rPr>
          <w:sz w:val="18"/>
          <w:lang w:val="pt-PT"/>
        </w:rPr>
        <w:t xml:space="preserve"> </w:t>
      </w:r>
      <w:r>
        <w:rPr>
          <w:sz w:val="18"/>
        </w:rPr>
        <w:t>на</w:t>
      </w:r>
      <w:r>
        <w:rPr>
          <w:sz w:val="18"/>
          <w:lang w:val="pt-PT"/>
        </w:rPr>
        <w:t xml:space="preserve"> </w:t>
      </w:r>
      <w:r>
        <w:rPr>
          <w:sz w:val="18"/>
        </w:rPr>
        <w:t>специални</w:t>
      </w:r>
      <w:r>
        <w:rPr>
          <w:sz w:val="18"/>
          <w:lang w:val="pt-PT"/>
        </w:rPr>
        <w:t xml:space="preserve"> </w:t>
      </w:r>
      <w:r>
        <w:rPr>
          <w:sz w:val="18"/>
        </w:rPr>
        <w:t>процедури</w:t>
      </w:r>
      <w:r>
        <w:rPr>
          <w:sz w:val="18"/>
          <w:lang w:val="pt-PT"/>
        </w:rPr>
        <w:t xml:space="preserve"> </w:t>
      </w:r>
      <w:r>
        <w:rPr>
          <w:sz w:val="18"/>
        </w:rPr>
        <w:t>за</w:t>
      </w:r>
      <w:r>
        <w:rPr>
          <w:sz w:val="18"/>
          <w:lang w:val="pt-PT"/>
        </w:rPr>
        <w:t xml:space="preserve"> </w:t>
      </w:r>
      <w:r>
        <w:rPr>
          <w:sz w:val="18"/>
        </w:rPr>
        <w:t>отчетност</w:t>
      </w:r>
      <w:r>
        <w:rPr>
          <w:sz w:val="18"/>
          <w:lang w:val="pt-PT"/>
        </w:rPr>
        <w:t xml:space="preserve">, </w:t>
      </w:r>
      <w:r>
        <w:rPr>
          <w:sz w:val="18"/>
        </w:rPr>
        <w:t>определени</w:t>
      </w:r>
      <w:r>
        <w:rPr>
          <w:sz w:val="18"/>
          <w:lang w:val="pt-PT"/>
        </w:rPr>
        <w:t xml:space="preserve"> </w:t>
      </w:r>
      <w:r>
        <w:rPr>
          <w:sz w:val="18"/>
        </w:rPr>
        <w:t>в</w:t>
      </w:r>
      <w:r>
        <w:rPr>
          <w:sz w:val="18"/>
          <w:lang w:val="pt-PT"/>
        </w:rPr>
        <w:t xml:space="preserve"> </w:t>
      </w:r>
      <w:r>
        <w:rPr>
          <w:sz w:val="18"/>
        </w:rPr>
        <w:t>регламента</w:t>
      </w:r>
      <w:r>
        <w:rPr>
          <w:sz w:val="18"/>
          <w:lang w:val="pt-PT"/>
        </w:rPr>
        <w:t xml:space="preserve"> </w:t>
      </w:r>
      <w:r>
        <w:rPr>
          <w:sz w:val="18"/>
        </w:rPr>
        <w:t>за</w:t>
      </w:r>
      <w:r>
        <w:rPr>
          <w:sz w:val="18"/>
          <w:lang w:val="pt-PT"/>
        </w:rPr>
        <w:t xml:space="preserve"> </w:t>
      </w:r>
      <w:r>
        <w:rPr>
          <w:sz w:val="18"/>
        </w:rPr>
        <w:t>ЕФСИ</w:t>
      </w:r>
      <w:r>
        <w:rPr>
          <w:sz w:val="18"/>
          <w:lang w:val="pt-PT"/>
        </w:rPr>
        <w:t xml:space="preserve">, </w:t>
      </w:r>
      <w:r>
        <w:rPr>
          <w:sz w:val="18"/>
        </w:rPr>
        <w:t>настоящият</w:t>
      </w:r>
      <w:r>
        <w:rPr>
          <w:sz w:val="18"/>
          <w:lang w:val="pt-PT"/>
        </w:rPr>
        <w:t xml:space="preserve"> </w:t>
      </w:r>
      <w:r>
        <w:rPr>
          <w:sz w:val="18"/>
        </w:rPr>
        <w:t>доклад</w:t>
      </w:r>
      <w:r>
        <w:rPr>
          <w:sz w:val="18"/>
          <w:lang w:val="pt-PT"/>
        </w:rPr>
        <w:t xml:space="preserve"> </w:t>
      </w:r>
      <w:r>
        <w:rPr>
          <w:sz w:val="18"/>
        </w:rPr>
        <w:t>включва</w:t>
      </w:r>
      <w:r>
        <w:rPr>
          <w:sz w:val="18"/>
          <w:lang w:val="pt-PT"/>
        </w:rPr>
        <w:t xml:space="preserve">, </w:t>
      </w:r>
      <w:r>
        <w:rPr>
          <w:sz w:val="18"/>
        </w:rPr>
        <w:t>в</w:t>
      </w:r>
      <w:r>
        <w:rPr>
          <w:sz w:val="18"/>
          <w:lang w:val="pt-PT"/>
        </w:rPr>
        <w:t xml:space="preserve"> </w:t>
      </w:r>
      <w:r>
        <w:rPr>
          <w:sz w:val="18"/>
        </w:rPr>
        <w:t>работния</w:t>
      </w:r>
      <w:r>
        <w:rPr>
          <w:sz w:val="18"/>
          <w:lang w:val="pt-PT"/>
        </w:rPr>
        <w:t xml:space="preserve"> </w:t>
      </w:r>
      <w:r>
        <w:rPr>
          <w:sz w:val="18"/>
        </w:rPr>
        <w:t>документ</w:t>
      </w:r>
      <w:r>
        <w:rPr>
          <w:sz w:val="18"/>
          <w:lang w:val="pt-PT"/>
        </w:rPr>
        <w:t xml:space="preserve"> </w:t>
      </w:r>
      <w:r>
        <w:rPr>
          <w:sz w:val="18"/>
        </w:rPr>
        <w:t>на</w:t>
      </w:r>
      <w:r>
        <w:rPr>
          <w:sz w:val="18"/>
          <w:lang w:val="pt-PT"/>
        </w:rPr>
        <w:t xml:space="preserve"> </w:t>
      </w:r>
      <w:r>
        <w:rPr>
          <w:sz w:val="18"/>
        </w:rPr>
        <w:t>службите</w:t>
      </w:r>
      <w:r>
        <w:rPr>
          <w:sz w:val="18"/>
          <w:lang w:val="pt-PT"/>
        </w:rPr>
        <w:t xml:space="preserve"> </w:t>
      </w:r>
      <w:r>
        <w:rPr>
          <w:sz w:val="18"/>
        </w:rPr>
        <w:t>на</w:t>
      </w:r>
      <w:r>
        <w:rPr>
          <w:sz w:val="18"/>
          <w:lang w:val="pt-PT"/>
        </w:rPr>
        <w:t xml:space="preserve"> </w:t>
      </w:r>
      <w:r>
        <w:rPr>
          <w:sz w:val="18"/>
        </w:rPr>
        <w:t>Комисията</w:t>
      </w:r>
      <w:r>
        <w:rPr>
          <w:sz w:val="18"/>
          <w:lang w:val="pt-PT"/>
        </w:rPr>
        <w:t xml:space="preserve">, </w:t>
      </w:r>
      <w:r>
        <w:rPr>
          <w:sz w:val="18"/>
        </w:rPr>
        <w:t>отчети</w:t>
      </w:r>
      <w:r>
        <w:rPr>
          <w:sz w:val="18"/>
          <w:lang w:val="pt-PT"/>
        </w:rPr>
        <w:t xml:space="preserve"> </w:t>
      </w:r>
      <w:r>
        <w:rPr>
          <w:sz w:val="18"/>
        </w:rPr>
        <w:t>за</w:t>
      </w:r>
      <w:r>
        <w:rPr>
          <w:sz w:val="18"/>
          <w:lang w:val="pt-PT"/>
        </w:rPr>
        <w:t xml:space="preserve"> </w:t>
      </w:r>
      <w:r>
        <w:rPr>
          <w:sz w:val="18"/>
        </w:rPr>
        <w:t>допълнителните</w:t>
      </w:r>
      <w:r>
        <w:rPr>
          <w:sz w:val="18"/>
          <w:lang w:val="pt-PT"/>
        </w:rPr>
        <w:t xml:space="preserve"> </w:t>
      </w:r>
      <w:r>
        <w:rPr>
          <w:sz w:val="18"/>
        </w:rPr>
        <w:t>ресурси</w:t>
      </w:r>
      <w:r>
        <w:rPr>
          <w:sz w:val="18"/>
          <w:lang w:val="pt-PT"/>
        </w:rPr>
        <w:t xml:space="preserve">, </w:t>
      </w:r>
      <w:r>
        <w:rPr>
          <w:sz w:val="18"/>
        </w:rPr>
        <w:t>предоставени</w:t>
      </w:r>
      <w:r>
        <w:rPr>
          <w:sz w:val="18"/>
          <w:lang w:val="pt-PT"/>
        </w:rPr>
        <w:t xml:space="preserve"> </w:t>
      </w:r>
      <w:r>
        <w:rPr>
          <w:sz w:val="18"/>
        </w:rPr>
        <w:t>от</w:t>
      </w:r>
      <w:r>
        <w:rPr>
          <w:sz w:val="18"/>
          <w:lang w:val="pt-PT"/>
        </w:rPr>
        <w:t xml:space="preserve"> </w:t>
      </w:r>
      <w:r>
        <w:rPr>
          <w:sz w:val="18"/>
        </w:rPr>
        <w:t>ЕФСИ</w:t>
      </w:r>
      <w:r>
        <w:rPr>
          <w:sz w:val="18"/>
          <w:lang w:val="pt-PT"/>
        </w:rPr>
        <w:t xml:space="preserve"> </w:t>
      </w:r>
      <w:r>
        <w:rPr>
          <w:sz w:val="18"/>
        </w:rPr>
        <w:t>за</w:t>
      </w:r>
      <w:r>
        <w:rPr>
          <w:sz w:val="18"/>
          <w:lang w:val="pt-PT"/>
        </w:rPr>
        <w:t xml:space="preserve"> </w:t>
      </w:r>
      <w:r>
        <w:rPr>
          <w:sz w:val="18"/>
        </w:rPr>
        <w:t>финансовите</w:t>
      </w:r>
      <w:r>
        <w:rPr>
          <w:sz w:val="18"/>
          <w:lang w:val="pt-PT"/>
        </w:rPr>
        <w:t xml:space="preserve"> </w:t>
      </w:r>
      <w:r>
        <w:rPr>
          <w:sz w:val="18"/>
        </w:rPr>
        <w:t>инструменти</w:t>
      </w:r>
      <w:r>
        <w:rPr>
          <w:sz w:val="18"/>
          <w:lang w:val="pt-PT"/>
        </w:rPr>
        <w:t>.</w:t>
      </w:r>
    </w:p>
  </w:footnote>
  <w:footnote w:id="16">
    <w:p w:rsidR="004E032F" w:rsidRDefault="009B0276">
      <w:pPr>
        <w:pStyle w:val="FootnoteText"/>
        <w:spacing w:before="0"/>
        <w:jc w:val="both"/>
        <w:rPr>
          <w:sz w:val="18"/>
          <w:lang w:val="pt-PT"/>
        </w:rPr>
      </w:pPr>
      <w:r>
        <w:rPr>
          <w:rStyle w:val="FootnoteReference"/>
          <w:sz w:val="18"/>
        </w:rPr>
        <w:footnoteRef/>
      </w:r>
      <w:r>
        <w:rPr>
          <w:sz w:val="18"/>
          <w:lang w:val="pt-PT"/>
        </w:rPr>
        <w:t xml:space="preserve"> </w:t>
      </w:r>
      <w:r>
        <w:rPr>
          <w:sz w:val="18"/>
        </w:rPr>
        <w:t>Изпълнението</w:t>
      </w:r>
      <w:r>
        <w:rPr>
          <w:sz w:val="18"/>
          <w:lang w:val="pt-PT"/>
        </w:rPr>
        <w:t xml:space="preserve"> </w:t>
      </w:r>
      <w:r>
        <w:rPr>
          <w:sz w:val="18"/>
        </w:rPr>
        <w:t>на</w:t>
      </w:r>
      <w:r>
        <w:rPr>
          <w:sz w:val="18"/>
          <w:lang w:val="pt-PT"/>
        </w:rPr>
        <w:t xml:space="preserve"> </w:t>
      </w:r>
      <w:r>
        <w:rPr>
          <w:sz w:val="18"/>
        </w:rPr>
        <w:t>ЕФСИ</w:t>
      </w:r>
      <w:r>
        <w:rPr>
          <w:sz w:val="18"/>
          <w:lang w:val="pt-PT"/>
        </w:rPr>
        <w:t xml:space="preserve"> </w:t>
      </w:r>
      <w:r>
        <w:rPr>
          <w:sz w:val="18"/>
        </w:rPr>
        <w:t>е</w:t>
      </w:r>
      <w:r>
        <w:rPr>
          <w:sz w:val="18"/>
          <w:lang w:val="pt-PT"/>
        </w:rPr>
        <w:t xml:space="preserve"> </w:t>
      </w:r>
      <w:r>
        <w:rPr>
          <w:sz w:val="18"/>
        </w:rPr>
        <w:t>в</w:t>
      </w:r>
      <w:r>
        <w:rPr>
          <w:sz w:val="18"/>
          <w:lang w:val="pt-PT"/>
        </w:rPr>
        <w:t xml:space="preserve"> </w:t>
      </w:r>
      <w:r>
        <w:rPr>
          <w:sz w:val="18"/>
        </w:rPr>
        <w:t>ход</w:t>
      </w:r>
      <w:r>
        <w:rPr>
          <w:sz w:val="18"/>
          <w:lang w:val="pt-PT"/>
        </w:rPr>
        <w:t xml:space="preserve">, </w:t>
      </w:r>
      <w:r>
        <w:rPr>
          <w:sz w:val="18"/>
        </w:rPr>
        <w:t>като</w:t>
      </w:r>
      <w:r>
        <w:rPr>
          <w:sz w:val="18"/>
          <w:lang w:val="pt-PT"/>
        </w:rPr>
        <w:t xml:space="preserve"> 477 </w:t>
      </w:r>
      <w:r>
        <w:rPr>
          <w:sz w:val="18"/>
        </w:rPr>
        <w:t>подкрепени</w:t>
      </w:r>
      <w:r>
        <w:rPr>
          <w:sz w:val="18"/>
          <w:lang w:val="pt-PT"/>
        </w:rPr>
        <w:t xml:space="preserve"> </w:t>
      </w:r>
      <w:r>
        <w:rPr>
          <w:sz w:val="18"/>
        </w:rPr>
        <w:t>от</w:t>
      </w:r>
      <w:r>
        <w:rPr>
          <w:sz w:val="18"/>
          <w:lang w:val="pt-PT"/>
        </w:rPr>
        <w:t xml:space="preserve"> </w:t>
      </w:r>
      <w:r>
        <w:rPr>
          <w:sz w:val="18"/>
        </w:rPr>
        <w:t>Фонда</w:t>
      </w:r>
      <w:r>
        <w:rPr>
          <w:sz w:val="18"/>
          <w:lang w:val="pt-PT"/>
        </w:rPr>
        <w:t xml:space="preserve"> </w:t>
      </w:r>
      <w:r>
        <w:rPr>
          <w:sz w:val="18"/>
        </w:rPr>
        <w:t>операции</w:t>
      </w:r>
      <w:r>
        <w:rPr>
          <w:sz w:val="18"/>
          <w:lang w:val="pt-PT"/>
        </w:rPr>
        <w:t xml:space="preserve"> </w:t>
      </w:r>
      <w:r>
        <w:rPr>
          <w:sz w:val="18"/>
        </w:rPr>
        <w:t>вече</w:t>
      </w:r>
      <w:r>
        <w:rPr>
          <w:sz w:val="18"/>
          <w:lang w:val="pt-PT"/>
        </w:rPr>
        <w:t xml:space="preserve"> </w:t>
      </w:r>
      <w:r>
        <w:rPr>
          <w:sz w:val="18"/>
        </w:rPr>
        <w:t>са</w:t>
      </w:r>
      <w:r>
        <w:rPr>
          <w:sz w:val="18"/>
          <w:lang w:val="pt-PT"/>
        </w:rPr>
        <w:t xml:space="preserve"> </w:t>
      </w:r>
      <w:r>
        <w:rPr>
          <w:sz w:val="18"/>
        </w:rPr>
        <w:t>одобрени</w:t>
      </w:r>
      <w:r>
        <w:rPr>
          <w:sz w:val="18"/>
          <w:lang w:val="pt-PT"/>
        </w:rPr>
        <w:t xml:space="preserve"> </w:t>
      </w:r>
      <w:r>
        <w:rPr>
          <w:sz w:val="18"/>
        </w:rPr>
        <w:t>от</w:t>
      </w:r>
      <w:r>
        <w:rPr>
          <w:sz w:val="18"/>
          <w:lang w:val="pt-PT"/>
        </w:rPr>
        <w:t xml:space="preserve"> </w:t>
      </w:r>
      <w:r>
        <w:rPr>
          <w:sz w:val="18"/>
        </w:rPr>
        <w:t>групата</w:t>
      </w:r>
      <w:r>
        <w:rPr>
          <w:sz w:val="18"/>
          <w:lang w:val="pt-PT"/>
        </w:rPr>
        <w:t xml:space="preserve"> </w:t>
      </w:r>
      <w:r>
        <w:rPr>
          <w:sz w:val="18"/>
        </w:rPr>
        <w:t>на</w:t>
      </w:r>
      <w:r>
        <w:rPr>
          <w:sz w:val="18"/>
          <w:lang w:val="pt-PT"/>
        </w:rPr>
        <w:t xml:space="preserve"> </w:t>
      </w:r>
      <w:r>
        <w:rPr>
          <w:sz w:val="18"/>
        </w:rPr>
        <w:t>Европейската</w:t>
      </w:r>
      <w:r>
        <w:rPr>
          <w:sz w:val="18"/>
          <w:lang w:val="pt-PT"/>
        </w:rPr>
        <w:t xml:space="preserve"> </w:t>
      </w:r>
      <w:r>
        <w:rPr>
          <w:sz w:val="18"/>
        </w:rPr>
        <w:t>инвестиционна</w:t>
      </w:r>
      <w:r>
        <w:rPr>
          <w:sz w:val="18"/>
          <w:lang w:val="pt-PT"/>
        </w:rPr>
        <w:t xml:space="preserve"> </w:t>
      </w:r>
      <w:r>
        <w:rPr>
          <w:sz w:val="18"/>
        </w:rPr>
        <w:t>банка</w:t>
      </w:r>
      <w:r>
        <w:rPr>
          <w:sz w:val="18"/>
          <w:lang w:val="pt-PT"/>
        </w:rPr>
        <w:t xml:space="preserve"> </w:t>
      </w:r>
      <w:r>
        <w:rPr>
          <w:sz w:val="18"/>
        </w:rPr>
        <w:t>за</w:t>
      </w:r>
      <w:r>
        <w:rPr>
          <w:sz w:val="18"/>
          <w:lang w:val="pt-PT"/>
        </w:rPr>
        <w:t xml:space="preserve"> </w:t>
      </w:r>
      <w:r>
        <w:rPr>
          <w:sz w:val="18"/>
        </w:rPr>
        <w:t>обща</w:t>
      </w:r>
      <w:r>
        <w:rPr>
          <w:sz w:val="18"/>
          <w:lang w:val="pt-PT"/>
        </w:rPr>
        <w:t xml:space="preserve"> </w:t>
      </w:r>
      <w:r>
        <w:rPr>
          <w:sz w:val="18"/>
        </w:rPr>
        <w:t>инвестиционна</w:t>
      </w:r>
      <w:r>
        <w:rPr>
          <w:sz w:val="18"/>
          <w:lang w:val="pt-PT"/>
        </w:rPr>
        <w:t xml:space="preserve"> </w:t>
      </w:r>
      <w:r>
        <w:rPr>
          <w:sz w:val="18"/>
        </w:rPr>
        <w:t>стойност</w:t>
      </w:r>
      <w:r>
        <w:rPr>
          <w:sz w:val="18"/>
          <w:lang w:val="pt-PT"/>
        </w:rPr>
        <w:t xml:space="preserve"> </w:t>
      </w:r>
      <w:r>
        <w:rPr>
          <w:sz w:val="18"/>
        </w:rPr>
        <w:t>от</w:t>
      </w:r>
      <w:r>
        <w:rPr>
          <w:sz w:val="18"/>
          <w:lang w:val="pt-PT"/>
        </w:rPr>
        <w:t xml:space="preserve"> 183,5 </w:t>
      </w:r>
      <w:r>
        <w:rPr>
          <w:sz w:val="18"/>
        </w:rPr>
        <w:t>милиарда</w:t>
      </w:r>
      <w:r>
        <w:rPr>
          <w:sz w:val="18"/>
          <w:lang w:val="pt-PT"/>
        </w:rPr>
        <w:t xml:space="preserve"> </w:t>
      </w:r>
      <w:r>
        <w:rPr>
          <w:sz w:val="18"/>
        </w:rPr>
        <w:t>евро</w:t>
      </w:r>
      <w:r>
        <w:rPr>
          <w:sz w:val="18"/>
          <w:lang w:val="pt-PT"/>
        </w:rPr>
        <w:t xml:space="preserve"> (58 % </w:t>
      </w:r>
      <w:r>
        <w:rPr>
          <w:sz w:val="18"/>
        </w:rPr>
        <w:t>от</w:t>
      </w:r>
      <w:r>
        <w:rPr>
          <w:sz w:val="18"/>
          <w:lang w:val="pt-PT"/>
        </w:rPr>
        <w:t xml:space="preserve"> </w:t>
      </w:r>
      <w:r>
        <w:rPr>
          <w:sz w:val="18"/>
        </w:rPr>
        <w:t>общата</w:t>
      </w:r>
      <w:r>
        <w:rPr>
          <w:sz w:val="18"/>
          <w:lang w:val="pt-PT"/>
        </w:rPr>
        <w:t xml:space="preserve"> </w:t>
      </w:r>
      <w:r>
        <w:rPr>
          <w:sz w:val="18"/>
        </w:rPr>
        <w:t>цел</w:t>
      </w:r>
      <w:r>
        <w:rPr>
          <w:sz w:val="18"/>
          <w:lang w:val="pt-PT"/>
        </w:rPr>
        <w:t xml:space="preserve"> </w:t>
      </w:r>
      <w:r>
        <w:rPr>
          <w:sz w:val="18"/>
        </w:rPr>
        <w:t>от</w:t>
      </w:r>
      <w:r>
        <w:rPr>
          <w:sz w:val="18"/>
          <w:lang w:val="pt-PT"/>
        </w:rPr>
        <w:t xml:space="preserve"> 315 </w:t>
      </w:r>
      <w:r>
        <w:rPr>
          <w:sz w:val="18"/>
        </w:rPr>
        <w:t>милиарда</w:t>
      </w:r>
      <w:r>
        <w:rPr>
          <w:sz w:val="18"/>
          <w:lang w:val="pt-PT"/>
        </w:rPr>
        <w:t xml:space="preserve"> </w:t>
      </w:r>
      <w:r>
        <w:rPr>
          <w:sz w:val="18"/>
        </w:rPr>
        <w:t>евро</w:t>
      </w:r>
      <w:r>
        <w:rPr>
          <w:sz w:val="18"/>
          <w:lang w:val="pt-PT"/>
        </w:rPr>
        <w:t xml:space="preserve"> </w:t>
      </w:r>
      <w:r>
        <w:rPr>
          <w:sz w:val="18"/>
        </w:rPr>
        <w:t>до</w:t>
      </w:r>
      <w:r>
        <w:rPr>
          <w:sz w:val="18"/>
          <w:lang w:val="pt-PT"/>
        </w:rPr>
        <w:t xml:space="preserve"> </w:t>
      </w:r>
      <w:r>
        <w:rPr>
          <w:sz w:val="18"/>
        </w:rPr>
        <w:t>средата</w:t>
      </w:r>
      <w:r>
        <w:rPr>
          <w:sz w:val="18"/>
          <w:lang w:val="pt-PT"/>
        </w:rPr>
        <w:t xml:space="preserve"> </w:t>
      </w:r>
      <w:r>
        <w:rPr>
          <w:sz w:val="18"/>
        </w:rPr>
        <w:t>на</w:t>
      </w:r>
      <w:r>
        <w:rPr>
          <w:sz w:val="18"/>
          <w:lang w:val="pt-PT"/>
        </w:rPr>
        <w:t xml:space="preserve"> 2018 </w:t>
      </w:r>
      <w:r>
        <w:rPr>
          <w:sz w:val="18"/>
        </w:rPr>
        <w:t>г</w:t>
      </w:r>
      <w:r>
        <w:rPr>
          <w:sz w:val="18"/>
          <w:lang w:val="pt-PT"/>
        </w:rPr>
        <w:t xml:space="preserve">.), </w:t>
      </w:r>
      <w:r>
        <w:rPr>
          <w:sz w:val="18"/>
        </w:rPr>
        <w:t>обхващайки</w:t>
      </w:r>
      <w:r>
        <w:rPr>
          <w:sz w:val="18"/>
          <w:lang w:val="pt-PT"/>
        </w:rPr>
        <w:t xml:space="preserve"> </w:t>
      </w:r>
      <w:r>
        <w:rPr>
          <w:sz w:val="18"/>
        </w:rPr>
        <w:t>всички</w:t>
      </w:r>
      <w:r>
        <w:rPr>
          <w:sz w:val="18"/>
          <w:lang w:val="pt-PT"/>
        </w:rPr>
        <w:t xml:space="preserve"> 28 </w:t>
      </w:r>
      <w:r>
        <w:rPr>
          <w:sz w:val="18"/>
        </w:rPr>
        <w:t>държави</w:t>
      </w:r>
      <w:r>
        <w:rPr>
          <w:sz w:val="18"/>
          <w:lang w:val="pt-PT"/>
        </w:rPr>
        <w:t xml:space="preserve"> </w:t>
      </w:r>
      <w:r>
        <w:rPr>
          <w:sz w:val="18"/>
        </w:rPr>
        <w:t>членки</w:t>
      </w:r>
      <w:r>
        <w:rPr>
          <w:sz w:val="18"/>
          <w:lang w:val="pt-PT"/>
        </w:rPr>
        <w:t xml:space="preserve">, </w:t>
      </w:r>
      <w:r>
        <w:rPr>
          <w:sz w:val="18"/>
        </w:rPr>
        <w:t>като</w:t>
      </w:r>
      <w:r>
        <w:rPr>
          <w:sz w:val="18"/>
          <w:lang w:val="pt-PT"/>
        </w:rPr>
        <w:t xml:space="preserve"> </w:t>
      </w:r>
      <w:r>
        <w:rPr>
          <w:sz w:val="18"/>
        </w:rPr>
        <w:t>се</w:t>
      </w:r>
      <w:r>
        <w:rPr>
          <w:sz w:val="18"/>
          <w:lang w:val="pt-PT"/>
        </w:rPr>
        <w:t xml:space="preserve"> </w:t>
      </w:r>
      <w:r>
        <w:rPr>
          <w:sz w:val="18"/>
        </w:rPr>
        <w:t>очаква</w:t>
      </w:r>
      <w:r>
        <w:rPr>
          <w:sz w:val="18"/>
          <w:lang w:val="pt-PT"/>
        </w:rPr>
        <w:t xml:space="preserve"> </w:t>
      </w:r>
      <w:r>
        <w:rPr>
          <w:sz w:val="18"/>
        </w:rPr>
        <w:t>да</w:t>
      </w:r>
      <w:r>
        <w:rPr>
          <w:sz w:val="18"/>
          <w:lang w:val="pt-PT"/>
        </w:rPr>
        <w:t xml:space="preserve"> </w:t>
      </w:r>
      <w:r>
        <w:rPr>
          <w:sz w:val="18"/>
        </w:rPr>
        <w:t>донесе</w:t>
      </w:r>
      <w:r>
        <w:rPr>
          <w:sz w:val="18"/>
          <w:lang w:val="pt-PT"/>
        </w:rPr>
        <w:t xml:space="preserve"> </w:t>
      </w:r>
      <w:r>
        <w:rPr>
          <w:sz w:val="18"/>
        </w:rPr>
        <w:t>ползи</w:t>
      </w:r>
      <w:r>
        <w:rPr>
          <w:sz w:val="18"/>
          <w:lang w:val="pt-PT"/>
        </w:rPr>
        <w:t xml:space="preserve"> </w:t>
      </w:r>
      <w:r>
        <w:rPr>
          <w:sz w:val="18"/>
        </w:rPr>
        <w:t>за</w:t>
      </w:r>
      <w:r>
        <w:rPr>
          <w:sz w:val="18"/>
          <w:lang w:val="pt-PT"/>
        </w:rPr>
        <w:t xml:space="preserve"> 427 600 </w:t>
      </w:r>
      <w:r>
        <w:rPr>
          <w:sz w:val="18"/>
        </w:rPr>
        <w:t>МСП</w:t>
      </w:r>
      <w:r>
        <w:rPr>
          <w:sz w:val="18"/>
          <w:lang w:val="pt-PT"/>
        </w:rPr>
        <w:t xml:space="preserve"> </w:t>
      </w:r>
      <w:r>
        <w:rPr>
          <w:sz w:val="18"/>
        </w:rPr>
        <w:t>и</w:t>
      </w:r>
      <w:r>
        <w:rPr>
          <w:sz w:val="18"/>
          <w:lang w:val="pt-PT"/>
        </w:rPr>
        <w:t xml:space="preserve"> </w:t>
      </w:r>
      <w:r>
        <w:rPr>
          <w:sz w:val="18"/>
        </w:rPr>
        <w:t>дружества</w:t>
      </w:r>
      <w:r>
        <w:rPr>
          <w:sz w:val="18"/>
          <w:lang w:val="pt-PT"/>
        </w:rPr>
        <w:t xml:space="preserve"> </w:t>
      </w:r>
      <w:r>
        <w:rPr>
          <w:sz w:val="18"/>
        </w:rPr>
        <w:t>със</w:t>
      </w:r>
      <w:r>
        <w:rPr>
          <w:sz w:val="18"/>
          <w:lang w:val="pt-PT"/>
        </w:rPr>
        <w:t xml:space="preserve"> </w:t>
      </w:r>
      <w:r>
        <w:rPr>
          <w:sz w:val="18"/>
        </w:rPr>
        <w:t>средна</w:t>
      </w:r>
      <w:r>
        <w:rPr>
          <w:sz w:val="18"/>
          <w:lang w:val="pt-PT"/>
        </w:rPr>
        <w:t xml:space="preserve"> </w:t>
      </w:r>
      <w:r>
        <w:rPr>
          <w:sz w:val="18"/>
        </w:rPr>
        <w:t>пазарна</w:t>
      </w:r>
      <w:r>
        <w:rPr>
          <w:sz w:val="18"/>
          <w:lang w:val="pt-PT"/>
        </w:rPr>
        <w:t xml:space="preserve"> </w:t>
      </w:r>
      <w:r>
        <w:rPr>
          <w:sz w:val="18"/>
        </w:rPr>
        <w:t>капитализация</w:t>
      </w:r>
      <w:r>
        <w:rPr>
          <w:sz w:val="18"/>
          <w:lang w:val="pt-PT"/>
        </w:rPr>
        <w:t xml:space="preserve">. </w:t>
      </w:r>
      <w:r>
        <w:rPr>
          <w:sz w:val="18"/>
        </w:rPr>
        <w:t>За</w:t>
      </w:r>
      <w:r>
        <w:rPr>
          <w:sz w:val="18"/>
          <w:lang w:val="pt-PT"/>
        </w:rPr>
        <w:t xml:space="preserve"> </w:t>
      </w:r>
      <w:r>
        <w:rPr>
          <w:sz w:val="18"/>
        </w:rPr>
        <w:t>да</w:t>
      </w:r>
      <w:r>
        <w:rPr>
          <w:sz w:val="18"/>
          <w:lang w:val="pt-PT"/>
        </w:rPr>
        <w:t xml:space="preserve"> </w:t>
      </w:r>
      <w:r>
        <w:rPr>
          <w:sz w:val="18"/>
        </w:rPr>
        <w:t>се</w:t>
      </w:r>
      <w:r>
        <w:rPr>
          <w:sz w:val="18"/>
          <w:lang w:val="pt-PT"/>
        </w:rPr>
        <w:t xml:space="preserve"> </w:t>
      </w:r>
      <w:r>
        <w:rPr>
          <w:sz w:val="18"/>
        </w:rPr>
        <w:t>увеличи</w:t>
      </w:r>
      <w:r>
        <w:rPr>
          <w:sz w:val="18"/>
          <w:lang w:val="pt-PT"/>
        </w:rPr>
        <w:t xml:space="preserve"> </w:t>
      </w:r>
      <w:r>
        <w:rPr>
          <w:sz w:val="18"/>
        </w:rPr>
        <w:t>още</w:t>
      </w:r>
      <w:r>
        <w:rPr>
          <w:sz w:val="18"/>
          <w:lang w:val="pt-PT"/>
        </w:rPr>
        <w:t xml:space="preserve"> </w:t>
      </w:r>
      <w:r>
        <w:rPr>
          <w:sz w:val="18"/>
        </w:rPr>
        <w:t>повече</w:t>
      </w:r>
      <w:r>
        <w:rPr>
          <w:sz w:val="18"/>
          <w:lang w:val="pt-PT"/>
        </w:rPr>
        <w:t xml:space="preserve"> </w:t>
      </w:r>
      <w:r>
        <w:rPr>
          <w:sz w:val="18"/>
        </w:rPr>
        <w:t>капацитетът</w:t>
      </w:r>
      <w:r>
        <w:rPr>
          <w:sz w:val="18"/>
          <w:lang w:val="pt-PT"/>
        </w:rPr>
        <w:t xml:space="preserve"> </w:t>
      </w:r>
      <w:r>
        <w:rPr>
          <w:sz w:val="18"/>
        </w:rPr>
        <w:t>на</w:t>
      </w:r>
      <w:r>
        <w:rPr>
          <w:sz w:val="18"/>
          <w:lang w:val="pt-PT"/>
        </w:rPr>
        <w:t xml:space="preserve"> </w:t>
      </w:r>
      <w:r>
        <w:rPr>
          <w:sz w:val="18"/>
        </w:rPr>
        <w:t>фонда</w:t>
      </w:r>
      <w:r>
        <w:rPr>
          <w:sz w:val="18"/>
          <w:lang w:val="pt-PT"/>
        </w:rPr>
        <w:t xml:space="preserve">, </w:t>
      </w:r>
      <w:r>
        <w:rPr>
          <w:sz w:val="18"/>
        </w:rPr>
        <w:t>с</w:t>
      </w:r>
      <w:r>
        <w:rPr>
          <w:sz w:val="18"/>
          <w:lang w:val="pt-PT"/>
        </w:rPr>
        <w:t xml:space="preserve"> </w:t>
      </w:r>
      <w:r>
        <w:rPr>
          <w:sz w:val="18"/>
        </w:rPr>
        <w:t>Европейския</w:t>
      </w:r>
      <w:r>
        <w:rPr>
          <w:sz w:val="18"/>
          <w:lang w:val="pt-PT"/>
        </w:rPr>
        <w:t xml:space="preserve"> </w:t>
      </w:r>
      <w:r>
        <w:rPr>
          <w:sz w:val="18"/>
        </w:rPr>
        <w:t>парламе</w:t>
      </w:r>
      <w:r>
        <w:rPr>
          <w:sz w:val="18"/>
        </w:rPr>
        <w:t>нт</w:t>
      </w:r>
      <w:r>
        <w:rPr>
          <w:sz w:val="18"/>
          <w:lang w:val="pt-PT"/>
        </w:rPr>
        <w:t xml:space="preserve"> </w:t>
      </w:r>
      <w:r>
        <w:rPr>
          <w:sz w:val="18"/>
        </w:rPr>
        <w:t>и</w:t>
      </w:r>
      <w:r>
        <w:rPr>
          <w:sz w:val="18"/>
          <w:lang w:val="pt-PT"/>
        </w:rPr>
        <w:t xml:space="preserve"> </w:t>
      </w:r>
      <w:r>
        <w:rPr>
          <w:sz w:val="18"/>
        </w:rPr>
        <w:t>Съвета</w:t>
      </w:r>
      <w:r>
        <w:rPr>
          <w:sz w:val="18"/>
          <w:lang w:val="pt-PT"/>
        </w:rPr>
        <w:t xml:space="preserve"> </w:t>
      </w:r>
      <w:r>
        <w:rPr>
          <w:sz w:val="18"/>
        </w:rPr>
        <w:t>се</w:t>
      </w:r>
      <w:r>
        <w:rPr>
          <w:sz w:val="18"/>
          <w:lang w:val="pt-PT"/>
        </w:rPr>
        <w:t xml:space="preserve"> </w:t>
      </w:r>
      <w:r>
        <w:rPr>
          <w:sz w:val="18"/>
        </w:rPr>
        <w:t>провеждат</w:t>
      </w:r>
      <w:r>
        <w:rPr>
          <w:sz w:val="18"/>
          <w:lang w:val="pt-PT"/>
        </w:rPr>
        <w:t xml:space="preserve"> </w:t>
      </w:r>
      <w:r>
        <w:rPr>
          <w:sz w:val="18"/>
        </w:rPr>
        <w:t>преговори</w:t>
      </w:r>
      <w:r>
        <w:rPr>
          <w:sz w:val="18"/>
          <w:lang w:val="pt-PT"/>
        </w:rPr>
        <w:t xml:space="preserve"> </w:t>
      </w:r>
      <w:r>
        <w:rPr>
          <w:sz w:val="18"/>
        </w:rPr>
        <w:t>относно</w:t>
      </w:r>
      <w:r>
        <w:rPr>
          <w:sz w:val="18"/>
          <w:lang w:val="pt-PT"/>
        </w:rPr>
        <w:t xml:space="preserve"> </w:t>
      </w:r>
      <w:r>
        <w:rPr>
          <w:sz w:val="18"/>
        </w:rPr>
        <w:t>предложеното</w:t>
      </w:r>
      <w:r>
        <w:rPr>
          <w:sz w:val="18"/>
          <w:lang w:val="pt-PT"/>
        </w:rPr>
        <w:t xml:space="preserve"> </w:t>
      </w:r>
      <w:r>
        <w:rPr>
          <w:sz w:val="18"/>
        </w:rPr>
        <w:t>разширяване</w:t>
      </w:r>
      <w:r>
        <w:rPr>
          <w:sz w:val="18"/>
          <w:lang w:val="pt-PT"/>
        </w:rPr>
        <w:t xml:space="preserve"> </w:t>
      </w:r>
      <w:r>
        <w:rPr>
          <w:sz w:val="18"/>
        </w:rPr>
        <w:t>на</w:t>
      </w:r>
      <w:r>
        <w:rPr>
          <w:sz w:val="18"/>
          <w:lang w:val="pt-PT"/>
        </w:rPr>
        <w:t xml:space="preserve"> </w:t>
      </w:r>
      <w:r>
        <w:rPr>
          <w:sz w:val="18"/>
        </w:rPr>
        <w:t>ЕФСИ</w:t>
      </w:r>
      <w:r>
        <w:rPr>
          <w:sz w:val="18"/>
          <w:lang w:val="pt-PT"/>
        </w:rPr>
        <w:t xml:space="preserve"> </w:t>
      </w:r>
      <w:r>
        <w:rPr>
          <w:sz w:val="18"/>
        </w:rPr>
        <w:t>с</w:t>
      </w:r>
      <w:r>
        <w:rPr>
          <w:sz w:val="18"/>
          <w:lang w:val="pt-PT"/>
        </w:rPr>
        <w:t xml:space="preserve"> </w:t>
      </w:r>
      <w:r>
        <w:rPr>
          <w:sz w:val="18"/>
        </w:rPr>
        <w:t>ЕФСИ</w:t>
      </w:r>
      <w:r>
        <w:rPr>
          <w:sz w:val="18"/>
          <w:lang w:val="pt-PT"/>
        </w:rPr>
        <w:t xml:space="preserve"> 2.</w:t>
      </w:r>
    </w:p>
  </w:footnote>
  <w:footnote w:id="17">
    <w:p w:rsidR="004E032F" w:rsidRDefault="009B0276">
      <w:pPr>
        <w:pStyle w:val="FootnoteText"/>
        <w:spacing w:before="0"/>
        <w:rPr>
          <w:spacing w:val="-4"/>
          <w:sz w:val="18"/>
          <w:lang w:val="pt-PT"/>
        </w:rPr>
      </w:pPr>
      <w:r>
        <w:rPr>
          <w:rStyle w:val="FootnoteReference"/>
          <w:spacing w:val="-4"/>
          <w:sz w:val="18"/>
        </w:rPr>
        <w:footnoteRef/>
      </w:r>
      <w:r>
        <w:rPr>
          <w:spacing w:val="-4"/>
          <w:sz w:val="18"/>
          <w:lang w:val="pt-PT"/>
        </w:rPr>
        <w:t xml:space="preserve"> </w:t>
      </w:r>
      <w:r>
        <w:rPr>
          <w:spacing w:val="-4"/>
          <w:sz w:val="18"/>
        </w:rPr>
        <w:t>Регламент</w:t>
      </w:r>
      <w:r>
        <w:rPr>
          <w:spacing w:val="-4"/>
          <w:sz w:val="18"/>
          <w:lang w:val="pt-PT"/>
        </w:rPr>
        <w:t xml:space="preserve"> (</w:t>
      </w:r>
      <w:r>
        <w:rPr>
          <w:spacing w:val="-4"/>
          <w:sz w:val="18"/>
        </w:rPr>
        <w:t>ЕС</w:t>
      </w:r>
      <w:r>
        <w:rPr>
          <w:spacing w:val="-4"/>
          <w:sz w:val="18"/>
          <w:lang w:val="pt-PT"/>
        </w:rPr>
        <w:t xml:space="preserve">) № 1303/2013 </w:t>
      </w:r>
      <w:r>
        <w:rPr>
          <w:spacing w:val="-4"/>
          <w:sz w:val="18"/>
        </w:rPr>
        <w:t>на</w:t>
      </w:r>
      <w:r>
        <w:rPr>
          <w:spacing w:val="-4"/>
          <w:sz w:val="18"/>
          <w:lang w:val="pt-PT"/>
        </w:rPr>
        <w:t xml:space="preserve"> </w:t>
      </w:r>
      <w:r>
        <w:rPr>
          <w:spacing w:val="-4"/>
          <w:sz w:val="18"/>
        </w:rPr>
        <w:t>Европейския</w:t>
      </w:r>
      <w:r>
        <w:rPr>
          <w:spacing w:val="-4"/>
          <w:sz w:val="18"/>
          <w:lang w:val="pt-PT"/>
        </w:rPr>
        <w:t xml:space="preserve"> </w:t>
      </w:r>
      <w:r>
        <w:rPr>
          <w:spacing w:val="-4"/>
          <w:sz w:val="18"/>
        </w:rPr>
        <w:t>парламент</w:t>
      </w:r>
      <w:r>
        <w:rPr>
          <w:spacing w:val="-4"/>
          <w:sz w:val="18"/>
          <w:lang w:val="pt-PT"/>
        </w:rPr>
        <w:t xml:space="preserve"> </w:t>
      </w:r>
      <w:r>
        <w:rPr>
          <w:spacing w:val="-4"/>
          <w:sz w:val="18"/>
        </w:rPr>
        <w:t>и</w:t>
      </w:r>
      <w:r>
        <w:rPr>
          <w:spacing w:val="-4"/>
          <w:sz w:val="18"/>
          <w:lang w:val="pt-PT"/>
        </w:rPr>
        <w:t xml:space="preserve"> </w:t>
      </w:r>
      <w:r>
        <w:rPr>
          <w:spacing w:val="-4"/>
          <w:sz w:val="18"/>
        </w:rPr>
        <w:t>на</w:t>
      </w:r>
      <w:r>
        <w:rPr>
          <w:spacing w:val="-4"/>
          <w:sz w:val="18"/>
          <w:lang w:val="pt-PT"/>
        </w:rPr>
        <w:t xml:space="preserve"> </w:t>
      </w:r>
      <w:r>
        <w:rPr>
          <w:spacing w:val="-4"/>
          <w:sz w:val="18"/>
        </w:rPr>
        <w:t>Съвета</w:t>
      </w:r>
      <w:r>
        <w:rPr>
          <w:spacing w:val="-4"/>
          <w:sz w:val="18"/>
          <w:lang w:val="pt-PT"/>
        </w:rPr>
        <w:t xml:space="preserve"> </w:t>
      </w:r>
      <w:r>
        <w:rPr>
          <w:spacing w:val="-4"/>
          <w:sz w:val="18"/>
        </w:rPr>
        <w:t>от</w:t>
      </w:r>
      <w:r>
        <w:rPr>
          <w:spacing w:val="-4"/>
          <w:sz w:val="18"/>
          <w:lang w:val="pt-PT"/>
        </w:rPr>
        <w:t xml:space="preserve"> 17 </w:t>
      </w:r>
      <w:r>
        <w:rPr>
          <w:spacing w:val="-4"/>
          <w:sz w:val="18"/>
        </w:rPr>
        <w:t>декември</w:t>
      </w:r>
      <w:r>
        <w:rPr>
          <w:spacing w:val="-4"/>
          <w:sz w:val="18"/>
          <w:lang w:val="pt-PT"/>
        </w:rPr>
        <w:t xml:space="preserve"> 2013 </w:t>
      </w:r>
      <w:r>
        <w:rPr>
          <w:spacing w:val="-4"/>
          <w:sz w:val="18"/>
        </w:rPr>
        <w:t>г</w:t>
      </w:r>
      <w:r>
        <w:rPr>
          <w:spacing w:val="-4"/>
          <w:sz w:val="18"/>
          <w:lang w:val="pt-PT"/>
        </w:rPr>
        <w:t xml:space="preserve">. </w:t>
      </w:r>
      <w:r>
        <w:rPr>
          <w:spacing w:val="-4"/>
          <w:sz w:val="18"/>
        </w:rPr>
        <w:t>за</w:t>
      </w:r>
      <w:r>
        <w:rPr>
          <w:spacing w:val="-4"/>
          <w:sz w:val="18"/>
          <w:lang w:val="pt-PT"/>
        </w:rPr>
        <w:t xml:space="preserve"> </w:t>
      </w:r>
      <w:r>
        <w:rPr>
          <w:spacing w:val="-4"/>
          <w:sz w:val="18"/>
        </w:rPr>
        <w:t>определяне</w:t>
      </w:r>
      <w:r>
        <w:rPr>
          <w:spacing w:val="-4"/>
          <w:sz w:val="18"/>
          <w:lang w:val="pt-PT"/>
        </w:rPr>
        <w:t xml:space="preserve"> </w:t>
      </w:r>
      <w:r>
        <w:rPr>
          <w:spacing w:val="-4"/>
          <w:sz w:val="18"/>
        </w:rPr>
        <w:t>на</w:t>
      </w:r>
      <w:r>
        <w:rPr>
          <w:spacing w:val="-4"/>
          <w:sz w:val="18"/>
          <w:lang w:val="pt-PT"/>
        </w:rPr>
        <w:t xml:space="preserve"> </w:t>
      </w:r>
      <w:r>
        <w:rPr>
          <w:spacing w:val="-4"/>
          <w:sz w:val="18"/>
        </w:rPr>
        <w:t>общоприложими</w:t>
      </w:r>
      <w:r>
        <w:rPr>
          <w:spacing w:val="-4"/>
          <w:sz w:val="18"/>
          <w:lang w:val="pt-PT"/>
        </w:rPr>
        <w:t xml:space="preserve"> </w:t>
      </w:r>
      <w:r>
        <w:rPr>
          <w:spacing w:val="-4"/>
          <w:sz w:val="18"/>
        </w:rPr>
        <w:t>разпоредби</w:t>
      </w:r>
      <w:r>
        <w:rPr>
          <w:spacing w:val="-4"/>
          <w:sz w:val="18"/>
          <w:lang w:val="pt-PT"/>
        </w:rPr>
        <w:t xml:space="preserve"> </w:t>
      </w:r>
      <w:r>
        <w:rPr>
          <w:spacing w:val="-4"/>
          <w:sz w:val="18"/>
        </w:rPr>
        <w:t>за</w:t>
      </w:r>
      <w:r>
        <w:rPr>
          <w:spacing w:val="-4"/>
          <w:sz w:val="18"/>
          <w:lang w:val="pt-PT"/>
        </w:rPr>
        <w:t xml:space="preserve"> </w:t>
      </w:r>
      <w:r>
        <w:rPr>
          <w:spacing w:val="-4"/>
          <w:sz w:val="18"/>
        </w:rPr>
        <w:t>Европейския</w:t>
      </w:r>
      <w:r>
        <w:rPr>
          <w:spacing w:val="-4"/>
          <w:sz w:val="18"/>
          <w:lang w:val="pt-PT"/>
        </w:rPr>
        <w:t xml:space="preserve"> </w:t>
      </w:r>
      <w:r>
        <w:rPr>
          <w:spacing w:val="-4"/>
          <w:sz w:val="18"/>
        </w:rPr>
        <w:t>фонд</w:t>
      </w:r>
      <w:r>
        <w:rPr>
          <w:spacing w:val="-4"/>
          <w:sz w:val="18"/>
          <w:lang w:val="pt-PT"/>
        </w:rPr>
        <w:t xml:space="preserve"> </w:t>
      </w:r>
      <w:r>
        <w:rPr>
          <w:spacing w:val="-4"/>
          <w:sz w:val="18"/>
        </w:rPr>
        <w:t>за</w:t>
      </w:r>
      <w:r>
        <w:rPr>
          <w:spacing w:val="-4"/>
          <w:sz w:val="18"/>
          <w:lang w:val="pt-PT"/>
        </w:rPr>
        <w:t xml:space="preserve"> </w:t>
      </w:r>
      <w:r>
        <w:rPr>
          <w:spacing w:val="-4"/>
          <w:sz w:val="18"/>
        </w:rPr>
        <w:t>регионално</w:t>
      </w:r>
      <w:r>
        <w:rPr>
          <w:spacing w:val="-4"/>
          <w:sz w:val="18"/>
          <w:lang w:val="pt-PT"/>
        </w:rPr>
        <w:t xml:space="preserve"> </w:t>
      </w:r>
      <w:r>
        <w:rPr>
          <w:spacing w:val="-4"/>
          <w:sz w:val="18"/>
        </w:rPr>
        <w:t>развитие</w:t>
      </w:r>
      <w:r>
        <w:rPr>
          <w:spacing w:val="-4"/>
          <w:sz w:val="18"/>
          <w:lang w:val="pt-PT"/>
        </w:rPr>
        <w:t xml:space="preserve">, </w:t>
      </w:r>
      <w:r>
        <w:rPr>
          <w:spacing w:val="-4"/>
          <w:sz w:val="18"/>
        </w:rPr>
        <w:t>Европейския</w:t>
      </w:r>
      <w:r>
        <w:rPr>
          <w:spacing w:val="-4"/>
          <w:sz w:val="18"/>
          <w:lang w:val="pt-PT"/>
        </w:rPr>
        <w:t xml:space="preserve"> </w:t>
      </w:r>
      <w:r>
        <w:rPr>
          <w:spacing w:val="-4"/>
          <w:sz w:val="18"/>
        </w:rPr>
        <w:t>социален</w:t>
      </w:r>
      <w:r>
        <w:rPr>
          <w:spacing w:val="-4"/>
          <w:sz w:val="18"/>
          <w:lang w:val="pt-PT"/>
        </w:rPr>
        <w:t xml:space="preserve"> </w:t>
      </w:r>
      <w:r>
        <w:rPr>
          <w:spacing w:val="-4"/>
          <w:sz w:val="18"/>
        </w:rPr>
        <w:t>фонд</w:t>
      </w:r>
      <w:r>
        <w:rPr>
          <w:spacing w:val="-4"/>
          <w:sz w:val="18"/>
          <w:lang w:val="pt-PT"/>
        </w:rPr>
        <w:t xml:space="preserve">, </w:t>
      </w:r>
      <w:r>
        <w:rPr>
          <w:spacing w:val="-4"/>
          <w:sz w:val="18"/>
        </w:rPr>
        <w:t>Кохезионния</w:t>
      </w:r>
      <w:r>
        <w:rPr>
          <w:spacing w:val="-4"/>
          <w:sz w:val="18"/>
          <w:lang w:val="pt-PT"/>
        </w:rPr>
        <w:t xml:space="preserve"> </w:t>
      </w:r>
      <w:r>
        <w:rPr>
          <w:spacing w:val="-4"/>
          <w:sz w:val="18"/>
        </w:rPr>
        <w:t>фонд</w:t>
      </w:r>
      <w:r>
        <w:rPr>
          <w:spacing w:val="-4"/>
          <w:sz w:val="18"/>
          <w:lang w:val="pt-PT"/>
        </w:rPr>
        <w:t xml:space="preserve">, </w:t>
      </w:r>
      <w:r>
        <w:rPr>
          <w:spacing w:val="-4"/>
          <w:sz w:val="18"/>
        </w:rPr>
        <w:t>Европейския</w:t>
      </w:r>
      <w:r>
        <w:rPr>
          <w:spacing w:val="-4"/>
          <w:sz w:val="18"/>
          <w:lang w:val="pt-PT"/>
        </w:rPr>
        <w:t xml:space="preserve"> </w:t>
      </w:r>
      <w:r>
        <w:rPr>
          <w:spacing w:val="-4"/>
          <w:sz w:val="18"/>
        </w:rPr>
        <w:t>земеделски</w:t>
      </w:r>
      <w:r>
        <w:rPr>
          <w:spacing w:val="-4"/>
          <w:sz w:val="18"/>
          <w:lang w:val="pt-PT"/>
        </w:rPr>
        <w:t xml:space="preserve"> </w:t>
      </w:r>
      <w:r>
        <w:rPr>
          <w:spacing w:val="-4"/>
          <w:sz w:val="18"/>
        </w:rPr>
        <w:t>фонд</w:t>
      </w:r>
      <w:r>
        <w:rPr>
          <w:spacing w:val="-4"/>
          <w:sz w:val="18"/>
          <w:lang w:val="pt-PT"/>
        </w:rPr>
        <w:t xml:space="preserve"> </w:t>
      </w:r>
      <w:r>
        <w:rPr>
          <w:spacing w:val="-4"/>
          <w:sz w:val="18"/>
        </w:rPr>
        <w:t>за</w:t>
      </w:r>
      <w:r>
        <w:rPr>
          <w:spacing w:val="-4"/>
          <w:sz w:val="18"/>
          <w:lang w:val="pt-PT"/>
        </w:rPr>
        <w:t xml:space="preserve"> </w:t>
      </w:r>
      <w:r>
        <w:rPr>
          <w:spacing w:val="-4"/>
          <w:sz w:val="18"/>
        </w:rPr>
        <w:t>развитие</w:t>
      </w:r>
      <w:r>
        <w:rPr>
          <w:spacing w:val="-4"/>
          <w:sz w:val="18"/>
          <w:lang w:val="pt-PT"/>
        </w:rPr>
        <w:t xml:space="preserve"> </w:t>
      </w:r>
      <w:r>
        <w:rPr>
          <w:spacing w:val="-4"/>
          <w:sz w:val="18"/>
        </w:rPr>
        <w:t>на</w:t>
      </w:r>
      <w:r>
        <w:rPr>
          <w:spacing w:val="-4"/>
          <w:sz w:val="18"/>
          <w:lang w:val="pt-PT"/>
        </w:rPr>
        <w:t xml:space="preserve"> </w:t>
      </w:r>
      <w:r>
        <w:rPr>
          <w:spacing w:val="-4"/>
          <w:sz w:val="18"/>
        </w:rPr>
        <w:t>селските</w:t>
      </w:r>
      <w:r>
        <w:rPr>
          <w:spacing w:val="-4"/>
          <w:sz w:val="18"/>
          <w:lang w:val="pt-PT"/>
        </w:rPr>
        <w:t xml:space="preserve"> </w:t>
      </w:r>
      <w:r>
        <w:rPr>
          <w:spacing w:val="-4"/>
          <w:sz w:val="18"/>
        </w:rPr>
        <w:t>райони</w:t>
      </w:r>
      <w:r>
        <w:rPr>
          <w:spacing w:val="-4"/>
          <w:sz w:val="18"/>
          <w:lang w:val="pt-PT"/>
        </w:rPr>
        <w:t xml:space="preserve"> </w:t>
      </w:r>
      <w:r>
        <w:rPr>
          <w:spacing w:val="-4"/>
          <w:sz w:val="18"/>
        </w:rPr>
        <w:t>и</w:t>
      </w:r>
      <w:r>
        <w:rPr>
          <w:spacing w:val="-4"/>
          <w:sz w:val="18"/>
          <w:lang w:val="pt-PT"/>
        </w:rPr>
        <w:t xml:space="preserve"> </w:t>
      </w:r>
      <w:r>
        <w:rPr>
          <w:spacing w:val="-4"/>
          <w:sz w:val="18"/>
        </w:rPr>
        <w:t>Европейския</w:t>
      </w:r>
      <w:r>
        <w:rPr>
          <w:spacing w:val="-4"/>
          <w:sz w:val="18"/>
          <w:lang w:val="pt-PT"/>
        </w:rPr>
        <w:t xml:space="preserve"> </w:t>
      </w:r>
      <w:r>
        <w:rPr>
          <w:spacing w:val="-4"/>
          <w:sz w:val="18"/>
        </w:rPr>
        <w:t>фонд</w:t>
      </w:r>
      <w:r>
        <w:rPr>
          <w:spacing w:val="-4"/>
          <w:sz w:val="18"/>
          <w:lang w:val="pt-PT"/>
        </w:rPr>
        <w:t xml:space="preserve"> </w:t>
      </w:r>
      <w:r>
        <w:rPr>
          <w:spacing w:val="-4"/>
          <w:sz w:val="18"/>
        </w:rPr>
        <w:t>за</w:t>
      </w:r>
      <w:r>
        <w:rPr>
          <w:spacing w:val="-4"/>
          <w:sz w:val="18"/>
          <w:lang w:val="pt-PT"/>
        </w:rPr>
        <w:t xml:space="preserve"> </w:t>
      </w:r>
      <w:r>
        <w:rPr>
          <w:spacing w:val="-4"/>
          <w:sz w:val="18"/>
        </w:rPr>
        <w:t>морско</w:t>
      </w:r>
      <w:r>
        <w:rPr>
          <w:spacing w:val="-4"/>
          <w:sz w:val="18"/>
          <w:lang w:val="pt-PT"/>
        </w:rPr>
        <w:t xml:space="preserve"> </w:t>
      </w:r>
      <w:r>
        <w:rPr>
          <w:spacing w:val="-4"/>
          <w:sz w:val="18"/>
        </w:rPr>
        <w:t>дело</w:t>
      </w:r>
      <w:r>
        <w:rPr>
          <w:spacing w:val="-4"/>
          <w:sz w:val="18"/>
          <w:lang w:val="pt-PT"/>
        </w:rPr>
        <w:t xml:space="preserve"> </w:t>
      </w:r>
      <w:r>
        <w:rPr>
          <w:spacing w:val="-4"/>
          <w:sz w:val="18"/>
        </w:rPr>
        <w:t>и</w:t>
      </w:r>
      <w:r>
        <w:rPr>
          <w:spacing w:val="-4"/>
          <w:sz w:val="18"/>
          <w:lang w:val="pt-PT"/>
        </w:rPr>
        <w:t xml:space="preserve"> </w:t>
      </w:r>
      <w:r>
        <w:rPr>
          <w:spacing w:val="-4"/>
          <w:sz w:val="18"/>
        </w:rPr>
        <w:t>рибарство</w:t>
      </w:r>
      <w:r>
        <w:rPr>
          <w:spacing w:val="-4"/>
          <w:sz w:val="18"/>
          <w:lang w:val="pt-PT"/>
        </w:rPr>
        <w:t xml:space="preserve"> </w:t>
      </w:r>
      <w:r>
        <w:rPr>
          <w:spacing w:val="-4"/>
          <w:sz w:val="18"/>
        </w:rPr>
        <w:t>и</w:t>
      </w:r>
      <w:r>
        <w:rPr>
          <w:spacing w:val="-4"/>
          <w:sz w:val="18"/>
          <w:lang w:val="pt-PT"/>
        </w:rPr>
        <w:t xml:space="preserve"> </w:t>
      </w:r>
      <w:r>
        <w:rPr>
          <w:spacing w:val="-4"/>
          <w:sz w:val="18"/>
        </w:rPr>
        <w:t>за</w:t>
      </w:r>
      <w:r>
        <w:rPr>
          <w:spacing w:val="-4"/>
          <w:sz w:val="18"/>
          <w:lang w:val="pt-PT"/>
        </w:rPr>
        <w:t xml:space="preserve"> </w:t>
      </w:r>
      <w:r>
        <w:rPr>
          <w:spacing w:val="-4"/>
          <w:sz w:val="18"/>
        </w:rPr>
        <w:t>определяне</w:t>
      </w:r>
      <w:r>
        <w:rPr>
          <w:spacing w:val="-4"/>
          <w:sz w:val="18"/>
          <w:lang w:val="pt-PT"/>
        </w:rPr>
        <w:t xml:space="preserve"> </w:t>
      </w:r>
      <w:r>
        <w:rPr>
          <w:spacing w:val="-4"/>
          <w:sz w:val="18"/>
        </w:rPr>
        <w:t>на</w:t>
      </w:r>
      <w:r>
        <w:rPr>
          <w:spacing w:val="-4"/>
          <w:sz w:val="18"/>
          <w:lang w:val="pt-PT"/>
        </w:rPr>
        <w:t xml:space="preserve"> </w:t>
      </w:r>
      <w:r>
        <w:rPr>
          <w:spacing w:val="-4"/>
          <w:sz w:val="18"/>
        </w:rPr>
        <w:t>общи</w:t>
      </w:r>
      <w:r>
        <w:rPr>
          <w:spacing w:val="-4"/>
          <w:sz w:val="18"/>
          <w:lang w:val="pt-PT"/>
        </w:rPr>
        <w:t xml:space="preserve"> </w:t>
      </w:r>
      <w:r>
        <w:rPr>
          <w:spacing w:val="-4"/>
          <w:sz w:val="18"/>
        </w:rPr>
        <w:t>разпоредби</w:t>
      </w:r>
      <w:r>
        <w:rPr>
          <w:spacing w:val="-4"/>
          <w:sz w:val="18"/>
          <w:lang w:val="pt-PT"/>
        </w:rPr>
        <w:t xml:space="preserve"> </w:t>
      </w:r>
      <w:r>
        <w:rPr>
          <w:spacing w:val="-4"/>
          <w:sz w:val="18"/>
        </w:rPr>
        <w:t>за</w:t>
      </w:r>
      <w:r>
        <w:rPr>
          <w:spacing w:val="-4"/>
          <w:sz w:val="18"/>
          <w:lang w:val="pt-PT"/>
        </w:rPr>
        <w:t xml:space="preserve"> </w:t>
      </w:r>
      <w:r>
        <w:rPr>
          <w:spacing w:val="-4"/>
          <w:sz w:val="18"/>
        </w:rPr>
        <w:t>Европейския</w:t>
      </w:r>
      <w:r>
        <w:rPr>
          <w:spacing w:val="-4"/>
          <w:sz w:val="18"/>
          <w:lang w:val="pt-PT"/>
        </w:rPr>
        <w:t xml:space="preserve"> </w:t>
      </w:r>
      <w:r>
        <w:rPr>
          <w:spacing w:val="-4"/>
          <w:sz w:val="18"/>
        </w:rPr>
        <w:t>фонд</w:t>
      </w:r>
      <w:r>
        <w:rPr>
          <w:spacing w:val="-4"/>
          <w:sz w:val="18"/>
          <w:lang w:val="pt-PT"/>
        </w:rPr>
        <w:t xml:space="preserve"> </w:t>
      </w:r>
      <w:r>
        <w:rPr>
          <w:spacing w:val="-4"/>
          <w:sz w:val="18"/>
        </w:rPr>
        <w:t>за</w:t>
      </w:r>
      <w:r>
        <w:rPr>
          <w:spacing w:val="-4"/>
          <w:sz w:val="18"/>
          <w:lang w:val="pt-PT"/>
        </w:rPr>
        <w:t xml:space="preserve"> </w:t>
      </w:r>
      <w:r>
        <w:rPr>
          <w:spacing w:val="-4"/>
          <w:sz w:val="18"/>
        </w:rPr>
        <w:t>регионално</w:t>
      </w:r>
      <w:r>
        <w:rPr>
          <w:spacing w:val="-4"/>
          <w:sz w:val="18"/>
          <w:lang w:val="pt-PT"/>
        </w:rPr>
        <w:t xml:space="preserve"> </w:t>
      </w:r>
      <w:r>
        <w:rPr>
          <w:spacing w:val="-4"/>
          <w:sz w:val="18"/>
        </w:rPr>
        <w:t>развитие</w:t>
      </w:r>
      <w:r>
        <w:rPr>
          <w:spacing w:val="-4"/>
          <w:sz w:val="18"/>
          <w:lang w:val="pt-PT"/>
        </w:rPr>
        <w:t xml:space="preserve">, </w:t>
      </w:r>
      <w:r>
        <w:rPr>
          <w:spacing w:val="-4"/>
          <w:sz w:val="18"/>
        </w:rPr>
        <w:t>Европейския</w:t>
      </w:r>
      <w:r>
        <w:rPr>
          <w:spacing w:val="-4"/>
          <w:sz w:val="18"/>
          <w:lang w:val="pt-PT"/>
        </w:rPr>
        <w:t xml:space="preserve"> </w:t>
      </w:r>
      <w:r>
        <w:rPr>
          <w:spacing w:val="-4"/>
          <w:sz w:val="18"/>
        </w:rPr>
        <w:t>социален</w:t>
      </w:r>
      <w:r>
        <w:rPr>
          <w:spacing w:val="-4"/>
          <w:sz w:val="18"/>
          <w:lang w:val="pt-PT"/>
        </w:rPr>
        <w:t xml:space="preserve"> </w:t>
      </w:r>
      <w:r>
        <w:rPr>
          <w:spacing w:val="-4"/>
          <w:sz w:val="18"/>
        </w:rPr>
        <w:t>фонд</w:t>
      </w:r>
      <w:r>
        <w:rPr>
          <w:spacing w:val="-4"/>
          <w:sz w:val="18"/>
          <w:lang w:val="pt-PT"/>
        </w:rPr>
        <w:t xml:space="preserve">, </w:t>
      </w:r>
      <w:r>
        <w:rPr>
          <w:spacing w:val="-4"/>
          <w:sz w:val="18"/>
        </w:rPr>
        <w:t>Кохезионния</w:t>
      </w:r>
      <w:r>
        <w:rPr>
          <w:spacing w:val="-4"/>
          <w:sz w:val="18"/>
          <w:lang w:val="pt-PT"/>
        </w:rPr>
        <w:t xml:space="preserve"> </w:t>
      </w:r>
      <w:r>
        <w:rPr>
          <w:spacing w:val="-4"/>
          <w:sz w:val="18"/>
        </w:rPr>
        <w:t>фонд</w:t>
      </w:r>
      <w:r>
        <w:rPr>
          <w:spacing w:val="-4"/>
          <w:sz w:val="18"/>
          <w:lang w:val="pt-PT"/>
        </w:rPr>
        <w:t xml:space="preserve"> </w:t>
      </w:r>
      <w:r>
        <w:rPr>
          <w:spacing w:val="-4"/>
          <w:sz w:val="18"/>
        </w:rPr>
        <w:t>и</w:t>
      </w:r>
      <w:r>
        <w:rPr>
          <w:spacing w:val="-4"/>
          <w:sz w:val="18"/>
          <w:lang w:val="pt-PT"/>
        </w:rPr>
        <w:t xml:space="preserve"> </w:t>
      </w:r>
      <w:r>
        <w:rPr>
          <w:spacing w:val="-4"/>
          <w:sz w:val="18"/>
        </w:rPr>
        <w:t>Европейския</w:t>
      </w:r>
      <w:r>
        <w:rPr>
          <w:spacing w:val="-4"/>
          <w:sz w:val="18"/>
          <w:lang w:val="pt-PT"/>
        </w:rPr>
        <w:t xml:space="preserve"> </w:t>
      </w:r>
      <w:r>
        <w:rPr>
          <w:spacing w:val="-4"/>
          <w:sz w:val="18"/>
        </w:rPr>
        <w:t>фонд</w:t>
      </w:r>
      <w:r>
        <w:rPr>
          <w:spacing w:val="-4"/>
          <w:sz w:val="18"/>
          <w:lang w:val="pt-PT"/>
        </w:rPr>
        <w:t xml:space="preserve"> </w:t>
      </w:r>
      <w:r>
        <w:rPr>
          <w:spacing w:val="-4"/>
          <w:sz w:val="18"/>
        </w:rPr>
        <w:t>за</w:t>
      </w:r>
      <w:r>
        <w:rPr>
          <w:spacing w:val="-4"/>
          <w:sz w:val="18"/>
          <w:lang w:val="pt-PT"/>
        </w:rPr>
        <w:t xml:space="preserve"> </w:t>
      </w:r>
      <w:r>
        <w:rPr>
          <w:spacing w:val="-4"/>
          <w:sz w:val="18"/>
        </w:rPr>
        <w:t>морско</w:t>
      </w:r>
      <w:r>
        <w:rPr>
          <w:spacing w:val="-4"/>
          <w:sz w:val="18"/>
          <w:lang w:val="pt-PT"/>
        </w:rPr>
        <w:t xml:space="preserve"> </w:t>
      </w:r>
      <w:r>
        <w:rPr>
          <w:spacing w:val="-4"/>
          <w:sz w:val="18"/>
        </w:rPr>
        <w:t>дело</w:t>
      </w:r>
      <w:r>
        <w:rPr>
          <w:spacing w:val="-4"/>
          <w:sz w:val="18"/>
          <w:lang w:val="pt-PT"/>
        </w:rPr>
        <w:t xml:space="preserve"> </w:t>
      </w:r>
      <w:r>
        <w:rPr>
          <w:spacing w:val="-4"/>
          <w:sz w:val="18"/>
        </w:rPr>
        <w:t>и</w:t>
      </w:r>
      <w:r>
        <w:rPr>
          <w:spacing w:val="-4"/>
          <w:sz w:val="18"/>
          <w:lang w:val="pt-PT"/>
        </w:rPr>
        <w:t xml:space="preserve"> </w:t>
      </w:r>
      <w:r>
        <w:rPr>
          <w:spacing w:val="-4"/>
          <w:sz w:val="18"/>
        </w:rPr>
        <w:t>рибарство</w:t>
      </w:r>
      <w:r>
        <w:rPr>
          <w:spacing w:val="-4"/>
          <w:sz w:val="18"/>
          <w:lang w:val="pt-PT"/>
        </w:rPr>
        <w:t xml:space="preserve">, </w:t>
      </w:r>
      <w:r>
        <w:rPr>
          <w:spacing w:val="-4"/>
          <w:sz w:val="18"/>
        </w:rPr>
        <w:t>и</w:t>
      </w:r>
      <w:r>
        <w:rPr>
          <w:spacing w:val="-4"/>
          <w:sz w:val="18"/>
          <w:lang w:val="pt-PT"/>
        </w:rPr>
        <w:t xml:space="preserve"> </w:t>
      </w:r>
      <w:r>
        <w:rPr>
          <w:spacing w:val="-4"/>
          <w:sz w:val="18"/>
        </w:rPr>
        <w:t>за</w:t>
      </w:r>
      <w:r>
        <w:rPr>
          <w:spacing w:val="-4"/>
          <w:sz w:val="18"/>
          <w:lang w:val="pt-PT"/>
        </w:rPr>
        <w:t xml:space="preserve"> </w:t>
      </w:r>
      <w:r>
        <w:rPr>
          <w:spacing w:val="-4"/>
          <w:sz w:val="18"/>
        </w:rPr>
        <w:t>отмяна</w:t>
      </w:r>
      <w:r>
        <w:rPr>
          <w:spacing w:val="-4"/>
          <w:sz w:val="18"/>
          <w:lang w:val="pt-PT"/>
        </w:rPr>
        <w:t xml:space="preserve"> </w:t>
      </w:r>
      <w:r>
        <w:rPr>
          <w:spacing w:val="-4"/>
          <w:sz w:val="18"/>
        </w:rPr>
        <w:t>на</w:t>
      </w:r>
      <w:r>
        <w:rPr>
          <w:spacing w:val="-4"/>
          <w:sz w:val="18"/>
          <w:lang w:val="pt-PT"/>
        </w:rPr>
        <w:t xml:space="preserve"> </w:t>
      </w:r>
      <w:r>
        <w:rPr>
          <w:spacing w:val="-4"/>
          <w:sz w:val="18"/>
        </w:rPr>
        <w:t>Регламент</w:t>
      </w:r>
      <w:r>
        <w:rPr>
          <w:spacing w:val="-4"/>
          <w:sz w:val="18"/>
          <w:lang w:val="pt-PT"/>
        </w:rPr>
        <w:t xml:space="preserve"> (</w:t>
      </w:r>
      <w:r>
        <w:rPr>
          <w:spacing w:val="-4"/>
          <w:sz w:val="18"/>
        </w:rPr>
        <w:t>ЕО</w:t>
      </w:r>
      <w:r>
        <w:rPr>
          <w:spacing w:val="-4"/>
          <w:sz w:val="18"/>
          <w:lang w:val="pt-PT"/>
        </w:rPr>
        <w:t xml:space="preserve">) № 1083/2006 </w:t>
      </w:r>
      <w:r>
        <w:rPr>
          <w:spacing w:val="-4"/>
          <w:sz w:val="18"/>
        </w:rPr>
        <w:t>на</w:t>
      </w:r>
      <w:r>
        <w:rPr>
          <w:spacing w:val="-4"/>
          <w:sz w:val="18"/>
          <w:lang w:val="pt-PT"/>
        </w:rPr>
        <w:t xml:space="preserve"> </w:t>
      </w:r>
      <w:r>
        <w:rPr>
          <w:spacing w:val="-4"/>
          <w:sz w:val="18"/>
        </w:rPr>
        <w:t>Съвета</w:t>
      </w:r>
      <w:r>
        <w:rPr>
          <w:spacing w:val="-4"/>
          <w:sz w:val="18"/>
          <w:lang w:val="pt-PT"/>
        </w:rPr>
        <w:t>.</w:t>
      </w:r>
    </w:p>
  </w:footnote>
  <w:footnote w:id="18">
    <w:p w:rsidR="004E032F" w:rsidRDefault="009B0276">
      <w:pPr>
        <w:pStyle w:val="FootnoteText"/>
        <w:spacing w:before="0"/>
        <w:rPr>
          <w:sz w:val="18"/>
          <w:szCs w:val="18"/>
          <w:lang w:val="pt-PT"/>
        </w:rPr>
      </w:pPr>
      <w:r>
        <w:rPr>
          <w:rStyle w:val="FootnoteReference"/>
          <w:sz w:val="18"/>
        </w:rPr>
        <w:footnoteRef/>
      </w:r>
      <w:r>
        <w:rPr>
          <w:sz w:val="18"/>
          <w:lang w:val="pt-PT"/>
        </w:rPr>
        <w:t xml:space="preserve"> COM(2016) 605 final (</w:t>
      </w:r>
      <w:r>
        <w:rPr>
          <w:sz w:val="18"/>
        </w:rPr>
        <w:t>вж</w:t>
      </w:r>
      <w:r>
        <w:rPr>
          <w:sz w:val="18"/>
          <w:lang w:val="pt-PT"/>
        </w:rPr>
        <w:t xml:space="preserve">. </w:t>
      </w:r>
      <w:r>
        <w:rPr>
          <w:sz w:val="18"/>
        </w:rPr>
        <w:t>бележка</w:t>
      </w:r>
      <w:r>
        <w:rPr>
          <w:sz w:val="18"/>
          <w:lang w:val="pt-PT"/>
        </w:rPr>
        <w:t xml:space="preserve"> </w:t>
      </w:r>
      <w:r>
        <w:rPr>
          <w:sz w:val="18"/>
        </w:rPr>
        <w:t>под</w:t>
      </w:r>
      <w:r>
        <w:rPr>
          <w:sz w:val="18"/>
          <w:lang w:val="pt-PT"/>
        </w:rPr>
        <w:t xml:space="preserve"> </w:t>
      </w:r>
      <w:r>
        <w:rPr>
          <w:sz w:val="18"/>
        </w:rPr>
        <w:t>линия</w:t>
      </w:r>
      <w:r>
        <w:rPr>
          <w:sz w:val="18"/>
          <w:lang w:val="pt-PT"/>
        </w:rPr>
        <w:t xml:space="preserve"> 4).</w:t>
      </w:r>
    </w:p>
  </w:footnote>
  <w:footnote w:id="19">
    <w:p w:rsidR="004E032F" w:rsidRDefault="009B0276">
      <w:pPr>
        <w:pStyle w:val="FootnoteText"/>
        <w:spacing w:before="0"/>
        <w:jc w:val="both"/>
        <w:rPr>
          <w:spacing w:val="-4"/>
          <w:sz w:val="18"/>
          <w:szCs w:val="18"/>
          <w:lang w:val="pt-PT"/>
        </w:rPr>
      </w:pPr>
      <w:r>
        <w:rPr>
          <w:rStyle w:val="FootnoteReference"/>
          <w:spacing w:val="-4"/>
          <w:sz w:val="18"/>
        </w:rPr>
        <w:footnoteRef/>
      </w:r>
      <w:r>
        <w:rPr>
          <w:spacing w:val="-4"/>
          <w:sz w:val="18"/>
          <w:lang w:val="pt-PT"/>
        </w:rPr>
        <w:t xml:space="preserve"> </w:t>
      </w:r>
      <w:r>
        <w:rPr>
          <w:spacing w:val="-4"/>
          <w:sz w:val="18"/>
        </w:rPr>
        <w:t>По</w:t>
      </w:r>
      <w:r>
        <w:rPr>
          <w:spacing w:val="-4"/>
          <w:sz w:val="18"/>
          <w:lang w:val="pt-PT"/>
        </w:rPr>
        <w:t xml:space="preserve"> </w:t>
      </w:r>
      <w:r>
        <w:rPr>
          <w:spacing w:val="-4"/>
          <w:sz w:val="18"/>
        </w:rPr>
        <w:t>отношение</w:t>
      </w:r>
      <w:r>
        <w:rPr>
          <w:spacing w:val="-4"/>
          <w:sz w:val="18"/>
          <w:lang w:val="pt-PT"/>
        </w:rPr>
        <w:t xml:space="preserve"> </w:t>
      </w:r>
      <w:r>
        <w:rPr>
          <w:spacing w:val="-4"/>
          <w:sz w:val="18"/>
        </w:rPr>
        <w:t>на</w:t>
      </w:r>
      <w:r>
        <w:rPr>
          <w:spacing w:val="-4"/>
          <w:sz w:val="18"/>
          <w:lang w:val="pt-PT"/>
        </w:rPr>
        <w:t xml:space="preserve"> </w:t>
      </w:r>
      <w:r>
        <w:rPr>
          <w:spacing w:val="-4"/>
          <w:sz w:val="18"/>
        </w:rPr>
        <w:t>финансовите</w:t>
      </w:r>
      <w:r>
        <w:rPr>
          <w:spacing w:val="-4"/>
          <w:sz w:val="18"/>
          <w:lang w:val="pt-PT"/>
        </w:rPr>
        <w:t xml:space="preserve"> </w:t>
      </w:r>
      <w:r>
        <w:rPr>
          <w:spacing w:val="-4"/>
          <w:sz w:val="18"/>
        </w:rPr>
        <w:t>инструменти</w:t>
      </w:r>
      <w:r>
        <w:rPr>
          <w:spacing w:val="-4"/>
          <w:sz w:val="18"/>
          <w:lang w:val="pt-PT"/>
        </w:rPr>
        <w:t xml:space="preserve"> </w:t>
      </w:r>
      <w:r>
        <w:rPr>
          <w:spacing w:val="-4"/>
          <w:sz w:val="18"/>
        </w:rPr>
        <w:t>за</w:t>
      </w:r>
      <w:r>
        <w:rPr>
          <w:spacing w:val="-4"/>
          <w:sz w:val="18"/>
          <w:lang w:val="pt-PT"/>
        </w:rPr>
        <w:t xml:space="preserve"> </w:t>
      </w:r>
      <w:r>
        <w:rPr>
          <w:spacing w:val="-4"/>
          <w:sz w:val="18"/>
        </w:rPr>
        <w:t>периода</w:t>
      </w:r>
      <w:r>
        <w:rPr>
          <w:spacing w:val="-4"/>
          <w:sz w:val="18"/>
          <w:lang w:val="pt-PT"/>
        </w:rPr>
        <w:t xml:space="preserve"> 2007—2013 </w:t>
      </w:r>
      <w:r>
        <w:rPr>
          <w:spacing w:val="-4"/>
          <w:sz w:val="18"/>
        </w:rPr>
        <w:t>г</w:t>
      </w:r>
      <w:r>
        <w:rPr>
          <w:spacing w:val="-4"/>
          <w:sz w:val="18"/>
          <w:lang w:val="pt-PT"/>
        </w:rPr>
        <w:t>. „</w:t>
      </w:r>
      <w:r>
        <w:rPr>
          <w:spacing w:val="-4"/>
          <w:sz w:val="18"/>
        </w:rPr>
        <w:t>общият</w:t>
      </w:r>
      <w:r>
        <w:rPr>
          <w:spacing w:val="-4"/>
          <w:sz w:val="18"/>
          <w:lang w:val="pt-PT"/>
        </w:rPr>
        <w:t xml:space="preserve"> </w:t>
      </w:r>
      <w:r>
        <w:rPr>
          <w:spacing w:val="-4"/>
          <w:sz w:val="18"/>
        </w:rPr>
        <w:t>размер</w:t>
      </w:r>
      <w:r>
        <w:rPr>
          <w:spacing w:val="-4"/>
          <w:sz w:val="18"/>
          <w:lang w:val="pt-PT"/>
        </w:rPr>
        <w:t xml:space="preserve"> </w:t>
      </w:r>
      <w:r>
        <w:rPr>
          <w:spacing w:val="-4"/>
          <w:sz w:val="18"/>
        </w:rPr>
        <w:t>на</w:t>
      </w:r>
      <w:r>
        <w:rPr>
          <w:spacing w:val="-4"/>
          <w:sz w:val="18"/>
          <w:lang w:val="pt-PT"/>
        </w:rPr>
        <w:t xml:space="preserve"> </w:t>
      </w:r>
      <w:r>
        <w:rPr>
          <w:spacing w:val="-4"/>
          <w:sz w:val="18"/>
        </w:rPr>
        <w:t>поетите</w:t>
      </w:r>
      <w:r>
        <w:rPr>
          <w:spacing w:val="-4"/>
          <w:sz w:val="18"/>
          <w:lang w:val="pt-PT"/>
        </w:rPr>
        <w:t xml:space="preserve"> </w:t>
      </w:r>
      <w:r>
        <w:rPr>
          <w:spacing w:val="-4"/>
          <w:sz w:val="18"/>
        </w:rPr>
        <w:t>задължения</w:t>
      </w:r>
      <w:r>
        <w:rPr>
          <w:spacing w:val="-4"/>
          <w:sz w:val="18"/>
          <w:lang w:val="pt-PT"/>
        </w:rPr>
        <w:t xml:space="preserve">“ </w:t>
      </w:r>
      <w:r>
        <w:rPr>
          <w:spacing w:val="-4"/>
          <w:sz w:val="18"/>
        </w:rPr>
        <w:t>е</w:t>
      </w:r>
      <w:r>
        <w:rPr>
          <w:spacing w:val="-4"/>
          <w:sz w:val="18"/>
          <w:lang w:val="pt-PT"/>
        </w:rPr>
        <w:t xml:space="preserve"> </w:t>
      </w:r>
      <w:r>
        <w:rPr>
          <w:spacing w:val="-4"/>
          <w:sz w:val="18"/>
        </w:rPr>
        <w:t>размерът</w:t>
      </w:r>
      <w:r>
        <w:rPr>
          <w:spacing w:val="-4"/>
          <w:sz w:val="18"/>
          <w:lang w:val="pt-PT"/>
        </w:rPr>
        <w:t xml:space="preserve"> </w:t>
      </w:r>
      <w:r>
        <w:rPr>
          <w:spacing w:val="-4"/>
          <w:sz w:val="18"/>
        </w:rPr>
        <w:t>на</w:t>
      </w:r>
      <w:r>
        <w:rPr>
          <w:spacing w:val="-4"/>
          <w:sz w:val="18"/>
          <w:lang w:val="pt-PT"/>
        </w:rPr>
        <w:t xml:space="preserve"> </w:t>
      </w:r>
      <w:r>
        <w:rPr>
          <w:spacing w:val="-4"/>
          <w:sz w:val="18"/>
        </w:rPr>
        <w:t>кумулираните</w:t>
      </w:r>
      <w:r>
        <w:rPr>
          <w:spacing w:val="-4"/>
          <w:sz w:val="18"/>
          <w:lang w:val="pt-PT"/>
        </w:rPr>
        <w:t xml:space="preserve"> </w:t>
      </w:r>
      <w:r>
        <w:rPr>
          <w:spacing w:val="-4"/>
          <w:sz w:val="18"/>
        </w:rPr>
        <w:t>бюджетни</w:t>
      </w:r>
      <w:r>
        <w:rPr>
          <w:spacing w:val="-4"/>
          <w:sz w:val="18"/>
          <w:lang w:val="pt-PT"/>
        </w:rPr>
        <w:t xml:space="preserve"> </w:t>
      </w:r>
      <w:r>
        <w:rPr>
          <w:spacing w:val="-4"/>
          <w:sz w:val="18"/>
        </w:rPr>
        <w:t>задължения</w:t>
      </w:r>
      <w:r>
        <w:rPr>
          <w:spacing w:val="-4"/>
          <w:sz w:val="18"/>
          <w:lang w:val="pt-PT"/>
        </w:rPr>
        <w:t xml:space="preserve">, </w:t>
      </w:r>
      <w:r>
        <w:rPr>
          <w:spacing w:val="-4"/>
          <w:sz w:val="18"/>
        </w:rPr>
        <w:t>поети</w:t>
      </w:r>
      <w:r>
        <w:rPr>
          <w:spacing w:val="-4"/>
          <w:sz w:val="18"/>
          <w:lang w:val="pt-PT"/>
        </w:rPr>
        <w:t xml:space="preserve"> </w:t>
      </w:r>
      <w:r>
        <w:rPr>
          <w:spacing w:val="-4"/>
          <w:sz w:val="18"/>
        </w:rPr>
        <w:t>за</w:t>
      </w:r>
      <w:r>
        <w:rPr>
          <w:spacing w:val="-4"/>
          <w:sz w:val="18"/>
          <w:lang w:val="pt-PT"/>
        </w:rPr>
        <w:t xml:space="preserve"> </w:t>
      </w:r>
      <w:r>
        <w:rPr>
          <w:spacing w:val="-4"/>
          <w:sz w:val="18"/>
        </w:rPr>
        <w:t>съответния</w:t>
      </w:r>
      <w:r>
        <w:rPr>
          <w:spacing w:val="-4"/>
          <w:sz w:val="18"/>
          <w:lang w:val="pt-PT"/>
        </w:rPr>
        <w:t xml:space="preserve"> </w:t>
      </w:r>
      <w:r>
        <w:rPr>
          <w:spacing w:val="-4"/>
          <w:sz w:val="18"/>
        </w:rPr>
        <w:t>финансов</w:t>
      </w:r>
      <w:r>
        <w:rPr>
          <w:spacing w:val="-4"/>
          <w:sz w:val="18"/>
          <w:lang w:val="pt-PT"/>
        </w:rPr>
        <w:t xml:space="preserve"> </w:t>
      </w:r>
      <w:r>
        <w:rPr>
          <w:spacing w:val="-4"/>
          <w:sz w:val="18"/>
        </w:rPr>
        <w:t>инструмент</w:t>
      </w:r>
      <w:r>
        <w:rPr>
          <w:spacing w:val="-4"/>
          <w:sz w:val="18"/>
          <w:lang w:val="pt-PT"/>
        </w:rPr>
        <w:t xml:space="preserve">. </w:t>
      </w:r>
      <w:r>
        <w:rPr>
          <w:spacing w:val="-4"/>
          <w:sz w:val="18"/>
        </w:rPr>
        <w:t>Тези</w:t>
      </w:r>
      <w:r>
        <w:rPr>
          <w:spacing w:val="-4"/>
          <w:sz w:val="18"/>
          <w:lang w:val="pt-PT"/>
        </w:rPr>
        <w:t xml:space="preserve"> </w:t>
      </w:r>
      <w:r>
        <w:rPr>
          <w:spacing w:val="-4"/>
          <w:sz w:val="18"/>
        </w:rPr>
        <w:t>ангажименти</w:t>
      </w:r>
      <w:r>
        <w:rPr>
          <w:spacing w:val="-4"/>
          <w:sz w:val="18"/>
          <w:lang w:val="pt-PT"/>
        </w:rPr>
        <w:t xml:space="preserve"> </w:t>
      </w:r>
      <w:r>
        <w:rPr>
          <w:spacing w:val="-4"/>
          <w:sz w:val="18"/>
        </w:rPr>
        <w:t>включват</w:t>
      </w:r>
      <w:r>
        <w:rPr>
          <w:spacing w:val="-4"/>
          <w:sz w:val="18"/>
          <w:lang w:val="pt-PT"/>
        </w:rPr>
        <w:t xml:space="preserve"> </w:t>
      </w:r>
      <w:r>
        <w:rPr>
          <w:spacing w:val="-4"/>
          <w:sz w:val="18"/>
        </w:rPr>
        <w:t>не</w:t>
      </w:r>
      <w:r>
        <w:rPr>
          <w:spacing w:val="-4"/>
          <w:sz w:val="18"/>
          <w:lang w:val="pt-PT"/>
        </w:rPr>
        <w:t xml:space="preserve"> </w:t>
      </w:r>
      <w:r>
        <w:rPr>
          <w:spacing w:val="-4"/>
          <w:sz w:val="18"/>
        </w:rPr>
        <w:t>само</w:t>
      </w:r>
      <w:r>
        <w:rPr>
          <w:spacing w:val="-4"/>
          <w:sz w:val="18"/>
          <w:lang w:val="pt-PT"/>
        </w:rPr>
        <w:t xml:space="preserve"> </w:t>
      </w:r>
      <w:r>
        <w:rPr>
          <w:spacing w:val="-4"/>
          <w:sz w:val="18"/>
        </w:rPr>
        <w:t>усвоените</w:t>
      </w:r>
      <w:r>
        <w:rPr>
          <w:spacing w:val="-4"/>
          <w:sz w:val="18"/>
          <w:lang w:val="pt-PT"/>
        </w:rPr>
        <w:t xml:space="preserve"> </w:t>
      </w:r>
      <w:r>
        <w:rPr>
          <w:spacing w:val="-4"/>
          <w:sz w:val="18"/>
        </w:rPr>
        <w:t>бюджетни</w:t>
      </w:r>
      <w:r>
        <w:rPr>
          <w:spacing w:val="-4"/>
          <w:sz w:val="18"/>
          <w:lang w:val="pt-PT"/>
        </w:rPr>
        <w:t xml:space="preserve"> </w:t>
      </w:r>
      <w:r>
        <w:rPr>
          <w:spacing w:val="-4"/>
          <w:sz w:val="18"/>
        </w:rPr>
        <w:t>кредити</w:t>
      </w:r>
      <w:r>
        <w:rPr>
          <w:spacing w:val="-4"/>
          <w:sz w:val="18"/>
          <w:lang w:val="pt-PT"/>
        </w:rPr>
        <w:t xml:space="preserve">, </w:t>
      </w:r>
      <w:r>
        <w:rPr>
          <w:spacing w:val="-4"/>
          <w:sz w:val="18"/>
        </w:rPr>
        <w:t>отпуснати</w:t>
      </w:r>
      <w:r>
        <w:rPr>
          <w:spacing w:val="-4"/>
          <w:sz w:val="18"/>
          <w:lang w:val="pt-PT"/>
        </w:rPr>
        <w:t xml:space="preserve"> </w:t>
      </w:r>
      <w:r>
        <w:rPr>
          <w:spacing w:val="-4"/>
          <w:sz w:val="18"/>
        </w:rPr>
        <w:t>в</w:t>
      </w:r>
      <w:r>
        <w:rPr>
          <w:spacing w:val="-4"/>
          <w:sz w:val="18"/>
          <w:lang w:val="pt-PT"/>
        </w:rPr>
        <w:t xml:space="preserve"> </w:t>
      </w:r>
      <w:r>
        <w:rPr>
          <w:spacing w:val="-4"/>
          <w:sz w:val="18"/>
        </w:rPr>
        <w:t>рамките</w:t>
      </w:r>
      <w:r>
        <w:rPr>
          <w:spacing w:val="-4"/>
          <w:sz w:val="18"/>
          <w:lang w:val="pt-PT"/>
        </w:rPr>
        <w:t xml:space="preserve"> </w:t>
      </w:r>
      <w:r>
        <w:rPr>
          <w:spacing w:val="-4"/>
          <w:sz w:val="18"/>
        </w:rPr>
        <w:t>на</w:t>
      </w:r>
      <w:r>
        <w:rPr>
          <w:spacing w:val="-4"/>
          <w:sz w:val="18"/>
          <w:lang w:val="pt-PT"/>
        </w:rPr>
        <w:t xml:space="preserve"> </w:t>
      </w:r>
      <w:r>
        <w:rPr>
          <w:spacing w:val="-4"/>
          <w:sz w:val="18"/>
        </w:rPr>
        <w:t>бюджетната</w:t>
      </w:r>
      <w:r>
        <w:rPr>
          <w:spacing w:val="-4"/>
          <w:sz w:val="18"/>
          <w:lang w:val="pt-PT"/>
        </w:rPr>
        <w:t xml:space="preserve"> </w:t>
      </w:r>
      <w:r>
        <w:rPr>
          <w:spacing w:val="-4"/>
          <w:sz w:val="18"/>
        </w:rPr>
        <w:t>година</w:t>
      </w:r>
      <w:r>
        <w:rPr>
          <w:spacing w:val="-4"/>
          <w:sz w:val="18"/>
          <w:lang w:val="pt-PT"/>
        </w:rPr>
        <w:t xml:space="preserve">, </w:t>
      </w:r>
      <w:r>
        <w:rPr>
          <w:spacing w:val="-4"/>
          <w:sz w:val="18"/>
        </w:rPr>
        <w:t>но</w:t>
      </w:r>
      <w:r>
        <w:rPr>
          <w:spacing w:val="-4"/>
          <w:sz w:val="18"/>
          <w:lang w:val="pt-PT"/>
        </w:rPr>
        <w:t xml:space="preserve"> </w:t>
      </w:r>
      <w:r>
        <w:rPr>
          <w:spacing w:val="-4"/>
          <w:sz w:val="18"/>
        </w:rPr>
        <w:t>и</w:t>
      </w:r>
      <w:r>
        <w:rPr>
          <w:spacing w:val="-4"/>
          <w:sz w:val="18"/>
          <w:lang w:val="pt-PT"/>
        </w:rPr>
        <w:t xml:space="preserve"> </w:t>
      </w:r>
      <w:r>
        <w:rPr>
          <w:spacing w:val="-4"/>
          <w:sz w:val="18"/>
        </w:rPr>
        <w:t>бюджетните</w:t>
      </w:r>
      <w:r>
        <w:rPr>
          <w:spacing w:val="-4"/>
          <w:sz w:val="18"/>
          <w:lang w:val="pt-PT"/>
        </w:rPr>
        <w:t xml:space="preserve"> </w:t>
      </w:r>
      <w:r>
        <w:rPr>
          <w:spacing w:val="-4"/>
          <w:sz w:val="18"/>
        </w:rPr>
        <w:t>средства</w:t>
      </w:r>
      <w:r>
        <w:rPr>
          <w:spacing w:val="-4"/>
          <w:sz w:val="18"/>
          <w:lang w:val="pt-PT"/>
        </w:rPr>
        <w:t xml:space="preserve">, </w:t>
      </w:r>
      <w:r>
        <w:rPr>
          <w:spacing w:val="-4"/>
          <w:sz w:val="18"/>
        </w:rPr>
        <w:t>като</w:t>
      </w:r>
      <w:r>
        <w:rPr>
          <w:spacing w:val="-4"/>
          <w:sz w:val="18"/>
          <w:lang w:val="pt-PT"/>
        </w:rPr>
        <w:t xml:space="preserve"> </w:t>
      </w:r>
      <w:r>
        <w:rPr>
          <w:spacing w:val="-4"/>
          <w:sz w:val="18"/>
        </w:rPr>
        <w:t>например</w:t>
      </w:r>
      <w:r>
        <w:rPr>
          <w:spacing w:val="-4"/>
          <w:sz w:val="18"/>
          <w:lang w:val="pt-PT"/>
        </w:rPr>
        <w:t xml:space="preserve"> </w:t>
      </w:r>
      <w:r>
        <w:rPr>
          <w:spacing w:val="-4"/>
          <w:sz w:val="18"/>
        </w:rPr>
        <w:t>вноски</w:t>
      </w:r>
      <w:r>
        <w:rPr>
          <w:spacing w:val="-4"/>
          <w:sz w:val="18"/>
          <w:lang w:val="pt-PT"/>
        </w:rPr>
        <w:t xml:space="preserve"> </w:t>
      </w:r>
      <w:r>
        <w:rPr>
          <w:spacing w:val="-4"/>
          <w:sz w:val="18"/>
        </w:rPr>
        <w:t>на</w:t>
      </w:r>
      <w:r>
        <w:rPr>
          <w:spacing w:val="-4"/>
          <w:sz w:val="18"/>
          <w:lang w:val="pt-PT"/>
        </w:rPr>
        <w:t xml:space="preserve"> </w:t>
      </w:r>
      <w:r>
        <w:rPr>
          <w:spacing w:val="-4"/>
          <w:sz w:val="18"/>
        </w:rPr>
        <w:t>ЕИП</w:t>
      </w:r>
      <w:r>
        <w:rPr>
          <w:spacing w:val="-4"/>
          <w:sz w:val="18"/>
          <w:lang w:val="pt-PT"/>
        </w:rPr>
        <w:t xml:space="preserve">, </w:t>
      </w:r>
      <w:r>
        <w:rPr>
          <w:spacing w:val="-4"/>
          <w:sz w:val="18"/>
        </w:rPr>
        <w:t>такси</w:t>
      </w:r>
      <w:r>
        <w:rPr>
          <w:spacing w:val="-4"/>
          <w:sz w:val="18"/>
          <w:lang w:val="pt-PT"/>
        </w:rPr>
        <w:t xml:space="preserve"> </w:t>
      </w:r>
      <w:r>
        <w:rPr>
          <w:spacing w:val="-4"/>
          <w:sz w:val="18"/>
        </w:rPr>
        <w:t>на</w:t>
      </w:r>
      <w:r>
        <w:rPr>
          <w:spacing w:val="-4"/>
          <w:sz w:val="18"/>
          <w:lang w:val="pt-PT"/>
        </w:rPr>
        <w:t xml:space="preserve"> </w:t>
      </w:r>
      <w:r>
        <w:rPr>
          <w:spacing w:val="-4"/>
          <w:sz w:val="18"/>
        </w:rPr>
        <w:t>трети</w:t>
      </w:r>
      <w:r>
        <w:rPr>
          <w:spacing w:val="-4"/>
          <w:sz w:val="18"/>
          <w:lang w:val="pt-PT"/>
        </w:rPr>
        <w:t xml:space="preserve"> </w:t>
      </w:r>
      <w:r>
        <w:rPr>
          <w:spacing w:val="-4"/>
          <w:sz w:val="18"/>
        </w:rPr>
        <w:t>държави</w:t>
      </w:r>
      <w:r>
        <w:rPr>
          <w:spacing w:val="-4"/>
          <w:sz w:val="18"/>
          <w:lang w:val="pt-PT"/>
        </w:rPr>
        <w:t xml:space="preserve"> </w:t>
      </w:r>
      <w:r>
        <w:rPr>
          <w:spacing w:val="-4"/>
          <w:sz w:val="18"/>
        </w:rPr>
        <w:t>за</w:t>
      </w:r>
      <w:r>
        <w:rPr>
          <w:spacing w:val="-4"/>
          <w:sz w:val="18"/>
          <w:lang w:val="pt-PT"/>
        </w:rPr>
        <w:t xml:space="preserve"> </w:t>
      </w:r>
      <w:r>
        <w:rPr>
          <w:spacing w:val="-4"/>
          <w:sz w:val="18"/>
        </w:rPr>
        <w:t>участие</w:t>
      </w:r>
      <w:r>
        <w:rPr>
          <w:spacing w:val="-4"/>
          <w:sz w:val="18"/>
          <w:lang w:val="pt-PT"/>
        </w:rPr>
        <w:t xml:space="preserve"> </w:t>
      </w:r>
      <w:r>
        <w:rPr>
          <w:spacing w:val="-4"/>
          <w:sz w:val="18"/>
        </w:rPr>
        <w:t>във</w:t>
      </w:r>
      <w:r>
        <w:rPr>
          <w:spacing w:val="-4"/>
          <w:sz w:val="18"/>
          <w:lang w:val="pt-PT"/>
        </w:rPr>
        <w:t xml:space="preserve"> </w:t>
      </w:r>
      <w:r>
        <w:rPr>
          <w:spacing w:val="-4"/>
          <w:sz w:val="18"/>
        </w:rPr>
        <w:t>финансовия</w:t>
      </w:r>
      <w:r>
        <w:rPr>
          <w:spacing w:val="-4"/>
          <w:sz w:val="18"/>
          <w:lang w:val="pt-PT"/>
        </w:rPr>
        <w:t xml:space="preserve"> </w:t>
      </w:r>
      <w:r>
        <w:rPr>
          <w:spacing w:val="-4"/>
          <w:sz w:val="18"/>
        </w:rPr>
        <w:t>инструмент</w:t>
      </w:r>
      <w:r>
        <w:rPr>
          <w:spacing w:val="-4"/>
          <w:sz w:val="18"/>
          <w:lang w:val="pt-PT"/>
        </w:rPr>
        <w:t xml:space="preserve"> </w:t>
      </w:r>
      <w:r>
        <w:rPr>
          <w:spacing w:val="-4"/>
          <w:sz w:val="18"/>
        </w:rPr>
        <w:t>или</w:t>
      </w:r>
      <w:r>
        <w:rPr>
          <w:spacing w:val="-4"/>
          <w:sz w:val="18"/>
          <w:lang w:val="pt-PT"/>
        </w:rPr>
        <w:t xml:space="preserve"> </w:t>
      </w:r>
      <w:r>
        <w:rPr>
          <w:spacing w:val="-4"/>
          <w:sz w:val="18"/>
        </w:rPr>
        <w:t>суми</w:t>
      </w:r>
      <w:r>
        <w:rPr>
          <w:spacing w:val="-4"/>
          <w:sz w:val="18"/>
          <w:lang w:val="pt-PT"/>
        </w:rPr>
        <w:t xml:space="preserve">, </w:t>
      </w:r>
      <w:r>
        <w:rPr>
          <w:spacing w:val="-4"/>
          <w:sz w:val="18"/>
        </w:rPr>
        <w:t>прехвърлени</w:t>
      </w:r>
      <w:r>
        <w:rPr>
          <w:spacing w:val="-4"/>
          <w:sz w:val="18"/>
          <w:lang w:val="pt-PT"/>
        </w:rPr>
        <w:t xml:space="preserve"> </w:t>
      </w:r>
      <w:r>
        <w:rPr>
          <w:spacing w:val="-4"/>
          <w:sz w:val="18"/>
        </w:rPr>
        <w:t>в</w:t>
      </w:r>
      <w:r>
        <w:rPr>
          <w:spacing w:val="-4"/>
          <w:sz w:val="18"/>
          <w:lang w:val="pt-PT"/>
        </w:rPr>
        <w:t xml:space="preserve"> </w:t>
      </w:r>
      <w:r>
        <w:rPr>
          <w:spacing w:val="-4"/>
          <w:sz w:val="18"/>
        </w:rPr>
        <w:t>рамките</w:t>
      </w:r>
      <w:r>
        <w:rPr>
          <w:spacing w:val="-4"/>
          <w:sz w:val="18"/>
          <w:lang w:val="pt-PT"/>
        </w:rPr>
        <w:t xml:space="preserve"> </w:t>
      </w:r>
      <w:r>
        <w:rPr>
          <w:spacing w:val="-4"/>
          <w:sz w:val="18"/>
        </w:rPr>
        <w:t>на</w:t>
      </w:r>
      <w:r>
        <w:rPr>
          <w:spacing w:val="-4"/>
          <w:sz w:val="18"/>
          <w:lang w:val="pt-PT"/>
        </w:rPr>
        <w:t xml:space="preserve"> </w:t>
      </w:r>
      <w:r>
        <w:rPr>
          <w:spacing w:val="-4"/>
          <w:sz w:val="18"/>
        </w:rPr>
        <w:t>бюджета</w:t>
      </w:r>
      <w:r>
        <w:rPr>
          <w:spacing w:val="-4"/>
          <w:sz w:val="18"/>
          <w:lang w:val="pt-PT"/>
        </w:rPr>
        <w:t xml:space="preserve"> </w:t>
      </w:r>
      <w:r>
        <w:rPr>
          <w:spacing w:val="-4"/>
          <w:sz w:val="18"/>
        </w:rPr>
        <w:t>на</w:t>
      </w:r>
      <w:r>
        <w:rPr>
          <w:spacing w:val="-4"/>
          <w:sz w:val="18"/>
          <w:lang w:val="pt-PT"/>
        </w:rPr>
        <w:t xml:space="preserve"> </w:t>
      </w:r>
      <w:r>
        <w:rPr>
          <w:spacing w:val="-4"/>
          <w:sz w:val="18"/>
        </w:rPr>
        <w:t>Съюза</w:t>
      </w:r>
      <w:r>
        <w:rPr>
          <w:spacing w:val="-4"/>
          <w:sz w:val="18"/>
          <w:lang w:val="pt-PT"/>
        </w:rPr>
        <w:t xml:space="preserve"> </w:t>
      </w:r>
      <w:r>
        <w:rPr>
          <w:spacing w:val="-4"/>
          <w:sz w:val="18"/>
        </w:rPr>
        <w:t>за</w:t>
      </w:r>
      <w:r>
        <w:rPr>
          <w:spacing w:val="-4"/>
          <w:sz w:val="18"/>
          <w:lang w:val="pt-PT"/>
        </w:rPr>
        <w:t xml:space="preserve"> </w:t>
      </w:r>
      <w:r>
        <w:rPr>
          <w:spacing w:val="-4"/>
          <w:sz w:val="18"/>
        </w:rPr>
        <w:t>съответния</w:t>
      </w:r>
      <w:r>
        <w:rPr>
          <w:spacing w:val="-4"/>
          <w:sz w:val="18"/>
          <w:lang w:val="pt-PT"/>
        </w:rPr>
        <w:t xml:space="preserve"> </w:t>
      </w:r>
      <w:r>
        <w:rPr>
          <w:spacing w:val="-4"/>
          <w:sz w:val="18"/>
        </w:rPr>
        <w:t>финансов</w:t>
      </w:r>
      <w:r>
        <w:rPr>
          <w:spacing w:val="-4"/>
          <w:sz w:val="18"/>
          <w:lang w:val="pt-PT"/>
        </w:rPr>
        <w:t xml:space="preserve"> </w:t>
      </w:r>
      <w:r>
        <w:rPr>
          <w:spacing w:val="-4"/>
          <w:sz w:val="18"/>
        </w:rPr>
        <w:t>инструмент</w:t>
      </w:r>
      <w:r>
        <w:rPr>
          <w:spacing w:val="-4"/>
          <w:sz w:val="18"/>
          <w:lang w:val="pt-PT"/>
        </w:rPr>
        <w:t>. „</w:t>
      </w:r>
      <w:r>
        <w:rPr>
          <w:spacing w:val="-4"/>
          <w:sz w:val="18"/>
        </w:rPr>
        <w:t>Постигнатото</w:t>
      </w:r>
      <w:r>
        <w:rPr>
          <w:spacing w:val="-4"/>
          <w:sz w:val="18"/>
          <w:lang w:val="pt-PT"/>
        </w:rPr>
        <w:t xml:space="preserve"> </w:t>
      </w:r>
      <w:r>
        <w:rPr>
          <w:spacing w:val="-4"/>
          <w:sz w:val="18"/>
        </w:rPr>
        <w:t>финансиране</w:t>
      </w:r>
      <w:r>
        <w:rPr>
          <w:spacing w:val="-4"/>
          <w:sz w:val="18"/>
          <w:lang w:val="pt-PT"/>
        </w:rPr>
        <w:t xml:space="preserve">“ </w:t>
      </w:r>
      <w:r>
        <w:rPr>
          <w:spacing w:val="-4"/>
          <w:sz w:val="18"/>
        </w:rPr>
        <w:t>съответства</w:t>
      </w:r>
      <w:r>
        <w:rPr>
          <w:spacing w:val="-4"/>
          <w:sz w:val="18"/>
          <w:lang w:val="pt-PT"/>
        </w:rPr>
        <w:t xml:space="preserve"> </w:t>
      </w:r>
      <w:r>
        <w:rPr>
          <w:spacing w:val="-4"/>
          <w:sz w:val="18"/>
        </w:rPr>
        <w:t>на</w:t>
      </w:r>
      <w:r>
        <w:rPr>
          <w:spacing w:val="-4"/>
          <w:sz w:val="18"/>
          <w:lang w:val="pt-PT"/>
        </w:rPr>
        <w:t xml:space="preserve"> </w:t>
      </w:r>
      <w:r>
        <w:rPr>
          <w:spacing w:val="-4"/>
          <w:sz w:val="18"/>
        </w:rPr>
        <w:t>финансирането</w:t>
      </w:r>
      <w:r>
        <w:rPr>
          <w:spacing w:val="-4"/>
          <w:sz w:val="18"/>
          <w:lang w:val="pt-PT"/>
        </w:rPr>
        <w:t xml:space="preserve">, </w:t>
      </w:r>
      <w:r>
        <w:rPr>
          <w:spacing w:val="-4"/>
          <w:sz w:val="18"/>
        </w:rPr>
        <w:t>предоставено</w:t>
      </w:r>
      <w:r>
        <w:rPr>
          <w:spacing w:val="-4"/>
          <w:sz w:val="18"/>
          <w:lang w:val="pt-PT"/>
        </w:rPr>
        <w:t xml:space="preserve"> </w:t>
      </w:r>
      <w:r>
        <w:rPr>
          <w:spacing w:val="-4"/>
          <w:sz w:val="18"/>
        </w:rPr>
        <w:t>на</w:t>
      </w:r>
      <w:r>
        <w:rPr>
          <w:spacing w:val="-4"/>
          <w:sz w:val="18"/>
          <w:lang w:val="pt-PT"/>
        </w:rPr>
        <w:t xml:space="preserve"> </w:t>
      </w:r>
      <w:r>
        <w:rPr>
          <w:spacing w:val="-4"/>
          <w:sz w:val="18"/>
        </w:rPr>
        <w:t>допустимите</w:t>
      </w:r>
      <w:r>
        <w:rPr>
          <w:spacing w:val="-4"/>
          <w:sz w:val="18"/>
          <w:lang w:val="pt-PT"/>
        </w:rPr>
        <w:t xml:space="preserve"> </w:t>
      </w:r>
      <w:r>
        <w:rPr>
          <w:spacing w:val="-4"/>
          <w:sz w:val="18"/>
        </w:rPr>
        <w:t>крайни</w:t>
      </w:r>
      <w:r>
        <w:rPr>
          <w:spacing w:val="-4"/>
          <w:sz w:val="18"/>
          <w:lang w:val="pt-PT"/>
        </w:rPr>
        <w:t xml:space="preserve"> </w:t>
      </w:r>
      <w:r>
        <w:rPr>
          <w:spacing w:val="-4"/>
          <w:sz w:val="18"/>
        </w:rPr>
        <w:t>получатели</w:t>
      </w:r>
      <w:r>
        <w:rPr>
          <w:spacing w:val="-4"/>
          <w:sz w:val="18"/>
          <w:lang w:val="pt-PT"/>
        </w:rPr>
        <w:t xml:space="preserve"> </w:t>
      </w:r>
      <w:r>
        <w:rPr>
          <w:spacing w:val="-4"/>
          <w:sz w:val="18"/>
        </w:rPr>
        <w:t>по</w:t>
      </w:r>
      <w:r>
        <w:rPr>
          <w:spacing w:val="-4"/>
          <w:sz w:val="18"/>
          <w:lang w:val="pt-PT"/>
        </w:rPr>
        <w:t xml:space="preserve"> </w:t>
      </w:r>
      <w:r>
        <w:rPr>
          <w:spacing w:val="-4"/>
          <w:sz w:val="18"/>
        </w:rPr>
        <w:t>даден</w:t>
      </w:r>
      <w:r>
        <w:rPr>
          <w:spacing w:val="-4"/>
          <w:sz w:val="18"/>
          <w:lang w:val="pt-PT"/>
        </w:rPr>
        <w:t xml:space="preserve"> </w:t>
      </w:r>
      <w:r>
        <w:rPr>
          <w:spacing w:val="-4"/>
          <w:sz w:val="18"/>
        </w:rPr>
        <w:t>финансов</w:t>
      </w:r>
      <w:r>
        <w:rPr>
          <w:spacing w:val="-4"/>
          <w:sz w:val="18"/>
          <w:lang w:val="pt-PT"/>
        </w:rPr>
        <w:t xml:space="preserve"> </w:t>
      </w:r>
      <w:r>
        <w:rPr>
          <w:spacing w:val="-4"/>
          <w:sz w:val="18"/>
        </w:rPr>
        <w:t>инструмент</w:t>
      </w:r>
      <w:r>
        <w:rPr>
          <w:spacing w:val="-4"/>
          <w:sz w:val="18"/>
          <w:lang w:val="pt-PT"/>
        </w:rPr>
        <w:t xml:space="preserve"> </w:t>
      </w:r>
      <w:r>
        <w:rPr>
          <w:spacing w:val="-4"/>
          <w:sz w:val="18"/>
        </w:rPr>
        <w:t>по</w:t>
      </w:r>
      <w:r>
        <w:rPr>
          <w:spacing w:val="-4"/>
          <w:sz w:val="18"/>
          <w:lang w:val="pt-PT"/>
        </w:rPr>
        <w:t xml:space="preserve"> </w:t>
      </w:r>
      <w:r>
        <w:rPr>
          <w:spacing w:val="-4"/>
          <w:sz w:val="18"/>
        </w:rPr>
        <w:t>финансовата</w:t>
      </w:r>
      <w:r>
        <w:rPr>
          <w:spacing w:val="-4"/>
          <w:sz w:val="18"/>
          <w:lang w:val="pt-PT"/>
        </w:rPr>
        <w:t xml:space="preserve"> </w:t>
      </w:r>
      <w:r>
        <w:rPr>
          <w:spacing w:val="-4"/>
          <w:sz w:val="18"/>
        </w:rPr>
        <w:t>верига</w:t>
      </w:r>
      <w:r>
        <w:rPr>
          <w:spacing w:val="-4"/>
          <w:sz w:val="18"/>
          <w:lang w:val="pt-PT"/>
        </w:rPr>
        <w:t xml:space="preserve">, </w:t>
      </w:r>
      <w:r>
        <w:rPr>
          <w:spacing w:val="-4"/>
          <w:sz w:val="18"/>
        </w:rPr>
        <w:t>включително</w:t>
      </w:r>
      <w:r>
        <w:rPr>
          <w:spacing w:val="-4"/>
          <w:sz w:val="18"/>
          <w:lang w:val="pt-PT"/>
        </w:rPr>
        <w:t xml:space="preserve"> </w:t>
      </w:r>
      <w:r>
        <w:rPr>
          <w:spacing w:val="-4"/>
          <w:sz w:val="18"/>
        </w:rPr>
        <w:t>частта</w:t>
      </w:r>
      <w:r>
        <w:rPr>
          <w:spacing w:val="-4"/>
          <w:sz w:val="18"/>
          <w:lang w:val="pt-PT"/>
        </w:rPr>
        <w:t xml:space="preserve"> </w:t>
      </w:r>
      <w:r>
        <w:rPr>
          <w:spacing w:val="-4"/>
          <w:sz w:val="18"/>
        </w:rPr>
        <w:t>на</w:t>
      </w:r>
      <w:r>
        <w:rPr>
          <w:spacing w:val="-4"/>
          <w:sz w:val="18"/>
          <w:lang w:val="pt-PT"/>
        </w:rPr>
        <w:t xml:space="preserve"> </w:t>
      </w:r>
      <w:r>
        <w:rPr>
          <w:spacing w:val="-4"/>
          <w:sz w:val="18"/>
        </w:rPr>
        <w:t>участието</w:t>
      </w:r>
      <w:r>
        <w:rPr>
          <w:spacing w:val="-4"/>
          <w:sz w:val="18"/>
          <w:lang w:val="pt-PT"/>
        </w:rPr>
        <w:t xml:space="preserve"> </w:t>
      </w:r>
      <w:r>
        <w:rPr>
          <w:spacing w:val="-4"/>
          <w:sz w:val="18"/>
        </w:rPr>
        <w:t>на</w:t>
      </w:r>
      <w:r>
        <w:rPr>
          <w:spacing w:val="-4"/>
          <w:sz w:val="18"/>
          <w:lang w:val="pt-PT"/>
        </w:rPr>
        <w:t xml:space="preserve"> </w:t>
      </w:r>
      <w:r>
        <w:rPr>
          <w:spacing w:val="-4"/>
          <w:sz w:val="18"/>
        </w:rPr>
        <w:t>Съюза</w:t>
      </w:r>
      <w:r>
        <w:rPr>
          <w:spacing w:val="-4"/>
          <w:sz w:val="18"/>
          <w:lang w:val="pt-PT"/>
        </w:rPr>
        <w:t xml:space="preserve">, </w:t>
      </w:r>
      <w:r>
        <w:rPr>
          <w:spacing w:val="-4"/>
          <w:sz w:val="18"/>
        </w:rPr>
        <w:t>т</w:t>
      </w:r>
      <w:r>
        <w:rPr>
          <w:spacing w:val="-4"/>
          <w:sz w:val="18"/>
          <w:lang w:val="pt-PT"/>
        </w:rPr>
        <w:t>.</w:t>
      </w:r>
      <w:r>
        <w:rPr>
          <w:spacing w:val="-4"/>
          <w:sz w:val="18"/>
        </w:rPr>
        <w:t>е</w:t>
      </w:r>
      <w:r>
        <w:rPr>
          <w:spacing w:val="-4"/>
          <w:sz w:val="18"/>
          <w:lang w:val="pt-PT"/>
        </w:rPr>
        <w:t xml:space="preserve">. </w:t>
      </w:r>
      <w:r>
        <w:rPr>
          <w:spacing w:val="-4"/>
          <w:sz w:val="18"/>
        </w:rPr>
        <w:t>общият</w:t>
      </w:r>
      <w:r>
        <w:rPr>
          <w:spacing w:val="-4"/>
          <w:sz w:val="18"/>
          <w:lang w:val="pt-PT"/>
        </w:rPr>
        <w:t xml:space="preserve"> </w:t>
      </w:r>
      <w:r>
        <w:rPr>
          <w:spacing w:val="-4"/>
          <w:sz w:val="18"/>
        </w:rPr>
        <w:t>размер</w:t>
      </w:r>
      <w:r>
        <w:rPr>
          <w:spacing w:val="-4"/>
          <w:sz w:val="18"/>
          <w:lang w:val="pt-PT"/>
        </w:rPr>
        <w:t xml:space="preserve"> </w:t>
      </w:r>
      <w:r>
        <w:rPr>
          <w:spacing w:val="-4"/>
          <w:sz w:val="18"/>
        </w:rPr>
        <w:t>на</w:t>
      </w:r>
      <w:r>
        <w:rPr>
          <w:spacing w:val="-4"/>
          <w:sz w:val="18"/>
          <w:lang w:val="pt-PT"/>
        </w:rPr>
        <w:t xml:space="preserve"> </w:t>
      </w:r>
      <w:r>
        <w:rPr>
          <w:spacing w:val="-4"/>
          <w:sz w:val="18"/>
        </w:rPr>
        <w:t>бюджетните</w:t>
      </w:r>
      <w:r>
        <w:rPr>
          <w:spacing w:val="-4"/>
          <w:sz w:val="18"/>
          <w:lang w:val="pt-PT"/>
        </w:rPr>
        <w:t xml:space="preserve"> </w:t>
      </w:r>
      <w:r>
        <w:rPr>
          <w:spacing w:val="-4"/>
          <w:sz w:val="18"/>
        </w:rPr>
        <w:t>задължения</w:t>
      </w:r>
      <w:r>
        <w:rPr>
          <w:spacing w:val="-4"/>
          <w:sz w:val="18"/>
          <w:lang w:val="pt-PT"/>
        </w:rPr>
        <w:t xml:space="preserve">. </w:t>
      </w:r>
      <w:r>
        <w:rPr>
          <w:spacing w:val="-4"/>
          <w:sz w:val="18"/>
        </w:rPr>
        <w:t>Накрая</w:t>
      </w:r>
      <w:r>
        <w:rPr>
          <w:spacing w:val="-4"/>
          <w:sz w:val="18"/>
          <w:lang w:val="pt-PT"/>
        </w:rPr>
        <w:t xml:space="preserve"> „</w:t>
      </w:r>
      <w:r>
        <w:rPr>
          <w:spacing w:val="-4"/>
          <w:sz w:val="18"/>
        </w:rPr>
        <w:t>постигнатите</w:t>
      </w:r>
      <w:r>
        <w:rPr>
          <w:spacing w:val="-4"/>
          <w:sz w:val="18"/>
          <w:lang w:val="pt-PT"/>
        </w:rPr>
        <w:t xml:space="preserve"> </w:t>
      </w:r>
      <w:r>
        <w:rPr>
          <w:spacing w:val="-4"/>
          <w:sz w:val="18"/>
        </w:rPr>
        <w:t>инвестиции</w:t>
      </w:r>
      <w:r>
        <w:rPr>
          <w:spacing w:val="-4"/>
          <w:sz w:val="18"/>
          <w:lang w:val="pt-PT"/>
        </w:rPr>
        <w:t xml:space="preserve">“ </w:t>
      </w:r>
      <w:r>
        <w:rPr>
          <w:spacing w:val="-4"/>
          <w:sz w:val="18"/>
        </w:rPr>
        <w:t>са</w:t>
      </w:r>
      <w:r>
        <w:rPr>
          <w:spacing w:val="-4"/>
          <w:sz w:val="18"/>
          <w:lang w:val="pt-PT"/>
        </w:rPr>
        <w:t xml:space="preserve"> </w:t>
      </w:r>
      <w:r>
        <w:rPr>
          <w:spacing w:val="-4"/>
          <w:sz w:val="18"/>
        </w:rPr>
        <w:t>разходите</w:t>
      </w:r>
      <w:r>
        <w:rPr>
          <w:spacing w:val="-4"/>
          <w:sz w:val="18"/>
          <w:lang w:val="pt-PT"/>
        </w:rPr>
        <w:t xml:space="preserve"> </w:t>
      </w:r>
      <w:r>
        <w:rPr>
          <w:spacing w:val="-4"/>
          <w:sz w:val="18"/>
        </w:rPr>
        <w:t>за</w:t>
      </w:r>
      <w:r>
        <w:rPr>
          <w:spacing w:val="-4"/>
          <w:sz w:val="18"/>
          <w:lang w:val="pt-PT"/>
        </w:rPr>
        <w:t xml:space="preserve"> </w:t>
      </w:r>
      <w:r>
        <w:rPr>
          <w:spacing w:val="-4"/>
          <w:sz w:val="18"/>
        </w:rPr>
        <w:t>капиталови</w:t>
      </w:r>
      <w:r>
        <w:rPr>
          <w:spacing w:val="-4"/>
          <w:sz w:val="18"/>
          <w:lang w:val="pt-PT"/>
        </w:rPr>
        <w:t xml:space="preserve"> </w:t>
      </w:r>
      <w:r>
        <w:rPr>
          <w:spacing w:val="-4"/>
          <w:sz w:val="18"/>
        </w:rPr>
        <w:t>инвестиции</w:t>
      </w:r>
      <w:r>
        <w:rPr>
          <w:spacing w:val="-4"/>
          <w:sz w:val="18"/>
          <w:lang w:val="pt-PT"/>
        </w:rPr>
        <w:t xml:space="preserve">, </w:t>
      </w:r>
      <w:r>
        <w:rPr>
          <w:spacing w:val="-4"/>
          <w:sz w:val="18"/>
        </w:rPr>
        <w:t>поети</w:t>
      </w:r>
      <w:r>
        <w:rPr>
          <w:spacing w:val="-4"/>
          <w:sz w:val="18"/>
          <w:lang w:val="pt-PT"/>
        </w:rPr>
        <w:t xml:space="preserve"> </w:t>
      </w:r>
      <w:r>
        <w:rPr>
          <w:spacing w:val="-4"/>
          <w:sz w:val="18"/>
        </w:rPr>
        <w:t>от</w:t>
      </w:r>
      <w:r>
        <w:rPr>
          <w:spacing w:val="-4"/>
          <w:sz w:val="18"/>
          <w:lang w:val="pt-PT"/>
        </w:rPr>
        <w:t xml:space="preserve"> </w:t>
      </w:r>
      <w:r>
        <w:rPr>
          <w:spacing w:val="-4"/>
          <w:sz w:val="18"/>
        </w:rPr>
        <w:t>крайния</w:t>
      </w:r>
      <w:r>
        <w:rPr>
          <w:spacing w:val="-4"/>
          <w:sz w:val="18"/>
          <w:lang w:val="pt-PT"/>
        </w:rPr>
        <w:t xml:space="preserve"> </w:t>
      </w:r>
      <w:r>
        <w:rPr>
          <w:spacing w:val="-4"/>
          <w:sz w:val="18"/>
        </w:rPr>
        <w:t>получател</w:t>
      </w:r>
      <w:r>
        <w:rPr>
          <w:spacing w:val="-4"/>
          <w:sz w:val="18"/>
          <w:lang w:val="pt-PT"/>
        </w:rPr>
        <w:t xml:space="preserve">; </w:t>
      </w:r>
      <w:r>
        <w:rPr>
          <w:spacing w:val="-4"/>
          <w:sz w:val="18"/>
        </w:rPr>
        <w:t>в</w:t>
      </w:r>
      <w:r>
        <w:rPr>
          <w:spacing w:val="-4"/>
          <w:sz w:val="18"/>
          <w:lang w:val="pt-PT"/>
        </w:rPr>
        <w:t xml:space="preserve"> </w:t>
      </w:r>
      <w:r>
        <w:rPr>
          <w:spacing w:val="-4"/>
          <w:sz w:val="18"/>
        </w:rPr>
        <w:t>много</w:t>
      </w:r>
      <w:r>
        <w:rPr>
          <w:spacing w:val="-4"/>
          <w:sz w:val="18"/>
          <w:lang w:val="pt-PT"/>
        </w:rPr>
        <w:t xml:space="preserve"> </w:t>
      </w:r>
      <w:r>
        <w:rPr>
          <w:spacing w:val="-4"/>
          <w:sz w:val="18"/>
        </w:rPr>
        <w:t>случаи</w:t>
      </w:r>
      <w:r>
        <w:rPr>
          <w:spacing w:val="-4"/>
          <w:sz w:val="18"/>
          <w:lang w:val="pt-PT"/>
        </w:rPr>
        <w:t xml:space="preserve"> </w:t>
      </w:r>
      <w:r>
        <w:rPr>
          <w:spacing w:val="-4"/>
          <w:sz w:val="18"/>
        </w:rPr>
        <w:t>са</w:t>
      </w:r>
      <w:r>
        <w:rPr>
          <w:spacing w:val="-4"/>
          <w:sz w:val="18"/>
          <w:lang w:val="pt-PT"/>
        </w:rPr>
        <w:t xml:space="preserve"> </w:t>
      </w:r>
      <w:r>
        <w:rPr>
          <w:spacing w:val="-4"/>
          <w:sz w:val="18"/>
        </w:rPr>
        <w:t>заменени</w:t>
      </w:r>
      <w:r>
        <w:rPr>
          <w:spacing w:val="-4"/>
          <w:sz w:val="18"/>
          <w:lang w:val="pt-PT"/>
        </w:rPr>
        <w:t xml:space="preserve"> </w:t>
      </w:r>
      <w:r>
        <w:rPr>
          <w:spacing w:val="-4"/>
          <w:sz w:val="18"/>
        </w:rPr>
        <w:t>с</w:t>
      </w:r>
      <w:r>
        <w:rPr>
          <w:spacing w:val="-4"/>
          <w:sz w:val="18"/>
          <w:lang w:val="pt-PT"/>
        </w:rPr>
        <w:t xml:space="preserve"> </w:t>
      </w:r>
      <w:r>
        <w:rPr>
          <w:spacing w:val="-4"/>
          <w:sz w:val="18"/>
        </w:rPr>
        <w:t>общия</w:t>
      </w:r>
      <w:r>
        <w:rPr>
          <w:spacing w:val="-4"/>
          <w:sz w:val="18"/>
          <w:lang w:val="pt-PT"/>
        </w:rPr>
        <w:t xml:space="preserve"> </w:t>
      </w:r>
      <w:r>
        <w:rPr>
          <w:spacing w:val="-4"/>
          <w:sz w:val="18"/>
        </w:rPr>
        <w:t>размер</w:t>
      </w:r>
      <w:r>
        <w:rPr>
          <w:spacing w:val="-4"/>
          <w:sz w:val="18"/>
          <w:lang w:val="pt-PT"/>
        </w:rPr>
        <w:t xml:space="preserve"> </w:t>
      </w:r>
      <w:r>
        <w:rPr>
          <w:spacing w:val="-4"/>
          <w:sz w:val="18"/>
        </w:rPr>
        <w:t>на</w:t>
      </w:r>
      <w:r>
        <w:rPr>
          <w:spacing w:val="-4"/>
          <w:sz w:val="18"/>
          <w:lang w:val="pt-PT"/>
        </w:rPr>
        <w:t xml:space="preserve"> </w:t>
      </w:r>
      <w:r>
        <w:rPr>
          <w:spacing w:val="-4"/>
          <w:sz w:val="18"/>
        </w:rPr>
        <w:t>финансирането</w:t>
      </w:r>
      <w:r>
        <w:rPr>
          <w:spacing w:val="-4"/>
          <w:sz w:val="18"/>
          <w:lang w:val="pt-PT"/>
        </w:rPr>
        <w:t xml:space="preserve">, </w:t>
      </w:r>
      <w:r>
        <w:rPr>
          <w:spacing w:val="-4"/>
          <w:sz w:val="18"/>
        </w:rPr>
        <w:t>с</w:t>
      </w:r>
      <w:r>
        <w:rPr>
          <w:spacing w:val="-4"/>
          <w:sz w:val="18"/>
          <w:lang w:val="pt-PT"/>
        </w:rPr>
        <w:t xml:space="preserve"> </w:t>
      </w:r>
      <w:r>
        <w:rPr>
          <w:spacing w:val="-4"/>
          <w:sz w:val="18"/>
        </w:rPr>
        <w:t>което</w:t>
      </w:r>
      <w:r>
        <w:rPr>
          <w:spacing w:val="-4"/>
          <w:sz w:val="18"/>
          <w:lang w:val="pt-PT"/>
        </w:rPr>
        <w:t xml:space="preserve"> </w:t>
      </w:r>
      <w:r>
        <w:rPr>
          <w:spacing w:val="-4"/>
          <w:sz w:val="18"/>
        </w:rPr>
        <w:t>той</w:t>
      </w:r>
      <w:r>
        <w:rPr>
          <w:spacing w:val="-4"/>
          <w:sz w:val="18"/>
          <w:lang w:val="pt-PT"/>
        </w:rPr>
        <w:t xml:space="preserve"> </w:t>
      </w:r>
      <w:r>
        <w:rPr>
          <w:spacing w:val="-4"/>
          <w:sz w:val="18"/>
        </w:rPr>
        <w:t>разполага</w:t>
      </w:r>
      <w:r>
        <w:rPr>
          <w:spacing w:val="-4"/>
          <w:sz w:val="18"/>
          <w:lang w:val="pt-PT"/>
        </w:rPr>
        <w:t xml:space="preserve"> </w:t>
      </w:r>
      <w:r>
        <w:rPr>
          <w:spacing w:val="-4"/>
          <w:sz w:val="18"/>
        </w:rPr>
        <w:t>за</w:t>
      </w:r>
      <w:r>
        <w:rPr>
          <w:spacing w:val="-4"/>
          <w:sz w:val="18"/>
          <w:lang w:val="pt-PT"/>
        </w:rPr>
        <w:t xml:space="preserve"> </w:t>
      </w:r>
      <w:r>
        <w:rPr>
          <w:spacing w:val="-4"/>
          <w:sz w:val="18"/>
        </w:rPr>
        <w:t>реализиране</w:t>
      </w:r>
      <w:r>
        <w:rPr>
          <w:spacing w:val="-4"/>
          <w:sz w:val="18"/>
          <w:lang w:val="pt-PT"/>
        </w:rPr>
        <w:t xml:space="preserve"> </w:t>
      </w:r>
      <w:r>
        <w:rPr>
          <w:spacing w:val="-4"/>
          <w:sz w:val="18"/>
        </w:rPr>
        <w:t>на</w:t>
      </w:r>
      <w:r>
        <w:rPr>
          <w:spacing w:val="-4"/>
          <w:sz w:val="18"/>
          <w:lang w:val="pt-PT"/>
        </w:rPr>
        <w:t xml:space="preserve"> </w:t>
      </w:r>
      <w:r>
        <w:rPr>
          <w:spacing w:val="-4"/>
          <w:sz w:val="18"/>
        </w:rPr>
        <w:t>инвестициите</w:t>
      </w:r>
      <w:r>
        <w:rPr>
          <w:spacing w:val="-4"/>
          <w:sz w:val="18"/>
          <w:lang w:val="pt-PT"/>
        </w:rPr>
        <w:t xml:space="preserve">, </w:t>
      </w:r>
      <w:r>
        <w:rPr>
          <w:spacing w:val="-4"/>
          <w:sz w:val="18"/>
        </w:rPr>
        <w:t>включително</w:t>
      </w:r>
      <w:r>
        <w:rPr>
          <w:spacing w:val="-4"/>
          <w:sz w:val="18"/>
          <w:lang w:val="pt-PT"/>
        </w:rPr>
        <w:t xml:space="preserve"> </w:t>
      </w:r>
      <w:r>
        <w:rPr>
          <w:spacing w:val="-4"/>
          <w:sz w:val="18"/>
        </w:rPr>
        <w:t>собствени</w:t>
      </w:r>
      <w:r>
        <w:rPr>
          <w:spacing w:val="-4"/>
          <w:sz w:val="18"/>
          <w:lang w:val="pt-PT"/>
        </w:rPr>
        <w:t xml:space="preserve"> </w:t>
      </w:r>
      <w:r>
        <w:rPr>
          <w:spacing w:val="-4"/>
          <w:sz w:val="18"/>
        </w:rPr>
        <w:t>средства</w:t>
      </w:r>
      <w:r>
        <w:rPr>
          <w:spacing w:val="-4"/>
          <w:sz w:val="18"/>
          <w:lang w:val="pt-PT"/>
        </w:rPr>
        <w:t>.</w:t>
      </w:r>
    </w:p>
  </w:footnote>
  <w:footnote w:id="20">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По</w:t>
      </w:r>
      <w:r>
        <w:rPr>
          <w:sz w:val="18"/>
          <w:lang w:val="pt-PT"/>
        </w:rPr>
        <w:t xml:space="preserve"> </w:t>
      </w:r>
      <w:r>
        <w:rPr>
          <w:sz w:val="18"/>
        </w:rPr>
        <w:t>отношение</w:t>
      </w:r>
      <w:r>
        <w:rPr>
          <w:sz w:val="18"/>
          <w:lang w:val="pt-PT"/>
        </w:rPr>
        <w:t xml:space="preserve"> </w:t>
      </w:r>
      <w:r>
        <w:rPr>
          <w:sz w:val="18"/>
        </w:rPr>
        <w:t>на</w:t>
      </w:r>
      <w:r>
        <w:rPr>
          <w:sz w:val="18"/>
          <w:lang w:val="pt-PT"/>
        </w:rPr>
        <w:t xml:space="preserve"> </w:t>
      </w:r>
      <w:r>
        <w:rPr>
          <w:sz w:val="18"/>
        </w:rPr>
        <w:t>финансовите</w:t>
      </w:r>
      <w:r>
        <w:rPr>
          <w:sz w:val="18"/>
          <w:lang w:val="pt-PT"/>
        </w:rPr>
        <w:t xml:space="preserve"> </w:t>
      </w:r>
      <w:r>
        <w:rPr>
          <w:sz w:val="18"/>
        </w:rPr>
        <w:t>инструменти</w:t>
      </w:r>
      <w:r>
        <w:rPr>
          <w:sz w:val="18"/>
          <w:lang w:val="pt-PT"/>
        </w:rPr>
        <w:t xml:space="preserve"> </w:t>
      </w:r>
      <w:r>
        <w:rPr>
          <w:sz w:val="18"/>
        </w:rPr>
        <w:t>за</w:t>
      </w:r>
      <w:r>
        <w:rPr>
          <w:sz w:val="18"/>
          <w:lang w:val="pt-PT"/>
        </w:rPr>
        <w:t xml:space="preserve"> </w:t>
      </w:r>
      <w:r>
        <w:rPr>
          <w:sz w:val="18"/>
        </w:rPr>
        <w:t>периода</w:t>
      </w:r>
      <w:r>
        <w:rPr>
          <w:sz w:val="18"/>
          <w:lang w:val="pt-PT"/>
        </w:rPr>
        <w:t xml:space="preserve"> 2014—2020 </w:t>
      </w:r>
      <w:r>
        <w:rPr>
          <w:sz w:val="18"/>
        </w:rPr>
        <w:t>г</w:t>
      </w:r>
      <w:r>
        <w:rPr>
          <w:sz w:val="18"/>
          <w:lang w:val="pt-PT"/>
        </w:rPr>
        <w:t xml:space="preserve">. </w:t>
      </w:r>
      <w:r>
        <w:rPr>
          <w:sz w:val="18"/>
        </w:rPr>
        <w:t>в</w:t>
      </w:r>
      <w:r>
        <w:rPr>
          <w:sz w:val="18"/>
          <w:lang w:val="pt-PT"/>
        </w:rPr>
        <w:t xml:space="preserve"> „</w:t>
      </w:r>
      <w:r>
        <w:rPr>
          <w:sz w:val="18"/>
        </w:rPr>
        <w:t>бюджетен</w:t>
      </w:r>
      <w:r>
        <w:rPr>
          <w:sz w:val="18"/>
          <w:lang w:val="pt-PT"/>
        </w:rPr>
        <w:t xml:space="preserve"> </w:t>
      </w:r>
      <w:r>
        <w:rPr>
          <w:sz w:val="18"/>
        </w:rPr>
        <w:t>пакет</w:t>
      </w:r>
      <w:r>
        <w:rPr>
          <w:sz w:val="18"/>
          <w:lang w:val="pt-PT"/>
        </w:rPr>
        <w:t xml:space="preserve">“ </w:t>
      </w:r>
      <w:r>
        <w:rPr>
          <w:sz w:val="18"/>
        </w:rPr>
        <w:t>са</w:t>
      </w:r>
      <w:r>
        <w:rPr>
          <w:sz w:val="18"/>
          <w:lang w:val="pt-PT"/>
        </w:rPr>
        <w:t xml:space="preserve"> </w:t>
      </w:r>
      <w:r>
        <w:rPr>
          <w:sz w:val="18"/>
        </w:rPr>
        <w:t>посочени</w:t>
      </w:r>
      <w:r>
        <w:rPr>
          <w:sz w:val="18"/>
          <w:lang w:val="pt-PT"/>
        </w:rPr>
        <w:t xml:space="preserve"> </w:t>
      </w:r>
      <w:r>
        <w:rPr>
          <w:sz w:val="18"/>
        </w:rPr>
        <w:t>бюджетните</w:t>
      </w:r>
      <w:r>
        <w:rPr>
          <w:sz w:val="18"/>
          <w:lang w:val="pt-PT"/>
        </w:rPr>
        <w:t xml:space="preserve"> </w:t>
      </w:r>
      <w:r>
        <w:rPr>
          <w:sz w:val="18"/>
        </w:rPr>
        <w:t>кредити</w:t>
      </w:r>
      <w:r>
        <w:rPr>
          <w:sz w:val="18"/>
          <w:lang w:val="pt-PT"/>
        </w:rPr>
        <w:t xml:space="preserve"> </w:t>
      </w:r>
      <w:r>
        <w:rPr>
          <w:sz w:val="18"/>
        </w:rPr>
        <w:t>за</w:t>
      </w:r>
      <w:r>
        <w:rPr>
          <w:sz w:val="18"/>
          <w:lang w:val="pt-PT"/>
        </w:rPr>
        <w:t xml:space="preserve"> </w:t>
      </w:r>
      <w:r>
        <w:rPr>
          <w:sz w:val="18"/>
        </w:rPr>
        <w:t>поети</w:t>
      </w:r>
      <w:r>
        <w:rPr>
          <w:sz w:val="18"/>
          <w:lang w:val="pt-PT"/>
        </w:rPr>
        <w:t xml:space="preserve"> </w:t>
      </w:r>
      <w:r>
        <w:rPr>
          <w:sz w:val="18"/>
        </w:rPr>
        <w:t>задължения</w:t>
      </w:r>
      <w:r>
        <w:rPr>
          <w:sz w:val="18"/>
          <w:lang w:val="pt-PT"/>
        </w:rPr>
        <w:t xml:space="preserve"> </w:t>
      </w:r>
      <w:r>
        <w:rPr>
          <w:sz w:val="18"/>
        </w:rPr>
        <w:t>за</w:t>
      </w:r>
      <w:r>
        <w:rPr>
          <w:sz w:val="18"/>
          <w:lang w:val="pt-PT"/>
        </w:rPr>
        <w:t xml:space="preserve"> </w:t>
      </w:r>
      <w:r>
        <w:rPr>
          <w:sz w:val="18"/>
        </w:rPr>
        <w:t>съответния</w:t>
      </w:r>
      <w:r>
        <w:rPr>
          <w:sz w:val="18"/>
          <w:lang w:val="pt-PT"/>
        </w:rPr>
        <w:t xml:space="preserve"> </w:t>
      </w:r>
      <w:r>
        <w:rPr>
          <w:sz w:val="18"/>
        </w:rPr>
        <w:t>инструмент</w:t>
      </w:r>
      <w:r>
        <w:rPr>
          <w:sz w:val="18"/>
          <w:lang w:val="pt-PT"/>
        </w:rPr>
        <w:t xml:space="preserve">, </w:t>
      </w:r>
      <w:r>
        <w:rPr>
          <w:sz w:val="18"/>
        </w:rPr>
        <w:t>предвидени</w:t>
      </w:r>
      <w:r>
        <w:rPr>
          <w:sz w:val="18"/>
          <w:lang w:val="pt-PT"/>
        </w:rPr>
        <w:t xml:space="preserve"> </w:t>
      </w:r>
      <w:r>
        <w:rPr>
          <w:sz w:val="18"/>
        </w:rPr>
        <w:t>за</w:t>
      </w:r>
      <w:r>
        <w:rPr>
          <w:sz w:val="18"/>
          <w:lang w:val="pt-PT"/>
        </w:rPr>
        <w:t xml:space="preserve"> </w:t>
      </w:r>
      <w:r>
        <w:rPr>
          <w:sz w:val="18"/>
        </w:rPr>
        <w:t>целия</w:t>
      </w:r>
      <w:r>
        <w:rPr>
          <w:sz w:val="18"/>
          <w:lang w:val="pt-PT"/>
        </w:rPr>
        <w:t xml:space="preserve"> </w:t>
      </w:r>
      <w:r>
        <w:rPr>
          <w:sz w:val="18"/>
        </w:rPr>
        <w:t>му</w:t>
      </w:r>
      <w:r>
        <w:rPr>
          <w:sz w:val="18"/>
          <w:lang w:val="pt-PT"/>
        </w:rPr>
        <w:t xml:space="preserve"> </w:t>
      </w:r>
      <w:r>
        <w:rPr>
          <w:sz w:val="18"/>
        </w:rPr>
        <w:t>срок</w:t>
      </w:r>
      <w:r>
        <w:rPr>
          <w:sz w:val="18"/>
          <w:lang w:val="pt-PT"/>
        </w:rPr>
        <w:t xml:space="preserve"> </w:t>
      </w:r>
      <w:r>
        <w:rPr>
          <w:sz w:val="18"/>
        </w:rPr>
        <w:t>на</w:t>
      </w:r>
      <w:r>
        <w:rPr>
          <w:sz w:val="18"/>
          <w:lang w:val="pt-PT"/>
        </w:rPr>
        <w:t xml:space="preserve"> </w:t>
      </w:r>
      <w:r>
        <w:rPr>
          <w:sz w:val="18"/>
        </w:rPr>
        <w:t>изпълнение</w:t>
      </w:r>
      <w:r>
        <w:rPr>
          <w:sz w:val="18"/>
          <w:lang w:val="pt-PT"/>
        </w:rPr>
        <w:t>. „</w:t>
      </w:r>
      <w:r>
        <w:rPr>
          <w:sz w:val="18"/>
        </w:rPr>
        <w:t>Финансова</w:t>
      </w:r>
      <w:r>
        <w:rPr>
          <w:sz w:val="18"/>
          <w:lang w:val="pt-PT"/>
        </w:rPr>
        <w:t xml:space="preserve"> </w:t>
      </w:r>
      <w:r>
        <w:rPr>
          <w:sz w:val="18"/>
        </w:rPr>
        <w:t>цел</w:t>
      </w:r>
      <w:r>
        <w:rPr>
          <w:sz w:val="18"/>
          <w:lang w:val="pt-PT"/>
        </w:rPr>
        <w:t xml:space="preserve">“ </w:t>
      </w:r>
      <w:r>
        <w:rPr>
          <w:sz w:val="18"/>
        </w:rPr>
        <w:t>е</w:t>
      </w:r>
      <w:r>
        <w:rPr>
          <w:sz w:val="18"/>
          <w:lang w:val="pt-PT"/>
        </w:rPr>
        <w:t xml:space="preserve"> </w:t>
      </w:r>
      <w:r>
        <w:rPr>
          <w:sz w:val="18"/>
        </w:rPr>
        <w:t>целевата</w:t>
      </w:r>
      <w:r>
        <w:rPr>
          <w:sz w:val="18"/>
          <w:lang w:val="pt-PT"/>
        </w:rPr>
        <w:t xml:space="preserve"> </w:t>
      </w:r>
      <w:r>
        <w:rPr>
          <w:sz w:val="18"/>
        </w:rPr>
        <w:t>сума</w:t>
      </w:r>
      <w:r>
        <w:rPr>
          <w:sz w:val="18"/>
          <w:lang w:val="pt-PT"/>
        </w:rPr>
        <w:t xml:space="preserve"> </w:t>
      </w:r>
      <w:r>
        <w:rPr>
          <w:sz w:val="18"/>
        </w:rPr>
        <w:t>за</w:t>
      </w:r>
      <w:r>
        <w:rPr>
          <w:sz w:val="18"/>
          <w:lang w:val="pt-PT"/>
        </w:rPr>
        <w:t xml:space="preserve"> </w:t>
      </w:r>
      <w:r>
        <w:rPr>
          <w:sz w:val="18"/>
        </w:rPr>
        <w:t>финансиране</w:t>
      </w:r>
      <w:r>
        <w:rPr>
          <w:sz w:val="18"/>
          <w:lang w:val="pt-PT"/>
        </w:rPr>
        <w:t xml:space="preserve"> </w:t>
      </w:r>
      <w:r>
        <w:rPr>
          <w:sz w:val="18"/>
        </w:rPr>
        <w:t>на</w:t>
      </w:r>
      <w:r>
        <w:rPr>
          <w:sz w:val="18"/>
          <w:lang w:val="pt-PT"/>
        </w:rPr>
        <w:t xml:space="preserve"> </w:t>
      </w:r>
      <w:r>
        <w:rPr>
          <w:sz w:val="18"/>
        </w:rPr>
        <w:t>допустимите</w:t>
      </w:r>
      <w:r>
        <w:rPr>
          <w:sz w:val="18"/>
          <w:lang w:val="pt-PT"/>
        </w:rPr>
        <w:t xml:space="preserve"> </w:t>
      </w:r>
      <w:r>
        <w:rPr>
          <w:sz w:val="18"/>
        </w:rPr>
        <w:t>крайни</w:t>
      </w:r>
      <w:r>
        <w:rPr>
          <w:sz w:val="18"/>
          <w:lang w:val="pt-PT"/>
        </w:rPr>
        <w:t xml:space="preserve"> </w:t>
      </w:r>
      <w:r>
        <w:rPr>
          <w:sz w:val="18"/>
        </w:rPr>
        <w:t>получатели</w:t>
      </w:r>
      <w:r>
        <w:rPr>
          <w:sz w:val="18"/>
          <w:lang w:val="pt-PT"/>
        </w:rPr>
        <w:t xml:space="preserve"> (</w:t>
      </w:r>
      <w:r>
        <w:rPr>
          <w:sz w:val="18"/>
        </w:rPr>
        <w:t>част</w:t>
      </w:r>
      <w:r>
        <w:rPr>
          <w:sz w:val="18"/>
          <w:lang w:val="pt-PT"/>
        </w:rPr>
        <w:t xml:space="preserve"> </w:t>
      </w:r>
      <w:r>
        <w:rPr>
          <w:sz w:val="18"/>
        </w:rPr>
        <w:t>от</w:t>
      </w:r>
      <w:r>
        <w:rPr>
          <w:sz w:val="18"/>
          <w:lang w:val="pt-PT"/>
        </w:rPr>
        <w:t xml:space="preserve"> </w:t>
      </w:r>
      <w:r>
        <w:rPr>
          <w:sz w:val="18"/>
        </w:rPr>
        <w:t>която</w:t>
      </w:r>
      <w:r>
        <w:rPr>
          <w:sz w:val="18"/>
          <w:lang w:val="pt-PT"/>
        </w:rPr>
        <w:t xml:space="preserve"> </w:t>
      </w:r>
      <w:r>
        <w:rPr>
          <w:sz w:val="18"/>
        </w:rPr>
        <w:t>е</w:t>
      </w:r>
      <w:r>
        <w:rPr>
          <w:sz w:val="18"/>
          <w:lang w:val="pt-PT"/>
        </w:rPr>
        <w:t xml:space="preserve"> </w:t>
      </w:r>
      <w:r>
        <w:rPr>
          <w:sz w:val="18"/>
        </w:rPr>
        <w:t>очакваното</w:t>
      </w:r>
      <w:r>
        <w:rPr>
          <w:sz w:val="18"/>
          <w:lang w:val="pt-PT"/>
        </w:rPr>
        <w:t xml:space="preserve"> </w:t>
      </w:r>
      <w:r>
        <w:rPr>
          <w:sz w:val="18"/>
        </w:rPr>
        <w:t>финансиране</w:t>
      </w:r>
      <w:r>
        <w:rPr>
          <w:sz w:val="18"/>
          <w:lang w:val="pt-PT"/>
        </w:rPr>
        <w:t xml:space="preserve">, </w:t>
      </w:r>
      <w:r>
        <w:rPr>
          <w:sz w:val="18"/>
        </w:rPr>
        <w:t>а</w:t>
      </w:r>
      <w:r>
        <w:rPr>
          <w:sz w:val="18"/>
          <w:lang w:val="pt-PT"/>
        </w:rPr>
        <w:t xml:space="preserve"> </w:t>
      </w:r>
      <w:r>
        <w:rPr>
          <w:sz w:val="18"/>
        </w:rPr>
        <w:t>именно</w:t>
      </w:r>
      <w:r>
        <w:rPr>
          <w:sz w:val="18"/>
          <w:lang w:val="pt-PT"/>
        </w:rPr>
        <w:t xml:space="preserve"> </w:t>
      </w:r>
      <w:r>
        <w:rPr>
          <w:sz w:val="18"/>
        </w:rPr>
        <w:t>размерът</w:t>
      </w:r>
      <w:r>
        <w:rPr>
          <w:sz w:val="18"/>
          <w:lang w:val="pt-PT"/>
        </w:rPr>
        <w:t xml:space="preserve"> </w:t>
      </w:r>
      <w:r>
        <w:rPr>
          <w:sz w:val="18"/>
        </w:rPr>
        <w:t>на</w:t>
      </w:r>
      <w:r>
        <w:rPr>
          <w:sz w:val="18"/>
          <w:lang w:val="pt-PT"/>
        </w:rPr>
        <w:t xml:space="preserve"> </w:t>
      </w:r>
      <w:r>
        <w:rPr>
          <w:sz w:val="18"/>
        </w:rPr>
        <w:t>финансирането</w:t>
      </w:r>
      <w:r>
        <w:rPr>
          <w:sz w:val="18"/>
          <w:lang w:val="pt-PT"/>
        </w:rPr>
        <w:t xml:space="preserve">, </w:t>
      </w:r>
      <w:r>
        <w:rPr>
          <w:sz w:val="18"/>
        </w:rPr>
        <w:t>очаквано</w:t>
      </w:r>
      <w:r>
        <w:rPr>
          <w:sz w:val="18"/>
          <w:lang w:val="pt-PT"/>
        </w:rPr>
        <w:t xml:space="preserve"> </w:t>
      </w:r>
      <w:r>
        <w:rPr>
          <w:sz w:val="18"/>
        </w:rPr>
        <w:t>по</w:t>
      </w:r>
      <w:r>
        <w:rPr>
          <w:sz w:val="18"/>
          <w:lang w:val="pt-PT"/>
        </w:rPr>
        <w:t xml:space="preserve"> </w:t>
      </w:r>
      <w:r>
        <w:rPr>
          <w:sz w:val="18"/>
        </w:rPr>
        <w:t>подписаните</w:t>
      </w:r>
      <w:r>
        <w:rPr>
          <w:sz w:val="18"/>
          <w:lang w:val="pt-PT"/>
        </w:rPr>
        <w:t xml:space="preserve"> </w:t>
      </w:r>
      <w:r>
        <w:rPr>
          <w:sz w:val="18"/>
        </w:rPr>
        <w:t>операции</w:t>
      </w:r>
      <w:r>
        <w:rPr>
          <w:sz w:val="18"/>
          <w:lang w:val="pt-PT"/>
        </w:rPr>
        <w:t>). „</w:t>
      </w:r>
      <w:r>
        <w:rPr>
          <w:sz w:val="18"/>
        </w:rPr>
        <w:t>Целева</w:t>
      </w:r>
      <w:r>
        <w:rPr>
          <w:sz w:val="18"/>
          <w:lang w:val="pt-PT"/>
        </w:rPr>
        <w:t xml:space="preserve"> </w:t>
      </w:r>
      <w:r>
        <w:rPr>
          <w:sz w:val="18"/>
        </w:rPr>
        <w:t>инвестиция</w:t>
      </w:r>
      <w:r>
        <w:rPr>
          <w:sz w:val="18"/>
          <w:lang w:val="pt-PT"/>
        </w:rPr>
        <w:t xml:space="preserve">“ </w:t>
      </w:r>
      <w:r>
        <w:rPr>
          <w:sz w:val="18"/>
        </w:rPr>
        <w:t>са</w:t>
      </w:r>
      <w:r>
        <w:rPr>
          <w:sz w:val="18"/>
          <w:lang w:val="pt-PT"/>
        </w:rPr>
        <w:t xml:space="preserve"> </w:t>
      </w:r>
      <w:r>
        <w:rPr>
          <w:sz w:val="18"/>
        </w:rPr>
        <w:t>целевите</w:t>
      </w:r>
      <w:r>
        <w:rPr>
          <w:sz w:val="18"/>
          <w:lang w:val="pt-PT"/>
        </w:rPr>
        <w:t xml:space="preserve"> </w:t>
      </w:r>
      <w:r>
        <w:rPr>
          <w:sz w:val="18"/>
        </w:rPr>
        <w:t>инвестиционни</w:t>
      </w:r>
      <w:r>
        <w:rPr>
          <w:sz w:val="18"/>
          <w:lang w:val="pt-PT"/>
        </w:rPr>
        <w:t xml:space="preserve"> </w:t>
      </w:r>
      <w:r>
        <w:rPr>
          <w:sz w:val="18"/>
        </w:rPr>
        <w:t>разходи</w:t>
      </w:r>
      <w:r>
        <w:rPr>
          <w:sz w:val="18"/>
          <w:lang w:val="pt-PT"/>
        </w:rPr>
        <w:t xml:space="preserve">, </w:t>
      </w:r>
      <w:r>
        <w:rPr>
          <w:sz w:val="18"/>
        </w:rPr>
        <w:t>които</w:t>
      </w:r>
      <w:r>
        <w:rPr>
          <w:sz w:val="18"/>
          <w:lang w:val="pt-PT"/>
        </w:rPr>
        <w:t xml:space="preserve"> </w:t>
      </w:r>
      <w:r>
        <w:rPr>
          <w:sz w:val="18"/>
        </w:rPr>
        <w:t>ще</w:t>
      </w:r>
      <w:r>
        <w:rPr>
          <w:sz w:val="18"/>
          <w:lang w:val="pt-PT"/>
        </w:rPr>
        <w:t xml:space="preserve"> </w:t>
      </w:r>
      <w:r>
        <w:rPr>
          <w:sz w:val="18"/>
        </w:rPr>
        <w:t>бъдат</w:t>
      </w:r>
      <w:r>
        <w:rPr>
          <w:sz w:val="18"/>
          <w:lang w:val="pt-PT"/>
        </w:rPr>
        <w:t xml:space="preserve"> </w:t>
      </w:r>
      <w:r>
        <w:rPr>
          <w:sz w:val="18"/>
        </w:rPr>
        <w:t>поети</w:t>
      </w:r>
      <w:r>
        <w:rPr>
          <w:sz w:val="18"/>
          <w:lang w:val="pt-PT"/>
        </w:rPr>
        <w:t xml:space="preserve"> </w:t>
      </w:r>
      <w:r>
        <w:rPr>
          <w:sz w:val="18"/>
        </w:rPr>
        <w:t>от</w:t>
      </w:r>
      <w:r>
        <w:rPr>
          <w:sz w:val="18"/>
          <w:lang w:val="pt-PT"/>
        </w:rPr>
        <w:t xml:space="preserve"> </w:t>
      </w:r>
      <w:r>
        <w:rPr>
          <w:sz w:val="18"/>
        </w:rPr>
        <w:t>крайния</w:t>
      </w:r>
      <w:r>
        <w:rPr>
          <w:sz w:val="18"/>
          <w:lang w:val="pt-PT"/>
        </w:rPr>
        <w:t xml:space="preserve"> </w:t>
      </w:r>
      <w:r>
        <w:rPr>
          <w:sz w:val="18"/>
        </w:rPr>
        <w:t>получател</w:t>
      </w:r>
      <w:r>
        <w:rPr>
          <w:sz w:val="18"/>
          <w:lang w:val="pt-PT"/>
        </w:rPr>
        <w:t xml:space="preserve"> (</w:t>
      </w:r>
      <w:r>
        <w:rPr>
          <w:sz w:val="18"/>
        </w:rPr>
        <w:t>част</w:t>
      </w:r>
      <w:r>
        <w:rPr>
          <w:sz w:val="18"/>
          <w:lang w:val="pt-PT"/>
        </w:rPr>
        <w:t xml:space="preserve"> </w:t>
      </w:r>
      <w:r>
        <w:rPr>
          <w:sz w:val="18"/>
        </w:rPr>
        <w:t>от</w:t>
      </w:r>
      <w:r>
        <w:rPr>
          <w:sz w:val="18"/>
          <w:lang w:val="pt-PT"/>
        </w:rPr>
        <w:t xml:space="preserve"> </w:t>
      </w:r>
      <w:r>
        <w:rPr>
          <w:sz w:val="18"/>
        </w:rPr>
        <w:t>които</w:t>
      </w:r>
      <w:r>
        <w:rPr>
          <w:sz w:val="18"/>
          <w:lang w:val="pt-PT"/>
        </w:rPr>
        <w:t xml:space="preserve"> </w:t>
      </w:r>
      <w:r>
        <w:rPr>
          <w:sz w:val="18"/>
        </w:rPr>
        <w:t>е</w:t>
      </w:r>
      <w:r>
        <w:rPr>
          <w:sz w:val="18"/>
          <w:lang w:val="pt-PT"/>
        </w:rPr>
        <w:t xml:space="preserve"> </w:t>
      </w:r>
      <w:r>
        <w:rPr>
          <w:sz w:val="18"/>
        </w:rPr>
        <w:t>очакваната</w:t>
      </w:r>
      <w:r>
        <w:rPr>
          <w:sz w:val="18"/>
          <w:lang w:val="pt-PT"/>
        </w:rPr>
        <w:t xml:space="preserve"> </w:t>
      </w:r>
      <w:r>
        <w:rPr>
          <w:sz w:val="18"/>
        </w:rPr>
        <w:t>инвестиция</w:t>
      </w:r>
      <w:r>
        <w:rPr>
          <w:sz w:val="18"/>
          <w:lang w:val="pt-PT"/>
        </w:rPr>
        <w:t xml:space="preserve">, </w:t>
      </w:r>
      <w:r>
        <w:rPr>
          <w:sz w:val="18"/>
        </w:rPr>
        <w:t>т</w:t>
      </w:r>
      <w:r>
        <w:rPr>
          <w:sz w:val="18"/>
          <w:lang w:val="pt-PT"/>
        </w:rPr>
        <w:t>.</w:t>
      </w:r>
      <w:r>
        <w:rPr>
          <w:sz w:val="18"/>
        </w:rPr>
        <w:t>е</w:t>
      </w:r>
      <w:r>
        <w:rPr>
          <w:sz w:val="18"/>
          <w:lang w:val="pt-PT"/>
        </w:rPr>
        <w:t xml:space="preserve">. </w:t>
      </w:r>
      <w:r>
        <w:rPr>
          <w:sz w:val="18"/>
        </w:rPr>
        <w:t>размерът</w:t>
      </w:r>
      <w:r>
        <w:rPr>
          <w:sz w:val="18"/>
          <w:lang w:val="pt-PT"/>
        </w:rPr>
        <w:t xml:space="preserve"> </w:t>
      </w:r>
      <w:r>
        <w:rPr>
          <w:sz w:val="18"/>
        </w:rPr>
        <w:t>на</w:t>
      </w:r>
      <w:r>
        <w:rPr>
          <w:sz w:val="18"/>
          <w:lang w:val="pt-PT"/>
        </w:rPr>
        <w:t xml:space="preserve"> </w:t>
      </w:r>
      <w:r>
        <w:rPr>
          <w:sz w:val="18"/>
        </w:rPr>
        <w:t>инвестициите</w:t>
      </w:r>
      <w:r>
        <w:rPr>
          <w:sz w:val="18"/>
          <w:lang w:val="pt-PT"/>
        </w:rPr>
        <w:t xml:space="preserve">, </w:t>
      </w:r>
      <w:r>
        <w:rPr>
          <w:sz w:val="18"/>
        </w:rPr>
        <w:t>очаквани</w:t>
      </w:r>
      <w:r>
        <w:rPr>
          <w:sz w:val="18"/>
          <w:lang w:val="pt-PT"/>
        </w:rPr>
        <w:t xml:space="preserve"> </w:t>
      </w:r>
      <w:r>
        <w:rPr>
          <w:sz w:val="18"/>
        </w:rPr>
        <w:t>по</w:t>
      </w:r>
      <w:r>
        <w:rPr>
          <w:sz w:val="18"/>
          <w:lang w:val="pt-PT"/>
        </w:rPr>
        <w:t xml:space="preserve"> </w:t>
      </w:r>
      <w:r>
        <w:rPr>
          <w:sz w:val="18"/>
        </w:rPr>
        <w:t>подписаните</w:t>
      </w:r>
      <w:r>
        <w:rPr>
          <w:sz w:val="18"/>
          <w:lang w:val="pt-PT"/>
        </w:rPr>
        <w:t xml:space="preserve"> </w:t>
      </w:r>
      <w:r>
        <w:rPr>
          <w:sz w:val="18"/>
        </w:rPr>
        <w:t>операции</w:t>
      </w:r>
      <w:r>
        <w:rPr>
          <w:sz w:val="18"/>
          <w:lang w:val="pt-PT"/>
        </w:rPr>
        <w:t>).</w:t>
      </w:r>
    </w:p>
  </w:footnote>
  <w:footnote w:id="21">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Пакетът</w:t>
      </w:r>
      <w:r>
        <w:rPr>
          <w:sz w:val="18"/>
          <w:lang w:val="pt-PT"/>
        </w:rPr>
        <w:t xml:space="preserve"> </w:t>
      </w:r>
      <w:r>
        <w:rPr>
          <w:sz w:val="18"/>
        </w:rPr>
        <w:t>за</w:t>
      </w:r>
      <w:r>
        <w:rPr>
          <w:sz w:val="18"/>
          <w:lang w:val="pt-PT"/>
        </w:rPr>
        <w:t xml:space="preserve"> </w:t>
      </w:r>
      <w:r>
        <w:rPr>
          <w:sz w:val="18"/>
        </w:rPr>
        <w:t>перио</w:t>
      </w:r>
      <w:r>
        <w:rPr>
          <w:sz w:val="18"/>
        </w:rPr>
        <w:t>да</w:t>
      </w:r>
      <w:r>
        <w:rPr>
          <w:sz w:val="18"/>
          <w:lang w:val="pt-PT"/>
        </w:rPr>
        <w:t xml:space="preserve"> 2014—2020 </w:t>
      </w:r>
      <w:r>
        <w:rPr>
          <w:sz w:val="18"/>
        </w:rPr>
        <w:t>г</w:t>
      </w:r>
      <w:r>
        <w:rPr>
          <w:sz w:val="18"/>
          <w:lang w:val="pt-PT"/>
        </w:rPr>
        <w:t xml:space="preserve">. </w:t>
      </w:r>
      <w:r>
        <w:rPr>
          <w:sz w:val="18"/>
        </w:rPr>
        <w:t>включва</w:t>
      </w:r>
      <w:r>
        <w:rPr>
          <w:sz w:val="18"/>
          <w:lang w:val="pt-PT"/>
        </w:rPr>
        <w:t xml:space="preserve"> </w:t>
      </w:r>
      <w:r>
        <w:rPr>
          <w:sz w:val="18"/>
        </w:rPr>
        <w:t>и</w:t>
      </w:r>
      <w:r>
        <w:rPr>
          <w:sz w:val="18"/>
          <w:lang w:val="pt-PT"/>
        </w:rPr>
        <w:t xml:space="preserve"> </w:t>
      </w:r>
      <w:r>
        <w:rPr>
          <w:sz w:val="18"/>
        </w:rPr>
        <w:t>бюджетни</w:t>
      </w:r>
      <w:r>
        <w:rPr>
          <w:sz w:val="18"/>
          <w:lang w:val="pt-PT"/>
        </w:rPr>
        <w:t xml:space="preserve"> </w:t>
      </w:r>
      <w:r>
        <w:rPr>
          <w:sz w:val="18"/>
        </w:rPr>
        <w:t>кредити</w:t>
      </w:r>
      <w:r>
        <w:rPr>
          <w:sz w:val="18"/>
          <w:lang w:val="pt-PT"/>
        </w:rPr>
        <w:t xml:space="preserve"> </w:t>
      </w:r>
      <w:r>
        <w:rPr>
          <w:sz w:val="18"/>
        </w:rPr>
        <w:t>за</w:t>
      </w:r>
      <w:r>
        <w:rPr>
          <w:sz w:val="18"/>
          <w:lang w:val="pt-PT"/>
        </w:rPr>
        <w:t xml:space="preserve"> </w:t>
      </w:r>
      <w:r>
        <w:rPr>
          <w:sz w:val="18"/>
        </w:rPr>
        <w:t>две</w:t>
      </w:r>
      <w:r>
        <w:rPr>
          <w:sz w:val="18"/>
          <w:lang w:val="pt-PT"/>
        </w:rPr>
        <w:t xml:space="preserve"> </w:t>
      </w:r>
      <w:r>
        <w:rPr>
          <w:sz w:val="18"/>
        </w:rPr>
        <w:t>програми</w:t>
      </w:r>
      <w:r>
        <w:rPr>
          <w:sz w:val="18"/>
          <w:lang w:val="pt-PT"/>
        </w:rPr>
        <w:t xml:space="preserve"> </w:t>
      </w:r>
      <w:r>
        <w:rPr>
          <w:sz w:val="18"/>
        </w:rPr>
        <w:t>за</w:t>
      </w:r>
      <w:r>
        <w:rPr>
          <w:sz w:val="18"/>
          <w:lang w:val="pt-PT"/>
        </w:rPr>
        <w:t xml:space="preserve"> </w:t>
      </w:r>
      <w:r>
        <w:rPr>
          <w:sz w:val="18"/>
        </w:rPr>
        <w:t>периода</w:t>
      </w:r>
      <w:r>
        <w:rPr>
          <w:sz w:val="18"/>
          <w:lang w:val="pt-PT"/>
        </w:rPr>
        <w:t xml:space="preserve"> 2007—2013 </w:t>
      </w:r>
      <w:r>
        <w:rPr>
          <w:sz w:val="18"/>
        </w:rPr>
        <w:t>г</w:t>
      </w:r>
      <w:r>
        <w:rPr>
          <w:sz w:val="18"/>
          <w:lang w:val="pt-PT"/>
        </w:rPr>
        <w:t>. (</w:t>
      </w:r>
      <w:r>
        <w:rPr>
          <w:sz w:val="18"/>
        </w:rPr>
        <w:t>инициативата</w:t>
      </w:r>
      <w:r>
        <w:rPr>
          <w:sz w:val="18"/>
          <w:lang w:val="pt-PT"/>
        </w:rPr>
        <w:t xml:space="preserve"> „</w:t>
      </w:r>
      <w:r>
        <w:rPr>
          <w:sz w:val="18"/>
        </w:rPr>
        <w:t>Облигации</w:t>
      </w:r>
      <w:r>
        <w:rPr>
          <w:sz w:val="18"/>
          <w:lang w:val="pt-PT"/>
        </w:rPr>
        <w:t xml:space="preserve"> </w:t>
      </w:r>
      <w:r>
        <w:rPr>
          <w:sz w:val="18"/>
        </w:rPr>
        <w:t>за</w:t>
      </w:r>
      <w:r>
        <w:rPr>
          <w:sz w:val="18"/>
          <w:lang w:val="pt-PT"/>
        </w:rPr>
        <w:t xml:space="preserve"> </w:t>
      </w:r>
      <w:r>
        <w:rPr>
          <w:sz w:val="18"/>
        </w:rPr>
        <w:t>проекти</w:t>
      </w:r>
      <w:r>
        <w:rPr>
          <w:sz w:val="18"/>
          <w:lang w:val="pt-PT"/>
        </w:rPr>
        <w:t xml:space="preserve">“ </w:t>
      </w:r>
      <w:r>
        <w:rPr>
          <w:sz w:val="18"/>
        </w:rPr>
        <w:t>и</w:t>
      </w:r>
      <w:r>
        <w:rPr>
          <w:sz w:val="18"/>
          <w:lang w:val="pt-PT"/>
        </w:rPr>
        <w:t xml:space="preserve"> </w:t>
      </w:r>
      <w:r>
        <w:rPr>
          <w:sz w:val="18"/>
        </w:rPr>
        <w:t>Инструмента</w:t>
      </w:r>
      <w:r>
        <w:rPr>
          <w:sz w:val="18"/>
          <w:lang w:val="pt-PT"/>
        </w:rPr>
        <w:t xml:space="preserve"> </w:t>
      </w:r>
      <w:r>
        <w:rPr>
          <w:sz w:val="18"/>
        </w:rPr>
        <w:t>за</w:t>
      </w:r>
      <w:r>
        <w:rPr>
          <w:sz w:val="18"/>
          <w:lang w:val="pt-PT"/>
        </w:rPr>
        <w:t xml:space="preserve"> </w:t>
      </w:r>
      <w:r>
        <w:rPr>
          <w:sz w:val="18"/>
        </w:rPr>
        <w:t>гарантиране</w:t>
      </w:r>
      <w:r>
        <w:rPr>
          <w:sz w:val="18"/>
          <w:lang w:val="pt-PT"/>
        </w:rPr>
        <w:t xml:space="preserve"> </w:t>
      </w:r>
      <w:r>
        <w:rPr>
          <w:sz w:val="18"/>
        </w:rPr>
        <w:t>на</w:t>
      </w:r>
      <w:r>
        <w:rPr>
          <w:sz w:val="18"/>
          <w:lang w:val="pt-PT"/>
        </w:rPr>
        <w:t xml:space="preserve"> </w:t>
      </w:r>
      <w:r>
        <w:rPr>
          <w:sz w:val="18"/>
        </w:rPr>
        <w:t>заемите</w:t>
      </w:r>
      <w:r>
        <w:rPr>
          <w:sz w:val="18"/>
          <w:lang w:val="pt-PT"/>
        </w:rPr>
        <w:t xml:space="preserve"> </w:t>
      </w:r>
      <w:r>
        <w:rPr>
          <w:sz w:val="18"/>
        </w:rPr>
        <w:t>по</w:t>
      </w:r>
      <w:r>
        <w:rPr>
          <w:sz w:val="18"/>
          <w:lang w:val="pt-PT"/>
        </w:rPr>
        <w:t xml:space="preserve"> </w:t>
      </w:r>
      <w:r>
        <w:rPr>
          <w:sz w:val="18"/>
        </w:rPr>
        <w:t>проекти</w:t>
      </w:r>
      <w:r>
        <w:rPr>
          <w:sz w:val="18"/>
          <w:lang w:val="pt-PT"/>
        </w:rPr>
        <w:t xml:space="preserve">, </w:t>
      </w:r>
      <w:r>
        <w:rPr>
          <w:sz w:val="18"/>
        </w:rPr>
        <w:t>свързани</w:t>
      </w:r>
      <w:r>
        <w:rPr>
          <w:sz w:val="18"/>
          <w:lang w:val="pt-PT"/>
        </w:rPr>
        <w:t xml:space="preserve"> </w:t>
      </w:r>
      <w:r>
        <w:rPr>
          <w:sz w:val="18"/>
        </w:rPr>
        <w:t>с</w:t>
      </w:r>
      <w:r>
        <w:rPr>
          <w:sz w:val="18"/>
          <w:lang w:val="pt-PT"/>
        </w:rPr>
        <w:t xml:space="preserve"> </w:t>
      </w:r>
      <w:r>
        <w:rPr>
          <w:sz w:val="18"/>
        </w:rPr>
        <w:t>трансевропейските</w:t>
      </w:r>
      <w:r>
        <w:rPr>
          <w:sz w:val="18"/>
          <w:lang w:val="pt-PT"/>
        </w:rPr>
        <w:t xml:space="preserve"> </w:t>
      </w:r>
      <w:r>
        <w:rPr>
          <w:sz w:val="18"/>
        </w:rPr>
        <w:t>транспортни</w:t>
      </w:r>
      <w:r>
        <w:rPr>
          <w:sz w:val="18"/>
          <w:lang w:val="pt-PT"/>
        </w:rPr>
        <w:t xml:space="preserve"> </w:t>
      </w:r>
      <w:r>
        <w:rPr>
          <w:sz w:val="18"/>
        </w:rPr>
        <w:t>мрежи</w:t>
      </w:r>
      <w:r>
        <w:rPr>
          <w:sz w:val="18"/>
          <w:lang w:val="pt-PT"/>
        </w:rPr>
        <w:t xml:space="preserve">), </w:t>
      </w:r>
      <w:r>
        <w:rPr>
          <w:sz w:val="18"/>
        </w:rPr>
        <w:t>които</w:t>
      </w:r>
      <w:r>
        <w:rPr>
          <w:sz w:val="18"/>
          <w:lang w:val="pt-PT"/>
        </w:rPr>
        <w:t xml:space="preserve"> </w:t>
      </w:r>
      <w:r>
        <w:rPr>
          <w:sz w:val="18"/>
        </w:rPr>
        <w:t>през</w:t>
      </w:r>
      <w:r>
        <w:rPr>
          <w:sz w:val="18"/>
          <w:lang w:val="pt-PT"/>
        </w:rPr>
        <w:t xml:space="preserve"> 2016 </w:t>
      </w:r>
      <w:r>
        <w:rPr>
          <w:sz w:val="18"/>
        </w:rPr>
        <w:t>г</w:t>
      </w:r>
      <w:r>
        <w:rPr>
          <w:sz w:val="18"/>
          <w:lang w:val="pt-PT"/>
        </w:rPr>
        <w:t xml:space="preserve">. </w:t>
      </w:r>
      <w:r>
        <w:rPr>
          <w:sz w:val="18"/>
        </w:rPr>
        <w:t>бяха</w:t>
      </w:r>
      <w:r>
        <w:rPr>
          <w:sz w:val="18"/>
          <w:lang w:val="pt-PT"/>
        </w:rPr>
        <w:t xml:space="preserve"> </w:t>
      </w:r>
      <w:r>
        <w:rPr>
          <w:sz w:val="18"/>
        </w:rPr>
        <w:t>обединени</w:t>
      </w:r>
      <w:r>
        <w:rPr>
          <w:sz w:val="18"/>
          <w:lang w:val="pt-PT"/>
        </w:rPr>
        <w:t xml:space="preserve"> </w:t>
      </w:r>
      <w:r>
        <w:rPr>
          <w:sz w:val="18"/>
        </w:rPr>
        <w:t>с</w:t>
      </w:r>
      <w:r>
        <w:rPr>
          <w:sz w:val="18"/>
          <w:lang w:val="pt-PT"/>
        </w:rPr>
        <w:t xml:space="preserve"> </w:t>
      </w:r>
      <w:r>
        <w:rPr>
          <w:sz w:val="18"/>
        </w:rPr>
        <w:t>новия</w:t>
      </w:r>
      <w:r>
        <w:rPr>
          <w:sz w:val="18"/>
          <w:lang w:val="pt-PT"/>
        </w:rPr>
        <w:t xml:space="preserve"> </w:t>
      </w:r>
      <w:r>
        <w:rPr>
          <w:sz w:val="18"/>
        </w:rPr>
        <w:t>дългов</w:t>
      </w:r>
      <w:r>
        <w:rPr>
          <w:sz w:val="18"/>
          <w:lang w:val="pt-PT"/>
        </w:rPr>
        <w:t xml:space="preserve"> </w:t>
      </w:r>
      <w:r>
        <w:rPr>
          <w:sz w:val="18"/>
        </w:rPr>
        <w:t>инструмент</w:t>
      </w:r>
      <w:r>
        <w:rPr>
          <w:sz w:val="18"/>
          <w:lang w:val="pt-PT"/>
        </w:rPr>
        <w:t xml:space="preserve"> </w:t>
      </w:r>
      <w:r>
        <w:rPr>
          <w:sz w:val="18"/>
        </w:rPr>
        <w:t>за</w:t>
      </w:r>
      <w:r>
        <w:rPr>
          <w:sz w:val="18"/>
          <w:lang w:val="pt-PT"/>
        </w:rPr>
        <w:t xml:space="preserve"> </w:t>
      </w:r>
      <w:r>
        <w:rPr>
          <w:sz w:val="18"/>
        </w:rPr>
        <w:t>поделяне</w:t>
      </w:r>
      <w:r>
        <w:rPr>
          <w:sz w:val="18"/>
          <w:lang w:val="pt-PT"/>
        </w:rPr>
        <w:t xml:space="preserve"> </w:t>
      </w:r>
      <w:r>
        <w:rPr>
          <w:sz w:val="18"/>
        </w:rPr>
        <w:t>на</w:t>
      </w:r>
      <w:r>
        <w:rPr>
          <w:sz w:val="18"/>
          <w:lang w:val="pt-PT"/>
        </w:rPr>
        <w:t xml:space="preserve"> </w:t>
      </w:r>
      <w:r>
        <w:rPr>
          <w:sz w:val="18"/>
        </w:rPr>
        <w:t>риска</w:t>
      </w:r>
      <w:r>
        <w:rPr>
          <w:sz w:val="18"/>
          <w:lang w:val="pt-PT"/>
        </w:rPr>
        <w:t xml:space="preserve"> </w:t>
      </w:r>
      <w:r>
        <w:rPr>
          <w:sz w:val="18"/>
        </w:rPr>
        <w:t>в</w:t>
      </w:r>
      <w:r>
        <w:rPr>
          <w:sz w:val="18"/>
          <w:lang w:val="pt-PT"/>
        </w:rPr>
        <w:t xml:space="preserve"> </w:t>
      </w:r>
      <w:r>
        <w:rPr>
          <w:sz w:val="18"/>
        </w:rPr>
        <w:t>рамките</w:t>
      </w:r>
      <w:r>
        <w:rPr>
          <w:sz w:val="18"/>
          <w:lang w:val="pt-PT"/>
        </w:rPr>
        <w:t xml:space="preserve"> </w:t>
      </w:r>
      <w:r>
        <w:rPr>
          <w:sz w:val="18"/>
        </w:rPr>
        <w:t>на</w:t>
      </w:r>
      <w:r>
        <w:rPr>
          <w:sz w:val="18"/>
          <w:lang w:val="pt-PT"/>
        </w:rPr>
        <w:t xml:space="preserve"> </w:t>
      </w:r>
      <w:r>
        <w:rPr>
          <w:sz w:val="18"/>
        </w:rPr>
        <w:t>Механизма</w:t>
      </w:r>
      <w:r>
        <w:rPr>
          <w:sz w:val="18"/>
          <w:lang w:val="pt-PT"/>
        </w:rPr>
        <w:t xml:space="preserve"> </w:t>
      </w:r>
      <w:r>
        <w:rPr>
          <w:sz w:val="18"/>
        </w:rPr>
        <w:t>за</w:t>
      </w:r>
      <w:r>
        <w:rPr>
          <w:sz w:val="18"/>
          <w:lang w:val="pt-PT"/>
        </w:rPr>
        <w:t xml:space="preserve"> </w:t>
      </w:r>
      <w:r>
        <w:rPr>
          <w:sz w:val="18"/>
        </w:rPr>
        <w:t>свързване</w:t>
      </w:r>
      <w:r>
        <w:rPr>
          <w:sz w:val="18"/>
          <w:lang w:val="pt-PT"/>
        </w:rPr>
        <w:t xml:space="preserve"> </w:t>
      </w:r>
      <w:r>
        <w:rPr>
          <w:sz w:val="18"/>
        </w:rPr>
        <w:t>на</w:t>
      </w:r>
      <w:r>
        <w:rPr>
          <w:sz w:val="18"/>
          <w:lang w:val="pt-PT"/>
        </w:rPr>
        <w:t xml:space="preserve"> </w:t>
      </w:r>
      <w:r>
        <w:rPr>
          <w:sz w:val="18"/>
        </w:rPr>
        <w:t>Европа</w:t>
      </w:r>
      <w:r>
        <w:rPr>
          <w:sz w:val="18"/>
          <w:lang w:val="pt-PT"/>
        </w:rPr>
        <w:t>.</w:t>
      </w:r>
    </w:p>
  </w:footnote>
  <w:footnote w:id="22">
    <w:p w:rsidR="004E032F" w:rsidRDefault="009B0276">
      <w:pPr>
        <w:pStyle w:val="FootnoteText"/>
        <w:spacing w:before="0"/>
        <w:rPr>
          <w:sz w:val="18"/>
          <w:lang w:val="pt-PT"/>
        </w:rPr>
      </w:pPr>
      <w:r>
        <w:rPr>
          <w:rStyle w:val="FootnoteReference"/>
        </w:rPr>
        <w:footnoteRef/>
      </w:r>
      <w:r>
        <w:rPr>
          <w:lang w:val="pt-PT"/>
        </w:rPr>
        <w:t xml:space="preserve"> </w:t>
      </w:r>
      <w:r>
        <w:rPr>
          <w:sz w:val="18"/>
        </w:rPr>
        <w:t>В</w:t>
      </w:r>
      <w:r>
        <w:rPr>
          <w:sz w:val="18"/>
          <w:lang w:val="pt-PT"/>
        </w:rPr>
        <w:t xml:space="preserve"> </w:t>
      </w:r>
      <w:r>
        <w:rPr>
          <w:sz w:val="18"/>
        </w:rPr>
        <w:t>някои</w:t>
      </w:r>
      <w:r>
        <w:rPr>
          <w:sz w:val="18"/>
          <w:lang w:val="pt-PT"/>
        </w:rPr>
        <w:t xml:space="preserve"> </w:t>
      </w:r>
      <w:r>
        <w:rPr>
          <w:sz w:val="18"/>
        </w:rPr>
        <w:t>случаи</w:t>
      </w:r>
      <w:r>
        <w:rPr>
          <w:sz w:val="18"/>
          <w:lang w:val="pt-PT"/>
        </w:rPr>
        <w:t xml:space="preserve"> </w:t>
      </w:r>
      <w:r>
        <w:rPr>
          <w:sz w:val="18"/>
        </w:rPr>
        <w:t>реалният</w:t>
      </w:r>
      <w:r>
        <w:rPr>
          <w:sz w:val="18"/>
          <w:lang w:val="pt-PT"/>
        </w:rPr>
        <w:t xml:space="preserve"> </w:t>
      </w:r>
      <w:r>
        <w:rPr>
          <w:sz w:val="18"/>
        </w:rPr>
        <w:t>коефициент</w:t>
      </w:r>
      <w:r>
        <w:rPr>
          <w:sz w:val="18"/>
          <w:lang w:val="pt-PT"/>
        </w:rPr>
        <w:t xml:space="preserve"> </w:t>
      </w:r>
      <w:r>
        <w:rPr>
          <w:sz w:val="18"/>
        </w:rPr>
        <w:t>на</w:t>
      </w:r>
      <w:r>
        <w:rPr>
          <w:sz w:val="18"/>
          <w:lang w:val="pt-PT"/>
        </w:rPr>
        <w:t xml:space="preserve"> </w:t>
      </w:r>
      <w:r>
        <w:rPr>
          <w:sz w:val="18"/>
        </w:rPr>
        <w:t>ефекта</w:t>
      </w:r>
      <w:r>
        <w:rPr>
          <w:sz w:val="18"/>
          <w:lang w:val="pt-PT"/>
        </w:rPr>
        <w:t xml:space="preserve"> </w:t>
      </w:r>
      <w:r>
        <w:rPr>
          <w:sz w:val="18"/>
        </w:rPr>
        <w:t>на</w:t>
      </w:r>
      <w:r>
        <w:rPr>
          <w:sz w:val="18"/>
          <w:lang w:val="pt-PT"/>
        </w:rPr>
        <w:t xml:space="preserve"> </w:t>
      </w:r>
      <w:r>
        <w:rPr>
          <w:sz w:val="18"/>
        </w:rPr>
        <w:t>лоста</w:t>
      </w:r>
      <w:r>
        <w:rPr>
          <w:sz w:val="18"/>
          <w:lang w:val="pt-PT"/>
        </w:rPr>
        <w:t xml:space="preserve"> </w:t>
      </w:r>
      <w:r>
        <w:rPr>
          <w:sz w:val="18"/>
        </w:rPr>
        <w:t>надхвърли</w:t>
      </w:r>
      <w:r>
        <w:rPr>
          <w:sz w:val="18"/>
          <w:lang w:val="pt-PT"/>
        </w:rPr>
        <w:t xml:space="preserve"> </w:t>
      </w:r>
      <w:r>
        <w:rPr>
          <w:sz w:val="18"/>
        </w:rPr>
        <w:t>целевия</w:t>
      </w:r>
      <w:r>
        <w:rPr>
          <w:sz w:val="18"/>
          <w:lang w:val="pt-PT"/>
        </w:rPr>
        <w:t xml:space="preserve"> </w:t>
      </w:r>
      <w:r>
        <w:rPr>
          <w:sz w:val="18"/>
        </w:rPr>
        <w:t>коефициент</w:t>
      </w:r>
      <w:r>
        <w:rPr>
          <w:sz w:val="18"/>
          <w:lang w:val="pt-PT"/>
        </w:rPr>
        <w:t xml:space="preserve"> </w:t>
      </w:r>
      <w:r>
        <w:rPr>
          <w:sz w:val="18"/>
        </w:rPr>
        <w:t>на</w:t>
      </w:r>
      <w:r>
        <w:rPr>
          <w:sz w:val="18"/>
          <w:lang w:val="pt-PT"/>
        </w:rPr>
        <w:t xml:space="preserve"> </w:t>
      </w:r>
      <w:r>
        <w:rPr>
          <w:sz w:val="18"/>
        </w:rPr>
        <w:t>ефекта</w:t>
      </w:r>
      <w:r>
        <w:rPr>
          <w:sz w:val="18"/>
          <w:lang w:val="pt-PT"/>
        </w:rPr>
        <w:t xml:space="preserve"> </w:t>
      </w:r>
      <w:r>
        <w:rPr>
          <w:sz w:val="18"/>
        </w:rPr>
        <w:t>на</w:t>
      </w:r>
      <w:r>
        <w:rPr>
          <w:sz w:val="18"/>
          <w:lang w:val="pt-PT"/>
        </w:rPr>
        <w:t xml:space="preserve"> </w:t>
      </w:r>
      <w:r>
        <w:rPr>
          <w:sz w:val="18"/>
        </w:rPr>
        <w:t>лоста</w:t>
      </w:r>
      <w:r>
        <w:rPr>
          <w:sz w:val="18"/>
          <w:lang w:val="pt-PT"/>
        </w:rPr>
        <w:t xml:space="preserve"> </w:t>
      </w:r>
      <w:r>
        <w:rPr>
          <w:sz w:val="18"/>
        </w:rPr>
        <w:t>по</w:t>
      </w:r>
      <w:r>
        <w:rPr>
          <w:sz w:val="18"/>
          <w:lang w:val="pt-PT"/>
        </w:rPr>
        <w:t xml:space="preserve"> </w:t>
      </w:r>
      <w:r>
        <w:rPr>
          <w:sz w:val="18"/>
        </w:rPr>
        <w:t>линия</w:t>
      </w:r>
      <w:r>
        <w:rPr>
          <w:sz w:val="18"/>
          <w:lang w:val="pt-PT"/>
        </w:rPr>
        <w:t xml:space="preserve"> </w:t>
      </w:r>
      <w:r>
        <w:rPr>
          <w:sz w:val="18"/>
        </w:rPr>
        <w:t>на</w:t>
      </w:r>
      <w:r>
        <w:rPr>
          <w:sz w:val="18"/>
          <w:lang w:val="pt-PT"/>
        </w:rPr>
        <w:t xml:space="preserve"> </w:t>
      </w:r>
      <w:r>
        <w:rPr>
          <w:sz w:val="18"/>
        </w:rPr>
        <w:t>инструментите</w:t>
      </w:r>
      <w:r>
        <w:rPr>
          <w:sz w:val="18"/>
          <w:lang w:val="pt-PT"/>
        </w:rPr>
        <w:t xml:space="preserve"> </w:t>
      </w:r>
      <w:r>
        <w:rPr>
          <w:sz w:val="18"/>
        </w:rPr>
        <w:t>за</w:t>
      </w:r>
      <w:r>
        <w:rPr>
          <w:sz w:val="18"/>
          <w:lang w:val="pt-PT"/>
        </w:rPr>
        <w:t xml:space="preserve"> </w:t>
      </w:r>
      <w:r>
        <w:rPr>
          <w:sz w:val="18"/>
        </w:rPr>
        <w:t>периода</w:t>
      </w:r>
      <w:r>
        <w:rPr>
          <w:sz w:val="18"/>
          <w:lang w:val="pt-PT"/>
        </w:rPr>
        <w:t xml:space="preserve"> 2007—2013 </w:t>
      </w:r>
      <w:r>
        <w:rPr>
          <w:sz w:val="18"/>
        </w:rPr>
        <w:t>г</w:t>
      </w:r>
      <w:r>
        <w:rPr>
          <w:sz w:val="18"/>
          <w:lang w:val="pt-PT"/>
        </w:rPr>
        <w:t xml:space="preserve">.; </w:t>
      </w:r>
      <w:r>
        <w:rPr>
          <w:sz w:val="18"/>
        </w:rPr>
        <w:t>действителният</w:t>
      </w:r>
      <w:r>
        <w:rPr>
          <w:sz w:val="18"/>
          <w:lang w:val="pt-PT"/>
        </w:rPr>
        <w:t xml:space="preserve"> </w:t>
      </w:r>
      <w:r>
        <w:rPr>
          <w:sz w:val="18"/>
        </w:rPr>
        <w:t>коефициент</w:t>
      </w:r>
      <w:r>
        <w:rPr>
          <w:sz w:val="18"/>
          <w:lang w:val="pt-PT"/>
        </w:rPr>
        <w:t xml:space="preserve"> </w:t>
      </w:r>
      <w:r>
        <w:rPr>
          <w:sz w:val="18"/>
        </w:rPr>
        <w:t>на</w:t>
      </w:r>
      <w:r>
        <w:rPr>
          <w:sz w:val="18"/>
          <w:lang w:val="pt-PT"/>
        </w:rPr>
        <w:t xml:space="preserve"> </w:t>
      </w:r>
      <w:r>
        <w:rPr>
          <w:sz w:val="18"/>
        </w:rPr>
        <w:t>ефекта</w:t>
      </w:r>
      <w:r>
        <w:rPr>
          <w:sz w:val="18"/>
          <w:lang w:val="pt-PT"/>
        </w:rPr>
        <w:t xml:space="preserve"> </w:t>
      </w:r>
      <w:r>
        <w:rPr>
          <w:sz w:val="18"/>
        </w:rPr>
        <w:t>на</w:t>
      </w:r>
      <w:r>
        <w:rPr>
          <w:sz w:val="18"/>
          <w:lang w:val="pt-PT"/>
        </w:rPr>
        <w:t xml:space="preserve"> </w:t>
      </w:r>
      <w:r>
        <w:rPr>
          <w:sz w:val="18"/>
        </w:rPr>
        <w:t>лоста</w:t>
      </w:r>
      <w:r>
        <w:rPr>
          <w:sz w:val="18"/>
          <w:lang w:val="pt-PT"/>
        </w:rPr>
        <w:t xml:space="preserve"> </w:t>
      </w:r>
      <w:r>
        <w:rPr>
          <w:sz w:val="18"/>
        </w:rPr>
        <w:t>на</w:t>
      </w:r>
      <w:r>
        <w:rPr>
          <w:sz w:val="18"/>
          <w:lang w:val="pt-PT"/>
        </w:rPr>
        <w:t xml:space="preserve"> </w:t>
      </w:r>
      <w:r>
        <w:rPr>
          <w:sz w:val="18"/>
        </w:rPr>
        <w:t>финансовите</w:t>
      </w:r>
      <w:r>
        <w:rPr>
          <w:sz w:val="18"/>
          <w:lang w:val="pt-PT"/>
        </w:rPr>
        <w:t xml:space="preserve"> </w:t>
      </w:r>
      <w:r>
        <w:rPr>
          <w:sz w:val="18"/>
        </w:rPr>
        <w:t>инструменти</w:t>
      </w:r>
      <w:r>
        <w:rPr>
          <w:sz w:val="18"/>
          <w:lang w:val="pt-PT"/>
        </w:rPr>
        <w:t xml:space="preserve"> </w:t>
      </w:r>
      <w:r>
        <w:rPr>
          <w:sz w:val="18"/>
        </w:rPr>
        <w:t>за</w:t>
      </w:r>
      <w:r>
        <w:rPr>
          <w:sz w:val="18"/>
          <w:lang w:val="pt-PT"/>
        </w:rPr>
        <w:t xml:space="preserve"> </w:t>
      </w:r>
      <w:r>
        <w:rPr>
          <w:sz w:val="18"/>
        </w:rPr>
        <w:t>периода</w:t>
      </w:r>
      <w:r>
        <w:rPr>
          <w:sz w:val="18"/>
          <w:lang w:val="pt-PT"/>
        </w:rPr>
        <w:t xml:space="preserve"> 2014—2020 </w:t>
      </w:r>
      <w:r>
        <w:rPr>
          <w:sz w:val="18"/>
        </w:rPr>
        <w:t>г</w:t>
      </w:r>
      <w:r>
        <w:rPr>
          <w:sz w:val="18"/>
          <w:lang w:val="pt-PT"/>
        </w:rPr>
        <w:t xml:space="preserve">. </w:t>
      </w:r>
      <w:r>
        <w:rPr>
          <w:sz w:val="18"/>
        </w:rPr>
        <w:t>в</w:t>
      </w:r>
      <w:r>
        <w:rPr>
          <w:sz w:val="18"/>
          <w:lang w:val="pt-PT"/>
        </w:rPr>
        <w:t xml:space="preserve"> </w:t>
      </w:r>
      <w:r>
        <w:rPr>
          <w:sz w:val="18"/>
        </w:rPr>
        <w:t>крайна</w:t>
      </w:r>
      <w:r>
        <w:rPr>
          <w:sz w:val="18"/>
          <w:lang w:val="pt-PT"/>
        </w:rPr>
        <w:t xml:space="preserve"> </w:t>
      </w:r>
      <w:r>
        <w:rPr>
          <w:sz w:val="18"/>
        </w:rPr>
        <w:t>сметка</w:t>
      </w:r>
      <w:r>
        <w:rPr>
          <w:sz w:val="18"/>
          <w:lang w:val="pt-PT"/>
        </w:rPr>
        <w:t xml:space="preserve"> </w:t>
      </w:r>
      <w:r>
        <w:rPr>
          <w:sz w:val="18"/>
        </w:rPr>
        <w:t>също</w:t>
      </w:r>
      <w:r>
        <w:rPr>
          <w:sz w:val="18"/>
          <w:lang w:val="pt-PT"/>
        </w:rPr>
        <w:t xml:space="preserve"> </w:t>
      </w:r>
      <w:r>
        <w:rPr>
          <w:sz w:val="18"/>
        </w:rPr>
        <w:t>надхвърли</w:t>
      </w:r>
      <w:r>
        <w:rPr>
          <w:sz w:val="18"/>
          <w:lang w:val="pt-PT"/>
        </w:rPr>
        <w:t xml:space="preserve"> </w:t>
      </w:r>
      <w:r>
        <w:rPr>
          <w:sz w:val="18"/>
        </w:rPr>
        <w:t>целевия</w:t>
      </w:r>
      <w:r>
        <w:rPr>
          <w:sz w:val="18"/>
          <w:lang w:val="pt-PT"/>
        </w:rPr>
        <w:t xml:space="preserve"> </w:t>
      </w:r>
      <w:r>
        <w:rPr>
          <w:sz w:val="18"/>
        </w:rPr>
        <w:t>си</w:t>
      </w:r>
      <w:r>
        <w:rPr>
          <w:sz w:val="18"/>
          <w:lang w:val="pt-PT"/>
        </w:rPr>
        <w:t xml:space="preserve"> </w:t>
      </w:r>
      <w:r>
        <w:rPr>
          <w:sz w:val="18"/>
        </w:rPr>
        <w:t>коефициент</w:t>
      </w:r>
      <w:r>
        <w:rPr>
          <w:sz w:val="18"/>
          <w:lang w:val="pt-PT"/>
        </w:rPr>
        <w:t>.</w:t>
      </w:r>
    </w:p>
  </w:footnote>
  <w:footnote w:id="23">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i/>
          <w:sz w:val="18"/>
        </w:rPr>
        <w:t>Очакваните</w:t>
      </w:r>
      <w:r>
        <w:rPr>
          <w:sz w:val="18"/>
          <w:lang w:val="pt-PT"/>
        </w:rPr>
        <w:t xml:space="preserve"> </w:t>
      </w:r>
      <w:r>
        <w:rPr>
          <w:sz w:val="18"/>
        </w:rPr>
        <w:t>финансиране</w:t>
      </w:r>
      <w:r>
        <w:rPr>
          <w:sz w:val="18"/>
          <w:lang w:val="pt-PT"/>
        </w:rPr>
        <w:t xml:space="preserve"> </w:t>
      </w:r>
      <w:r>
        <w:rPr>
          <w:sz w:val="18"/>
        </w:rPr>
        <w:t>и</w:t>
      </w:r>
      <w:r>
        <w:rPr>
          <w:sz w:val="18"/>
          <w:lang w:val="pt-PT"/>
        </w:rPr>
        <w:t xml:space="preserve"> </w:t>
      </w:r>
      <w:r>
        <w:rPr>
          <w:sz w:val="18"/>
        </w:rPr>
        <w:t>инвестиции</w:t>
      </w:r>
      <w:r>
        <w:rPr>
          <w:sz w:val="18"/>
          <w:lang w:val="pt-PT"/>
        </w:rPr>
        <w:t xml:space="preserve"> </w:t>
      </w:r>
      <w:r>
        <w:rPr>
          <w:sz w:val="18"/>
        </w:rPr>
        <w:t>на</w:t>
      </w:r>
      <w:r>
        <w:rPr>
          <w:sz w:val="18"/>
          <w:lang w:val="pt-PT"/>
        </w:rPr>
        <w:t xml:space="preserve"> </w:t>
      </w:r>
      <w:r>
        <w:rPr>
          <w:sz w:val="18"/>
        </w:rPr>
        <w:t>този</w:t>
      </w:r>
      <w:r>
        <w:rPr>
          <w:sz w:val="18"/>
          <w:lang w:val="pt-PT"/>
        </w:rPr>
        <w:t xml:space="preserve"> </w:t>
      </w:r>
      <w:r>
        <w:rPr>
          <w:sz w:val="18"/>
        </w:rPr>
        <w:t>етап</w:t>
      </w:r>
      <w:r>
        <w:rPr>
          <w:sz w:val="18"/>
          <w:lang w:val="pt-PT"/>
        </w:rPr>
        <w:t xml:space="preserve"> </w:t>
      </w:r>
      <w:r>
        <w:rPr>
          <w:sz w:val="18"/>
        </w:rPr>
        <w:t>са</w:t>
      </w:r>
      <w:r>
        <w:rPr>
          <w:sz w:val="18"/>
          <w:lang w:val="pt-PT"/>
        </w:rPr>
        <w:t xml:space="preserve"> </w:t>
      </w:r>
      <w:r>
        <w:rPr>
          <w:sz w:val="18"/>
        </w:rPr>
        <w:t>ограничени</w:t>
      </w:r>
      <w:r>
        <w:rPr>
          <w:sz w:val="18"/>
          <w:lang w:val="pt-PT"/>
        </w:rPr>
        <w:t xml:space="preserve"> </w:t>
      </w:r>
      <w:r>
        <w:rPr>
          <w:sz w:val="18"/>
        </w:rPr>
        <w:t>до</w:t>
      </w:r>
      <w:r>
        <w:rPr>
          <w:sz w:val="18"/>
          <w:lang w:val="pt-PT"/>
        </w:rPr>
        <w:t xml:space="preserve"> </w:t>
      </w:r>
      <w:r>
        <w:rPr>
          <w:sz w:val="18"/>
        </w:rPr>
        <w:t>сумите</w:t>
      </w:r>
      <w:r>
        <w:rPr>
          <w:sz w:val="18"/>
          <w:lang w:val="pt-PT"/>
        </w:rPr>
        <w:t xml:space="preserve"> </w:t>
      </w:r>
      <w:r>
        <w:rPr>
          <w:sz w:val="18"/>
        </w:rPr>
        <w:t>по</w:t>
      </w:r>
      <w:r>
        <w:rPr>
          <w:sz w:val="18"/>
          <w:lang w:val="pt-PT"/>
        </w:rPr>
        <w:t xml:space="preserve"> </w:t>
      </w:r>
      <w:r>
        <w:rPr>
          <w:sz w:val="18"/>
        </w:rPr>
        <w:t>вече</w:t>
      </w:r>
      <w:r>
        <w:rPr>
          <w:sz w:val="18"/>
          <w:lang w:val="pt-PT"/>
        </w:rPr>
        <w:t xml:space="preserve"> </w:t>
      </w:r>
      <w:r>
        <w:rPr>
          <w:sz w:val="18"/>
        </w:rPr>
        <w:t>подписани</w:t>
      </w:r>
      <w:r>
        <w:rPr>
          <w:sz w:val="18"/>
          <w:lang w:val="pt-PT"/>
        </w:rPr>
        <w:t xml:space="preserve"> </w:t>
      </w:r>
      <w:r>
        <w:rPr>
          <w:sz w:val="18"/>
        </w:rPr>
        <w:t>договори</w:t>
      </w:r>
      <w:r>
        <w:rPr>
          <w:sz w:val="18"/>
          <w:lang w:val="pt-PT"/>
        </w:rPr>
        <w:t xml:space="preserve"> </w:t>
      </w:r>
      <w:r>
        <w:rPr>
          <w:sz w:val="18"/>
        </w:rPr>
        <w:t>между</w:t>
      </w:r>
      <w:r>
        <w:rPr>
          <w:sz w:val="18"/>
          <w:lang w:val="pt-PT"/>
        </w:rPr>
        <w:t xml:space="preserve"> </w:t>
      </w:r>
      <w:r>
        <w:rPr>
          <w:sz w:val="18"/>
        </w:rPr>
        <w:t>упълномощените</w:t>
      </w:r>
      <w:r>
        <w:rPr>
          <w:sz w:val="18"/>
          <w:lang w:val="pt-PT"/>
        </w:rPr>
        <w:t xml:space="preserve"> </w:t>
      </w:r>
      <w:r>
        <w:rPr>
          <w:sz w:val="18"/>
        </w:rPr>
        <w:t>субекти</w:t>
      </w:r>
      <w:r>
        <w:rPr>
          <w:sz w:val="18"/>
          <w:lang w:val="pt-PT"/>
        </w:rPr>
        <w:t xml:space="preserve"> </w:t>
      </w:r>
      <w:r>
        <w:rPr>
          <w:sz w:val="18"/>
        </w:rPr>
        <w:t>и</w:t>
      </w:r>
      <w:r>
        <w:rPr>
          <w:sz w:val="18"/>
          <w:lang w:val="pt-PT"/>
        </w:rPr>
        <w:t xml:space="preserve"> </w:t>
      </w:r>
      <w:r>
        <w:rPr>
          <w:sz w:val="18"/>
        </w:rPr>
        <w:t>финансовите</w:t>
      </w:r>
      <w:r>
        <w:rPr>
          <w:sz w:val="18"/>
          <w:lang w:val="pt-PT"/>
        </w:rPr>
        <w:t xml:space="preserve"> </w:t>
      </w:r>
      <w:r>
        <w:rPr>
          <w:sz w:val="18"/>
        </w:rPr>
        <w:t>посредници</w:t>
      </w:r>
      <w:r>
        <w:rPr>
          <w:sz w:val="18"/>
          <w:lang w:val="pt-PT"/>
        </w:rPr>
        <w:t>/</w:t>
      </w:r>
      <w:r>
        <w:rPr>
          <w:sz w:val="18"/>
        </w:rPr>
        <w:t>крайните</w:t>
      </w:r>
      <w:r>
        <w:rPr>
          <w:sz w:val="18"/>
          <w:lang w:val="pt-PT"/>
        </w:rPr>
        <w:t xml:space="preserve"> </w:t>
      </w:r>
      <w:r>
        <w:rPr>
          <w:sz w:val="18"/>
        </w:rPr>
        <w:t>получатели</w:t>
      </w:r>
      <w:r>
        <w:rPr>
          <w:sz w:val="18"/>
          <w:lang w:val="pt-PT"/>
        </w:rPr>
        <w:t>.</w:t>
      </w:r>
    </w:p>
  </w:footnote>
  <w:footnote w:id="24">
    <w:p w:rsidR="004E032F" w:rsidRDefault="009B0276">
      <w:pPr>
        <w:spacing w:before="0" w:after="0" w:line="240" w:lineRule="auto"/>
        <w:jc w:val="both"/>
        <w:rPr>
          <w:sz w:val="18"/>
          <w:szCs w:val="18"/>
          <w:lang w:val="pt-PT"/>
        </w:rPr>
      </w:pPr>
      <w:r>
        <w:rPr>
          <w:rStyle w:val="FootnoteReference"/>
          <w:sz w:val="18"/>
        </w:rPr>
        <w:footnoteRef/>
      </w:r>
      <w:r>
        <w:rPr>
          <w:sz w:val="18"/>
          <w:lang w:val="pt-PT"/>
        </w:rPr>
        <w:t xml:space="preserve"> </w:t>
      </w:r>
      <w:r>
        <w:rPr>
          <w:sz w:val="18"/>
        </w:rPr>
        <w:t>Пълният</w:t>
      </w:r>
      <w:r>
        <w:rPr>
          <w:sz w:val="18"/>
          <w:lang w:val="pt-PT"/>
        </w:rPr>
        <w:t xml:space="preserve"> </w:t>
      </w:r>
      <w:r>
        <w:rPr>
          <w:sz w:val="18"/>
        </w:rPr>
        <w:t>доклад</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е</w:t>
      </w:r>
      <w:r>
        <w:rPr>
          <w:sz w:val="18"/>
          <w:lang w:val="pt-PT"/>
        </w:rPr>
        <w:t xml:space="preserve"> </w:t>
      </w:r>
      <w:r>
        <w:rPr>
          <w:sz w:val="18"/>
        </w:rPr>
        <w:t>достъпен</w:t>
      </w:r>
      <w:r>
        <w:rPr>
          <w:sz w:val="18"/>
          <w:lang w:val="pt-PT"/>
        </w:rPr>
        <w:t xml:space="preserve"> </w:t>
      </w:r>
      <w:r>
        <w:rPr>
          <w:sz w:val="18"/>
        </w:rPr>
        <w:t>на</w:t>
      </w:r>
      <w:r>
        <w:rPr>
          <w:sz w:val="18"/>
          <w:lang w:val="pt-PT"/>
        </w:rPr>
        <w:t xml:space="preserve"> </w:t>
      </w:r>
      <w:r>
        <w:rPr>
          <w:sz w:val="18"/>
        </w:rPr>
        <w:t>адрес</w:t>
      </w:r>
      <w:r>
        <w:rPr>
          <w:sz w:val="18"/>
          <w:lang w:val="pt-PT"/>
        </w:rPr>
        <w:t xml:space="preserve">: </w:t>
      </w:r>
    </w:p>
    <w:p w:rsidR="004E032F" w:rsidRDefault="009B0276">
      <w:pPr>
        <w:spacing w:before="0" w:after="0" w:line="240" w:lineRule="auto"/>
        <w:jc w:val="both"/>
        <w:rPr>
          <w:sz w:val="18"/>
          <w:szCs w:val="18"/>
          <w:lang w:val="pt-PT"/>
        </w:rPr>
      </w:pPr>
      <w:hyperlink r:id="rId4">
        <w:r>
          <w:rPr>
            <w:rStyle w:val="Hyperlink"/>
            <w:sz w:val="18"/>
            <w:lang w:val="pt-PT"/>
          </w:rPr>
          <w:t>http://ec.europa.eu/</w:t>
        </w:r>
        <w:r>
          <w:rPr>
            <w:rStyle w:val="Hyperlink"/>
            <w:sz w:val="18"/>
            <w:lang w:val="pt-PT"/>
          </w:rPr>
          <w:t>regional_policy/sources/thefunds/fin_inst/pdf/summary_data_fei_2015.pdf</w:t>
        </w:r>
      </w:hyperlink>
      <w:r>
        <w:rPr>
          <w:rStyle w:val="Hyperlink"/>
          <w:color w:val="auto"/>
          <w:sz w:val="18"/>
          <w:u w:val="none"/>
          <w:lang w:val="pt-PT"/>
        </w:rPr>
        <w:t xml:space="preserve"> .</w:t>
      </w:r>
    </w:p>
  </w:footnote>
  <w:footnote w:id="25">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Член</w:t>
      </w:r>
      <w:r>
        <w:rPr>
          <w:sz w:val="18"/>
          <w:lang w:val="pt-PT"/>
        </w:rPr>
        <w:t xml:space="preserve"> 46, </w:t>
      </w:r>
      <w:r>
        <w:rPr>
          <w:sz w:val="18"/>
        </w:rPr>
        <w:t>параграф</w:t>
      </w:r>
      <w:r>
        <w:rPr>
          <w:sz w:val="18"/>
          <w:lang w:val="pt-PT"/>
        </w:rPr>
        <w:t xml:space="preserve"> 4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 1303/2013.</w:t>
      </w:r>
    </w:p>
  </w:footnote>
  <w:footnote w:id="26">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От</w:t>
      </w:r>
      <w:r>
        <w:rPr>
          <w:sz w:val="18"/>
          <w:lang w:val="pt-PT"/>
        </w:rPr>
        <w:t xml:space="preserve"> 31 </w:t>
      </w:r>
      <w:r>
        <w:rPr>
          <w:sz w:val="18"/>
        </w:rPr>
        <w:t>декември</w:t>
      </w:r>
      <w:r>
        <w:rPr>
          <w:sz w:val="18"/>
          <w:lang w:val="pt-PT"/>
        </w:rPr>
        <w:t xml:space="preserve"> 2015 </w:t>
      </w:r>
      <w:r>
        <w:rPr>
          <w:sz w:val="18"/>
        </w:rPr>
        <w:t>г</w:t>
      </w:r>
      <w:r>
        <w:rPr>
          <w:sz w:val="18"/>
          <w:lang w:val="pt-PT"/>
        </w:rPr>
        <w:t xml:space="preserve">. </w:t>
      </w:r>
      <w:r>
        <w:rPr>
          <w:sz w:val="18"/>
        </w:rPr>
        <w:t>докладът</w:t>
      </w:r>
      <w:r>
        <w:rPr>
          <w:sz w:val="18"/>
          <w:lang w:val="pt-PT"/>
        </w:rPr>
        <w:t xml:space="preserve"> </w:t>
      </w:r>
      <w:r>
        <w:rPr>
          <w:sz w:val="18"/>
        </w:rPr>
        <w:t>е</w:t>
      </w:r>
      <w:r>
        <w:rPr>
          <w:sz w:val="18"/>
          <w:lang w:val="pt-PT"/>
        </w:rPr>
        <w:t xml:space="preserve"> </w:t>
      </w:r>
      <w:r>
        <w:rPr>
          <w:sz w:val="18"/>
        </w:rPr>
        <w:t>достъпен</w:t>
      </w:r>
      <w:r>
        <w:rPr>
          <w:sz w:val="18"/>
          <w:lang w:val="pt-PT"/>
        </w:rPr>
        <w:t xml:space="preserve"> </w:t>
      </w:r>
      <w:r>
        <w:rPr>
          <w:sz w:val="18"/>
        </w:rPr>
        <w:t>на</w:t>
      </w:r>
      <w:r>
        <w:rPr>
          <w:sz w:val="18"/>
          <w:lang w:val="pt-PT"/>
        </w:rPr>
        <w:t xml:space="preserve"> </w:t>
      </w:r>
      <w:r>
        <w:rPr>
          <w:sz w:val="18"/>
        </w:rPr>
        <w:t>адрес</w:t>
      </w:r>
      <w:r>
        <w:rPr>
          <w:sz w:val="18"/>
          <w:lang w:val="pt-PT"/>
        </w:rPr>
        <w:t>:</w:t>
      </w:r>
    </w:p>
    <w:p w:rsidR="004E032F" w:rsidRDefault="009B0276">
      <w:pPr>
        <w:pStyle w:val="FootnoteText"/>
        <w:spacing w:before="0"/>
        <w:jc w:val="both"/>
        <w:rPr>
          <w:sz w:val="18"/>
          <w:szCs w:val="18"/>
          <w:lang w:val="pt-PT"/>
        </w:rPr>
      </w:pPr>
      <w:hyperlink r:id="rId5">
        <w:r>
          <w:rPr>
            <w:rStyle w:val="Hyperlink"/>
            <w:sz w:val="18"/>
            <w:lang w:val="pt-PT"/>
          </w:rPr>
          <w:t>http://ec.europa.eu/regional_policy/sources/thefunds/fin_inst/pdf/summary_data_fi_1420_2015.pdf</w:t>
        </w:r>
      </w:hyperlink>
      <w:r>
        <w:rPr>
          <w:rStyle w:val="Hyperlink"/>
          <w:color w:val="auto"/>
          <w:sz w:val="18"/>
          <w:u w:val="none"/>
          <w:lang w:val="pt-PT"/>
        </w:rPr>
        <w:t xml:space="preserve"> .</w:t>
      </w:r>
    </w:p>
  </w:footnote>
  <w:footnote w:id="27">
    <w:p w:rsidR="004E032F" w:rsidRDefault="009B0276">
      <w:pPr>
        <w:pStyle w:val="FootnoteText"/>
        <w:spacing w:before="0"/>
        <w:jc w:val="both"/>
        <w:rPr>
          <w:sz w:val="18"/>
          <w:szCs w:val="18"/>
          <w:lang w:val="pt-PT"/>
        </w:rPr>
      </w:pPr>
      <w:r>
        <w:rPr>
          <w:rStyle w:val="FootnoteReference"/>
          <w:sz w:val="18"/>
        </w:rPr>
        <w:footnoteRef/>
      </w:r>
      <w:r>
        <w:rPr>
          <w:sz w:val="18"/>
          <w:lang w:val="pt-PT"/>
        </w:rPr>
        <w:t xml:space="preserve"> </w:t>
      </w:r>
      <w:r>
        <w:rPr>
          <w:sz w:val="18"/>
        </w:rPr>
        <w:t>Членове</w:t>
      </w:r>
      <w:r>
        <w:rPr>
          <w:sz w:val="18"/>
          <w:lang w:val="pt-PT"/>
        </w:rPr>
        <w:t xml:space="preserve"> 16—18 </w:t>
      </w:r>
      <w:r>
        <w:rPr>
          <w:sz w:val="18"/>
        </w:rPr>
        <w:t>от</w:t>
      </w:r>
      <w:r>
        <w:rPr>
          <w:sz w:val="18"/>
          <w:lang w:val="pt-PT"/>
        </w:rPr>
        <w:t xml:space="preserve"> </w:t>
      </w:r>
      <w:r>
        <w:rPr>
          <w:sz w:val="18"/>
        </w:rPr>
        <w:t>Регламент</w:t>
      </w:r>
      <w:r>
        <w:rPr>
          <w:sz w:val="18"/>
          <w:lang w:val="pt-PT"/>
        </w:rPr>
        <w:t xml:space="preserve"> (</w:t>
      </w:r>
      <w:r>
        <w:rPr>
          <w:sz w:val="18"/>
        </w:rPr>
        <w:t>ЕС</w:t>
      </w:r>
      <w:r>
        <w:rPr>
          <w:sz w:val="18"/>
          <w:lang w:val="pt-PT"/>
        </w:rPr>
        <w:t>) 2015/1017).</w:t>
      </w:r>
      <w:r>
        <w:rPr>
          <w:sz w:val="18"/>
          <w:lang w:val="pt-PT"/>
        </w:rPr>
        <w:t xml:space="preserve"> </w:t>
      </w:r>
      <w:r>
        <w:rPr>
          <w:sz w:val="18"/>
        </w:rPr>
        <w:t>По</w:t>
      </w:r>
      <w:r>
        <w:rPr>
          <w:sz w:val="18"/>
          <w:lang w:val="pt-PT"/>
        </w:rPr>
        <w:t>-</w:t>
      </w:r>
      <w:r>
        <w:rPr>
          <w:sz w:val="18"/>
        </w:rPr>
        <w:t>специално</w:t>
      </w:r>
      <w:r>
        <w:rPr>
          <w:sz w:val="18"/>
          <w:lang w:val="pt-PT"/>
        </w:rPr>
        <w:t xml:space="preserve"> </w:t>
      </w:r>
      <w:r>
        <w:rPr>
          <w:sz w:val="18"/>
        </w:rPr>
        <w:t>в</w:t>
      </w:r>
      <w:r>
        <w:rPr>
          <w:sz w:val="18"/>
          <w:lang w:val="pt-PT"/>
        </w:rPr>
        <w:t xml:space="preserve"> </w:t>
      </w:r>
      <w:r>
        <w:rPr>
          <w:sz w:val="18"/>
        </w:rPr>
        <w:t>член</w:t>
      </w:r>
      <w:r>
        <w:rPr>
          <w:sz w:val="18"/>
          <w:lang w:val="pt-PT"/>
        </w:rPr>
        <w:t xml:space="preserve"> 16, </w:t>
      </w:r>
      <w:r>
        <w:rPr>
          <w:sz w:val="18"/>
        </w:rPr>
        <w:t>параграф</w:t>
      </w:r>
      <w:r>
        <w:rPr>
          <w:sz w:val="18"/>
          <w:lang w:val="pt-PT"/>
        </w:rPr>
        <w:t xml:space="preserve"> 2 </w:t>
      </w:r>
      <w:r>
        <w:rPr>
          <w:sz w:val="18"/>
        </w:rPr>
        <w:t>от</w:t>
      </w:r>
      <w:r>
        <w:rPr>
          <w:sz w:val="18"/>
          <w:lang w:val="pt-PT"/>
        </w:rPr>
        <w:t xml:space="preserve"> </w:t>
      </w:r>
      <w:r>
        <w:rPr>
          <w:sz w:val="18"/>
        </w:rPr>
        <w:t>ЕИБ</w:t>
      </w:r>
      <w:r>
        <w:rPr>
          <w:sz w:val="18"/>
          <w:lang w:val="pt-PT"/>
        </w:rPr>
        <w:t xml:space="preserve"> </w:t>
      </w:r>
      <w:r>
        <w:rPr>
          <w:sz w:val="18"/>
        </w:rPr>
        <w:t>се</w:t>
      </w:r>
      <w:r>
        <w:rPr>
          <w:sz w:val="18"/>
          <w:lang w:val="pt-PT"/>
        </w:rPr>
        <w:t xml:space="preserve"> </w:t>
      </w:r>
      <w:r>
        <w:rPr>
          <w:sz w:val="18"/>
        </w:rPr>
        <w:t>изисква</w:t>
      </w:r>
      <w:r>
        <w:rPr>
          <w:sz w:val="18"/>
          <w:lang w:val="pt-PT"/>
        </w:rPr>
        <w:t xml:space="preserve">, </w:t>
      </w:r>
      <w:r>
        <w:rPr>
          <w:sz w:val="18"/>
        </w:rPr>
        <w:t>когато</w:t>
      </w:r>
      <w:r>
        <w:rPr>
          <w:sz w:val="18"/>
          <w:lang w:val="pt-PT"/>
        </w:rPr>
        <w:t xml:space="preserve"> </w:t>
      </w:r>
      <w:r>
        <w:rPr>
          <w:sz w:val="18"/>
        </w:rPr>
        <w:t>е</w:t>
      </w:r>
      <w:r>
        <w:rPr>
          <w:sz w:val="18"/>
          <w:lang w:val="pt-PT"/>
        </w:rPr>
        <w:t xml:space="preserve"> </w:t>
      </w:r>
      <w:r>
        <w:rPr>
          <w:sz w:val="18"/>
        </w:rPr>
        <w:t>целесъобразно</w:t>
      </w:r>
      <w:r>
        <w:rPr>
          <w:sz w:val="18"/>
          <w:lang w:val="pt-PT"/>
        </w:rPr>
        <w:t xml:space="preserve"> — </w:t>
      </w:r>
      <w:r>
        <w:rPr>
          <w:sz w:val="18"/>
        </w:rPr>
        <w:t>в</w:t>
      </w:r>
      <w:r>
        <w:rPr>
          <w:sz w:val="18"/>
          <w:lang w:val="pt-PT"/>
        </w:rPr>
        <w:t xml:space="preserve"> </w:t>
      </w:r>
      <w:r>
        <w:rPr>
          <w:sz w:val="18"/>
        </w:rPr>
        <w:t>сътрудничество</w:t>
      </w:r>
      <w:r>
        <w:rPr>
          <w:sz w:val="18"/>
          <w:lang w:val="pt-PT"/>
        </w:rPr>
        <w:t xml:space="preserve"> </w:t>
      </w:r>
      <w:r>
        <w:rPr>
          <w:sz w:val="18"/>
        </w:rPr>
        <w:t>с</w:t>
      </w:r>
      <w:r>
        <w:rPr>
          <w:sz w:val="18"/>
          <w:lang w:val="pt-PT"/>
        </w:rPr>
        <w:t xml:space="preserve"> </w:t>
      </w:r>
      <w:r>
        <w:rPr>
          <w:sz w:val="18"/>
        </w:rPr>
        <w:t>Европейския</w:t>
      </w:r>
      <w:r>
        <w:rPr>
          <w:sz w:val="18"/>
          <w:lang w:val="pt-PT"/>
        </w:rPr>
        <w:t xml:space="preserve"> </w:t>
      </w:r>
      <w:r>
        <w:rPr>
          <w:sz w:val="18"/>
        </w:rPr>
        <w:t>инвестиционен</w:t>
      </w:r>
      <w:r>
        <w:rPr>
          <w:sz w:val="18"/>
          <w:lang w:val="pt-PT"/>
        </w:rPr>
        <w:t xml:space="preserve"> </w:t>
      </w:r>
      <w:r>
        <w:rPr>
          <w:sz w:val="18"/>
        </w:rPr>
        <w:t>фонд</w:t>
      </w:r>
      <w:r>
        <w:rPr>
          <w:sz w:val="18"/>
          <w:lang w:val="pt-PT"/>
        </w:rPr>
        <w:t xml:space="preserve"> (</w:t>
      </w:r>
      <w:r>
        <w:rPr>
          <w:sz w:val="18"/>
        </w:rPr>
        <w:t>ЕИФ</w:t>
      </w:r>
      <w:r>
        <w:rPr>
          <w:sz w:val="18"/>
          <w:lang w:val="pt-PT"/>
        </w:rPr>
        <w:t xml:space="preserve">), </w:t>
      </w:r>
      <w:r>
        <w:rPr>
          <w:sz w:val="18"/>
        </w:rPr>
        <w:t>да</w:t>
      </w:r>
      <w:r>
        <w:rPr>
          <w:sz w:val="18"/>
          <w:lang w:val="pt-PT"/>
        </w:rPr>
        <w:t xml:space="preserve"> </w:t>
      </w:r>
      <w:r>
        <w:rPr>
          <w:sz w:val="18"/>
        </w:rPr>
        <w:t>представя</w:t>
      </w:r>
      <w:r>
        <w:rPr>
          <w:sz w:val="18"/>
          <w:lang w:val="pt-PT"/>
        </w:rPr>
        <w:t xml:space="preserve"> </w:t>
      </w:r>
      <w:r>
        <w:rPr>
          <w:sz w:val="18"/>
        </w:rPr>
        <w:t>на</w:t>
      </w:r>
      <w:r>
        <w:rPr>
          <w:sz w:val="18"/>
          <w:lang w:val="pt-PT"/>
        </w:rPr>
        <w:t xml:space="preserve"> </w:t>
      </w:r>
      <w:r>
        <w:rPr>
          <w:sz w:val="18"/>
        </w:rPr>
        <w:t>Европейския</w:t>
      </w:r>
      <w:r>
        <w:rPr>
          <w:sz w:val="18"/>
          <w:lang w:val="pt-PT"/>
        </w:rPr>
        <w:t xml:space="preserve"> </w:t>
      </w:r>
      <w:r>
        <w:rPr>
          <w:sz w:val="18"/>
        </w:rPr>
        <w:t>парламент</w:t>
      </w:r>
      <w:r>
        <w:rPr>
          <w:sz w:val="18"/>
          <w:lang w:val="pt-PT"/>
        </w:rPr>
        <w:t xml:space="preserve"> </w:t>
      </w:r>
      <w:r>
        <w:rPr>
          <w:sz w:val="18"/>
        </w:rPr>
        <w:t>и</w:t>
      </w:r>
      <w:r>
        <w:rPr>
          <w:sz w:val="18"/>
          <w:lang w:val="pt-PT"/>
        </w:rPr>
        <w:t xml:space="preserve"> </w:t>
      </w:r>
      <w:r>
        <w:rPr>
          <w:sz w:val="18"/>
        </w:rPr>
        <w:t>на</w:t>
      </w:r>
      <w:r>
        <w:rPr>
          <w:sz w:val="18"/>
          <w:lang w:val="pt-PT"/>
        </w:rPr>
        <w:t xml:space="preserve"> </w:t>
      </w:r>
      <w:r>
        <w:rPr>
          <w:sz w:val="18"/>
        </w:rPr>
        <w:t>Съвета</w:t>
      </w:r>
      <w:r>
        <w:rPr>
          <w:sz w:val="18"/>
          <w:lang w:val="pt-PT"/>
        </w:rPr>
        <w:t xml:space="preserve"> </w:t>
      </w:r>
      <w:r>
        <w:rPr>
          <w:sz w:val="18"/>
        </w:rPr>
        <w:t>годишен</w:t>
      </w:r>
      <w:r>
        <w:rPr>
          <w:sz w:val="18"/>
          <w:lang w:val="pt-PT"/>
        </w:rPr>
        <w:t xml:space="preserve"> </w:t>
      </w:r>
      <w:r>
        <w:rPr>
          <w:sz w:val="18"/>
        </w:rPr>
        <w:t>доклад</w:t>
      </w:r>
      <w:r>
        <w:rPr>
          <w:sz w:val="18"/>
          <w:lang w:val="pt-PT"/>
        </w:rPr>
        <w:t xml:space="preserve"> </w:t>
      </w:r>
      <w:r>
        <w:rPr>
          <w:sz w:val="18"/>
        </w:rPr>
        <w:t>относно</w:t>
      </w:r>
      <w:r>
        <w:rPr>
          <w:sz w:val="18"/>
          <w:lang w:val="pt-PT"/>
        </w:rPr>
        <w:t xml:space="preserve"> </w:t>
      </w:r>
      <w:r>
        <w:rPr>
          <w:sz w:val="18"/>
        </w:rPr>
        <w:t>операциите</w:t>
      </w:r>
      <w:r>
        <w:rPr>
          <w:sz w:val="18"/>
          <w:lang w:val="pt-PT"/>
        </w:rPr>
        <w:t xml:space="preserve"> </w:t>
      </w:r>
      <w:r>
        <w:rPr>
          <w:sz w:val="18"/>
        </w:rPr>
        <w:t>по</w:t>
      </w:r>
      <w:r>
        <w:rPr>
          <w:sz w:val="18"/>
          <w:lang w:val="pt-PT"/>
        </w:rPr>
        <w:t xml:space="preserve"> </w:t>
      </w:r>
      <w:r>
        <w:rPr>
          <w:sz w:val="18"/>
        </w:rPr>
        <w:t>финансиране</w:t>
      </w:r>
      <w:r>
        <w:rPr>
          <w:sz w:val="18"/>
          <w:lang w:val="pt-PT"/>
        </w:rPr>
        <w:t xml:space="preserve"> </w:t>
      </w:r>
      <w:r>
        <w:rPr>
          <w:sz w:val="18"/>
        </w:rPr>
        <w:t>и</w:t>
      </w:r>
      <w:r>
        <w:rPr>
          <w:sz w:val="18"/>
          <w:lang w:val="pt-PT"/>
        </w:rPr>
        <w:t xml:space="preserve"> </w:t>
      </w:r>
      <w:r>
        <w:rPr>
          <w:sz w:val="18"/>
        </w:rPr>
        <w:t>инвестиране</w:t>
      </w:r>
      <w:r>
        <w:rPr>
          <w:sz w:val="18"/>
          <w:lang w:val="pt-PT"/>
        </w:rPr>
        <w:t xml:space="preserve"> </w:t>
      </w:r>
      <w:r>
        <w:rPr>
          <w:sz w:val="18"/>
        </w:rPr>
        <w:t>на</w:t>
      </w:r>
      <w:r>
        <w:rPr>
          <w:sz w:val="18"/>
          <w:lang w:val="pt-PT"/>
        </w:rPr>
        <w:t xml:space="preserve"> </w:t>
      </w:r>
      <w:r>
        <w:rPr>
          <w:sz w:val="18"/>
        </w:rPr>
        <w:t>ЕИБ</w:t>
      </w:r>
      <w:r>
        <w:rPr>
          <w:sz w:val="18"/>
          <w:lang w:val="pt-PT"/>
        </w:rPr>
        <w:t xml:space="preserve">, </w:t>
      </w:r>
      <w:r>
        <w:rPr>
          <w:sz w:val="18"/>
        </w:rPr>
        <w:t>обхванати</w:t>
      </w:r>
      <w:r>
        <w:rPr>
          <w:sz w:val="18"/>
          <w:lang w:val="pt-PT"/>
        </w:rPr>
        <w:t xml:space="preserve"> </w:t>
      </w:r>
      <w:r>
        <w:rPr>
          <w:sz w:val="18"/>
        </w:rPr>
        <w:t>от</w:t>
      </w:r>
      <w:r>
        <w:rPr>
          <w:sz w:val="18"/>
          <w:lang w:val="pt-PT"/>
        </w:rPr>
        <w:t xml:space="preserve"> </w:t>
      </w:r>
      <w:r>
        <w:rPr>
          <w:sz w:val="18"/>
        </w:rPr>
        <w:t>регламента</w:t>
      </w:r>
      <w:r>
        <w:rPr>
          <w:sz w:val="18"/>
          <w:lang w:val="pt-PT"/>
        </w:rPr>
        <w:t xml:space="preserve"> </w:t>
      </w:r>
      <w:r>
        <w:rPr>
          <w:sz w:val="18"/>
        </w:rPr>
        <w:t>за</w:t>
      </w:r>
      <w:r>
        <w:rPr>
          <w:sz w:val="18"/>
          <w:lang w:val="pt-PT"/>
        </w:rPr>
        <w:t xml:space="preserve"> </w:t>
      </w:r>
      <w:r>
        <w:rPr>
          <w:sz w:val="18"/>
        </w:rPr>
        <w:t>ЕФСИ</w:t>
      </w:r>
      <w:r>
        <w:rPr>
          <w:sz w:val="18"/>
          <w:lang w:val="pt-PT"/>
        </w:rPr>
        <w:t xml:space="preserve">. </w:t>
      </w:r>
      <w:r>
        <w:rPr>
          <w:sz w:val="18"/>
        </w:rPr>
        <w:t>Пълният</w:t>
      </w:r>
      <w:r>
        <w:rPr>
          <w:sz w:val="18"/>
          <w:lang w:val="pt-PT"/>
        </w:rPr>
        <w:t xml:space="preserve"> </w:t>
      </w:r>
      <w:r>
        <w:rPr>
          <w:sz w:val="18"/>
        </w:rPr>
        <w:t>текст</w:t>
      </w:r>
      <w:r>
        <w:rPr>
          <w:sz w:val="18"/>
          <w:lang w:val="pt-PT"/>
        </w:rPr>
        <w:t xml:space="preserve"> </w:t>
      </w:r>
      <w:r>
        <w:rPr>
          <w:sz w:val="18"/>
        </w:rPr>
        <w:t>на</w:t>
      </w:r>
      <w:r>
        <w:rPr>
          <w:sz w:val="18"/>
          <w:lang w:val="pt-PT"/>
        </w:rPr>
        <w:t xml:space="preserve"> </w:t>
      </w:r>
      <w:r>
        <w:rPr>
          <w:sz w:val="18"/>
        </w:rPr>
        <w:t>доклада</w:t>
      </w:r>
      <w:r>
        <w:rPr>
          <w:sz w:val="18"/>
          <w:lang w:val="pt-PT"/>
        </w:rPr>
        <w:t xml:space="preserve"> </w:t>
      </w:r>
      <w:r>
        <w:rPr>
          <w:sz w:val="18"/>
        </w:rPr>
        <w:t>за</w:t>
      </w:r>
      <w:r>
        <w:rPr>
          <w:sz w:val="18"/>
          <w:lang w:val="pt-PT"/>
        </w:rPr>
        <w:t xml:space="preserve"> 2015 </w:t>
      </w:r>
      <w:r>
        <w:rPr>
          <w:sz w:val="18"/>
        </w:rPr>
        <w:t>г</w:t>
      </w:r>
      <w:r>
        <w:rPr>
          <w:sz w:val="18"/>
          <w:lang w:val="pt-PT"/>
        </w:rPr>
        <w:t xml:space="preserve">. </w:t>
      </w:r>
      <w:r>
        <w:rPr>
          <w:sz w:val="18"/>
        </w:rPr>
        <w:t>можете</w:t>
      </w:r>
      <w:r>
        <w:rPr>
          <w:sz w:val="18"/>
          <w:lang w:val="pt-PT"/>
        </w:rPr>
        <w:t xml:space="preserve"> </w:t>
      </w:r>
      <w:r>
        <w:rPr>
          <w:sz w:val="18"/>
        </w:rPr>
        <w:t>да</w:t>
      </w:r>
      <w:r>
        <w:rPr>
          <w:sz w:val="18"/>
          <w:lang w:val="pt-PT"/>
        </w:rPr>
        <w:t xml:space="preserve"> </w:t>
      </w:r>
      <w:r>
        <w:rPr>
          <w:sz w:val="18"/>
        </w:rPr>
        <w:t>намерите</w:t>
      </w:r>
      <w:r>
        <w:rPr>
          <w:sz w:val="18"/>
          <w:lang w:val="pt-PT"/>
        </w:rPr>
        <w:t xml:space="preserve"> </w:t>
      </w:r>
      <w:r>
        <w:t>на</w:t>
      </w:r>
      <w:r>
        <w:rPr>
          <w:lang w:val="pt-PT"/>
        </w:rPr>
        <w:t xml:space="preserve"> </w:t>
      </w:r>
      <w:r>
        <w:t>адрес</w:t>
      </w:r>
      <w:r>
        <w:rPr>
          <w:lang w:val="pt-PT"/>
        </w:rPr>
        <w:t xml:space="preserve">: </w:t>
      </w:r>
      <w:hyperlink r:id="rId6">
        <w:r>
          <w:rPr>
            <w:rStyle w:val="Hyperlink"/>
            <w:sz w:val="18"/>
            <w:lang w:val="pt-PT"/>
          </w:rPr>
          <w:t>http://www.eib.org/attachments/strategies/efsi_2015_report_e</w:t>
        </w:r>
        <w:r>
          <w:rPr>
            <w:rStyle w:val="Hyperlink"/>
            <w:sz w:val="18"/>
            <w:lang w:val="pt-PT"/>
          </w:rPr>
          <w:t>p_council_en.pdf</w:t>
        </w:r>
      </w:hyperlink>
      <w:r>
        <w:rPr>
          <w:rStyle w:val="Hyperlink"/>
          <w:color w:val="auto"/>
          <w:sz w:val="18"/>
          <w:u w:val="none"/>
          <w:lang w:val="pt-PT"/>
        </w:rPr>
        <w:t xml:space="preserve"> .</w:t>
      </w:r>
    </w:p>
  </w:footnote>
  <w:footnote w:id="28">
    <w:p w:rsidR="004E032F" w:rsidRDefault="009B0276">
      <w:pPr>
        <w:rPr>
          <w:noProof/>
          <w:sz w:val="20"/>
          <w:szCs w:val="20"/>
          <w:lang w:val="pt-PT"/>
        </w:rPr>
      </w:pPr>
      <w:r>
        <w:rPr>
          <w:rStyle w:val="FootnoteReference"/>
          <w:sz w:val="20"/>
          <w:szCs w:val="20"/>
        </w:rPr>
        <w:footnoteRef/>
      </w:r>
      <w:r>
        <w:rPr>
          <w:rStyle w:val="FootnoteReference"/>
          <w:sz w:val="20"/>
          <w:szCs w:val="20"/>
          <w:lang w:val="pt-PT"/>
        </w:rPr>
        <w:t xml:space="preserve"> </w:t>
      </w:r>
      <w:r>
        <w:rPr>
          <w:sz w:val="18"/>
          <w:szCs w:val="18"/>
        </w:rPr>
        <w:t>Документ</w:t>
      </w:r>
      <w:r>
        <w:rPr>
          <w:sz w:val="18"/>
          <w:szCs w:val="18"/>
          <w:lang w:val="pt-PT"/>
        </w:rPr>
        <w:t xml:space="preserve"> </w:t>
      </w:r>
      <w:r>
        <w:rPr>
          <w:sz w:val="18"/>
          <w:szCs w:val="18"/>
        </w:rPr>
        <w:t>на</w:t>
      </w:r>
      <w:r>
        <w:rPr>
          <w:sz w:val="18"/>
          <w:szCs w:val="18"/>
          <w:lang w:val="pt-PT"/>
        </w:rPr>
        <w:t xml:space="preserve"> </w:t>
      </w:r>
      <w:r>
        <w:rPr>
          <w:sz w:val="18"/>
          <w:szCs w:val="18"/>
        </w:rPr>
        <w:t>Комисията</w:t>
      </w:r>
      <w:r>
        <w:rPr>
          <w:sz w:val="18"/>
          <w:szCs w:val="18"/>
          <w:lang w:val="pt-PT"/>
        </w:rPr>
        <w:t xml:space="preserve"> </w:t>
      </w:r>
      <w:r>
        <w:rPr>
          <w:sz w:val="18"/>
          <w:szCs w:val="18"/>
        </w:rPr>
        <w:t>за</w:t>
      </w:r>
      <w:r>
        <w:rPr>
          <w:sz w:val="18"/>
          <w:szCs w:val="18"/>
          <w:lang w:val="pt-PT"/>
        </w:rPr>
        <w:t xml:space="preserve"> </w:t>
      </w:r>
      <w:r>
        <w:rPr>
          <w:sz w:val="18"/>
          <w:szCs w:val="18"/>
        </w:rPr>
        <w:t>размисъл</w:t>
      </w:r>
      <w:r>
        <w:rPr>
          <w:sz w:val="18"/>
          <w:szCs w:val="18"/>
          <w:lang w:val="pt-PT"/>
        </w:rPr>
        <w:t xml:space="preserve"> </w:t>
      </w:r>
      <w:r>
        <w:rPr>
          <w:sz w:val="18"/>
          <w:szCs w:val="18"/>
        </w:rPr>
        <w:t>относно</w:t>
      </w:r>
      <w:r>
        <w:rPr>
          <w:sz w:val="18"/>
          <w:szCs w:val="18"/>
          <w:lang w:val="pt-PT"/>
        </w:rPr>
        <w:t xml:space="preserve"> </w:t>
      </w:r>
      <w:r>
        <w:rPr>
          <w:sz w:val="18"/>
          <w:szCs w:val="18"/>
        </w:rPr>
        <w:t>бъдещето</w:t>
      </w:r>
      <w:r>
        <w:rPr>
          <w:sz w:val="18"/>
          <w:szCs w:val="18"/>
          <w:lang w:val="pt-PT"/>
        </w:rPr>
        <w:t xml:space="preserve"> </w:t>
      </w:r>
      <w:r>
        <w:rPr>
          <w:sz w:val="18"/>
          <w:szCs w:val="18"/>
        </w:rPr>
        <w:t>на</w:t>
      </w:r>
      <w:r>
        <w:rPr>
          <w:sz w:val="18"/>
          <w:szCs w:val="18"/>
          <w:lang w:val="pt-PT"/>
        </w:rPr>
        <w:t xml:space="preserve"> </w:t>
      </w:r>
      <w:r>
        <w:rPr>
          <w:sz w:val="18"/>
          <w:szCs w:val="18"/>
        </w:rPr>
        <w:t>финансите</w:t>
      </w:r>
      <w:r>
        <w:rPr>
          <w:sz w:val="18"/>
          <w:szCs w:val="18"/>
          <w:lang w:val="pt-PT"/>
        </w:rPr>
        <w:t xml:space="preserve"> </w:t>
      </w:r>
      <w:r>
        <w:rPr>
          <w:sz w:val="18"/>
          <w:szCs w:val="18"/>
        </w:rPr>
        <w:t>на</w:t>
      </w:r>
      <w:r>
        <w:rPr>
          <w:sz w:val="18"/>
          <w:szCs w:val="18"/>
          <w:lang w:val="pt-PT"/>
        </w:rPr>
        <w:t xml:space="preserve"> </w:t>
      </w:r>
      <w:r>
        <w:rPr>
          <w:sz w:val="18"/>
          <w:szCs w:val="18"/>
        </w:rPr>
        <w:t>ЕС</w:t>
      </w:r>
      <w:r>
        <w:rPr>
          <w:sz w:val="18"/>
          <w:szCs w:val="18"/>
          <w:lang w:val="pt-PT"/>
        </w:rPr>
        <w:t xml:space="preserve">, </w:t>
      </w:r>
      <w:r>
        <w:rPr>
          <w:sz w:val="18"/>
          <w:szCs w:val="18"/>
        </w:rPr>
        <w:t>вж</w:t>
      </w:r>
      <w:r>
        <w:rPr>
          <w:sz w:val="18"/>
          <w:szCs w:val="18"/>
          <w:lang w:val="pt-PT"/>
        </w:rPr>
        <w:t xml:space="preserve">. </w:t>
      </w:r>
      <w:r>
        <w:rPr>
          <w:sz w:val="18"/>
          <w:szCs w:val="18"/>
        </w:rPr>
        <w:t>по</w:t>
      </w:r>
      <w:r>
        <w:rPr>
          <w:sz w:val="18"/>
          <w:szCs w:val="18"/>
          <w:lang w:val="pt-PT"/>
        </w:rPr>
        <w:t>-</w:t>
      </w:r>
      <w:r>
        <w:rPr>
          <w:sz w:val="18"/>
          <w:szCs w:val="18"/>
        </w:rPr>
        <w:t>специално</w:t>
      </w:r>
      <w:r>
        <w:rPr>
          <w:sz w:val="18"/>
          <w:szCs w:val="18"/>
          <w:lang w:val="pt-PT"/>
        </w:rPr>
        <w:t xml:space="preserve"> </w:t>
      </w:r>
      <w:r>
        <w:rPr>
          <w:sz w:val="18"/>
          <w:szCs w:val="18"/>
        </w:rPr>
        <w:t>раздел</w:t>
      </w:r>
      <w:r>
        <w:rPr>
          <w:sz w:val="18"/>
          <w:szCs w:val="18"/>
          <w:lang w:val="pt-PT"/>
        </w:rPr>
        <w:t xml:space="preserve"> 4.2.2: </w:t>
      </w:r>
      <w:hyperlink r:id="rId7">
        <w:r>
          <w:rPr>
            <w:rStyle w:val="Hyperlink"/>
            <w:noProof/>
            <w:sz w:val="18"/>
            <w:szCs w:val="18"/>
            <w:lang w:val="pt-PT"/>
          </w:rPr>
          <w:t>https://ec.europa.eu/commission/publications/reflection-paper-future-eu-finances_bg</w:t>
        </w:r>
      </w:hyperlink>
      <w:r>
        <w:rPr>
          <w:rStyle w:val="Hyperlink"/>
          <w:color w:val="auto"/>
          <w:sz w:val="18"/>
          <w:u w:val="none"/>
          <w:lang w:val="pt-PT"/>
        </w:rPr>
        <w:t xml:space="preserve"> .</w:t>
      </w:r>
    </w:p>
  </w:footnote>
  <w:footnote w:id="29">
    <w:p w:rsidR="004E032F" w:rsidRDefault="009B0276">
      <w:pPr>
        <w:pStyle w:val="FootnoteText"/>
        <w:rPr>
          <w:sz w:val="18"/>
          <w:szCs w:val="18"/>
          <w:lang w:val="pt-PT"/>
        </w:rPr>
      </w:pPr>
      <w:r>
        <w:rPr>
          <w:rStyle w:val="FootnoteReference"/>
        </w:rPr>
        <w:footnoteRef/>
      </w:r>
      <w:r>
        <w:rPr>
          <w:lang w:val="pt-PT"/>
        </w:rPr>
        <w:t xml:space="preserve"> </w:t>
      </w:r>
      <w:r>
        <w:rPr>
          <w:sz w:val="18"/>
          <w:szCs w:val="18"/>
        </w:rPr>
        <w:t>Вж</w:t>
      </w:r>
      <w:r>
        <w:rPr>
          <w:sz w:val="18"/>
          <w:szCs w:val="18"/>
          <w:lang w:val="pt-PT"/>
        </w:rPr>
        <w:t xml:space="preserve">. </w:t>
      </w:r>
      <w:r>
        <w:rPr>
          <w:sz w:val="18"/>
          <w:szCs w:val="18"/>
        </w:rPr>
        <w:t>по</w:t>
      </w:r>
      <w:r>
        <w:rPr>
          <w:sz w:val="18"/>
          <w:szCs w:val="18"/>
          <w:lang w:val="pt-PT"/>
        </w:rPr>
        <w:t>-</w:t>
      </w:r>
      <w:r>
        <w:rPr>
          <w:sz w:val="18"/>
          <w:szCs w:val="18"/>
        </w:rPr>
        <w:t>горе</w:t>
      </w:r>
      <w:r>
        <w:rPr>
          <w:sz w:val="18"/>
          <w:szCs w:val="18"/>
          <w:lang w:val="pt-PT"/>
        </w:rPr>
        <w:t>.</w:t>
      </w:r>
    </w:p>
  </w:footnote>
  <w:footnote w:id="30">
    <w:p w:rsidR="004E032F" w:rsidRDefault="009B0276">
      <w:pPr>
        <w:pStyle w:val="FootnoteText"/>
        <w:rPr>
          <w:sz w:val="18"/>
          <w:szCs w:val="18"/>
          <w:lang w:val="pt-PT"/>
        </w:rPr>
      </w:pPr>
      <w:r>
        <w:rPr>
          <w:rStyle w:val="FootnoteReference"/>
          <w:sz w:val="18"/>
          <w:szCs w:val="18"/>
        </w:rPr>
        <w:footnoteRef/>
      </w:r>
      <w:r>
        <w:rPr>
          <w:sz w:val="18"/>
          <w:szCs w:val="18"/>
          <w:lang w:val="pt-PT"/>
        </w:rPr>
        <w:t xml:space="preserve"> https://ec.europa.eu/growth/access-to-finance_en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2F" w:rsidRDefault="004E03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9.2pt;height:9.2pt" o:bullet="t">
        <v:imagedata r:id="rId1" o:title="BD10255_"/>
      </v:shape>
    </w:pict>
  </w:numPicBullet>
  <w:abstractNum w:abstractNumId="0">
    <w:nsid w:val="030E68FB"/>
    <w:multiLevelType w:val="hybridMultilevel"/>
    <w:tmpl w:val="611278EA"/>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0C0FF9"/>
    <w:multiLevelType w:val="hybridMultilevel"/>
    <w:tmpl w:val="C944D50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nsid w:val="0BC10F31"/>
    <w:multiLevelType w:val="hybridMultilevel"/>
    <w:tmpl w:val="658C48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1159306F"/>
    <w:multiLevelType w:val="hybridMultilevel"/>
    <w:tmpl w:val="BA1409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F83128B"/>
    <w:multiLevelType w:val="hybridMultilevel"/>
    <w:tmpl w:val="AA200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822E6E"/>
    <w:multiLevelType w:val="hybridMultilevel"/>
    <w:tmpl w:val="9F4EFD8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1">
    <w:nsid w:val="218D66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lvlText w:val="%2."/>
      <w:lvlJc w:val="left"/>
      <w:pPr>
        <w:ind w:left="953" w:hanging="477"/>
      </w:pPr>
      <w:rPr>
        <w:rFonts w:hint="default"/>
      </w:rPr>
    </w:lvl>
    <w:lvl w:ilvl="2">
      <w:start w:val="1"/>
      <w:numFmt w:val="lowerRoman"/>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EF072D7"/>
    <w:multiLevelType w:val="hybridMultilevel"/>
    <w:tmpl w:val="C2CED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77E22E3"/>
    <w:multiLevelType w:val="hybridMultilevel"/>
    <w:tmpl w:val="92A8B6E4"/>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87EA8504">
      <w:start w:val="2"/>
      <w:numFmt w:val="bullet"/>
      <w:lvlText w:val="-"/>
      <w:lvlJc w:val="left"/>
      <w:pPr>
        <w:ind w:left="2880" w:hanging="360"/>
      </w:pPr>
      <w:rPr>
        <w:rFonts w:ascii="Times New Roman" w:eastAsia="Calibri" w:hAnsi="Times New Roman" w:cs="Times New Roman"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8264F19"/>
    <w:multiLevelType w:val="hybridMultilevel"/>
    <w:tmpl w:val="8DFEB6B2"/>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881AB26E">
      <w:start w:val="1"/>
      <w:numFmt w:val="bullet"/>
      <w:lvlText w:val="˗"/>
      <w:lvlJc w:val="left"/>
      <w:pPr>
        <w:ind w:left="2160" w:hanging="360"/>
      </w:pPr>
      <w:rPr>
        <w:rFonts w:ascii="Times New Roman" w:hAnsi="Times New Roman" w:cs="Times New Roman" w:hint="default"/>
      </w:rPr>
    </w:lvl>
    <w:lvl w:ilvl="3" w:tplc="0809000F">
      <w:start w:val="1"/>
      <w:numFmt w:val="decimal"/>
      <w:lvlText w:val="%4."/>
      <w:lvlJc w:val="left"/>
      <w:pPr>
        <w:ind w:left="2880" w:hanging="360"/>
      </w:p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2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0A5764"/>
    <w:multiLevelType w:val="hybridMultilevel"/>
    <w:tmpl w:val="236C3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5">
    <w:nsid w:val="5FA45162"/>
    <w:multiLevelType w:val="hybridMultilevel"/>
    <w:tmpl w:val="C75482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5660B12"/>
    <w:multiLevelType w:val="hybridMultilevel"/>
    <w:tmpl w:val="AA2009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7">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FC450E4"/>
    <w:multiLevelType w:val="hybridMultilevel"/>
    <w:tmpl w:val="E59C44C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3"/>
  </w:num>
  <w:num w:numId="4">
    <w:abstractNumId w:val="8"/>
  </w:num>
  <w:num w:numId="5">
    <w:abstractNumId w:val="1"/>
  </w:num>
  <w:num w:numId="6">
    <w:abstractNumId w:val="23"/>
  </w:num>
  <w:num w:numId="7">
    <w:abstractNumId w:val="22"/>
  </w:num>
  <w:num w:numId="8">
    <w:abstractNumId w:val="27"/>
  </w:num>
  <w:num w:numId="9">
    <w:abstractNumId w:val="19"/>
  </w:num>
  <w:num w:numId="10">
    <w:abstractNumId w:val="36"/>
  </w:num>
  <w:num w:numId="11">
    <w:abstractNumId w:val="17"/>
  </w:num>
  <w:num w:numId="12">
    <w:abstractNumId w:val="28"/>
  </w:num>
  <w:num w:numId="13">
    <w:abstractNumId w:val="15"/>
  </w:num>
  <w:num w:numId="14">
    <w:abstractNumId w:val="29"/>
  </w:num>
  <w:num w:numId="15">
    <w:abstractNumId w:val="31"/>
  </w:num>
  <w:num w:numId="16">
    <w:abstractNumId w:val="7"/>
  </w:num>
  <w:num w:numId="17">
    <w:abstractNumId w:val="20"/>
  </w:num>
  <w:num w:numId="18">
    <w:abstractNumId w:val="37"/>
  </w:num>
  <w:num w:numId="19">
    <w:abstractNumId w:val="2"/>
  </w:num>
  <w:num w:numId="20">
    <w:abstractNumId w:val="30"/>
  </w:num>
  <w:num w:numId="21">
    <w:abstractNumId w:val="34"/>
  </w:num>
  <w:num w:numId="22">
    <w:abstractNumId w:val="26"/>
  </w:num>
  <w:num w:numId="23">
    <w:abstractNumId w:val="35"/>
  </w:num>
  <w:num w:numId="24">
    <w:abstractNumId w:val="6"/>
  </w:num>
  <w:num w:numId="25">
    <w:abstractNumId w:val="32"/>
  </w:num>
  <w:num w:numId="26">
    <w:abstractNumId w:val="24"/>
  </w:num>
  <w:num w:numId="27">
    <w:abstractNumId w:val="5"/>
  </w:num>
  <w:num w:numId="28">
    <w:abstractNumId w:val="14"/>
  </w:num>
  <w:num w:numId="29">
    <w:abstractNumId w:val="14"/>
  </w:num>
  <w:num w:numId="30">
    <w:abstractNumId w:val="14"/>
  </w:num>
  <w:num w:numId="31">
    <w:abstractNumId w:val="4"/>
  </w:num>
  <w:num w:numId="32">
    <w:abstractNumId w:val="4"/>
  </w:num>
  <w:num w:numId="33">
    <w:abstractNumId w:val="0"/>
  </w:num>
  <w:num w:numId="34">
    <w:abstractNumId w:val="13"/>
  </w:num>
  <w:num w:numId="35">
    <w:abstractNumId w:val="3"/>
  </w:num>
  <w:num w:numId="36">
    <w:abstractNumId w:val="10"/>
  </w:num>
  <w:num w:numId="37">
    <w:abstractNumId w:val="25"/>
  </w:num>
  <w:num w:numId="38">
    <w:abstractNumId w:val="11"/>
  </w:num>
  <w:num w:numId="39">
    <w:abstractNumId w:val="33"/>
  </w:num>
  <w:num w:numId="40">
    <w:abstractNumId w:val="9"/>
  </w:num>
  <w:num w:numId="41">
    <w:abstractNumId w:val="18"/>
  </w:num>
  <w:num w:numId="42">
    <w:abstractNumId w:val="16"/>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1"/>
    <w:docVar w:name="LW_CONFIDENCE" w:val=" "/>
    <w:docVar w:name="LW_CONST_RESTREINT_UE" w:val="RESTREINT UE"/>
    <w:docVar w:name="LW_CORRIGENDUM" w:val="&lt;UNUSED&gt;"/>
    <w:docVar w:name="LW_COVERPAGE_GUID" w:val="B015A8A2085C4D7DB32CFD0BFE58A00F"/>
    <w:docVar w:name="LW_CROSSREFERENCE" w:val="{SWD(2017) 312 final}"/>
    <w:docVar w:name="LW_DocType" w:val="NORMAL"/>
    <w:docVar w:name="LW_EMISSION" w:val="25.9.2017"/>
    <w:docVar w:name="LW_EMISSION_ISODATE" w:val="2017-09-2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535"/>
    <w:docVar w:name="LW_REF.INTERNE" w:val="&lt;UNUSED&gt;"/>
    <w:docVar w:name="LW_SOUS.TITRE.OBJ.CP" w:val="&lt;UNUSED&gt;"/>
    <w:docVar w:name="LW_SUPERTITRE" w:val="&lt;UNUSED&gt;"/>
    <w:docVar w:name="LW_TITRE.OBJ.CP" w:val="\u1086?\u1090?\u1085?\u1086?\u1089?\u1085?\u1086? \u1092?\u1080?\u1085?\u1072?\u1085?\u1089?\u1086?\u1074?\u1080?\u1090?\u1077? \u1080?\u1085?\u1089?\u1090?\u1088?\u1091?\u1084?\u1077?\u1085?\u1090?\u1080?, \u1087?\u1086?\u1076?\u1082?\u1088?\u1077?\u1087?\u1077?\u1085?\u1080? \u1086?\u1090? \u1086?\u1073?\u1097?\u1080?\u1103? \u1073?\u1102?\u1076?\u1078?\u1077?\u1090? \u1089?\u1098?\u1075?\u1083?\u1072?\u1089?\u1085?\u1086? \u1095?\u1083?\u1077?\u1085? 140, \u1087?\u1072?\u1088?\u1072?\u1075?\u1088?\u1072?\u1092? 8 \u1086?\u1090? \u1060?\u1080?\u1085?\u1072?\u1085?\u1089?\u1086?\u1074?\u1080?\u1103? \u1088?\u1077?\u1075?\u1083?\u1072?\u1084?\u1077?\u1085?\u1090? \u1082?\u1098?\u1084? 31 \u1076?\u1077?\u1082?\u1077?\u1084?\u1074?\u1088?\u1080? 2016 \u1075?."/>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ECFIN\ECFIN-2015-00229\ECFIN-2015-00229-00-00-EN-REV-00.DOCX"/>
  </w:docVars>
  <w:rsids>
    <w:rsidRoot w:val="004E032F"/>
    <w:rsid w:val="00225A8C"/>
    <w:rsid w:val="004E032F"/>
    <w:rsid w:val="009B02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Schriftart: 10,Podrozdział"/>
    <w:basedOn w:val="Normal"/>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qFormat/>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link w:val="Caption1"/>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qFormat="1"/>
    <w:lsdException w:name="caption" w:uiPriority="35" w:qFormat="1"/>
    <w:lsdException w:name="footnote reference"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lang w:eastAsia="en-US"/>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en-US"/>
    </w:rPr>
  </w:style>
  <w:style w:type="character" w:customStyle="1" w:styleId="Heading2Char">
    <w:name w:val="Heading 2 Char"/>
    <w:link w:val="Heading2"/>
    <w:uiPriority w:val="9"/>
    <w:rPr>
      <w:rFonts w:ascii="Times New Roman" w:hAnsi="Times New Roman"/>
      <w:b/>
      <w:sz w:val="24"/>
      <w:szCs w:val="24"/>
      <w:lang w:eastAsia="en-US"/>
    </w:rPr>
  </w:style>
  <w:style w:type="character" w:customStyle="1" w:styleId="Heading3Char">
    <w:name w:val="Heading 3 Char"/>
    <w:aliases w:val="Heading 3 bis Char"/>
    <w:link w:val="Heading3"/>
    <w:uiPriority w:val="9"/>
    <w:rPr>
      <w:rFonts w:ascii="Times New Roman" w:hAnsi="Times New Roman"/>
      <w:b/>
      <w:sz w:val="24"/>
      <w:szCs w:val="24"/>
      <w:lang w:eastAsia="en-US"/>
    </w:rPr>
  </w:style>
  <w:style w:type="paragraph" w:styleId="TOCHeading">
    <w:name w:val="TOC Heading"/>
    <w:basedOn w:val="Heading1"/>
    <w:next w:val="Normal"/>
    <w:uiPriority w:val="39"/>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aliases w:val="Schriftart: 9 pt,Schriftart: 10 pt,Schriftart: 8 pt,WB-Fußnotentext,FoodNote,ft,Footnote text,Footnote Text Char1,Footnote Text Char Char,Footnote Text Char1 Char Char,Footnote Text Char Char Char Char,fn,f,Char,Schriftart: 10,Podrozdział"/>
    <w:basedOn w:val="Normal"/>
    <w:uiPriority w:val="99"/>
    <w:unhideWhenUsed/>
    <w:qFormat/>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qFormat/>
    <w:rPr>
      <w:shd w:val="clear" w:color="auto" w:fill="auto"/>
      <w:vertAlign w:val="superscript"/>
    </w:rPr>
  </w:style>
  <w:style w:type="paragraph" w:styleId="NormalIndent">
    <w:name w:val="Normal Indent"/>
    <w:basedOn w:val="Normal"/>
    <w:pPr>
      <w:spacing w:after="0" w:line="240" w:lineRule="auto"/>
    </w:pPr>
    <w:rPr>
      <w:rFonts w:eastAsia="Times New Roman"/>
      <w:szCs w:val="24"/>
      <w:lang w:eastAsia="en-GB"/>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lang w:eastAsia="en-US"/>
    </w:rPr>
  </w:style>
  <w:style w:type="paragraph" w:styleId="NormalWeb">
    <w:name w:val="Normal (Web)"/>
    <w:basedOn w:val="Normal"/>
    <w:uiPriority w:val="99"/>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rPr>
      <w:lang w:eastAsia="en-GB"/>
    </w:r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lang w:val="en-US" w:eastAsia="en-GB"/>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lang w:eastAsia="en-GB"/>
    </w:rPr>
  </w:style>
  <w:style w:type="character" w:customStyle="1" w:styleId="Heading4Char">
    <w:name w:val="Heading 4 Char"/>
    <w:link w:val="Heading4"/>
    <w:uiPriority w:val="9"/>
    <w:rPr>
      <w:rFonts w:ascii="Times New Roman" w:eastAsia="Times New Roman" w:hAnsi="Times New Roman"/>
      <w:b/>
      <w:bCs/>
      <w:sz w:val="24"/>
      <w:szCs w:val="24"/>
      <w:u w:val="single"/>
      <w:lang w:eastAsia="en-US"/>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en-US"/>
    </w:rPr>
  </w:style>
  <w:style w:type="character" w:customStyle="1" w:styleId="captionChar0">
    <w:name w:val="caption Char"/>
    <w:link w:val="Caption1"/>
    <w:rPr>
      <w:rFonts w:ascii="Times New Roman" w:hAnsi="Times New Roman"/>
      <w:b/>
      <w:bCs/>
      <w:i/>
      <w:sz w:val="22"/>
      <w:lang w:eastAsia="en-US"/>
    </w:rPr>
  </w:style>
  <w:style w:type="character" w:customStyle="1" w:styleId="Heading5Char">
    <w:name w:val="Heading 5 Char"/>
    <w:link w:val="Heading5"/>
    <w:uiPriority w:val="9"/>
    <w:rPr>
      <w:rFonts w:ascii="Times New Roman" w:hAnsi="Times New Roman"/>
      <w:b/>
      <w:sz w:val="24"/>
      <w:szCs w:val="24"/>
      <w:lang w:eastAsia="en-US"/>
    </w:rPr>
  </w:style>
  <w:style w:type="character" w:customStyle="1" w:styleId="SourceCapChar">
    <w:name w:val="SourceCap Char"/>
    <w:link w:val="SourceCap"/>
    <w:rPr>
      <w:rFonts w:ascii="Times New Roman" w:hAnsi="Times New Roman"/>
      <w:b/>
      <w:i/>
      <w:sz w:val="21"/>
      <w:lang w:eastAsia="en-US"/>
    </w:rPr>
  </w:style>
  <w:style w:type="character" w:customStyle="1" w:styleId="Heading6Char">
    <w:name w:val="Heading 6 Char"/>
    <w:link w:val="Heading6"/>
    <w:uiPriority w:val="9"/>
    <w:rPr>
      <w:rFonts w:ascii="Times New Roman" w:hAnsi="Times New Roman"/>
      <w:b/>
      <w:i/>
      <w:iCs/>
      <w:sz w:val="24"/>
      <w:szCs w:val="22"/>
      <w:lang w:eastAsia="en-US"/>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en-US"/>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lang w:eastAsia="ja-JP"/>
    </w:rPr>
  </w:style>
  <w:style w:type="paragraph" w:styleId="TOC7">
    <w:name w:val="toc 7"/>
    <w:basedOn w:val="Normal"/>
    <w:next w:val="Normal"/>
    <w:autoRedefine/>
    <w:uiPriority w:val="39"/>
    <w:unhideWhenUsed/>
    <w:pPr>
      <w:spacing w:before="0" w:after="100"/>
      <w:ind w:left="1320"/>
    </w:pPr>
    <w:rPr>
      <w:rFonts w:ascii="Calibri" w:eastAsia="MS Mincho" w:hAnsi="Calibri"/>
      <w:sz w:val="22"/>
      <w:lang w:eastAsia="ja-JP"/>
    </w:rPr>
  </w:style>
  <w:style w:type="paragraph" w:styleId="TOC8">
    <w:name w:val="toc 8"/>
    <w:basedOn w:val="Normal"/>
    <w:next w:val="Normal"/>
    <w:autoRedefine/>
    <w:uiPriority w:val="39"/>
    <w:unhideWhenUsed/>
    <w:pPr>
      <w:spacing w:before="0" w:after="100"/>
      <w:ind w:left="1540"/>
    </w:pPr>
    <w:rPr>
      <w:rFonts w:ascii="Calibri" w:eastAsia="MS Mincho" w:hAnsi="Calibri"/>
      <w:sz w:val="22"/>
      <w:lang w:eastAsia="ja-JP"/>
    </w:rPr>
  </w:style>
  <w:style w:type="paragraph" w:styleId="TOC9">
    <w:name w:val="toc 9"/>
    <w:basedOn w:val="Normal"/>
    <w:next w:val="Normal"/>
    <w:autoRedefine/>
    <w:uiPriority w:val="39"/>
    <w:unhideWhenUsed/>
    <w:pPr>
      <w:spacing w:before="0" w:after="100"/>
      <w:ind w:left="1760"/>
    </w:pPr>
    <w:rPr>
      <w:rFonts w:ascii="Calibri" w:eastAsia="MS Mincho" w:hAnsi="Calibri"/>
      <w:sz w:val="22"/>
      <w:lang w:eastAsia="ja-JP"/>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en-US"/>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en-US"/>
    </w:rPr>
  </w:style>
  <w:style w:type="paragraph" w:customStyle="1" w:styleId="s2">
    <w:name w:val="s2"/>
    <w:basedOn w:val="Normal"/>
    <w:pPr>
      <w:spacing w:before="100" w:beforeAutospacing="1" w:after="100" w:afterAutospacing="1" w:line="240" w:lineRule="auto"/>
    </w:pPr>
    <w:rPr>
      <w:szCs w:val="24"/>
      <w:lang w:eastAsia="en-GB"/>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en-US"/>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en-US"/>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en-US"/>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en-US"/>
    </w:rPr>
  </w:style>
  <w:style w:type="table" w:customStyle="1" w:styleId="TableGrid2">
    <w:name w:val="Table Grid2"/>
    <w:basedOn w:val="TableNormal"/>
    <w:next w:val="TableGrid"/>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Pr>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lang w:eastAsia="en-US"/>
    </w:rPr>
  </w:style>
  <w:style w:type="table" w:styleId="LightShading">
    <w:name w:val="Light Shading"/>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LegalNumPar">
    <w:name w:val="LegalNumPar"/>
    <w:basedOn w:val="Normal"/>
    <w:pPr>
      <w:numPr>
        <w:numId w:val="28"/>
      </w:numPr>
      <w:spacing w:before="0" w:after="200" w:line="240" w:lineRule="auto"/>
    </w:pPr>
    <w:rPr>
      <w:rFonts w:asciiTheme="minorHAnsi" w:eastAsiaTheme="minorHAnsi" w:hAnsiTheme="minorHAnsi" w:cstheme="minorBidi"/>
      <w:sz w:val="22"/>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446715">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42359884">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1145532">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120370287">
      <w:bodyDiv w:val="1"/>
      <w:marLeft w:val="0"/>
      <w:marRight w:val="0"/>
      <w:marTop w:val="0"/>
      <w:marBottom w:val="0"/>
      <w:divBdr>
        <w:top w:val="none" w:sz="0" w:space="0" w:color="auto"/>
        <w:left w:val="none" w:sz="0" w:space="0" w:color="auto"/>
        <w:bottom w:val="none" w:sz="0" w:space="0" w:color="auto"/>
        <w:right w:val="none" w:sz="0" w:space="0" w:color="auto"/>
      </w:divBdr>
    </w:div>
    <w:div w:id="1133913692">
      <w:bodyDiv w:val="1"/>
      <w:marLeft w:val="0"/>
      <w:marRight w:val="0"/>
      <w:marTop w:val="0"/>
      <w:marBottom w:val="0"/>
      <w:divBdr>
        <w:top w:val="none" w:sz="0" w:space="0" w:color="auto"/>
        <w:left w:val="none" w:sz="0" w:space="0" w:color="auto"/>
        <w:bottom w:val="none" w:sz="0" w:space="0" w:color="auto"/>
        <w:right w:val="none" w:sz="0" w:space="0" w:color="auto"/>
      </w:divBdr>
    </w:div>
    <w:div w:id="1141658276">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55239841">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313873458">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31215293">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image" Target="media/image3.JPG"/><Relationship Id="rId39" Type="http://schemas.openxmlformats.org/officeDocument/2006/relationships/image" Target="media/image10.png"/><Relationship Id="rId21" Type="http://schemas.openxmlformats.org/officeDocument/2006/relationships/header" Target="header5.xml"/><Relationship Id="rId34" Type="http://schemas.openxmlformats.org/officeDocument/2006/relationships/image" Target="media/image5.png"/><Relationship Id="rId42" Type="http://schemas.openxmlformats.org/officeDocument/2006/relationships/image" Target="media/image13.png"/><Relationship Id="rId47" Type="http://schemas.openxmlformats.org/officeDocument/2006/relationships/header" Target="header12.xml"/><Relationship Id="rId50" Type="http://schemas.openxmlformats.org/officeDocument/2006/relationships/header" Target="header13.xml"/><Relationship Id="rId55" Type="http://schemas.openxmlformats.org/officeDocument/2006/relationships/footer" Target="footer15.xml"/><Relationship Id="rId63" Type="http://schemas.openxmlformats.org/officeDocument/2006/relationships/image" Target="media/image16.emf"/><Relationship Id="rId68" Type="http://schemas.openxmlformats.org/officeDocument/2006/relationships/header" Target="header21.xml"/><Relationship Id="rId76" Type="http://schemas.openxmlformats.org/officeDocument/2006/relationships/footer" Target="footer23.xml"/><Relationship Id="rId7" Type="http://schemas.openxmlformats.org/officeDocument/2006/relationships/styles" Target="styles.xml"/><Relationship Id="rId71" Type="http://schemas.openxmlformats.org/officeDocument/2006/relationships/hyperlink" Target="http://www.eif.org/what_we_do/guarantees/case-studies/efsi_innovfin_aerogroupe_france.htm?lang=-en" TargetMode="Externa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footer" Target="footer7.xml"/><Relationship Id="rId11" Type="http://schemas.openxmlformats.org/officeDocument/2006/relationships/footnotes" Target="footnotes.xml"/><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image" Target="media/image8.emf"/><Relationship Id="rId40" Type="http://schemas.openxmlformats.org/officeDocument/2006/relationships/image" Target="media/image11.emf"/><Relationship Id="rId45" Type="http://schemas.openxmlformats.org/officeDocument/2006/relationships/footer" Target="footer10.xml"/><Relationship Id="rId53" Type="http://schemas.openxmlformats.org/officeDocument/2006/relationships/footer" Target="footer14.xml"/><Relationship Id="rId58" Type="http://schemas.openxmlformats.org/officeDocument/2006/relationships/header" Target="header17.xml"/><Relationship Id="rId66" Type="http://schemas.openxmlformats.org/officeDocument/2006/relationships/footer" Target="footer19.xml"/><Relationship Id="rId74" Type="http://schemas.openxmlformats.org/officeDocument/2006/relationships/header" Target="header23.xml"/><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eader" Target="header1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eader" Target="header9.xml"/><Relationship Id="rId44" Type="http://schemas.openxmlformats.org/officeDocument/2006/relationships/header" Target="header11.xml"/><Relationship Id="rId52" Type="http://schemas.openxmlformats.org/officeDocument/2006/relationships/footer" Target="footer13.xml"/><Relationship Id="rId60" Type="http://schemas.openxmlformats.org/officeDocument/2006/relationships/footer" Target="footer17.xml"/><Relationship Id="rId65" Type="http://schemas.openxmlformats.org/officeDocument/2006/relationships/header" Target="header20.xml"/><Relationship Id="rId73" Type="http://schemas.openxmlformats.org/officeDocument/2006/relationships/header" Target="header22.xml"/><Relationship Id="rId78"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openxmlformats.org/officeDocument/2006/relationships/image" Target="media/image6.png"/><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image" Target="media/image15.emf"/><Relationship Id="rId64" Type="http://schemas.openxmlformats.org/officeDocument/2006/relationships/header" Target="header19.xml"/><Relationship Id="rId69" Type="http://schemas.openxmlformats.org/officeDocument/2006/relationships/footer" Target="footer21.xml"/><Relationship Id="rId77" Type="http://schemas.openxmlformats.org/officeDocument/2006/relationships/header" Target="header24.xml"/><Relationship Id="rId8" Type="http://schemas.microsoft.com/office/2007/relationships/stylesWithEffects" Target="stylesWithEffects.xml"/><Relationship Id="rId51" Type="http://schemas.openxmlformats.org/officeDocument/2006/relationships/header" Target="header14.xml"/><Relationship Id="rId72" Type="http://schemas.openxmlformats.org/officeDocument/2006/relationships/hyperlink" Target="http://www.reuters.com/article/latvijas-gaze-ma-marguerite-eon-idUSL8N15C3D3"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image" Target="media/image4.png"/><Relationship Id="rId38" Type="http://schemas.openxmlformats.org/officeDocument/2006/relationships/image" Target="media/image9.png"/><Relationship Id="rId46" Type="http://schemas.openxmlformats.org/officeDocument/2006/relationships/footer" Target="footer11.xml"/><Relationship Id="rId59" Type="http://schemas.openxmlformats.org/officeDocument/2006/relationships/footer" Target="footer16.xml"/><Relationship Id="rId67" Type="http://schemas.openxmlformats.org/officeDocument/2006/relationships/footer" Target="footer20.xml"/><Relationship Id="rId20" Type="http://schemas.openxmlformats.org/officeDocument/2006/relationships/header" Target="header4.xml"/><Relationship Id="rId41" Type="http://schemas.openxmlformats.org/officeDocument/2006/relationships/image" Target="media/image12.png"/><Relationship Id="rId54" Type="http://schemas.openxmlformats.org/officeDocument/2006/relationships/header" Target="header15.xml"/><Relationship Id="rId62" Type="http://schemas.openxmlformats.org/officeDocument/2006/relationships/footer" Target="footer18.xml"/><Relationship Id="rId70" Type="http://schemas.openxmlformats.org/officeDocument/2006/relationships/hyperlink" Target="https://ec.europa.eu/commission/sites/beta-political/files/brochure-investment-plan-17x17-june17_en.pdf" TargetMode="External"/><Relationship Id="rId75"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36" Type="http://schemas.openxmlformats.org/officeDocument/2006/relationships/image" Target="media/image7.png"/><Relationship Id="rId49" Type="http://schemas.openxmlformats.org/officeDocument/2006/relationships/image" Target="media/image14.emf"/><Relationship Id="rId57" Type="http://schemas.openxmlformats.org/officeDocument/2006/relationships/header" Target="header16.xml"/></Relationships>
</file>

<file path=word/_rels/footnotes.xml.rels><?xml version="1.0" encoding="UTF-8" standalone="yes"?>
<Relationships xmlns="http://schemas.openxmlformats.org/package/2006/relationships"><Relationship Id="rId3" Type="http://schemas.openxmlformats.org/officeDocument/2006/relationships/hyperlink" Target="http://www.eib.org/attachments/strategies/efsi_2015_report_ep_council_en.pdf" TargetMode="External"/><Relationship Id="rId7" Type="http://schemas.openxmlformats.org/officeDocument/2006/relationships/hyperlink" Target="https://ec.europa.eu/commission/publications/reflection-paper-future-eu-finances_bg" TargetMode="External"/><Relationship Id="rId2" Type="http://schemas.openxmlformats.org/officeDocument/2006/relationships/hyperlink" Target="http://ec.europa.eu/regional_policy/sources/thefunds/fin_inst/pdf/summary_data_fi_1420_2015.pdf" TargetMode="External"/><Relationship Id="rId1" Type="http://schemas.openxmlformats.org/officeDocument/2006/relationships/hyperlink" Target="http://ec.europa.eu/regional_policy/sources/thefunds/fin_inst/pdf/summary_data_fei_2015.pdf" TargetMode="External"/><Relationship Id="rId6" Type="http://schemas.openxmlformats.org/officeDocument/2006/relationships/hyperlink" Target="http://www.eib.org/attachments/strategies/efsi_2015_report_ep_council_en.pdf" TargetMode="External"/><Relationship Id="rId5" Type="http://schemas.openxmlformats.org/officeDocument/2006/relationships/hyperlink" Target="http://ec.europa.eu/regional_policy/sources/thefunds/fin_inst/pdf/summary_data_fi_1420_2015.pdf" TargetMode="External"/><Relationship Id="rId4" Type="http://schemas.openxmlformats.org/officeDocument/2006/relationships/hyperlink" Target="http://ec.europa.eu/regional_policy/sources/thefunds/fin_inst/pdf/summary_data_fei_2015.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EC_Collab_Reference xmlns="ea468016-af7b-4a03-88cf-296834525c7c" xsi:nil="true"/>
    <EC_Collab_DocumentLanguage xmlns="ea468016-af7b-4a03-88cf-296834525c7c">EN</EC_Collab_DocumentLanguage>
    <EC_Collab_Status xmlns="ea468016-af7b-4a03-88cf-296834525c7c">Not Started</EC_Collab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2EA09183044A494EB462BD9436E83560" ma:contentTypeVersion="1" ma:contentTypeDescription="Create a new document in this library." ma:contentTypeScope="" ma:versionID="914ade7bd416978967dc580aa6aa0146">
  <xsd:schema xmlns:xsd="http://www.w3.org/2001/XMLSchema" xmlns:xs="http://www.w3.org/2001/XMLSchema" xmlns:p="http://schemas.microsoft.com/office/2006/metadata/properties" xmlns:ns3="ea468016-af7b-4a03-88cf-296834525c7c" targetNamespace="http://schemas.microsoft.com/office/2006/metadata/properties" ma:root="true" ma:fieldsID="030c0701a3e779b6265ab3fd0ae26f6c" ns3:_="">
    <xsd:import namespace="ea468016-af7b-4a03-88cf-296834525c7c"/>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468016-af7b-4a03-88cf-296834525c7c"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D17E03-8FB6-40C9-B5BB-47782E6CAA05}">
  <ds:schemaRefs>
    <ds:schemaRef ds:uri="http://schemas.microsoft.com/office/2006/metadata/properties"/>
    <ds:schemaRef ds:uri="http://schemas.microsoft.com/office/infopath/2007/PartnerControls"/>
    <ds:schemaRef ds:uri="ea468016-af7b-4a03-88cf-296834525c7c"/>
  </ds:schemaRefs>
</ds:datastoreItem>
</file>

<file path=customXml/itemProps3.xml><?xml version="1.0" encoding="utf-8"?>
<ds:datastoreItem xmlns:ds="http://schemas.openxmlformats.org/officeDocument/2006/customXml" ds:itemID="{15A0D52C-72FB-409A-BAE7-8FC1FCA0CDAD}">
  <ds:schemaRefs>
    <ds:schemaRef ds:uri="http://schemas.microsoft.com/sharepoint/v3/contenttype/forms"/>
  </ds:schemaRefs>
</ds:datastoreItem>
</file>

<file path=customXml/itemProps4.xml><?xml version="1.0" encoding="utf-8"?>
<ds:datastoreItem xmlns:ds="http://schemas.openxmlformats.org/officeDocument/2006/customXml" ds:itemID="{AEF3B086-554B-45D9-A406-68D86626A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468016-af7b-4a03-88cf-29683452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434E86-B8FC-4E5A-BE13-EE323E8B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25</Pages>
  <Words>4778</Words>
  <Characters>31775</Characters>
  <Application>Microsoft Office Word</Application>
  <DocSecurity>0</DocSecurity>
  <Lines>547</Lines>
  <Paragraphs>171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36382</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LAGES CARVALHO Patrick (SG)</cp:lastModifiedBy>
  <cp:revision>21</cp:revision>
  <cp:lastPrinted>2017-08-01T13:26:00Z</cp:lastPrinted>
  <dcterms:created xsi:type="dcterms:W3CDTF">2017-09-14T12:23:00Z</dcterms:created>
  <dcterms:modified xsi:type="dcterms:W3CDTF">2017-09-25T07:23:00Z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y fmtid="{D5CDD505-2E9C-101B-9397-08002B2CF9AE}" pid="6" name="_DocHome">
    <vt:i4>2056080877</vt:i4>
  </property>
  <property fmtid="{D5CDD505-2E9C-101B-9397-08002B2CF9AE}" pid="7" name="ContentTypeId">
    <vt:lpwstr>0x010100258AA79CEB83498886A3A08681123250002EA09183044A494EB462BD9436E83560</vt:lpwstr>
  </property>
</Properties>
</file>