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30097310"/>
      <w:bookmarkStart w:id="1" w:name="_Toc399517418"/>
      <w:bookmarkStart w:id="2" w:name="_Toc387228706"/>
      <w:bookmarkStart w:id="3" w:name="_Toc388541836"/>
      <w:bookmarkStart w:id="4" w:name="_Toc387229283"/>
      <w:bookmarkStart w:id="5" w:name="_Toc388542045"/>
      <w:bookmarkStart w:id="6"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129FAE6AB6944C4815CB377D1D1D36D" style="width:450.65pt;height:406.6pt">
            <v:imagedata r:id="rId12" o:title=""/>
          </v:shape>
        </w:pict>
      </w:r>
    </w:p>
    <w:bookmarkEnd w:id="6"/>
    <w:p>
      <w:pPr>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pStyle w:val="Subtitle"/>
        <w:spacing w:before="0" w:after="240"/>
        <w:rPr>
          <w:noProof/>
          <w:sz w:val="22"/>
          <w:szCs w:val="22"/>
        </w:rPr>
      </w:pPr>
      <w:bookmarkStart w:id="7" w:name="_GoBack"/>
      <w:bookmarkEnd w:id="7"/>
      <w:r>
        <w:rPr>
          <w:noProof/>
          <w:sz w:val="22"/>
          <w:szCs w:val="22"/>
        </w:rPr>
        <w:lastRenderedPageBreak/>
        <w:t>ANNEX</w:t>
      </w:r>
      <w:bookmarkEnd w:id="0"/>
    </w:p>
    <w:p>
      <w:pPr>
        <w:spacing w:after="240"/>
        <w:jc w:val="both"/>
        <w:rPr>
          <w:rFonts w:ascii="Times New Roman" w:hAnsi="Times New Roman" w:cs="Times New Roman"/>
          <w:noProof/>
        </w:rPr>
      </w:pPr>
      <w:r>
        <w:rPr>
          <w:rFonts w:ascii="Times New Roman" w:hAnsi="Times New Roman" w:cs="Times New Roman"/>
          <w:noProof/>
        </w:rPr>
        <w:t>The following fiches summarise information available as of 31 December 2016 on each of the items in question, as required by Article 140(8) of the Financial Regulation. More details can be found in the SWD.</w:t>
      </w:r>
    </w:p>
    <w:p>
      <w:pPr>
        <w:spacing w:after="240"/>
        <w:jc w:val="both"/>
        <w:rPr>
          <w:rFonts w:ascii="Times New Roman" w:hAnsi="Times New Roman" w:cs="Times New Roman"/>
          <w:noProof/>
        </w:rPr>
      </w:pPr>
      <w:r>
        <w:rPr>
          <w:rFonts w:ascii="Times New Roman" w:hAnsi="Times New Roman" w:cs="Times New Roman"/>
          <w:noProof/>
        </w:rPr>
        <w:t xml:space="preserve">It should be noted that, while item k) in Article 140(8) requires a comparison between the </w:t>
      </w:r>
      <w:r>
        <w:rPr>
          <w:rFonts w:ascii="Times New Roman" w:hAnsi="Times New Roman" w:cs="Times New Roman"/>
          <w:i/>
          <w:noProof/>
        </w:rPr>
        <w:t>target</w:t>
      </w:r>
      <w:r>
        <w:rPr>
          <w:rFonts w:ascii="Times New Roman" w:hAnsi="Times New Roman" w:cs="Times New Roman"/>
          <w:noProof/>
        </w:rPr>
        <w:t xml:space="preserve"> and the </w:t>
      </w:r>
      <w:r>
        <w:rPr>
          <w:rFonts w:ascii="Times New Roman" w:hAnsi="Times New Roman" w:cs="Times New Roman"/>
          <w:i/>
          <w:noProof/>
        </w:rPr>
        <w:t>achieved</w:t>
      </w:r>
      <w:r>
        <w:rPr>
          <w:rFonts w:ascii="Times New Roman" w:hAnsi="Times New Roman" w:cs="Times New Roman"/>
          <w:noProof/>
        </w:rPr>
        <w:t xml:space="preserve"> leverage, no </w:t>
      </w:r>
      <w:r>
        <w:rPr>
          <w:rFonts w:ascii="Times New Roman" w:hAnsi="Times New Roman" w:cs="Times New Roman"/>
          <w:i/>
          <w:noProof/>
        </w:rPr>
        <w:t>target</w:t>
      </w:r>
      <w:r>
        <w:rPr>
          <w:rFonts w:ascii="Times New Roman" w:hAnsi="Times New Roman" w:cs="Times New Roman"/>
          <w:noProof/>
        </w:rPr>
        <w:t xml:space="preserve"> leverage was set for most of the 2007-2013 financial instruments. Information is thus limited to the </w:t>
      </w:r>
      <w:r>
        <w:rPr>
          <w:rFonts w:ascii="Times New Roman" w:hAnsi="Times New Roman" w:cs="Times New Roman"/>
          <w:i/>
          <w:noProof/>
        </w:rPr>
        <w:t>achieved</w:t>
      </w:r>
      <w:r>
        <w:rPr>
          <w:rFonts w:ascii="Times New Roman" w:hAnsi="Times New Roman" w:cs="Times New Roman"/>
          <w:noProof/>
        </w:rPr>
        <w:t xml:space="preserve"> leverage, the calculation of which is described in the relevant section of the SWD.</w:t>
      </w:r>
      <w:r>
        <w:rPr>
          <w:rStyle w:val="FootnoteReference"/>
          <w:rFonts w:ascii="Times New Roman" w:hAnsi="Times New Roman" w:cs="Times New Roman"/>
          <w:noProof/>
        </w:rPr>
        <w:footnoteReference w:id="2"/>
      </w:r>
      <w:r>
        <w:rPr>
          <w:rFonts w:ascii="Times New Roman" w:hAnsi="Times New Roman" w:cs="Times New Roman"/>
          <w:noProof/>
        </w:rPr>
        <w:t xml:space="preserve"> At this stage, the </w:t>
      </w:r>
      <w:r>
        <w:rPr>
          <w:rFonts w:ascii="Times New Roman" w:hAnsi="Times New Roman" w:cs="Times New Roman"/>
          <w:i/>
          <w:noProof/>
        </w:rPr>
        <w:t>achieved</w:t>
      </w:r>
      <w:r>
        <w:rPr>
          <w:rFonts w:ascii="Times New Roman" w:hAnsi="Times New Roman" w:cs="Times New Roman"/>
          <w:noProof/>
        </w:rPr>
        <w:t xml:space="preserve"> leverage is in many cases not yet final, as the number of final recipients is still increasing.. For current instruments, the </w:t>
      </w:r>
      <w:r>
        <w:rPr>
          <w:rFonts w:ascii="Times New Roman" w:hAnsi="Times New Roman" w:cs="Times New Roman"/>
          <w:i/>
          <w:noProof/>
        </w:rPr>
        <w:t>target</w:t>
      </w:r>
      <w:r>
        <w:rPr>
          <w:rFonts w:ascii="Times New Roman" w:hAnsi="Times New Roman" w:cs="Times New Roman"/>
          <w:noProof/>
        </w:rPr>
        <w:t xml:space="preserve"> leverage is presented, together with an </w:t>
      </w:r>
      <w:r>
        <w:rPr>
          <w:rFonts w:ascii="Times New Roman" w:hAnsi="Times New Roman" w:cs="Times New Roman"/>
          <w:i/>
          <w:noProof/>
        </w:rPr>
        <w:t>expected</w:t>
      </w:r>
      <w:r>
        <w:rPr>
          <w:rFonts w:ascii="Times New Roman" w:hAnsi="Times New Roman" w:cs="Times New Roman"/>
          <w:noProof/>
        </w:rPr>
        <w:t xml:space="preserve"> leverage, based on the amount of finance for eligible final recipients expected to result from operations that the entrusted entity has already signed with financial intermediaries (or final recipients).</w:t>
      </w:r>
    </w:p>
    <w:p>
      <w:pPr>
        <w:spacing w:after="240"/>
        <w:jc w:val="both"/>
        <w:rPr>
          <w:rFonts w:ascii="Times New Roman" w:hAnsi="Times New Roman" w:cs="Times New Roman"/>
          <w:noProof/>
        </w:rPr>
        <w:sectPr>
          <w:headerReference w:type="even" r:id="rId19"/>
          <w:headerReference w:type="default" r:id="rId20"/>
          <w:footerReference w:type="even" r:id="rId21"/>
          <w:footerReference w:type="default" r:id="rId22"/>
          <w:headerReference w:type="first" r:id="rId23"/>
          <w:footerReference w:type="first" r:id="rId24"/>
          <w:pgSz w:w="11906" w:h="16838" w:code="9"/>
          <w:pgMar w:top="1417" w:right="1417" w:bottom="1417" w:left="1417" w:header="708" w:footer="708" w:gutter="0"/>
          <w:pgNumType w:start="2"/>
          <w:cols w:space="720"/>
          <w:docGrid w:linePitch="360"/>
        </w:sectPr>
      </w:pPr>
    </w:p>
    <w:p>
      <w:pPr>
        <w:pStyle w:val="Heading4"/>
        <w:spacing w:before="0" w:after="240"/>
        <w:ind w:left="357" w:hanging="357"/>
        <w:rPr>
          <w:noProof/>
          <w:sz w:val="22"/>
          <w:szCs w:val="22"/>
        </w:rPr>
      </w:pPr>
      <w:r>
        <w:rPr>
          <w:noProof/>
          <w:sz w:val="22"/>
          <w:szCs w:val="22"/>
        </w:rPr>
        <w:lastRenderedPageBreak/>
        <w:t>EQUITY INSTRUMENTS</w:t>
      </w:r>
      <w:bookmarkEnd w:id="1"/>
    </w:p>
    <w:tbl>
      <w:tblPr>
        <w:tblW w:w="5433" w:type="pct"/>
        <w:tblInd w:w="-601"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694"/>
        <w:gridCol w:w="2693"/>
        <w:gridCol w:w="2552"/>
        <w:gridCol w:w="2409"/>
        <w:gridCol w:w="2552"/>
        <w:gridCol w:w="2551"/>
      </w:tblGrid>
      <w:tr>
        <w:tc>
          <w:tcPr>
            <w:tcW w:w="2694"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after="0"/>
              <w:rPr>
                <w:rFonts w:ascii="Times New Roman" w:hAnsi="Times New Roman" w:cs="Times New Roman"/>
                <w:b/>
                <w:bCs/>
                <w:noProof/>
                <w:color w:val="FFFFFF"/>
                <w:sz w:val="21"/>
                <w:szCs w:val="21"/>
              </w:rPr>
            </w:pPr>
          </w:p>
        </w:tc>
        <w:tc>
          <w:tcPr>
            <w:tcW w:w="2693"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after="0"/>
              <w:rPr>
                <w:rFonts w:ascii="Times New Roman" w:eastAsia="Times New Roman" w:hAnsi="Times New Roman" w:cs="Times New Roman"/>
                <w:b/>
                <w:bCs/>
                <w:noProof/>
                <w:color w:val="FFFFFF" w:themeColor="background1"/>
                <w:sz w:val="21"/>
                <w:szCs w:val="21"/>
              </w:rPr>
            </w:pPr>
            <w:r>
              <w:rPr>
                <w:rFonts w:ascii="Times New Roman" w:eastAsia="Times New Roman" w:hAnsi="Times New Roman" w:cs="Times New Roman"/>
                <w:b/>
                <w:bCs/>
                <w:noProof/>
                <w:color w:val="FFFFFF" w:themeColor="background1"/>
                <w:sz w:val="21"/>
                <w:szCs w:val="21"/>
              </w:rPr>
              <w:t>High Growth and Innovative SME Facility under CIP -</w:t>
            </w:r>
          </w:p>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GIF</w:t>
            </w:r>
          </w:p>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(V.1.1 SWD)</w:t>
            </w:r>
          </w:p>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Policy DG in charge: ECFIN / GROW</w:t>
            </w:r>
          </w:p>
        </w:tc>
        <w:tc>
          <w:tcPr>
            <w:tcW w:w="2552" w:type="dxa"/>
            <w:tcBorders>
              <w:top w:val="nil"/>
              <w:left w:val="single" w:sz="8" w:space="0" w:color="7BA0CD"/>
              <w:bottom w:val="nil"/>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The Connecting Europe Facility Equity Instrument – CEF</w:t>
            </w:r>
          </w:p>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(V. 1.2 SWD)</w:t>
            </w:r>
          </w:p>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Policy DG in charge: CNECT</w:t>
            </w:r>
          </w:p>
        </w:tc>
        <w:tc>
          <w:tcPr>
            <w:tcW w:w="2409" w:type="dxa"/>
            <w:tcBorders>
              <w:top w:val="nil"/>
              <w:left w:val="single" w:sz="8" w:space="0" w:color="7BA0CD"/>
              <w:bottom w:val="nil"/>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 xml:space="preserve">Equity Facility for Growth under COSME </w:t>
            </w:r>
          </w:p>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EFG</w:t>
            </w:r>
          </w:p>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(V.1.3 SWD)</w:t>
            </w:r>
          </w:p>
          <w:p>
            <w:pPr>
              <w:spacing w:after="0"/>
              <w:ind w:right="-108"/>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Policy DG in charge: GROW</w:t>
            </w:r>
          </w:p>
        </w:tc>
        <w:tc>
          <w:tcPr>
            <w:tcW w:w="2552" w:type="dxa"/>
            <w:tcBorders>
              <w:top w:val="nil"/>
              <w:left w:val="single" w:sz="8" w:space="0" w:color="7BA0CD"/>
              <w:bottom w:val="nil"/>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InnovFin Equity (Horizon 2020)</w:t>
            </w:r>
          </w:p>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(V.1.4. SWD)</w:t>
            </w:r>
          </w:p>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Policy DG in charge: RTD</w:t>
            </w:r>
          </w:p>
        </w:tc>
        <w:tc>
          <w:tcPr>
            <w:tcW w:w="2551" w:type="dxa"/>
            <w:tcBorders>
              <w:top w:val="nil"/>
              <w:left w:val="single" w:sz="8" w:space="0" w:color="7BA0CD"/>
              <w:bottom w:val="nil"/>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 xml:space="preserve">EaSi Capacity Building Investments </w:t>
            </w:r>
          </w:p>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 xml:space="preserve">(EaSI CBI) </w:t>
            </w:r>
          </w:p>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2014 to 2020</w:t>
            </w:r>
          </w:p>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(V.1.5. SWD)</w:t>
            </w:r>
          </w:p>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Policy DG in charge: EMPL</w:t>
            </w:r>
          </w:p>
        </w:tc>
      </w:tr>
      <w:tr>
        <w:trPr>
          <w:trHeight w:val="1767"/>
        </w:trPr>
        <w:tc>
          <w:tcPr>
            <w:tcW w:w="2694" w:type="dxa"/>
            <w:tcBorders>
              <w:right w:val="single" w:sz="8" w:space="0" w:color="7BA0CD"/>
            </w:tcBorders>
            <w:shd w:val="clear" w:color="auto" w:fill="D3DFEE"/>
          </w:tcPr>
          <w:p>
            <w:pPr>
              <w:spacing w:before="60" w:after="60"/>
              <w:rPr>
                <w:rFonts w:ascii="Times New Roman" w:hAnsi="Times New Roman" w:cs="Times New Roman"/>
                <w:b/>
                <w:bCs/>
                <w:noProof/>
                <w:sz w:val="21"/>
                <w:szCs w:val="21"/>
              </w:rPr>
            </w:pPr>
            <w:r>
              <w:rPr>
                <w:rFonts w:ascii="Times New Roman" w:hAnsi="Times New Roman" w:cs="Times New Roman"/>
                <w:b/>
                <w:bCs/>
                <w:noProof/>
                <w:sz w:val="21"/>
                <w:szCs w:val="21"/>
              </w:rPr>
              <w:t>a) Identification/ basic act</w:t>
            </w:r>
          </w:p>
        </w:tc>
        <w:tc>
          <w:tcPr>
            <w:tcW w:w="2693"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eastAsia="Times New Roman" w:hAnsi="Times New Roman" w:cs="Times New Roman"/>
                <w:noProof/>
                <w:sz w:val="21"/>
                <w:szCs w:val="21"/>
              </w:rPr>
              <w:t>Decision No 1639/2006/EC</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Regulation (EU) No 1316/2013 and Regulation (EU) 2015/1017</w:t>
            </w:r>
          </w:p>
        </w:tc>
        <w:tc>
          <w:tcPr>
            <w:tcW w:w="2409" w:type="dxa"/>
            <w:tcBorders>
              <w:top w:val="nil"/>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Regulation (EU) No 1287/2013</w:t>
            </w:r>
          </w:p>
        </w:tc>
        <w:tc>
          <w:tcPr>
            <w:tcW w:w="2552" w:type="dxa"/>
            <w:tcBorders>
              <w:top w:val="nil"/>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lang w:val="pt-PT"/>
              </w:rPr>
            </w:pPr>
            <w:r>
              <w:rPr>
                <w:rFonts w:ascii="Times New Roman" w:hAnsi="Times New Roman" w:cs="Times New Roman"/>
                <w:noProof/>
                <w:sz w:val="21"/>
                <w:szCs w:val="21"/>
                <w:lang w:val="pt-PT"/>
              </w:rPr>
              <w:t>Regulation (EU) No 1291/2013</w:t>
            </w:r>
          </w:p>
          <w:p>
            <w:pPr>
              <w:spacing w:before="120" w:after="120" w:line="240" w:lineRule="auto"/>
              <w:rPr>
                <w:rFonts w:ascii="Times New Roman" w:hAnsi="Times New Roman" w:cs="Times New Roman"/>
                <w:noProof/>
                <w:sz w:val="21"/>
                <w:szCs w:val="21"/>
                <w:lang w:val="pt-PT"/>
              </w:rPr>
            </w:pPr>
            <w:r>
              <w:rPr>
                <w:rFonts w:ascii="Times New Roman" w:hAnsi="Times New Roman" w:cs="Times New Roman"/>
                <w:noProof/>
                <w:sz w:val="21"/>
                <w:szCs w:val="21"/>
                <w:lang w:val="pt-PT"/>
              </w:rPr>
              <w:t>Regulation (EU) No 1290/2013</w:t>
            </w:r>
          </w:p>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lang w:val="pt-PT"/>
              </w:rPr>
              <w:t>Regulation (EU) No 1296/2013</w:t>
            </w:r>
          </w:p>
        </w:tc>
        <w:tc>
          <w:tcPr>
            <w:tcW w:w="2551" w:type="dxa"/>
            <w:tcBorders>
              <w:top w:val="nil"/>
              <w:lef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lang w:val="pt-PT"/>
              </w:rPr>
              <w:t>Regulation (EU) No 1296/2013</w:t>
            </w:r>
          </w:p>
        </w:tc>
      </w:tr>
      <w:tr>
        <w:trPr>
          <w:trHeight w:val="2788"/>
        </w:trPr>
        <w:tc>
          <w:tcPr>
            <w:tcW w:w="2694" w:type="dxa"/>
            <w:tcBorders>
              <w:right w:val="single" w:sz="8" w:space="0" w:color="7BA0CD"/>
            </w:tcBorders>
            <w:shd w:val="clear" w:color="auto" w:fill="auto"/>
          </w:tcPr>
          <w:p>
            <w:pPr>
              <w:spacing w:before="60" w:after="60"/>
              <w:rPr>
                <w:rFonts w:ascii="Times New Roman" w:hAnsi="Times New Roman" w:cs="Times New Roman"/>
                <w:b/>
                <w:bCs/>
                <w:noProof/>
                <w:sz w:val="21"/>
                <w:szCs w:val="21"/>
              </w:rPr>
            </w:pPr>
            <w:r>
              <w:rPr>
                <w:rFonts w:ascii="Times New Roman" w:hAnsi="Times New Roman" w:cs="Times New Roman"/>
                <w:b/>
                <w:bCs/>
                <w:noProof/>
                <w:sz w:val="21"/>
                <w:szCs w:val="21"/>
              </w:rPr>
              <w:t>b) Description</w:t>
            </w:r>
          </w:p>
        </w:tc>
        <w:tc>
          <w:tcPr>
            <w:tcW w:w="2693" w:type="dxa"/>
            <w:tcBorders>
              <w:left w:val="single" w:sz="8" w:space="0" w:color="7BA0CD"/>
              <w:right w:val="single" w:sz="8" w:space="0" w:color="7BA0CD"/>
            </w:tcBorders>
            <w:shd w:val="clear" w:color="auto" w:fill="auto"/>
          </w:tcPr>
          <w:p>
            <w:pPr>
              <w:spacing w:before="120" w:after="120" w:line="240" w:lineRule="auto"/>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Equity instrument increasing the supply of equity for innovative SMEs in early and expansion stages</w:t>
            </w:r>
          </w:p>
        </w:tc>
        <w:tc>
          <w:tcPr>
            <w:tcW w:w="2552" w:type="dxa"/>
            <w:tcBorders>
              <w:left w:val="single" w:sz="8" w:space="0" w:color="7BA0CD"/>
              <w:right w:val="single" w:sz="8" w:space="0" w:color="7BA0CD"/>
            </w:tcBorders>
          </w:tcPr>
          <w:p>
            <w:pPr>
              <w:spacing w:after="60" w:line="240" w:lineRule="auto"/>
              <w:ind w:right="141"/>
              <w:rPr>
                <w:rFonts w:ascii="Times New Roman" w:hAnsi="Times New Roman" w:cs="Times New Roman"/>
                <w:noProof/>
                <w:sz w:val="6"/>
                <w:szCs w:val="21"/>
              </w:rPr>
            </w:pPr>
          </w:p>
          <w:p>
            <w:pPr>
              <w:spacing w:after="60" w:line="240" w:lineRule="auto"/>
              <w:ind w:right="141"/>
              <w:rPr>
                <w:rFonts w:ascii="Times New Roman" w:hAnsi="Times New Roman" w:cs="Times New Roman"/>
                <w:noProof/>
                <w:sz w:val="21"/>
                <w:szCs w:val="21"/>
              </w:rPr>
            </w:pPr>
            <w:r>
              <w:rPr>
                <w:rFonts w:ascii="Times New Roman" w:hAnsi="Times New Roman" w:cs="Times New Roman"/>
                <w:noProof/>
                <w:sz w:val="21"/>
                <w:szCs w:val="21"/>
              </w:rPr>
              <w:t>Equity Instrument optimising the use of scarce CEF resources for smaller and more risky projects</w:t>
            </w:r>
          </w:p>
        </w:tc>
        <w:tc>
          <w:tcPr>
            <w:tcW w:w="2409" w:type="dxa"/>
            <w:tcBorders>
              <w:left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Equity instrument providing venture capital and mezzanine finance to SMEs in expansion and growth stages</w:t>
            </w:r>
          </w:p>
        </w:tc>
        <w:tc>
          <w:tcPr>
            <w:tcW w:w="2552" w:type="dxa"/>
            <w:tcBorders>
              <w:left w:val="single" w:sz="8" w:space="0" w:color="7BA0CD"/>
              <w:righ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Equity instrument making VC and quasi-equity early-stages investments in R&amp;I driven SMEs and small mid-caps ( including social enterprises)</w:t>
            </w:r>
          </w:p>
        </w:tc>
        <w:tc>
          <w:tcPr>
            <w:tcW w:w="2551" w:type="dxa"/>
            <w:tcBorders>
              <w:lef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Equity instrument aiming at building up the institutional capacity of financial intermediaries through direct and indirect equity investments and  loans, in order to expand further their operations, both in the microfinance and in the social entrepreneurship space.</w:t>
            </w:r>
          </w:p>
        </w:tc>
      </w:tr>
      <w:tr>
        <w:trPr>
          <w:trHeight w:val="576"/>
        </w:trPr>
        <w:tc>
          <w:tcPr>
            <w:tcW w:w="2694" w:type="dxa"/>
            <w:tcBorders>
              <w:right w:val="single" w:sz="8" w:space="0" w:color="7BA0CD"/>
            </w:tcBorders>
            <w:shd w:val="clear" w:color="auto" w:fill="D3DFEE"/>
          </w:tcPr>
          <w:p>
            <w:pPr>
              <w:spacing w:before="60" w:after="60"/>
              <w:rPr>
                <w:rFonts w:ascii="Times New Roman" w:hAnsi="Times New Roman" w:cs="Times New Roman"/>
                <w:b/>
                <w:bCs/>
                <w:noProof/>
                <w:sz w:val="21"/>
                <w:szCs w:val="21"/>
              </w:rPr>
            </w:pPr>
            <w:r>
              <w:rPr>
                <w:rFonts w:ascii="Times New Roman" w:hAnsi="Times New Roman" w:cs="Times New Roman"/>
                <w:b/>
                <w:bCs/>
                <w:noProof/>
                <w:sz w:val="21"/>
                <w:szCs w:val="21"/>
              </w:rPr>
              <w:t>c) Financial institutions involved</w:t>
            </w:r>
          </w:p>
        </w:tc>
        <w:tc>
          <w:tcPr>
            <w:tcW w:w="2693" w:type="dxa"/>
            <w:tcBorders>
              <w:left w:val="single" w:sz="8" w:space="0" w:color="7BA0CD"/>
              <w:right w:val="single" w:sz="8" w:space="0" w:color="7BA0CD"/>
            </w:tcBorders>
            <w:shd w:val="clear" w:color="auto" w:fill="D3DFEE"/>
          </w:tcPr>
          <w:p>
            <w:pPr>
              <w:spacing w:before="120" w:after="120" w:line="240" w:lineRule="auto"/>
              <w:rPr>
                <w:rFonts w:ascii="Times New Roman" w:eastAsia="Times New Roman" w:hAnsi="Times New Roman" w:cs="Times New Roman"/>
                <w:noProof/>
                <w:sz w:val="21"/>
                <w:szCs w:val="21"/>
              </w:rPr>
            </w:pPr>
            <w:r>
              <w:rPr>
                <w:rFonts w:ascii="Times New Roman" w:hAnsi="Times New Roman" w:cs="Times New Roman"/>
                <w:noProof/>
                <w:sz w:val="21"/>
                <w:szCs w:val="21"/>
              </w:rPr>
              <w:t>EIF</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Direct management</w:t>
            </w:r>
          </w:p>
        </w:tc>
        <w:tc>
          <w:tcPr>
            <w:tcW w:w="2409"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EIF</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EIF</w:t>
            </w:r>
          </w:p>
        </w:tc>
        <w:tc>
          <w:tcPr>
            <w:tcW w:w="2551" w:type="dxa"/>
            <w:tcBorders>
              <w:lef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EIF</w:t>
            </w:r>
          </w:p>
        </w:tc>
      </w:tr>
      <w:tr>
        <w:trPr>
          <w:trHeight w:val="576"/>
        </w:trPr>
        <w:tc>
          <w:tcPr>
            <w:tcW w:w="2694" w:type="dxa"/>
            <w:tcBorders>
              <w:top w:val="single" w:sz="8" w:space="0" w:color="7BA0CD"/>
              <w:left w:val="single" w:sz="8" w:space="0" w:color="7BA0CD"/>
              <w:bottom w:val="single" w:sz="8" w:space="0" w:color="7BA0CD"/>
              <w:right w:val="single" w:sz="8" w:space="0" w:color="7BA0CD"/>
            </w:tcBorders>
            <w:shd w:val="clear" w:color="auto" w:fill="auto"/>
          </w:tcPr>
          <w:p>
            <w:pPr>
              <w:spacing w:before="60" w:after="60"/>
              <w:rPr>
                <w:rFonts w:ascii="Times New Roman" w:hAnsi="Times New Roman" w:cs="Times New Roman"/>
                <w:b/>
                <w:bCs/>
                <w:noProof/>
                <w:sz w:val="21"/>
                <w:szCs w:val="21"/>
              </w:rPr>
            </w:pPr>
            <w:r>
              <w:rPr>
                <w:rFonts w:ascii="Times New Roman" w:hAnsi="Times New Roman" w:cs="Times New Roman"/>
                <w:b/>
                <w:bCs/>
                <w:noProof/>
                <w:sz w:val="21"/>
                <w:szCs w:val="21"/>
              </w:rPr>
              <w:t>d) Aggregate budgetary commitments and payments</w:t>
            </w:r>
          </w:p>
        </w:tc>
        <w:tc>
          <w:tcPr>
            <w:tcW w:w="2693" w:type="dxa"/>
            <w:tcBorders>
              <w:top w:val="single" w:sz="8" w:space="0" w:color="7BA0CD"/>
              <w:left w:val="single" w:sz="8" w:space="0" w:color="7BA0CD"/>
              <w:bottom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600,2 m</w:t>
            </w:r>
          </w:p>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464,5 m</w:t>
            </w:r>
          </w:p>
        </w:tc>
        <w:tc>
          <w:tcPr>
            <w:tcW w:w="2552" w:type="dxa"/>
            <w:tcBorders>
              <w:top w:val="single" w:sz="8" w:space="0" w:color="7BA0CD"/>
              <w:left w:val="single" w:sz="8" w:space="0" w:color="7BA0CD"/>
              <w:bottom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100 m</w:t>
            </w:r>
          </w:p>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0</w:t>
            </w:r>
          </w:p>
        </w:tc>
        <w:tc>
          <w:tcPr>
            <w:tcW w:w="2409" w:type="dxa"/>
            <w:tcBorders>
              <w:top w:val="single" w:sz="8" w:space="0" w:color="7BA0CD"/>
              <w:left w:val="single" w:sz="8" w:space="0" w:color="7BA0CD"/>
              <w:bottom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172,9 m</w:t>
            </w:r>
          </w:p>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56,1 m</w:t>
            </w:r>
          </w:p>
        </w:tc>
        <w:tc>
          <w:tcPr>
            <w:tcW w:w="2552" w:type="dxa"/>
            <w:tcBorders>
              <w:top w:val="single" w:sz="8" w:space="0" w:color="7BA0CD"/>
              <w:left w:val="single" w:sz="8" w:space="0" w:color="7BA0CD"/>
              <w:bottom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256,1 m</w:t>
            </w:r>
          </w:p>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234,1 m</w:t>
            </w:r>
          </w:p>
        </w:tc>
        <w:tc>
          <w:tcPr>
            <w:tcW w:w="2551" w:type="dxa"/>
            <w:tcBorders>
              <w:top w:val="single" w:sz="8" w:space="0" w:color="7BA0CD"/>
              <w:left w:val="single" w:sz="8" w:space="0" w:color="7BA0CD"/>
              <w:bottom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12,7 m</w:t>
            </w:r>
          </w:p>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10,8 m</w:t>
            </w:r>
          </w:p>
        </w:tc>
      </w:tr>
      <w:tr>
        <w:tc>
          <w:tcPr>
            <w:tcW w:w="2694"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after="0"/>
              <w:rPr>
                <w:rFonts w:ascii="Times New Roman" w:hAnsi="Times New Roman" w:cs="Times New Roman"/>
                <w:b/>
                <w:bCs/>
                <w:noProof/>
                <w:color w:val="FFFFFF"/>
                <w:sz w:val="21"/>
                <w:szCs w:val="21"/>
              </w:rPr>
            </w:pPr>
          </w:p>
        </w:tc>
        <w:tc>
          <w:tcPr>
            <w:tcW w:w="2693"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eastAsia="Times New Roman" w:hAnsi="Times New Roman" w:cs="Times New Roman"/>
                <w:b/>
                <w:bCs/>
                <w:noProof/>
                <w:color w:val="FFFFFF" w:themeColor="background1"/>
                <w:sz w:val="21"/>
                <w:szCs w:val="21"/>
              </w:rPr>
              <w:t xml:space="preserve">High Growth and Innovative SME Facility under CIP - </w:t>
            </w:r>
            <w:r>
              <w:rPr>
                <w:rFonts w:ascii="Times New Roman" w:hAnsi="Times New Roman" w:cs="Times New Roman"/>
                <w:b/>
                <w:bCs/>
                <w:noProof/>
                <w:color w:val="FFFFFF" w:themeColor="background1"/>
                <w:sz w:val="21"/>
                <w:szCs w:val="21"/>
              </w:rPr>
              <w:t>GIF</w:t>
            </w:r>
          </w:p>
        </w:tc>
        <w:tc>
          <w:tcPr>
            <w:tcW w:w="2552" w:type="dxa"/>
            <w:tcBorders>
              <w:top w:val="nil"/>
              <w:left w:val="single" w:sz="8" w:space="0" w:color="7BA0CD"/>
              <w:bottom w:val="nil"/>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The Connecting Europe Facility Equity Instrument – CEF</w:t>
            </w:r>
          </w:p>
        </w:tc>
        <w:tc>
          <w:tcPr>
            <w:tcW w:w="2409" w:type="dxa"/>
            <w:tcBorders>
              <w:top w:val="nil"/>
              <w:left w:val="single" w:sz="8" w:space="0" w:color="7BA0CD"/>
              <w:bottom w:val="nil"/>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 xml:space="preserve">Equity Facility for Growth under COSME </w:t>
            </w:r>
          </w:p>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EFG</w:t>
            </w:r>
          </w:p>
        </w:tc>
        <w:tc>
          <w:tcPr>
            <w:tcW w:w="2552" w:type="dxa"/>
            <w:tcBorders>
              <w:top w:val="nil"/>
              <w:left w:val="single" w:sz="8" w:space="0" w:color="7BA0CD"/>
              <w:bottom w:val="nil"/>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InnovFin Equity (Horizon 2020)</w:t>
            </w:r>
          </w:p>
          <w:p>
            <w:pPr>
              <w:spacing w:after="0"/>
              <w:rPr>
                <w:rFonts w:ascii="Times New Roman" w:hAnsi="Times New Roman" w:cs="Times New Roman"/>
                <w:b/>
                <w:bCs/>
                <w:noProof/>
                <w:color w:val="FFFFFF" w:themeColor="background1"/>
                <w:sz w:val="21"/>
                <w:szCs w:val="21"/>
              </w:rPr>
            </w:pPr>
          </w:p>
        </w:tc>
        <w:tc>
          <w:tcPr>
            <w:tcW w:w="2551" w:type="dxa"/>
            <w:tcBorders>
              <w:top w:val="nil"/>
              <w:left w:val="single" w:sz="8" w:space="0" w:color="7BA0CD"/>
              <w:bottom w:val="nil"/>
              <w:right w:val="single" w:sz="8" w:space="0" w:color="7BA0CD"/>
            </w:tcBorders>
            <w:shd w:val="clear" w:color="auto" w:fill="4F81BD" w:themeFill="accent1"/>
          </w:tcPr>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 xml:space="preserve">EaSi Capacity Building Investments </w:t>
            </w:r>
          </w:p>
          <w:p>
            <w:pPr>
              <w:spacing w:after="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(EaSI CBI)</w:t>
            </w:r>
          </w:p>
        </w:tc>
      </w:tr>
      <w:tr>
        <w:trPr>
          <w:trHeight w:val="1533"/>
        </w:trPr>
        <w:tc>
          <w:tcPr>
            <w:tcW w:w="2694" w:type="dxa"/>
            <w:tcBorders>
              <w:right w:val="single" w:sz="8" w:space="0" w:color="7BA0CD"/>
            </w:tcBorders>
            <w:shd w:val="clear" w:color="auto" w:fill="D3DFEE"/>
          </w:tcPr>
          <w:p>
            <w:pPr>
              <w:spacing w:before="60" w:after="60"/>
              <w:rPr>
                <w:rFonts w:ascii="Times New Roman" w:hAnsi="Times New Roman" w:cs="Times New Roman"/>
                <w:b/>
                <w:bCs/>
                <w:noProof/>
                <w:sz w:val="21"/>
                <w:szCs w:val="21"/>
              </w:rPr>
            </w:pPr>
            <w:r>
              <w:rPr>
                <w:rFonts w:ascii="Times New Roman" w:hAnsi="Times New Roman" w:cs="Times New Roman"/>
                <w:b/>
                <w:bCs/>
                <w:noProof/>
                <w:sz w:val="21"/>
                <w:szCs w:val="21"/>
              </w:rPr>
              <w:t>e) Performance</w:t>
            </w:r>
          </w:p>
        </w:tc>
        <w:tc>
          <w:tcPr>
            <w:tcW w:w="2693"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43 agreements signed with venture capital funds, with expected  financing EUR 3,08 billion for 516 eligible SMEs</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409"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9 agreements signed with risk capital funds with expected  financing of EUR 470,6 million for 64 eligible SMEs</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Agreements signed for expected  financing EUR 565,1 million for approx. 300 eligible SMEs</w:t>
            </w:r>
          </w:p>
        </w:tc>
        <w:tc>
          <w:tcPr>
            <w:tcW w:w="2551" w:type="dxa"/>
            <w:tcBorders>
              <w:lef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0</w:t>
            </w:r>
          </w:p>
        </w:tc>
      </w:tr>
      <w:tr>
        <w:trPr>
          <w:trHeight w:val="1114"/>
        </w:trPr>
        <w:tc>
          <w:tcPr>
            <w:tcW w:w="2694" w:type="dxa"/>
            <w:tcBorders>
              <w:right w:val="single" w:sz="8" w:space="0" w:color="7BA0CD"/>
            </w:tcBorders>
            <w:shd w:val="clear" w:color="auto" w:fill="auto"/>
          </w:tcPr>
          <w:p>
            <w:pPr>
              <w:spacing w:before="60" w:after="60"/>
              <w:rPr>
                <w:rFonts w:ascii="Times New Roman" w:hAnsi="Times New Roman" w:cs="Times New Roman"/>
                <w:b/>
                <w:bCs/>
                <w:noProof/>
                <w:sz w:val="21"/>
                <w:szCs w:val="21"/>
              </w:rPr>
            </w:pPr>
            <w:r>
              <w:rPr>
                <w:rFonts w:ascii="Times New Roman" w:hAnsi="Times New Roman" w:cs="Times New Roman"/>
                <w:b/>
                <w:bCs/>
                <w:noProof/>
                <w:sz w:val="21"/>
                <w:szCs w:val="21"/>
              </w:rPr>
              <w:t>f) Evaluation of the use of any amounts returned to the instrument</w:t>
            </w:r>
          </w:p>
        </w:tc>
        <w:tc>
          <w:tcPr>
            <w:tcW w:w="2693" w:type="dxa"/>
            <w:tcBorders>
              <w:left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More than 90%</w:t>
            </w:r>
          </w:p>
        </w:tc>
        <w:tc>
          <w:tcPr>
            <w:tcW w:w="2552" w:type="dxa"/>
            <w:tcBorders>
              <w:left w:val="single" w:sz="8" w:space="0" w:color="7BA0CD"/>
              <w:righ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409" w:type="dxa"/>
            <w:tcBorders>
              <w:left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10,9 m</w:t>
            </w:r>
          </w:p>
        </w:tc>
        <w:tc>
          <w:tcPr>
            <w:tcW w:w="2552" w:type="dxa"/>
            <w:tcBorders>
              <w:left w:val="single" w:sz="8" w:space="0" w:color="7BA0CD"/>
              <w:righ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0,4 m</w:t>
            </w:r>
          </w:p>
        </w:tc>
        <w:tc>
          <w:tcPr>
            <w:tcW w:w="2551" w:type="dxa"/>
            <w:tcBorders>
              <w:lef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r>
      <w:tr>
        <w:trPr>
          <w:trHeight w:val="640"/>
        </w:trPr>
        <w:tc>
          <w:tcPr>
            <w:tcW w:w="2694" w:type="dxa"/>
            <w:tcBorders>
              <w:right w:val="single" w:sz="8" w:space="0" w:color="7BA0CD"/>
            </w:tcBorders>
            <w:shd w:val="clear" w:color="auto" w:fill="D3DFEE"/>
          </w:tcPr>
          <w:p>
            <w:pPr>
              <w:spacing w:before="60" w:after="60"/>
              <w:rPr>
                <w:rFonts w:ascii="Times New Roman" w:hAnsi="Times New Roman" w:cs="Times New Roman"/>
                <w:b/>
                <w:bCs/>
                <w:noProof/>
                <w:sz w:val="21"/>
                <w:szCs w:val="21"/>
              </w:rPr>
            </w:pPr>
            <w:r>
              <w:rPr>
                <w:rFonts w:ascii="Times New Roman" w:hAnsi="Times New Roman" w:cs="Times New Roman"/>
                <w:b/>
                <w:bCs/>
                <w:noProof/>
                <w:sz w:val="21"/>
                <w:szCs w:val="21"/>
              </w:rPr>
              <w:t>g) Balance of fiduciary account</w:t>
            </w:r>
            <w:r>
              <w:rPr>
                <w:rStyle w:val="FootnoteReference"/>
                <w:rFonts w:ascii="Times New Roman" w:hAnsi="Times New Roman" w:cs="Times New Roman"/>
                <w:b/>
                <w:bCs/>
                <w:noProof/>
                <w:sz w:val="21"/>
                <w:szCs w:val="21"/>
              </w:rPr>
              <w:footnoteReference w:id="3"/>
            </w:r>
          </w:p>
        </w:tc>
        <w:tc>
          <w:tcPr>
            <w:tcW w:w="2693"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423,2 m</w:t>
            </w:r>
            <w:r>
              <w:rPr>
                <w:rFonts w:ascii="Times New Roman" w:hAnsi="Times New Roman" w:cs="Times New Roman"/>
                <w:noProof/>
                <w:highlight w:val="green"/>
              </w:rPr>
              <w:t xml:space="preserve"> </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409"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 xml:space="preserve">EUR </w:t>
            </w:r>
            <w:r>
              <w:rPr>
                <w:rFonts w:ascii="Times New Roman" w:hAnsi="Times New Roman" w:cs="Times New Roman"/>
                <w:bCs/>
                <w:noProof/>
                <w:sz w:val="21"/>
                <w:szCs w:val="21"/>
              </w:rPr>
              <w:t>51,3 m</w:t>
            </w:r>
            <w:r>
              <w:rPr>
                <w:rFonts w:ascii="Times New Roman" w:hAnsi="Times New Roman" w:cs="Times New Roman"/>
                <w:noProof/>
                <w:highlight w:val="yellow"/>
              </w:rPr>
              <w:t xml:space="preserve"> </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229 m</w:t>
            </w:r>
            <w:r>
              <w:rPr>
                <w:rFonts w:ascii="Times New Roman" w:hAnsi="Times New Roman" w:cs="Times New Roman"/>
                <w:noProof/>
                <w:highlight w:val="yellow"/>
              </w:rPr>
              <w:t xml:space="preserve">  </w:t>
            </w:r>
          </w:p>
        </w:tc>
        <w:tc>
          <w:tcPr>
            <w:tcW w:w="2551" w:type="dxa"/>
            <w:tcBorders>
              <w:lef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10,7 m</w:t>
            </w:r>
            <w:r>
              <w:rPr>
                <w:rFonts w:ascii="Times New Roman" w:hAnsi="Times New Roman" w:cs="Times New Roman"/>
                <w:noProof/>
                <w:highlight w:val="green"/>
              </w:rPr>
              <w:t xml:space="preserve"> </w:t>
            </w:r>
          </w:p>
        </w:tc>
      </w:tr>
      <w:tr>
        <w:trPr>
          <w:trHeight w:val="669"/>
        </w:trPr>
        <w:tc>
          <w:tcPr>
            <w:tcW w:w="2694" w:type="dxa"/>
            <w:tcBorders>
              <w:right w:val="single" w:sz="8" w:space="0" w:color="7BA0CD"/>
            </w:tcBorders>
            <w:shd w:val="clear" w:color="auto" w:fill="auto"/>
          </w:tcPr>
          <w:p>
            <w:pPr>
              <w:spacing w:before="60" w:after="60"/>
              <w:rPr>
                <w:rFonts w:ascii="Times New Roman" w:hAnsi="Times New Roman" w:cs="Times New Roman"/>
                <w:b/>
                <w:bCs/>
                <w:noProof/>
                <w:sz w:val="21"/>
                <w:szCs w:val="21"/>
              </w:rPr>
            </w:pPr>
            <w:r>
              <w:rPr>
                <w:rFonts w:ascii="Times New Roman" w:hAnsi="Times New Roman" w:cs="Times New Roman"/>
                <w:b/>
                <w:bCs/>
                <w:noProof/>
                <w:sz w:val="21"/>
                <w:szCs w:val="21"/>
              </w:rPr>
              <w:t>h) Revenues and repayments</w:t>
            </w:r>
          </w:p>
        </w:tc>
        <w:tc>
          <w:tcPr>
            <w:tcW w:w="2693" w:type="dxa"/>
            <w:tcBorders>
              <w:left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53,2 m</w:t>
            </w:r>
          </w:p>
        </w:tc>
        <w:tc>
          <w:tcPr>
            <w:tcW w:w="2552" w:type="dxa"/>
            <w:tcBorders>
              <w:left w:val="single" w:sz="8" w:space="0" w:color="7BA0CD"/>
              <w:righ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w:t>
            </w:r>
          </w:p>
        </w:tc>
        <w:tc>
          <w:tcPr>
            <w:tcW w:w="2409" w:type="dxa"/>
            <w:tcBorders>
              <w:left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0,01 m</w:t>
            </w:r>
          </w:p>
        </w:tc>
        <w:tc>
          <w:tcPr>
            <w:tcW w:w="2552" w:type="dxa"/>
            <w:tcBorders>
              <w:left w:val="single" w:sz="8" w:space="0" w:color="7BA0CD"/>
              <w:righ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0,4 m</w:t>
            </w:r>
          </w:p>
        </w:tc>
        <w:tc>
          <w:tcPr>
            <w:tcW w:w="2551" w:type="dxa"/>
            <w:tcBorders>
              <w:lef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r>
      <w:tr>
        <w:tc>
          <w:tcPr>
            <w:tcW w:w="2694" w:type="dxa"/>
            <w:tcBorders>
              <w:right w:val="single" w:sz="8" w:space="0" w:color="7BA0CD"/>
            </w:tcBorders>
            <w:shd w:val="clear" w:color="auto" w:fill="D3DFEE"/>
          </w:tcPr>
          <w:p>
            <w:pPr>
              <w:spacing w:before="60" w:after="60"/>
              <w:rPr>
                <w:rFonts w:ascii="Times New Roman" w:hAnsi="Times New Roman" w:cs="Times New Roman"/>
                <w:b/>
                <w:bCs/>
                <w:noProof/>
                <w:sz w:val="21"/>
                <w:szCs w:val="21"/>
              </w:rPr>
            </w:pPr>
            <w:r>
              <w:rPr>
                <w:rFonts w:ascii="Times New Roman" w:hAnsi="Times New Roman" w:cs="Times New Roman"/>
                <w:b/>
                <w:bCs/>
                <w:noProof/>
                <w:sz w:val="21"/>
                <w:szCs w:val="21"/>
              </w:rPr>
              <w:t>i) Value of equity investments</w:t>
            </w:r>
          </w:p>
        </w:tc>
        <w:tc>
          <w:tcPr>
            <w:tcW w:w="2693"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333,5 m</w:t>
            </w:r>
            <w:r>
              <w:rPr>
                <w:rFonts w:ascii="Times New Roman" w:hAnsi="Times New Roman" w:cs="Times New Roman"/>
                <w:noProof/>
                <w:highlight w:val="green"/>
              </w:rPr>
              <w:t xml:space="preserve"> </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409"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12,2 m</w:t>
            </w:r>
            <w:r>
              <w:rPr>
                <w:rFonts w:ascii="Times New Roman" w:hAnsi="Times New Roman" w:cs="Times New Roman"/>
                <w:noProof/>
                <w:highlight w:val="yellow"/>
              </w:rPr>
              <w:t xml:space="preserve"> </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8,4 m</w:t>
            </w:r>
          </w:p>
        </w:tc>
        <w:tc>
          <w:tcPr>
            <w:tcW w:w="2551" w:type="dxa"/>
            <w:tcBorders>
              <w:lef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0</w:t>
            </w:r>
          </w:p>
        </w:tc>
      </w:tr>
      <w:tr>
        <w:tc>
          <w:tcPr>
            <w:tcW w:w="2694" w:type="dxa"/>
            <w:tcBorders>
              <w:right w:val="single" w:sz="8" w:space="0" w:color="7BA0CD"/>
            </w:tcBorders>
            <w:shd w:val="clear" w:color="auto" w:fill="auto"/>
          </w:tcPr>
          <w:p>
            <w:pPr>
              <w:spacing w:before="60" w:after="60"/>
              <w:rPr>
                <w:rFonts w:ascii="Times New Roman" w:hAnsi="Times New Roman" w:cs="Times New Roman"/>
                <w:b/>
                <w:bCs/>
                <w:noProof/>
                <w:sz w:val="21"/>
                <w:szCs w:val="21"/>
              </w:rPr>
            </w:pPr>
            <w:r>
              <w:rPr>
                <w:rFonts w:ascii="Times New Roman" w:hAnsi="Times New Roman" w:cs="Times New Roman"/>
                <w:b/>
                <w:bCs/>
                <w:noProof/>
                <w:sz w:val="21"/>
                <w:szCs w:val="21"/>
              </w:rPr>
              <w:t>j) Impairments / called guarantees</w:t>
            </w:r>
          </w:p>
        </w:tc>
        <w:tc>
          <w:tcPr>
            <w:tcW w:w="2693" w:type="dxa"/>
            <w:tcBorders>
              <w:left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EUR 19,9 m</w:t>
            </w:r>
          </w:p>
        </w:tc>
        <w:tc>
          <w:tcPr>
            <w:tcW w:w="2552" w:type="dxa"/>
            <w:tcBorders>
              <w:left w:val="single" w:sz="8" w:space="0" w:color="7BA0CD"/>
              <w:righ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409" w:type="dxa"/>
            <w:tcBorders>
              <w:left w:val="single" w:sz="8" w:space="0" w:color="7BA0CD"/>
              <w:right w:val="single" w:sz="8" w:space="0" w:color="7BA0CD"/>
            </w:tcBorders>
            <w:shd w:val="clear" w:color="auto" w:fill="auto"/>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0</w:t>
            </w:r>
          </w:p>
        </w:tc>
        <w:tc>
          <w:tcPr>
            <w:tcW w:w="2552" w:type="dxa"/>
            <w:tcBorders>
              <w:left w:val="single" w:sz="8" w:space="0" w:color="7BA0CD"/>
              <w:righ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551" w:type="dxa"/>
            <w:tcBorders>
              <w:left w:val="single" w:sz="8" w:space="0" w:color="7BA0CD"/>
            </w:tcBorders>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r>
      <w:tr>
        <w:trPr>
          <w:trHeight w:val="1338"/>
        </w:trPr>
        <w:tc>
          <w:tcPr>
            <w:tcW w:w="2694" w:type="dxa"/>
            <w:tcBorders>
              <w:right w:val="single" w:sz="8" w:space="0" w:color="7BA0CD"/>
            </w:tcBorders>
            <w:shd w:val="clear" w:color="auto" w:fill="D3DFEE"/>
          </w:tcPr>
          <w:p>
            <w:pPr>
              <w:spacing w:before="60" w:after="60"/>
              <w:rPr>
                <w:rFonts w:ascii="Times New Roman" w:hAnsi="Times New Roman" w:cs="Times New Roman"/>
                <w:b/>
                <w:bCs/>
                <w:noProof/>
                <w:sz w:val="21"/>
                <w:szCs w:val="21"/>
              </w:rPr>
            </w:pPr>
            <w:r>
              <w:rPr>
                <w:rFonts w:ascii="Times New Roman" w:hAnsi="Times New Roman" w:cs="Times New Roman"/>
                <w:b/>
                <w:bCs/>
                <w:noProof/>
                <w:sz w:val="21"/>
                <w:szCs w:val="21"/>
              </w:rPr>
              <w:t>k) Leverage effect</w:t>
            </w:r>
          </w:p>
        </w:tc>
        <w:tc>
          <w:tcPr>
            <w:tcW w:w="2693"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Expected: 5</w:t>
            </w:r>
          </w:p>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5,7</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 5 to 17</w:t>
            </w:r>
          </w:p>
        </w:tc>
        <w:tc>
          <w:tcPr>
            <w:tcW w:w="2409"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between 4 and 6</w:t>
            </w:r>
          </w:p>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Expected: 2,7</w:t>
            </w:r>
          </w:p>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0,4</w:t>
            </w:r>
          </w:p>
        </w:tc>
        <w:tc>
          <w:tcPr>
            <w:tcW w:w="2552" w:type="dxa"/>
            <w:tcBorders>
              <w:left w:val="single" w:sz="8" w:space="0" w:color="7BA0CD"/>
              <w:righ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Expected: 2,21</w:t>
            </w:r>
          </w:p>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0,06</w:t>
            </w:r>
          </w:p>
        </w:tc>
        <w:tc>
          <w:tcPr>
            <w:tcW w:w="2551" w:type="dxa"/>
            <w:tcBorders>
              <w:left w:val="single" w:sz="8" w:space="0" w:color="7BA0CD"/>
            </w:tcBorders>
            <w:shd w:val="clear" w:color="auto" w:fill="D3DFEE"/>
          </w:tcPr>
          <w:p>
            <w:pPr>
              <w:spacing w:before="12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 2</w:t>
            </w:r>
            <w:r>
              <w:rPr>
                <w:rStyle w:val="FootnoteReference"/>
                <w:rFonts w:ascii="Times New Roman" w:hAnsi="Times New Roman" w:cs="Times New Roman"/>
                <w:noProof/>
                <w:sz w:val="21"/>
                <w:szCs w:val="21"/>
              </w:rPr>
              <w:footnoteReference w:id="4"/>
            </w:r>
          </w:p>
        </w:tc>
      </w:tr>
      <w:tr>
        <w:trPr>
          <w:trHeight w:val="303"/>
        </w:trPr>
        <w:tc>
          <w:tcPr>
            <w:tcW w:w="2694" w:type="dxa"/>
            <w:tcBorders>
              <w:top w:val="single" w:sz="8" w:space="0" w:color="7BA0CD"/>
              <w:left w:val="single" w:sz="8" w:space="0" w:color="7BA0CD"/>
              <w:bottom w:val="single" w:sz="8" w:space="0" w:color="7BA0CD"/>
              <w:right w:val="single" w:sz="8" w:space="0" w:color="7BA0CD"/>
            </w:tcBorders>
            <w:shd w:val="clear" w:color="auto" w:fill="4F81BD"/>
          </w:tcPr>
          <w:p>
            <w:pPr>
              <w:spacing w:after="0"/>
              <w:rPr>
                <w:rFonts w:ascii="Times New Roman" w:hAnsi="Times New Roman" w:cs="Times New Roman"/>
                <w:b/>
                <w:bCs/>
                <w:noProof/>
                <w:color w:val="FFFFFF"/>
                <w:sz w:val="21"/>
                <w:szCs w:val="21"/>
              </w:rPr>
            </w:pPr>
          </w:p>
        </w:tc>
        <w:tc>
          <w:tcPr>
            <w:tcW w:w="2693" w:type="dxa"/>
            <w:tcBorders>
              <w:top w:val="single" w:sz="8" w:space="0" w:color="7BA0CD"/>
              <w:left w:val="single" w:sz="8" w:space="0" w:color="7BA0CD"/>
              <w:bottom w:val="single" w:sz="8" w:space="0" w:color="7BA0CD"/>
              <w:right w:val="single" w:sz="8" w:space="0" w:color="7BA0CD"/>
            </w:tcBorders>
            <w:shd w:val="clear" w:color="auto" w:fill="4F81BD"/>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High Growth and Innovative SME Facility under CIP - GIF</w:t>
            </w:r>
          </w:p>
        </w:tc>
        <w:tc>
          <w:tcPr>
            <w:tcW w:w="2552" w:type="dxa"/>
            <w:tcBorders>
              <w:top w:val="single" w:sz="8" w:space="0" w:color="7BA0CD"/>
              <w:left w:val="single" w:sz="8" w:space="0" w:color="7BA0CD"/>
              <w:bottom w:val="single" w:sz="8" w:space="0" w:color="7BA0CD"/>
              <w:right w:val="single" w:sz="8" w:space="0" w:color="7BA0CD"/>
            </w:tcBorders>
            <w:shd w:val="clear" w:color="auto" w:fill="4F81BD"/>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The Connecting Europe Facility Equity Instrument – CEF</w:t>
            </w:r>
          </w:p>
        </w:tc>
        <w:tc>
          <w:tcPr>
            <w:tcW w:w="2409" w:type="dxa"/>
            <w:tcBorders>
              <w:top w:val="single" w:sz="8" w:space="0" w:color="7BA0CD"/>
              <w:left w:val="single" w:sz="8" w:space="0" w:color="7BA0CD"/>
              <w:bottom w:val="single" w:sz="8" w:space="0" w:color="7BA0CD"/>
              <w:right w:val="single" w:sz="8" w:space="0" w:color="7BA0CD"/>
            </w:tcBorders>
            <w:shd w:val="clear" w:color="auto" w:fill="4F81BD"/>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 xml:space="preserve">Equity Facility for Growth under COSME </w:t>
            </w:r>
          </w:p>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EFG</w:t>
            </w:r>
          </w:p>
        </w:tc>
        <w:tc>
          <w:tcPr>
            <w:tcW w:w="2552" w:type="dxa"/>
            <w:tcBorders>
              <w:top w:val="single" w:sz="8" w:space="0" w:color="7BA0CD"/>
              <w:left w:val="single" w:sz="8" w:space="0" w:color="7BA0CD"/>
              <w:bottom w:val="single" w:sz="8" w:space="0" w:color="7BA0CD"/>
              <w:right w:val="single" w:sz="8" w:space="0" w:color="7BA0CD"/>
            </w:tcBorders>
            <w:shd w:val="clear" w:color="auto" w:fill="4F81BD"/>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InnovFin Equity (Horizon 2020)</w:t>
            </w:r>
          </w:p>
          <w:p>
            <w:pPr>
              <w:spacing w:after="0"/>
              <w:rPr>
                <w:rFonts w:ascii="Times New Roman" w:hAnsi="Times New Roman" w:cs="Times New Roman"/>
                <w:b/>
                <w:bCs/>
                <w:noProof/>
                <w:color w:val="FFFFFF"/>
                <w:sz w:val="21"/>
                <w:szCs w:val="21"/>
              </w:rPr>
            </w:pPr>
          </w:p>
        </w:tc>
        <w:tc>
          <w:tcPr>
            <w:tcW w:w="2551" w:type="dxa"/>
            <w:tcBorders>
              <w:top w:val="single" w:sz="8" w:space="0" w:color="7BA0CD"/>
              <w:left w:val="single" w:sz="8" w:space="0" w:color="7BA0CD"/>
              <w:bottom w:val="single" w:sz="8" w:space="0" w:color="7BA0CD"/>
              <w:right w:val="single" w:sz="8" w:space="0" w:color="7BA0CD"/>
            </w:tcBorders>
            <w:shd w:val="clear" w:color="auto" w:fill="4F81BD"/>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 xml:space="preserve">EaSi Capacity Building Investments </w:t>
            </w:r>
          </w:p>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(EaSI CBI)</w:t>
            </w:r>
          </w:p>
        </w:tc>
      </w:tr>
      <w:tr>
        <w:trPr>
          <w:trHeight w:val="4540"/>
        </w:trPr>
        <w:tc>
          <w:tcPr>
            <w:tcW w:w="2694" w:type="dxa"/>
            <w:tcBorders>
              <w:right w:val="single" w:sz="8" w:space="0" w:color="7BA0CD"/>
            </w:tcBorders>
            <w:shd w:val="clear" w:color="auto" w:fill="auto"/>
          </w:tcPr>
          <w:p>
            <w:pPr>
              <w:spacing w:before="60" w:after="60"/>
              <w:rPr>
                <w:rFonts w:ascii="Times New Roman" w:hAnsi="Times New Roman" w:cs="Times New Roman"/>
                <w:b/>
                <w:bCs/>
                <w:noProof/>
                <w:sz w:val="21"/>
                <w:szCs w:val="21"/>
              </w:rPr>
            </w:pPr>
            <w:r>
              <w:rPr>
                <w:rFonts w:ascii="Times New Roman" w:hAnsi="Times New Roman" w:cs="Times New Roman"/>
                <w:b/>
                <w:bCs/>
                <w:noProof/>
                <w:sz w:val="21"/>
                <w:szCs w:val="21"/>
              </w:rPr>
              <w:t>l) Contribution to achievement of policy objectives</w:t>
            </w:r>
          </w:p>
        </w:tc>
        <w:tc>
          <w:tcPr>
            <w:tcW w:w="2693" w:type="dxa"/>
            <w:tcBorders>
              <w:left w:val="single" w:sz="8" w:space="0" w:color="7BA0CD"/>
              <w:right w:val="single" w:sz="8" w:space="0" w:color="7BA0CD"/>
            </w:tcBorders>
            <w:shd w:val="clear" w:color="auto" w:fill="auto"/>
          </w:tcPr>
          <w:p>
            <w:pPr>
              <w:pStyle w:val="ListParagraph"/>
              <w:spacing w:before="120" w:after="120" w:line="240" w:lineRule="auto"/>
              <w:ind w:left="0"/>
              <w:rPr>
                <w:noProof/>
                <w:sz w:val="21"/>
                <w:szCs w:val="21"/>
              </w:rPr>
            </w:pPr>
            <w:r>
              <w:rPr>
                <w:noProof/>
                <w:sz w:val="21"/>
                <w:szCs w:val="21"/>
              </w:rPr>
              <w:t xml:space="preserve">More than 1,4 billion EUR of financing supported for 484 eligible SMEs; </w:t>
            </w:r>
          </w:p>
          <w:p>
            <w:pPr>
              <w:pStyle w:val="ListParagraph"/>
              <w:spacing w:before="120" w:after="120" w:line="240" w:lineRule="auto"/>
              <w:ind w:left="0"/>
              <w:rPr>
                <w:noProof/>
                <w:sz w:val="21"/>
                <w:szCs w:val="21"/>
              </w:rPr>
            </w:pPr>
          </w:p>
          <w:p>
            <w:pPr>
              <w:pStyle w:val="ListParagraph"/>
              <w:spacing w:before="120" w:after="120" w:line="240" w:lineRule="auto"/>
              <w:ind w:left="0"/>
              <w:rPr>
                <w:noProof/>
                <w:sz w:val="21"/>
                <w:szCs w:val="21"/>
              </w:rPr>
            </w:pPr>
            <w:r>
              <w:rPr>
                <w:noProof/>
                <w:sz w:val="21"/>
                <w:szCs w:val="21"/>
              </w:rPr>
              <w:t>Approx. EUR 3,6 billion of investments supported.</w:t>
            </w:r>
          </w:p>
        </w:tc>
        <w:tc>
          <w:tcPr>
            <w:tcW w:w="2552" w:type="dxa"/>
            <w:tcBorders>
              <w:left w:val="single" w:sz="8" w:space="0" w:color="7BA0CD"/>
              <w:right w:val="single" w:sz="8" w:space="0" w:color="7BA0CD"/>
            </w:tcBorders>
          </w:tcPr>
          <w:p>
            <w:pPr>
              <w:pStyle w:val="ListParagraph"/>
              <w:spacing w:before="120" w:after="120" w:line="240" w:lineRule="auto"/>
              <w:ind w:left="0"/>
              <w:rPr>
                <w:noProof/>
                <w:sz w:val="10"/>
                <w:szCs w:val="21"/>
              </w:rPr>
            </w:pPr>
          </w:p>
          <w:p>
            <w:pPr>
              <w:pStyle w:val="ListParagraph"/>
              <w:spacing w:before="120" w:after="120" w:line="240" w:lineRule="auto"/>
              <w:ind w:left="0"/>
              <w:rPr>
                <w:noProof/>
                <w:sz w:val="21"/>
                <w:szCs w:val="21"/>
              </w:rPr>
            </w:pPr>
            <w:r>
              <w:rPr>
                <w:noProof/>
                <w:sz w:val="21"/>
                <w:szCs w:val="21"/>
              </w:rPr>
              <w:t>NA</w:t>
            </w:r>
          </w:p>
        </w:tc>
        <w:tc>
          <w:tcPr>
            <w:tcW w:w="2409" w:type="dxa"/>
            <w:tcBorders>
              <w:left w:val="single" w:sz="8" w:space="0" w:color="7BA0CD"/>
              <w:right w:val="single" w:sz="8" w:space="0" w:color="7BA0CD"/>
            </w:tcBorders>
            <w:shd w:val="clear" w:color="auto" w:fill="auto"/>
          </w:tcPr>
          <w:p>
            <w:pPr>
              <w:pStyle w:val="ListParagraph"/>
              <w:spacing w:before="120" w:after="120" w:line="240" w:lineRule="auto"/>
              <w:ind w:left="0"/>
              <w:rPr>
                <w:noProof/>
                <w:sz w:val="10"/>
                <w:szCs w:val="21"/>
              </w:rPr>
            </w:pPr>
          </w:p>
          <w:p>
            <w:pPr>
              <w:pStyle w:val="ListParagraph"/>
              <w:spacing w:before="120" w:after="120" w:line="240" w:lineRule="auto"/>
              <w:ind w:left="0"/>
              <w:rPr>
                <w:noProof/>
                <w:sz w:val="21"/>
                <w:szCs w:val="21"/>
              </w:rPr>
            </w:pPr>
            <w:r>
              <w:rPr>
                <w:noProof/>
                <w:sz w:val="21"/>
                <w:szCs w:val="21"/>
              </w:rPr>
              <w:t>Expected volume of equity investments of  EUR 470,6 million into 64 eligible final recipients;</w:t>
            </w:r>
          </w:p>
          <w:p>
            <w:pPr>
              <w:pStyle w:val="ListParagraph"/>
              <w:spacing w:before="120" w:after="120" w:line="240" w:lineRule="auto"/>
              <w:ind w:left="0"/>
              <w:rPr>
                <w:noProof/>
                <w:sz w:val="21"/>
                <w:szCs w:val="21"/>
              </w:rPr>
            </w:pPr>
            <w:r>
              <w:rPr>
                <w:noProof/>
                <w:sz w:val="21"/>
                <w:szCs w:val="21"/>
              </w:rPr>
              <w:t xml:space="preserve"> Investments of EUR 64 million into 12 SMEs in 7 countries by the end of 2016</w:t>
            </w:r>
          </w:p>
        </w:tc>
        <w:tc>
          <w:tcPr>
            <w:tcW w:w="2552" w:type="dxa"/>
            <w:tcBorders>
              <w:left w:val="single" w:sz="8" w:space="0" w:color="7BA0CD"/>
              <w:right w:val="single" w:sz="8" w:space="0" w:color="7BA0CD"/>
            </w:tcBorders>
          </w:tcPr>
          <w:p>
            <w:pPr>
              <w:pStyle w:val="ListParagraph"/>
              <w:spacing w:before="120" w:after="120" w:line="240" w:lineRule="auto"/>
              <w:ind w:left="0"/>
              <w:rPr>
                <w:noProof/>
                <w:sz w:val="10"/>
                <w:szCs w:val="21"/>
              </w:rPr>
            </w:pPr>
          </w:p>
          <w:p>
            <w:pPr>
              <w:pStyle w:val="ListParagraph"/>
              <w:spacing w:before="120" w:after="120" w:line="240" w:lineRule="auto"/>
              <w:ind w:left="0"/>
              <w:rPr>
                <w:noProof/>
                <w:sz w:val="21"/>
                <w:szCs w:val="21"/>
              </w:rPr>
            </w:pPr>
            <w:r>
              <w:rPr>
                <w:noProof/>
                <w:sz w:val="21"/>
                <w:szCs w:val="21"/>
              </w:rPr>
              <w:t xml:space="preserve">The target volume of  investments into envisaged 1500 eligible final recipients amounts to EUR 2 900 million; </w:t>
            </w:r>
          </w:p>
          <w:p>
            <w:pPr>
              <w:pStyle w:val="ListParagraph"/>
              <w:spacing w:before="120" w:after="120" w:line="240" w:lineRule="auto"/>
              <w:ind w:left="0"/>
              <w:rPr>
                <w:noProof/>
                <w:sz w:val="21"/>
                <w:szCs w:val="21"/>
              </w:rPr>
            </w:pPr>
            <w:r>
              <w:rPr>
                <w:noProof/>
                <w:sz w:val="21"/>
                <w:szCs w:val="21"/>
              </w:rPr>
              <w:t xml:space="preserve">The  expected volume of financing amounts to EUR 565,1 million for 300 eligible final recipients; </w:t>
            </w:r>
          </w:p>
          <w:p>
            <w:pPr>
              <w:pStyle w:val="ListParagraph"/>
              <w:spacing w:before="120" w:after="120" w:line="240" w:lineRule="auto"/>
              <w:ind w:left="0"/>
              <w:rPr>
                <w:noProof/>
                <w:sz w:val="21"/>
                <w:szCs w:val="21"/>
              </w:rPr>
            </w:pPr>
            <w:r>
              <w:rPr>
                <w:noProof/>
                <w:sz w:val="21"/>
                <w:szCs w:val="21"/>
              </w:rPr>
              <w:t xml:space="preserve">The  achieved volume of financing amounts to EUR 15 million for 8 eligible final recipients; </w:t>
            </w:r>
          </w:p>
          <w:p>
            <w:pPr>
              <w:pStyle w:val="ListParagraph"/>
              <w:spacing w:before="120" w:after="120" w:line="240" w:lineRule="auto"/>
              <w:ind w:left="0"/>
              <w:rPr>
                <w:noProof/>
                <w:sz w:val="21"/>
                <w:szCs w:val="21"/>
              </w:rPr>
            </w:pPr>
          </w:p>
          <w:p>
            <w:pPr>
              <w:pStyle w:val="ListParagraph"/>
              <w:spacing w:before="120" w:after="120" w:line="240" w:lineRule="auto"/>
              <w:ind w:left="0"/>
              <w:rPr>
                <w:noProof/>
                <w:sz w:val="21"/>
                <w:szCs w:val="21"/>
              </w:rPr>
            </w:pPr>
            <w:r>
              <w:rPr>
                <w:noProof/>
                <w:sz w:val="21"/>
                <w:szCs w:val="21"/>
              </w:rPr>
              <w:t>Investments by SMEs amount to approx. EUR 15 million.</w:t>
            </w:r>
          </w:p>
        </w:tc>
        <w:tc>
          <w:tcPr>
            <w:tcW w:w="2551" w:type="dxa"/>
            <w:tcBorders>
              <w:left w:val="single" w:sz="8" w:space="0" w:color="7BA0CD"/>
            </w:tcBorders>
          </w:tcPr>
          <w:p>
            <w:pPr>
              <w:pStyle w:val="ListParagraph"/>
              <w:spacing w:before="120" w:after="120" w:line="240" w:lineRule="auto"/>
              <w:ind w:left="0"/>
              <w:rPr>
                <w:noProof/>
                <w:sz w:val="10"/>
                <w:szCs w:val="21"/>
              </w:rPr>
            </w:pPr>
          </w:p>
          <w:p>
            <w:pPr>
              <w:pStyle w:val="ListParagraph"/>
              <w:spacing w:before="120" w:after="120" w:line="240" w:lineRule="auto"/>
              <w:ind w:left="0"/>
              <w:rPr>
                <w:noProof/>
                <w:sz w:val="21"/>
                <w:szCs w:val="21"/>
              </w:rPr>
            </w:pPr>
            <w:r>
              <w:rPr>
                <w:noProof/>
                <w:sz w:val="21"/>
                <w:szCs w:val="21"/>
              </w:rPr>
              <w:t>The expected volume of the EUR 16 million available for investments into the 8 to 10 envisaged eligible financial intermediaries is expected to generate around EUR 32 million investments into the intermediaries.</w:t>
            </w:r>
          </w:p>
        </w:tc>
      </w:tr>
    </w:tbl>
    <w:p>
      <w:pPr>
        <w:rPr>
          <w:noProof/>
        </w:rPr>
      </w:pPr>
    </w:p>
    <w:p>
      <w:pPr>
        <w:rPr>
          <w:rFonts w:ascii="Times New Roman" w:eastAsia="Times New Roman" w:hAnsi="Times New Roman" w:cs="Times New Roman"/>
          <w:b/>
          <w:bCs/>
          <w:noProof/>
          <w:u w:val="single"/>
        </w:rPr>
      </w:pPr>
      <w:r>
        <w:rPr>
          <w:noProof/>
        </w:rPr>
        <w:br w:type="page"/>
      </w:r>
    </w:p>
    <w:p>
      <w:pPr>
        <w:pStyle w:val="Heading4"/>
        <w:spacing w:before="0" w:after="240"/>
        <w:ind w:left="357" w:hanging="357"/>
        <w:rPr>
          <w:noProof/>
          <w:sz w:val="22"/>
          <w:szCs w:val="22"/>
        </w:rPr>
      </w:pPr>
      <w:r>
        <w:rPr>
          <w:noProof/>
          <w:sz w:val="22"/>
          <w:szCs w:val="22"/>
        </w:rPr>
        <w:t>G</w:t>
      </w:r>
      <w:bookmarkStart w:id="8" w:name="_Toc399517419"/>
      <w:r>
        <w:rPr>
          <w:noProof/>
          <w:sz w:val="22"/>
          <w:szCs w:val="22"/>
        </w:rPr>
        <w:t>UARANTEE INSTRUMENTS</w:t>
      </w:r>
      <w:bookmarkEnd w:id="2"/>
      <w:bookmarkEnd w:id="3"/>
      <w:bookmarkEnd w:id="4"/>
      <w:bookmarkEnd w:id="5"/>
      <w:bookmarkEnd w:id="8"/>
    </w:p>
    <w:tbl>
      <w:tblPr>
        <w:tblW w:w="15451" w:type="dxa"/>
        <w:tblInd w:w="-601"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694"/>
        <w:gridCol w:w="2693"/>
        <w:gridCol w:w="2552"/>
        <w:gridCol w:w="2693"/>
        <w:gridCol w:w="2410"/>
        <w:gridCol w:w="2409"/>
      </w:tblGrid>
      <w:tr>
        <w:tc>
          <w:tcPr>
            <w:tcW w:w="2694" w:type="dxa"/>
            <w:tcBorders>
              <w:top w:val="single" w:sz="8" w:space="0" w:color="7BA0CD"/>
              <w:left w:val="single" w:sz="8" w:space="0" w:color="7BA0CD"/>
              <w:bottom w:val="single" w:sz="8" w:space="0" w:color="7BA0CD"/>
              <w:right w:val="single" w:sz="8" w:space="0" w:color="7BA0CD"/>
            </w:tcBorders>
            <w:shd w:val="clear" w:color="auto" w:fill="4F81BD" w:themeFill="accent1"/>
          </w:tcPr>
          <w:p>
            <w:pPr>
              <w:rPr>
                <w:rFonts w:ascii="Times New Roman" w:eastAsia="Times New Roman" w:hAnsi="Times New Roman" w:cs="Times New Roman"/>
                <w:b/>
                <w:bCs/>
                <w:i/>
                <w:noProof/>
                <w:color w:val="FFFFFF"/>
                <w:sz w:val="21"/>
                <w:szCs w:val="21"/>
              </w:rPr>
            </w:pPr>
          </w:p>
        </w:tc>
        <w:tc>
          <w:tcPr>
            <w:tcW w:w="2693"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before="60" w:after="120"/>
              <w:rPr>
                <w:rFonts w:ascii="Times New Roman" w:eastAsia="Times New Roman" w:hAnsi="Times New Roman" w:cs="Times New Roman"/>
                <w:b/>
                <w:bCs/>
                <w:noProof/>
                <w:color w:val="FFFFFF"/>
                <w:sz w:val="21"/>
                <w:szCs w:val="21"/>
              </w:rPr>
            </w:pPr>
            <w:r>
              <w:rPr>
                <w:rFonts w:ascii="Times New Roman" w:eastAsia="Times New Roman" w:hAnsi="Times New Roman" w:cs="Times New Roman"/>
                <w:b/>
                <w:bCs/>
                <w:noProof/>
                <w:color w:val="FFFFFF"/>
                <w:sz w:val="21"/>
                <w:szCs w:val="21"/>
              </w:rPr>
              <w:t>SME Guarantee Facility under CIP — SMEG07</w:t>
            </w:r>
          </w:p>
          <w:p>
            <w:pPr>
              <w:spacing w:before="60" w:after="120"/>
              <w:rPr>
                <w:rFonts w:ascii="Times New Roman" w:eastAsia="Times New Roman" w:hAnsi="Times New Roman" w:cs="Times New Roman"/>
                <w:b/>
                <w:bCs/>
                <w:noProof/>
                <w:color w:val="FFFFFF"/>
                <w:sz w:val="21"/>
                <w:szCs w:val="21"/>
              </w:rPr>
            </w:pPr>
            <w:r>
              <w:rPr>
                <w:rFonts w:ascii="Times New Roman" w:eastAsia="Times New Roman" w:hAnsi="Times New Roman" w:cs="Times New Roman"/>
                <w:b/>
                <w:bCs/>
                <w:noProof/>
                <w:color w:val="FFFFFF"/>
                <w:sz w:val="21"/>
                <w:szCs w:val="21"/>
              </w:rPr>
              <w:t>(V.2.1 SWD)</w:t>
            </w:r>
          </w:p>
          <w:p>
            <w:pPr>
              <w:spacing w:before="60" w:after="120"/>
              <w:rPr>
                <w:rFonts w:ascii="Times New Roman" w:eastAsia="Times New Roman" w:hAnsi="Times New Roman" w:cs="Times New Roman"/>
                <w:b/>
                <w:bCs/>
                <w:noProof/>
                <w:color w:val="FFFFFF"/>
                <w:sz w:val="21"/>
                <w:szCs w:val="21"/>
              </w:rPr>
            </w:pPr>
            <w:r>
              <w:rPr>
                <w:rFonts w:ascii="Times New Roman" w:eastAsia="Times New Roman" w:hAnsi="Times New Roman" w:cs="Times New Roman"/>
                <w:b/>
                <w:bCs/>
                <w:noProof/>
                <w:color w:val="FFFFFF"/>
                <w:sz w:val="21"/>
                <w:szCs w:val="21"/>
              </w:rPr>
              <w:t xml:space="preserve">Policy DGs in charge: </w:t>
            </w:r>
            <w:r>
              <w:rPr>
                <w:rFonts w:ascii="Times New Roman" w:hAnsi="Times New Roman" w:cs="Times New Roman"/>
                <w:b/>
                <w:bCs/>
                <w:noProof/>
                <w:color w:val="FFFFFF"/>
                <w:sz w:val="21"/>
                <w:szCs w:val="21"/>
              </w:rPr>
              <w:t>GROW and ECFIN</w:t>
            </w:r>
          </w:p>
        </w:tc>
        <w:tc>
          <w:tcPr>
            <w:tcW w:w="2552"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European Progress Micro-finance Guarantee — EPMF-G</w:t>
            </w:r>
          </w:p>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(V.2.2 SWD)</w:t>
            </w:r>
          </w:p>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Policy DGs in charge: EMPL</w:t>
            </w:r>
          </w:p>
        </w:tc>
        <w:tc>
          <w:tcPr>
            <w:tcW w:w="2693"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Pilot guarantee facility for R&amp;I-driven SMEs and small midcaps — RSI</w:t>
            </w:r>
          </w:p>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(V.2.5 SWD)</w:t>
            </w:r>
          </w:p>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Policy DG in charge:   RTD</w:t>
            </w:r>
          </w:p>
        </w:tc>
        <w:tc>
          <w:tcPr>
            <w:tcW w:w="2410" w:type="dxa"/>
            <w:tcBorders>
              <w:top w:val="single" w:sz="8" w:space="0" w:color="7BA0CD"/>
              <w:bottom w:val="single" w:sz="8" w:space="0" w:color="7BA0CD"/>
              <w:right w:val="single" w:sz="8" w:space="0" w:color="7BA0CD"/>
            </w:tcBorders>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EaSI Micro-finance and Social Enterprise</w:t>
            </w:r>
            <w:r>
              <w:rPr>
                <w:rFonts w:ascii="Times New Roman" w:hAnsi="Times New Roman" w:cs="Times New Roman"/>
                <w:b/>
                <w:bCs/>
                <w:noProof/>
                <w:color w:val="FFFFFF"/>
                <w:sz w:val="21"/>
                <w:szCs w:val="21"/>
              </w:rPr>
              <w:br/>
              <w:t>- Guarantees — EaSI-G</w:t>
            </w:r>
          </w:p>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(V.2.3 SWD)</w:t>
            </w:r>
          </w:p>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Policy DG in charge: EMPL</w:t>
            </w:r>
          </w:p>
        </w:tc>
        <w:tc>
          <w:tcPr>
            <w:tcW w:w="2409"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Loan Guarantee Facility under COSME — LGF</w:t>
            </w:r>
          </w:p>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(V.2.4 SWD)</w:t>
            </w:r>
          </w:p>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 xml:space="preserve">Policy DG in charge: GROW </w:t>
            </w:r>
            <w:r>
              <w:rPr>
                <w:rStyle w:val="FootnoteReference"/>
                <w:rFonts w:ascii="Times New Roman" w:hAnsi="Times New Roman" w:cs="Times New Roman"/>
                <w:b/>
                <w:bCs/>
                <w:noProof/>
                <w:color w:val="FFFFFF"/>
                <w:sz w:val="21"/>
                <w:szCs w:val="21"/>
              </w:rPr>
              <w:footnoteReference w:id="5"/>
            </w:r>
          </w:p>
        </w:tc>
      </w:tr>
      <w:tr>
        <w:trPr>
          <w:trHeight w:val="763"/>
        </w:trPr>
        <w:tc>
          <w:tcPr>
            <w:tcW w:w="2694" w:type="dxa"/>
            <w:tcBorders>
              <w:right w:val="single" w:sz="8" w:space="0" w:color="7BA0CD"/>
            </w:tcBorders>
            <w:shd w:val="clear" w:color="auto" w:fill="D3DFEE"/>
          </w:tcPr>
          <w:p>
            <w:pPr>
              <w:spacing w:before="120" w:after="120"/>
              <w:rPr>
                <w:rFonts w:ascii="Times New Roman" w:eastAsia="Times New Roman" w:hAnsi="Times New Roman" w:cs="Times New Roman"/>
                <w:b/>
                <w:bCs/>
                <w:noProof/>
                <w:sz w:val="21"/>
                <w:szCs w:val="21"/>
              </w:rPr>
            </w:pPr>
            <w:r>
              <w:rPr>
                <w:rFonts w:ascii="Times New Roman" w:eastAsia="Times New Roman" w:hAnsi="Times New Roman" w:cs="Times New Roman"/>
                <w:b/>
                <w:bCs/>
                <w:noProof/>
                <w:sz w:val="21"/>
                <w:szCs w:val="21"/>
              </w:rPr>
              <w:t>a) Identification / basic act</w:t>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i/>
                <w:noProof/>
                <w:sz w:val="21"/>
                <w:szCs w:val="21"/>
              </w:rPr>
            </w:pPr>
            <w:r>
              <w:rPr>
                <w:rFonts w:ascii="Times New Roman" w:hAnsi="Times New Roman" w:cs="Times New Roman"/>
                <w:noProof/>
                <w:sz w:val="21"/>
                <w:szCs w:val="21"/>
              </w:rPr>
              <w:t>Decision No 1639/2006/EC</w:t>
            </w:r>
          </w:p>
        </w:tc>
        <w:tc>
          <w:tcPr>
            <w:tcW w:w="2552"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i/>
                <w:noProof/>
                <w:sz w:val="21"/>
                <w:szCs w:val="21"/>
              </w:rPr>
            </w:pPr>
            <w:r>
              <w:rPr>
                <w:rFonts w:ascii="Times New Roman" w:hAnsi="Times New Roman" w:cs="Times New Roman"/>
                <w:noProof/>
                <w:sz w:val="21"/>
                <w:szCs w:val="21"/>
              </w:rPr>
              <w:t>Decision No 283/2010/EU</w:t>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Decision No 1982/2006/EC</w:t>
            </w:r>
          </w:p>
        </w:tc>
        <w:tc>
          <w:tcPr>
            <w:tcW w:w="2410"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eastAsia="Times New Roman" w:hAnsi="Times New Roman" w:cs="Times New Roman"/>
                <w:noProof/>
                <w:sz w:val="21"/>
                <w:szCs w:val="21"/>
              </w:rPr>
              <w:t>Regulation (EU) No 1296/2013</w:t>
            </w:r>
          </w:p>
        </w:tc>
        <w:tc>
          <w:tcPr>
            <w:tcW w:w="2409" w:type="dxa"/>
            <w:tcBorders>
              <w:lef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Regulation (EU) No 1287/2013</w:t>
            </w:r>
          </w:p>
        </w:tc>
      </w:tr>
      <w:tr>
        <w:trPr>
          <w:trHeight w:val="1965"/>
        </w:trPr>
        <w:tc>
          <w:tcPr>
            <w:tcW w:w="2694" w:type="dxa"/>
            <w:tcBorders>
              <w:right w:val="single" w:sz="8" w:space="0" w:color="7BA0CD"/>
            </w:tcBorders>
            <w:shd w:val="clear" w:color="auto" w:fill="auto"/>
          </w:tcPr>
          <w:p>
            <w:pPr>
              <w:spacing w:before="120" w:after="120"/>
              <w:rPr>
                <w:rFonts w:ascii="Times New Roman" w:eastAsia="Times New Roman" w:hAnsi="Times New Roman" w:cs="Times New Roman"/>
                <w:b/>
                <w:bCs/>
                <w:noProof/>
                <w:sz w:val="21"/>
                <w:szCs w:val="21"/>
              </w:rPr>
            </w:pPr>
            <w:r>
              <w:rPr>
                <w:rFonts w:ascii="Times New Roman" w:eastAsia="Times New Roman" w:hAnsi="Times New Roman" w:cs="Times New Roman"/>
                <w:b/>
                <w:bCs/>
                <w:noProof/>
                <w:sz w:val="21"/>
                <w:szCs w:val="21"/>
              </w:rPr>
              <w:t>b) Description</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Guarantee instrument improving SMEs’ access to finance</w:t>
            </w:r>
          </w:p>
        </w:tc>
        <w:tc>
          <w:tcPr>
            <w:tcW w:w="2552"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Guarantee instrument improving individuals’ and micro-enterprises’ access to micro</w:t>
            </w:r>
            <w:r>
              <w:rPr>
                <w:rFonts w:ascii="Times New Roman" w:hAnsi="Times New Roman" w:cs="Times New Roman"/>
                <w:noProof/>
                <w:sz w:val="21"/>
                <w:szCs w:val="21"/>
              </w:rPr>
              <w:noBreakHyphen/>
              <w:t>finance</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Guarantee instrument improving RDI investments’ access to loan finance</w:t>
            </w:r>
          </w:p>
        </w:tc>
        <w:tc>
          <w:tcPr>
            <w:tcW w:w="2410" w:type="dxa"/>
            <w:tcBorders>
              <w:left w:val="single" w:sz="8" w:space="0" w:color="7BA0CD"/>
              <w:righ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Guarantee instrument promoting employment and social inclusion by increasing access to micro-finance and supporting social enterprises</w:t>
            </w:r>
          </w:p>
        </w:tc>
        <w:tc>
          <w:tcPr>
            <w:tcW w:w="2409" w:type="dxa"/>
            <w:tcBorders>
              <w:lef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Instrument providing guarantees and other risk-sharing arrangements to improve SMEs’ access to finance</w:t>
            </w:r>
          </w:p>
        </w:tc>
      </w:tr>
      <w:tr>
        <w:trPr>
          <w:trHeight w:val="761"/>
        </w:trPr>
        <w:tc>
          <w:tcPr>
            <w:tcW w:w="2694" w:type="dxa"/>
            <w:tcBorders>
              <w:right w:val="single" w:sz="8" w:space="0" w:color="7BA0CD"/>
            </w:tcBorders>
            <w:shd w:val="clear" w:color="auto" w:fill="D3DFEE"/>
          </w:tcPr>
          <w:p>
            <w:pPr>
              <w:spacing w:before="120" w:after="120"/>
              <w:rPr>
                <w:rFonts w:ascii="Times New Roman" w:eastAsia="Times New Roman" w:hAnsi="Times New Roman" w:cs="Times New Roman"/>
                <w:b/>
                <w:bCs/>
                <w:noProof/>
                <w:sz w:val="21"/>
                <w:szCs w:val="21"/>
              </w:rPr>
            </w:pPr>
            <w:r>
              <w:rPr>
                <w:rFonts w:ascii="Times New Roman" w:eastAsia="Times New Roman" w:hAnsi="Times New Roman" w:cs="Times New Roman"/>
                <w:b/>
                <w:bCs/>
                <w:noProof/>
                <w:sz w:val="21"/>
                <w:szCs w:val="21"/>
              </w:rPr>
              <w:t>c) Financial institutions involved</w:t>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EIF</w:t>
            </w:r>
          </w:p>
        </w:tc>
        <w:tc>
          <w:tcPr>
            <w:tcW w:w="2552"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EIF</w:t>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EIF</w:t>
            </w:r>
          </w:p>
        </w:tc>
        <w:tc>
          <w:tcPr>
            <w:tcW w:w="2410"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EIF</w:t>
            </w:r>
          </w:p>
        </w:tc>
        <w:tc>
          <w:tcPr>
            <w:tcW w:w="2409" w:type="dxa"/>
            <w:tcBorders>
              <w:lef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EIF</w:t>
            </w:r>
          </w:p>
        </w:tc>
      </w:tr>
      <w:tr>
        <w:trPr>
          <w:trHeight w:val="1154"/>
        </w:trPr>
        <w:tc>
          <w:tcPr>
            <w:tcW w:w="2694" w:type="dxa"/>
            <w:tcBorders>
              <w:right w:val="single" w:sz="8" w:space="0" w:color="7BA0CD"/>
            </w:tcBorders>
            <w:shd w:val="clear" w:color="auto" w:fill="auto"/>
          </w:tcPr>
          <w:p>
            <w:pPr>
              <w:spacing w:before="120" w:after="120"/>
              <w:rPr>
                <w:rFonts w:ascii="Times New Roman" w:eastAsia="Times New Roman" w:hAnsi="Times New Roman" w:cs="Times New Roman"/>
                <w:b/>
                <w:bCs/>
                <w:noProof/>
                <w:sz w:val="21"/>
                <w:szCs w:val="21"/>
              </w:rPr>
            </w:pPr>
            <w:r>
              <w:rPr>
                <w:rFonts w:ascii="Times New Roman" w:eastAsia="Times New Roman" w:hAnsi="Times New Roman" w:cs="Times New Roman"/>
                <w:b/>
                <w:bCs/>
                <w:noProof/>
                <w:sz w:val="21"/>
                <w:szCs w:val="21"/>
              </w:rPr>
              <w:t>d) Aggregate budgetary commitments and payments</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649,9 m</w:t>
            </w:r>
          </w:p>
          <w:p>
            <w:pPr>
              <w:pStyle w:val="ListParagraph"/>
              <w:keepNext/>
              <w:keepLines/>
              <w:spacing w:after="120" w:line="240" w:lineRule="auto"/>
              <w:ind w:left="0"/>
              <w:rPr>
                <w:noProof/>
                <w:sz w:val="21"/>
                <w:szCs w:val="21"/>
              </w:rPr>
            </w:pPr>
            <w:r>
              <w:rPr>
                <w:noProof/>
                <w:sz w:val="21"/>
                <w:szCs w:val="21"/>
              </w:rPr>
              <w:t>EUR 424,7 m</w:t>
            </w:r>
          </w:p>
        </w:tc>
        <w:tc>
          <w:tcPr>
            <w:tcW w:w="2552"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23,6 m</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22,5 m</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270 m</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270 m</w:t>
            </w:r>
          </w:p>
        </w:tc>
        <w:tc>
          <w:tcPr>
            <w:tcW w:w="2410" w:type="dxa"/>
            <w:tcBorders>
              <w:left w:val="single" w:sz="8" w:space="0" w:color="7BA0CD"/>
              <w:right w:val="single" w:sz="8" w:space="0" w:color="7BA0CD"/>
            </w:tcBorders>
          </w:tcPr>
          <w:p>
            <w:pPr>
              <w:spacing w:before="60" w:after="120" w:line="240" w:lineRule="auto"/>
              <w:rPr>
                <w:noProof/>
                <w:sz w:val="21"/>
                <w:szCs w:val="21"/>
                <w:lang w:val="fr-BE"/>
              </w:rPr>
            </w:pPr>
            <w:r>
              <w:rPr>
                <w:rFonts w:ascii="Times New Roman" w:hAnsi="Times New Roman" w:cs="Times New Roman"/>
                <w:noProof/>
                <w:sz w:val="21"/>
                <w:szCs w:val="21"/>
                <w:lang w:val="fr-BE"/>
              </w:rPr>
              <w:t>EUR 68,8 m</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lang w:val="fr-BE"/>
              </w:rPr>
              <w:t>EUR 42,2 m</w:t>
            </w:r>
          </w:p>
        </w:tc>
        <w:tc>
          <w:tcPr>
            <w:tcW w:w="2409" w:type="dxa"/>
            <w:tcBorders>
              <w:left w:val="single" w:sz="8" w:space="0" w:color="7BA0CD"/>
            </w:tcBorders>
          </w:tcPr>
          <w:p>
            <w:pPr>
              <w:spacing w:before="60" w:after="120" w:line="240" w:lineRule="auto"/>
              <w:rPr>
                <w:rFonts w:ascii="Times New Roman" w:hAnsi="Times New Roman" w:cs="Times New Roman"/>
                <w:noProof/>
                <w:sz w:val="21"/>
                <w:szCs w:val="21"/>
                <w:lang w:val="fr-BE"/>
              </w:rPr>
            </w:pPr>
            <w:r>
              <w:rPr>
                <w:rFonts w:ascii="Times New Roman" w:hAnsi="Times New Roman" w:cs="Times New Roman"/>
                <w:noProof/>
                <w:sz w:val="21"/>
                <w:szCs w:val="21"/>
                <w:lang w:val="fr-BE"/>
              </w:rPr>
              <w:t>EUR 375,5 m</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lang w:val="fr-BE"/>
              </w:rPr>
              <w:t>EUR 183,0 m</w:t>
            </w:r>
          </w:p>
        </w:tc>
      </w:tr>
      <w:tr>
        <w:trPr>
          <w:trHeight w:val="968"/>
        </w:trPr>
        <w:tc>
          <w:tcPr>
            <w:tcW w:w="2694" w:type="dxa"/>
            <w:tcBorders>
              <w:top w:val="single" w:sz="8" w:space="0" w:color="7BA0CD"/>
              <w:left w:val="single" w:sz="8" w:space="0" w:color="7BA0CD"/>
              <w:bottom w:val="single" w:sz="8" w:space="0" w:color="7BA0CD"/>
              <w:right w:val="single" w:sz="8" w:space="0" w:color="7BA0CD"/>
            </w:tcBorders>
            <w:shd w:val="clear" w:color="auto" w:fill="4F81BD" w:themeFill="accent1"/>
          </w:tcPr>
          <w:p>
            <w:pPr>
              <w:rPr>
                <w:rFonts w:ascii="Times New Roman" w:eastAsia="Times New Roman" w:hAnsi="Times New Roman" w:cs="Times New Roman"/>
                <w:b/>
                <w:bCs/>
                <w:i/>
                <w:noProof/>
                <w:color w:val="FFFFFF"/>
                <w:sz w:val="21"/>
                <w:szCs w:val="21"/>
              </w:rPr>
            </w:pPr>
          </w:p>
        </w:tc>
        <w:tc>
          <w:tcPr>
            <w:tcW w:w="2693"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before="60" w:after="120"/>
              <w:rPr>
                <w:rFonts w:ascii="Times New Roman" w:eastAsia="Times New Roman" w:hAnsi="Times New Roman" w:cs="Times New Roman"/>
                <w:b/>
                <w:bCs/>
                <w:noProof/>
                <w:color w:val="FFFFFF"/>
                <w:sz w:val="21"/>
                <w:szCs w:val="21"/>
              </w:rPr>
            </w:pPr>
            <w:r>
              <w:rPr>
                <w:rFonts w:ascii="Times New Roman" w:eastAsia="Times New Roman" w:hAnsi="Times New Roman" w:cs="Times New Roman"/>
                <w:b/>
                <w:bCs/>
                <w:noProof/>
                <w:color w:val="FFFFFF"/>
                <w:sz w:val="21"/>
                <w:szCs w:val="21"/>
              </w:rPr>
              <w:t>SME Guarantee Facility under CIP — SMEG07</w:t>
            </w:r>
          </w:p>
        </w:tc>
        <w:tc>
          <w:tcPr>
            <w:tcW w:w="2552"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European Progress Micro-finance Guarantee — EPMF-G</w:t>
            </w:r>
          </w:p>
        </w:tc>
        <w:tc>
          <w:tcPr>
            <w:tcW w:w="2693"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Pilot guarantee facility for R&amp;I-driven SMEs and small midcaps — RSI</w:t>
            </w:r>
          </w:p>
        </w:tc>
        <w:tc>
          <w:tcPr>
            <w:tcW w:w="2410" w:type="dxa"/>
            <w:tcBorders>
              <w:top w:val="single" w:sz="8" w:space="0" w:color="7BA0CD"/>
              <w:bottom w:val="single" w:sz="8" w:space="0" w:color="7BA0CD"/>
              <w:right w:val="single" w:sz="8" w:space="0" w:color="7BA0CD"/>
            </w:tcBorders>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EaSI Micro-finance and Social Enterprise</w:t>
            </w:r>
            <w:r>
              <w:rPr>
                <w:rFonts w:ascii="Times New Roman" w:hAnsi="Times New Roman" w:cs="Times New Roman"/>
                <w:b/>
                <w:bCs/>
                <w:noProof/>
                <w:color w:val="FFFFFF"/>
                <w:sz w:val="21"/>
                <w:szCs w:val="21"/>
              </w:rPr>
              <w:br/>
              <w:t>- Guarantees — EaSI-G</w:t>
            </w:r>
          </w:p>
        </w:tc>
        <w:tc>
          <w:tcPr>
            <w:tcW w:w="2409" w:type="dxa"/>
            <w:tcBorders>
              <w:top w:val="single" w:sz="8" w:space="0" w:color="7BA0CD"/>
              <w:left w:val="single" w:sz="8" w:space="0" w:color="7BA0CD"/>
              <w:bottom w:val="single" w:sz="8" w:space="0" w:color="7BA0CD"/>
              <w:right w:val="single" w:sz="8" w:space="0" w:color="7BA0CD"/>
            </w:tcBorders>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Loan Guarantee Facility under COSME — LGF</w:t>
            </w:r>
          </w:p>
        </w:tc>
      </w:tr>
      <w:tr>
        <w:tc>
          <w:tcPr>
            <w:tcW w:w="2694" w:type="dxa"/>
            <w:tcBorders>
              <w:right w:val="single" w:sz="8" w:space="0" w:color="7BA0CD"/>
            </w:tcBorders>
            <w:shd w:val="clear" w:color="auto" w:fill="D3DFEE"/>
          </w:tcPr>
          <w:p>
            <w:pPr>
              <w:spacing w:before="120" w:after="120"/>
              <w:rPr>
                <w:rFonts w:ascii="Times New Roman" w:eastAsia="Times New Roman" w:hAnsi="Times New Roman" w:cs="Times New Roman"/>
                <w:b/>
                <w:bCs/>
                <w:noProof/>
                <w:sz w:val="21"/>
                <w:szCs w:val="21"/>
              </w:rPr>
            </w:pPr>
            <w:r>
              <w:rPr>
                <w:rFonts w:ascii="Times New Roman" w:eastAsia="Times New Roman" w:hAnsi="Times New Roman" w:cs="Times New Roman"/>
                <w:b/>
                <w:bCs/>
                <w:noProof/>
                <w:sz w:val="21"/>
                <w:szCs w:val="21"/>
              </w:rPr>
              <w:t>e) Performance</w:t>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70 agreements signed with 52 financial intermediaries for EUR 23,1 billion expected financing, supported by</w:t>
            </w:r>
            <w:r>
              <w:rPr>
                <w:rFonts w:ascii="Times New Roman" w:hAnsi="Times New Roman" w:cs="Times New Roman"/>
                <w:noProof/>
                <w:sz w:val="21"/>
                <w:szCs w:val="21"/>
              </w:rPr>
              <w:tab/>
            </w:r>
            <w:r>
              <w:rPr>
                <w:rFonts w:ascii="Times New Roman" w:hAnsi="Times New Roman" w:cs="Times New Roman"/>
                <w:noProof/>
                <w:sz w:val="21"/>
                <w:szCs w:val="21"/>
              </w:rPr>
              <w:br/>
              <w:t xml:space="preserve">EUR 523,4 million  guarantee volume </w:t>
            </w:r>
          </w:p>
        </w:tc>
        <w:tc>
          <w:tcPr>
            <w:tcW w:w="2552"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36 agreements signed for EUR 286,48 million expected financing, supported by</w:t>
            </w:r>
            <w:r>
              <w:rPr>
                <w:rFonts w:ascii="Times New Roman" w:hAnsi="Times New Roman" w:cs="Times New Roman"/>
                <w:noProof/>
                <w:sz w:val="21"/>
                <w:szCs w:val="21"/>
              </w:rPr>
              <w:tab/>
            </w:r>
            <w:r>
              <w:rPr>
                <w:rFonts w:ascii="Times New Roman" w:hAnsi="Times New Roman" w:cs="Times New Roman"/>
                <w:noProof/>
                <w:sz w:val="21"/>
                <w:szCs w:val="21"/>
              </w:rPr>
              <w:br/>
              <w:t xml:space="preserve">EUR 20,96 million  guarantee volume </w:t>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 xml:space="preserve">35 agreements signed; EUR 3,3 billion expected financing for 3000 eligible final recipients; EUR 2,33 billion achieved financing for 4 146 eligible final recipients </w:t>
            </w:r>
            <w:r>
              <w:rPr>
                <w:rFonts w:ascii="Times New Roman" w:hAnsi="Times New Roman" w:cs="Times New Roman"/>
                <w:noProof/>
                <w:sz w:val="21"/>
                <w:szCs w:val="21"/>
              </w:rPr>
              <w:br/>
            </w:r>
          </w:p>
        </w:tc>
        <w:tc>
          <w:tcPr>
            <w:tcW w:w="2410"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40 agreements signed for EUR 753,58 million expected financing to 55 815 eligible final recipients, supported by</w:t>
            </w:r>
            <w:r>
              <w:rPr>
                <w:rFonts w:ascii="Times New Roman" w:hAnsi="Times New Roman" w:cs="Times New Roman"/>
                <w:noProof/>
                <w:sz w:val="21"/>
                <w:szCs w:val="21"/>
              </w:rPr>
              <w:tab/>
            </w:r>
            <w:r>
              <w:rPr>
                <w:rFonts w:ascii="Times New Roman" w:hAnsi="Times New Roman" w:cs="Times New Roman"/>
                <w:noProof/>
                <w:sz w:val="21"/>
                <w:szCs w:val="21"/>
              </w:rPr>
              <w:br/>
              <w:t>EUR 59,41 million  guarantee volume</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40 agreements signed for EUR 157,96 million achieved financing to 12 804 eligible final recipients, supported by</w:t>
            </w:r>
            <w:r>
              <w:rPr>
                <w:rFonts w:ascii="Times New Roman" w:hAnsi="Times New Roman" w:cs="Times New Roman"/>
                <w:noProof/>
                <w:sz w:val="21"/>
                <w:szCs w:val="21"/>
              </w:rPr>
              <w:tab/>
            </w:r>
            <w:r>
              <w:rPr>
                <w:rFonts w:ascii="Times New Roman" w:hAnsi="Times New Roman" w:cs="Times New Roman"/>
                <w:noProof/>
                <w:sz w:val="21"/>
                <w:szCs w:val="21"/>
              </w:rPr>
              <w:br/>
              <w:t>EUR 59,41 million  guarantee volume</w:t>
            </w:r>
          </w:p>
        </w:tc>
        <w:tc>
          <w:tcPr>
            <w:tcW w:w="2409" w:type="dxa"/>
            <w:tcBorders>
              <w:lef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 xml:space="preserve">67 agreements signed with 61 financial intermediaries for EUR 18,9 billion expected financing to around 291 000 SMEs   </w:t>
            </w:r>
          </w:p>
        </w:tc>
      </w:tr>
      <w:tr>
        <w:tc>
          <w:tcPr>
            <w:tcW w:w="2694" w:type="dxa"/>
            <w:tcBorders>
              <w:right w:val="single" w:sz="8" w:space="0" w:color="7BA0CD"/>
            </w:tcBorders>
            <w:shd w:val="clear" w:color="auto" w:fill="auto"/>
          </w:tcPr>
          <w:p>
            <w:pPr>
              <w:spacing w:before="120" w:after="120"/>
              <w:rPr>
                <w:rFonts w:ascii="Times New Roman" w:eastAsia="Times New Roman" w:hAnsi="Times New Roman" w:cs="Times New Roman"/>
                <w:b/>
                <w:bCs/>
                <w:noProof/>
                <w:sz w:val="21"/>
                <w:szCs w:val="21"/>
              </w:rPr>
            </w:pPr>
            <w:r>
              <w:rPr>
                <w:rFonts w:ascii="Times New Roman" w:eastAsia="Times New Roman" w:hAnsi="Times New Roman" w:cs="Times New Roman"/>
                <w:b/>
                <w:bCs/>
                <w:noProof/>
                <w:sz w:val="21"/>
                <w:szCs w:val="21"/>
              </w:rPr>
              <w:t>f) Evaluation of use of amounts returned to the instrument</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More than 60%</w:t>
            </w:r>
          </w:p>
        </w:tc>
        <w:tc>
          <w:tcPr>
            <w:tcW w:w="2552"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All proceeds received were used</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64,1 m</w:t>
            </w:r>
          </w:p>
        </w:tc>
        <w:tc>
          <w:tcPr>
            <w:tcW w:w="2410" w:type="dxa"/>
            <w:tcBorders>
              <w:left w:val="single" w:sz="8" w:space="0" w:color="7BA0CD"/>
              <w:righ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409" w:type="dxa"/>
            <w:tcBorders>
              <w:lef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r>
      <w:tr>
        <w:trPr>
          <w:trHeight w:val="625"/>
        </w:trPr>
        <w:tc>
          <w:tcPr>
            <w:tcW w:w="2694" w:type="dxa"/>
            <w:tcBorders>
              <w:right w:val="single" w:sz="8" w:space="0" w:color="7BA0CD"/>
            </w:tcBorders>
            <w:shd w:val="clear" w:color="auto" w:fill="D3DFEE"/>
          </w:tcPr>
          <w:p>
            <w:pPr>
              <w:spacing w:before="120" w:after="120"/>
              <w:rPr>
                <w:rFonts w:ascii="Times New Roman" w:eastAsia="Times New Roman" w:hAnsi="Times New Roman" w:cs="Times New Roman"/>
                <w:b/>
                <w:bCs/>
                <w:noProof/>
                <w:sz w:val="21"/>
                <w:szCs w:val="21"/>
              </w:rPr>
            </w:pPr>
            <w:r>
              <w:rPr>
                <w:rFonts w:ascii="Times New Roman" w:eastAsia="Times New Roman" w:hAnsi="Times New Roman" w:cs="Times New Roman"/>
                <w:b/>
                <w:bCs/>
                <w:noProof/>
                <w:sz w:val="21"/>
                <w:szCs w:val="21"/>
              </w:rPr>
              <w:t>g) Balance of fiduciary account</w:t>
            </w:r>
            <w:r>
              <w:rPr>
                <w:rStyle w:val="FootnoteReference"/>
                <w:rFonts w:ascii="Times New Roman" w:eastAsia="Times New Roman" w:hAnsi="Times New Roman" w:cs="Times New Roman"/>
                <w:b/>
                <w:bCs/>
                <w:noProof/>
                <w:sz w:val="21"/>
                <w:szCs w:val="21"/>
              </w:rPr>
              <w:footnoteReference w:id="6"/>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99,6 m</w:t>
            </w:r>
          </w:p>
        </w:tc>
        <w:tc>
          <w:tcPr>
            <w:tcW w:w="2552"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9,59 m</w:t>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 xml:space="preserve">EUR 181,8 m </w:t>
            </w:r>
            <w:r>
              <w:rPr>
                <w:rStyle w:val="FootnoteReference"/>
                <w:rFonts w:ascii="Times New Roman" w:hAnsi="Times New Roman" w:cs="Times New Roman"/>
                <w:noProof/>
                <w:sz w:val="21"/>
                <w:szCs w:val="21"/>
              </w:rPr>
              <w:footnoteReference w:id="7"/>
            </w:r>
          </w:p>
        </w:tc>
        <w:tc>
          <w:tcPr>
            <w:tcW w:w="2410"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38,8 m</w:t>
            </w:r>
          </w:p>
        </w:tc>
        <w:tc>
          <w:tcPr>
            <w:tcW w:w="2409" w:type="dxa"/>
            <w:tcBorders>
              <w:lef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160,3 m</w:t>
            </w:r>
          </w:p>
        </w:tc>
      </w:tr>
      <w:tr>
        <w:trPr>
          <w:trHeight w:val="623"/>
        </w:trPr>
        <w:tc>
          <w:tcPr>
            <w:tcW w:w="2694" w:type="dxa"/>
            <w:tcBorders>
              <w:right w:val="single" w:sz="8" w:space="0" w:color="7BA0CD"/>
            </w:tcBorders>
            <w:shd w:val="clear" w:color="auto" w:fill="auto"/>
          </w:tcPr>
          <w:p>
            <w:pPr>
              <w:spacing w:before="120" w:after="120"/>
              <w:rPr>
                <w:rFonts w:ascii="Times New Roman" w:eastAsia="Times New Roman" w:hAnsi="Times New Roman" w:cs="Times New Roman"/>
                <w:b/>
                <w:bCs/>
                <w:noProof/>
                <w:sz w:val="21"/>
                <w:szCs w:val="21"/>
              </w:rPr>
            </w:pPr>
            <w:r>
              <w:rPr>
                <w:rFonts w:ascii="Times New Roman" w:eastAsia="Times New Roman" w:hAnsi="Times New Roman" w:cs="Times New Roman"/>
                <w:b/>
                <w:bCs/>
                <w:noProof/>
                <w:sz w:val="21"/>
                <w:szCs w:val="21"/>
              </w:rPr>
              <w:t>h) Revenues and repayments</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21,8 m</w:t>
            </w:r>
          </w:p>
        </w:tc>
        <w:tc>
          <w:tcPr>
            <w:tcW w:w="2552"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lang w:val="fr-BE"/>
              </w:rPr>
              <w:t xml:space="preserve">EUR 1,0 m aggregate revenues </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65,9 m</w:t>
            </w:r>
          </w:p>
        </w:tc>
        <w:tc>
          <w:tcPr>
            <w:tcW w:w="2410" w:type="dxa"/>
            <w:tcBorders>
              <w:left w:val="single" w:sz="8" w:space="0" w:color="7BA0CD"/>
              <w:righ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lang w:val="fr-BE"/>
              </w:rPr>
              <w:t>EUR 0,02 m aggregate revenues</w:t>
            </w:r>
          </w:p>
        </w:tc>
        <w:tc>
          <w:tcPr>
            <w:tcW w:w="2409" w:type="dxa"/>
            <w:tcBorders>
              <w:lef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0,29 m</w:t>
            </w:r>
          </w:p>
        </w:tc>
      </w:tr>
      <w:tr>
        <w:trPr>
          <w:trHeight w:val="826"/>
        </w:trPr>
        <w:tc>
          <w:tcPr>
            <w:tcW w:w="2694" w:type="dxa"/>
            <w:tcBorders>
              <w:top w:val="single" w:sz="8" w:space="0" w:color="7BA0CD"/>
              <w:left w:val="single" w:sz="8" w:space="0" w:color="7BA0CD"/>
              <w:bottom w:val="single" w:sz="8" w:space="0" w:color="7BA0CD"/>
              <w:right w:val="single" w:sz="8" w:space="0" w:color="7BA0CD"/>
            </w:tcBorders>
            <w:shd w:val="clear" w:color="auto" w:fill="4F81BD"/>
          </w:tcPr>
          <w:p>
            <w:pPr>
              <w:rPr>
                <w:rFonts w:ascii="Times New Roman" w:eastAsia="Times New Roman" w:hAnsi="Times New Roman" w:cs="Times New Roman"/>
                <w:b/>
                <w:bCs/>
                <w:noProof/>
                <w:color w:val="FFFFFF"/>
                <w:sz w:val="21"/>
                <w:szCs w:val="21"/>
              </w:rPr>
            </w:pPr>
          </w:p>
        </w:tc>
        <w:tc>
          <w:tcPr>
            <w:tcW w:w="2693" w:type="dxa"/>
            <w:tcBorders>
              <w:top w:val="single" w:sz="8" w:space="0" w:color="7BA0CD"/>
              <w:left w:val="single" w:sz="8" w:space="0" w:color="7BA0CD"/>
              <w:bottom w:val="single" w:sz="8" w:space="0" w:color="7BA0CD"/>
              <w:right w:val="single" w:sz="8" w:space="0" w:color="7BA0CD"/>
            </w:tcBorders>
            <w:shd w:val="clear" w:color="auto" w:fill="4F81BD"/>
          </w:tcPr>
          <w:p>
            <w:pPr>
              <w:rPr>
                <w:rFonts w:ascii="Times New Roman" w:eastAsia="Times New Roman" w:hAnsi="Times New Roman" w:cs="Times New Roman"/>
                <w:b/>
                <w:bCs/>
                <w:noProof/>
                <w:color w:val="FFFFFF"/>
                <w:sz w:val="21"/>
                <w:szCs w:val="21"/>
              </w:rPr>
            </w:pPr>
            <w:r>
              <w:rPr>
                <w:rFonts w:ascii="Times New Roman" w:eastAsia="Times New Roman" w:hAnsi="Times New Roman" w:cs="Times New Roman"/>
                <w:b/>
                <w:bCs/>
                <w:noProof/>
                <w:color w:val="FFFFFF"/>
                <w:sz w:val="21"/>
                <w:szCs w:val="21"/>
              </w:rPr>
              <w:t>SME Guarantee Facility under CIP — SMEG07</w:t>
            </w:r>
          </w:p>
        </w:tc>
        <w:tc>
          <w:tcPr>
            <w:tcW w:w="2552" w:type="dxa"/>
            <w:tcBorders>
              <w:top w:val="single" w:sz="8" w:space="0" w:color="7BA0CD"/>
              <w:left w:val="single" w:sz="8" w:space="0" w:color="7BA0CD"/>
              <w:bottom w:val="single" w:sz="8" w:space="0" w:color="7BA0CD"/>
              <w:right w:val="single" w:sz="8" w:space="0" w:color="7BA0CD"/>
            </w:tcBorders>
            <w:shd w:val="clear" w:color="auto" w:fill="4F81BD"/>
          </w:tcPr>
          <w:p>
            <w:pPr>
              <w:rPr>
                <w:rFonts w:ascii="Times New Roman" w:eastAsia="Times New Roman" w:hAnsi="Times New Roman" w:cs="Times New Roman"/>
                <w:b/>
                <w:bCs/>
                <w:noProof/>
                <w:color w:val="FFFFFF"/>
                <w:sz w:val="21"/>
                <w:szCs w:val="21"/>
              </w:rPr>
            </w:pPr>
            <w:r>
              <w:rPr>
                <w:rFonts w:ascii="Times New Roman" w:eastAsia="Times New Roman" w:hAnsi="Times New Roman" w:cs="Times New Roman"/>
                <w:b/>
                <w:bCs/>
                <w:noProof/>
                <w:color w:val="FFFFFF"/>
                <w:sz w:val="21"/>
                <w:szCs w:val="21"/>
              </w:rPr>
              <w:t>European Progress Micro-finance Guarantee — EPMF-G</w:t>
            </w:r>
          </w:p>
        </w:tc>
        <w:tc>
          <w:tcPr>
            <w:tcW w:w="2693" w:type="dxa"/>
            <w:tcBorders>
              <w:top w:val="single" w:sz="8" w:space="0" w:color="7BA0CD"/>
              <w:left w:val="single" w:sz="8" w:space="0" w:color="7BA0CD"/>
              <w:bottom w:val="single" w:sz="8" w:space="0" w:color="7BA0CD"/>
              <w:right w:val="single" w:sz="8" w:space="0" w:color="7BA0CD"/>
            </w:tcBorders>
            <w:shd w:val="clear" w:color="auto" w:fill="4F81BD"/>
          </w:tcPr>
          <w:p>
            <w:pPr>
              <w:rPr>
                <w:rFonts w:ascii="Times New Roman" w:eastAsia="Times New Roman" w:hAnsi="Times New Roman" w:cs="Times New Roman"/>
                <w:b/>
                <w:bCs/>
                <w:noProof/>
                <w:color w:val="FFFFFF"/>
                <w:sz w:val="21"/>
                <w:szCs w:val="21"/>
              </w:rPr>
            </w:pPr>
            <w:r>
              <w:rPr>
                <w:rFonts w:ascii="Times New Roman" w:eastAsia="Times New Roman" w:hAnsi="Times New Roman" w:cs="Times New Roman"/>
                <w:b/>
                <w:bCs/>
                <w:noProof/>
                <w:color w:val="FFFFFF"/>
                <w:sz w:val="21"/>
                <w:szCs w:val="21"/>
              </w:rPr>
              <w:t>Pilot guarantee facility for R&amp;I-driven SMEs and small midcaps — RSI</w:t>
            </w:r>
          </w:p>
        </w:tc>
        <w:tc>
          <w:tcPr>
            <w:tcW w:w="2410" w:type="dxa"/>
            <w:tcBorders>
              <w:top w:val="single" w:sz="8" w:space="0" w:color="7BA0CD"/>
              <w:left w:val="single" w:sz="8" w:space="0" w:color="7BA0CD"/>
              <w:bottom w:val="single" w:sz="8" w:space="0" w:color="7BA0CD"/>
              <w:right w:val="single" w:sz="8" w:space="0" w:color="7BA0CD"/>
            </w:tcBorders>
            <w:shd w:val="clear" w:color="auto" w:fill="4F81BD"/>
          </w:tcPr>
          <w:p>
            <w:pPr>
              <w:rPr>
                <w:rFonts w:ascii="Times New Roman" w:eastAsia="Times New Roman" w:hAnsi="Times New Roman" w:cs="Times New Roman"/>
                <w:b/>
                <w:bCs/>
                <w:noProof/>
                <w:color w:val="FFFFFF"/>
                <w:sz w:val="21"/>
                <w:szCs w:val="21"/>
              </w:rPr>
            </w:pPr>
            <w:r>
              <w:rPr>
                <w:rFonts w:ascii="Times New Roman" w:eastAsia="Times New Roman" w:hAnsi="Times New Roman" w:cs="Times New Roman"/>
                <w:b/>
                <w:bCs/>
                <w:noProof/>
                <w:color w:val="FFFFFF"/>
                <w:sz w:val="21"/>
                <w:szCs w:val="21"/>
              </w:rPr>
              <w:t>EaSI Micro-finance and Social Enterprise</w:t>
            </w:r>
            <w:r>
              <w:rPr>
                <w:rFonts w:ascii="Times New Roman" w:eastAsia="Times New Roman" w:hAnsi="Times New Roman" w:cs="Times New Roman"/>
                <w:b/>
                <w:bCs/>
                <w:noProof/>
                <w:color w:val="FFFFFF"/>
                <w:sz w:val="21"/>
                <w:szCs w:val="21"/>
              </w:rPr>
              <w:br/>
              <w:t>- Guarantees — EaSI-G</w:t>
            </w:r>
          </w:p>
        </w:tc>
        <w:tc>
          <w:tcPr>
            <w:tcW w:w="2409" w:type="dxa"/>
            <w:tcBorders>
              <w:top w:val="single" w:sz="8" w:space="0" w:color="7BA0CD"/>
              <w:left w:val="single" w:sz="8" w:space="0" w:color="7BA0CD"/>
              <w:bottom w:val="single" w:sz="8" w:space="0" w:color="7BA0CD"/>
              <w:right w:val="single" w:sz="8" w:space="0" w:color="7BA0CD"/>
            </w:tcBorders>
            <w:shd w:val="clear" w:color="auto" w:fill="4F81BD"/>
          </w:tcPr>
          <w:p>
            <w:pPr>
              <w:rPr>
                <w:rFonts w:ascii="Times New Roman" w:eastAsia="Times New Roman" w:hAnsi="Times New Roman" w:cs="Times New Roman"/>
                <w:b/>
                <w:bCs/>
                <w:noProof/>
                <w:color w:val="FFFFFF"/>
                <w:sz w:val="21"/>
                <w:szCs w:val="21"/>
              </w:rPr>
            </w:pPr>
            <w:r>
              <w:rPr>
                <w:rFonts w:ascii="Times New Roman" w:eastAsia="Times New Roman" w:hAnsi="Times New Roman" w:cs="Times New Roman"/>
                <w:b/>
                <w:bCs/>
                <w:noProof/>
                <w:color w:val="FFFFFF"/>
                <w:sz w:val="21"/>
                <w:szCs w:val="21"/>
              </w:rPr>
              <w:t>Loan Guarantee Facility under COSME — LGF</w:t>
            </w:r>
          </w:p>
        </w:tc>
      </w:tr>
      <w:tr>
        <w:trPr>
          <w:trHeight w:val="647"/>
        </w:trPr>
        <w:tc>
          <w:tcPr>
            <w:tcW w:w="2694" w:type="dxa"/>
            <w:tcBorders>
              <w:top w:val="single" w:sz="8" w:space="0" w:color="7BA0CD"/>
              <w:left w:val="single" w:sz="8" w:space="0" w:color="7BA0CD"/>
              <w:bottom w:val="single" w:sz="8" w:space="0" w:color="7BA0CD"/>
              <w:right w:val="single" w:sz="8" w:space="0" w:color="7BA0CD"/>
            </w:tcBorders>
            <w:shd w:val="clear" w:color="auto" w:fill="D3DFEE"/>
          </w:tcPr>
          <w:p>
            <w:pPr>
              <w:rPr>
                <w:rFonts w:ascii="Times New Roman" w:eastAsia="Times New Roman" w:hAnsi="Times New Roman" w:cs="Times New Roman"/>
                <w:b/>
                <w:bCs/>
                <w:noProof/>
                <w:sz w:val="21"/>
                <w:szCs w:val="21"/>
              </w:rPr>
            </w:pPr>
            <w:r>
              <w:rPr>
                <w:rFonts w:ascii="Times New Roman" w:eastAsia="Times New Roman" w:hAnsi="Times New Roman" w:cs="Times New Roman"/>
                <w:b/>
                <w:bCs/>
                <w:noProof/>
                <w:sz w:val="21"/>
                <w:szCs w:val="21"/>
              </w:rPr>
              <w:t>i) Value of equity investments</w:t>
            </w:r>
          </w:p>
        </w:tc>
        <w:tc>
          <w:tcPr>
            <w:tcW w:w="2693" w:type="dxa"/>
            <w:tcBorders>
              <w:top w:val="single" w:sz="8" w:space="0" w:color="7BA0CD"/>
              <w:left w:val="single" w:sz="8" w:space="0" w:color="7BA0CD"/>
              <w:bottom w:val="single" w:sz="8" w:space="0" w:color="7BA0CD"/>
              <w:right w:val="single" w:sz="8" w:space="0" w:color="7BA0CD"/>
            </w:tcBorders>
            <w:shd w:val="clear" w:color="auto" w:fill="D3DFEE"/>
          </w:tcPr>
          <w:p>
            <w:pPr>
              <w:spacing w:line="240" w:lineRule="auto"/>
              <w:rPr>
                <w:rFonts w:ascii="Times New Roman" w:eastAsia="Times New Roman" w:hAnsi="Times New Roman" w:cs="Times New Roman"/>
                <w:bCs/>
                <w:noProof/>
                <w:sz w:val="21"/>
                <w:szCs w:val="21"/>
              </w:rPr>
            </w:pPr>
            <w:r>
              <w:rPr>
                <w:rFonts w:ascii="Times New Roman" w:eastAsia="Times New Roman" w:hAnsi="Times New Roman" w:cs="Times New Roman"/>
                <w:bCs/>
                <w:noProof/>
                <w:sz w:val="21"/>
                <w:szCs w:val="21"/>
              </w:rPr>
              <w:t>NA</w:t>
            </w:r>
          </w:p>
        </w:tc>
        <w:tc>
          <w:tcPr>
            <w:tcW w:w="2552" w:type="dxa"/>
            <w:tcBorders>
              <w:top w:val="single" w:sz="8" w:space="0" w:color="7BA0CD"/>
              <w:left w:val="single" w:sz="8" w:space="0" w:color="7BA0CD"/>
              <w:bottom w:val="single" w:sz="8" w:space="0" w:color="7BA0CD"/>
              <w:right w:val="single" w:sz="8" w:space="0" w:color="7BA0CD"/>
            </w:tcBorders>
            <w:shd w:val="clear" w:color="auto" w:fill="D3DFEE"/>
          </w:tcPr>
          <w:p>
            <w:pPr>
              <w:spacing w:line="240" w:lineRule="auto"/>
              <w:rPr>
                <w:rFonts w:ascii="Times New Roman" w:eastAsia="Times New Roman" w:hAnsi="Times New Roman" w:cs="Times New Roman"/>
                <w:bCs/>
                <w:noProof/>
                <w:sz w:val="21"/>
                <w:szCs w:val="21"/>
              </w:rPr>
            </w:pPr>
            <w:r>
              <w:rPr>
                <w:rFonts w:ascii="Times New Roman" w:eastAsia="Times New Roman" w:hAnsi="Times New Roman" w:cs="Times New Roman"/>
                <w:bCs/>
                <w:noProof/>
                <w:sz w:val="21"/>
                <w:szCs w:val="21"/>
              </w:rPr>
              <w:t>NA</w:t>
            </w:r>
          </w:p>
        </w:tc>
        <w:tc>
          <w:tcPr>
            <w:tcW w:w="2693" w:type="dxa"/>
            <w:tcBorders>
              <w:top w:val="single" w:sz="8" w:space="0" w:color="7BA0CD"/>
              <w:left w:val="single" w:sz="8" w:space="0" w:color="7BA0CD"/>
              <w:bottom w:val="single" w:sz="8" w:space="0" w:color="7BA0CD"/>
              <w:right w:val="single" w:sz="8" w:space="0" w:color="7BA0CD"/>
            </w:tcBorders>
            <w:shd w:val="clear" w:color="auto" w:fill="D3DFEE"/>
          </w:tcPr>
          <w:p>
            <w:pPr>
              <w:spacing w:line="240" w:lineRule="auto"/>
              <w:rPr>
                <w:rFonts w:ascii="Times New Roman" w:eastAsia="Times New Roman" w:hAnsi="Times New Roman" w:cs="Times New Roman"/>
                <w:bCs/>
                <w:noProof/>
                <w:sz w:val="21"/>
                <w:szCs w:val="21"/>
              </w:rPr>
            </w:pPr>
            <w:r>
              <w:rPr>
                <w:rFonts w:ascii="Times New Roman" w:eastAsia="Times New Roman" w:hAnsi="Times New Roman" w:cs="Times New Roman"/>
                <w:bCs/>
                <w:noProof/>
                <w:sz w:val="21"/>
                <w:szCs w:val="21"/>
              </w:rPr>
              <w:t>NA</w:t>
            </w:r>
          </w:p>
        </w:tc>
        <w:tc>
          <w:tcPr>
            <w:tcW w:w="2410" w:type="dxa"/>
            <w:tcBorders>
              <w:top w:val="single" w:sz="8" w:space="0" w:color="7BA0CD"/>
              <w:left w:val="single" w:sz="8" w:space="0" w:color="7BA0CD"/>
              <w:bottom w:val="single" w:sz="8" w:space="0" w:color="7BA0CD"/>
              <w:right w:val="single" w:sz="8" w:space="0" w:color="7BA0CD"/>
            </w:tcBorders>
            <w:shd w:val="clear" w:color="auto" w:fill="D3DFEE"/>
          </w:tcPr>
          <w:p>
            <w:pPr>
              <w:spacing w:line="240" w:lineRule="auto"/>
              <w:rPr>
                <w:rFonts w:ascii="Times New Roman" w:eastAsia="Times New Roman" w:hAnsi="Times New Roman" w:cs="Times New Roman"/>
                <w:bCs/>
                <w:noProof/>
                <w:sz w:val="21"/>
                <w:szCs w:val="21"/>
              </w:rPr>
            </w:pPr>
            <w:r>
              <w:rPr>
                <w:rFonts w:ascii="Times New Roman" w:eastAsia="Times New Roman" w:hAnsi="Times New Roman" w:cs="Times New Roman"/>
                <w:bCs/>
                <w:noProof/>
                <w:sz w:val="21"/>
                <w:szCs w:val="21"/>
              </w:rPr>
              <w:t>NA</w:t>
            </w:r>
          </w:p>
        </w:tc>
        <w:tc>
          <w:tcPr>
            <w:tcW w:w="2409" w:type="dxa"/>
            <w:tcBorders>
              <w:top w:val="single" w:sz="8" w:space="0" w:color="7BA0CD"/>
              <w:left w:val="single" w:sz="8" w:space="0" w:color="7BA0CD"/>
              <w:bottom w:val="single" w:sz="8" w:space="0" w:color="7BA0CD"/>
              <w:right w:val="single" w:sz="8" w:space="0" w:color="7BA0CD"/>
            </w:tcBorders>
            <w:shd w:val="clear" w:color="auto" w:fill="D3DFEE"/>
          </w:tcPr>
          <w:p>
            <w:pPr>
              <w:spacing w:line="240" w:lineRule="auto"/>
              <w:rPr>
                <w:rFonts w:ascii="Times New Roman" w:eastAsia="Times New Roman" w:hAnsi="Times New Roman" w:cs="Times New Roman"/>
                <w:bCs/>
                <w:noProof/>
                <w:sz w:val="21"/>
                <w:szCs w:val="21"/>
              </w:rPr>
            </w:pPr>
            <w:r>
              <w:rPr>
                <w:rFonts w:ascii="Times New Roman" w:eastAsia="Times New Roman" w:hAnsi="Times New Roman" w:cs="Times New Roman"/>
                <w:bCs/>
                <w:noProof/>
                <w:sz w:val="21"/>
                <w:szCs w:val="21"/>
              </w:rPr>
              <w:t>NA</w:t>
            </w:r>
          </w:p>
        </w:tc>
      </w:tr>
      <w:tr>
        <w:trPr>
          <w:trHeight w:val="686"/>
        </w:trPr>
        <w:tc>
          <w:tcPr>
            <w:tcW w:w="2694" w:type="dxa"/>
            <w:tcBorders>
              <w:right w:val="single" w:sz="8" w:space="0" w:color="7BA0CD"/>
            </w:tcBorders>
            <w:shd w:val="clear" w:color="auto" w:fill="auto"/>
          </w:tcPr>
          <w:p>
            <w:pPr>
              <w:spacing w:before="120" w:after="120"/>
              <w:rPr>
                <w:rFonts w:ascii="Times New Roman" w:eastAsia="Times New Roman" w:hAnsi="Times New Roman" w:cs="Times New Roman"/>
                <w:b/>
                <w:bCs/>
                <w:noProof/>
                <w:sz w:val="21"/>
                <w:szCs w:val="21"/>
              </w:rPr>
            </w:pPr>
            <w:r>
              <w:rPr>
                <w:rFonts w:ascii="Times New Roman" w:eastAsia="Times New Roman" w:hAnsi="Times New Roman" w:cs="Times New Roman"/>
                <w:b/>
                <w:bCs/>
                <w:noProof/>
                <w:sz w:val="21"/>
                <w:szCs w:val="21"/>
              </w:rPr>
              <w:t>j) Impairments / called guarantees</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292,6 m</w:t>
            </w:r>
          </w:p>
        </w:tc>
        <w:tc>
          <w:tcPr>
            <w:tcW w:w="2552"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12,1 m</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14,7 m</w:t>
            </w:r>
          </w:p>
        </w:tc>
        <w:tc>
          <w:tcPr>
            <w:tcW w:w="2410" w:type="dxa"/>
            <w:tcBorders>
              <w:left w:val="single" w:sz="8" w:space="0" w:color="7BA0CD"/>
              <w:righ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0,55 m</w:t>
            </w:r>
          </w:p>
        </w:tc>
        <w:tc>
          <w:tcPr>
            <w:tcW w:w="2409" w:type="dxa"/>
            <w:tcBorders>
              <w:lef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4,8 m</w:t>
            </w:r>
          </w:p>
        </w:tc>
      </w:tr>
      <w:tr>
        <w:trPr>
          <w:trHeight w:val="1080"/>
        </w:trPr>
        <w:tc>
          <w:tcPr>
            <w:tcW w:w="2694" w:type="dxa"/>
            <w:tcBorders>
              <w:right w:val="single" w:sz="8" w:space="0" w:color="7BA0CD"/>
            </w:tcBorders>
            <w:shd w:val="clear" w:color="auto" w:fill="D3DFEE"/>
          </w:tcPr>
          <w:p>
            <w:pPr>
              <w:spacing w:before="120" w:after="120"/>
              <w:rPr>
                <w:rFonts w:ascii="Times New Roman" w:eastAsia="Times New Roman" w:hAnsi="Times New Roman" w:cs="Times New Roman"/>
                <w:b/>
                <w:bCs/>
                <w:noProof/>
                <w:sz w:val="21"/>
                <w:szCs w:val="21"/>
              </w:rPr>
            </w:pPr>
            <w:r>
              <w:rPr>
                <w:rFonts w:ascii="Times New Roman" w:eastAsia="Times New Roman" w:hAnsi="Times New Roman" w:cs="Times New Roman"/>
                <w:b/>
                <w:bCs/>
                <w:noProof/>
                <w:sz w:val="21"/>
                <w:szCs w:val="21"/>
              </w:rPr>
              <w:t>k) Leverage effect</w:t>
            </w:r>
          </w:p>
        </w:tc>
        <w:tc>
          <w:tcPr>
            <w:tcW w:w="2693" w:type="dxa"/>
            <w:tcBorders>
              <w:left w:val="single" w:sz="8" w:space="0" w:color="7BA0CD"/>
              <w:right w:val="single" w:sz="8" w:space="0" w:color="7BA0CD"/>
            </w:tcBorders>
            <w:shd w:val="clear" w:color="auto" w:fill="D3DFEE"/>
          </w:tcPr>
          <w:p>
            <w:pPr>
              <w:tabs>
                <w:tab w:val="num" w:pos="1080"/>
              </w:tabs>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Expected: 44</w:t>
            </w:r>
          </w:p>
          <w:p>
            <w:pPr>
              <w:tabs>
                <w:tab w:val="num" w:pos="1080"/>
              </w:tabs>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40</w:t>
            </w:r>
          </w:p>
        </w:tc>
        <w:tc>
          <w:tcPr>
            <w:tcW w:w="2552"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6,67</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Expected: 12,1</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9,98</w:t>
            </w:r>
          </w:p>
        </w:tc>
        <w:tc>
          <w:tcPr>
            <w:tcW w:w="2693"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Expected: 12</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8,5</w:t>
            </w:r>
          </w:p>
        </w:tc>
        <w:tc>
          <w:tcPr>
            <w:tcW w:w="2410" w:type="dxa"/>
            <w:tcBorders>
              <w:left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5,5</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Expected: 11</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2,3</w:t>
            </w:r>
          </w:p>
        </w:tc>
        <w:tc>
          <w:tcPr>
            <w:tcW w:w="2409" w:type="dxa"/>
            <w:tcBorders>
              <w:lef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20 to 30</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Expected: 32,9</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9,7</w:t>
            </w:r>
          </w:p>
        </w:tc>
      </w:tr>
      <w:tr>
        <w:trPr>
          <w:trHeight w:val="3200"/>
        </w:trPr>
        <w:tc>
          <w:tcPr>
            <w:tcW w:w="2694" w:type="dxa"/>
            <w:tcBorders>
              <w:right w:val="single" w:sz="8" w:space="0" w:color="7BA0CD"/>
            </w:tcBorders>
            <w:shd w:val="clear" w:color="auto" w:fill="auto"/>
          </w:tcPr>
          <w:p>
            <w:pPr>
              <w:spacing w:before="120" w:after="120"/>
              <w:rPr>
                <w:rFonts w:ascii="Times New Roman" w:eastAsia="Times New Roman" w:hAnsi="Times New Roman" w:cs="Times New Roman"/>
                <w:b/>
                <w:bCs/>
                <w:noProof/>
                <w:sz w:val="21"/>
                <w:szCs w:val="21"/>
              </w:rPr>
            </w:pPr>
            <w:r>
              <w:rPr>
                <w:rFonts w:ascii="Times New Roman" w:eastAsia="Times New Roman" w:hAnsi="Times New Roman" w:cs="Times New Roman"/>
                <w:b/>
                <w:bCs/>
                <w:noProof/>
                <w:sz w:val="21"/>
                <w:szCs w:val="21"/>
              </w:rPr>
              <w:t>l) Contribution to achievement of policy objectives</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21,1 billion of new financing supported, reaching 385 772 SMEs with 469 269 loans;</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30,9 billion of investments supported;</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23 countries covered;</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385 772 jobs created/maintained.</w:t>
            </w:r>
          </w:p>
        </w:tc>
        <w:tc>
          <w:tcPr>
            <w:tcW w:w="2552"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235,63 million of new micro-loan financing supported, reaching 19 713eligible final recipients with 20 980 loans;</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 xml:space="preserve">EUR 336,5 million of investments supported; </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18 Member States covered;</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37 038 jobs supported.</w:t>
            </w:r>
          </w:p>
        </w:tc>
        <w:tc>
          <w:tcPr>
            <w:tcW w:w="2693" w:type="dxa"/>
            <w:tcBorders>
              <w:left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 xml:space="preserve">EUR 2,3 billion of new loan financing supported, reaching 4 146 eligible final recipients; </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Nearly EUR 4,7 billion of investments supported;</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17 countries covered.</w:t>
            </w:r>
          </w:p>
        </w:tc>
        <w:tc>
          <w:tcPr>
            <w:tcW w:w="2410" w:type="dxa"/>
            <w:tcBorders>
              <w:left w:val="single" w:sz="8" w:space="0" w:color="7BA0CD"/>
              <w:righ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157,9 million of new financing supported, reaching 12 804 final recipients;</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225,6 million of investments supported;</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20 countries covered.</w:t>
            </w:r>
          </w:p>
          <w:p>
            <w:pPr>
              <w:spacing w:before="60" w:after="120" w:line="240" w:lineRule="auto"/>
              <w:rPr>
                <w:rFonts w:ascii="Times New Roman" w:hAnsi="Times New Roman" w:cs="Times New Roman"/>
                <w:noProof/>
                <w:sz w:val="21"/>
                <w:szCs w:val="21"/>
              </w:rPr>
            </w:pPr>
          </w:p>
        </w:tc>
        <w:tc>
          <w:tcPr>
            <w:tcW w:w="2409" w:type="dxa"/>
            <w:tcBorders>
              <w:left w:val="single" w:sz="8" w:space="0" w:color="7BA0CD"/>
            </w:tcBorders>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5,5 billion of new financing supported, reaching 143 344 final recipients;</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7,8 bn of investments supported;</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21 countries covered.</w:t>
            </w:r>
          </w:p>
          <w:p>
            <w:pPr>
              <w:spacing w:before="60" w:after="120" w:line="240" w:lineRule="auto"/>
              <w:rPr>
                <w:rFonts w:ascii="Times New Roman" w:hAnsi="Times New Roman" w:cs="Times New Roman"/>
                <w:noProof/>
                <w:sz w:val="21"/>
                <w:szCs w:val="21"/>
              </w:rPr>
            </w:pPr>
          </w:p>
        </w:tc>
      </w:tr>
    </w:tbl>
    <w:p>
      <w:pPr>
        <w:rPr>
          <w:rFonts w:ascii="Times New Roman" w:hAnsi="Times New Roman" w:cs="Times New Roman"/>
          <w:noProof/>
        </w:rPr>
      </w:pPr>
    </w:p>
    <w:tbl>
      <w:tblPr>
        <w:tblW w:w="15451" w:type="dxa"/>
        <w:tblInd w:w="-60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3606"/>
        <w:gridCol w:w="3199"/>
        <w:gridCol w:w="2976"/>
        <w:gridCol w:w="2840"/>
        <w:gridCol w:w="2830"/>
      </w:tblGrid>
      <w:tr>
        <w:trPr>
          <w:trHeight w:val="1960"/>
        </w:trPr>
        <w:tc>
          <w:tcPr>
            <w:tcW w:w="3606" w:type="dxa"/>
            <w:shd w:val="clear" w:color="auto" w:fill="4F81BD" w:themeFill="accent1"/>
          </w:tcPr>
          <w:p>
            <w:pPr>
              <w:rPr>
                <w:rFonts w:ascii="Times New Roman" w:hAnsi="Times New Roman" w:cs="Times New Roman"/>
                <w:b/>
                <w:bCs/>
                <w:noProof/>
                <w:color w:val="FFFFFF"/>
                <w:sz w:val="21"/>
                <w:szCs w:val="21"/>
              </w:rPr>
            </w:pPr>
          </w:p>
        </w:tc>
        <w:tc>
          <w:tcPr>
            <w:tcW w:w="3199" w:type="dxa"/>
            <w:shd w:val="clear" w:color="auto" w:fill="4F81BD" w:themeFill="accent1"/>
          </w:tcPr>
          <w:p>
            <w:pPr>
              <w:spacing w:before="60" w:after="120"/>
              <w:rPr>
                <w:rFonts w:ascii="Times New Roman" w:hAnsi="Times New Roman" w:cs="Times New Roman"/>
                <w:b/>
                <w:bCs/>
                <w:noProof/>
                <w:color w:val="FFFFFF"/>
                <w:sz w:val="21"/>
                <w:szCs w:val="21"/>
              </w:rPr>
            </w:pPr>
            <w:bookmarkStart w:id="9" w:name="_Ref387223784"/>
            <w:bookmarkStart w:id="10" w:name="_Toc387228829"/>
            <w:bookmarkStart w:id="11" w:name="_Toc388541891"/>
            <w:bookmarkStart w:id="12" w:name="_Toc393281937"/>
            <w:bookmarkStart w:id="13" w:name="_Toc400446066"/>
            <w:r>
              <w:rPr>
                <w:rFonts w:ascii="Times New Roman" w:hAnsi="Times New Roman" w:cs="Times New Roman"/>
                <w:b/>
                <w:bCs/>
                <w:noProof/>
                <w:color w:val="FFFFFF"/>
                <w:sz w:val="21"/>
                <w:szCs w:val="21"/>
              </w:rPr>
              <w:t>SMEs &amp; Small Midcaps R&amp;I Loans Service under H2020 — InnovFin SMEG</w:t>
            </w:r>
          </w:p>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(V.2.6 SWD)</w:t>
            </w:r>
          </w:p>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Policy DG in charge: RTD</w:t>
            </w:r>
            <w:r>
              <w:rPr>
                <w:rStyle w:val="FootnoteReference"/>
                <w:rFonts w:ascii="Times New Roman" w:hAnsi="Times New Roman" w:cs="Times New Roman"/>
                <w:b/>
                <w:bCs/>
                <w:noProof/>
                <w:color w:val="FFFFFF"/>
                <w:sz w:val="21"/>
                <w:szCs w:val="21"/>
              </w:rPr>
              <w:footnoteReference w:id="8"/>
            </w:r>
            <w:bookmarkEnd w:id="9"/>
            <w:bookmarkEnd w:id="10"/>
            <w:bookmarkEnd w:id="11"/>
            <w:bookmarkEnd w:id="12"/>
            <w:bookmarkEnd w:id="13"/>
          </w:p>
        </w:tc>
        <w:tc>
          <w:tcPr>
            <w:tcW w:w="2976" w:type="dxa"/>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Cultural and Creative Sectors Guarantee Facility – CCSGF</w:t>
            </w:r>
          </w:p>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(V. 2.7 SWD)</w:t>
            </w:r>
          </w:p>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Policy DGs in charge: CNECT and EAC</w:t>
            </w:r>
          </w:p>
        </w:tc>
        <w:tc>
          <w:tcPr>
            <w:tcW w:w="2840" w:type="dxa"/>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Student Loan Guarantee Facility (Erasmus+) — SLGF</w:t>
            </w:r>
          </w:p>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(V.2.8 SWD)</w:t>
            </w:r>
          </w:p>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Policy DG in charge: EAC</w:t>
            </w:r>
          </w:p>
        </w:tc>
        <w:tc>
          <w:tcPr>
            <w:tcW w:w="2830" w:type="dxa"/>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Private Finance for Energy Efficiency Instruments -PF4EE</w:t>
            </w:r>
          </w:p>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(V.2.9 SWD)</w:t>
            </w:r>
          </w:p>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Policy DG in charge: CLIMA</w:t>
            </w:r>
          </w:p>
        </w:tc>
      </w:tr>
      <w:tr>
        <w:trPr>
          <w:trHeight w:val="558"/>
        </w:trPr>
        <w:tc>
          <w:tcPr>
            <w:tcW w:w="3606"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a) ID/basic act</w:t>
            </w:r>
          </w:p>
        </w:tc>
        <w:tc>
          <w:tcPr>
            <w:tcW w:w="3199"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Regulation (EU) No 1291/2013 + 1290/2013</w:t>
            </w:r>
          </w:p>
        </w:tc>
        <w:tc>
          <w:tcPr>
            <w:tcW w:w="297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Regulation (EU) No 1295/2013</w:t>
            </w:r>
          </w:p>
        </w:tc>
        <w:tc>
          <w:tcPr>
            <w:tcW w:w="284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Regulation (EU) No 1288/2013</w:t>
            </w:r>
          </w:p>
        </w:tc>
        <w:tc>
          <w:tcPr>
            <w:tcW w:w="2830" w:type="dxa"/>
            <w:shd w:val="clear" w:color="auto" w:fill="D3DFEE"/>
          </w:tcPr>
          <w:p>
            <w:pPr>
              <w:spacing w:before="60" w:after="120" w:line="240" w:lineRule="auto"/>
              <w:rPr>
                <w:rFonts w:ascii="Times New Roman" w:hAnsi="Times New Roman" w:cs="Times New Roman"/>
                <w:noProof/>
                <w:sz w:val="21"/>
                <w:szCs w:val="21"/>
              </w:rPr>
            </w:pPr>
            <w:r>
              <w:rPr>
                <w:rFonts w:ascii="Times New Roman" w:eastAsia="Times New Roman" w:hAnsi="Times New Roman" w:cs="Times New Roman"/>
                <w:noProof/>
                <w:sz w:val="21"/>
                <w:szCs w:val="21"/>
              </w:rPr>
              <w:t>Regulation (EU) No 1293/2013</w:t>
            </w:r>
          </w:p>
        </w:tc>
      </w:tr>
      <w:tr>
        <w:trPr>
          <w:trHeight w:val="1432"/>
        </w:trPr>
        <w:tc>
          <w:tcPr>
            <w:tcW w:w="3606"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b) Description</w:t>
            </w:r>
          </w:p>
        </w:tc>
        <w:tc>
          <w:tcPr>
            <w:tcW w:w="3199"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Guarantee instrument promoting R&amp;I-driven SMEs’ and small midcaps’ access to risk finance</w:t>
            </w:r>
          </w:p>
        </w:tc>
        <w:tc>
          <w:tcPr>
            <w:tcW w:w="297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Guarantee instrument strengthening the competitiveness of the cultural and creative sector, supporting financial institutions' loans to SMEs active in the CCS sector,</w:t>
            </w:r>
          </w:p>
        </w:tc>
        <w:tc>
          <w:tcPr>
            <w:tcW w:w="2840"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Guarantee instrument supporting mobility, equity and study excellence via loans to mobile students for master’s studies</w:t>
            </w:r>
          </w:p>
        </w:tc>
        <w:tc>
          <w:tcPr>
            <w:tcW w:w="2830"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Guarantee instrument (pilot initiative) aiming at  providing access to adequate and affordable commercial financing for eligible energy efficiency (EE) investments</w:t>
            </w:r>
          </w:p>
        </w:tc>
      </w:tr>
      <w:tr>
        <w:trPr>
          <w:trHeight w:val="506"/>
        </w:trPr>
        <w:tc>
          <w:tcPr>
            <w:tcW w:w="3606"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c) Financial institutions involved</w:t>
            </w:r>
          </w:p>
        </w:tc>
        <w:tc>
          <w:tcPr>
            <w:tcW w:w="3199"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EIF</w:t>
            </w:r>
          </w:p>
        </w:tc>
        <w:tc>
          <w:tcPr>
            <w:tcW w:w="297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EIF</w:t>
            </w:r>
          </w:p>
        </w:tc>
        <w:tc>
          <w:tcPr>
            <w:tcW w:w="284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EIF</w:t>
            </w:r>
          </w:p>
        </w:tc>
        <w:tc>
          <w:tcPr>
            <w:tcW w:w="283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EIB</w:t>
            </w:r>
          </w:p>
        </w:tc>
      </w:tr>
      <w:tr>
        <w:trPr>
          <w:trHeight w:val="684"/>
        </w:trPr>
        <w:tc>
          <w:tcPr>
            <w:tcW w:w="3606"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d) Aggregate budgetary commitments and payments</w:t>
            </w:r>
          </w:p>
        </w:tc>
        <w:tc>
          <w:tcPr>
            <w:tcW w:w="3199" w:type="dxa"/>
            <w:shd w:val="clear" w:color="auto" w:fill="auto"/>
          </w:tcPr>
          <w:p>
            <w:pPr>
              <w:spacing w:before="60" w:after="120" w:line="240" w:lineRule="auto"/>
              <w:rPr>
                <w:rFonts w:ascii="Times New Roman" w:hAnsi="Times New Roman" w:cs="Times New Roman"/>
                <w:noProof/>
                <w:sz w:val="21"/>
                <w:szCs w:val="21"/>
                <w:lang w:val="fr-BE"/>
              </w:rPr>
            </w:pPr>
            <w:r>
              <w:rPr>
                <w:rFonts w:ascii="Times New Roman" w:hAnsi="Times New Roman" w:cs="Times New Roman"/>
                <w:noProof/>
                <w:sz w:val="21"/>
                <w:szCs w:val="21"/>
                <w:lang w:val="fr-BE"/>
              </w:rPr>
              <w:t>EUR 534,5 m</w:t>
            </w:r>
          </w:p>
          <w:p>
            <w:pPr>
              <w:spacing w:before="60" w:after="120" w:line="240" w:lineRule="auto"/>
              <w:rPr>
                <w:rFonts w:ascii="Times New Roman" w:hAnsi="Times New Roman" w:cs="Times New Roman"/>
                <w:noProof/>
                <w:sz w:val="21"/>
                <w:szCs w:val="21"/>
                <w:lang w:val="fr-BE"/>
              </w:rPr>
            </w:pPr>
            <w:r>
              <w:rPr>
                <w:rFonts w:ascii="Times New Roman" w:hAnsi="Times New Roman" w:cs="Times New Roman"/>
                <w:noProof/>
                <w:sz w:val="21"/>
                <w:szCs w:val="21"/>
                <w:lang w:val="fr-BE"/>
              </w:rPr>
              <w:t>EUR 478,2 m</w:t>
            </w:r>
          </w:p>
        </w:tc>
        <w:tc>
          <w:tcPr>
            <w:tcW w:w="297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14,8 m</w:t>
            </w:r>
          </w:p>
          <w:p>
            <w:pPr>
              <w:spacing w:before="60" w:after="120" w:line="240" w:lineRule="auto"/>
              <w:rPr>
                <w:rFonts w:ascii="Times New Roman" w:hAnsi="Times New Roman" w:cs="Times New Roman"/>
                <w:noProof/>
                <w:sz w:val="21"/>
                <w:szCs w:val="21"/>
                <w:lang w:val="fr-BE"/>
              </w:rPr>
            </w:pPr>
            <w:r>
              <w:rPr>
                <w:rFonts w:ascii="Times New Roman" w:hAnsi="Times New Roman" w:cs="Times New Roman"/>
                <w:noProof/>
                <w:sz w:val="21"/>
                <w:szCs w:val="21"/>
              </w:rPr>
              <w:t>EUR 5,98 m</w:t>
            </w:r>
          </w:p>
        </w:tc>
        <w:tc>
          <w:tcPr>
            <w:tcW w:w="2840"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 xml:space="preserve">EUR </w:t>
            </w:r>
            <w:r>
              <w:rPr>
                <w:rFonts w:ascii="Times New Roman" w:eastAsia="Calibri" w:hAnsi="Times New Roman" w:cs="Times New Roman"/>
                <w:noProof/>
                <w:sz w:val="21"/>
                <w:szCs w:val="21"/>
              </w:rPr>
              <w:t>115</w:t>
            </w:r>
            <w:r>
              <w:rPr>
                <w:rFonts w:ascii="Times New Roman" w:hAnsi="Times New Roman" w:cs="Times New Roman"/>
                <w:noProof/>
                <w:sz w:val="21"/>
                <w:szCs w:val="21"/>
              </w:rPr>
              <w:t>,7 m</w:t>
            </w:r>
          </w:p>
          <w:p>
            <w:pPr>
              <w:spacing w:before="60" w:after="120" w:line="240" w:lineRule="auto"/>
              <w:rPr>
                <w:rFonts w:ascii="Times New Roman" w:hAnsi="Times New Roman" w:cs="Times New Roman"/>
                <w:noProof/>
                <w:sz w:val="21"/>
                <w:szCs w:val="21"/>
                <w:lang w:val="fr-BE"/>
              </w:rPr>
            </w:pPr>
            <w:r>
              <w:rPr>
                <w:rFonts w:ascii="Times New Roman" w:hAnsi="Times New Roman" w:cs="Times New Roman"/>
                <w:noProof/>
                <w:sz w:val="21"/>
                <w:szCs w:val="21"/>
              </w:rPr>
              <w:t xml:space="preserve">EUR </w:t>
            </w:r>
            <w:r>
              <w:rPr>
                <w:rFonts w:ascii="Times New Roman" w:eastAsia="Calibri" w:hAnsi="Times New Roman" w:cs="Times New Roman"/>
                <w:noProof/>
                <w:sz w:val="21"/>
                <w:szCs w:val="21"/>
              </w:rPr>
              <w:t>21</w:t>
            </w:r>
            <w:r>
              <w:rPr>
                <w:rFonts w:ascii="Times New Roman" w:hAnsi="Times New Roman" w:cs="Times New Roman"/>
                <w:noProof/>
                <w:sz w:val="21"/>
                <w:szCs w:val="21"/>
              </w:rPr>
              <w:t>,2 m</w:t>
            </w:r>
          </w:p>
        </w:tc>
        <w:tc>
          <w:tcPr>
            <w:tcW w:w="2830"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70,0 m</w:t>
            </w:r>
          </w:p>
          <w:p>
            <w:pPr>
              <w:spacing w:before="60" w:after="120" w:line="240" w:lineRule="auto"/>
              <w:rPr>
                <w:rFonts w:ascii="Times New Roman" w:hAnsi="Times New Roman" w:cs="Times New Roman"/>
                <w:noProof/>
                <w:sz w:val="21"/>
                <w:szCs w:val="21"/>
                <w:lang w:val="fr-BE"/>
              </w:rPr>
            </w:pPr>
            <w:r>
              <w:rPr>
                <w:rFonts w:ascii="Times New Roman" w:hAnsi="Times New Roman" w:cs="Times New Roman"/>
                <w:noProof/>
                <w:sz w:val="21"/>
                <w:szCs w:val="21"/>
              </w:rPr>
              <w:t>EUR 19,1 m</w:t>
            </w:r>
          </w:p>
        </w:tc>
      </w:tr>
      <w:tr>
        <w:trPr>
          <w:trHeight w:val="684"/>
        </w:trPr>
        <w:tc>
          <w:tcPr>
            <w:tcW w:w="3606"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e) Performance</w:t>
            </w:r>
          </w:p>
        </w:tc>
        <w:tc>
          <w:tcPr>
            <w:tcW w:w="3199"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109 agreements signed with 71 financial intermediaries; EUR 8,6 billion expected financing to around 24 000 SMEs and small mid caps,; EUR 1,94 billion achieved financing to   5 682 SMEs and small mid caps.</w:t>
            </w:r>
          </w:p>
        </w:tc>
        <w:tc>
          <w:tcPr>
            <w:tcW w:w="2976"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840"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6 agreements signed for EUR 160,0 million of financing expected for 11 500 final recipients supported by</w:t>
            </w:r>
            <w:r>
              <w:rPr>
                <w:rFonts w:ascii="Times New Roman" w:hAnsi="Times New Roman" w:cs="Times New Roman"/>
                <w:noProof/>
                <w:sz w:val="21"/>
                <w:szCs w:val="21"/>
              </w:rPr>
              <w:tab/>
            </w:r>
            <w:r>
              <w:rPr>
                <w:rFonts w:ascii="Times New Roman" w:hAnsi="Times New Roman" w:cs="Times New Roman"/>
                <w:noProof/>
                <w:sz w:val="21"/>
                <w:szCs w:val="21"/>
              </w:rPr>
              <w:br/>
              <w:t>EUR 25,9 million  guarantee volume</w:t>
            </w:r>
          </w:p>
        </w:tc>
        <w:tc>
          <w:tcPr>
            <w:tcW w:w="2830"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 (6 final recipients ; 6 agreements signed)</w:t>
            </w:r>
          </w:p>
        </w:tc>
      </w:tr>
      <w:tr>
        <w:trPr>
          <w:trHeight w:val="1110"/>
        </w:trPr>
        <w:tc>
          <w:tcPr>
            <w:tcW w:w="3606" w:type="dxa"/>
            <w:shd w:val="clear" w:color="auto" w:fill="4F81BD" w:themeFill="accent1"/>
          </w:tcPr>
          <w:p>
            <w:pPr>
              <w:rPr>
                <w:rFonts w:ascii="Times New Roman" w:hAnsi="Times New Roman" w:cs="Times New Roman"/>
                <w:b/>
                <w:bCs/>
                <w:noProof/>
                <w:color w:val="FFFFFF"/>
                <w:sz w:val="21"/>
                <w:szCs w:val="21"/>
              </w:rPr>
            </w:pPr>
          </w:p>
        </w:tc>
        <w:tc>
          <w:tcPr>
            <w:tcW w:w="3199" w:type="dxa"/>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SMEs &amp; Small Midcaps R&amp;I Loans Service under H2020 — InnovFin SMEG</w:t>
            </w:r>
            <w:r>
              <w:rPr>
                <w:rStyle w:val="FootnoteReference"/>
                <w:rFonts w:ascii="Times New Roman" w:hAnsi="Times New Roman" w:cs="Times New Roman"/>
                <w:b/>
                <w:bCs/>
                <w:noProof/>
                <w:color w:val="FFFFFF"/>
                <w:sz w:val="21"/>
                <w:szCs w:val="21"/>
              </w:rPr>
              <w:footnoteReference w:id="9"/>
            </w:r>
          </w:p>
        </w:tc>
        <w:tc>
          <w:tcPr>
            <w:tcW w:w="2976" w:type="dxa"/>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Cultural and Creative Sectors Guarantee Facility – CCSG</w:t>
            </w:r>
          </w:p>
        </w:tc>
        <w:tc>
          <w:tcPr>
            <w:tcW w:w="2840" w:type="dxa"/>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Student Loan Guarantee Facility (Erasmus+) — SLGF</w:t>
            </w:r>
          </w:p>
        </w:tc>
        <w:tc>
          <w:tcPr>
            <w:tcW w:w="2830" w:type="dxa"/>
            <w:shd w:val="clear" w:color="auto" w:fill="4F81BD" w:themeFill="accent1"/>
          </w:tcPr>
          <w:p>
            <w:pPr>
              <w:spacing w:before="60" w:after="12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Private Finance for Energy Efficiency Instruments -PF4EE</w:t>
            </w:r>
          </w:p>
        </w:tc>
      </w:tr>
      <w:tr>
        <w:tc>
          <w:tcPr>
            <w:tcW w:w="3606"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f) Evaluation of the use of any amounts returned to the instrument</w:t>
            </w:r>
          </w:p>
        </w:tc>
        <w:tc>
          <w:tcPr>
            <w:tcW w:w="3199"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1,89 m</w:t>
            </w:r>
          </w:p>
        </w:tc>
        <w:tc>
          <w:tcPr>
            <w:tcW w:w="297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840"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830"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r>
      <w:tr>
        <w:tc>
          <w:tcPr>
            <w:tcW w:w="3606"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g) Balance of fiduciary account</w:t>
            </w:r>
            <w:r>
              <w:rPr>
                <w:rStyle w:val="FootnoteReference"/>
                <w:rFonts w:ascii="Times New Roman" w:hAnsi="Times New Roman" w:cs="Times New Roman"/>
                <w:b/>
                <w:bCs/>
                <w:noProof/>
                <w:sz w:val="21"/>
                <w:szCs w:val="21"/>
              </w:rPr>
              <w:footnoteReference w:id="10"/>
            </w:r>
          </w:p>
        </w:tc>
        <w:tc>
          <w:tcPr>
            <w:tcW w:w="3199"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467 m</w:t>
            </w:r>
          </w:p>
        </w:tc>
        <w:tc>
          <w:tcPr>
            <w:tcW w:w="297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5,67 m</w:t>
            </w:r>
          </w:p>
        </w:tc>
        <w:tc>
          <w:tcPr>
            <w:tcW w:w="284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15,9 m</w:t>
            </w:r>
          </w:p>
        </w:tc>
        <w:tc>
          <w:tcPr>
            <w:tcW w:w="283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17,99 m</w:t>
            </w:r>
            <w:r>
              <w:rPr>
                <w:rFonts w:ascii="Times New Roman" w:hAnsi="Times New Roman" w:cs="Times New Roman"/>
                <w:noProof/>
                <w:highlight w:val="yellow"/>
              </w:rPr>
              <w:t xml:space="preserve"> </w:t>
            </w:r>
          </w:p>
        </w:tc>
      </w:tr>
      <w:tr>
        <w:tc>
          <w:tcPr>
            <w:tcW w:w="3606"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h) Revenues and repayments</w:t>
            </w:r>
          </w:p>
        </w:tc>
        <w:tc>
          <w:tcPr>
            <w:tcW w:w="3199" w:type="dxa"/>
            <w:shd w:val="clear" w:color="auto" w:fill="auto"/>
          </w:tcPr>
          <w:p>
            <w:pPr>
              <w:spacing w:before="60" w:after="120" w:line="240" w:lineRule="auto"/>
              <w:rPr>
                <w:rFonts w:ascii="Times New Roman" w:hAnsi="Times New Roman" w:cs="Times New Roman"/>
                <w:noProof/>
                <w:sz w:val="21"/>
                <w:szCs w:val="21"/>
                <w:lang w:val="fr-BE"/>
              </w:rPr>
            </w:pPr>
            <w:r>
              <w:rPr>
                <w:rFonts w:ascii="Times New Roman" w:hAnsi="Times New Roman" w:cs="Times New Roman"/>
                <w:noProof/>
                <w:sz w:val="21"/>
                <w:szCs w:val="21"/>
              </w:rPr>
              <w:t>EUR 2,17 m</w:t>
            </w:r>
          </w:p>
        </w:tc>
        <w:tc>
          <w:tcPr>
            <w:tcW w:w="297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w:t>
            </w:r>
          </w:p>
        </w:tc>
        <w:tc>
          <w:tcPr>
            <w:tcW w:w="2840"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0,1 m</w:t>
            </w:r>
          </w:p>
        </w:tc>
        <w:tc>
          <w:tcPr>
            <w:tcW w:w="2830"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0,006 m</w:t>
            </w:r>
          </w:p>
        </w:tc>
      </w:tr>
      <w:tr>
        <w:tc>
          <w:tcPr>
            <w:tcW w:w="3606"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i) Value of equity  investments</w:t>
            </w:r>
          </w:p>
        </w:tc>
        <w:tc>
          <w:tcPr>
            <w:tcW w:w="3199"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97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84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83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r>
      <w:tr>
        <w:tc>
          <w:tcPr>
            <w:tcW w:w="3606"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j) Impairments / called guarantees</w:t>
            </w:r>
          </w:p>
        </w:tc>
        <w:tc>
          <w:tcPr>
            <w:tcW w:w="3199"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2,3 m</w:t>
            </w:r>
          </w:p>
        </w:tc>
        <w:tc>
          <w:tcPr>
            <w:tcW w:w="297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w:t>
            </w:r>
          </w:p>
        </w:tc>
        <w:tc>
          <w:tcPr>
            <w:tcW w:w="2840"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w:t>
            </w:r>
          </w:p>
        </w:tc>
        <w:tc>
          <w:tcPr>
            <w:tcW w:w="2830"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w:t>
            </w:r>
          </w:p>
        </w:tc>
      </w:tr>
      <w:tr>
        <w:tc>
          <w:tcPr>
            <w:tcW w:w="3606"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k) Leverage effect</w:t>
            </w:r>
          </w:p>
        </w:tc>
        <w:tc>
          <w:tcPr>
            <w:tcW w:w="3199"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9</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Expected: 9,6</w:t>
            </w:r>
          </w:p>
          <w:p>
            <w:pPr>
              <w:autoSpaceDE w:val="0"/>
              <w:autoSpaceDN w:val="0"/>
              <w:adjustRightInd w:val="0"/>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2,2</w:t>
            </w:r>
          </w:p>
        </w:tc>
        <w:tc>
          <w:tcPr>
            <w:tcW w:w="297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5,7</w:t>
            </w:r>
          </w:p>
        </w:tc>
        <w:tc>
          <w:tcPr>
            <w:tcW w:w="284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5,7</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Expected: 1,4</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0,03</w:t>
            </w:r>
          </w:p>
        </w:tc>
        <w:tc>
          <w:tcPr>
            <w:tcW w:w="2830"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8</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 13</w:t>
            </w:r>
          </w:p>
        </w:tc>
      </w:tr>
      <w:tr>
        <w:trPr>
          <w:trHeight w:val="761"/>
        </w:trPr>
        <w:tc>
          <w:tcPr>
            <w:tcW w:w="3606" w:type="dxa"/>
            <w:shd w:val="clear" w:color="auto" w:fill="auto"/>
          </w:tcPr>
          <w:p>
            <w:pPr>
              <w:spacing w:before="60" w:after="120"/>
              <w:rPr>
                <w:rFonts w:ascii="Times New Roman" w:hAnsi="Times New Roman" w:cs="Times New Roman"/>
                <w:b/>
                <w:bCs/>
                <w:i/>
                <w:noProof/>
                <w:sz w:val="21"/>
                <w:szCs w:val="21"/>
              </w:rPr>
            </w:pPr>
            <w:r>
              <w:rPr>
                <w:rFonts w:ascii="Times New Roman" w:hAnsi="Times New Roman" w:cs="Times New Roman"/>
                <w:b/>
                <w:bCs/>
                <w:noProof/>
                <w:sz w:val="21"/>
                <w:szCs w:val="21"/>
              </w:rPr>
              <w:t>l) Contribution to achievement of policy objectives</w:t>
            </w:r>
          </w:p>
        </w:tc>
        <w:tc>
          <w:tcPr>
            <w:tcW w:w="3199"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1 944  m of new loan financing supported, reaching 5 682 final recipients;</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2,8 bn of investments supported.</w:t>
            </w:r>
          </w:p>
          <w:p>
            <w:pPr>
              <w:spacing w:before="60" w:after="120" w:line="240" w:lineRule="auto"/>
              <w:rPr>
                <w:rFonts w:ascii="Times New Roman" w:hAnsi="Times New Roman" w:cs="Times New Roman"/>
                <w:noProof/>
                <w:sz w:val="21"/>
                <w:szCs w:val="21"/>
              </w:rPr>
            </w:pPr>
          </w:p>
        </w:tc>
        <w:tc>
          <w:tcPr>
            <w:tcW w:w="297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689 m of targeted new financing for the cultural and creative industries.</w:t>
            </w:r>
          </w:p>
        </w:tc>
        <w:tc>
          <w:tcPr>
            <w:tcW w:w="2840"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3,1 m  of financing already made for 247 Master students;</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Support transnational mobilty for Master students.</w:t>
            </w:r>
          </w:p>
        </w:tc>
        <w:tc>
          <w:tcPr>
            <w:tcW w:w="2830"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Targeted financing by EIB amounts to 430 m, with associated EE targeted investment  around EUR 540 m;</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Also provides a piloting experience for possible upscaling.</w:t>
            </w:r>
          </w:p>
        </w:tc>
      </w:tr>
    </w:tbl>
    <w:p>
      <w:pPr>
        <w:rPr>
          <w:rFonts w:ascii="Times New Roman" w:hAnsi="Times New Roman" w:cs="Times New Roman"/>
          <w:noProof/>
        </w:rPr>
      </w:pPr>
      <w:r>
        <w:rPr>
          <w:rFonts w:ascii="Times New Roman" w:hAnsi="Times New Roman" w:cs="Times New Roman"/>
          <w:noProof/>
        </w:rPr>
        <w:br w:type="page"/>
      </w:r>
    </w:p>
    <w:p>
      <w:pPr>
        <w:pStyle w:val="Heading4"/>
        <w:spacing w:before="120"/>
        <w:rPr>
          <w:noProof/>
          <w:sz w:val="22"/>
          <w:szCs w:val="22"/>
        </w:rPr>
      </w:pPr>
      <w:bookmarkStart w:id="14" w:name="_Toc399517420"/>
      <w:r>
        <w:rPr>
          <w:noProof/>
          <w:sz w:val="22"/>
          <w:szCs w:val="22"/>
        </w:rPr>
        <w:t>RISK-SHARING INSTRUMENTS</w:t>
      </w:r>
      <w:bookmarkEnd w:id="14"/>
    </w:p>
    <w:tbl>
      <w:tblPr>
        <w:tblStyle w:val="MediumShading1-Accent1"/>
        <w:tblW w:w="5433" w:type="pct"/>
        <w:tblInd w:w="-601" w:type="dxa"/>
        <w:tblBorders>
          <w:insideH w:val="none" w:sz="0" w:space="0" w:color="auto"/>
          <w:insideV w:val="single" w:sz="8" w:space="0" w:color="7BA0CD"/>
        </w:tblBorders>
        <w:tblLook w:val="04A0" w:firstRow="1" w:lastRow="0" w:firstColumn="1" w:lastColumn="0" w:noHBand="0" w:noVBand="1"/>
      </w:tblPr>
      <w:tblGrid>
        <w:gridCol w:w="3353"/>
        <w:gridCol w:w="2176"/>
        <w:gridCol w:w="2410"/>
        <w:gridCol w:w="2551"/>
        <w:gridCol w:w="2268"/>
        <w:gridCol w:w="2693"/>
      </w:tblGrid>
      <w:tr>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4F81BD" w:themeFill="accent1"/>
          </w:tcPr>
          <w:p>
            <w:pPr>
              <w:spacing w:line="276" w:lineRule="auto"/>
              <w:rPr>
                <w:rFonts w:ascii="Times New Roman" w:hAnsi="Times New Roman"/>
                <w:b w:val="0"/>
                <w:bCs w:val="0"/>
                <w:noProof/>
                <w:sz w:val="21"/>
                <w:szCs w:val="21"/>
              </w:rPr>
            </w:pPr>
          </w:p>
        </w:tc>
        <w:tc>
          <w:tcPr>
            <w:tcW w:w="2176" w:type="dxa"/>
            <w:tcBorders>
              <w:left w:val="single" w:sz="8" w:space="0" w:color="7BA0CD"/>
              <w:right w:val="single" w:sz="8" w:space="0" w:color="7BA0CD"/>
            </w:tcBorders>
            <w:shd w:val="clear" w:color="auto" w:fill="4F81BD" w:themeFill="accent1"/>
          </w:tcPr>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bCs w:val="0"/>
                <w:noProof/>
                <w:sz w:val="21"/>
                <w:szCs w:val="21"/>
              </w:rPr>
              <w:t>Risk-Sharing Finance Facility –RSFF</w:t>
            </w:r>
          </w:p>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bCs w:val="0"/>
                <w:noProof/>
                <w:sz w:val="21"/>
                <w:szCs w:val="21"/>
              </w:rPr>
              <w:t>(V.3.1 SWD)</w:t>
            </w:r>
          </w:p>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bCs w:val="0"/>
                <w:noProof/>
                <w:sz w:val="21"/>
                <w:szCs w:val="21"/>
              </w:rPr>
              <w:t>Policy DG in charge: RTD</w:t>
            </w:r>
          </w:p>
        </w:tc>
        <w:tc>
          <w:tcPr>
            <w:tcW w:w="2410" w:type="dxa"/>
            <w:tcBorders>
              <w:left w:val="single" w:sz="8" w:space="0" w:color="7BA0CD"/>
              <w:right w:val="single" w:sz="8" w:space="0" w:color="7BA0CD"/>
            </w:tcBorders>
            <w:shd w:val="clear" w:color="auto" w:fill="4F81BD" w:themeFill="accent1"/>
          </w:tcPr>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bCs w:val="0"/>
                <w:noProof/>
                <w:sz w:val="21"/>
                <w:szCs w:val="21"/>
              </w:rPr>
              <w:t>Horizon 2020 Loan Services for R&amp;I Facility  — InnovFin</w:t>
            </w:r>
          </w:p>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bCs w:val="0"/>
                <w:noProof/>
                <w:sz w:val="21"/>
                <w:szCs w:val="21"/>
              </w:rPr>
              <w:t>(V.3.2 SWD)</w:t>
            </w:r>
          </w:p>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bCs w:val="0"/>
                <w:noProof/>
                <w:sz w:val="21"/>
                <w:szCs w:val="21"/>
              </w:rPr>
              <w:t>Policy DG in charge: RTD</w:t>
            </w:r>
          </w:p>
        </w:tc>
        <w:tc>
          <w:tcPr>
            <w:tcW w:w="2551" w:type="dxa"/>
            <w:tcBorders>
              <w:left w:val="single" w:sz="8" w:space="0" w:color="7BA0CD"/>
              <w:right w:val="single" w:sz="8" w:space="0" w:color="7BA0CD"/>
            </w:tcBorders>
            <w:shd w:val="clear" w:color="auto" w:fill="4F81BD" w:themeFill="accent1"/>
          </w:tcPr>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szCs w:val="21"/>
              </w:rPr>
              <w:t>Risk Sharing Debt Instrument under the Connecting Europe Facility – CEF DI</w:t>
            </w:r>
          </w:p>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szCs w:val="21"/>
              </w:rPr>
              <w:t>(V. 3.3 SWD)</w:t>
            </w:r>
          </w:p>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noProof/>
                <w:sz w:val="21"/>
                <w:szCs w:val="21"/>
              </w:rPr>
              <w:t>Policy DGs in charge:</w:t>
            </w:r>
          </w:p>
          <w:p>
            <w:pPr>
              <w:spacing w:before="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MOVE, ENER, CNECT</w:t>
            </w:r>
          </w:p>
        </w:tc>
        <w:tc>
          <w:tcPr>
            <w:tcW w:w="2268" w:type="dxa"/>
            <w:tcBorders>
              <w:left w:val="single" w:sz="8" w:space="0" w:color="7BA0CD"/>
              <w:right w:val="single" w:sz="8" w:space="0" w:color="7BA0CD"/>
            </w:tcBorders>
            <w:shd w:val="clear" w:color="auto" w:fill="4F81BD" w:themeFill="accent1"/>
          </w:tcPr>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bCs w:val="0"/>
                <w:noProof/>
                <w:sz w:val="21"/>
                <w:szCs w:val="21"/>
              </w:rPr>
              <w:t>Natural Capital Financing Facility — NCFF</w:t>
            </w:r>
          </w:p>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bCs w:val="0"/>
                <w:noProof/>
                <w:sz w:val="21"/>
                <w:szCs w:val="21"/>
              </w:rPr>
              <w:t>(V.3.4 SWD)</w:t>
            </w:r>
            <w:r>
              <w:rPr>
                <w:rFonts w:ascii="Times New Roman" w:hAnsi="Times New Roman"/>
                <w:bCs w:val="0"/>
                <w:noProof/>
                <w:sz w:val="21"/>
                <w:szCs w:val="21"/>
              </w:rPr>
              <w:br/>
              <w:t>Policy DGs in charge: ENV/ CLIMA</w:t>
            </w:r>
          </w:p>
        </w:tc>
        <w:tc>
          <w:tcPr>
            <w:tcW w:w="2693" w:type="dxa"/>
            <w:tcBorders>
              <w:left w:val="single" w:sz="8" w:space="0" w:color="7BA0CD"/>
            </w:tcBorders>
            <w:shd w:val="clear" w:color="auto" w:fill="4F81BD" w:themeFill="accent1"/>
          </w:tcPr>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color w:val="FFFFFF" w:themeColor="background1"/>
                <w:sz w:val="21"/>
                <w:szCs w:val="21"/>
              </w:rPr>
            </w:pPr>
            <w:r>
              <w:rPr>
                <w:rFonts w:ascii="Times New Roman" w:hAnsi="Times New Roman"/>
                <w:bCs w:val="0"/>
                <w:noProof/>
                <w:color w:val="FFFFFF" w:themeColor="background1"/>
                <w:sz w:val="21"/>
                <w:szCs w:val="21"/>
              </w:rPr>
              <w:t>SME Initiative</w:t>
            </w:r>
          </w:p>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color w:val="FFFFFF" w:themeColor="background1"/>
                <w:sz w:val="21"/>
                <w:szCs w:val="21"/>
              </w:rPr>
            </w:pPr>
            <w:r>
              <w:rPr>
                <w:rFonts w:ascii="Times New Roman" w:hAnsi="Times New Roman"/>
                <w:bCs w:val="0"/>
                <w:noProof/>
                <w:color w:val="FFFFFF" w:themeColor="background1"/>
                <w:sz w:val="21"/>
                <w:szCs w:val="21"/>
              </w:rPr>
              <w:t>(V.3.5 SWD)</w:t>
            </w:r>
          </w:p>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bCs w:val="0"/>
                <w:noProof/>
                <w:color w:val="FFFFFF" w:themeColor="background1"/>
                <w:sz w:val="21"/>
                <w:szCs w:val="21"/>
              </w:rPr>
              <w:t>Policy DGs in charge: ECFIN, RTD, GROW, REGIO, AGRI</w:t>
            </w:r>
          </w:p>
        </w:tc>
      </w:tr>
      <w:tr>
        <w:trPr>
          <w:cnfStyle w:val="000000100000" w:firstRow="0" w:lastRow="0" w:firstColumn="0" w:lastColumn="0" w:oddVBand="0" w:evenVBand="0" w:oddHBand="1" w:evenHBand="0" w:firstRowFirstColumn="0" w:firstRowLastColumn="0" w:lastRowFirstColumn="0" w:lastRowLastColumn="0"/>
          <w:trHeight w:val="1217"/>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tcPr>
          <w:p>
            <w:pPr>
              <w:spacing w:before="60" w:line="276" w:lineRule="auto"/>
              <w:rPr>
                <w:rFonts w:ascii="Times New Roman" w:hAnsi="Times New Roman"/>
                <w:bCs w:val="0"/>
                <w:noProof/>
                <w:sz w:val="21"/>
                <w:szCs w:val="21"/>
              </w:rPr>
            </w:pPr>
            <w:r>
              <w:rPr>
                <w:rFonts w:ascii="Times New Roman" w:hAnsi="Times New Roman"/>
                <w:bCs w:val="0"/>
                <w:noProof/>
                <w:sz w:val="21"/>
                <w:szCs w:val="21"/>
              </w:rPr>
              <w:t>a) ID/basic act</w:t>
            </w:r>
          </w:p>
        </w:tc>
        <w:tc>
          <w:tcPr>
            <w:tcW w:w="2176"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Decision No 1982/2006/EC</w:t>
            </w:r>
          </w:p>
        </w:tc>
        <w:tc>
          <w:tcPr>
            <w:tcW w:w="2410"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Regulation (EU) No 1291/2013 + 1290/2013</w:t>
            </w:r>
          </w:p>
        </w:tc>
        <w:tc>
          <w:tcPr>
            <w:tcW w:w="2551"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Regulation (EU)</w:t>
            </w:r>
            <w:r>
              <w:rPr>
                <w:rFonts w:ascii="Times New Roman" w:hAnsi="Times New Roman"/>
                <w:noProof/>
                <w:sz w:val="21"/>
                <w:szCs w:val="21"/>
              </w:rPr>
              <w:br/>
              <w:t>No 1316/2013</w:t>
            </w:r>
          </w:p>
        </w:tc>
        <w:tc>
          <w:tcPr>
            <w:tcW w:w="2268"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lang w:val="pt-PT"/>
              </w:rPr>
            </w:pPr>
            <w:r>
              <w:rPr>
                <w:rFonts w:ascii="Times New Roman" w:hAnsi="Times New Roman"/>
                <w:noProof/>
                <w:sz w:val="21"/>
                <w:szCs w:val="21"/>
              </w:rPr>
              <w:t>Regulation (EU) No 1293/2013</w:t>
            </w:r>
          </w:p>
        </w:tc>
        <w:tc>
          <w:tcPr>
            <w:tcW w:w="2693" w:type="dxa"/>
            <w:tcBorders>
              <w:lef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lang w:val="pt-PT"/>
              </w:rPr>
            </w:pPr>
            <w:r>
              <w:rPr>
                <w:rFonts w:ascii="Times New Roman" w:hAnsi="Times New Roman"/>
                <w:noProof/>
                <w:sz w:val="21"/>
                <w:szCs w:val="21"/>
                <w:lang w:val="pt-PT"/>
              </w:rPr>
              <w:t>Regulations (EU) No 1287/2013, No1291/2013 and 1303/2013</w:t>
            </w:r>
          </w:p>
        </w:tc>
      </w:tr>
      <w:tr>
        <w:trPr>
          <w:cnfStyle w:val="000000010000" w:firstRow="0" w:lastRow="0" w:firstColumn="0" w:lastColumn="0" w:oddVBand="0" w:evenVBand="0" w:oddHBand="0" w:evenHBand="1" w:firstRowFirstColumn="0" w:firstRowLastColumn="0" w:lastRowFirstColumn="0" w:lastRowLastColumn="0"/>
          <w:trHeight w:val="1976"/>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tcPr>
          <w:p>
            <w:pPr>
              <w:spacing w:before="60" w:line="276" w:lineRule="auto"/>
              <w:rPr>
                <w:rFonts w:ascii="Times New Roman" w:hAnsi="Times New Roman"/>
                <w:bCs w:val="0"/>
                <w:noProof/>
                <w:sz w:val="21"/>
                <w:szCs w:val="21"/>
              </w:rPr>
            </w:pPr>
            <w:r>
              <w:rPr>
                <w:rFonts w:ascii="Times New Roman" w:hAnsi="Times New Roman"/>
                <w:bCs w:val="0"/>
                <w:noProof/>
                <w:sz w:val="21"/>
                <w:szCs w:val="21"/>
              </w:rPr>
              <w:t>b) Description</w:t>
            </w:r>
          </w:p>
        </w:tc>
        <w:tc>
          <w:tcPr>
            <w:tcW w:w="2176" w:type="dxa"/>
            <w:tcBorders>
              <w:left w:val="single" w:sz="8" w:space="0" w:color="7BA0CD"/>
              <w:right w:val="single" w:sz="8" w:space="0" w:color="7BA0CD"/>
            </w:tcBorders>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Debt financing instrument improving access to risk finance for final RDI recipients</w:t>
            </w:r>
          </w:p>
        </w:tc>
        <w:tc>
          <w:tcPr>
            <w:tcW w:w="2410" w:type="dxa"/>
            <w:tcBorders>
              <w:left w:val="single" w:sz="8" w:space="0" w:color="7BA0CD"/>
              <w:right w:val="single" w:sz="8" w:space="0" w:color="7BA0CD"/>
            </w:tcBorders>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Debt financing instrument improving access to debt financing for final recipients investing in R&amp;I</w:t>
            </w:r>
          </w:p>
        </w:tc>
        <w:tc>
          <w:tcPr>
            <w:tcW w:w="2551" w:type="dxa"/>
            <w:tcBorders>
              <w:left w:val="single" w:sz="8" w:space="0" w:color="7BA0CD"/>
              <w:right w:val="single" w:sz="8" w:space="0" w:color="7BA0CD"/>
            </w:tcBorders>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Risk-sharing instrument for loans/guarantees/project bonds aiming at facilitating infrastructure projects' financing</w:t>
            </w:r>
          </w:p>
        </w:tc>
        <w:tc>
          <w:tcPr>
            <w:tcW w:w="2268" w:type="dxa"/>
            <w:tcBorders>
              <w:left w:val="single" w:sz="8" w:space="0" w:color="7BA0CD"/>
              <w:right w:val="single" w:sz="8" w:space="0" w:color="7BA0CD"/>
            </w:tcBorders>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Risk-sharing instrument to finance revenue-generating investments in natural capital</w:t>
            </w:r>
          </w:p>
        </w:tc>
        <w:tc>
          <w:tcPr>
            <w:tcW w:w="2693" w:type="dxa"/>
            <w:tcBorders>
              <w:left w:val="single" w:sz="8" w:space="0" w:color="7BA0CD"/>
            </w:tcBorders>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Risk-sharing instrument to complement and exploit synergies between existing national and EU SME support programmes, generating additional lending to SMEs</w:t>
            </w:r>
          </w:p>
        </w:tc>
      </w:tr>
      <w:tr>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tcPr>
          <w:p>
            <w:pPr>
              <w:spacing w:before="60" w:line="276" w:lineRule="auto"/>
              <w:rPr>
                <w:rFonts w:ascii="Times New Roman" w:hAnsi="Times New Roman"/>
                <w:bCs w:val="0"/>
                <w:noProof/>
                <w:sz w:val="21"/>
                <w:szCs w:val="21"/>
              </w:rPr>
            </w:pPr>
            <w:r>
              <w:rPr>
                <w:rFonts w:ascii="Times New Roman" w:hAnsi="Times New Roman"/>
                <w:bCs w:val="0"/>
                <w:noProof/>
                <w:sz w:val="21"/>
                <w:szCs w:val="21"/>
              </w:rPr>
              <w:t>c) Financial institutions involved</w:t>
            </w:r>
          </w:p>
        </w:tc>
        <w:tc>
          <w:tcPr>
            <w:tcW w:w="2176"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EIB</w:t>
            </w:r>
          </w:p>
        </w:tc>
        <w:tc>
          <w:tcPr>
            <w:tcW w:w="2410"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EIB</w:t>
            </w:r>
          </w:p>
        </w:tc>
        <w:tc>
          <w:tcPr>
            <w:tcW w:w="2551"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EIB</w:t>
            </w:r>
          </w:p>
        </w:tc>
        <w:tc>
          <w:tcPr>
            <w:tcW w:w="2268"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EIB</w:t>
            </w:r>
          </w:p>
        </w:tc>
        <w:tc>
          <w:tcPr>
            <w:tcW w:w="2693" w:type="dxa"/>
            <w:tcBorders>
              <w:lef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EIB, EIF</w:t>
            </w:r>
          </w:p>
        </w:tc>
      </w:tr>
      <w:tr>
        <w:trPr>
          <w:cnfStyle w:val="000000010000" w:firstRow="0" w:lastRow="0" w:firstColumn="0" w:lastColumn="0" w:oddVBand="0" w:evenVBand="0" w:oddHBand="0" w:evenHBand="1"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tcPr>
          <w:p>
            <w:pPr>
              <w:spacing w:before="60" w:line="276" w:lineRule="auto"/>
              <w:rPr>
                <w:rFonts w:ascii="Times New Roman" w:hAnsi="Times New Roman"/>
                <w:bCs w:val="0"/>
                <w:noProof/>
                <w:sz w:val="21"/>
                <w:szCs w:val="21"/>
              </w:rPr>
            </w:pPr>
            <w:r>
              <w:rPr>
                <w:rFonts w:ascii="Times New Roman" w:hAnsi="Times New Roman"/>
                <w:bCs w:val="0"/>
                <w:noProof/>
                <w:sz w:val="21"/>
                <w:szCs w:val="21"/>
              </w:rPr>
              <w:t>d) Aggregate budgetary commitments and payments</w:t>
            </w:r>
          </w:p>
        </w:tc>
        <w:tc>
          <w:tcPr>
            <w:tcW w:w="2176" w:type="dxa"/>
            <w:tcBorders>
              <w:left w:val="single" w:sz="8" w:space="0" w:color="7BA0CD"/>
              <w:right w:val="single" w:sz="8" w:space="0" w:color="7BA0CD"/>
            </w:tcBorders>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960,7 m</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960,7 m</w:t>
            </w:r>
          </w:p>
        </w:tc>
        <w:tc>
          <w:tcPr>
            <w:tcW w:w="2410" w:type="dxa"/>
            <w:tcBorders>
              <w:left w:val="single" w:sz="8" w:space="0" w:color="7BA0CD"/>
              <w:right w:val="single" w:sz="8" w:space="0" w:color="7BA0CD"/>
            </w:tcBorders>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796 m</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786 m</w:t>
            </w:r>
          </w:p>
        </w:tc>
        <w:tc>
          <w:tcPr>
            <w:tcW w:w="2551" w:type="dxa"/>
            <w:tcBorders>
              <w:left w:val="single" w:sz="8" w:space="0" w:color="7BA0CD"/>
              <w:right w:val="single" w:sz="8" w:space="0" w:color="7BA0CD"/>
            </w:tcBorders>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688,7 m</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 xml:space="preserve">EUR 479,4 m </w:t>
            </w:r>
          </w:p>
        </w:tc>
        <w:tc>
          <w:tcPr>
            <w:tcW w:w="2268" w:type="dxa"/>
            <w:tcBorders>
              <w:left w:val="single" w:sz="8" w:space="0" w:color="7BA0CD"/>
              <w:right w:val="single" w:sz="8" w:space="0" w:color="7BA0CD"/>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50 m</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11,7 m</w:t>
            </w:r>
          </w:p>
        </w:tc>
        <w:tc>
          <w:tcPr>
            <w:tcW w:w="2693" w:type="dxa"/>
            <w:tcBorders>
              <w:left w:val="single" w:sz="8" w:space="0" w:color="7BA0CD"/>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23,3  m</w:t>
            </w:r>
            <w:r>
              <w:rPr>
                <w:rStyle w:val="FootnoteReference"/>
                <w:rFonts w:ascii="Times New Roman" w:hAnsi="Times New Roman"/>
                <w:noProof/>
                <w:sz w:val="21"/>
                <w:szCs w:val="21"/>
              </w:rPr>
              <w:footnoteReference w:id="11"/>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19,3 m</w:t>
            </w:r>
          </w:p>
        </w:tc>
      </w:tr>
      <w:tr>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4F81BD" w:themeFill="accent1"/>
          </w:tcPr>
          <w:p>
            <w:pPr>
              <w:spacing w:before="60" w:line="276" w:lineRule="auto"/>
              <w:rPr>
                <w:rFonts w:ascii="Times New Roman" w:hAnsi="Times New Roman"/>
                <w:b w:val="0"/>
                <w:bCs w:val="0"/>
                <w:noProof/>
                <w:sz w:val="21"/>
                <w:szCs w:val="21"/>
              </w:rPr>
            </w:pPr>
          </w:p>
        </w:tc>
        <w:tc>
          <w:tcPr>
            <w:tcW w:w="2176" w:type="dxa"/>
            <w:tcBorders>
              <w:left w:val="single" w:sz="8" w:space="0" w:color="7BA0CD"/>
              <w:right w:val="single" w:sz="8" w:space="0" w:color="7BA0CD"/>
            </w:tcBorders>
            <w:shd w:val="clear" w:color="auto" w:fill="4F81BD" w:themeFill="accent1"/>
          </w:tcPr>
          <w:p>
            <w:pPr>
              <w:spacing w:before="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szCs w:val="21"/>
              </w:rPr>
              <w:t>Risk-Sharing Finance Facility –RSFF</w:t>
            </w:r>
          </w:p>
        </w:tc>
        <w:tc>
          <w:tcPr>
            <w:tcW w:w="2410" w:type="dxa"/>
            <w:tcBorders>
              <w:left w:val="single" w:sz="8" w:space="0" w:color="7BA0CD"/>
              <w:right w:val="single" w:sz="8" w:space="0" w:color="7BA0CD"/>
            </w:tcBorders>
            <w:shd w:val="clear" w:color="auto" w:fill="4F81BD" w:themeFill="accent1"/>
          </w:tcPr>
          <w:p>
            <w:pPr>
              <w:spacing w:before="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szCs w:val="21"/>
              </w:rPr>
              <w:t>Horizon 2020 Loan Services for R&amp;I Facility  — InnovFin</w:t>
            </w:r>
          </w:p>
          <w:p>
            <w:pPr>
              <w:spacing w:before="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color w:val="FFFFFF"/>
                <w:sz w:val="21"/>
                <w:szCs w:val="21"/>
              </w:rPr>
            </w:pPr>
          </w:p>
        </w:tc>
        <w:tc>
          <w:tcPr>
            <w:tcW w:w="2551" w:type="dxa"/>
            <w:tcBorders>
              <w:left w:val="single" w:sz="8" w:space="0" w:color="7BA0CD"/>
              <w:right w:val="single" w:sz="8" w:space="0" w:color="7BA0CD"/>
            </w:tcBorders>
            <w:shd w:val="clear" w:color="auto" w:fill="4F81BD" w:themeFill="accent1"/>
          </w:tcPr>
          <w:p>
            <w:pPr>
              <w:spacing w:before="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szCs w:val="21"/>
              </w:rPr>
              <w:t>Risk Sharing Debt Instrument under the Connecting Europe Facility – CEF DI</w:t>
            </w:r>
          </w:p>
        </w:tc>
        <w:tc>
          <w:tcPr>
            <w:tcW w:w="2268" w:type="dxa"/>
            <w:tcBorders>
              <w:left w:val="single" w:sz="8" w:space="0" w:color="7BA0CD"/>
              <w:right w:val="single" w:sz="8" w:space="0" w:color="7BA0CD"/>
            </w:tcBorders>
            <w:shd w:val="clear" w:color="auto" w:fill="4F81BD" w:themeFill="accent1"/>
          </w:tcPr>
          <w:p>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szCs w:val="21"/>
              </w:rPr>
              <w:t>Natural Capital Financing Facility — NCFF</w:t>
            </w:r>
          </w:p>
        </w:tc>
        <w:tc>
          <w:tcPr>
            <w:tcW w:w="2693" w:type="dxa"/>
            <w:tcBorders>
              <w:left w:val="single" w:sz="8" w:space="0" w:color="7BA0CD"/>
            </w:tcBorders>
            <w:shd w:val="clear" w:color="auto" w:fill="4F81BD" w:themeFill="accent1"/>
          </w:tcPr>
          <w:p>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FFFFFF" w:themeColor="background1"/>
                <w:sz w:val="22"/>
                <w:szCs w:val="22"/>
                <w:highlight w:val="red"/>
              </w:rPr>
            </w:pPr>
            <w:r>
              <w:rPr>
                <w:rFonts w:ascii="Times New Roman" w:hAnsi="Times New Roman"/>
                <w:b/>
                <w:noProof/>
                <w:color w:val="FFFFFF"/>
                <w:sz w:val="21"/>
                <w:szCs w:val="21"/>
              </w:rPr>
              <w:t xml:space="preserve">SME Initiative </w:t>
            </w:r>
          </w:p>
          <w:p>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color w:val="FFFFFF"/>
                <w:sz w:val="21"/>
                <w:szCs w:val="21"/>
              </w:rPr>
            </w:pPr>
          </w:p>
        </w:tc>
      </w:tr>
      <w:tr>
        <w:trPr>
          <w:cnfStyle w:val="000000010000" w:firstRow="0" w:lastRow="0" w:firstColumn="0" w:lastColumn="0" w:oddVBand="0" w:evenVBand="0" w:oddHBand="0" w:evenHBand="1" w:firstRowFirstColumn="0" w:firstRowLastColumn="0" w:lastRowFirstColumn="0" w:lastRowLastColumn="0"/>
          <w:trHeight w:val="3149"/>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D3DFEE"/>
          </w:tcPr>
          <w:p>
            <w:pPr>
              <w:spacing w:before="60" w:line="276" w:lineRule="auto"/>
              <w:rPr>
                <w:rFonts w:ascii="Times New Roman" w:hAnsi="Times New Roman"/>
                <w:bCs w:val="0"/>
                <w:noProof/>
                <w:sz w:val="21"/>
                <w:szCs w:val="21"/>
              </w:rPr>
            </w:pPr>
            <w:r>
              <w:rPr>
                <w:rFonts w:ascii="Times New Roman" w:hAnsi="Times New Roman"/>
                <w:bCs w:val="0"/>
                <w:noProof/>
                <w:sz w:val="21"/>
                <w:szCs w:val="21"/>
              </w:rPr>
              <w:t>e) Performance</w:t>
            </w:r>
          </w:p>
        </w:tc>
        <w:tc>
          <w:tcPr>
            <w:tcW w:w="2176"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Agreements signed for EUR 11,3 billion expected financing to 114 eligible final recipients; achieved financing EUR 10,2 billion for 112 eligible final recipients</w:t>
            </w:r>
          </w:p>
        </w:tc>
        <w:tc>
          <w:tcPr>
            <w:tcW w:w="2410"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Agreements signed for EUR 5,9 billion expected financing to 97 eligible final recipients; achieved financing EUR 3,5 billion for 72 eligible final recipients.</w:t>
            </w:r>
          </w:p>
        </w:tc>
        <w:tc>
          <w:tcPr>
            <w:tcW w:w="2551"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Projects from merged Instruments - LGTT and PBI (Agreements signed for EUR 13,8 billion to 11 final recipients); 1 transport project (from former Instrument LGTT) refinanced, 1 guarantee agreement signed with a bank (nov. 2016) for EUR 150 million, but  no new investments yet.</w:t>
            </w:r>
          </w:p>
        </w:tc>
        <w:tc>
          <w:tcPr>
            <w:tcW w:w="2268"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 (no operations yet)</w:t>
            </w:r>
          </w:p>
        </w:tc>
        <w:tc>
          <w:tcPr>
            <w:tcW w:w="2693" w:type="dxa"/>
            <w:tcBorders>
              <w:lef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 yet</w:t>
            </w:r>
          </w:p>
        </w:tc>
      </w:tr>
      <w:tr>
        <w:trPr>
          <w:cnfStyle w:val="000000100000" w:firstRow="0" w:lastRow="0" w:firstColumn="0" w:lastColumn="0" w:oddVBand="0" w:evenVBand="0" w:oddHBand="1" w:evenHBand="0" w:firstRowFirstColumn="0" w:firstRowLastColumn="0" w:lastRowFirstColumn="0" w:lastRowLastColumn="0"/>
          <w:trHeight w:val="1376"/>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FFFFFF" w:themeFill="background1"/>
          </w:tcPr>
          <w:p>
            <w:pPr>
              <w:spacing w:before="60" w:line="276" w:lineRule="auto"/>
              <w:rPr>
                <w:rFonts w:ascii="Times New Roman" w:hAnsi="Times New Roman"/>
                <w:bCs w:val="0"/>
                <w:noProof/>
                <w:sz w:val="21"/>
                <w:szCs w:val="21"/>
              </w:rPr>
            </w:pPr>
            <w:r>
              <w:rPr>
                <w:rFonts w:ascii="Times New Roman" w:hAnsi="Times New Roman"/>
                <w:bCs w:val="0"/>
                <w:noProof/>
                <w:sz w:val="21"/>
                <w:szCs w:val="21"/>
              </w:rPr>
              <w:t>f) Evaluation of the use of any amounts returned to the instrument</w:t>
            </w:r>
          </w:p>
        </w:tc>
        <w:tc>
          <w:tcPr>
            <w:tcW w:w="2176"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476 million have been assigned to InnovFin Horizon 2020 Loan Services for R&amp;I Facility</w:t>
            </w:r>
          </w:p>
        </w:tc>
        <w:tc>
          <w:tcPr>
            <w:tcW w:w="2410"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 xml:space="preserve">EUR 6 million have been assigned to InnovFin Horizon 2020 Loan Services for R&amp;I Facility </w:t>
            </w:r>
          </w:p>
        </w:tc>
        <w:tc>
          <w:tcPr>
            <w:tcW w:w="2551"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c>
          <w:tcPr>
            <w:tcW w:w="2268"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c>
          <w:tcPr>
            <w:tcW w:w="2693" w:type="dxa"/>
            <w:tcBorders>
              <w:lef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r>
      <w:tr>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D3DFEE"/>
          </w:tcPr>
          <w:p>
            <w:pPr>
              <w:spacing w:before="60" w:line="276" w:lineRule="auto"/>
              <w:rPr>
                <w:rFonts w:ascii="Times New Roman" w:hAnsi="Times New Roman"/>
                <w:bCs w:val="0"/>
                <w:noProof/>
                <w:sz w:val="21"/>
                <w:szCs w:val="21"/>
              </w:rPr>
            </w:pPr>
            <w:r>
              <w:rPr>
                <w:rFonts w:ascii="Times New Roman" w:hAnsi="Times New Roman"/>
                <w:bCs w:val="0"/>
                <w:noProof/>
                <w:sz w:val="21"/>
                <w:szCs w:val="21"/>
              </w:rPr>
              <w:t>g) Balance of fiduciary account</w:t>
            </w:r>
            <w:r>
              <w:rPr>
                <w:rStyle w:val="FootnoteReference"/>
                <w:rFonts w:ascii="Times New Roman" w:hAnsi="Times New Roman"/>
                <w:bCs w:val="0"/>
                <w:noProof/>
                <w:sz w:val="21"/>
                <w:szCs w:val="21"/>
              </w:rPr>
              <w:footnoteReference w:id="12"/>
            </w:r>
          </w:p>
        </w:tc>
        <w:tc>
          <w:tcPr>
            <w:tcW w:w="2176"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 xml:space="preserve">EUR 712,3 m </w:t>
            </w:r>
            <w:r>
              <w:rPr>
                <w:rStyle w:val="FootnoteReference"/>
                <w:rFonts w:ascii="Times New Roman" w:hAnsi="Times New Roman"/>
                <w:noProof/>
                <w:sz w:val="21"/>
                <w:szCs w:val="21"/>
              </w:rPr>
              <w:footnoteReference w:id="13"/>
            </w:r>
            <w:r>
              <w:rPr>
                <w:rFonts w:ascii="Times New Roman" w:hAnsi="Times New Roman"/>
                <w:noProof/>
                <w:highlight w:val="yellow"/>
              </w:rPr>
              <w:t xml:space="preserve"> </w:t>
            </w:r>
          </w:p>
        </w:tc>
        <w:tc>
          <w:tcPr>
            <w:tcW w:w="2410"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698 m</w:t>
            </w:r>
          </w:p>
        </w:tc>
        <w:tc>
          <w:tcPr>
            <w:tcW w:w="2551"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492,9 m</w:t>
            </w:r>
          </w:p>
        </w:tc>
        <w:tc>
          <w:tcPr>
            <w:tcW w:w="2268"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10,25</w:t>
            </w:r>
            <w:r>
              <w:rPr>
                <w:rFonts w:ascii="Times New Roman" w:hAnsi="Times New Roman"/>
                <w:noProof/>
              </w:rPr>
              <w:t xml:space="preserve"> m</w:t>
            </w:r>
          </w:p>
        </w:tc>
        <w:tc>
          <w:tcPr>
            <w:tcW w:w="2693" w:type="dxa"/>
            <w:tcBorders>
              <w:lef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r>
      <w:tr>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FFFFFF" w:themeFill="background1"/>
          </w:tcPr>
          <w:p>
            <w:pPr>
              <w:spacing w:before="60" w:line="276" w:lineRule="auto"/>
              <w:rPr>
                <w:rFonts w:ascii="Times New Roman" w:hAnsi="Times New Roman"/>
                <w:bCs w:val="0"/>
                <w:noProof/>
                <w:sz w:val="21"/>
                <w:szCs w:val="21"/>
              </w:rPr>
            </w:pPr>
            <w:r>
              <w:rPr>
                <w:rFonts w:ascii="Times New Roman" w:hAnsi="Times New Roman"/>
                <w:bCs w:val="0"/>
                <w:noProof/>
                <w:sz w:val="21"/>
                <w:szCs w:val="21"/>
              </w:rPr>
              <w:t>h) Revenues and repayments</w:t>
            </w:r>
          </w:p>
        </w:tc>
        <w:tc>
          <w:tcPr>
            <w:tcW w:w="2176"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476 m</w:t>
            </w:r>
          </w:p>
        </w:tc>
        <w:tc>
          <w:tcPr>
            <w:tcW w:w="2410"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31,5 m</w:t>
            </w:r>
          </w:p>
        </w:tc>
        <w:tc>
          <w:tcPr>
            <w:tcW w:w="2551"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13,4 m</w:t>
            </w:r>
          </w:p>
        </w:tc>
        <w:tc>
          <w:tcPr>
            <w:tcW w:w="2268"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c>
          <w:tcPr>
            <w:tcW w:w="2693" w:type="dxa"/>
            <w:tcBorders>
              <w:lef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r>
      <w:tr>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D3DFEE"/>
          </w:tcPr>
          <w:p>
            <w:pPr>
              <w:spacing w:before="60" w:line="276" w:lineRule="auto"/>
              <w:rPr>
                <w:rFonts w:ascii="Times New Roman" w:hAnsi="Times New Roman"/>
                <w:bCs w:val="0"/>
                <w:noProof/>
                <w:sz w:val="21"/>
                <w:szCs w:val="21"/>
              </w:rPr>
            </w:pPr>
            <w:r>
              <w:rPr>
                <w:rFonts w:ascii="Times New Roman" w:hAnsi="Times New Roman"/>
                <w:bCs w:val="0"/>
                <w:noProof/>
                <w:sz w:val="21"/>
                <w:szCs w:val="21"/>
              </w:rPr>
              <w:t>i) Value of equity investments</w:t>
            </w:r>
          </w:p>
        </w:tc>
        <w:tc>
          <w:tcPr>
            <w:tcW w:w="2176"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c>
          <w:tcPr>
            <w:tcW w:w="2410"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c>
          <w:tcPr>
            <w:tcW w:w="2551"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c>
          <w:tcPr>
            <w:tcW w:w="2268" w:type="dxa"/>
            <w:tcBorders>
              <w:left w:val="single" w:sz="8" w:space="0" w:color="7BA0CD"/>
              <w:righ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c>
          <w:tcPr>
            <w:tcW w:w="2693" w:type="dxa"/>
            <w:tcBorders>
              <w:left w:val="single" w:sz="8" w:space="0" w:color="7BA0CD"/>
            </w:tcBorders>
            <w:shd w:val="clear" w:color="auto" w:fill="D3DFEE"/>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r>
      <w:tr>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FFFFFF" w:themeFill="background1"/>
          </w:tcPr>
          <w:p>
            <w:pPr>
              <w:spacing w:before="60" w:line="276" w:lineRule="auto"/>
              <w:rPr>
                <w:rFonts w:ascii="Times New Roman" w:hAnsi="Times New Roman"/>
                <w:bCs w:val="0"/>
                <w:noProof/>
                <w:sz w:val="21"/>
                <w:szCs w:val="21"/>
              </w:rPr>
            </w:pPr>
            <w:r>
              <w:rPr>
                <w:rFonts w:ascii="Times New Roman" w:hAnsi="Times New Roman"/>
                <w:bCs w:val="0"/>
                <w:noProof/>
                <w:sz w:val="21"/>
                <w:szCs w:val="21"/>
              </w:rPr>
              <w:t>j) Impairments / called guarantees</w:t>
            </w:r>
          </w:p>
        </w:tc>
        <w:tc>
          <w:tcPr>
            <w:tcW w:w="2176"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10,7 m</w:t>
            </w:r>
          </w:p>
        </w:tc>
        <w:tc>
          <w:tcPr>
            <w:tcW w:w="2410"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91,43 m</w:t>
            </w:r>
          </w:p>
        </w:tc>
        <w:tc>
          <w:tcPr>
            <w:tcW w:w="2551"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c>
          <w:tcPr>
            <w:tcW w:w="2268" w:type="dxa"/>
            <w:tcBorders>
              <w:left w:val="single" w:sz="8" w:space="0" w:color="7BA0CD"/>
              <w:righ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c>
          <w:tcPr>
            <w:tcW w:w="2693" w:type="dxa"/>
            <w:tcBorders>
              <w:left w:val="single" w:sz="8" w:space="0" w:color="7BA0CD"/>
            </w:tcBorders>
            <w:shd w:val="clear" w:color="auto" w:fill="FFFFFF" w:themeFill="background1"/>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0,8 m</w:t>
            </w:r>
            <w:r>
              <w:rPr>
                <w:rFonts w:ascii="Times New Roman" w:hAnsi="Times New Roman"/>
                <w:noProof/>
                <w:highlight w:val="yellow"/>
              </w:rPr>
              <w:t xml:space="preserve"> </w:t>
            </w:r>
          </w:p>
        </w:tc>
      </w:tr>
      <w:tr>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shd w:val="clear" w:color="auto" w:fill="4F81BD" w:themeFill="accent1"/>
          </w:tcPr>
          <w:p>
            <w:pPr>
              <w:spacing w:before="60" w:line="276" w:lineRule="auto"/>
              <w:rPr>
                <w:rFonts w:ascii="Times New Roman" w:hAnsi="Times New Roman"/>
                <w:b w:val="0"/>
                <w:bCs w:val="0"/>
                <w:noProof/>
                <w:sz w:val="21"/>
                <w:szCs w:val="21"/>
              </w:rPr>
            </w:pPr>
          </w:p>
        </w:tc>
        <w:tc>
          <w:tcPr>
            <w:tcW w:w="2176" w:type="dxa"/>
            <w:tcBorders>
              <w:left w:val="single" w:sz="8" w:space="0" w:color="7BA0CD"/>
              <w:right w:val="single" w:sz="8" w:space="0" w:color="7BA0CD"/>
            </w:tcBorders>
            <w:shd w:val="clear" w:color="auto" w:fill="4F81BD" w:themeFill="accent1"/>
          </w:tcPr>
          <w:p>
            <w:pPr>
              <w:spacing w:before="6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szCs w:val="21"/>
              </w:rPr>
              <w:t>Risk-Sharing Finance Facility –RSFF</w:t>
            </w:r>
          </w:p>
        </w:tc>
        <w:tc>
          <w:tcPr>
            <w:tcW w:w="2410" w:type="dxa"/>
            <w:tcBorders>
              <w:left w:val="single" w:sz="8" w:space="0" w:color="7BA0CD"/>
              <w:right w:val="single" w:sz="8" w:space="0" w:color="7BA0CD"/>
            </w:tcBorders>
            <w:shd w:val="clear" w:color="auto" w:fill="4F81BD" w:themeFill="accent1"/>
          </w:tcPr>
          <w:p>
            <w:pPr>
              <w:spacing w:before="6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szCs w:val="21"/>
              </w:rPr>
              <w:t>Horizon 2020 Loan Services for R&amp;I Facility  — InnovFin</w:t>
            </w:r>
          </w:p>
          <w:p>
            <w:pPr>
              <w:spacing w:before="6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noProof/>
                <w:color w:val="FFFFFF"/>
                <w:sz w:val="21"/>
                <w:szCs w:val="21"/>
              </w:rPr>
            </w:pPr>
          </w:p>
        </w:tc>
        <w:tc>
          <w:tcPr>
            <w:tcW w:w="2551" w:type="dxa"/>
            <w:tcBorders>
              <w:left w:val="single" w:sz="8" w:space="0" w:color="7BA0CD"/>
              <w:right w:val="single" w:sz="8" w:space="0" w:color="7BA0CD"/>
            </w:tcBorders>
            <w:shd w:val="clear" w:color="auto" w:fill="4F81BD" w:themeFill="accent1"/>
          </w:tcPr>
          <w:p>
            <w:pPr>
              <w:spacing w:before="6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szCs w:val="21"/>
              </w:rPr>
              <w:t>Risk Sharing Debt Instrument under the Connecting Europe Facility – CEF DI</w:t>
            </w:r>
          </w:p>
        </w:tc>
        <w:tc>
          <w:tcPr>
            <w:tcW w:w="2268" w:type="dxa"/>
            <w:tcBorders>
              <w:left w:val="single" w:sz="8" w:space="0" w:color="7BA0CD"/>
              <w:right w:val="single" w:sz="8" w:space="0" w:color="7BA0CD"/>
            </w:tcBorders>
            <w:shd w:val="clear" w:color="auto" w:fill="4F81BD" w:themeFill="accent1"/>
          </w:tcPr>
          <w:p>
            <w:pPr>
              <w:spacing w:before="60" w:after="12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szCs w:val="21"/>
              </w:rPr>
              <w:t>Natural Capital Financing Facility — NCFF</w:t>
            </w:r>
          </w:p>
        </w:tc>
        <w:tc>
          <w:tcPr>
            <w:tcW w:w="2693" w:type="dxa"/>
            <w:tcBorders>
              <w:left w:val="single" w:sz="8" w:space="0" w:color="7BA0CD"/>
            </w:tcBorders>
            <w:shd w:val="clear" w:color="auto" w:fill="4F81BD" w:themeFill="accent1"/>
          </w:tcPr>
          <w:p>
            <w:pPr>
              <w:spacing w:before="60" w:after="12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noProof/>
                <w:color w:val="FFFFFF"/>
                <w:sz w:val="21"/>
                <w:szCs w:val="21"/>
              </w:rPr>
            </w:pPr>
            <w:r>
              <w:rPr>
                <w:rFonts w:ascii="Times New Roman" w:hAnsi="Times New Roman"/>
                <w:b/>
                <w:noProof/>
                <w:color w:val="FFFFFF"/>
                <w:sz w:val="21"/>
                <w:szCs w:val="21"/>
              </w:rPr>
              <w:t xml:space="preserve">SME Initiative </w:t>
            </w:r>
          </w:p>
        </w:tc>
      </w:tr>
      <w:tr>
        <w:trPr>
          <w:cnfStyle w:val="000000100000" w:firstRow="0" w:lastRow="0" w:firstColumn="0" w:lastColumn="0" w:oddVBand="0" w:evenVBand="0" w:oddHBand="1" w:evenHBand="0" w:firstRowFirstColumn="0" w:firstRowLastColumn="0" w:lastRowFirstColumn="0" w:lastRowLastColumn="0"/>
          <w:trHeight w:val="1161"/>
        </w:trPr>
        <w:tc>
          <w:tcPr>
            <w:cnfStyle w:val="001000000000" w:firstRow="0" w:lastRow="0" w:firstColumn="1" w:lastColumn="0" w:oddVBand="0" w:evenVBand="0" w:oddHBand="0" w:evenHBand="0" w:firstRowFirstColumn="0" w:firstRowLastColumn="0" w:lastRowFirstColumn="0" w:lastRowLastColumn="0"/>
            <w:tcW w:w="3353" w:type="dxa"/>
            <w:tcBorders>
              <w:right w:val="single" w:sz="8" w:space="0" w:color="7BA0CD"/>
            </w:tcBorders>
          </w:tcPr>
          <w:p>
            <w:pPr>
              <w:spacing w:before="60" w:line="276" w:lineRule="auto"/>
              <w:rPr>
                <w:rFonts w:ascii="Times New Roman" w:hAnsi="Times New Roman"/>
                <w:bCs w:val="0"/>
                <w:noProof/>
                <w:sz w:val="21"/>
                <w:szCs w:val="21"/>
              </w:rPr>
            </w:pPr>
            <w:r>
              <w:rPr>
                <w:rFonts w:ascii="Times New Roman" w:hAnsi="Times New Roman"/>
                <w:bCs w:val="0"/>
                <w:noProof/>
                <w:sz w:val="21"/>
                <w:szCs w:val="21"/>
              </w:rPr>
              <w:t>k) Leverage effect</w:t>
            </w:r>
          </w:p>
        </w:tc>
        <w:tc>
          <w:tcPr>
            <w:tcW w:w="2176"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Target: 5 to 6,5</w:t>
            </w:r>
          </w:p>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Expected : 12</w:t>
            </w:r>
          </w:p>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Achieved: 10,6</w:t>
            </w:r>
          </w:p>
        </w:tc>
        <w:tc>
          <w:tcPr>
            <w:tcW w:w="2410"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Target: 12,5</w:t>
            </w:r>
          </w:p>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Expected: 7,5</w:t>
            </w:r>
          </w:p>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Achieved: 4,5</w:t>
            </w:r>
          </w:p>
        </w:tc>
        <w:tc>
          <w:tcPr>
            <w:tcW w:w="2551"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Target: 6 to15</w:t>
            </w:r>
          </w:p>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Expected: 22,6</w:t>
            </w:r>
          </w:p>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Achieved: 20,1</w:t>
            </w:r>
          </w:p>
        </w:tc>
        <w:tc>
          <w:tcPr>
            <w:tcW w:w="2268" w:type="dxa"/>
            <w:tcBorders>
              <w:left w:val="single" w:sz="8" w:space="0" w:color="7BA0CD"/>
              <w:right w:val="single" w:sz="8" w:space="0" w:color="7BA0CD"/>
            </w:tcBorders>
          </w:tcPr>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Target: 2 to 4</w:t>
            </w:r>
          </w:p>
        </w:tc>
        <w:tc>
          <w:tcPr>
            <w:tcW w:w="2693" w:type="dxa"/>
            <w:tcBorders>
              <w:lef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Target: 7</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Expected: 7</w:t>
            </w:r>
          </w:p>
          <w:p>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Achieved: 3,2</w:t>
            </w:r>
          </w:p>
        </w:tc>
      </w:tr>
      <w:tr>
        <w:trPr>
          <w:cnfStyle w:val="000000010000" w:firstRow="0" w:lastRow="0" w:firstColumn="0" w:lastColumn="0" w:oddVBand="0" w:evenVBand="0" w:oddHBand="0" w:evenHBand="1"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3353" w:type="dxa"/>
            <w:tcBorders>
              <w:bottom w:val="single" w:sz="8" w:space="0" w:color="7BA0CD"/>
              <w:right w:val="single" w:sz="8" w:space="0" w:color="7BA0CD"/>
            </w:tcBorders>
            <w:shd w:val="clear" w:color="auto" w:fill="FFFFFF" w:themeFill="background1"/>
          </w:tcPr>
          <w:p>
            <w:pPr>
              <w:spacing w:before="60" w:line="276" w:lineRule="auto"/>
              <w:rPr>
                <w:rFonts w:ascii="Times New Roman" w:hAnsi="Times New Roman"/>
                <w:bCs w:val="0"/>
                <w:noProof/>
                <w:sz w:val="21"/>
                <w:szCs w:val="21"/>
              </w:rPr>
            </w:pPr>
            <w:r>
              <w:rPr>
                <w:rFonts w:ascii="Times New Roman" w:hAnsi="Times New Roman"/>
                <w:bCs w:val="0"/>
                <w:noProof/>
                <w:sz w:val="21"/>
                <w:szCs w:val="21"/>
              </w:rPr>
              <w:t>l) Contribution to achievement of policy objectives</w:t>
            </w:r>
          </w:p>
        </w:tc>
        <w:tc>
          <w:tcPr>
            <w:tcW w:w="2176" w:type="dxa"/>
            <w:tcBorders>
              <w:left w:val="single" w:sz="8" w:space="0" w:color="7BA0CD"/>
              <w:bottom w:val="single" w:sz="8" w:space="0" w:color="7BA0CD"/>
              <w:right w:val="single" w:sz="8" w:space="0" w:color="7BA0CD"/>
            </w:tcBorders>
            <w:shd w:val="clear" w:color="auto" w:fill="FFFFFF" w:themeFill="background1"/>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10,2 billion of new risk-financing supported, reaching 112 eligible final recipients;</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20,4 billion of investments supported;</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25 countries covered.</w:t>
            </w:r>
          </w:p>
        </w:tc>
        <w:tc>
          <w:tcPr>
            <w:tcW w:w="2410" w:type="dxa"/>
            <w:tcBorders>
              <w:left w:val="single" w:sz="8" w:space="0" w:color="7BA0CD"/>
              <w:bottom w:val="single" w:sz="8" w:space="0" w:color="7BA0CD"/>
              <w:right w:val="single" w:sz="8" w:space="0" w:color="7BA0CD"/>
            </w:tcBorders>
            <w:shd w:val="clear" w:color="auto" w:fill="FFFFFF" w:themeFill="background1"/>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3,5 billion of new risk-financing supported, reaching 72 eligible final recipients;</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10,2 billion of investments supported;</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23 countries covered.</w:t>
            </w:r>
          </w:p>
        </w:tc>
        <w:tc>
          <w:tcPr>
            <w:tcW w:w="2551" w:type="dxa"/>
            <w:tcBorders>
              <w:left w:val="single" w:sz="8" w:space="0" w:color="7BA0CD"/>
              <w:bottom w:val="single" w:sz="8" w:space="0" w:color="7BA0CD"/>
              <w:right w:val="single" w:sz="8" w:space="0" w:color="7BA0CD"/>
            </w:tcBorders>
            <w:shd w:val="clear" w:color="auto" w:fill="FFFFFF" w:themeFill="background1"/>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13,8 billion of investments supported;</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7 countries covered.</w:t>
            </w: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p>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p>
        </w:tc>
        <w:tc>
          <w:tcPr>
            <w:tcW w:w="2268" w:type="dxa"/>
            <w:tcBorders>
              <w:left w:val="single" w:sz="8" w:space="0" w:color="7BA0CD"/>
              <w:bottom w:val="single" w:sz="8" w:space="0" w:color="7BA0CD"/>
              <w:right w:val="single" w:sz="8" w:space="0" w:color="7BA0CD"/>
            </w:tcBorders>
            <w:shd w:val="clear" w:color="auto" w:fill="FFFFFF" w:themeFill="background1"/>
          </w:tcPr>
          <w:p>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6"/>
                <w:szCs w:val="21"/>
              </w:rPr>
            </w:pPr>
          </w:p>
          <w:p>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Targeted financing of EUR 120 to EUR 240 million to promote biodiversity and climate</w:t>
            </w:r>
          </w:p>
          <w:p>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 xml:space="preserve">change adaptation. </w:t>
            </w:r>
          </w:p>
        </w:tc>
        <w:tc>
          <w:tcPr>
            <w:tcW w:w="2693" w:type="dxa"/>
            <w:tcBorders>
              <w:left w:val="single" w:sz="8" w:space="0" w:color="7BA0CD"/>
              <w:bottom w:val="single" w:sz="8" w:space="0" w:color="7BA0CD"/>
            </w:tcBorders>
            <w:shd w:val="clear" w:color="auto" w:fill="FFFFFF" w:themeFill="background1"/>
          </w:tcPr>
          <w:p>
            <w:pPr>
              <w:spacing w:before="6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Targeted financing of EUR 5 723 million to be generated for all Spanish regions.</w:t>
            </w:r>
          </w:p>
        </w:tc>
      </w:tr>
    </w:tbl>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rPr>
          <w:rFonts w:ascii="Times New Roman" w:eastAsia="Times New Roman" w:hAnsi="Times New Roman" w:cs="Times New Roman"/>
          <w:b/>
          <w:bCs/>
          <w:noProof/>
          <w:sz w:val="24"/>
          <w:szCs w:val="24"/>
          <w:u w:val="single"/>
        </w:rPr>
      </w:pPr>
      <w:r>
        <w:rPr>
          <w:noProof/>
        </w:rPr>
        <w:br w:type="page"/>
      </w:r>
    </w:p>
    <w:p>
      <w:pPr>
        <w:pStyle w:val="Heading4"/>
        <w:spacing w:before="120"/>
        <w:rPr>
          <w:noProof/>
          <w:sz w:val="22"/>
          <w:szCs w:val="22"/>
        </w:rPr>
      </w:pPr>
      <w:r>
        <w:rPr>
          <w:noProof/>
        </w:rPr>
        <w:t>D</w:t>
      </w:r>
      <w:bookmarkStart w:id="15" w:name="_Toc399517421"/>
      <w:r>
        <w:rPr>
          <w:noProof/>
          <w:sz w:val="22"/>
          <w:szCs w:val="22"/>
        </w:rPr>
        <w:t>EDICATED INVESTMENT VEHICLES</w:t>
      </w:r>
      <w:bookmarkEnd w:id="15"/>
    </w:p>
    <w:tbl>
      <w:tblPr>
        <w:tblStyle w:val="MediumShading1-Accent1"/>
        <w:tblW w:w="5433" w:type="pct"/>
        <w:tblInd w:w="-601" w:type="dxa"/>
        <w:tblBorders>
          <w:insideH w:val="none" w:sz="0" w:space="0" w:color="auto"/>
          <w:insideV w:val="single" w:sz="8" w:space="0" w:color="7BA0CD"/>
        </w:tblBorders>
        <w:tblLook w:val="04A0" w:firstRow="1" w:lastRow="0" w:firstColumn="1" w:lastColumn="0" w:noHBand="0" w:noVBand="1"/>
      </w:tblPr>
      <w:tblGrid>
        <w:gridCol w:w="3544"/>
        <w:gridCol w:w="3829"/>
        <w:gridCol w:w="4252"/>
        <w:gridCol w:w="3826"/>
      </w:tblGrid>
      <w:tr>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shd w:val="clear" w:color="auto" w:fill="4F81BD" w:themeFill="accent1"/>
          </w:tcPr>
          <w:p>
            <w:pPr>
              <w:spacing w:before="60" w:after="120" w:line="276" w:lineRule="auto"/>
              <w:rPr>
                <w:rFonts w:ascii="Times New Roman" w:hAnsi="Times New Roman"/>
                <w:b w:val="0"/>
                <w:bCs w:val="0"/>
                <w:noProof/>
                <w:sz w:val="21"/>
                <w:szCs w:val="21"/>
              </w:rPr>
            </w:pPr>
          </w:p>
        </w:tc>
        <w:tc>
          <w:tcPr>
            <w:tcW w:w="1239" w:type="pct"/>
            <w:tcBorders>
              <w:left w:val="single" w:sz="8" w:space="0" w:color="7BA0CD"/>
              <w:right w:val="single" w:sz="8" w:space="0" w:color="7BA0CD"/>
            </w:tcBorders>
            <w:shd w:val="clear" w:color="auto" w:fill="4F81BD" w:themeFill="accent1"/>
          </w:tcPr>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bCs w:val="0"/>
                <w:noProof/>
                <w:sz w:val="21"/>
                <w:szCs w:val="21"/>
              </w:rPr>
              <w:t>European Progress Micro-finance Facility — FCP-FIS</w:t>
            </w:r>
          </w:p>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bCs w:val="0"/>
                <w:noProof/>
                <w:sz w:val="21"/>
                <w:szCs w:val="21"/>
              </w:rPr>
              <w:t>(V.4.1 SWD)</w:t>
            </w:r>
          </w:p>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bCs w:val="0"/>
                <w:noProof/>
                <w:sz w:val="21"/>
                <w:szCs w:val="21"/>
              </w:rPr>
              <w:t xml:space="preserve">Policy DGs in charge: EMPL </w:t>
            </w:r>
          </w:p>
        </w:tc>
        <w:tc>
          <w:tcPr>
            <w:tcW w:w="1376" w:type="pct"/>
            <w:tcBorders>
              <w:left w:val="single" w:sz="8" w:space="0" w:color="7BA0CD"/>
              <w:right w:val="single" w:sz="8" w:space="0" w:color="7BA0CD"/>
            </w:tcBorders>
            <w:shd w:val="clear" w:color="auto" w:fill="4F81BD" w:themeFill="accent1"/>
          </w:tcPr>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bCs w:val="0"/>
                <w:noProof/>
                <w:sz w:val="21"/>
                <w:szCs w:val="21"/>
              </w:rPr>
              <w:t>The 2020 European Fund – Marguerite</w:t>
            </w:r>
          </w:p>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bCs w:val="0"/>
                <w:noProof/>
                <w:sz w:val="21"/>
                <w:szCs w:val="21"/>
              </w:rPr>
              <w:t>(V.4.2 SWD)</w:t>
            </w:r>
            <w:r>
              <w:rPr>
                <w:rFonts w:ascii="Times New Roman" w:hAnsi="Times New Roman"/>
                <w:bCs w:val="0"/>
                <w:noProof/>
                <w:sz w:val="21"/>
                <w:szCs w:val="21"/>
              </w:rPr>
              <w:br/>
              <w:t>Policy DG in charge: MOVE</w:t>
            </w:r>
          </w:p>
        </w:tc>
        <w:tc>
          <w:tcPr>
            <w:tcW w:w="1238" w:type="pct"/>
            <w:tcBorders>
              <w:left w:val="single" w:sz="8" w:space="0" w:color="7BA0CD"/>
            </w:tcBorders>
            <w:shd w:val="clear" w:color="auto" w:fill="4F81BD" w:themeFill="accent1"/>
          </w:tcPr>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bCs w:val="0"/>
                <w:noProof/>
                <w:sz w:val="21"/>
                <w:szCs w:val="21"/>
              </w:rPr>
              <w:t>European Energy Efficiency Fund — EEEF</w:t>
            </w:r>
          </w:p>
          <w:p>
            <w:pPr>
              <w:spacing w:before="60"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1"/>
                <w:szCs w:val="21"/>
              </w:rPr>
            </w:pPr>
            <w:r>
              <w:rPr>
                <w:rFonts w:ascii="Times New Roman" w:hAnsi="Times New Roman"/>
                <w:bCs w:val="0"/>
                <w:noProof/>
                <w:sz w:val="21"/>
                <w:szCs w:val="21"/>
              </w:rPr>
              <w:t>(V.4.3 SWD)</w:t>
            </w:r>
            <w:r>
              <w:rPr>
                <w:rFonts w:ascii="Times New Roman" w:hAnsi="Times New Roman"/>
                <w:bCs w:val="0"/>
                <w:noProof/>
                <w:sz w:val="21"/>
                <w:szCs w:val="21"/>
              </w:rPr>
              <w:br/>
              <w:t>Policy DG in charge: ENER</w:t>
            </w:r>
          </w:p>
        </w:tc>
      </w:tr>
      <w:tr>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tcPr>
          <w:p>
            <w:pPr>
              <w:spacing w:before="60" w:after="120" w:line="276" w:lineRule="auto"/>
              <w:rPr>
                <w:rFonts w:ascii="Times New Roman" w:hAnsi="Times New Roman"/>
                <w:bCs w:val="0"/>
                <w:noProof/>
                <w:sz w:val="21"/>
                <w:szCs w:val="21"/>
              </w:rPr>
            </w:pPr>
            <w:r>
              <w:rPr>
                <w:rFonts w:ascii="Times New Roman" w:hAnsi="Times New Roman"/>
                <w:bCs w:val="0"/>
                <w:noProof/>
                <w:sz w:val="21"/>
                <w:szCs w:val="21"/>
              </w:rPr>
              <w:t>a) ID/basic act</w:t>
            </w:r>
          </w:p>
        </w:tc>
        <w:tc>
          <w:tcPr>
            <w:tcW w:w="1239" w:type="pct"/>
            <w:tcBorders>
              <w:left w:val="single" w:sz="8" w:space="0" w:color="7BA0CD"/>
              <w:righ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eastAsia="Times New Roman" w:hAnsi="Times New Roman"/>
                <w:noProof/>
                <w:sz w:val="21"/>
                <w:szCs w:val="21"/>
              </w:rPr>
              <w:t>Decision No 283/2010/EU</w:t>
            </w:r>
          </w:p>
        </w:tc>
        <w:tc>
          <w:tcPr>
            <w:tcW w:w="1376" w:type="pct"/>
            <w:tcBorders>
              <w:left w:val="single" w:sz="8" w:space="0" w:color="7BA0CD"/>
              <w:righ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1"/>
                <w:szCs w:val="21"/>
              </w:rPr>
            </w:pPr>
            <w:r>
              <w:rPr>
                <w:rFonts w:ascii="Times New Roman" w:eastAsia="Times New Roman" w:hAnsi="Times New Roman"/>
                <w:noProof/>
                <w:sz w:val="21"/>
                <w:szCs w:val="21"/>
              </w:rPr>
              <w:t>Regulation (EC) No 680/2007 and Decision C(2010)941</w:t>
            </w:r>
          </w:p>
        </w:tc>
        <w:tc>
          <w:tcPr>
            <w:tcW w:w="1238" w:type="pct"/>
            <w:tcBorders>
              <w:lef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i/>
                <w:noProof/>
                <w:sz w:val="21"/>
                <w:szCs w:val="21"/>
              </w:rPr>
            </w:pPr>
            <w:r>
              <w:rPr>
                <w:rFonts w:ascii="Times New Roman" w:eastAsia="Times New Roman" w:hAnsi="Times New Roman"/>
                <w:noProof/>
                <w:sz w:val="21"/>
                <w:szCs w:val="21"/>
              </w:rPr>
              <w:t>Regulation (EU) No 1233/2010</w:t>
            </w:r>
          </w:p>
        </w:tc>
      </w:tr>
      <w:tr>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tcPr>
          <w:p>
            <w:pPr>
              <w:spacing w:before="60" w:after="120" w:line="276" w:lineRule="auto"/>
              <w:rPr>
                <w:rFonts w:ascii="Times New Roman" w:hAnsi="Times New Roman"/>
                <w:bCs w:val="0"/>
                <w:noProof/>
                <w:sz w:val="21"/>
                <w:szCs w:val="21"/>
              </w:rPr>
            </w:pPr>
            <w:r>
              <w:rPr>
                <w:rFonts w:ascii="Times New Roman" w:hAnsi="Times New Roman"/>
                <w:bCs w:val="0"/>
                <w:noProof/>
                <w:sz w:val="21"/>
                <w:szCs w:val="21"/>
              </w:rPr>
              <w:t>b) Description</w:t>
            </w:r>
          </w:p>
        </w:tc>
        <w:tc>
          <w:tcPr>
            <w:tcW w:w="1239" w:type="pct"/>
            <w:tcBorders>
              <w:left w:val="single" w:sz="8" w:space="0" w:color="7BA0CD"/>
              <w:right w:val="single" w:sz="8" w:space="0" w:color="7BA0CD"/>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Unincorporated co</w:t>
            </w:r>
            <w:r>
              <w:rPr>
                <w:rFonts w:ascii="Times New Roman" w:hAnsi="Times New Roman"/>
                <w:noProof/>
                <w:sz w:val="21"/>
                <w:szCs w:val="21"/>
              </w:rPr>
              <w:noBreakHyphen/>
              <w:t>ownership of securities and other eligible assets geared to increasing access to micro-finance</w:t>
            </w:r>
          </w:p>
        </w:tc>
        <w:tc>
          <w:tcPr>
            <w:tcW w:w="1376" w:type="pct"/>
            <w:tcBorders>
              <w:left w:val="single" w:sz="8" w:space="0" w:color="7BA0CD"/>
              <w:right w:val="single" w:sz="8" w:space="0" w:color="7BA0CD"/>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Pan-European equity fund for supporting long-term infrastructure investment in EU transport, energy and renewables sectors</w:t>
            </w:r>
          </w:p>
        </w:tc>
        <w:tc>
          <w:tcPr>
            <w:tcW w:w="1238" w:type="pct"/>
            <w:tcBorders>
              <w:left w:val="single" w:sz="8" w:space="0" w:color="7BA0CD"/>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Specialised investment fund (SICAV SIF) investing in energy efficiency, renewable energy projects and clean urban transport</w:t>
            </w:r>
          </w:p>
        </w:tc>
      </w:tr>
      <w:tr>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tcPr>
          <w:p>
            <w:pPr>
              <w:spacing w:before="60" w:after="120" w:line="276" w:lineRule="auto"/>
              <w:rPr>
                <w:rFonts w:ascii="Times New Roman" w:hAnsi="Times New Roman"/>
                <w:bCs w:val="0"/>
                <w:noProof/>
                <w:sz w:val="21"/>
                <w:szCs w:val="21"/>
              </w:rPr>
            </w:pPr>
            <w:r>
              <w:rPr>
                <w:rFonts w:ascii="Times New Roman" w:hAnsi="Times New Roman"/>
                <w:bCs w:val="0"/>
                <w:noProof/>
                <w:sz w:val="21"/>
                <w:szCs w:val="21"/>
              </w:rPr>
              <w:t>c) Financial institutions involved</w:t>
            </w:r>
          </w:p>
        </w:tc>
        <w:tc>
          <w:tcPr>
            <w:tcW w:w="1239" w:type="pct"/>
            <w:tcBorders>
              <w:left w:val="single" w:sz="8" w:space="0" w:color="7BA0CD"/>
              <w:righ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EIF (management company)</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EIB (co-investor)</w:t>
            </w:r>
          </w:p>
        </w:tc>
        <w:tc>
          <w:tcPr>
            <w:tcW w:w="1376" w:type="pct"/>
            <w:tcBorders>
              <w:left w:val="single" w:sz="8" w:space="0" w:color="7BA0CD"/>
              <w:righ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Co-investors: France (CDC), Italy (CdP), Germany (KfW), Spain (ICO), Poland (PKO) and EIB</w:t>
            </w:r>
          </w:p>
        </w:tc>
        <w:tc>
          <w:tcPr>
            <w:tcW w:w="1238" w:type="pct"/>
            <w:tcBorders>
              <w:lef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EIB (entrusted entity, investor), Deutsche Bank (investment manager, investor), CDP (investor)</w:t>
            </w:r>
          </w:p>
        </w:tc>
      </w:tr>
      <w:tr>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tcPr>
          <w:p>
            <w:pPr>
              <w:spacing w:before="60" w:after="120" w:line="276" w:lineRule="auto"/>
              <w:rPr>
                <w:rFonts w:ascii="Times New Roman" w:hAnsi="Times New Roman"/>
                <w:bCs w:val="0"/>
                <w:noProof/>
                <w:sz w:val="21"/>
                <w:szCs w:val="21"/>
              </w:rPr>
            </w:pPr>
            <w:r>
              <w:rPr>
                <w:rFonts w:ascii="Times New Roman" w:hAnsi="Times New Roman"/>
                <w:bCs w:val="0"/>
                <w:noProof/>
                <w:sz w:val="21"/>
                <w:szCs w:val="21"/>
              </w:rPr>
              <w:t>d) Aggregate budgetary commitments and payments</w:t>
            </w:r>
          </w:p>
        </w:tc>
        <w:tc>
          <w:tcPr>
            <w:tcW w:w="1239" w:type="pct"/>
            <w:tcBorders>
              <w:left w:val="single" w:sz="8" w:space="0" w:color="7BA0CD"/>
              <w:right w:val="single" w:sz="8" w:space="0" w:color="7BA0CD"/>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80 m</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80 m</w:t>
            </w:r>
          </w:p>
        </w:tc>
        <w:tc>
          <w:tcPr>
            <w:tcW w:w="1376" w:type="pct"/>
            <w:tcBorders>
              <w:left w:val="single" w:sz="8" w:space="0" w:color="7BA0CD"/>
              <w:right w:val="single" w:sz="8" w:space="0" w:color="7BA0CD"/>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80 m</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highlight w:val="yellow"/>
              </w:rPr>
            </w:pPr>
            <w:r>
              <w:rPr>
                <w:rFonts w:ascii="Times New Roman" w:hAnsi="Times New Roman"/>
                <w:noProof/>
                <w:sz w:val="21"/>
                <w:szCs w:val="21"/>
              </w:rPr>
              <w:t>EUR 43,7 m</w:t>
            </w:r>
          </w:p>
        </w:tc>
        <w:tc>
          <w:tcPr>
            <w:tcW w:w="1238" w:type="pct"/>
            <w:tcBorders>
              <w:left w:val="single" w:sz="8" w:space="0" w:color="7BA0CD"/>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 xml:space="preserve">EUR </w:t>
            </w:r>
            <w:r>
              <w:rPr>
                <w:rFonts w:ascii="Times New Roman" w:eastAsia="Times New Roman" w:hAnsi="Times New Roman"/>
                <w:noProof/>
                <w:sz w:val="21"/>
                <w:szCs w:val="21"/>
              </w:rPr>
              <w:t>146,3</w:t>
            </w:r>
            <w:r>
              <w:rPr>
                <w:rFonts w:ascii="Times New Roman" w:hAnsi="Times New Roman"/>
                <w:noProof/>
                <w:sz w:val="21"/>
                <w:szCs w:val="21"/>
              </w:rPr>
              <w:t xml:space="preserve"> m</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116,2 m</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tcPr>
          <w:p>
            <w:pPr>
              <w:spacing w:before="60" w:after="120" w:line="276" w:lineRule="auto"/>
              <w:rPr>
                <w:rFonts w:ascii="Times New Roman" w:hAnsi="Times New Roman"/>
                <w:b w:val="0"/>
                <w:noProof/>
                <w:sz w:val="21"/>
                <w:szCs w:val="21"/>
              </w:rPr>
            </w:pPr>
            <w:r>
              <w:rPr>
                <w:rFonts w:ascii="Times New Roman" w:hAnsi="Times New Roman"/>
                <w:bCs w:val="0"/>
                <w:noProof/>
                <w:sz w:val="21"/>
                <w:szCs w:val="21"/>
              </w:rPr>
              <w:t>e) Performance</w:t>
            </w:r>
          </w:p>
          <w:p>
            <w:pPr>
              <w:spacing w:line="276" w:lineRule="auto"/>
              <w:rPr>
                <w:rFonts w:ascii="Times New Roman" w:hAnsi="Times New Roman"/>
                <w:b w:val="0"/>
                <w:bCs w:val="0"/>
                <w:noProof/>
                <w:sz w:val="21"/>
                <w:szCs w:val="21"/>
              </w:rPr>
            </w:pPr>
          </w:p>
          <w:p>
            <w:pPr>
              <w:spacing w:line="276" w:lineRule="auto"/>
              <w:rPr>
                <w:rFonts w:ascii="Times New Roman" w:hAnsi="Times New Roman"/>
                <w:b w:val="0"/>
                <w:bCs w:val="0"/>
                <w:noProof/>
                <w:sz w:val="21"/>
                <w:szCs w:val="21"/>
              </w:rPr>
            </w:pPr>
          </w:p>
          <w:p>
            <w:pPr>
              <w:spacing w:line="276" w:lineRule="auto"/>
              <w:jc w:val="center"/>
              <w:rPr>
                <w:rFonts w:ascii="Times New Roman" w:hAnsi="Times New Roman"/>
                <w:noProof/>
                <w:sz w:val="21"/>
                <w:szCs w:val="21"/>
              </w:rPr>
            </w:pPr>
          </w:p>
        </w:tc>
        <w:tc>
          <w:tcPr>
            <w:tcW w:w="1239" w:type="pct"/>
            <w:tcBorders>
              <w:left w:val="single" w:sz="8" w:space="0" w:color="7BA0CD"/>
              <w:righ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50 agreements signed for EUR 402,3 million expected financing to more than 60 062 eligible final recipients</w:t>
            </w:r>
          </w:p>
        </w:tc>
        <w:tc>
          <w:tcPr>
            <w:tcW w:w="1376" w:type="pct"/>
            <w:tcBorders>
              <w:left w:val="single" w:sz="8" w:space="0" w:color="7BA0CD"/>
              <w:righ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 xml:space="preserve"> EUR 710 million of  expected financing in the form of equity (at the level of the Marguerite fund)  for 20 to 30 projects; Currently 12 projects financed for a total equity commitment of EUR 455 million at fund level (equity at project level: EUR 1,8  billion)</w:t>
            </w:r>
          </w:p>
        </w:tc>
        <w:tc>
          <w:tcPr>
            <w:tcW w:w="1238" w:type="pct"/>
            <w:tcBorders>
              <w:left w:val="single" w:sz="8" w:space="0" w:color="7BA0CD"/>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highlight w:val="yellow"/>
              </w:rPr>
            </w:pPr>
            <w:r>
              <w:rPr>
                <w:rFonts w:ascii="Times New Roman" w:hAnsi="Times New Roman"/>
                <w:noProof/>
                <w:sz w:val="21"/>
                <w:szCs w:val="21"/>
              </w:rPr>
              <w:t>EUR 237  million of expected financing, in the form of equity (at the level of the EEE fund) for 20 to 30 projects; note that EEEF is open for new investors and can grow further</w:t>
            </w:r>
          </w:p>
        </w:tc>
      </w:tr>
      <w:tr>
        <w:tblPrEx>
          <w:tblBorders>
            <w:insideH w:val="single" w:sz="8" w:space="0" w:color="7BA0CD"/>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8DB3E2" w:themeColor="text2" w:themeTint="66"/>
            </w:tcBorders>
          </w:tcPr>
          <w:p>
            <w:pPr>
              <w:spacing w:before="60" w:after="120" w:line="276" w:lineRule="auto"/>
              <w:rPr>
                <w:rFonts w:ascii="Times New Roman" w:hAnsi="Times New Roman"/>
                <w:bCs w:val="0"/>
                <w:noProof/>
                <w:sz w:val="21"/>
                <w:szCs w:val="21"/>
              </w:rPr>
            </w:pPr>
            <w:r>
              <w:rPr>
                <w:rFonts w:ascii="Times New Roman" w:hAnsi="Times New Roman"/>
                <w:bCs w:val="0"/>
                <w:noProof/>
                <w:sz w:val="21"/>
                <w:szCs w:val="21"/>
              </w:rPr>
              <w:t>f) Evaluation of use of amounts returned to the instrument</w:t>
            </w:r>
          </w:p>
        </w:tc>
        <w:tc>
          <w:tcPr>
            <w:tcW w:w="1239" w:type="pct"/>
            <w:tcBorders>
              <w:left w:val="single" w:sz="4" w:space="0" w:color="8DB3E2" w:themeColor="text2" w:themeTint="66"/>
              <w:right w:val="single" w:sz="4" w:space="0" w:color="8DB3E2" w:themeColor="text2" w:themeTint="66"/>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c>
          <w:tcPr>
            <w:tcW w:w="1376" w:type="pct"/>
            <w:tcBorders>
              <w:left w:val="single" w:sz="4" w:space="0" w:color="8DB3E2" w:themeColor="text2" w:themeTint="66"/>
              <w:right w:val="single" w:sz="4" w:space="0" w:color="8DB3E2" w:themeColor="text2" w:themeTint="66"/>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c>
          <w:tcPr>
            <w:tcW w:w="1238" w:type="pct"/>
            <w:tcBorders>
              <w:left w:val="single" w:sz="4" w:space="0" w:color="8DB3E2" w:themeColor="text2" w:themeTint="66"/>
            </w:tcBorders>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r>
      <w:tr>
        <w:tblPrEx>
          <w:tblBorders>
            <w:insideH w:val="single" w:sz="8" w:space="0" w:color="7BA0CD"/>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4" w:space="0" w:color="8DB3E2" w:themeColor="text2" w:themeTint="66"/>
            </w:tcBorders>
          </w:tcPr>
          <w:p>
            <w:pPr>
              <w:spacing w:before="60" w:after="120" w:line="276" w:lineRule="auto"/>
              <w:rPr>
                <w:rFonts w:ascii="Times New Roman" w:hAnsi="Times New Roman"/>
                <w:bCs w:val="0"/>
                <w:noProof/>
                <w:sz w:val="21"/>
                <w:szCs w:val="21"/>
              </w:rPr>
            </w:pPr>
            <w:r>
              <w:rPr>
                <w:rFonts w:ascii="Times New Roman" w:hAnsi="Times New Roman"/>
                <w:bCs w:val="0"/>
                <w:noProof/>
                <w:sz w:val="21"/>
                <w:szCs w:val="21"/>
              </w:rPr>
              <w:t>g) Balance of fiduciary account</w:t>
            </w:r>
            <w:r>
              <w:rPr>
                <w:rStyle w:val="FootnoteReference"/>
                <w:rFonts w:ascii="Times New Roman" w:hAnsi="Times New Roman"/>
                <w:bCs w:val="0"/>
                <w:noProof/>
                <w:sz w:val="21"/>
                <w:szCs w:val="21"/>
              </w:rPr>
              <w:footnoteReference w:id="14"/>
            </w:r>
          </w:p>
        </w:tc>
        <w:tc>
          <w:tcPr>
            <w:tcW w:w="1239" w:type="pct"/>
            <w:tcBorders>
              <w:left w:val="single" w:sz="4" w:space="0" w:color="8DB3E2" w:themeColor="text2" w:themeTint="66"/>
              <w:right w:val="single" w:sz="4" w:space="0" w:color="8DB3E2" w:themeColor="text2" w:themeTint="66"/>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c>
          <w:tcPr>
            <w:tcW w:w="1376" w:type="pct"/>
            <w:tcBorders>
              <w:left w:val="single" w:sz="4" w:space="0" w:color="8DB3E2" w:themeColor="text2" w:themeTint="66"/>
              <w:right w:val="single" w:sz="4" w:space="0" w:color="8DB3E2" w:themeColor="text2" w:themeTint="66"/>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w:t>
            </w:r>
          </w:p>
        </w:tc>
        <w:tc>
          <w:tcPr>
            <w:tcW w:w="1238" w:type="pct"/>
            <w:tcBorders>
              <w:left w:val="single" w:sz="4" w:space="0" w:color="8DB3E2" w:themeColor="text2" w:themeTint="66"/>
            </w:tcBorders>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8 m</w:t>
            </w:r>
            <w:r>
              <w:rPr>
                <w:rFonts w:ascii="Times New Roman" w:hAnsi="Times New Roman"/>
                <w:noProof/>
                <w:highlight w:val="yellow"/>
              </w:rPr>
              <w:t xml:space="preserve"> </w:t>
            </w:r>
          </w:p>
        </w:tc>
      </w:tr>
      <w:tr>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shd w:val="clear" w:color="auto" w:fill="4F81BD" w:themeFill="accent1"/>
          </w:tcPr>
          <w:p>
            <w:pPr>
              <w:spacing w:before="60" w:after="120" w:line="276" w:lineRule="auto"/>
              <w:rPr>
                <w:rFonts w:ascii="Times New Roman" w:hAnsi="Times New Roman"/>
                <w:bCs w:val="0"/>
                <w:noProof/>
                <w:color w:val="FFFFFF" w:themeColor="background1"/>
                <w:sz w:val="21"/>
                <w:szCs w:val="21"/>
              </w:rPr>
            </w:pPr>
          </w:p>
        </w:tc>
        <w:tc>
          <w:tcPr>
            <w:tcW w:w="1239" w:type="pct"/>
            <w:tcBorders>
              <w:left w:val="single" w:sz="8" w:space="0" w:color="7BA0CD"/>
              <w:right w:val="single" w:sz="8" w:space="0" w:color="7BA0CD"/>
            </w:tcBorders>
            <w:shd w:val="clear" w:color="auto" w:fill="4F81BD" w:themeFill="accent1"/>
          </w:tcPr>
          <w:p>
            <w:pPr>
              <w:spacing w:before="60" w:after="12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bCs/>
                <w:noProof/>
                <w:color w:val="FFFFFF" w:themeColor="background1"/>
                <w:sz w:val="21"/>
                <w:szCs w:val="21"/>
              </w:rPr>
            </w:pPr>
            <w:r>
              <w:rPr>
                <w:rFonts w:ascii="Times New Roman" w:hAnsi="Times New Roman"/>
                <w:b/>
                <w:bCs/>
                <w:noProof/>
                <w:color w:val="FFFFFF" w:themeColor="background1"/>
                <w:sz w:val="21"/>
                <w:szCs w:val="21"/>
              </w:rPr>
              <w:t>European Progress Micro-finance Facility — FCP-FIS</w:t>
            </w:r>
          </w:p>
        </w:tc>
        <w:tc>
          <w:tcPr>
            <w:tcW w:w="1376" w:type="pct"/>
            <w:tcBorders>
              <w:left w:val="single" w:sz="8" w:space="0" w:color="7BA0CD"/>
              <w:right w:val="single" w:sz="8" w:space="0" w:color="7BA0CD"/>
            </w:tcBorders>
            <w:shd w:val="clear" w:color="auto" w:fill="4F81BD" w:themeFill="accent1"/>
          </w:tcPr>
          <w:p>
            <w:pPr>
              <w:spacing w:before="60" w:after="12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bCs/>
                <w:noProof/>
                <w:color w:val="FFFFFF" w:themeColor="background1"/>
                <w:sz w:val="21"/>
                <w:szCs w:val="21"/>
              </w:rPr>
            </w:pPr>
            <w:r>
              <w:rPr>
                <w:rFonts w:ascii="Times New Roman" w:hAnsi="Times New Roman"/>
                <w:b/>
                <w:bCs/>
                <w:noProof/>
                <w:color w:val="FFFFFF" w:themeColor="background1"/>
                <w:sz w:val="21"/>
                <w:szCs w:val="21"/>
              </w:rPr>
              <w:t xml:space="preserve">The 2020 European Fund – Marguerite </w:t>
            </w:r>
          </w:p>
        </w:tc>
        <w:tc>
          <w:tcPr>
            <w:tcW w:w="1238" w:type="pct"/>
            <w:tcBorders>
              <w:left w:val="single" w:sz="8" w:space="0" w:color="7BA0CD"/>
            </w:tcBorders>
            <w:shd w:val="clear" w:color="auto" w:fill="4F81BD" w:themeFill="accent1"/>
          </w:tcPr>
          <w:p>
            <w:pPr>
              <w:spacing w:before="60" w:after="12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bCs/>
                <w:noProof/>
                <w:color w:val="FFFFFF" w:themeColor="background1"/>
                <w:sz w:val="21"/>
                <w:szCs w:val="21"/>
              </w:rPr>
            </w:pPr>
            <w:r>
              <w:rPr>
                <w:rFonts w:ascii="Times New Roman" w:hAnsi="Times New Roman"/>
                <w:b/>
                <w:bCs/>
                <w:noProof/>
                <w:color w:val="FFFFFF" w:themeColor="background1"/>
                <w:sz w:val="21"/>
                <w:szCs w:val="21"/>
              </w:rPr>
              <w:t xml:space="preserve">European Energy Efficiency Fund — EEEF </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shd w:val="clear" w:color="auto" w:fill="auto"/>
          </w:tcPr>
          <w:p>
            <w:pPr>
              <w:spacing w:before="60" w:after="120" w:line="276" w:lineRule="auto"/>
              <w:rPr>
                <w:rFonts w:ascii="Times New Roman" w:hAnsi="Times New Roman"/>
                <w:bCs w:val="0"/>
                <w:noProof/>
                <w:sz w:val="21"/>
                <w:szCs w:val="21"/>
              </w:rPr>
            </w:pPr>
            <w:r>
              <w:rPr>
                <w:rFonts w:ascii="Times New Roman" w:hAnsi="Times New Roman"/>
                <w:bCs w:val="0"/>
                <w:noProof/>
                <w:sz w:val="21"/>
                <w:szCs w:val="21"/>
              </w:rPr>
              <w:t>h) Revenues and repayments</w:t>
            </w:r>
          </w:p>
        </w:tc>
        <w:tc>
          <w:tcPr>
            <w:tcW w:w="1239" w:type="pct"/>
            <w:tcBorders>
              <w:left w:val="single" w:sz="8" w:space="0" w:color="7BA0CD"/>
              <w:right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0 (from a Budget point of view)</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i/>
                <w:noProof/>
                <w:sz w:val="21"/>
                <w:szCs w:val="21"/>
              </w:rPr>
            </w:pPr>
            <w:r>
              <w:rPr>
                <w:rFonts w:ascii="Times New Roman" w:hAnsi="Times New Roman"/>
                <w:i/>
                <w:noProof/>
                <w:sz w:val="21"/>
                <w:szCs w:val="21"/>
              </w:rPr>
              <w:t xml:space="preserve">Nota : </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i/>
                <w:noProof/>
                <w:sz w:val="21"/>
                <w:szCs w:val="21"/>
              </w:rPr>
            </w:pPr>
            <w:r>
              <w:rPr>
                <w:rFonts w:ascii="Times New Roman" w:hAnsi="Times New Roman"/>
                <w:i/>
                <w:noProof/>
                <w:sz w:val="21"/>
                <w:szCs w:val="21"/>
              </w:rPr>
              <w:t>EUR 3,5 m revenues in 2016 and EUR 16,8 m aggregate revenues</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i/>
                <w:noProof/>
                <w:sz w:val="21"/>
                <w:szCs w:val="21"/>
              </w:rPr>
              <w:t>EUR 15,1 m repayments in 2016 and EUR 24,8 m aggregate repayments</w:t>
            </w:r>
          </w:p>
        </w:tc>
        <w:tc>
          <w:tcPr>
            <w:tcW w:w="1376" w:type="pct"/>
            <w:tcBorders>
              <w:left w:val="single" w:sz="8" w:space="0" w:color="7BA0CD"/>
              <w:right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0</w:t>
            </w:r>
          </w:p>
        </w:tc>
        <w:tc>
          <w:tcPr>
            <w:tcW w:w="1238" w:type="pct"/>
            <w:tcBorders>
              <w:left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Revenues for 2016: EUR 4,5 m (unaudited figure)</w:t>
            </w:r>
            <w:r>
              <w:rPr>
                <w:rFonts w:ascii="Times New Roman" w:hAnsi="Times New Roman"/>
                <w:noProof/>
                <w:sz w:val="21"/>
                <w:szCs w:val="21"/>
              </w:rPr>
              <w:br/>
            </w:r>
          </w:p>
        </w:tc>
      </w:tr>
      <w:tr>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shd w:val="clear" w:color="auto" w:fill="D3DFEE"/>
          </w:tcPr>
          <w:p>
            <w:pPr>
              <w:spacing w:before="60" w:after="120" w:line="276" w:lineRule="auto"/>
              <w:rPr>
                <w:rFonts w:ascii="Times New Roman" w:hAnsi="Times New Roman"/>
                <w:bCs w:val="0"/>
                <w:noProof/>
                <w:sz w:val="21"/>
                <w:szCs w:val="21"/>
              </w:rPr>
            </w:pPr>
            <w:r>
              <w:rPr>
                <w:rFonts w:ascii="Times New Roman" w:hAnsi="Times New Roman"/>
                <w:bCs w:val="0"/>
                <w:noProof/>
                <w:sz w:val="21"/>
                <w:szCs w:val="21"/>
              </w:rPr>
              <w:t>i) Value of equity investments</w:t>
            </w:r>
          </w:p>
        </w:tc>
        <w:tc>
          <w:tcPr>
            <w:tcW w:w="1239" w:type="pct"/>
            <w:tcBorders>
              <w:left w:val="single" w:sz="8" w:space="0" w:color="7BA0CD"/>
              <w:right w:val="single" w:sz="8" w:space="0" w:color="7BA0CD"/>
            </w:tcBorders>
            <w:shd w:val="clear" w:color="auto" w:fill="D3DFEE"/>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NAV: EUR 75,1 m</w:t>
            </w:r>
          </w:p>
        </w:tc>
        <w:tc>
          <w:tcPr>
            <w:tcW w:w="1376" w:type="pct"/>
            <w:tcBorders>
              <w:left w:val="single" w:sz="8" w:space="0" w:color="7BA0CD"/>
              <w:right w:val="single" w:sz="8" w:space="0" w:color="7BA0CD"/>
            </w:tcBorders>
            <w:shd w:val="clear" w:color="auto" w:fill="D3DFEE"/>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NAV: EUR 54 m</w:t>
            </w:r>
          </w:p>
        </w:tc>
        <w:tc>
          <w:tcPr>
            <w:tcW w:w="1238" w:type="pct"/>
            <w:tcBorders>
              <w:left w:val="single" w:sz="8" w:space="0" w:color="7BA0CD"/>
            </w:tcBorders>
            <w:shd w:val="clear" w:color="auto" w:fill="D3DFEE"/>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NAV: EUR 97,1 m</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shd w:val="clear" w:color="auto" w:fill="auto"/>
          </w:tcPr>
          <w:p>
            <w:pPr>
              <w:spacing w:before="60" w:after="120" w:line="276" w:lineRule="auto"/>
              <w:rPr>
                <w:rFonts w:ascii="Times New Roman" w:hAnsi="Times New Roman"/>
                <w:bCs w:val="0"/>
                <w:noProof/>
                <w:sz w:val="21"/>
                <w:szCs w:val="21"/>
              </w:rPr>
            </w:pPr>
            <w:r>
              <w:rPr>
                <w:rFonts w:ascii="Times New Roman" w:hAnsi="Times New Roman"/>
                <w:bCs w:val="0"/>
                <w:noProof/>
                <w:sz w:val="21"/>
                <w:szCs w:val="21"/>
              </w:rPr>
              <w:t>j) Impairments / called guarantees</w:t>
            </w:r>
          </w:p>
        </w:tc>
        <w:tc>
          <w:tcPr>
            <w:tcW w:w="1239" w:type="pct"/>
            <w:tcBorders>
              <w:left w:val="single" w:sz="8" w:space="0" w:color="7BA0CD"/>
              <w:right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0</w:t>
            </w:r>
          </w:p>
        </w:tc>
        <w:tc>
          <w:tcPr>
            <w:tcW w:w="1376" w:type="pct"/>
            <w:tcBorders>
              <w:left w:val="single" w:sz="8" w:space="0" w:color="7BA0CD"/>
              <w:right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0</w:t>
            </w:r>
          </w:p>
        </w:tc>
        <w:tc>
          <w:tcPr>
            <w:tcW w:w="1238" w:type="pct"/>
            <w:tcBorders>
              <w:left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0</w:t>
            </w:r>
          </w:p>
        </w:tc>
      </w:tr>
      <w:tr>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right w:val="single" w:sz="8" w:space="0" w:color="7BA0CD"/>
            </w:tcBorders>
            <w:shd w:val="clear" w:color="auto" w:fill="D3DFEE"/>
          </w:tcPr>
          <w:p>
            <w:pPr>
              <w:spacing w:before="60" w:after="120" w:line="276" w:lineRule="auto"/>
              <w:rPr>
                <w:rFonts w:ascii="Times New Roman" w:hAnsi="Times New Roman"/>
                <w:bCs w:val="0"/>
                <w:noProof/>
                <w:sz w:val="21"/>
                <w:szCs w:val="21"/>
              </w:rPr>
            </w:pPr>
            <w:r>
              <w:rPr>
                <w:rFonts w:ascii="Times New Roman" w:hAnsi="Times New Roman"/>
                <w:bCs w:val="0"/>
                <w:noProof/>
                <w:sz w:val="21"/>
                <w:szCs w:val="21"/>
              </w:rPr>
              <w:t>k) Leverage effect</w:t>
            </w:r>
          </w:p>
        </w:tc>
        <w:tc>
          <w:tcPr>
            <w:tcW w:w="1239" w:type="pct"/>
            <w:tcBorders>
              <w:left w:val="single" w:sz="8" w:space="0" w:color="7BA0CD"/>
              <w:right w:val="single" w:sz="8" w:space="0" w:color="7BA0CD"/>
            </w:tcBorders>
            <w:shd w:val="clear" w:color="auto" w:fill="D3DFEE"/>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Target: 2,83</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Expected: 5,02</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Achieved: 2,95</w:t>
            </w:r>
          </w:p>
        </w:tc>
        <w:tc>
          <w:tcPr>
            <w:tcW w:w="1376" w:type="pct"/>
            <w:tcBorders>
              <w:left w:val="single" w:sz="8" w:space="0" w:color="7BA0CD"/>
              <w:right w:val="single" w:sz="8" w:space="0" w:color="7BA0CD"/>
            </w:tcBorders>
            <w:shd w:val="clear" w:color="auto" w:fill="D3DFEE"/>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Achieved: 42</w:t>
            </w:r>
          </w:p>
        </w:tc>
        <w:tc>
          <w:tcPr>
            <w:tcW w:w="1238" w:type="pct"/>
            <w:tcBorders>
              <w:left w:val="single" w:sz="8" w:space="0" w:color="7BA0CD"/>
            </w:tcBorders>
            <w:shd w:val="clear" w:color="auto" w:fill="D3DFEE"/>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1"/>
                <w:szCs w:val="21"/>
                <w:highlight w:val="yellow"/>
              </w:rPr>
            </w:pPr>
            <w:r>
              <w:rPr>
                <w:rFonts w:ascii="Times New Roman" w:hAnsi="Times New Roman"/>
                <w:noProof/>
                <w:sz w:val="21"/>
                <w:szCs w:val="21"/>
              </w:rPr>
              <w:t>Achieved: 2,2</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7" w:type="pct"/>
            <w:tcBorders>
              <w:bottom w:val="single" w:sz="8" w:space="0" w:color="7BA0CD"/>
              <w:right w:val="single" w:sz="8" w:space="0" w:color="7BA0CD"/>
            </w:tcBorders>
            <w:shd w:val="clear" w:color="auto" w:fill="auto"/>
          </w:tcPr>
          <w:p>
            <w:pPr>
              <w:spacing w:before="60" w:after="120" w:line="276" w:lineRule="auto"/>
              <w:rPr>
                <w:rFonts w:ascii="Times New Roman" w:hAnsi="Times New Roman"/>
                <w:bCs w:val="0"/>
                <w:noProof/>
                <w:sz w:val="21"/>
                <w:szCs w:val="21"/>
              </w:rPr>
            </w:pPr>
            <w:r>
              <w:rPr>
                <w:rFonts w:ascii="Times New Roman" w:hAnsi="Times New Roman"/>
                <w:bCs w:val="0"/>
                <w:noProof/>
                <w:sz w:val="21"/>
                <w:szCs w:val="21"/>
              </w:rPr>
              <w:t>l) Contribution to achievement of policy objectives</w:t>
            </w:r>
          </w:p>
        </w:tc>
        <w:tc>
          <w:tcPr>
            <w:tcW w:w="1239" w:type="pct"/>
            <w:tcBorders>
              <w:left w:val="single" w:sz="8" w:space="0" w:color="7BA0CD"/>
              <w:bottom w:val="single" w:sz="8" w:space="0" w:color="7BA0CD"/>
              <w:right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236,06 million of new financing supported, reaching 32 428 final recipients with 35 241 micro-loans;</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337,2 million of investments supported;</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16 Member States covered.</w:t>
            </w:r>
          </w:p>
        </w:tc>
        <w:tc>
          <w:tcPr>
            <w:tcW w:w="1376" w:type="pct"/>
            <w:tcBorders>
              <w:left w:val="single" w:sz="8" w:space="0" w:color="7BA0CD"/>
              <w:bottom w:val="single" w:sz="8" w:space="0" w:color="7BA0CD"/>
              <w:right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455  million of new financing supported in the form of equity, for 12 projects (final recipients);</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EUR 5,4 billion of total investments supported (equity and debt);</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rPr>
            </w:pPr>
            <w:r>
              <w:rPr>
                <w:rFonts w:ascii="Times New Roman" w:hAnsi="Times New Roman"/>
                <w:noProof/>
                <w:sz w:val="21"/>
                <w:szCs w:val="21"/>
              </w:rPr>
              <w:t>9 countries covered.</w:t>
            </w:r>
          </w:p>
        </w:tc>
        <w:tc>
          <w:tcPr>
            <w:tcW w:w="1238" w:type="pct"/>
            <w:tcBorders>
              <w:left w:val="single" w:sz="8" w:space="0" w:color="7BA0CD"/>
              <w:bottom w:val="single" w:sz="8" w:space="0" w:color="7BA0CD"/>
            </w:tcBorders>
            <w:shd w:val="clear" w:color="auto" w:fill="auto"/>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1"/>
                <w:szCs w:val="21"/>
                <w:highlight w:val="yellow"/>
              </w:rPr>
            </w:pPr>
            <w:r>
              <w:rPr>
                <w:rFonts w:ascii="Times New Roman" w:hAnsi="Times New Roman"/>
                <w:noProof/>
                <w:sz w:val="21"/>
                <w:szCs w:val="21"/>
              </w:rPr>
              <w:t>EUR 121 million of new financing supported in the form of equity to 11 projects, accounting for EUR 224 million total investment.</w:t>
            </w:r>
          </w:p>
        </w:tc>
      </w:tr>
    </w:tbl>
    <w:p>
      <w:pPr>
        <w:pStyle w:val="Heading4"/>
        <w:spacing w:before="120"/>
        <w:rPr>
          <w:noProof/>
          <w:sz w:val="22"/>
          <w:szCs w:val="22"/>
        </w:rPr>
      </w:pPr>
      <w:bookmarkStart w:id="16" w:name="_Toc420402803"/>
      <w:bookmarkStart w:id="17" w:name="_Toc420402856"/>
      <w:bookmarkStart w:id="18" w:name="_Toc420402804"/>
      <w:bookmarkStart w:id="19" w:name="_Toc420402857"/>
      <w:bookmarkStart w:id="20" w:name="_Toc399517422"/>
      <w:bookmarkEnd w:id="16"/>
      <w:bookmarkEnd w:id="17"/>
      <w:bookmarkEnd w:id="18"/>
      <w:bookmarkEnd w:id="19"/>
      <w:r>
        <w:rPr>
          <w:noProof/>
          <w:sz w:val="22"/>
          <w:szCs w:val="22"/>
        </w:rPr>
        <w:br w:type="page"/>
        <w:t>FINANCIAL INSTRUMENTS IN THE ENLARGEMENT COUNTRIES</w:t>
      </w:r>
      <w:bookmarkEnd w:id="20"/>
    </w:p>
    <w:tbl>
      <w:tblPr>
        <w:tblW w:w="5433" w:type="pct"/>
        <w:tblInd w:w="-60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4285"/>
        <w:gridCol w:w="3666"/>
        <w:gridCol w:w="3683"/>
        <w:gridCol w:w="3817"/>
      </w:tblGrid>
      <w:tr>
        <w:tc>
          <w:tcPr>
            <w:tcW w:w="4285" w:type="dxa"/>
            <w:shd w:val="clear" w:color="auto" w:fill="4F81BD" w:themeFill="accent1"/>
          </w:tcPr>
          <w:p>
            <w:pPr>
              <w:rPr>
                <w:rFonts w:ascii="Times New Roman" w:hAnsi="Times New Roman" w:cs="Times New Roman"/>
                <w:b/>
                <w:bCs/>
                <w:noProof/>
                <w:color w:val="FFFFFF"/>
                <w:sz w:val="21"/>
                <w:szCs w:val="21"/>
              </w:rPr>
            </w:pPr>
          </w:p>
        </w:tc>
        <w:tc>
          <w:tcPr>
            <w:tcW w:w="3666"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Guarantee Facility under the WB EDIF</w:t>
            </w:r>
            <w:r>
              <w:rPr>
                <w:rStyle w:val="FootnoteReference"/>
                <w:rFonts w:ascii="Times New Roman" w:hAnsi="Times New Roman" w:cs="Times New Roman"/>
                <w:b/>
                <w:bCs/>
                <w:noProof/>
                <w:color w:val="FFFFFF" w:themeColor="background1"/>
                <w:sz w:val="21"/>
                <w:szCs w:val="21"/>
              </w:rPr>
              <w:footnoteReference w:id="15"/>
            </w:r>
            <w:r>
              <w:rPr>
                <w:rFonts w:ascii="Times New Roman" w:hAnsi="Times New Roman" w:cs="Times New Roman"/>
                <w:b/>
                <w:bCs/>
                <w:noProof/>
                <w:color w:val="FFFFFF" w:themeColor="background1"/>
                <w:sz w:val="21"/>
                <w:szCs w:val="21"/>
              </w:rPr>
              <w:t xml:space="preserve"> — GF WB 1</w:t>
            </w:r>
          </w:p>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(V.5.1 SWD)</w:t>
            </w:r>
          </w:p>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Policy DG in charge: NEAR</w:t>
            </w:r>
          </w:p>
        </w:tc>
        <w:tc>
          <w:tcPr>
            <w:tcW w:w="3683"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Guarantee Facility II under the WB EDIF</w:t>
            </w:r>
            <w:r>
              <w:rPr>
                <w:rStyle w:val="FootnoteReference"/>
                <w:rFonts w:ascii="Times New Roman" w:hAnsi="Times New Roman" w:cs="Times New Roman"/>
                <w:b/>
                <w:bCs/>
                <w:noProof/>
                <w:color w:val="FFFFFF" w:themeColor="background1"/>
                <w:sz w:val="21"/>
                <w:szCs w:val="21"/>
              </w:rPr>
              <w:footnoteReference w:id="16"/>
            </w:r>
            <w:r>
              <w:rPr>
                <w:rFonts w:ascii="Times New Roman" w:hAnsi="Times New Roman" w:cs="Times New Roman"/>
                <w:b/>
                <w:bCs/>
                <w:noProof/>
                <w:color w:val="FFFFFF" w:themeColor="background1"/>
                <w:sz w:val="21"/>
                <w:szCs w:val="21"/>
              </w:rPr>
              <w:t xml:space="preserve"> — GF WB 2</w:t>
            </w:r>
          </w:p>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(V.5.2 SWD)</w:t>
            </w:r>
          </w:p>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Policy DG in charge: NEAR</w:t>
            </w:r>
          </w:p>
        </w:tc>
        <w:tc>
          <w:tcPr>
            <w:tcW w:w="3817"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Enterprise Expansion Fund — ENEF</w:t>
            </w:r>
            <w:r>
              <w:rPr>
                <w:rStyle w:val="FootnoteReference"/>
                <w:rFonts w:ascii="Times New Roman" w:hAnsi="Times New Roman" w:cs="Times New Roman"/>
                <w:b/>
                <w:bCs/>
                <w:noProof/>
                <w:color w:val="FFFFFF" w:themeColor="background1"/>
                <w:sz w:val="21"/>
                <w:szCs w:val="21"/>
              </w:rPr>
              <w:footnoteReference w:id="17"/>
            </w:r>
          </w:p>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(V.5.3 SWD)</w:t>
            </w:r>
          </w:p>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Policy DG in charge: NEAR</w:t>
            </w:r>
          </w:p>
        </w:tc>
      </w:tr>
      <w:tr>
        <w:tc>
          <w:tcPr>
            <w:tcW w:w="4285"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a) ID/basic act</w:t>
            </w:r>
          </w:p>
        </w:tc>
        <w:tc>
          <w:tcPr>
            <w:tcW w:w="366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Council Regulation (EC) No 1085/2006</w:t>
            </w:r>
          </w:p>
        </w:tc>
        <w:tc>
          <w:tcPr>
            <w:tcW w:w="3683"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Regulation (EC) No 231/2014</w:t>
            </w:r>
          </w:p>
        </w:tc>
        <w:tc>
          <w:tcPr>
            <w:tcW w:w="3817" w:type="dxa"/>
            <w:shd w:val="clear" w:color="auto" w:fill="D3DFEE"/>
          </w:tcPr>
          <w:p>
            <w:pPr>
              <w:spacing w:before="60" w:after="120" w:line="240" w:lineRule="auto"/>
              <w:rPr>
                <w:rFonts w:ascii="Times New Roman" w:hAnsi="Times New Roman" w:cs="Times New Roman"/>
                <w:i/>
                <w:noProof/>
                <w:sz w:val="21"/>
                <w:szCs w:val="21"/>
              </w:rPr>
            </w:pPr>
            <w:r>
              <w:rPr>
                <w:rFonts w:ascii="Times New Roman" w:hAnsi="Times New Roman" w:cs="Times New Roman"/>
                <w:noProof/>
                <w:sz w:val="21"/>
                <w:szCs w:val="21"/>
              </w:rPr>
              <w:t>Council Regulation (EC) No 1085/2006</w:t>
            </w:r>
          </w:p>
        </w:tc>
      </w:tr>
      <w:tr>
        <w:tc>
          <w:tcPr>
            <w:tcW w:w="4285"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b) Description</w:t>
            </w:r>
          </w:p>
        </w:tc>
        <w:tc>
          <w:tcPr>
            <w:tcW w:w="366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Guarantee instrument to create conditions for emergence and growth of innovative and high-potential SMEs in the Western Balkans</w:t>
            </w:r>
          </w:p>
        </w:tc>
        <w:tc>
          <w:tcPr>
            <w:tcW w:w="3683"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Direct continuation of WB EDIF GF 1; Guarantee instrument to create conditions for emergence and growth of innovative and high-potential SMEs in the Western Balkans</w:t>
            </w:r>
          </w:p>
        </w:tc>
        <w:tc>
          <w:tcPr>
            <w:tcW w:w="381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Equity instrument financing development and expansion capital in established SMEs in the Western Balkans</w:t>
            </w:r>
          </w:p>
        </w:tc>
      </w:tr>
      <w:tr>
        <w:trPr>
          <w:trHeight w:val="853"/>
        </w:trPr>
        <w:tc>
          <w:tcPr>
            <w:tcW w:w="4285"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c) Financial institutions involved</w:t>
            </w:r>
          </w:p>
        </w:tc>
        <w:tc>
          <w:tcPr>
            <w:tcW w:w="366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EIF</w:t>
            </w:r>
          </w:p>
        </w:tc>
        <w:tc>
          <w:tcPr>
            <w:tcW w:w="3683"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EIF</w:t>
            </w:r>
          </w:p>
        </w:tc>
        <w:tc>
          <w:tcPr>
            <w:tcW w:w="381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EIF (trustee),</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EBRD, DEG, OeEB</w:t>
            </w:r>
          </w:p>
        </w:tc>
      </w:tr>
      <w:tr>
        <w:tc>
          <w:tcPr>
            <w:tcW w:w="4285"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d) Aggregate budg. commitments and payments</w:t>
            </w:r>
          </w:p>
        </w:tc>
        <w:tc>
          <w:tcPr>
            <w:tcW w:w="366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21,9 m</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21,9 m</w:t>
            </w:r>
          </w:p>
        </w:tc>
        <w:tc>
          <w:tcPr>
            <w:tcW w:w="3683"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17,5 m</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10 m</w:t>
            </w:r>
          </w:p>
        </w:tc>
        <w:tc>
          <w:tcPr>
            <w:tcW w:w="381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11 m</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10,4 m</w:t>
            </w:r>
          </w:p>
        </w:tc>
      </w:tr>
      <w:tr>
        <w:tc>
          <w:tcPr>
            <w:tcW w:w="4285"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e) Performance</w:t>
            </w:r>
          </w:p>
        </w:tc>
        <w:tc>
          <w:tcPr>
            <w:tcW w:w="366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6 contracts signed with banks for expected financing of EUR 117,9 million to final recipients</w:t>
            </w:r>
          </w:p>
        </w:tc>
        <w:tc>
          <w:tcPr>
            <w:tcW w:w="3683"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 xml:space="preserve">Financing expected: EUR 107 million  </w:t>
            </w:r>
          </w:p>
        </w:tc>
        <w:tc>
          <w:tcPr>
            <w:tcW w:w="381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noProof/>
                <w:sz w:val="21"/>
                <w:szCs w:val="21"/>
              </w:rPr>
              <w:t>EUR 97 million (approx.) of expected financing, in the form of equity (at the level of the ENEF fund) for approx. 15 final recipients ; achieved financing: EUR 4,75 m for 3 final recipients.</w:t>
            </w:r>
          </w:p>
        </w:tc>
      </w:tr>
      <w:tr>
        <w:tc>
          <w:tcPr>
            <w:tcW w:w="4285" w:type="dxa"/>
            <w:shd w:val="clear" w:color="auto" w:fill="4F81BD" w:themeFill="accent1"/>
          </w:tcPr>
          <w:p>
            <w:pPr>
              <w:rPr>
                <w:rFonts w:ascii="Times New Roman" w:hAnsi="Times New Roman" w:cs="Times New Roman"/>
                <w:b/>
                <w:bCs/>
                <w:noProof/>
                <w:color w:val="FFFFFF"/>
                <w:sz w:val="21"/>
                <w:szCs w:val="21"/>
              </w:rPr>
            </w:pPr>
          </w:p>
        </w:tc>
        <w:tc>
          <w:tcPr>
            <w:tcW w:w="3666"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Guarantee Facility under the WB EDIF</w:t>
            </w:r>
            <w:r>
              <w:rPr>
                <w:rStyle w:val="FootnoteReference"/>
                <w:rFonts w:ascii="Times New Roman" w:hAnsi="Times New Roman" w:cs="Times New Roman"/>
                <w:b/>
                <w:bCs/>
                <w:noProof/>
                <w:color w:val="FFFFFF" w:themeColor="background1"/>
                <w:sz w:val="21"/>
                <w:szCs w:val="21"/>
              </w:rPr>
              <w:footnoteReference w:id="18"/>
            </w:r>
            <w:r>
              <w:rPr>
                <w:rFonts w:ascii="Times New Roman" w:hAnsi="Times New Roman" w:cs="Times New Roman"/>
                <w:b/>
                <w:bCs/>
                <w:noProof/>
                <w:color w:val="FFFFFF" w:themeColor="background1"/>
                <w:sz w:val="21"/>
                <w:szCs w:val="21"/>
              </w:rPr>
              <w:t xml:space="preserve"> — GF WB 1</w:t>
            </w:r>
          </w:p>
        </w:tc>
        <w:tc>
          <w:tcPr>
            <w:tcW w:w="3683"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Guarantee Facility II under the WB EDIF</w:t>
            </w:r>
            <w:r>
              <w:rPr>
                <w:rStyle w:val="FootnoteReference"/>
                <w:rFonts w:ascii="Times New Roman" w:hAnsi="Times New Roman" w:cs="Times New Roman"/>
                <w:b/>
                <w:bCs/>
                <w:noProof/>
                <w:color w:val="FFFFFF" w:themeColor="background1"/>
                <w:sz w:val="21"/>
                <w:szCs w:val="21"/>
              </w:rPr>
              <w:footnoteReference w:id="19"/>
            </w:r>
            <w:r>
              <w:rPr>
                <w:rFonts w:ascii="Times New Roman" w:hAnsi="Times New Roman" w:cs="Times New Roman"/>
                <w:b/>
                <w:bCs/>
                <w:noProof/>
                <w:color w:val="FFFFFF" w:themeColor="background1"/>
                <w:sz w:val="21"/>
                <w:szCs w:val="21"/>
              </w:rPr>
              <w:t xml:space="preserve"> — GF WB 2</w:t>
            </w:r>
          </w:p>
        </w:tc>
        <w:tc>
          <w:tcPr>
            <w:tcW w:w="3817"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Enterprise Expansion Fund — ENEF</w:t>
            </w:r>
            <w:r>
              <w:rPr>
                <w:rStyle w:val="FootnoteReference"/>
                <w:rFonts w:ascii="Times New Roman" w:hAnsi="Times New Roman" w:cs="Times New Roman"/>
                <w:b/>
                <w:bCs/>
                <w:noProof/>
                <w:color w:val="FFFFFF" w:themeColor="background1"/>
                <w:sz w:val="21"/>
                <w:szCs w:val="21"/>
              </w:rPr>
              <w:footnoteReference w:id="20"/>
            </w:r>
          </w:p>
        </w:tc>
      </w:tr>
      <w:tr>
        <w:tc>
          <w:tcPr>
            <w:tcW w:w="4285"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f) Evaluation of use of amounts returned to the instrument</w:t>
            </w:r>
          </w:p>
        </w:tc>
        <w:tc>
          <w:tcPr>
            <w:tcW w:w="366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0,003 m</w:t>
            </w:r>
          </w:p>
        </w:tc>
        <w:tc>
          <w:tcPr>
            <w:tcW w:w="3683"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381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r>
      <w:tr>
        <w:trPr>
          <w:trHeight w:val="450"/>
        </w:trPr>
        <w:tc>
          <w:tcPr>
            <w:tcW w:w="4285"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g) Balance of fiduciary account</w:t>
            </w:r>
            <w:r>
              <w:rPr>
                <w:rStyle w:val="FootnoteReference"/>
                <w:rFonts w:ascii="Times New Roman" w:hAnsi="Times New Roman" w:cs="Times New Roman"/>
                <w:b/>
                <w:bCs/>
                <w:noProof/>
                <w:sz w:val="21"/>
                <w:szCs w:val="21"/>
              </w:rPr>
              <w:footnoteReference w:id="21"/>
            </w:r>
          </w:p>
        </w:tc>
        <w:tc>
          <w:tcPr>
            <w:tcW w:w="366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19,34 m</w:t>
            </w:r>
          </w:p>
        </w:tc>
        <w:tc>
          <w:tcPr>
            <w:tcW w:w="3683"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9,6 m</w:t>
            </w:r>
          </w:p>
        </w:tc>
        <w:tc>
          <w:tcPr>
            <w:tcW w:w="381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9,79 m</w:t>
            </w:r>
            <w:r>
              <w:rPr>
                <w:rFonts w:ascii="Times New Roman" w:hAnsi="Times New Roman" w:cs="Times New Roman"/>
                <w:noProof/>
              </w:rPr>
              <w:t xml:space="preserve"> </w:t>
            </w:r>
          </w:p>
        </w:tc>
      </w:tr>
      <w:tr>
        <w:tc>
          <w:tcPr>
            <w:tcW w:w="4285"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h) Revenues and repayments</w:t>
            </w:r>
          </w:p>
        </w:tc>
        <w:tc>
          <w:tcPr>
            <w:tcW w:w="366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0,02 m</w:t>
            </w:r>
          </w:p>
        </w:tc>
        <w:tc>
          <w:tcPr>
            <w:tcW w:w="3683"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w:t>
            </w:r>
          </w:p>
        </w:tc>
        <w:tc>
          <w:tcPr>
            <w:tcW w:w="381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r>
      <w:tr>
        <w:trPr>
          <w:trHeight w:val="907"/>
        </w:trPr>
        <w:tc>
          <w:tcPr>
            <w:tcW w:w="4285"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i) Value of equity investments</w:t>
            </w:r>
          </w:p>
        </w:tc>
        <w:tc>
          <w:tcPr>
            <w:tcW w:w="366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3683"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381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1,22 m</w:t>
            </w:r>
            <w:r>
              <w:rPr>
                <w:rFonts w:ascii="Times New Roman" w:hAnsi="Times New Roman" w:cs="Times New Roman"/>
                <w:noProof/>
              </w:rPr>
              <w:t xml:space="preserve"> </w:t>
            </w:r>
          </w:p>
        </w:tc>
      </w:tr>
      <w:tr>
        <w:tc>
          <w:tcPr>
            <w:tcW w:w="4285"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j) Impairments / called guarantees</w:t>
            </w:r>
          </w:p>
        </w:tc>
        <w:tc>
          <w:tcPr>
            <w:tcW w:w="366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0,51 m</w:t>
            </w:r>
            <w:r>
              <w:rPr>
                <w:rFonts w:ascii="Times New Roman" w:hAnsi="Times New Roman" w:cs="Times New Roman"/>
                <w:noProof/>
              </w:rPr>
              <w:t xml:space="preserve"> </w:t>
            </w:r>
          </w:p>
        </w:tc>
        <w:tc>
          <w:tcPr>
            <w:tcW w:w="3683"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w:t>
            </w:r>
          </w:p>
        </w:tc>
        <w:tc>
          <w:tcPr>
            <w:tcW w:w="381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w:t>
            </w:r>
          </w:p>
        </w:tc>
      </w:tr>
      <w:tr>
        <w:tc>
          <w:tcPr>
            <w:tcW w:w="4285"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k) Leverage effect</w:t>
            </w:r>
          </w:p>
        </w:tc>
        <w:tc>
          <w:tcPr>
            <w:tcW w:w="3666"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7</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5,4</w:t>
            </w:r>
          </w:p>
        </w:tc>
        <w:tc>
          <w:tcPr>
            <w:tcW w:w="3683"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4 to 5,2</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Expected: 6,1</w:t>
            </w:r>
          </w:p>
        </w:tc>
        <w:tc>
          <w:tcPr>
            <w:tcW w:w="381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10</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Expected: 8.8</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0,4</w:t>
            </w:r>
          </w:p>
        </w:tc>
      </w:tr>
      <w:tr>
        <w:trPr>
          <w:trHeight w:val="761"/>
        </w:trPr>
        <w:tc>
          <w:tcPr>
            <w:tcW w:w="4285"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l) Contribution to achievement of policy objectives</w:t>
            </w:r>
          </w:p>
        </w:tc>
        <w:tc>
          <w:tcPr>
            <w:tcW w:w="3666"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117,9 million of achieved financing for  1430 final recipients.</w:t>
            </w:r>
          </w:p>
        </w:tc>
        <w:tc>
          <w:tcPr>
            <w:tcW w:w="3683"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 xml:space="preserve">Not available yet (6 operations with financial intermediaries (banks) are in the pipeline). </w:t>
            </w:r>
          </w:p>
        </w:tc>
        <w:tc>
          <w:tcPr>
            <w:tcW w:w="381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4,75 million of new financing supported for 3 recipients.</w:t>
            </w:r>
          </w:p>
        </w:tc>
      </w:tr>
    </w:tbl>
    <w:p>
      <w:pPr>
        <w:jc w:val="both"/>
        <w:rPr>
          <w:rFonts w:ascii="Times New Roman" w:hAnsi="Times New Roman" w:cs="Times New Roman"/>
          <w:noProof/>
        </w:rPr>
      </w:pPr>
    </w:p>
    <w:tbl>
      <w:tblPr>
        <w:tblW w:w="5433" w:type="pct"/>
        <w:tblInd w:w="-60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3600"/>
        <w:gridCol w:w="2998"/>
        <w:gridCol w:w="2998"/>
        <w:gridCol w:w="2998"/>
        <w:gridCol w:w="2857"/>
      </w:tblGrid>
      <w:tr>
        <w:tc>
          <w:tcPr>
            <w:tcW w:w="3600" w:type="dxa"/>
            <w:shd w:val="clear" w:color="auto" w:fill="4F81BD" w:themeFill="accent1"/>
          </w:tcPr>
          <w:p>
            <w:pPr>
              <w:rPr>
                <w:rFonts w:ascii="Times New Roman" w:hAnsi="Times New Roman" w:cs="Times New Roman"/>
                <w:b/>
                <w:bCs/>
                <w:noProof/>
                <w:color w:val="FFFFFF"/>
                <w:sz w:val="21"/>
                <w:szCs w:val="21"/>
              </w:rPr>
            </w:pPr>
          </w:p>
        </w:tc>
        <w:tc>
          <w:tcPr>
            <w:tcW w:w="2998"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Enterprise Innovation Fund -ENIF</w:t>
            </w:r>
            <w:r>
              <w:rPr>
                <w:rStyle w:val="FootnoteReference"/>
                <w:rFonts w:ascii="Times New Roman" w:hAnsi="Times New Roman" w:cs="Times New Roman"/>
                <w:b/>
                <w:bCs/>
                <w:noProof/>
                <w:color w:val="FFFFFF" w:themeColor="background1"/>
                <w:sz w:val="21"/>
                <w:szCs w:val="21"/>
              </w:rPr>
              <w:footnoteReference w:id="22"/>
            </w:r>
          </w:p>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(V.5.4 SWD)</w:t>
            </w:r>
          </w:p>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Policy DG in charge: NEAR</w:t>
            </w:r>
          </w:p>
        </w:tc>
        <w:tc>
          <w:tcPr>
            <w:tcW w:w="2998"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European Fund for Southeast Europe — EFSE</w:t>
            </w:r>
          </w:p>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(V.5.5 SWD)</w:t>
            </w:r>
          </w:p>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Policy DG in charge: NEAR</w:t>
            </w:r>
          </w:p>
        </w:tc>
        <w:tc>
          <w:tcPr>
            <w:tcW w:w="2998"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Green for Growth Fund — GGF</w:t>
            </w:r>
          </w:p>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(V.5.6 SWD)</w:t>
            </w:r>
          </w:p>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Policy DG in charge: NEAR</w:t>
            </w:r>
          </w:p>
        </w:tc>
        <w:tc>
          <w:tcPr>
            <w:tcW w:w="2857"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SME Recovery Support Loan for Turkey — RSL</w:t>
            </w:r>
          </w:p>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(V.5.7 SWD)</w:t>
            </w:r>
          </w:p>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Policy DG in charge NEAR</w:t>
            </w:r>
          </w:p>
        </w:tc>
      </w:tr>
      <w:tr>
        <w:trPr>
          <w:trHeight w:val="564"/>
        </w:trPr>
        <w:tc>
          <w:tcPr>
            <w:tcW w:w="3600"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a) ID/basic act</w:t>
            </w:r>
          </w:p>
        </w:tc>
        <w:tc>
          <w:tcPr>
            <w:tcW w:w="2998" w:type="dxa"/>
            <w:shd w:val="clear" w:color="auto" w:fill="D3DFEE"/>
          </w:tcPr>
          <w:p>
            <w:pPr>
              <w:spacing w:before="60" w:after="120" w:line="240" w:lineRule="auto"/>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Council Regulation (EC) No 1085/2006</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eastAsia="Times New Roman" w:hAnsi="Times New Roman" w:cs="Times New Roman"/>
                <w:noProof/>
                <w:sz w:val="21"/>
                <w:szCs w:val="21"/>
              </w:rPr>
              <w:t>Council Regulation (EC) No 1085/2006</w:t>
            </w:r>
          </w:p>
        </w:tc>
        <w:tc>
          <w:tcPr>
            <w:tcW w:w="2998" w:type="dxa"/>
            <w:shd w:val="clear" w:color="auto" w:fill="D3DFEE"/>
          </w:tcPr>
          <w:p>
            <w:pPr>
              <w:spacing w:before="60" w:after="120" w:line="240" w:lineRule="auto"/>
              <w:rPr>
                <w:rFonts w:ascii="Times New Roman" w:hAnsi="Times New Roman" w:cs="Times New Roman"/>
                <w:i/>
                <w:noProof/>
                <w:sz w:val="21"/>
                <w:szCs w:val="21"/>
              </w:rPr>
            </w:pPr>
            <w:r>
              <w:rPr>
                <w:rFonts w:ascii="Times New Roman" w:eastAsia="Times New Roman" w:hAnsi="Times New Roman" w:cs="Times New Roman"/>
                <w:noProof/>
                <w:sz w:val="21"/>
                <w:szCs w:val="21"/>
              </w:rPr>
              <w:t>Council Regulation (EC) No 1085/2006</w:t>
            </w:r>
          </w:p>
        </w:tc>
        <w:tc>
          <w:tcPr>
            <w:tcW w:w="2857" w:type="dxa"/>
            <w:shd w:val="clear" w:color="auto" w:fill="D3DFEE"/>
          </w:tcPr>
          <w:p>
            <w:pPr>
              <w:spacing w:before="60" w:after="120" w:line="240" w:lineRule="auto"/>
              <w:rPr>
                <w:rFonts w:ascii="Times New Roman" w:eastAsia="Times New Roman" w:hAnsi="Times New Roman" w:cs="Times New Roman"/>
                <w:noProof/>
                <w:sz w:val="21"/>
                <w:szCs w:val="21"/>
              </w:rPr>
            </w:pPr>
            <w:r>
              <w:rPr>
                <w:rFonts w:ascii="Times New Roman" w:hAnsi="Times New Roman" w:cs="Times New Roman"/>
                <w:noProof/>
                <w:sz w:val="21"/>
                <w:szCs w:val="21"/>
              </w:rPr>
              <w:t>Council Regulation (EC) No 1085/2006</w:t>
            </w:r>
          </w:p>
        </w:tc>
      </w:tr>
      <w:tr>
        <w:trPr>
          <w:trHeight w:val="1296"/>
        </w:trPr>
        <w:tc>
          <w:tcPr>
            <w:tcW w:w="3600"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b) Description</w:t>
            </w:r>
          </w:p>
        </w:tc>
        <w:tc>
          <w:tcPr>
            <w:tcW w:w="2998"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Equity instrument financing early</w:t>
            </w:r>
            <w:r>
              <w:rPr>
                <w:rFonts w:ascii="Times New Roman" w:hAnsi="Times New Roman" w:cs="Times New Roman"/>
                <w:noProof/>
                <w:sz w:val="21"/>
                <w:szCs w:val="21"/>
              </w:rPr>
              <w:noBreakHyphen/>
              <w:t>stage innovative SMEs in the Western Balkans</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Public-private partnership to assist the development of the private sector in the enlargement region by supporting SMEs</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Innovative fund to provide financing for energy efficiency and renewable energy projects in southeast Europe and Turkey</w:t>
            </w:r>
          </w:p>
        </w:tc>
        <w:tc>
          <w:tcPr>
            <w:tcW w:w="2857"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Co-financing instrument to mitigate the impact of the crisis and support SMEs in order to develop the Turkish economy</w:t>
            </w:r>
          </w:p>
        </w:tc>
      </w:tr>
      <w:tr>
        <w:trPr>
          <w:trHeight w:val="1004"/>
        </w:trPr>
        <w:tc>
          <w:tcPr>
            <w:tcW w:w="3600"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c) Financial institutions involved</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EIF (trustee),</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EBRD, KfW</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EIF (trustee)</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Other investors (e,g, EBRD, KfW, EIB)</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EIF (trustee)</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Co-investors (e,g, EIB, EBRD, KfW)</w:t>
            </w:r>
          </w:p>
        </w:tc>
        <w:tc>
          <w:tcPr>
            <w:tcW w:w="285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EIB (risk</w:t>
            </w:r>
            <w:r>
              <w:rPr>
                <w:rFonts w:ascii="Times New Roman" w:hAnsi="Times New Roman" w:cs="Times New Roman"/>
                <w:noProof/>
                <w:sz w:val="21"/>
                <w:szCs w:val="21"/>
              </w:rPr>
              <w:noBreakHyphen/>
              <w:t>sharing partner)</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Halkbank, Akbank</w:t>
            </w:r>
          </w:p>
        </w:tc>
      </w:tr>
      <w:tr>
        <w:trPr>
          <w:trHeight w:val="679"/>
        </w:trPr>
        <w:tc>
          <w:tcPr>
            <w:tcW w:w="3600"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d) Aggregate budg. commitments and payments</w:t>
            </w:r>
          </w:p>
        </w:tc>
        <w:tc>
          <w:tcPr>
            <w:tcW w:w="2998"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21,2 m</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21,2 m</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87,68 m</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87,68 m</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38,6 m</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38,6 m</w:t>
            </w:r>
          </w:p>
        </w:tc>
        <w:tc>
          <w:tcPr>
            <w:tcW w:w="2857"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30 m</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30 m</w:t>
            </w:r>
          </w:p>
        </w:tc>
      </w:tr>
      <w:tr>
        <w:tc>
          <w:tcPr>
            <w:tcW w:w="3600"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e) Performance</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 xml:space="preserve">EUR 50 million of expected financing, in the form of equity (at the level of the ENIF fund); achieved financing : EUR 1,18 m (for 5 recipients)  </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 xml:space="preserve">EU share of EUR 113,7 million committed to the EFSE fund; achieved financing : 120 695 active loans in SEE and 702 790 loans disbursed since inception in Dec 2005 for a total amount of EUR 4.3 billion.  </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 share of EUR 38,6 million committed to the GGF fund , with EUR 411,7 million expected financing and EUR 429,9  million achieved financing for 16 701 final recipients.</w:t>
            </w:r>
          </w:p>
        </w:tc>
        <w:tc>
          <w:tcPr>
            <w:tcW w:w="285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299,6 million of financing already provided  to 265  final recipients</w:t>
            </w:r>
          </w:p>
        </w:tc>
      </w:tr>
      <w:tr>
        <w:tc>
          <w:tcPr>
            <w:tcW w:w="3600" w:type="dxa"/>
            <w:tcBorders>
              <w:top w:val="single" w:sz="8" w:space="0" w:color="7BA0CD"/>
              <w:left w:val="single" w:sz="8" w:space="0" w:color="7BA0CD"/>
              <w:bottom w:val="single" w:sz="8" w:space="0" w:color="7BA0CD"/>
              <w:right w:val="single" w:sz="8" w:space="0" w:color="7BA0CD"/>
            </w:tcBorders>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f) Evaluation of use of amounts returned to the instrument</w:t>
            </w:r>
          </w:p>
        </w:tc>
        <w:tc>
          <w:tcPr>
            <w:tcW w:w="2998" w:type="dxa"/>
            <w:tcBorders>
              <w:top w:val="single" w:sz="8" w:space="0" w:color="7BA0CD"/>
              <w:left w:val="single" w:sz="8" w:space="0" w:color="7BA0CD"/>
              <w:bottom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998" w:type="dxa"/>
            <w:tcBorders>
              <w:top w:val="single" w:sz="8" w:space="0" w:color="7BA0CD"/>
              <w:left w:val="single" w:sz="8" w:space="0" w:color="7BA0CD"/>
              <w:bottom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998" w:type="dxa"/>
            <w:tcBorders>
              <w:top w:val="single" w:sz="8" w:space="0" w:color="7BA0CD"/>
              <w:left w:val="single" w:sz="8" w:space="0" w:color="7BA0CD"/>
              <w:bottom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857" w:type="dxa"/>
            <w:tcBorders>
              <w:top w:val="single" w:sz="8" w:space="0" w:color="7BA0CD"/>
              <w:left w:val="single" w:sz="8" w:space="0" w:color="7BA0CD"/>
              <w:bottom w:val="single" w:sz="8" w:space="0" w:color="7BA0CD"/>
              <w:right w:val="single" w:sz="8" w:space="0" w:color="7BA0CD"/>
            </w:tcBorders>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r>
      <w:tr>
        <w:tc>
          <w:tcPr>
            <w:tcW w:w="3600" w:type="dxa"/>
            <w:shd w:val="clear" w:color="auto" w:fill="4F81BD" w:themeFill="accent1"/>
          </w:tcPr>
          <w:p>
            <w:pPr>
              <w:rPr>
                <w:rFonts w:ascii="Times New Roman" w:hAnsi="Times New Roman" w:cs="Times New Roman"/>
                <w:b/>
                <w:bCs/>
                <w:noProof/>
                <w:color w:val="FFFFFF"/>
                <w:sz w:val="21"/>
                <w:szCs w:val="21"/>
              </w:rPr>
            </w:pPr>
          </w:p>
        </w:tc>
        <w:tc>
          <w:tcPr>
            <w:tcW w:w="2998"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Enterprise Innovation Fund -ENIF</w:t>
            </w:r>
          </w:p>
        </w:tc>
        <w:tc>
          <w:tcPr>
            <w:tcW w:w="2998"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European Fund for Southeast Europe — EFSE</w:t>
            </w:r>
          </w:p>
        </w:tc>
        <w:tc>
          <w:tcPr>
            <w:tcW w:w="2998"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Green for Growth Fund — GGF</w:t>
            </w:r>
          </w:p>
        </w:tc>
        <w:tc>
          <w:tcPr>
            <w:tcW w:w="2857" w:type="dxa"/>
            <w:shd w:val="clear" w:color="auto" w:fill="4F81BD" w:themeFill="accent1"/>
          </w:tcPr>
          <w:p>
            <w:pPr>
              <w:spacing w:before="60" w:after="120"/>
              <w:rPr>
                <w:rFonts w:ascii="Times New Roman" w:hAnsi="Times New Roman" w:cs="Times New Roman"/>
                <w:b/>
                <w:bCs/>
                <w:noProof/>
                <w:color w:val="FFFFFF" w:themeColor="background1"/>
                <w:sz w:val="21"/>
                <w:szCs w:val="21"/>
              </w:rPr>
            </w:pPr>
            <w:r>
              <w:rPr>
                <w:rFonts w:ascii="Times New Roman" w:hAnsi="Times New Roman" w:cs="Times New Roman"/>
                <w:b/>
                <w:bCs/>
                <w:noProof/>
                <w:color w:val="FFFFFF" w:themeColor="background1"/>
                <w:sz w:val="21"/>
                <w:szCs w:val="21"/>
              </w:rPr>
              <w:t>SME Recovery Support Loan for Turkey — RSL</w:t>
            </w:r>
          </w:p>
        </w:tc>
      </w:tr>
      <w:tr>
        <w:tc>
          <w:tcPr>
            <w:tcW w:w="3600"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g) Balance of fiduciary account</w:t>
            </w:r>
            <w:r>
              <w:rPr>
                <w:rStyle w:val="FootnoteReference"/>
                <w:rFonts w:ascii="Times New Roman" w:hAnsi="Times New Roman" w:cs="Times New Roman"/>
                <w:b/>
                <w:bCs/>
                <w:noProof/>
                <w:sz w:val="21"/>
                <w:szCs w:val="21"/>
              </w:rPr>
              <w:footnoteReference w:id="23"/>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19,6 m</w:t>
            </w:r>
            <w:r>
              <w:rPr>
                <w:rFonts w:ascii="Times New Roman" w:hAnsi="Times New Roman" w:cs="Times New Roman"/>
                <w:noProof/>
              </w:rPr>
              <w:t xml:space="preserve"> </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85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18,06 m</w:t>
            </w:r>
          </w:p>
        </w:tc>
      </w:tr>
      <w:tr>
        <w:tc>
          <w:tcPr>
            <w:tcW w:w="3600"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h) Revenues and repayments</w:t>
            </w:r>
          </w:p>
        </w:tc>
        <w:tc>
          <w:tcPr>
            <w:tcW w:w="2998"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857"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18,06 m</w:t>
            </w:r>
          </w:p>
        </w:tc>
      </w:tr>
      <w:tr>
        <w:trPr>
          <w:trHeight w:val="675"/>
        </w:trPr>
        <w:tc>
          <w:tcPr>
            <w:tcW w:w="3600"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i) Value of equity investments</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0,44 m</w:t>
            </w:r>
            <w:r>
              <w:rPr>
                <w:rFonts w:ascii="Times New Roman" w:hAnsi="Times New Roman" w:cs="Times New Roman"/>
                <w:noProof/>
              </w:rPr>
              <w:t xml:space="preserve"> </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113,7 m (at EFSE level)</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39,3 m (at GGF level)</w:t>
            </w:r>
          </w:p>
        </w:tc>
        <w:tc>
          <w:tcPr>
            <w:tcW w:w="285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r>
      <w:tr>
        <w:tc>
          <w:tcPr>
            <w:tcW w:w="3600"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j) Impairments / called guarantees</w:t>
            </w:r>
          </w:p>
        </w:tc>
        <w:tc>
          <w:tcPr>
            <w:tcW w:w="2998"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857"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none</w:t>
            </w:r>
          </w:p>
        </w:tc>
      </w:tr>
      <w:tr>
        <w:tc>
          <w:tcPr>
            <w:tcW w:w="3600"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k) Leverage effect</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Expected: 2</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 0,06</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49</w:t>
            </w:r>
          </w:p>
        </w:tc>
        <w:tc>
          <w:tcPr>
            <w:tcW w:w="299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10,7</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Expected: 12,6</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11,1</w:t>
            </w:r>
          </w:p>
        </w:tc>
        <w:tc>
          <w:tcPr>
            <w:tcW w:w="285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10</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10</w:t>
            </w:r>
          </w:p>
        </w:tc>
      </w:tr>
      <w:tr>
        <w:trPr>
          <w:trHeight w:val="761"/>
        </w:trPr>
        <w:tc>
          <w:tcPr>
            <w:tcW w:w="3600"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l) Contribution to achievement of policy objectives</w:t>
            </w:r>
          </w:p>
        </w:tc>
        <w:tc>
          <w:tcPr>
            <w:tcW w:w="2998"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 xml:space="preserve">EUR 50 million of expected financing in the form of equity (at the level of the ENIF fund); achieved financing : EUR 1,18 m (for 5 recipients)  </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,4,3 billion of new financing supported for 702 790 final recipients;</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EFSE has been an international role model for micro-finance (see SWD).</w:t>
            </w:r>
          </w:p>
        </w:tc>
        <w:tc>
          <w:tcPr>
            <w:tcW w:w="2998"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429,9 million achieved financing for 16 701 final recipients.</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1 548 436 MWh/yr, annualised energy savings;</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CO</w:t>
            </w:r>
            <w:r>
              <w:rPr>
                <w:rFonts w:ascii="Times New Roman" w:hAnsi="Times New Roman" w:cs="Times New Roman"/>
                <w:noProof/>
                <w:sz w:val="21"/>
                <w:szCs w:val="21"/>
                <w:vertAlign w:val="subscript"/>
              </w:rPr>
              <w:t>2</w:t>
            </w:r>
            <w:r>
              <w:rPr>
                <w:rFonts w:ascii="Times New Roman" w:hAnsi="Times New Roman" w:cs="Times New Roman"/>
                <w:noProof/>
                <w:sz w:val="21"/>
                <w:szCs w:val="21"/>
              </w:rPr>
              <w:t xml:space="preserve"> reduction of 389 434 tonnes/yr.</w:t>
            </w:r>
          </w:p>
        </w:tc>
        <w:tc>
          <w:tcPr>
            <w:tcW w:w="2857"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299,6 million of new financing supported for 265 eligible final recipients, aimed at creating more than 4 000 new jobs.</w:t>
            </w:r>
          </w:p>
        </w:tc>
      </w:tr>
    </w:tbl>
    <w:p>
      <w:pPr>
        <w:pStyle w:val="Heading4"/>
        <w:numPr>
          <w:ilvl w:val="0"/>
          <w:numId w:val="0"/>
        </w:numPr>
        <w:spacing w:before="120"/>
        <w:rPr>
          <w:noProof/>
          <w:sz w:val="22"/>
          <w:szCs w:val="22"/>
        </w:rPr>
      </w:pPr>
      <w:bookmarkStart w:id="21" w:name="_Toc399517423"/>
      <w:r>
        <w:rPr>
          <w:noProof/>
          <w:sz w:val="22"/>
          <w:szCs w:val="22"/>
        </w:rPr>
        <w:br w:type="page"/>
        <w:t>F - FINANCIAL INSTRUMENTS IN NEIGHBOURHOOD AND DCI COUNTRIES</w:t>
      </w:r>
      <w:bookmarkEnd w:id="21"/>
    </w:p>
    <w:tbl>
      <w:tblPr>
        <w:tblW w:w="15451" w:type="dxa"/>
        <w:tblInd w:w="-60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firstRow="1" w:lastRow="0" w:firstColumn="1" w:lastColumn="0" w:noHBand="0" w:noVBand="1"/>
      </w:tblPr>
      <w:tblGrid>
        <w:gridCol w:w="2127"/>
        <w:gridCol w:w="1701"/>
        <w:gridCol w:w="2977"/>
        <w:gridCol w:w="1842"/>
        <w:gridCol w:w="2268"/>
        <w:gridCol w:w="1985"/>
        <w:gridCol w:w="2551"/>
      </w:tblGrid>
      <w:tr>
        <w:trPr>
          <w:trHeight w:val="1613"/>
        </w:trPr>
        <w:tc>
          <w:tcPr>
            <w:tcW w:w="2127" w:type="dxa"/>
            <w:shd w:val="clear" w:color="auto" w:fill="4F81BD" w:themeFill="accent1"/>
          </w:tcPr>
          <w:p>
            <w:pPr>
              <w:spacing w:before="60" w:after="120"/>
              <w:rPr>
                <w:rFonts w:ascii="Times New Roman" w:hAnsi="Times New Roman" w:cs="Times New Roman"/>
                <w:b/>
                <w:bCs/>
                <w:noProof/>
                <w:color w:val="FFFFFF"/>
                <w:sz w:val="21"/>
                <w:szCs w:val="21"/>
              </w:rPr>
            </w:pPr>
          </w:p>
        </w:tc>
        <w:tc>
          <w:tcPr>
            <w:tcW w:w="1701"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Neighbourhood Investment Facility – NIF</w:t>
            </w:r>
          </w:p>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(V.6.1 SWD)</w:t>
            </w:r>
          </w:p>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Policy DG in charge: NEAR</w:t>
            </w:r>
          </w:p>
        </w:tc>
        <w:tc>
          <w:tcPr>
            <w:tcW w:w="2977"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Investment Facility for Central Asia — IFCA and Asian Investment Facility — AIF</w:t>
            </w:r>
          </w:p>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(V.6.2 SWD)</w:t>
            </w:r>
          </w:p>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Policy DG in charge: DEVCO</w:t>
            </w:r>
          </w:p>
        </w:tc>
        <w:tc>
          <w:tcPr>
            <w:tcW w:w="1842"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Latin America Investment Facility — LAIF</w:t>
            </w:r>
          </w:p>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(V.6.3 SWD)</w:t>
            </w:r>
          </w:p>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Policy DG in charge: DEVCO</w:t>
            </w:r>
          </w:p>
        </w:tc>
        <w:tc>
          <w:tcPr>
            <w:tcW w:w="2268"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Support to the Facility for FEMIP</w:t>
            </w:r>
          </w:p>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(V.6.4 SWD)</w:t>
            </w:r>
          </w:p>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Policy DG in charge:</w:t>
            </w:r>
          </w:p>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NEAR</w:t>
            </w:r>
          </w:p>
        </w:tc>
        <w:tc>
          <w:tcPr>
            <w:tcW w:w="1985"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GEEREF</w:t>
            </w:r>
          </w:p>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(V.6.5 SWD)</w:t>
            </w:r>
          </w:p>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Policy DG in charge: DEVCO</w:t>
            </w:r>
          </w:p>
          <w:p>
            <w:pPr>
              <w:spacing w:after="0"/>
              <w:rPr>
                <w:rFonts w:ascii="Times New Roman" w:hAnsi="Times New Roman" w:cs="Times New Roman"/>
                <w:b/>
                <w:bCs/>
                <w:noProof/>
                <w:color w:val="FFFFFF"/>
                <w:sz w:val="21"/>
                <w:szCs w:val="21"/>
              </w:rPr>
            </w:pPr>
          </w:p>
        </w:tc>
        <w:tc>
          <w:tcPr>
            <w:tcW w:w="2551"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Thematic blending (ElectriFI, AgriFI, Climate Change)</w:t>
            </w:r>
          </w:p>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(V.6.6 SWD)</w:t>
            </w:r>
          </w:p>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Policy DG in charge: DEVCO</w:t>
            </w:r>
          </w:p>
        </w:tc>
      </w:tr>
      <w:tr>
        <w:trPr>
          <w:trHeight w:val="1498"/>
        </w:trPr>
        <w:tc>
          <w:tcPr>
            <w:tcW w:w="2127"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a) ID/basic act</w:t>
            </w:r>
          </w:p>
        </w:tc>
        <w:tc>
          <w:tcPr>
            <w:tcW w:w="1701" w:type="dxa"/>
            <w:shd w:val="clear" w:color="auto" w:fill="D3DFEE"/>
          </w:tcPr>
          <w:p>
            <w:pPr>
              <w:spacing w:after="0" w:line="240" w:lineRule="auto"/>
              <w:rPr>
                <w:rFonts w:ascii="Times New Roman" w:hAnsi="Times New Roman" w:cs="Times New Roman"/>
                <w:noProof/>
                <w:sz w:val="21"/>
                <w:szCs w:val="21"/>
              </w:rPr>
            </w:pPr>
            <w:r>
              <w:rPr>
                <w:rFonts w:ascii="Times New Roman" w:hAnsi="Times New Roman" w:cs="Times New Roman"/>
                <w:noProof/>
                <w:sz w:val="21"/>
                <w:szCs w:val="21"/>
              </w:rPr>
              <w:t>Regulation (EC) No 1638/2006</w:t>
            </w:r>
          </w:p>
          <w:p>
            <w:pPr>
              <w:spacing w:after="0" w:line="240" w:lineRule="auto"/>
              <w:rPr>
                <w:rFonts w:ascii="Times New Roman" w:hAnsi="Times New Roman" w:cs="Times New Roman"/>
                <w:noProof/>
                <w:sz w:val="21"/>
                <w:szCs w:val="21"/>
              </w:rPr>
            </w:pPr>
            <w:r>
              <w:rPr>
                <w:rFonts w:ascii="Times New Roman" w:hAnsi="Times New Roman" w:cs="Times New Roman"/>
                <w:noProof/>
                <w:sz w:val="21"/>
                <w:szCs w:val="21"/>
              </w:rPr>
              <w:t>Regulation (EU) No 232/2014</w:t>
            </w:r>
          </w:p>
          <w:p>
            <w:pPr>
              <w:spacing w:after="0" w:line="240" w:lineRule="auto"/>
              <w:rPr>
                <w:rFonts w:ascii="Times New Roman" w:hAnsi="Times New Roman" w:cs="Times New Roman"/>
                <w:noProof/>
                <w:sz w:val="21"/>
                <w:szCs w:val="21"/>
              </w:rPr>
            </w:pPr>
            <w:r>
              <w:rPr>
                <w:rFonts w:ascii="Times New Roman" w:hAnsi="Times New Roman" w:cs="Times New Roman"/>
                <w:noProof/>
                <w:sz w:val="21"/>
                <w:szCs w:val="21"/>
              </w:rPr>
              <w:t>Regulation (EU) 236/2014</w:t>
            </w:r>
          </w:p>
        </w:tc>
        <w:tc>
          <w:tcPr>
            <w:tcW w:w="2977" w:type="dxa"/>
            <w:shd w:val="clear" w:color="auto" w:fill="D3DFEE"/>
          </w:tcPr>
          <w:p>
            <w:pPr>
              <w:spacing w:after="0" w:line="240" w:lineRule="auto"/>
              <w:rPr>
                <w:rFonts w:ascii="Times New Roman" w:hAnsi="Times New Roman" w:cs="Times New Roman"/>
                <w:noProof/>
                <w:sz w:val="21"/>
                <w:szCs w:val="21"/>
                <w:lang w:val="pt-PT"/>
              </w:rPr>
            </w:pPr>
            <w:r>
              <w:rPr>
                <w:rFonts w:ascii="Times New Roman" w:hAnsi="Times New Roman" w:cs="Times New Roman"/>
                <w:noProof/>
                <w:sz w:val="21"/>
                <w:szCs w:val="21"/>
                <w:lang w:val="pt-PT"/>
              </w:rPr>
              <w:t>Regulation (EC) No 1905/2006</w:t>
            </w:r>
          </w:p>
          <w:p>
            <w:pPr>
              <w:spacing w:after="0" w:line="240" w:lineRule="auto"/>
              <w:rPr>
                <w:rFonts w:ascii="Times New Roman" w:hAnsi="Times New Roman" w:cs="Times New Roman"/>
                <w:noProof/>
                <w:sz w:val="21"/>
                <w:szCs w:val="21"/>
                <w:lang w:val="pt-PT"/>
              </w:rPr>
            </w:pPr>
            <w:r>
              <w:rPr>
                <w:rFonts w:ascii="Times New Roman" w:hAnsi="Times New Roman" w:cs="Times New Roman"/>
                <w:noProof/>
                <w:sz w:val="21"/>
                <w:szCs w:val="21"/>
                <w:lang w:val="pt-PT"/>
              </w:rPr>
              <w:t>Regulation (EU) No 233/2014</w:t>
            </w:r>
          </w:p>
          <w:p>
            <w:pPr>
              <w:spacing w:after="0" w:line="240" w:lineRule="auto"/>
              <w:rPr>
                <w:rFonts w:ascii="Times New Roman" w:hAnsi="Times New Roman" w:cs="Times New Roman"/>
                <w:noProof/>
                <w:sz w:val="21"/>
                <w:szCs w:val="21"/>
                <w:lang w:val="pt-PT"/>
              </w:rPr>
            </w:pPr>
            <w:r>
              <w:rPr>
                <w:rFonts w:ascii="Times New Roman" w:hAnsi="Times New Roman" w:cs="Times New Roman"/>
                <w:noProof/>
                <w:sz w:val="21"/>
                <w:szCs w:val="21"/>
                <w:lang w:val="pt-PT"/>
              </w:rPr>
              <w:t>Regulation (EU) No 236/2014</w:t>
            </w:r>
          </w:p>
        </w:tc>
        <w:tc>
          <w:tcPr>
            <w:tcW w:w="1842" w:type="dxa"/>
            <w:shd w:val="clear" w:color="auto" w:fill="D3DFEE"/>
          </w:tcPr>
          <w:p>
            <w:pPr>
              <w:spacing w:after="0" w:line="240" w:lineRule="auto"/>
              <w:rPr>
                <w:rFonts w:ascii="Times New Roman" w:hAnsi="Times New Roman" w:cs="Times New Roman"/>
                <w:noProof/>
                <w:sz w:val="21"/>
                <w:szCs w:val="21"/>
                <w:lang w:val="pt-PT"/>
              </w:rPr>
            </w:pPr>
            <w:r>
              <w:rPr>
                <w:rFonts w:ascii="Times New Roman" w:hAnsi="Times New Roman" w:cs="Times New Roman"/>
                <w:noProof/>
                <w:sz w:val="21"/>
                <w:szCs w:val="21"/>
                <w:lang w:val="pt-PT"/>
              </w:rPr>
              <w:t>Regulation (EC) No 1905/2006</w:t>
            </w:r>
          </w:p>
          <w:p>
            <w:pPr>
              <w:spacing w:after="0" w:line="240" w:lineRule="auto"/>
              <w:rPr>
                <w:rFonts w:ascii="Times New Roman" w:hAnsi="Times New Roman" w:cs="Times New Roman"/>
                <w:noProof/>
                <w:sz w:val="21"/>
                <w:szCs w:val="21"/>
                <w:lang w:val="pt-PT"/>
              </w:rPr>
            </w:pPr>
            <w:r>
              <w:rPr>
                <w:rFonts w:ascii="Times New Roman" w:hAnsi="Times New Roman" w:cs="Times New Roman"/>
                <w:noProof/>
                <w:sz w:val="21"/>
                <w:szCs w:val="21"/>
                <w:lang w:val="pt-PT"/>
              </w:rPr>
              <w:t>Regulation (EU) No 233/2014</w:t>
            </w:r>
          </w:p>
          <w:p>
            <w:pPr>
              <w:spacing w:after="0" w:line="240" w:lineRule="auto"/>
              <w:rPr>
                <w:rFonts w:ascii="Times New Roman" w:hAnsi="Times New Roman" w:cs="Times New Roman"/>
                <w:noProof/>
                <w:sz w:val="21"/>
                <w:szCs w:val="21"/>
                <w:lang w:val="pt-PT"/>
              </w:rPr>
            </w:pPr>
            <w:r>
              <w:rPr>
                <w:rFonts w:ascii="Times New Roman" w:hAnsi="Times New Roman" w:cs="Times New Roman"/>
                <w:noProof/>
                <w:sz w:val="21"/>
                <w:szCs w:val="21"/>
                <w:lang w:val="pt-PT"/>
              </w:rPr>
              <w:t>Regulation (EU) No 236/2014</w:t>
            </w:r>
          </w:p>
        </w:tc>
        <w:tc>
          <w:tcPr>
            <w:tcW w:w="2268" w:type="dxa"/>
            <w:shd w:val="clear" w:color="auto" w:fill="D3DFEE"/>
          </w:tcPr>
          <w:p>
            <w:pPr>
              <w:spacing w:after="0" w:line="240" w:lineRule="auto"/>
              <w:rPr>
                <w:rFonts w:ascii="Times New Roman" w:hAnsi="Times New Roman" w:cs="Times New Roman"/>
                <w:noProof/>
                <w:sz w:val="21"/>
                <w:szCs w:val="21"/>
                <w:lang w:val="pt-PT"/>
              </w:rPr>
            </w:pPr>
            <w:r>
              <w:rPr>
                <w:rFonts w:ascii="Times New Roman" w:hAnsi="Times New Roman" w:cs="Times New Roman"/>
                <w:noProof/>
                <w:sz w:val="21"/>
                <w:szCs w:val="21"/>
              </w:rPr>
              <w:t>Regulation (EC) No 1638/2006</w:t>
            </w:r>
          </w:p>
        </w:tc>
        <w:tc>
          <w:tcPr>
            <w:tcW w:w="1985" w:type="dxa"/>
            <w:shd w:val="clear" w:color="auto" w:fill="D3DFEE"/>
          </w:tcPr>
          <w:p>
            <w:pPr>
              <w:spacing w:after="0" w:line="240" w:lineRule="auto"/>
              <w:ind w:right="57"/>
              <w:rPr>
                <w:rFonts w:ascii="Times New Roman" w:eastAsia="Times New Roman" w:hAnsi="Times New Roman" w:cs="Times New Roman"/>
                <w:noProof/>
                <w:sz w:val="21"/>
                <w:szCs w:val="21"/>
                <w:lang w:val="pt-PT" w:eastAsia="en-GB"/>
              </w:rPr>
            </w:pPr>
            <w:r>
              <w:rPr>
                <w:rFonts w:ascii="Times New Roman" w:eastAsia="Times New Roman" w:hAnsi="Times New Roman" w:cs="Times New Roman"/>
                <w:noProof/>
                <w:sz w:val="21"/>
                <w:szCs w:val="21"/>
                <w:lang w:val="pt-PT" w:eastAsia="en-GB"/>
              </w:rPr>
              <w:t>Regulation (EC) No 1905/2006</w:t>
            </w:r>
          </w:p>
          <w:p>
            <w:pPr>
              <w:spacing w:after="0" w:line="240" w:lineRule="auto"/>
              <w:ind w:right="57"/>
              <w:rPr>
                <w:rFonts w:ascii="Times New Roman" w:eastAsia="Times New Roman" w:hAnsi="Times New Roman" w:cs="Times New Roman"/>
                <w:noProof/>
                <w:sz w:val="21"/>
                <w:szCs w:val="21"/>
                <w:lang w:val="pt-PT" w:eastAsia="en-GB"/>
              </w:rPr>
            </w:pPr>
            <w:r>
              <w:rPr>
                <w:rFonts w:ascii="Times New Roman" w:eastAsia="Times New Roman" w:hAnsi="Times New Roman" w:cs="Times New Roman"/>
                <w:noProof/>
                <w:sz w:val="21"/>
                <w:szCs w:val="21"/>
                <w:lang w:val="pt-PT" w:eastAsia="en-GB"/>
              </w:rPr>
              <w:t>Regulations (EU) No 233/2014</w:t>
            </w:r>
          </w:p>
          <w:p>
            <w:pPr>
              <w:spacing w:after="0" w:line="240" w:lineRule="auto"/>
              <w:rPr>
                <w:rFonts w:ascii="Times New Roman" w:hAnsi="Times New Roman" w:cs="Times New Roman"/>
                <w:noProof/>
                <w:sz w:val="21"/>
                <w:szCs w:val="21"/>
                <w:lang w:val="pt-PT"/>
              </w:rPr>
            </w:pPr>
            <w:r>
              <w:rPr>
                <w:rFonts w:ascii="Times New Roman" w:eastAsia="Times New Roman" w:hAnsi="Times New Roman" w:cs="Times New Roman"/>
                <w:noProof/>
                <w:sz w:val="21"/>
                <w:szCs w:val="21"/>
                <w:lang w:val="pt-PT" w:eastAsia="en-GB"/>
              </w:rPr>
              <w:t>Regulations (EU) 236/2014</w:t>
            </w:r>
          </w:p>
        </w:tc>
        <w:tc>
          <w:tcPr>
            <w:tcW w:w="2551" w:type="dxa"/>
            <w:shd w:val="clear" w:color="auto" w:fill="D3DFEE"/>
          </w:tcPr>
          <w:p>
            <w:pPr>
              <w:spacing w:after="0" w:line="240" w:lineRule="auto"/>
              <w:ind w:right="57"/>
              <w:rPr>
                <w:rFonts w:ascii="Times New Roman" w:hAnsi="Times New Roman" w:cs="Times New Roman"/>
                <w:noProof/>
                <w:sz w:val="21"/>
                <w:szCs w:val="21"/>
                <w:lang w:val="pt-PT"/>
              </w:rPr>
            </w:pPr>
            <w:r>
              <w:rPr>
                <w:rFonts w:ascii="Times New Roman" w:hAnsi="Times New Roman" w:cs="Times New Roman"/>
                <w:noProof/>
                <w:sz w:val="21"/>
                <w:szCs w:val="21"/>
                <w:lang w:val="pt-PT"/>
              </w:rPr>
              <w:t>Regulation (EC) No 1905/2006</w:t>
            </w:r>
          </w:p>
          <w:p>
            <w:pPr>
              <w:spacing w:after="0" w:line="240" w:lineRule="auto"/>
              <w:ind w:right="57"/>
              <w:rPr>
                <w:rFonts w:ascii="Times New Roman" w:hAnsi="Times New Roman" w:cs="Times New Roman"/>
                <w:noProof/>
                <w:sz w:val="21"/>
                <w:szCs w:val="21"/>
                <w:lang w:val="pt-PT"/>
              </w:rPr>
            </w:pPr>
            <w:r>
              <w:rPr>
                <w:rFonts w:ascii="Times New Roman" w:hAnsi="Times New Roman" w:cs="Times New Roman"/>
                <w:noProof/>
                <w:sz w:val="21"/>
                <w:szCs w:val="21"/>
                <w:lang w:val="pt-PT"/>
              </w:rPr>
              <w:t>Regulation (EU) No 233/2014</w:t>
            </w:r>
          </w:p>
          <w:p>
            <w:pPr>
              <w:spacing w:after="0" w:line="240" w:lineRule="auto"/>
              <w:rPr>
                <w:rFonts w:ascii="Times New Roman" w:hAnsi="Times New Roman" w:cs="Times New Roman"/>
                <w:noProof/>
                <w:sz w:val="21"/>
                <w:szCs w:val="21"/>
                <w:lang w:val="pt-PT"/>
              </w:rPr>
            </w:pPr>
            <w:r>
              <w:rPr>
                <w:rFonts w:ascii="Times New Roman" w:hAnsi="Times New Roman" w:cs="Times New Roman"/>
                <w:noProof/>
                <w:sz w:val="21"/>
                <w:szCs w:val="21"/>
                <w:lang w:val="pt-PT"/>
              </w:rPr>
              <w:t>Regulation (EU) No 236/2014</w:t>
            </w:r>
          </w:p>
        </w:tc>
      </w:tr>
      <w:tr>
        <w:tc>
          <w:tcPr>
            <w:tcW w:w="2127"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b) Description</w:t>
            </w:r>
          </w:p>
        </w:tc>
        <w:tc>
          <w:tcPr>
            <w:tcW w:w="1701" w:type="dxa"/>
            <w:shd w:val="clear" w:color="auto" w:fill="auto"/>
          </w:tcPr>
          <w:p>
            <w:pPr>
              <w:spacing w:after="0" w:line="240" w:lineRule="auto"/>
              <w:rPr>
                <w:rFonts w:ascii="Times New Roman" w:hAnsi="Times New Roman" w:cs="Times New Roman"/>
                <w:noProof/>
                <w:sz w:val="21"/>
                <w:szCs w:val="21"/>
              </w:rPr>
            </w:pPr>
            <w:r>
              <w:rPr>
                <w:rFonts w:ascii="Times New Roman" w:hAnsi="Times New Roman" w:cs="Times New Roman"/>
                <w:noProof/>
                <w:sz w:val="21"/>
                <w:szCs w:val="21"/>
              </w:rPr>
              <w:t>Instrument  promoting investments with a focus on energy, transport, environment, SMEs and socio-economic development</w:t>
            </w:r>
          </w:p>
        </w:tc>
        <w:tc>
          <w:tcPr>
            <w:tcW w:w="2977" w:type="dxa"/>
            <w:shd w:val="clear" w:color="auto" w:fill="auto"/>
          </w:tcPr>
          <w:p>
            <w:pPr>
              <w:spacing w:after="0" w:line="240" w:lineRule="auto"/>
              <w:rPr>
                <w:rFonts w:ascii="Times New Roman" w:hAnsi="Times New Roman" w:cs="Times New Roman"/>
                <w:noProof/>
                <w:sz w:val="21"/>
                <w:szCs w:val="21"/>
              </w:rPr>
            </w:pPr>
            <w:r>
              <w:rPr>
                <w:rFonts w:ascii="Times New Roman" w:hAnsi="Times New Roman" w:cs="Times New Roman"/>
                <w:noProof/>
                <w:sz w:val="21"/>
                <w:szCs w:val="21"/>
              </w:rPr>
              <w:t>IFCA: Instrument promoting investments and key infrastructures with a focus on energy and environment</w:t>
            </w:r>
          </w:p>
          <w:p>
            <w:pPr>
              <w:spacing w:after="0" w:line="240" w:lineRule="auto"/>
              <w:rPr>
                <w:rFonts w:ascii="Times New Roman" w:hAnsi="Times New Roman" w:cs="Times New Roman"/>
                <w:noProof/>
                <w:sz w:val="21"/>
                <w:szCs w:val="21"/>
              </w:rPr>
            </w:pPr>
            <w:r>
              <w:rPr>
                <w:rFonts w:ascii="Times New Roman" w:hAnsi="Times New Roman" w:cs="Times New Roman"/>
                <w:noProof/>
                <w:sz w:val="21"/>
                <w:szCs w:val="21"/>
              </w:rPr>
              <w:t>AIF: Instrument promoting investments and key infrastructure with a focus on climate change and ‘green’ investments, SMEs.</w:t>
            </w:r>
          </w:p>
        </w:tc>
        <w:tc>
          <w:tcPr>
            <w:tcW w:w="1842" w:type="dxa"/>
            <w:shd w:val="clear" w:color="auto" w:fill="auto"/>
          </w:tcPr>
          <w:p>
            <w:pPr>
              <w:spacing w:after="0" w:line="240" w:lineRule="auto"/>
              <w:rPr>
                <w:rFonts w:ascii="Times New Roman" w:hAnsi="Times New Roman" w:cs="Times New Roman"/>
                <w:noProof/>
                <w:sz w:val="21"/>
                <w:szCs w:val="21"/>
              </w:rPr>
            </w:pPr>
            <w:r>
              <w:rPr>
                <w:rFonts w:ascii="Times New Roman" w:hAnsi="Times New Roman" w:cs="Times New Roman"/>
                <w:noProof/>
                <w:sz w:val="21"/>
                <w:szCs w:val="21"/>
              </w:rPr>
              <w:t>Instrument aimed at promoting investments and infrastructures in sectors such as transport, energy, environment and social sectors in Latin America</w:t>
            </w:r>
          </w:p>
        </w:tc>
        <w:tc>
          <w:tcPr>
            <w:tcW w:w="2268" w:type="dxa"/>
          </w:tcPr>
          <w:p>
            <w:pPr>
              <w:spacing w:after="0" w:line="240" w:lineRule="auto"/>
              <w:rPr>
                <w:rFonts w:ascii="Times New Roman" w:hAnsi="Times New Roman" w:cs="Times New Roman"/>
                <w:noProof/>
                <w:sz w:val="21"/>
                <w:szCs w:val="21"/>
              </w:rPr>
            </w:pPr>
            <w:r>
              <w:rPr>
                <w:rFonts w:ascii="Times New Roman" w:hAnsi="Times New Roman" w:cs="Times New Roman"/>
                <w:noProof/>
                <w:sz w:val="21"/>
                <w:szCs w:val="21"/>
              </w:rPr>
              <w:t>Instrument providing capital to the private sector on terms not otherwise locally available</w:t>
            </w:r>
          </w:p>
        </w:tc>
        <w:tc>
          <w:tcPr>
            <w:tcW w:w="1985" w:type="dxa"/>
          </w:tcPr>
          <w:p>
            <w:pPr>
              <w:spacing w:after="0" w:line="240" w:lineRule="auto"/>
              <w:rPr>
                <w:rFonts w:ascii="Times New Roman" w:hAnsi="Times New Roman" w:cs="Times New Roman"/>
                <w:noProof/>
                <w:sz w:val="21"/>
                <w:szCs w:val="21"/>
              </w:rPr>
            </w:pPr>
            <w:r>
              <w:rPr>
                <w:rFonts w:ascii="Times New Roman" w:hAnsi="Times New Roman" w:cs="Times New Roman"/>
                <w:noProof/>
                <w:sz w:val="21"/>
                <w:szCs w:val="21"/>
              </w:rPr>
              <w:t>Financing vehicle aimed at promoting energy efficiency and renewable energy projects through regional private equity funds</w:t>
            </w:r>
          </w:p>
        </w:tc>
        <w:tc>
          <w:tcPr>
            <w:tcW w:w="2551" w:type="dxa"/>
          </w:tcPr>
          <w:p>
            <w:pPr>
              <w:spacing w:after="0" w:line="240" w:lineRule="auto"/>
              <w:ind w:right="57"/>
              <w:rPr>
                <w:rFonts w:ascii="Times New Roman" w:hAnsi="Times New Roman" w:cs="Times New Roman"/>
                <w:noProof/>
                <w:sz w:val="21"/>
                <w:szCs w:val="21"/>
              </w:rPr>
            </w:pPr>
            <w:r>
              <w:rPr>
                <w:rFonts w:ascii="Times New Roman" w:hAnsi="Times New Roman" w:cs="Times New Roman"/>
                <w:noProof/>
                <w:sz w:val="21"/>
                <w:szCs w:val="21"/>
              </w:rPr>
              <w:t xml:space="preserve">ElectriFI aims at bridging the gaps in structuring and financing of investments, addressing the lack of access to clean, reliable and affordable electricity and energy services all over the world. AgriFI main aim is to develop inclusive and sustainable agriculture based value chains. Climate Change actions aim at developing local climate strategies into action plans, budgets, and investment projects. </w:t>
            </w:r>
          </w:p>
        </w:tc>
      </w:tr>
      <w:tr>
        <w:trPr>
          <w:trHeight w:val="401"/>
        </w:trPr>
        <w:tc>
          <w:tcPr>
            <w:tcW w:w="2127"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 xml:space="preserve">c) Financial institutions involved </w:t>
            </w:r>
            <w:r>
              <w:rPr>
                <w:rFonts w:ascii="Times New Roman" w:hAnsi="Times New Roman" w:cs="Times New Roman"/>
                <w:bCs/>
                <w:i/>
                <w:noProof/>
                <w:sz w:val="21"/>
                <w:szCs w:val="21"/>
              </w:rPr>
              <w:t>(Lead FIs for DCI instruments)</w:t>
            </w:r>
          </w:p>
        </w:tc>
        <w:tc>
          <w:tcPr>
            <w:tcW w:w="1701"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EIB, EBRD, CEB, NIB, NEFCO, AFD, KfW, AECID, SIMEST</w:t>
            </w:r>
          </w:p>
        </w:tc>
        <w:tc>
          <w:tcPr>
            <w:tcW w:w="297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EIB, EBRD, KfW, AFD</w:t>
            </w:r>
          </w:p>
        </w:tc>
        <w:tc>
          <w:tcPr>
            <w:tcW w:w="1842"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EIB,  AFD, AECID, KfW</w:t>
            </w:r>
          </w:p>
        </w:tc>
        <w:tc>
          <w:tcPr>
            <w:tcW w:w="2268"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EIB</w:t>
            </w:r>
          </w:p>
        </w:tc>
        <w:tc>
          <w:tcPr>
            <w:tcW w:w="1985" w:type="dxa"/>
            <w:shd w:val="clear" w:color="auto" w:fill="D3DFEE"/>
          </w:tcPr>
          <w:p>
            <w:pPr>
              <w:spacing w:before="60" w:after="120" w:line="240" w:lineRule="auto"/>
              <w:ind w:right="57"/>
              <w:rPr>
                <w:rFonts w:ascii="Times New Roman" w:hAnsi="Times New Roman" w:cs="Times New Roman"/>
                <w:noProof/>
                <w:sz w:val="21"/>
                <w:szCs w:val="21"/>
              </w:rPr>
            </w:pPr>
            <w:r>
              <w:rPr>
                <w:rFonts w:ascii="Times New Roman" w:hAnsi="Times New Roman" w:cs="Times New Roman"/>
                <w:noProof/>
                <w:sz w:val="21"/>
                <w:szCs w:val="21"/>
              </w:rPr>
              <w:t>EIF (trustee)</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EIB,</w:t>
            </w:r>
          </w:p>
        </w:tc>
        <w:tc>
          <w:tcPr>
            <w:tcW w:w="2551"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AFD, FMO, KfW,PROPARCO</w:t>
            </w:r>
          </w:p>
        </w:tc>
      </w:tr>
      <w:tr>
        <w:tc>
          <w:tcPr>
            <w:tcW w:w="2127" w:type="dxa"/>
            <w:shd w:val="clear" w:color="auto" w:fill="4F81BD" w:themeFill="accent1"/>
          </w:tcPr>
          <w:p>
            <w:pPr>
              <w:spacing w:before="60" w:after="120"/>
              <w:rPr>
                <w:rFonts w:ascii="Times New Roman" w:hAnsi="Times New Roman" w:cs="Times New Roman"/>
                <w:b/>
                <w:bCs/>
                <w:noProof/>
                <w:color w:val="FFFFFF"/>
                <w:sz w:val="21"/>
                <w:szCs w:val="21"/>
              </w:rPr>
            </w:pPr>
          </w:p>
        </w:tc>
        <w:tc>
          <w:tcPr>
            <w:tcW w:w="1701"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Neighbourhood Investment Facility – NIF</w:t>
            </w:r>
          </w:p>
        </w:tc>
        <w:tc>
          <w:tcPr>
            <w:tcW w:w="2977"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Investment Facility for Central Asia — IFCA and Asian Investment Facility — AIF</w:t>
            </w:r>
          </w:p>
        </w:tc>
        <w:tc>
          <w:tcPr>
            <w:tcW w:w="1842"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Latin America Investment Facility — LAIF</w:t>
            </w:r>
          </w:p>
        </w:tc>
        <w:tc>
          <w:tcPr>
            <w:tcW w:w="2268"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Support to the Facility for FEMIP</w:t>
            </w:r>
          </w:p>
          <w:p>
            <w:pPr>
              <w:spacing w:after="0"/>
              <w:rPr>
                <w:rFonts w:ascii="Times New Roman" w:hAnsi="Times New Roman" w:cs="Times New Roman"/>
                <w:b/>
                <w:bCs/>
                <w:noProof/>
                <w:color w:val="FFFFFF"/>
                <w:sz w:val="21"/>
                <w:szCs w:val="21"/>
              </w:rPr>
            </w:pPr>
          </w:p>
        </w:tc>
        <w:tc>
          <w:tcPr>
            <w:tcW w:w="1985"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GEEREF</w:t>
            </w:r>
          </w:p>
          <w:p>
            <w:pPr>
              <w:spacing w:after="0"/>
              <w:rPr>
                <w:rFonts w:ascii="Times New Roman" w:hAnsi="Times New Roman" w:cs="Times New Roman"/>
                <w:b/>
                <w:bCs/>
                <w:noProof/>
                <w:color w:val="FFFFFF"/>
                <w:sz w:val="21"/>
                <w:szCs w:val="21"/>
              </w:rPr>
            </w:pPr>
          </w:p>
        </w:tc>
        <w:tc>
          <w:tcPr>
            <w:tcW w:w="2551"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Thematic blending (ElectriFI, AgriFI, Climate Change)</w:t>
            </w:r>
          </w:p>
        </w:tc>
      </w:tr>
      <w:tr>
        <w:trPr>
          <w:trHeight w:val="1516"/>
        </w:trPr>
        <w:tc>
          <w:tcPr>
            <w:tcW w:w="2127"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d) Aggregate budgetary commitments and payments</w:t>
            </w:r>
          </w:p>
        </w:tc>
        <w:tc>
          <w:tcPr>
            <w:tcW w:w="1701" w:type="dxa"/>
            <w:shd w:val="clear" w:color="auto" w:fill="auto"/>
          </w:tcPr>
          <w:p>
            <w:pPr>
              <w:spacing w:before="60" w:after="120" w:line="240" w:lineRule="auto"/>
              <w:rPr>
                <w:rFonts w:ascii="Times New Roman" w:hAnsi="Times New Roman" w:cs="Times New Roman"/>
                <w:noProof/>
                <w:sz w:val="21"/>
                <w:szCs w:val="21"/>
                <w:lang w:val="fr-BE"/>
              </w:rPr>
            </w:pPr>
            <w:r>
              <w:rPr>
                <w:rFonts w:ascii="Times New Roman" w:hAnsi="Times New Roman" w:cs="Times New Roman"/>
                <w:noProof/>
                <w:sz w:val="21"/>
                <w:szCs w:val="21"/>
                <w:lang w:val="fr-BE"/>
              </w:rPr>
              <w:t>EUR 1 678,64 m</w:t>
            </w:r>
            <w:r>
              <w:rPr>
                <w:rFonts w:ascii="Times New Roman" w:hAnsi="Times New Roman" w:cs="Times New Roman"/>
                <w:noProof/>
                <w:sz w:val="21"/>
                <w:szCs w:val="21"/>
                <w:lang w:val="fr-BE"/>
              </w:rPr>
              <w:br/>
              <w:t>EUR   757,17</w:t>
            </w:r>
            <w:r>
              <w:rPr>
                <w:rFonts w:ascii="Times New Roman" w:eastAsia="Times New Roman" w:hAnsi="Times New Roman" w:cs="Times New Roman"/>
                <w:noProof/>
                <w:sz w:val="21"/>
                <w:szCs w:val="21"/>
                <w:lang w:val="fr-BE" w:eastAsia="en-GB"/>
              </w:rPr>
              <w:t xml:space="preserve"> m</w:t>
            </w:r>
          </w:p>
        </w:tc>
        <w:tc>
          <w:tcPr>
            <w:tcW w:w="2977" w:type="dxa"/>
            <w:shd w:val="clear" w:color="auto" w:fill="auto"/>
          </w:tcPr>
          <w:p>
            <w:pPr>
              <w:spacing w:before="60" w:after="120" w:line="240" w:lineRule="auto"/>
              <w:rPr>
                <w:rFonts w:ascii="Times New Roman" w:hAnsi="Times New Roman" w:cs="Times New Roman"/>
                <w:noProof/>
                <w:sz w:val="21"/>
                <w:szCs w:val="21"/>
                <w:lang w:val="fr-BE"/>
              </w:rPr>
            </w:pPr>
            <w:r>
              <w:rPr>
                <w:rFonts w:ascii="Times New Roman" w:hAnsi="Times New Roman" w:cs="Times New Roman"/>
                <w:noProof/>
                <w:sz w:val="21"/>
                <w:szCs w:val="21"/>
                <w:lang w:val="fr-BE"/>
              </w:rPr>
              <w:t>EUR 349 m</w:t>
            </w:r>
            <w:r>
              <w:rPr>
                <w:rFonts w:ascii="Times New Roman" w:hAnsi="Times New Roman" w:cs="Times New Roman"/>
                <w:noProof/>
                <w:sz w:val="21"/>
                <w:szCs w:val="21"/>
                <w:lang w:val="fr-BE"/>
              </w:rPr>
              <w:br/>
              <w:t>(IFCA: EUR 166 m</w:t>
            </w:r>
            <w:r>
              <w:rPr>
                <w:rFonts w:ascii="Times New Roman" w:hAnsi="Times New Roman" w:cs="Times New Roman"/>
                <w:noProof/>
                <w:sz w:val="21"/>
                <w:szCs w:val="21"/>
                <w:lang w:val="fr-BE"/>
              </w:rPr>
              <w:br/>
              <w:t>AIF: EUR 183 m)</w:t>
            </w:r>
            <w:r>
              <w:rPr>
                <w:rFonts w:ascii="Times New Roman" w:hAnsi="Times New Roman" w:cs="Times New Roman"/>
                <w:noProof/>
                <w:sz w:val="21"/>
                <w:szCs w:val="21"/>
                <w:lang w:val="fr-BE"/>
              </w:rPr>
              <w:br/>
              <w:t>EUR 132 m</w:t>
            </w:r>
            <w:r>
              <w:rPr>
                <w:rFonts w:ascii="Times New Roman" w:hAnsi="Times New Roman" w:cs="Times New Roman"/>
                <w:noProof/>
                <w:sz w:val="21"/>
                <w:szCs w:val="21"/>
                <w:lang w:val="fr-BE"/>
              </w:rPr>
              <w:br/>
              <w:t>(IFCA: EUR 82 m</w:t>
            </w:r>
            <w:r>
              <w:rPr>
                <w:rFonts w:ascii="Times New Roman" w:hAnsi="Times New Roman" w:cs="Times New Roman"/>
                <w:noProof/>
                <w:sz w:val="21"/>
                <w:szCs w:val="21"/>
                <w:lang w:val="fr-BE"/>
              </w:rPr>
              <w:br/>
              <w:t>AIF: EUR 50 m)</w:t>
            </w:r>
          </w:p>
        </w:tc>
        <w:tc>
          <w:tcPr>
            <w:tcW w:w="1842" w:type="dxa"/>
            <w:shd w:val="clear" w:color="auto" w:fill="auto"/>
          </w:tcPr>
          <w:p>
            <w:pPr>
              <w:shd w:val="clear" w:color="auto" w:fill="FFFFFF"/>
              <w:spacing w:before="60" w:after="120" w:line="240" w:lineRule="auto"/>
              <w:ind w:right="57"/>
              <w:rPr>
                <w:rFonts w:ascii="Times New Roman" w:hAnsi="Times New Roman" w:cs="Times New Roman"/>
                <w:noProof/>
                <w:sz w:val="21"/>
                <w:szCs w:val="21"/>
                <w:lang w:val="fr-BE"/>
              </w:rPr>
            </w:pPr>
            <w:r>
              <w:rPr>
                <w:rFonts w:ascii="Times New Roman" w:hAnsi="Times New Roman" w:cs="Times New Roman"/>
                <w:noProof/>
                <w:sz w:val="21"/>
                <w:szCs w:val="21"/>
                <w:lang w:val="fr-BE"/>
              </w:rPr>
              <w:t>EUR 305 m</w:t>
            </w:r>
            <w:r>
              <w:rPr>
                <w:rFonts w:ascii="Times New Roman" w:hAnsi="Times New Roman" w:cs="Times New Roman"/>
                <w:noProof/>
                <w:sz w:val="21"/>
                <w:szCs w:val="21"/>
                <w:lang w:val="fr-BE"/>
              </w:rPr>
              <w:br/>
              <w:t>EUR 151 m</w:t>
            </w:r>
            <w:r>
              <w:rPr>
                <w:rFonts w:ascii="Times New Roman" w:hAnsi="Times New Roman" w:cs="Times New Roman"/>
                <w:noProof/>
                <w:sz w:val="21"/>
                <w:szCs w:val="21"/>
                <w:lang w:val="fr-BE"/>
              </w:rPr>
              <w:br/>
              <w:t>Climate Change Window:</w:t>
            </w:r>
            <w:r>
              <w:rPr>
                <w:rFonts w:ascii="Times New Roman" w:hAnsi="Times New Roman" w:cs="Times New Roman"/>
                <w:noProof/>
                <w:sz w:val="21"/>
                <w:szCs w:val="21"/>
                <w:lang w:val="fr-BE"/>
              </w:rPr>
              <w:br/>
              <w:t>EUR 17,3 m</w:t>
            </w:r>
            <w:r>
              <w:rPr>
                <w:rFonts w:ascii="Times New Roman" w:hAnsi="Times New Roman" w:cs="Times New Roman"/>
                <w:noProof/>
                <w:sz w:val="21"/>
                <w:szCs w:val="21"/>
                <w:lang w:val="fr-BE"/>
              </w:rPr>
              <w:br/>
              <w:t>EUR 15,8 m</w:t>
            </w:r>
          </w:p>
        </w:tc>
        <w:tc>
          <w:tcPr>
            <w:tcW w:w="2268" w:type="dxa"/>
          </w:tcPr>
          <w:p>
            <w:pPr>
              <w:spacing w:before="60" w:after="120" w:line="240" w:lineRule="auto"/>
              <w:ind w:right="57"/>
              <w:rPr>
                <w:rFonts w:ascii="Times New Roman" w:hAnsi="Times New Roman" w:cs="Times New Roman"/>
                <w:noProof/>
                <w:sz w:val="21"/>
                <w:szCs w:val="21"/>
                <w:lang w:val="fr-BE"/>
              </w:rPr>
            </w:pPr>
            <w:r>
              <w:rPr>
                <w:rFonts w:ascii="Times New Roman" w:hAnsi="Times New Roman" w:cs="Times New Roman"/>
                <w:noProof/>
                <w:sz w:val="21"/>
                <w:szCs w:val="21"/>
                <w:lang w:val="fr-BE"/>
              </w:rPr>
              <w:t>EUR 224 m</w:t>
            </w:r>
            <w:r>
              <w:rPr>
                <w:rFonts w:ascii="Times New Roman" w:hAnsi="Times New Roman" w:cs="Times New Roman"/>
                <w:noProof/>
                <w:sz w:val="21"/>
                <w:szCs w:val="21"/>
                <w:lang w:val="fr-BE"/>
              </w:rPr>
              <w:br/>
              <w:t>EUR 224 m</w:t>
            </w:r>
          </w:p>
        </w:tc>
        <w:tc>
          <w:tcPr>
            <w:tcW w:w="1985" w:type="dxa"/>
          </w:tcPr>
          <w:p>
            <w:pPr>
              <w:spacing w:before="60" w:after="120" w:line="240" w:lineRule="auto"/>
              <w:ind w:right="57"/>
              <w:rPr>
                <w:rFonts w:ascii="Times New Roman" w:hAnsi="Times New Roman" w:cs="Times New Roman"/>
                <w:noProof/>
                <w:sz w:val="21"/>
                <w:szCs w:val="21"/>
                <w:lang w:val="fr-BE"/>
              </w:rPr>
            </w:pPr>
            <w:r>
              <w:rPr>
                <w:rFonts w:ascii="Times New Roman" w:hAnsi="Times New Roman" w:cs="Times New Roman"/>
                <w:noProof/>
                <w:sz w:val="21"/>
                <w:szCs w:val="21"/>
                <w:lang w:val="fr-BE"/>
              </w:rPr>
              <w:t>EUR 81,1 m</w:t>
            </w:r>
            <w:r>
              <w:rPr>
                <w:rFonts w:ascii="Times New Roman" w:hAnsi="Times New Roman" w:cs="Times New Roman"/>
                <w:noProof/>
                <w:sz w:val="21"/>
                <w:szCs w:val="21"/>
                <w:lang w:val="fr-BE"/>
              </w:rPr>
              <w:br/>
              <w:t>EUR 79,5 m</w:t>
            </w:r>
          </w:p>
        </w:tc>
        <w:tc>
          <w:tcPr>
            <w:tcW w:w="2551" w:type="dxa"/>
          </w:tcPr>
          <w:p>
            <w:pPr>
              <w:spacing w:before="60" w:after="120" w:line="240" w:lineRule="auto"/>
              <w:ind w:right="57"/>
              <w:rPr>
                <w:rFonts w:ascii="Times New Roman" w:hAnsi="Times New Roman" w:cs="Times New Roman"/>
                <w:noProof/>
                <w:sz w:val="21"/>
                <w:szCs w:val="21"/>
                <w:lang w:val="fr-BE"/>
              </w:rPr>
            </w:pPr>
            <w:r>
              <w:rPr>
                <w:rFonts w:ascii="Times New Roman" w:hAnsi="Times New Roman" w:cs="Times New Roman"/>
                <w:noProof/>
                <w:sz w:val="21"/>
                <w:szCs w:val="21"/>
                <w:lang w:val="fr-BE"/>
              </w:rPr>
              <w:t>EUR 270,3 m</w:t>
            </w:r>
            <w:r>
              <w:rPr>
                <w:rFonts w:ascii="Times New Roman" w:hAnsi="Times New Roman" w:cs="Times New Roman"/>
                <w:noProof/>
                <w:sz w:val="21"/>
                <w:szCs w:val="21"/>
                <w:lang w:val="fr-BE"/>
              </w:rPr>
              <w:br/>
              <w:t>EUR 34,9 m</w:t>
            </w:r>
          </w:p>
        </w:tc>
      </w:tr>
      <w:tr>
        <w:trPr>
          <w:trHeight w:val="2642"/>
        </w:trPr>
        <w:tc>
          <w:tcPr>
            <w:tcW w:w="2127" w:type="dxa"/>
            <w:shd w:val="clear" w:color="auto" w:fill="D3DFEE"/>
          </w:tcPr>
          <w:p>
            <w:pPr>
              <w:spacing w:before="60" w:after="120"/>
              <w:rPr>
                <w:rFonts w:ascii="Times New Roman" w:hAnsi="Times New Roman" w:cs="Times New Roman"/>
                <w:b/>
                <w:bCs/>
                <w:noProof/>
                <w:sz w:val="21"/>
                <w:szCs w:val="21"/>
                <w:lang w:val="fr-BE"/>
              </w:rPr>
            </w:pPr>
            <w:r>
              <w:rPr>
                <w:rFonts w:ascii="Times New Roman" w:hAnsi="Times New Roman" w:cs="Times New Roman"/>
                <w:b/>
                <w:bCs/>
                <w:noProof/>
                <w:sz w:val="21"/>
                <w:szCs w:val="21"/>
                <w:lang w:val="fr-BE"/>
              </w:rPr>
              <w:t>e) Performance</w:t>
            </w:r>
          </w:p>
        </w:tc>
        <w:tc>
          <w:tcPr>
            <w:tcW w:w="1701"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16,95 billion of approved financing  for 123 projects</w:t>
            </w:r>
          </w:p>
          <w:p>
            <w:pPr>
              <w:spacing w:before="60" w:after="120" w:line="240" w:lineRule="auto"/>
              <w:rPr>
                <w:rFonts w:ascii="Times New Roman" w:hAnsi="Times New Roman" w:cs="Times New Roman"/>
                <w:noProof/>
                <w:sz w:val="21"/>
                <w:szCs w:val="21"/>
              </w:rPr>
            </w:pPr>
          </w:p>
        </w:tc>
        <w:tc>
          <w:tcPr>
            <w:tcW w:w="297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 xml:space="preserve">EUR 4,1 billion of  total investments financed, out of which EUR 2 672 m financing approved (285 m of EU contribution – IFCA 143 m, AIF 142 m - + 2 387 m – IFCA 605 m, AIF 1782 m) through european financial institutions, for 46 projects (IFCA: 22, AIF: 24) </w:t>
            </w:r>
          </w:p>
        </w:tc>
        <w:tc>
          <w:tcPr>
            <w:tcW w:w="1842"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7,5 billion of  total investments financed, out of which EUR 3 946 m financing approved (274 m of EU contribution +  3 672 m) through EFIs for 33 projects</w:t>
            </w:r>
          </w:p>
        </w:tc>
        <w:tc>
          <w:tcPr>
            <w:tcW w:w="2268" w:type="dxa"/>
            <w:shd w:val="clear" w:color="auto" w:fill="D3DFEE"/>
          </w:tcPr>
          <w:p>
            <w:pPr>
              <w:spacing w:before="60" w:after="120" w:line="240" w:lineRule="auto"/>
              <w:ind w:right="57"/>
              <w:contextualSpacing/>
              <w:rPr>
                <w:rFonts w:ascii="Times New Roman" w:hAnsi="Times New Roman" w:cs="Times New Roman"/>
                <w:noProof/>
                <w:sz w:val="4"/>
                <w:szCs w:val="21"/>
                <w:lang w:eastAsia="en-GB"/>
              </w:rPr>
            </w:pPr>
          </w:p>
          <w:p>
            <w:pPr>
              <w:spacing w:before="60" w:after="120" w:line="240" w:lineRule="auto"/>
              <w:ind w:right="57"/>
              <w:contextualSpacing/>
              <w:rPr>
                <w:rFonts w:ascii="Times New Roman" w:hAnsi="Times New Roman" w:cs="Times New Roman"/>
                <w:noProof/>
                <w:sz w:val="21"/>
                <w:szCs w:val="21"/>
              </w:rPr>
            </w:pPr>
            <w:r>
              <w:rPr>
                <w:rFonts w:ascii="Times New Roman" w:hAnsi="Times New Roman" w:cs="Times New Roman"/>
                <w:noProof/>
                <w:sz w:val="21"/>
                <w:szCs w:val="21"/>
                <w:lang w:eastAsia="en-GB"/>
              </w:rPr>
              <w:t>EUR 33,1 m allocated to technical assistance operations; EUR 180,3 million financing allocated to 28 risk capital operations for a total projects cost  of nearly EUR 4,4 billion;</w:t>
            </w:r>
            <w:r>
              <w:rPr>
                <w:rFonts w:ascii="Times New Roman" w:hAnsi="Times New Roman" w:cs="Times New Roman"/>
                <w:noProof/>
                <w:sz w:val="21"/>
                <w:szCs w:val="21"/>
              </w:rPr>
              <w:t xml:space="preserve"> EIB-cofinancing of EUR 2,3 billion.</w:t>
            </w:r>
          </w:p>
        </w:tc>
        <w:tc>
          <w:tcPr>
            <w:tcW w:w="1985" w:type="dxa"/>
            <w:shd w:val="clear" w:color="auto" w:fill="D3DFEE"/>
          </w:tcPr>
          <w:p>
            <w:pPr>
              <w:spacing w:before="60" w:after="120" w:line="240" w:lineRule="auto"/>
              <w:ind w:right="57"/>
              <w:rPr>
                <w:rFonts w:ascii="Times New Roman" w:hAnsi="Times New Roman" w:cs="Times New Roman"/>
                <w:noProof/>
                <w:sz w:val="21"/>
                <w:szCs w:val="21"/>
              </w:rPr>
            </w:pPr>
            <w:r>
              <w:rPr>
                <w:rFonts w:ascii="Times New Roman" w:hAnsi="Times New Roman" w:cs="Times New Roman"/>
                <w:noProof/>
                <w:sz w:val="21"/>
                <w:szCs w:val="21"/>
              </w:rPr>
              <w:t xml:space="preserve">EUR 222 m expected financing to eligible projects; achieved financing: EUR 148 m for 84 projects. </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 xml:space="preserve"> </w:t>
            </w:r>
          </w:p>
        </w:tc>
        <w:tc>
          <w:tcPr>
            <w:tcW w:w="2551"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Not yet available ; first deal closed under EDFI ElectriFI to invest USD 2,5 million in convertible notes in a project in Haiti</w:t>
            </w:r>
          </w:p>
        </w:tc>
      </w:tr>
      <w:tr>
        <w:trPr>
          <w:trHeight w:val="823"/>
        </w:trPr>
        <w:tc>
          <w:tcPr>
            <w:tcW w:w="2127"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f) Evaluation of use of amounts returned to the instrument</w:t>
            </w:r>
          </w:p>
        </w:tc>
        <w:tc>
          <w:tcPr>
            <w:tcW w:w="1701"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97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1842"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268"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1985"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551"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r>
      <w:tr>
        <w:trPr>
          <w:trHeight w:val="947"/>
        </w:trPr>
        <w:tc>
          <w:tcPr>
            <w:tcW w:w="2127"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g) Balance of fiduciary account</w:t>
            </w:r>
            <w:r>
              <w:rPr>
                <w:rStyle w:val="FootnoteReference"/>
                <w:rFonts w:ascii="Times New Roman" w:hAnsi="Times New Roman" w:cs="Times New Roman"/>
                <w:b/>
                <w:bCs/>
                <w:noProof/>
                <w:sz w:val="21"/>
                <w:szCs w:val="21"/>
              </w:rPr>
              <w:footnoteReference w:id="24"/>
            </w:r>
          </w:p>
        </w:tc>
        <w:tc>
          <w:tcPr>
            <w:tcW w:w="1701"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See details of the 10 different fiduciary accounts in SWD 2, sect 6.1</w:t>
            </w:r>
          </w:p>
        </w:tc>
        <w:tc>
          <w:tcPr>
            <w:tcW w:w="2977"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MIFA ‘Debt Fund’ (under IFCA &amp; AIF): EUR 9,23 m</w:t>
            </w:r>
          </w:p>
        </w:tc>
        <w:tc>
          <w:tcPr>
            <w:tcW w:w="1842"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268"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 xml:space="preserve">EUR 45,37 m </w:t>
            </w:r>
          </w:p>
        </w:tc>
        <w:tc>
          <w:tcPr>
            <w:tcW w:w="1985"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73,58 m</w:t>
            </w:r>
          </w:p>
        </w:tc>
        <w:tc>
          <w:tcPr>
            <w:tcW w:w="2551" w:type="dxa"/>
            <w:tcBorders>
              <w:top w:val="single" w:sz="8" w:space="0" w:color="7BA0CD"/>
              <w:left w:val="single" w:sz="8" w:space="0" w:color="7BA0CD"/>
              <w:bottom w:val="single" w:sz="8" w:space="0" w:color="7BA0CD"/>
              <w:right w:val="single" w:sz="8" w:space="0" w:color="7BA0CD"/>
            </w:tcBorders>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30,3 m</w:t>
            </w:r>
          </w:p>
        </w:tc>
      </w:tr>
      <w:tr>
        <w:tc>
          <w:tcPr>
            <w:tcW w:w="2127" w:type="dxa"/>
            <w:shd w:val="clear" w:color="auto" w:fill="4F81BD" w:themeFill="accent1"/>
          </w:tcPr>
          <w:p>
            <w:pPr>
              <w:spacing w:before="60" w:after="120"/>
              <w:rPr>
                <w:rFonts w:ascii="Times New Roman" w:hAnsi="Times New Roman" w:cs="Times New Roman"/>
                <w:b/>
                <w:bCs/>
                <w:noProof/>
                <w:color w:val="FFFFFF"/>
                <w:sz w:val="21"/>
                <w:szCs w:val="21"/>
              </w:rPr>
            </w:pPr>
          </w:p>
        </w:tc>
        <w:tc>
          <w:tcPr>
            <w:tcW w:w="1701"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Neighbourhood Investment Facility – NIF</w:t>
            </w:r>
          </w:p>
        </w:tc>
        <w:tc>
          <w:tcPr>
            <w:tcW w:w="2977"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Investment Facility for Central Asia — IFCA and Asian Investment Facility — AIF</w:t>
            </w:r>
          </w:p>
        </w:tc>
        <w:tc>
          <w:tcPr>
            <w:tcW w:w="1842"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Latin America Investment Facility — LAIF</w:t>
            </w:r>
          </w:p>
        </w:tc>
        <w:tc>
          <w:tcPr>
            <w:tcW w:w="2268"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Support to the Facility for FEMIP</w:t>
            </w:r>
          </w:p>
          <w:p>
            <w:pPr>
              <w:spacing w:after="0"/>
              <w:rPr>
                <w:rFonts w:ascii="Times New Roman" w:hAnsi="Times New Roman" w:cs="Times New Roman"/>
                <w:b/>
                <w:bCs/>
                <w:noProof/>
                <w:color w:val="FFFFFF"/>
                <w:sz w:val="21"/>
                <w:szCs w:val="21"/>
              </w:rPr>
            </w:pPr>
          </w:p>
        </w:tc>
        <w:tc>
          <w:tcPr>
            <w:tcW w:w="1985"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GEEREF</w:t>
            </w:r>
          </w:p>
          <w:p>
            <w:pPr>
              <w:spacing w:after="0"/>
              <w:rPr>
                <w:rFonts w:ascii="Times New Roman" w:hAnsi="Times New Roman" w:cs="Times New Roman"/>
                <w:b/>
                <w:bCs/>
                <w:noProof/>
                <w:color w:val="FFFFFF"/>
                <w:sz w:val="21"/>
                <w:szCs w:val="21"/>
              </w:rPr>
            </w:pPr>
          </w:p>
        </w:tc>
        <w:tc>
          <w:tcPr>
            <w:tcW w:w="2551" w:type="dxa"/>
            <w:shd w:val="clear" w:color="auto" w:fill="4F81BD" w:themeFill="accent1"/>
          </w:tcPr>
          <w:p>
            <w:pPr>
              <w:spacing w:after="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Thematic blending (ElectriFI, AgriFI, Climate Change)</w:t>
            </w:r>
          </w:p>
        </w:tc>
      </w:tr>
      <w:tr>
        <w:tc>
          <w:tcPr>
            <w:tcW w:w="2127"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h) Revenues and repayments</w:t>
            </w:r>
          </w:p>
        </w:tc>
        <w:tc>
          <w:tcPr>
            <w:tcW w:w="1701"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w:t>
            </w:r>
          </w:p>
        </w:tc>
        <w:tc>
          <w:tcPr>
            <w:tcW w:w="297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1842"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268"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13,7 m</w:t>
            </w:r>
          </w:p>
        </w:tc>
        <w:tc>
          <w:tcPr>
            <w:tcW w:w="1985"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551"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r>
      <w:tr>
        <w:tc>
          <w:tcPr>
            <w:tcW w:w="2127"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i) Value of equity investments</w:t>
            </w:r>
          </w:p>
        </w:tc>
        <w:tc>
          <w:tcPr>
            <w:tcW w:w="1701"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SANAD: USD 8,76 m</w:t>
            </w:r>
            <w:r>
              <w:rPr>
                <w:rFonts w:ascii="Times New Roman" w:hAnsi="Times New Roman" w:cs="Times New Roman"/>
                <w:noProof/>
                <w:sz w:val="21"/>
                <w:szCs w:val="21"/>
              </w:rPr>
              <w:br/>
              <w:t>EFSE:EUR 4,80 m</w:t>
            </w:r>
            <w:r>
              <w:rPr>
                <w:rFonts w:ascii="Times New Roman" w:hAnsi="Times New Roman" w:cs="Times New Roman"/>
                <w:noProof/>
              </w:rPr>
              <w:t xml:space="preserve"> </w:t>
            </w:r>
            <w:r>
              <w:rPr>
                <w:rFonts w:ascii="Times New Roman" w:hAnsi="Times New Roman" w:cs="Times New Roman"/>
                <w:noProof/>
              </w:rPr>
              <w:br/>
              <w:t>GGF: EUR 9,94 m</w:t>
            </w:r>
          </w:p>
        </w:tc>
        <w:tc>
          <w:tcPr>
            <w:tcW w:w="297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9,23 m</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(MIFA, see above)</w:t>
            </w:r>
          </w:p>
        </w:tc>
        <w:tc>
          <w:tcPr>
            <w:tcW w:w="1842"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268" w:type="dxa"/>
            <w:shd w:val="clear" w:color="auto" w:fill="D3DFEE"/>
          </w:tcPr>
          <w:p>
            <w:pPr>
              <w:spacing w:before="60" w:after="120" w:line="240" w:lineRule="auto"/>
              <w:ind w:right="57"/>
              <w:rPr>
                <w:rFonts w:ascii="Times New Roman" w:hAnsi="Times New Roman" w:cs="Times New Roman"/>
                <w:noProof/>
                <w:sz w:val="21"/>
                <w:szCs w:val="21"/>
              </w:rPr>
            </w:pPr>
            <w:r>
              <w:rPr>
                <w:rFonts w:ascii="Times New Roman" w:hAnsi="Times New Roman" w:cs="Times New Roman"/>
                <w:noProof/>
                <w:sz w:val="21"/>
                <w:szCs w:val="21"/>
              </w:rPr>
              <w:t>EUR 81,4 m</w:t>
            </w:r>
          </w:p>
          <w:p>
            <w:pPr>
              <w:spacing w:before="60" w:after="120" w:line="240" w:lineRule="auto"/>
              <w:rPr>
                <w:rFonts w:ascii="Times New Roman" w:hAnsi="Times New Roman" w:cs="Times New Roman"/>
                <w:noProof/>
                <w:sz w:val="21"/>
                <w:szCs w:val="21"/>
              </w:rPr>
            </w:pPr>
          </w:p>
        </w:tc>
        <w:tc>
          <w:tcPr>
            <w:tcW w:w="1985"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72,3 m</w:t>
            </w:r>
          </w:p>
        </w:tc>
        <w:tc>
          <w:tcPr>
            <w:tcW w:w="2551"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r>
      <w:tr>
        <w:tc>
          <w:tcPr>
            <w:tcW w:w="2127"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j) Impairments / called guarantees</w:t>
            </w:r>
          </w:p>
        </w:tc>
        <w:tc>
          <w:tcPr>
            <w:tcW w:w="1701"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0</w:t>
            </w:r>
          </w:p>
        </w:tc>
        <w:tc>
          <w:tcPr>
            <w:tcW w:w="2977"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1842" w:type="dxa"/>
            <w:shd w:val="clear" w:color="auto" w:fill="auto"/>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268"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8,9 m</w:t>
            </w:r>
          </w:p>
        </w:tc>
        <w:tc>
          <w:tcPr>
            <w:tcW w:w="1985"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c>
          <w:tcPr>
            <w:tcW w:w="2551" w:type="dxa"/>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NA</w:t>
            </w:r>
          </w:p>
        </w:tc>
      </w:tr>
      <w:tr>
        <w:trPr>
          <w:trHeight w:val="1174"/>
        </w:trPr>
        <w:tc>
          <w:tcPr>
            <w:tcW w:w="2127" w:type="dxa"/>
            <w:shd w:val="clear" w:color="auto" w:fill="D3DFEE"/>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k) Leverage effect</w:t>
            </w:r>
          </w:p>
        </w:tc>
        <w:tc>
          <w:tcPr>
            <w:tcW w:w="1701"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4-5</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Expected: 6,48</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9,1</w:t>
            </w:r>
          </w:p>
        </w:tc>
        <w:tc>
          <w:tcPr>
            <w:tcW w:w="2977"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4-5</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14,4</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(IFCA: 6,9 - AIF: 22,2)</w:t>
            </w:r>
          </w:p>
        </w:tc>
        <w:tc>
          <w:tcPr>
            <w:tcW w:w="1842"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4-5</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27,5</w:t>
            </w:r>
          </w:p>
        </w:tc>
        <w:tc>
          <w:tcPr>
            <w:tcW w:w="2268" w:type="dxa"/>
            <w:shd w:val="clear" w:color="auto" w:fill="D3DFEE"/>
          </w:tcPr>
          <w:p>
            <w:pPr>
              <w:spacing w:before="60" w:after="120" w:line="240" w:lineRule="auto"/>
              <w:ind w:right="57"/>
              <w:rPr>
                <w:rFonts w:ascii="Times New Roman" w:hAnsi="Times New Roman" w:cs="Times New Roman"/>
                <w:noProof/>
                <w:sz w:val="21"/>
                <w:szCs w:val="21"/>
              </w:rPr>
            </w:pPr>
            <w:r>
              <w:rPr>
                <w:rFonts w:ascii="Times New Roman" w:hAnsi="Times New Roman" w:cs="Times New Roman"/>
                <w:noProof/>
                <w:sz w:val="21"/>
                <w:szCs w:val="21"/>
              </w:rPr>
              <w:t>Achieved (2007-14): 6,0</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Achieved (2014): 26,8</w:t>
            </w:r>
          </w:p>
        </w:tc>
        <w:tc>
          <w:tcPr>
            <w:tcW w:w="1985" w:type="dxa"/>
            <w:shd w:val="clear" w:color="auto" w:fill="D3DFEE"/>
          </w:tcPr>
          <w:p>
            <w:pPr>
              <w:spacing w:before="60" w:after="120" w:line="240" w:lineRule="auto"/>
              <w:ind w:right="57"/>
              <w:rPr>
                <w:rFonts w:ascii="Times New Roman" w:hAnsi="Times New Roman" w:cs="Times New Roman"/>
                <w:i/>
                <w:noProof/>
                <w:sz w:val="21"/>
                <w:szCs w:val="21"/>
              </w:rPr>
            </w:pPr>
            <w:r>
              <w:rPr>
                <w:rFonts w:ascii="Times New Roman" w:hAnsi="Times New Roman" w:cs="Times New Roman"/>
                <w:noProof/>
                <w:sz w:val="21"/>
                <w:szCs w:val="21"/>
                <w:lang w:eastAsia="en-GB"/>
              </w:rPr>
              <w:t>Target: 2,7</w:t>
            </w:r>
            <w:r>
              <w:rPr>
                <w:rFonts w:ascii="Times New Roman" w:hAnsi="Times New Roman" w:cs="Times New Roman"/>
                <w:noProof/>
                <w:sz w:val="21"/>
                <w:szCs w:val="21"/>
              </w:rPr>
              <w:br/>
              <w:t>Achieved: 2,7</w:t>
            </w:r>
            <w:r>
              <w:rPr>
                <w:rFonts w:ascii="Times New Roman" w:hAnsi="Times New Roman" w:cs="Times New Roman"/>
                <w:i/>
                <w:noProof/>
                <w:sz w:val="21"/>
                <w:szCs w:val="21"/>
              </w:rPr>
              <w:br/>
              <w:t>(At the Fund of funds level – first input level)</w:t>
            </w:r>
          </w:p>
        </w:tc>
        <w:tc>
          <w:tcPr>
            <w:tcW w:w="2551" w:type="dxa"/>
            <w:shd w:val="clear" w:color="auto" w:fill="D3DFEE"/>
          </w:tcPr>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 xml:space="preserve">Target ElectriFI: 7,4 </w:t>
            </w:r>
          </w:p>
          <w:p>
            <w:pPr>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Target AgriFI: 7,8</w:t>
            </w:r>
          </w:p>
        </w:tc>
      </w:tr>
      <w:tr>
        <w:trPr>
          <w:trHeight w:val="2017"/>
        </w:trPr>
        <w:tc>
          <w:tcPr>
            <w:tcW w:w="2127" w:type="dxa"/>
            <w:shd w:val="clear" w:color="auto" w:fill="auto"/>
          </w:tcPr>
          <w:p>
            <w:pPr>
              <w:spacing w:before="60" w:after="120"/>
              <w:rPr>
                <w:rFonts w:ascii="Times New Roman" w:hAnsi="Times New Roman" w:cs="Times New Roman"/>
                <w:b/>
                <w:bCs/>
                <w:noProof/>
                <w:sz w:val="21"/>
                <w:szCs w:val="21"/>
              </w:rPr>
            </w:pPr>
            <w:r>
              <w:rPr>
                <w:rFonts w:ascii="Times New Roman" w:hAnsi="Times New Roman" w:cs="Times New Roman"/>
                <w:b/>
                <w:bCs/>
                <w:noProof/>
                <w:sz w:val="21"/>
                <w:szCs w:val="21"/>
              </w:rPr>
              <w:t>l) Contribution to achievement of policy objectives</w:t>
            </w:r>
          </w:p>
        </w:tc>
        <w:tc>
          <w:tcPr>
            <w:tcW w:w="1701" w:type="dxa"/>
            <w:shd w:val="clear" w:color="auto" w:fill="auto"/>
          </w:tcPr>
          <w:p>
            <w:pPr>
              <w:autoSpaceDE w:val="0"/>
              <w:autoSpaceDN w:val="0"/>
              <w:adjustRightInd w:val="0"/>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EUR 29,22 billion of investments supported (total project costs);</w:t>
            </w:r>
          </w:p>
          <w:p>
            <w:pPr>
              <w:autoSpaceDE w:val="0"/>
              <w:autoSpaceDN w:val="0"/>
              <w:adjustRightInd w:val="0"/>
              <w:spacing w:before="60" w:after="120" w:line="240" w:lineRule="auto"/>
              <w:rPr>
                <w:rFonts w:ascii="Times New Roman" w:hAnsi="Times New Roman" w:cs="Times New Roman"/>
                <w:noProof/>
                <w:sz w:val="21"/>
                <w:szCs w:val="21"/>
              </w:rPr>
            </w:pPr>
            <w:r>
              <w:rPr>
                <w:rFonts w:ascii="Times New Roman" w:hAnsi="Times New Roman" w:cs="Times New Roman"/>
                <w:noProof/>
                <w:sz w:val="21"/>
                <w:szCs w:val="21"/>
              </w:rPr>
              <w:t>123 projects financed acounting for EUR 16,95 billion achieved financing.</w:t>
            </w:r>
          </w:p>
        </w:tc>
        <w:tc>
          <w:tcPr>
            <w:tcW w:w="2977" w:type="dxa"/>
            <w:shd w:val="clear" w:color="auto" w:fill="auto"/>
          </w:tcPr>
          <w:p>
            <w:pPr>
              <w:pStyle w:val="ListParagraph"/>
              <w:spacing w:after="120" w:line="240" w:lineRule="auto"/>
              <w:ind w:left="0"/>
              <w:rPr>
                <w:noProof/>
                <w:sz w:val="21"/>
                <w:szCs w:val="21"/>
              </w:rPr>
            </w:pPr>
            <w:r>
              <w:rPr>
                <w:noProof/>
                <w:sz w:val="21"/>
                <w:szCs w:val="21"/>
              </w:rPr>
              <w:t>EUR 4,1 billion of investments supported (IFCA: 970 m,</w:t>
            </w:r>
          </w:p>
          <w:p>
            <w:pPr>
              <w:pStyle w:val="ListParagraph"/>
              <w:spacing w:after="120" w:line="240" w:lineRule="auto"/>
              <w:ind w:left="0"/>
              <w:rPr>
                <w:noProof/>
                <w:sz w:val="21"/>
                <w:szCs w:val="21"/>
              </w:rPr>
            </w:pPr>
            <w:r>
              <w:rPr>
                <w:noProof/>
                <w:sz w:val="21"/>
                <w:szCs w:val="21"/>
              </w:rPr>
              <w:t>AIF: 3 152 m);</w:t>
            </w:r>
          </w:p>
          <w:p>
            <w:pPr>
              <w:pStyle w:val="ListParagraph"/>
              <w:spacing w:after="120" w:line="240" w:lineRule="auto"/>
              <w:ind w:left="0"/>
              <w:rPr>
                <w:noProof/>
                <w:sz w:val="21"/>
                <w:szCs w:val="21"/>
              </w:rPr>
            </w:pPr>
          </w:p>
          <w:p>
            <w:pPr>
              <w:pStyle w:val="ListParagraph"/>
              <w:spacing w:after="120" w:line="240" w:lineRule="auto"/>
              <w:ind w:left="0"/>
              <w:rPr>
                <w:noProof/>
                <w:sz w:val="21"/>
                <w:szCs w:val="21"/>
              </w:rPr>
            </w:pPr>
            <w:r>
              <w:rPr>
                <w:noProof/>
                <w:sz w:val="21"/>
                <w:szCs w:val="21"/>
              </w:rPr>
              <w:t>17 countries covered (IFCA: 5, AIF: 12)</w:t>
            </w:r>
          </w:p>
        </w:tc>
        <w:tc>
          <w:tcPr>
            <w:tcW w:w="1842" w:type="dxa"/>
            <w:shd w:val="clear" w:color="auto" w:fill="auto"/>
          </w:tcPr>
          <w:p>
            <w:pPr>
              <w:spacing w:before="60" w:after="120" w:line="240" w:lineRule="auto"/>
              <w:ind w:right="57"/>
              <w:rPr>
                <w:rFonts w:ascii="Times New Roman" w:hAnsi="Times New Roman" w:cs="Times New Roman"/>
                <w:noProof/>
                <w:sz w:val="21"/>
                <w:szCs w:val="21"/>
              </w:rPr>
            </w:pPr>
            <w:r>
              <w:rPr>
                <w:rFonts w:ascii="Times New Roman" w:hAnsi="Times New Roman" w:cs="Times New Roman"/>
                <w:noProof/>
                <w:sz w:val="21"/>
                <w:szCs w:val="21"/>
              </w:rPr>
              <w:t>More than EUR 7,5 billion investments supported;</w:t>
            </w:r>
          </w:p>
          <w:p>
            <w:pPr>
              <w:pStyle w:val="ListParagraph"/>
              <w:spacing w:after="120" w:line="240" w:lineRule="auto"/>
              <w:ind w:left="0"/>
              <w:rPr>
                <w:noProof/>
                <w:sz w:val="21"/>
                <w:szCs w:val="21"/>
              </w:rPr>
            </w:pPr>
            <w:r>
              <w:rPr>
                <w:noProof/>
                <w:sz w:val="21"/>
                <w:szCs w:val="21"/>
              </w:rPr>
              <w:t>11 countries covered.</w:t>
            </w:r>
          </w:p>
        </w:tc>
        <w:tc>
          <w:tcPr>
            <w:tcW w:w="2268" w:type="dxa"/>
          </w:tcPr>
          <w:p>
            <w:pPr>
              <w:spacing w:before="60" w:after="120" w:line="240" w:lineRule="auto"/>
              <w:ind w:right="57"/>
              <w:rPr>
                <w:rFonts w:ascii="Times New Roman" w:hAnsi="Times New Roman" w:cs="Times New Roman"/>
                <w:noProof/>
                <w:sz w:val="21"/>
                <w:szCs w:val="21"/>
              </w:rPr>
            </w:pPr>
            <w:r>
              <w:rPr>
                <w:rFonts w:ascii="Times New Roman" w:hAnsi="Times New Roman" w:cs="Times New Roman"/>
                <w:noProof/>
                <w:sz w:val="21"/>
                <w:szCs w:val="21"/>
              </w:rPr>
              <w:t>Nearly EUR 4,4 billion of investments supported;</w:t>
            </w:r>
          </w:p>
          <w:p>
            <w:pPr>
              <w:spacing w:before="60" w:after="120" w:line="240" w:lineRule="auto"/>
              <w:ind w:right="57"/>
              <w:rPr>
                <w:rFonts w:ascii="Times New Roman" w:hAnsi="Times New Roman" w:cs="Times New Roman"/>
                <w:noProof/>
                <w:sz w:val="21"/>
                <w:szCs w:val="21"/>
              </w:rPr>
            </w:pPr>
            <w:r>
              <w:rPr>
                <w:rFonts w:ascii="Times New Roman" w:hAnsi="Times New Roman" w:cs="Times New Roman"/>
                <w:noProof/>
                <w:sz w:val="21"/>
                <w:szCs w:val="21"/>
              </w:rPr>
              <w:t>6 countries covered.</w:t>
            </w:r>
          </w:p>
        </w:tc>
        <w:tc>
          <w:tcPr>
            <w:tcW w:w="1985" w:type="dxa"/>
          </w:tcPr>
          <w:p>
            <w:pPr>
              <w:pStyle w:val="ListParagraph"/>
              <w:spacing w:after="120" w:line="240" w:lineRule="auto"/>
              <w:ind w:left="0" w:right="57"/>
              <w:rPr>
                <w:noProof/>
                <w:sz w:val="21"/>
                <w:szCs w:val="21"/>
              </w:rPr>
            </w:pPr>
            <w:r>
              <w:rPr>
                <w:noProof/>
                <w:sz w:val="21"/>
                <w:szCs w:val="21"/>
              </w:rPr>
              <w:t>EUR 148  million of new financing invested in 11 regional private equity or corporate funds; Approx. EUR 3 billion of investments/projects supported.</w:t>
            </w:r>
          </w:p>
        </w:tc>
        <w:tc>
          <w:tcPr>
            <w:tcW w:w="2551" w:type="dxa"/>
          </w:tcPr>
          <w:p>
            <w:pPr>
              <w:spacing w:before="60" w:after="120" w:line="240" w:lineRule="auto"/>
              <w:ind w:right="57"/>
              <w:rPr>
                <w:rFonts w:ascii="Times New Roman" w:hAnsi="Times New Roman" w:cs="Times New Roman"/>
                <w:noProof/>
                <w:sz w:val="21"/>
                <w:szCs w:val="21"/>
              </w:rPr>
            </w:pPr>
            <w:r>
              <w:rPr>
                <w:rFonts w:ascii="Times New Roman" w:hAnsi="Times New Roman" w:cs="Times New Roman"/>
                <w:noProof/>
                <w:sz w:val="21"/>
                <w:szCs w:val="21"/>
              </w:rPr>
              <w:t>The potential investment linked to the proposals retained so far under EDFI ElectriFI would amount to EUR 26.6 million, for an  installed capacity of 38.3 MW.</w:t>
            </w:r>
          </w:p>
        </w:tc>
      </w:tr>
    </w:tbl>
    <w:p>
      <w:pPr>
        <w:rPr>
          <w:rFonts w:ascii="Times New Roman" w:hAnsi="Times New Roman" w:cs="Times New Roman"/>
          <w:noProof/>
          <w:sz w:val="20"/>
          <w:szCs w:val="20"/>
        </w:rPr>
      </w:pPr>
    </w:p>
    <w:sectPr>
      <w:headerReference w:type="even" r:id="rId25"/>
      <w:headerReference w:type="default" r:id="rId26"/>
      <w:footerReference w:type="even" r:id="rId27"/>
      <w:footerReference w:type="default" r:id="rId28"/>
      <w:headerReference w:type="first" r:id="rId29"/>
      <w:footerReference w:type="first" r:id="rId30"/>
      <w:pgSz w:w="16838" w:h="11906" w:orient="landscape" w:code="9"/>
      <w:pgMar w:top="1417" w:right="1417" w:bottom="1417" w:left="1417" w:header="708" w:footer="708"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before="0" w:after="120"/>
        <w:ind w:left="284" w:hanging="426"/>
        <w:jc w:val="both"/>
      </w:pPr>
      <w:r>
        <w:rPr>
          <w:rStyle w:val="FootnoteReference"/>
        </w:rPr>
        <w:footnoteRef/>
      </w:r>
      <w:r>
        <w:t xml:space="preserve"> </w:t>
      </w:r>
      <w:r>
        <w:tab/>
        <w:t>The current Financial Regulation and its Rules of Application require a unified approach to reporting on leverage. As the provisions applying to financial instruments entered into force in January 2014, the approach is applied only to 2014-2020 financial instruments.</w:t>
      </w:r>
    </w:p>
  </w:footnote>
  <w:footnote w:id="3">
    <w:p>
      <w:pPr>
        <w:pStyle w:val="FootnoteText"/>
      </w:pPr>
      <w:r>
        <w:rPr>
          <w:rStyle w:val="FootnoteReference"/>
        </w:rPr>
        <w:footnoteRef/>
      </w:r>
      <w:r>
        <w:t xml:space="preserve"> Including all assets: current and non-current term deposits and bonds, equity investment and foreign currencies held on the accounts of the financial instrument</w:t>
      </w:r>
    </w:p>
  </w:footnote>
  <w:footnote w:id="4">
    <w:p>
      <w:pPr>
        <w:pStyle w:val="FootnoteText"/>
      </w:pPr>
      <w:r>
        <w:rPr>
          <w:rStyle w:val="FootnoteReference"/>
        </w:rPr>
        <w:footnoteRef/>
      </w:r>
      <w:r>
        <w:t xml:space="preserve"> The target leverage figure refers to envisaged investments to financial intermediaries</w:t>
      </w:r>
    </w:p>
  </w:footnote>
  <w:footnote w:id="5">
    <w:p>
      <w:pPr>
        <w:pStyle w:val="FootnoteText"/>
      </w:pPr>
      <w:r>
        <w:rPr>
          <w:rStyle w:val="FootnoteReference"/>
        </w:rPr>
        <w:footnoteRef/>
      </w:r>
      <w:r>
        <w:t xml:space="preserve"> Data including EFSI, for details see the SWD document. </w:t>
      </w:r>
    </w:p>
  </w:footnote>
  <w:footnote w:id="6">
    <w:p>
      <w:pPr>
        <w:pStyle w:val="FootnoteText"/>
      </w:pPr>
      <w:r>
        <w:rPr>
          <w:rStyle w:val="FootnoteReference"/>
        </w:rPr>
        <w:footnoteRef/>
      </w:r>
      <w:r>
        <w:t xml:space="preserve"> Including all assets: current and non-current term deposits and bonds, equity investment and foreign currencies held on the accounts of the financial instrument</w:t>
      </w:r>
    </w:p>
  </w:footnote>
  <w:footnote w:id="7">
    <w:p>
      <w:pPr>
        <w:pStyle w:val="FootnoteText"/>
        <w:jc w:val="both"/>
      </w:pPr>
      <w:r>
        <w:rPr>
          <w:rStyle w:val="FootnoteReference"/>
        </w:rPr>
        <w:footnoteRef/>
      </w:r>
      <w:r>
        <w:t xml:space="preserve"> Please note that the figure provided is also included in RSFF.</w:t>
      </w:r>
    </w:p>
  </w:footnote>
  <w:footnote w:id="8">
    <w:p>
      <w:pPr>
        <w:pStyle w:val="FootnoteText"/>
      </w:pPr>
      <w:r>
        <w:rPr>
          <w:rStyle w:val="FootnoteReference"/>
        </w:rPr>
        <w:footnoteRef/>
      </w:r>
      <w:r>
        <w:t xml:space="preserve"> Data including EFSI, for details see the SWD document.</w:t>
      </w:r>
    </w:p>
  </w:footnote>
  <w:footnote w:id="9">
    <w:p>
      <w:pPr>
        <w:pStyle w:val="FootnoteText"/>
      </w:pPr>
      <w:r>
        <w:rPr>
          <w:rStyle w:val="FootnoteReference"/>
        </w:rPr>
        <w:footnoteRef/>
      </w:r>
      <w:r>
        <w:t xml:space="preserve"> Data including EFSI, for details see the SWD document.</w:t>
      </w:r>
    </w:p>
  </w:footnote>
  <w:footnote w:id="10">
    <w:p>
      <w:pPr>
        <w:pStyle w:val="FootnoteText"/>
      </w:pPr>
      <w:r>
        <w:rPr>
          <w:rStyle w:val="FootnoteReference"/>
        </w:rPr>
        <w:footnoteRef/>
      </w:r>
      <w:r>
        <w:t xml:space="preserve"> Including all assets: current and non-current term deposits and bonds, equity investment and foreign currencies held on the accounts of the financial instrument</w:t>
      </w:r>
    </w:p>
  </w:footnote>
  <w:footnote w:id="11">
    <w:p>
      <w:pPr>
        <w:pStyle w:val="FootnoteText"/>
      </w:pPr>
      <w:r>
        <w:rPr>
          <w:rStyle w:val="FootnoteReference"/>
        </w:rPr>
        <w:footnoteRef/>
      </w:r>
      <w:r>
        <w:t xml:space="preserve"> H2020 and COSME LGF figures only, do not include ERDF contribution (see SWD for details).</w:t>
      </w:r>
    </w:p>
  </w:footnote>
  <w:footnote w:id="12">
    <w:p>
      <w:pPr>
        <w:pStyle w:val="FootnoteText"/>
      </w:pPr>
      <w:r>
        <w:rPr>
          <w:rStyle w:val="FootnoteReference"/>
        </w:rPr>
        <w:footnoteRef/>
      </w:r>
      <w:r>
        <w:t xml:space="preserve"> Including all assets: current and non-current term deposits and bonds, equity investment and foreign currencies held on the accounts of the financial instrument</w:t>
      </w:r>
    </w:p>
  </w:footnote>
  <w:footnote w:id="13">
    <w:p>
      <w:pPr>
        <w:pStyle w:val="FootnoteText"/>
      </w:pPr>
      <w:r>
        <w:rPr>
          <w:rStyle w:val="FootnoteReference"/>
        </w:rPr>
        <w:footnoteRef/>
      </w:r>
      <w:r>
        <w:t xml:space="preserve"> Please note that the figure provided does not include the RSI part (EUR 181 million).</w:t>
      </w:r>
    </w:p>
  </w:footnote>
  <w:footnote w:id="14">
    <w:p>
      <w:pPr>
        <w:pStyle w:val="FootnoteText"/>
      </w:pPr>
      <w:r>
        <w:rPr>
          <w:rStyle w:val="FootnoteReference"/>
        </w:rPr>
        <w:footnoteRef/>
      </w:r>
      <w:r>
        <w:t xml:space="preserve"> Including all assets: current and non-current term deposits and bonds, equity investment and foreign currencies held on the accounts of the financial instrument</w:t>
      </w:r>
    </w:p>
  </w:footnote>
  <w:footnote w:id="15">
    <w:p>
      <w:pPr>
        <w:pStyle w:val="FootnoteText"/>
        <w:spacing w:before="0" w:after="120"/>
        <w:ind w:left="284" w:hanging="426"/>
        <w:jc w:val="both"/>
      </w:pPr>
      <w:r>
        <w:rPr>
          <w:rStyle w:val="FootnoteReference"/>
        </w:rPr>
        <w:footnoteRef/>
      </w:r>
      <w:r>
        <w:t xml:space="preserve"> </w:t>
      </w:r>
      <w:r>
        <w:tab/>
        <w:t>Western Balkans Enterprise Development and Innovation Facility (WB EDIF).</w:t>
      </w:r>
    </w:p>
  </w:footnote>
  <w:footnote w:id="16">
    <w:p>
      <w:pPr>
        <w:pStyle w:val="FootnoteText"/>
        <w:spacing w:before="0" w:after="120"/>
        <w:ind w:left="284" w:hanging="426"/>
        <w:jc w:val="both"/>
      </w:pPr>
      <w:r>
        <w:rPr>
          <w:rStyle w:val="FootnoteReference"/>
        </w:rPr>
        <w:footnoteRef/>
      </w:r>
      <w:r>
        <w:t xml:space="preserve"> </w:t>
      </w:r>
      <w:r>
        <w:tab/>
        <w:t>Western Balkans Enterprise Development and Innovation Facility (WB EDIF).</w:t>
      </w:r>
    </w:p>
  </w:footnote>
  <w:footnote w:id="17">
    <w:p>
      <w:pPr>
        <w:pStyle w:val="FootnoteText"/>
        <w:spacing w:before="0" w:after="120"/>
        <w:ind w:left="284" w:hanging="426"/>
        <w:jc w:val="both"/>
      </w:pPr>
      <w:r>
        <w:rPr>
          <w:rStyle w:val="FootnoteReference"/>
        </w:rPr>
        <w:footnoteRef/>
      </w:r>
      <w:r>
        <w:t xml:space="preserve"> </w:t>
      </w:r>
      <w:r>
        <w:tab/>
        <w:t>Under the WB EDIF.</w:t>
      </w:r>
    </w:p>
  </w:footnote>
  <w:footnote w:id="18">
    <w:p>
      <w:pPr>
        <w:pStyle w:val="FootnoteText"/>
        <w:spacing w:before="0" w:after="120"/>
        <w:ind w:left="284" w:hanging="426"/>
        <w:jc w:val="both"/>
      </w:pPr>
      <w:r>
        <w:rPr>
          <w:rStyle w:val="FootnoteReference"/>
        </w:rPr>
        <w:footnoteRef/>
      </w:r>
      <w:r>
        <w:t xml:space="preserve"> Western Balkans Enterprise Development and Innovation Facility (WB EDIF).</w:t>
      </w:r>
    </w:p>
  </w:footnote>
  <w:footnote w:id="19">
    <w:p>
      <w:pPr>
        <w:pStyle w:val="FootnoteText"/>
        <w:spacing w:before="0" w:after="120"/>
        <w:ind w:left="284" w:hanging="426"/>
        <w:jc w:val="both"/>
      </w:pPr>
      <w:r>
        <w:rPr>
          <w:rStyle w:val="FootnoteReference"/>
        </w:rPr>
        <w:footnoteRef/>
      </w:r>
      <w:r>
        <w:t xml:space="preserve"> Western Balkans Enterprise Development and Innovation Facility (WB EDIF).</w:t>
      </w:r>
    </w:p>
  </w:footnote>
  <w:footnote w:id="20">
    <w:p>
      <w:pPr>
        <w:pStyle w:val="FootnoteText"/>
        <w:spacing w:before="0" w:after="120"/>
        <w:ind w:left="284" w:hanging="426"/>
        <w:jc w:val="both"/>
      </w:pPr>
      <w:r>
        <w:rPr>
          <w:rStyle w:val="FootnoteReference"/>
        </w:rPr>
        <w:footnoteRef/>
      </w:r>
      <w:r>
        <w:t xml:space="preserve"> Under the WB EDIF.</w:t>
      </w:r>
    </w:p>
  </w:footnote>
  <w:footnote w:id="21">
    <w:p>
      <w:pPr>
        <w:pStyle w:val="FootnoteText"/>
        <w:spacing w:before="0" w:after="120"/>
        <w:ind w:left="284" w:hanging="426"/>
        <w:jc w:val="both"/>
      </w:pPr>
      <w:r>
        <w:rPr>
          <w:rStyle w:val="FootnoteReference"/>
        </w:rPr>
        <w:footnoteRef/>
      </w:r>
      <w:r>
        <w:t>Including all assets: current and non-current term deposits and bonds, equity investment and foreign currencies held on the accounts of the financial instrument</w:t>
      </w:r>
    </w:p>
    <w:p>
      <w:pPr>
        <w:pStyle w:val="FootnoteText"/>
      </w:pPr>
    </w:p>
  </w:footnote>
  <w:footnote w:id="22">
    <w:p>
      <w:pPr>
        <w:pStyle w:val="FootnoteText"/>
        <w:spacing w:before="0" w:after="120"/>
        <w:ind w:left="284" w:hanging="426"/>
        <w:jc w:val="both"/>
        <w:rPr>
          <w:color w:val="FF00FF"/>
        </w:rPr>
      </w:pPr>
      <w:r>
        <w:rPr>
          <w:rStyle w:val="FootnoteReference"/>
        </w:rPr>
        <w:footnoteRef/>
      </w:r>
      <w:r>
        <w:t xml:space="preserve"> </w:t>
      </w:r>
      <w:r>
        <w:tab/>
        <w:t>Under the WB EDIF.</w:t>
      </w:r>
    </w:p>
  </w:footnote>
  <w:footnote w:id="23">
    <w:p>
      <w:pPr>
        <w:pStyle w:val="FootnoteText"/>
      </w:pPr>
      <w:r>
        <w:rPr>
          <w:rStyle w:val="FootnoteReference"/>
        </w:rPr>
        <w:footnoteRef/>
      </w:r>
      <w:r>
        <w:t xml:space="preserve"> Including all assets: current and non-current term deposits and bonds, equity investment and foreign currencies held on the accounts of the financial instrument</w:t>
      </w:r>
    </w:p>
  </w:footnote>
  <w:footnote w:id="24">
    <w:p>
      <w:pPr>
        <w:pStyle w:val="FootnoteText"/>
      </w:pPr>
      <w:r>
        <w:rPr>
          <w:rStyle w:val="FootnoteReference"/>
        </w:rPr>
        <w:footnoteRef/>
      </w:r>
      <w:r>
        <w:t xml:space="preserve"> Including all assets: current and non-current term deposits and bonds, equity investment and foreign currencies held on the accounts of the financial instrument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52B"/>
    <w:multiLevelType w:val="hybridMultilevel"/>
    <w:tmpl w:val="CD049374"/>
    <w:styleLink w:val="1111111"/>
    <w:lvl w:ilvl="0" w:tplc="C4B26E2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85C7517"/>
    <w:multiLevelType w:val="hybridMultilevel"/>
    <w:tmpl w:val="35AA3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954FF"/>
    <w:multiLevelType w:val="multilevel"/>
    <w:tmpl w:val="F9F018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EC58EE"/>
    <w:multiLevelType w:val="hybridMultilevel"/>
    <w:tmpl w:val="6AB87428"/>
    <w:lvl w:ilvl="0" w:tplc="00007380">
      <w:start w:val="1"/>
      <w:numFmt w:val="lowerLetter"/>
      <w:lvlRestart w:val="0"/>
      <w:pStyle w:val="Heading5"/>
      <w:lvlText w:val="(%1)"/>
      <w:lvlJc w:val="left"/>
      <w:pPr>
        <w:ind w:left="720" w:hanging="360"/>
      </w:pPr>
      <w:rPr>
        <w:rFonts w:hint="default"/>
        <w:b/>
        <w:i w:val="0"/>
        <w:color w:val="auto"/>
      </w:rPr>
    </w:lvl>
    <w:lvl w:ilvl="1" w:tplc="5D422F80">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FB653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2F11FC6"/>
    <w:multiLevelType w:val="multilevel"/>
    <w:tmpl w:val="B38ECDF0"/>
    <w:styleLink w:val="1111112"/>
    <w:lvl w:ilvl="0">
      <w:start w:val="1"/>
      <w:numFmt w:val="decimal"/>
      <w:lvlText w:val="%1."/>
      <w:lvlJc w:val="left"/>
      <w:pPr>
        <w:tabs>
          <w:tab w:val="num" w:pos="0"/>
        </w:tabs>
        <w:ind w:left="0" w:firstLine="0"/>
      </w:pPr>
      <w:rPr>
        <w:rFonts w:ascii="Times New Roman" w:hAnsi="Times New Roman" w:hint="default"/>
        <w:b/>
        <w:i w:val="0"/>
        <w:sz w:val="28"/>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C503D7D"/>
    <w:multiLevelType w:val="multilevel"/>
    <w:tmpl w:val="64CA2D9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ascii="Times New Roman" w:hAnsi="Times New Roman" w:cs="Times New Roman" w:hint="default"/>
        <w:b/>
      </w:rPr>
    </w:lvl>
    <w:lvl w:ilvl="2">
      <w:start w:val="1"/>
      <w:numFmt w:val="decimal"/>
      <w:pStyle w:val="Heading4bis"/>
      <w:lvlText w:val="%1.%2.%3."/>
      <w:lvlJc w:val="left"/>
      <w:pPr>
        <w:ind w:left="1224" w:hanging="504"/>
      </w:pPr>
      <w:rPr>
        <w:rFonts w:hint="default"/>
      </w:rPr>
    </w:lvl>
    <w:lvl w:ilvl="3">
      <w:start w:val="1"/>
      <w:numFmt w:val="decimal"/>
      <w:pStyle w:val="Heading5bi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DC5D18"/>
    <w:multiLevelType w:val="hybridMultilevel"/>
    <w:tmpl w:val="5E845C8E"/>
    <w:lvl w:ilvl="0" w:tplc="2132DE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7E22E3"/>
    <w:multiLevelType w:val="hybridMultilevel"/>
    <w:tmpl w:val="10FCDBC6"/>
    <w:lvl w:ilvl="0" w:tplc="D39A6AB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F00E18"/>
    <w:multiLevelType w:val="singleLevel"/>
    <w:tmpl w:val="4E1A982C"/>
    <w:lvl w:ilvl="0">
      <w:start w:val="1"/>
      <w:numFmt w:val="bullet"/>
      <w:pStyle w:val="ListBullet"/>
      <w:lvlText w:val=""/>
      <w:lvlJc w:val="left"/>
      <w:pPr>
        <w:tabs>
          <w:tab w:val="num" w:pos="643"/>
        </w:tabs>
        <w:ind w:left="643" w:hanging="283"/>
      </w:pPr>
      <w:rPr>
        <w:rFonts w:ascii="Symbol" w:hAnsi="Symbol"/>
      </w:rPr>
    </w:lvl>
  </w:abstractNum>
  <w:abstractNum w:abstractNumId="10">
    <w:nsid w:val="4B401244"/>
    <w:multiLevelType w:val="hybridMultilevel"/>
    <w:tmpl w:val="0092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EF7C26"/>
    <w:multiLevelType w:val="hybridMultilevel"/>
    <w:tmpl w:val="9EF6BB8C"/>
    <w:lvl w:ilvl="0" w:tplc="A36E351E">
      <w:start w:val="1"/>
      <w:numFmt w:val="bullet"/>
      <w:pStyle w:val="Key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ECA2424">
      <w:start w:val="2"/>
      <w:numFmt w:val="bullet"/>
      <w:lvlText w:val="•"/>
      <w:lvlJc w:val="left"/>
      <w:pPr>
        <w:ind w:left="2370" w:hanging="57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1B4628"/>
    <w:multiLevelType w:val="hybridMultilevel"/>
    <w:tmpl w:val="F1F6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0A5764"/>
    <w:multiLevelType w:val="hybridMultilevel"/>
    <w:tmpl w:val="9C6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5D69EB"/>
    <w:multiLevelType w:val="hybridMultilevel"/>
    <w:tmpl w:val="4EE4D2F2"/>
    <w:lvl w:ilvl="0" w:tplc="3DF2C38E">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nsid w:val="61653D02"/>
    <w:multiLevelType w:val="hybridMultilevel"/>
    <w:tmpl w:val="977A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7B0884"/>
    <w:multiLevelType w:val="hybridMultilevel"/>
    <w:tmpl w:val="00923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A53902"/>
    <w:multiLevelType w:val="hybridMultilevel"/>
    <w:tmpl w:val="6894725A"/>
    <w:lvl w:ilvl="0" w:tplc="67440BF2">
      <w:start w:val="1"/>
      <w:numFmt w:val="bullet"/>
      <w:pStyle w:val="Bulletedlist"/>
      <w:lvlText w:val=""/>
      <w:lvlJc w:val="left"/>
      <w:pPr>
        <w:ind w:left="360" w:hanging="360"/>
      </w:pPr>
      <w:rPr>
        <w:rFonts w:ascii="Symbol" w:hAnsi="Symbol" w:hint="default"/>
        <w:color w:val="0000F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D453B3"/>
    <w:multiLevelType w:val="hybridMultilevel"/>
    <w:tmpl w:val="F5E60D02"/>
    <w:lvl w:ilvl="0" w:tplc="434E882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860AD8"/>
    <w:multiLevelType w:val="hybridMultilevel"/>
    <w:tmpl w:val="BB6E08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nsid w:val="6AD412C9"/>
    <w:multiLevelType w:val="hybridMultilevel"/>
    <w:tmpl w:val="B80AFFEA"/>
    <w:lvl w:ilvl="0" w:tplc="4F88904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49013F7"/>
    <w:multiLevelType w:val="multilevel"/>
    <w:tmpl w:val="C8B42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5B5664A"/>
    <w:multiLevelType w:val="hybridMultilevel"/>
    <w:tmpl w:val="4DCCF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CA2AB8"/>
    <w:multiLevelType w:val="hybridMultilevel"/>
    <w:tmpl w:val="A996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4473C7"/>
    <w:multiLevelType w:val="hybridMultilevel"/>
    <w:tmpl w:val="24761A48"/>
    <w:lvl w:ilvl="0" w:tplc="77268220">
      <w:start w:val="1"/>
      <w:numFmt w:val="upperLetter"/>
      <w:pStyle w:val="Heading4"/>
      <w:lvlText w:val="%1 -"/>
      <w:lvlJc w:val="left"/>
      <w:pPr>
        <w:ind w:left="360" w:hanging="360"/>
      </w:pPr>
      <w:rPr>
        <w:rFonts w:ascii="Times New Roman" w:hAnsi="Times New Roman" w:cs="Times New Roman" w:hint="default"/>
        <w:color w:val="auto"/>
        <w:sz w:val="24"/>
        <w:szCs w:val="24"/>
      </w:rPr>
    </w:lvl>
    <w:lvl w:ilvl="1" w:tplc="0B6A27F8">
      <w:start w:val="1"/>
      <w:numFmt w:val="lowerLetter"/>
      <w:lvlText w:val="(%2)"/>
      <w:lvlJc w:val="left"/>
      <w:pPr>
        <w:ind w:left="1140" w:hanging="360"/>
      </w:pPr>
      <w:rPr>
        <w:rFonts w:hint="default"/>
      </w:rPr>
    </w:lvl>
    <w:lvl w:ilvl="2" w:tplc="87EA8504">
      <w:start w:val="2"/>
      <w:numFmt w:val="bullet"/>
      <w:lvlText w:val="-"/>
      <w:lvlJc w:val="left"/>
      <w:pPr>
        <w:ind w:left="2040" w:hanging="360"/>
      </w:pPr>
      <w:rPr>
        <w:rFonts w:ascii="Times New Roman" w:eastAsia="Calibri" w:hAnsi="Times New Roman" w:cs="Times New Roman" w:hint="default"/>
      </w:rPr>
    </w:lvl>
    <w:lvl w:ilvl="3" w:tplc="130AAAFE">
      <w:start w:val="1"/>
      <w:numFmt w:val="lowerRoman"/>
      <w:lvlText w:val="%4)"/>
      <w:lvlJc w:val="left"/>
      <w:pPr>
        <w:ind w:left="2940" w:hanging="720"/>
      </w:pPr>
      <w:rPr>
        <w:rFonts w:hint="default"/>
      </w:rPr>
    </w:lvl>
    <w:lvl w:ilvl="4" w:tplc="2752EBEE">
      <w:start w:val="1"/>
      <w:numFmt w:val="decimal"/>
      <w:lvlText w:val="%5."/>
      <w:lvlJc w:val="left"/>
      <w:pPr>
        <w:ind w:left="3300" w:hanging="360"/>
      </w:pPr>
      <w:rPr>
        <w:rFonts w:hint="default"/>
      </w:r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nsid w:val="7E7C247A"/>
    <w:multiLevelType w:val="hybridMultilevel"/>
    <w:tmpl w:val="1BC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4"/>
  </w:num>
  <w:num w:numId="5">
    <w:abstractNumId w:val="0"/>
  </w:num>
  <w:num w:numId="6">
    <w:abstractNumId w:val="13"/>
  </w:num>
  <w:num w:numId="7">
    <w:abstractNumId w:val="12"/>
  </w:num>
  <w:num w:numId="8">
    <w:abstractNumId w:val="16"/>
  </w:num>
  <w:num w:numId="9">
    <w:abstractNumId w:val="9"/>
  </w:num>
  <w:num w:numId="10">
    <w:abstractNumId w:val="24"/>
  </w:num>
  <w:num w:numId="11">
    <w:abstractNumId w:val="8"/>
  </w:num>
  <w:num w:numId="12">
    <w:abstractNumId w:val="17"/>
  </w:num>
  <w:num w:numId="13">
    <w:abstractNumId w:val="7"/>
  </w:num>
  <w:num w:numId="14">
    <w:abstractNumId w:val="18"/>
  </w:num>
  <w:num w:numId="15">
    <w:abstractNumId w:val="20"/>
  </w:num>
  <w:num w:numId="16">
    <w:abstractNumId w:val="3"/>
  </w:num>
  <w:num w:numId="17">
    <w:abstractNumId w:val="10"/>
  </w:num>
  <w:num w:numId="18">
    <w:abstractNumId w:val="25"/>
  </w:num>
  <w:num w:numId="19">
    <w:abstractNumId w:val="1"/>
  </w:num>
  <w:num w:numId="20">
    <w:abstractNumId w:val="19"/>
  </w:num>
  <w:num w:numId="21">
    <w:abstractNumId w:val="22"/>
  </w:num>
  <w:num w:numId="22">
    <w:abstractNumId w:val="15"/>
  </w:num>
  <w:num w:numId="23">
    <w:abstractNumId w:val="23"/>
  </w:num>
  <w:num w:numId="24">
    <w:abstractNumId w:val="2"/>
  </w:num>
  <w:num w:numId="25">
    <w:abstractNumId w:val="21"/>
  </w:num>
  <w:num w:numId="26">
    <w:abstractNumId w:val="14"/>
  </w:num>
  <w:num w:numId="27">
    <w:abstractNumId w:val="24"/>
  </w:num>
  <w:num w:numId="2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erfederico Asdrubali">
    <w15:presenceInfo w15:providerId="Windows Live" w15:userId="98971def9a781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revisionView w:markup="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F129FAE6AB6944C4815CB377D1D1D36D"/>
    <w:docVar w:name="LW_CROSSREFERENCE" w:val="{SWD(2017) 312 final}"/>
    <w:docVar w:name="LW_DocType" w:val="NORMAL"/>
    <w:docVar w:name="LW_EMISSION" w:val="25.9.2017"/>
    <w:docVar w:name="LW_EMISSION_ISODATE" w:val="2017-09-25"/>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on financial instruments supported by the general budget according to Art.140.8 of the Financial Regulation as at 31 December 2016"/>
    <w:docVar w:name="LW_PART_NBR" w:val="1"/>
    <w:docVar w:name="LW_PART_NBR_TOTAL" w:val="1"/>
    <w:docVar w:name="LW_REF.INST.NEW" w:val="COM"/>
    <w:docVar w:name="LW_REF.INST.NEW_ADOPTED" w:val="final"/>
    <w:docVar w:name="LW_REF.INST.NEW_TEXT" w:val="(2017) 535"/>
    <w:docVar w:name="LW_REF.INTERNE" w:val="&lt;UNUSED&gt;"/>
    <w:docVar w:name="LW_SUPERTITRE" w:val="&lt;UNUSED&gt;"/>
    <w:docVar w:name="LW_TITRE.OBJ.CP" w:val="&lt;UNUSED&gt;"/>
    <w:docVar w:name="LW_TYPE.DOC.CP" w:val="ANNEX_x000b_"/>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ind w:right="141"/>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rFonts w:ascii="Times New Roman" w:eastAsia="Calibri" w:hAnsi="Times New Roman" w:cs="Times New Roman"/>
      <w:b/>
      <w:sz w:val="24"/>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rFonts w:ascii="Times New Roman" w:eastAsia="Calibri" w:hAnsi="Times New Roman" w:cs="Times New Roman"/>
      <w:b/>
      <w:sz w:val="24"/>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ascii="Times New Roman" w:eastAsia="Times New Roman" w:hAnsi="Times New Roman" w:cs="Times New Roman"/>
      <w:b/>
      <w:bCs/>
      <w:sz w:val="24"/>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rFonts w:ascii="Times New Roman" w:eastAsia="Calibri" w:hAnsi="Times New Roman" w:cs="Times New Roman"/>
      <w:b/>
      <w:sz w:val="24"/>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rFonts w:ascii="Times New Roman" w:eastAsia="Calibri" w:hAnsi="Times New Roman" w:cs="Times New Roman"/>
      <w:b/>
      <w:i/>
      <w:iCs/>
      <w:sz w:val="24"/>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Pr>
      <w:rFonts w:ascii="Times New Roman" w:eastAsia="Calibri" w:hAnsi="Times New Roman" w:cs="Times New Roman"/>
      <w:b/>
      <w:sz w:val="24"/>
      <w:szCs w:val="24"/>
    </w:rPr>
  </w:style>
  <w:style w:type="character" w:customStyle="1" w:styleId="Heading3Char">
    <w:name w:val="Heading 3 Char"/>
    <w:aliases w:val="Heading 3 bis Char"/>
    <w:basedOn w:val="DefaultParagraphFont"/>
    <w:link w:val="Heading3"/>
    <w:uiPriority w:val="9"/>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uiPriority w:val="9"/>
    <w:rPr>
      <w:rFonts w:ascii="Times New Roman" w:eastAsia="Calibri" w:hAnsi="Times New Roman" w:cs="Times New Roman"/>
      <w:b/>
      <w:sz w:val="24"/>
      <w:szCs w:val="24"/>
    </w:rPr>
  </w:style>
  <w:style w:type="character" w:customStyle="1" w:styleId="Heading6Char">
    <w:name w:val="Heading 6 Char"/>
    <w:basedOn w:val="DefaultParagraphFont"/>
    <w:link w:val="Heading6"/>
    <w:uiPriority w:val="9"/>
    <w:rPr>
      <w:rFonts w:ascii="Times New Roman" w:eastAsia="Calibri" w:hAnsi="Times New Roman" w:cs="Times New Roman"/>
      <w:b/>
      <w:i/>
      <w:iCs/>
      <w:sz w:val="24"/>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paragraph" w:styleId="Header">
    <w:name w:val="header"/>
    <w:basedOn w:val="Normal"/>
    <w:link w:val="Head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ListParagraph">
    <w:name w:val="List Paragraph"/>
    <w:basedOn w:val="Normal"/>
    <w:uiPriority w:val="34"/>
    <w:qFormat/>
    <w:pPr>
      <w:spacing w:before="60" w:after="60"/>
      <w:ind w:left="720"/>
      <w:contextualSpacing/>
    </w:pPr>
    <w:rPr>
      <w:rFonts w:ascii="Times New Roman" w:eastAsia="Calibri" w:hAnsi="Times New Roman" w:cs="Times New Roman"/>
      <w:sz w:val="24"/>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before="60" w:after="100"/>
    </w:pPr>
    <w:rPr>
      <w:rFonts w:ascii="Times New Roman" w:eastAsia="Calibri" w:hAnsi="Times New Roman" w:cs="Times New Roman"/>
      <w:sz w:val="24"/>
    </w:rPr>
  </w:style>
  <w:style w:type="paragraph" w:styleId="TOC2">
    <w:name w:val="toc 2"/>
    <w:basedOn w:val="Normal"/>
    <w:next w:val="Normal"/>
    <w:autoRedefine/>
    <w:uiPriority w:val="39"/>
    <w:unhideWhenUsed/>
    <w:pPr>
      <w:spacing w:before="60" w:after="100"/>
      <w:ind w:left="220"/>
    </w:pPr>
    <w:rPr>
      <w:rFonts w:ascii="Times New Roman" w:eastAsia="Calibri" w:hAnsi="Times New Roman" w:cs="Times New Roman"/>
      <w:sz w:val="24"/>
    </w:rPr>
  </w:style>
  <w:style w:type="paragraph" w:styleId="TOC3">
    <w:name w:val="toc 3"/>
    <w:basedOn w:val="Normal"/>
    <w:next w:val="Normal"/>
    <w:autoRedefine/>
    <w:uiPriority w:val="39"/>
    <w:unhideWhenUsed/>
    <w:pPr>
      <w:spacing w:before="60" w:after="100"/>
      <w:ind w:left="440"/>
    </w:pPr>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60"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Text1">
    <w:name w:val="Text 1"/>
    <w:basedOn w:val="Normal"/>
    <w:pPr>
      <w:spacing w:before="60" w:after="240" w:line="240" w:lineRule="auto"/>
      <w:ind w:left="48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before="60"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before="60" w:after="0" w:line="240" w:lineRule="auto"/>
    </w:pPr>
    <w:rPr>
      <w:rFonts w:ascii="Times New Roman" w:eastAsia="Times New Roman" w:hAnsi="Times New Roman" w:cs="Times New Roman"/>
      <w:sz w:val="24"/>
      <w:szCs w:val="24"/>
      <w:lang w:eastAsia="en-GB"/>
    </w:rPr>
  </w:style>
  <w:style w:type="paragraph" w:customStyle="1" w:styleId="CM1">
    <w:name w:val="CM1"/>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CM3">
    <w:name w:val="CM3"/>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60" w:after="6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60" w:after="60"/>
    </w:pPr>
    <w:rPr>
      <w:rFonts w:ascii="Times New Roman" w:eastAsia="Calibri" w:hAnsi="Times New Roman" w:cs="Times New Roman"/>
      <w:sz w:val="24"/>
      <w:szCs w:val="24"/>
    </w:rPr>
  </w:style>
  <w:style w:type="paragraph" w:customStyle="1" w:styleId="Text2">
    <w:name w:val="Text 2"/>
    <w:basedOn w:val="Normal"/>
    <w:pPr>
      <w:tabs>
        <w:tab w:val="left" w:pos="2160"/>
      </w:tabs>
      <w:spacing w:before="60" w:after="240" w:line="240" w:lineRule="auto"/>
      <w:ind w:left="1077"/>
      <w:jc w:val="both"/>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before="60" w:after="240" w:line="240" w:lineRule="auto"/>
      <w:jc w:val="both"/>
    </w:pPr>
    <w:rPr>
      <w:rFonts w:ascii="Times New Roman" w:eastAsia="Times New Roman" w:hAnsi="Times New Roman" w:cs="Times New Roman"/>
      <w:sz w:val="24"/>
      <w:szCs w:val="20"/>
    </w:rPr>
  </w:style>
  <w:style w:type="character" w:customStyle="1" w:styleId="Corpsdutexte">
    <w:name w:val="Corps du texte_"/>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ascii="Times New Roman" w:eastAsia="Times New Roman" w:hAnsi="Times New Roman" w:cs="Times New Roman"/>
      <w:sz w:val="23"/>
      <w:szCs w:val="23"/>
      <w:lang w:val="en-US" w:eastAsia="en-GB"/>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paragraph" w:styleId="Caption">
    <w:name w:val="caption"/>
    <w:basedOn w:val="Normal"/>
    <w:next w:val="Normal"/>
    <w:link w:val="CaptionChar"/>
    <w:uiPriority w:val="35"/>
    <w:unhideWhenUsed/>
    <w:qFormat/>
    <w:pPr>
      <w:spacing w:before="60" w:after="60"/>
    </w:pPr>
    <w:rPr>
      <w:rFonts w:ascii="Times New Roman" w:eastAsia="Calibri" w:hAnsi="Times New Roman" w:cs="Times New Roman"/>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before="60" w:after="160"/>
      <w:ind w:left="851"/>
    </w:pPr>
    <w:rPr>
      <w:rFonts w:ascii="Times New Roman" w:eastAsia="Calibri" w:hAnsi="Times New Roman" w:cs="Times New Roman"/>
      <w:b/>
      <w:i/>
      <w:sz w:val="21"/>
      <w:szCs w:val="20"/>
    </w:rPr>
  </w:style>
  <w:style w:type="character" w:customStyle="1" w:styleId="CaptionChar">
    <w:name w:val="Caption Char"/>
    <w:link w:val="Caption"/>
    <w:uiPriority w:val="35"/>
    <w:rPr>
      <w:rFonts w:ascii="Times New Roman" w:eastAsia="Calibri" w:hAnsi="Times New Roman" w:cs="Times New Roman"/>
      <w:b/>
      <w:bCs/>
      <w:sz w:val="20"/>
      <w:szCs w:val="20"/>
    </w:rPr>
  </w:style>
  <w:style w:type="character" w:customStyle="1" w:styleId="captionChar0">
    <w:name w:val="caption Char"/>
    <w:link w:val="Caption1"/>
    <w:rPr>
      <w:rFonts w:ascii="Times New Roman" w:eastAsia="Calibri" w:hAnsi="Times New Roman" w:cs="Times New Roman"/>
      <w:b/>
      <w:bCs/>
      <w:i/>
      <w:szCs w:val="20"/>
    </w:rPr>
  </w:style>
  <w:style w:type="character" w:customStyle="1" w:styleId="SourceCapChar">
    <w:name w:val="SourceCap Char"/>
    <w:link w:val="SourceCap"/>
    <w:rPr>
      <w:rFonts w:ascii="Times New Roman" w:eastAsia="Calibri" w:hAnsi="Times New Roman" w:cs="Times New Roman"/>
      <w:b/>
      <w:i/>
      <w:sz w:val="21"/>
      <w:szCs w:val="20"/>
    </w:rPr>
  </w:style>
  <w:style w:type="paragraph" w:customStyle="1" w:styleId="KeyPoints">
    <w:name w:val="KeyPoints"/>
    <w:basedOn w:val="Normal"/>
    <w:link w:val="KeyPointsChar"/>
    <w:qFormat/>
    <w:pPr>
      <w:numPr>
        <w:numId w:val="1"/>
      </w:numPr>
      <w:spacing w:before="60" w:after="60" w:line="240" w:lineRule="auto"/>
      <w:ind w:left="0" w:hanging="357"/>
      <w:contextualSpacing/>
      <w:jc w:val="both"/>
    </w:pPr>
    <w:rPr>
      <w:rFonts w:ascii="Times New Roman" w:eastAsia="Calibri" w:hAnsi="Times New Roman" w:cs="Times New Roman"/>
      <w:i/>
      <w:sz w:val="24"/>
      <w:szCs w:val="24"/>
    </w:rPr>
  </w:style>
  <w:style w:type="paragraph" w:styleId="TOC4">
    <w:name w:val="toc 4"/>
    <w:basedOn w:val="Normal"/>
    <w:next w:val="Normal"/>
    <w:autoRedefine/>
    <w:uiPriority w:val="39"/>
    <w:unhideWhenUsed/>
    <w:pPr>
      <w:spacing w:before="60" w:after="60"/>
      <w:ind w:left="720"/>
    </w:pPr>
    <w:rPr>
      <w:rFonts w:ascii="Times New Roman" w:eastAsia="Calibri" w:hAnsi="Times New Roman" w:cs="Times New Roman"/>
      <w:sz w:val="24"/>
    </w:rPr>
  </w:style>
  <w:style w:type="character" w:customStyle="1" w:styleId="KeyPointsChar">
    <w:name w:val="KeyPoints Char"/>
    <w:link w:val="KeyPoints"/>
    <w:rPr>
      <w:rFonts w:ascii="Times New Roman" w:eastAsia="Calibri" w:hAnsi="Times New Roman" w:cs="Times New Roman"/>
      <w:i/>
      <w:sz w:val="24"/>
      <w:szCs w:val="24"/>
    </w:rPr>
  </w:style>
  <w:style w:type="paragraph" w:styleId="TOC5">
    <w:name w:val="toc 5"/>
    <w:basedOn w:val="Normal"/>
    <w:next w:val="Normal"/>
    <w:autoRedefine/>
    <w:uiPriority w:val="39"/>
    <w:unhideWhenUsed/>
    <w:pPr>
      <w:spacing w:before="60" w:after="60"/>
      <w:ind w:left="960"/>
    </w:pPr>
    <w:rPr>
      <w:rFonts w:ascii="Times New Roman" w:eastAsia="Calibri" w:hAnsi="Times New Roman" w:cs="Times New Roman"/>
      <w:sz w:val="24"/>
    </w:rPr>
  </w:style>
  <w:style w:type="paragraph" w:styleId="TOC6">
    <w:name w:val="toc 6"/>
    <w:basedOn w:val="Normal"/>
    <w:next w:val="Normal"/>
    <w:autoRedefine/>
    <w:uiPriority w:val="39"/>
    <w:unhideWhenUsed/>
    <w:pPr>
      <w:spacing w:after="100"/>
      <w:ind w:left="1100"/>
    </w:pPr>
    <w:rPr>
      <w:rFonts w:ascii="Calibri" w:eastAsia="MS Mincho" w:hAnsi="Calibri" w:cs="Times New Roman"/>
      <w:lang w:eastAsia="ja-JP"/>
    </w:rPr>
  </w:style>
  <w:style w:type="paragraph" w:styleId="TOC7">
    <w:name w:val="toc 7"/>
    <w:basedOn w:val="Normal"/>
    <w:next w:val="Normal"/>
    <w:autoRedefine/>
    <w:uiPriority w:val="39"/>
    <w:unhideWhenUsed/>
    <w:pPr>
      <w:spacing w:after="100"/>
      <w:ind w:left="1320"/>
    </w:pPr>
    <w:rPr>
      <w:rFonts w:ascii="Calibri" w:eastAsia="MS Mincho" w:hAnsi="Calibri" w:cs="Times New Roman"/>
      <w:lang w:eastAsia="ja-JP"/>
    </w:rPr>
  </w:style>
  <w:style w:type="paragraph" w:styleId="TOC8">
    <w:name w:val="toc 8"/>
    <w:basedOn w:val="Normal"/>
    <w:next w:val="Normal"/>
    <w:autoRedefine/>
    <w:uiPriority w:val="39"/>
    <w:unhideWhenUsed/>
    <w:pPr>
      <w:spacing w:after="100"/>
      <w:ind w:left="1540"/>
    </w:pPr>
    <w:rPr>
      <w:rFonts w:ascii="Calibri" w:eastAsia="MS Mincho" w:hAnsi="Calibri" w:cs="Times New Roman"/>
      <w:lang w:eastAsia="ja-JP"/>
    </w:rPr>
  </w:style>
  <w:style w:type="paragraph" w:styleId="TOC9">
    <w:name w:val="toc 9"/>
    <w:basedOn w:val="Normal"/>
    <w:next w:val="Normal"/>
    <w:autoRedefine/>
    <w:uiPriority w:val="39"/>
    <w:unhideWhenUsed/>
    <w:pPr>
      <w:spacing w:after="100"/>
      <w:ind w:left="1760"/>
    </w:pPr>
    <w:rPr>
      <w:rFonts w:ascii="Calibri" w:eastAsia="MS Mincho" w:hAnsi="Calibri" w:cs="Times New Roman"/>
      <w:lang w:eastAsia="ja-JP"/>
    </w:rPr>
  </w:style>
  <w:style w:type="paragraph" w:styleId="Title">
    <w:name w:val="Title"/>
    <w:basedOn w:val="Normal"/>
    <w:next w:val="Normal"/>
    <w:link w:val="TitleChar"/>
    <w:uiPriority w:val="10"/>
    <w:qFormat/>
    <w:pPr>
      <w:spacing w:before="240" w:after="60"/>
      <w:jc w:val="center"/>
      <w:outlineLvl w:val="0"/>
    </w:pPr>
    <w:rPr>
      <w:rFonts w:ascii="Times New Roman" w:eastAsia="MS Gothic" w:hAnsi="Times New Roman" w:cs="Times New Roman"/>
      <w:b/>
      <w:bCs/>
      <w:kern w:val="28"/>
      <w:sz w:val="32"/>
      <w:szCs w:val="32"/>
    </w:rPr>
  </w:style>
  <w:style w:type="character" w:customStyle="1" w:styleId="TitleChar">
    <w:name w:val="Title Char"/>
    <w:basedOn w:val="DefaultParagraphFont"/>
    <w:link w:val="Title"/>
    <w:uiPriority w:val="10"/>
    <w:rPr>
      <w:rFonts w:ascii="Times New Roman" w:eastAsia="MS Gothic" w:hAnsi="Times New Roman" w:cs="Times New Roman"/>
      <w:b/>
      <w:bCs/>
      <w:kern w:val="28"/>
      <w:sz w:val="32"/>
      <w:szCs w:val="32"/>
    </w:rPr>
  </w:style>
  <w:style w:type="paragraph" w:styleId="Subtitle">
    <w:name w:val="Subtitle"/>
    <w:basedOn w:val="Normal"/>
    <w:next w:val="Normal"/>
    <w:link w:val="SubtitleChar"/>
    <w:uiPriority w:val="11"/>
    <w:qFormat/>
    <w:pPr>
      <w:spacing w:before="60" w:after="60"/>
      <w:outlineLvl w:val="1"/>
    </w:pPr>
    <w:rPr>
      <w:rFonts w:ascii="Times New Roman" w:eastAsia="MS Gothic" w:hAnsi="Times New Roman" w:cs="Times New Roman"/>
      <w:b/>
      <w:sz w:val="28"/>
      <w:szCs w:val="24"/>
    </w:rPr>
  </w:style>
  <w:style w:type="character" w:customStyle="1" w:styleId="SubtitleChar">
    <w:name w:val="Subtitle Char"/>
    <w:basedOn w:val="DefaultParagraphFont"/>
    <w:link w:val="Subtitle"/>
    <w:uiPriority w:val="11"/>
    <w:rPr>
      <w:rFonts w:ascii="Times New Roman" w:eastAsia="MS Gothic" w:hAnsi="Times New Roman" w:cs="Times New Roman"/>
      <w:b/>
      <w:sz w:val="28"/>
      <w:szCs w:val="24"/>
    </w:rPr>
  </w:style>
  <w:style w:type="paragraph" w:customStyle="1" w:styleId="s2">
    <w:name w:val="s2"/>
    <w:basedOn w:val="Normal"/>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bumpedfont20">
    <w:name w:val="bumpedfont20"/>
  </w:style>
  <w:style w:type="paragraph" w:customStyle="1" w:styleId="Bulletedlist">
    <w:name w:val="Bulleted list"/>
    <w:basedOn w:val="Normal"/>
    <w:qFormat/>
    <w:pPr>
      <w:numPr>
        <w:numId w:val="12"/>
      </w:numPr>
      <w:spacing w:before="60" w:after="60" w:line="240" w:lineRule="auto"/>
      <w:jc w:val="both"/>
    </w:pPr>
    <w:rPr>
      <w:rFonts w:ascii="Arial" w:eastAsia="MS Mincho" w:hAnsi="Arial" w:cs="Arial"/>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cs="Times New Roman"/>
      <w:b/>
      <w:bCs/>
      <w:sz w:val="24"/>
      <w:szCs w:val="24"/>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eastAsia="Calibri" w:hAnsi="Times New Roman" w:cs="Times New Roman"/>
      <w:b/>
      <w:sz w:val="24"/>
      <w:szCs w:val="24"/>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eastAsia="Calibri" w:hAnsi="Times New Roman" w:cs="Times New Roman"/>
      <w:b/>
      <w:sz w:val="24"/>
      <w:szCs w:val="24"/>
    </w:r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pPr>
      <w:spacing w:after="0" w:line="240" w:lineRule="auto"/>
    </w:pPr>
    <w:rPr>
      <w:rFonts w:ascii="Calibri" w:eastAsia="Calibri" w:hAnsi="Calibri" w:cs="Times New Roman"/>
      <w:color w:val="31849B"/>
      <w:sz w:val="20"/>
      <w:szCs w:val="20"/>
      <w:lang w:eastAsia="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sz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table" w:styleId="LightShading">
    <w:name w:val="Light Shading"/>
    <w:basedOn w:val="TableNormal"/>
    <w:uiPriority w:val="60"/>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pPr>
      <w:spacing w:after="0" w:line="240" w:lineRule="auto"/>
    </w:pPr>
    <w:rPr>
      <w:rFonts w:ascii="Calibri" w:eastAsia="Calibri" w:hAnsi="Calibri" w:cs="Times New Roman"/>
      <w:color w:val="943634"/>
      <w:sz w:val="20"/>
      <w:szCs w:val="20"/>
      <w:lang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pPr>
      <w:spacing w:after="0" w:line="240" w:lineRule="auto"/>
    </w:pPr>
    <w:rPr>
      <w:rFonts w:ascii="Calibri" w:eastAsia="Calibri" w:hAnsi="Calibri" w:cs="Times New Roman"/>
      <w:color w:val="76923C"/>
      <w:sz w:val="20"/>
      <w:szCs w:val="20"/>
      <w:lang w:eastAsia="en-GB"/>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pPr>
      <w:spacing w:after="0" w:line="240" w:lineRule="auto"/>
    </w:pPr>
    <w:rPr>
      <w:rFonts w:ascii="Calibri" w:eastAsia="Calibri" w:hAnsi="Calibri" w:cs="Times New Roman"/>
      <w:color w:val="5F497A"/>
      <w:sz w:val="20"/>
      <w:szCs w:val="20"/>
      <w:lang w:eastAsia="en-GB"/>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pPr>
      <w:spacing w:after="0" w:line="240" w:lineRule="auto"/>
    </w:pPr>
    <w:rPr>
      <w:rFonts w:ascii="Calibri" w:eastAsia="Calibri" w:hAnsi="Calibri" w:cs="Times New Roman"/>
      <w:color w:val="E36C0A"/>
      <w:sz w:val="20"/>
      <w:szCs w:val="20"/>
      <w:lang w:eastAsia="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pPr>
      <w:spacing w:after="0" w:line="240" w:lineRule="auto"/>
    </w:pPr>
    <w:rPr>
      <w:rFonts w:ascii="Cambria" w:eastAsia="Times New Roman" w:hAnsi="Cambria" w:cs="Times New Roman"/>
      <w:color w:val="000000"/>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pPr>
      <w:spacing w:after="0" w:line="240" w:lineRule="auto"/>
    </w:pPr>
    <w:rPr>
      <w:rFonts w:ascii="Cambria" w:eastAsia="Times New Roman" w:hAnsi="Cambria" w:cs="Times New Roman"/>
      <w:color w:val="000000"/>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ind w:right="141"/>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rFonts w:ascii="Times New Roman" w:eastAsia="Calibri" w:hAnsi="Times New Roman" w:cs="Times New Roman"/>
      <w:b/>
      <w:sz w:val="24"/>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rFonts w:ascii="Times New Roman" w:eastAsia="Calibri" w:hAnsi="Times New Roman" w:cs="Times New Roman"/>
      <w:b/>
      <w:sz w:val="24"/>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ascii="Times New Roman" w:eastAsia="Times New Roman" w:hAnsi="Times New Roman" w:cs="Times New Roman"/>
      <w:b/>
      <w:bCs/>
      <w:sz w:val="24"/>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rFonts w:ascii="Times New Roman" w:eastAsia="Calibri" w:hAnsi="Times New Roman" w:cs="Times New Roman"/>
      <w:b/>
      <w:sz w:val="24"/>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rFonts w:ascii="Times New Roman" w:eastAsia="Calibri" w:hAnsi="Times New Roman" w:cs="Times New Roman"/>
      <w:b/>
      <w:i/>
      <w:iCs/>
      <w:sz w:val="24"/>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Pr>
      <w:rFonts w:ascii="Times New Roman" w:eastAsia="Calibri" w:hAnsi="Times New Roman" w:cs="Times New Roman"/>
      <w:b/>
      <w:sz w:val="24"/>
      <w:szCs w:val="24"/>
    </w:rPr>
  </w:style>
  <w:style w:type="character" w:customStyle="1" w:styleId="Heading3Char">
    <w:name w:val="Heading 3 Char"/>
    <w:aliases w:val="Heading 3 bis Char"/>
    <w:basedOn w:val="DefaultParagraphFont"/>
    <w:link w:val="Heading3"/>
    <w:uiPriority w:val="9"/>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uiPriority w:val="9"/>
    <w:rPr>
      <w:rFonts w:ascii="Times New Roman" w:eastAsia="Calibri" w:hAnsi="Times New Roman" w:cs="Times New Roman"/>
      <w:b/>
      <w:sz w:val="24"/>
      <w:szCs w:val="24"/>
    </w:rPr>
  </w:style>
  <w:style w:type="character" w:customStyle="1" w:styleId="Heading6Char">
    <w:name w:val="Heading 6 Char"/>
    <w:basedOn w:val="DefaultParagraphFont"/>
    <w:link w:val="Heading6"/>
    <w:uiPriority w:val="9"/>
    <w:rPr>
      <w:rFonts w:ascii="Times New Roman" w:eastAsia="Calibri" w:hAnsi="Times New Roman" w:cs="Times New Roman"/>
      <w:b/>
      <w:i/>
      <w:iCs/>
      <w:sz w:val="24"/>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paragraph" w:styleId="Header">
    <w:name w:val="header"/>
    <w:basedOn w:val="Normal"/>
    <w:link w:val="Head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ListParagraph">
    <w:name w:val="List Paragraph"/>
    <w:basedOn w:val="Normal"/>
    <w:uiPriority w:val="34"/>
    <w:qFormat/>
    <w:pPr>
      <w:spacing w:before="60" w:after="60"/>
      <w:ind w:left="720"/>
      <w:contextualSpacing/>
    </w:pPr>
    <w:rPr>
      <w:rFonts w:ascii="Times New Roman" w:eastAsia="Calibri" w:hAnsi="Times New Roman" w:cs="Times New Roman"/>
      <w:sz w:val="24"/>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before="60" w:after="100"/>
    </w:pPr>
    <w:rPr>
      <w:rFonts w:ascii="Times New Roman" w:eastAsia="Calibri" w:hAnsi="Times New Roman" w:cs="Times New Roman"/>
      <w:sz w:val="24"/>
    </w:rPr>
  </w:style>
  <w:style w:type="paragraph" w:styleId="TOC2">
    <w:name w:val="toc 2"/>
    <w:basedOn w:val="Normal"/>
    <w:next w:val="Normal"/>
    <w:autoRedefine/>
    <w:uiPriority w:val="39"/>
    <w:unhideWhenUsed/>
    <w:pPr>
      <w:spacing w:before="60" w:after="100"/>
      <w:ind w:left="220"/>
    </w:pPr>
    <w:rPr>
      <w:rFonts w:ascii="Times New Roman" w:eastAsia="Calibri" w:hAnsi="Times New Roman" w:cs="Times New Roman"/>
      <w:sz w:val="24"/>
    </w:rPr>
  </w:style>
  <w:style w:type="paragraph" w:styleId="TOC3">
    <w:name w:val="toc 3"/>
    <w:basedOn w:val="Normal"/>
    <w:next w:val="Normal"/>
    <w:autoRedefine/>
    <w:uiPriority w:val="39"/>
    <w:unhideWhenUsed/>
    <w:pPr>
      <w:spacing w:before="60" w:after="100"/>
      <w:ind w:left="440"/>
    </w:pPr>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60"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Text1">
    <w:name w:val="Text 1"/>
    <w:basedOn w:val="Normal"/>
    <w:pPr>
      <w:spacing w:before="60" w:after="240" w:line="240" w:lineRule="auto"/>
      <w:ind w:left="48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before="60"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before="60" w:after="0" w:line="240" w:lineRule="auto"/>
    </w:pPr>
    <w:rPr>
      <w:rFonts w:ascii="Times New Roman" w:eastAsia="Times New Roman" w:hAnsi="Times New Roman" w:cs="Times New Roman"/>
      <w:sz w:val="24"/>
      <w:szCs w:val="24"/>
      <w:lang w:eastAsia="en-GB"/>
    </w:rPr>
  </w:style>
  <w:style w:type="paragraph" w:customStyle="1" w:styleId="CM1">
    <w:name w:val="CM1"/>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CM3">
    <w:name w:val="CM3"/>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60" w:after="6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60" w:after="60"/>
    </w:pPr>
    <w:rPr>
      <w:rFonts w:ascii="Times New Roman" w:eastAsia="Calibri" w:hAnsi="Times New Roman" w:cs="Times New Roman"/>
      <w:sz w:val="24"/>
      <w:szCs w:val="24"/>
    </w:rPr>
  </w:style>
  <w:style w:type="paragraph" w:customStyle="1" w:styleId="Text2">
    <w:name w:val="Text 2"/>
    <w:basedOn w:val="Normal"/>
    <w:pPr>
      <w:tabs>
        <w:tab w:val="left" w:pos="2160"/>
      </w:tabs>
      <w:spacing w:before="60" w:after="240" w:line="240" w:lineRule="auto"/>
      <w:ind w:left="1077"/>
      <w:jc w:val="both"/>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before="60" w:after="240" w:line="240" w:lineRule="auto"/>
      <w:jc w:val="both"/>
    </w:pPr>
    <w:rPr>
      <w:rFonts w:ascii="Times New Roman" w:eastAsia="Times New Roman" w:hAnsi="Times New Roman" w:cs="Times New Roman"/>
      <w:sz w:val="24"/>
      <w:szCs w:val="20"/>
    </w:rPr>
  </w:style>
  <w:style w:type="character" w:customStyle="1" w:styleId="Corpsdutexte">
    <w:name w:val="Corps du texte_"/>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ascii="Times New Roman" w:eastAsia="Times New Roman" w:hAnsi="Times New Roman" w:cs="Times New Roman"/>
      <w:sz w:val="23"/>
      <w:szCs w:val="23"/>
      <w:lang w:val="en-US" w:eastAsia="en-GB"/>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paragraph" w:styleId="Caption">
    <w:name w:val="caption"/>
    <w:basedOn w:val="Normal"/>
    <w:next w:val="Normal"/>
    <w:link w:val="CaptionChar"/>
    <w:uiPriority w:val="35"/>
    <w:unhideWhenUsed/>
    <w:qFormat/>
    <w:pPr>
      <w:spacing w:before="60" w:after="60"/>
    </w:pPr>
    <w:rPr>
      <w:rFonts w:ascii="Times New Roman" w:eastAsia="Calibri" w:hAnsi="Times New Roman" w:cs="Times New Roman"/>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before="60" w:after="160"/>
      <w:ind w:left="851"/>
    </w:pPr>
    <w:rPr>
      <w:rFonts w:ascii="Times New Roman" w:eastAsia="Calibri" w:hAnsi="Times New Roman" w:cs="Times New Roman"/>
      <w:b/>
      <w:i/>
      <w:sz w:val="21"/>
      <w:szCs w:val="20"/>
    </w:rPr>
  </w:style>
  <w:style w:type="character" w:customStyle="1" w:styleId="CaptionChar">
    <w:name w:val="Caption Char"/>
    <w:link w:val="Caption"/>
    <w:uiPriority w:val="35"/>
    <w:rPr>
      <w:rFonts w:ascii="Times New Roman" w:eastAsia="Calibri" w:hAnsi="Times New Roman" w:cs="Times New Roman"/>
      <w:b/>
      <w:bCs/>
      <w:sz w:val="20"/>
      <w:szCs w:val="20"/>
    </w:rPr>
  </w:style>
  <w:style w:type="character" w:customStyle="1" w:styleId="captionChar0">
    <w:name w:val="caption Char"/>
    <w:link w:val="Caption1"/>
    <w:rPr>
      <w:rFonts w:ascii="Times New Roman" w:eastAsia="Calibri" w:hAnsi="Times New Roman" w:cs="Times New Roman"/>
      <w:b/>
      <w:bCs/>
      <w:i/>
      <w:szCs w:val="20"/>
    </w:rPr>
  </w:style>
  <w:style w:type="character" w:customStyle="1" w:styleId="SourceCapChar">
    <w:name w:val="SourceCap Char"/>
    <w:link w:val="SourceCap"/>
    <w:rPr>
      <w:rFonts w:ascii="Times New Roman" w:eastAsia="Calibri" w:hAnsi="Times New Roman" w:cs="Times New Roman"/>
      <w:b/>
      <w:i/>
      <w:sz w:val="21"/>
      <w:szCs w:val="20"/>
    </w:rPr>
  </w:style>
  <w:style w:type="paragraph" w:customStyle="1" w:styleId="KeyPoints">
    <w:name w:val="KeyPoints"/>
    <w:basedOn w:val="Normal"/>
    <w:link w:val="KeyPointsChar"/>
    <w:qFormat/>
    <w:pPr>
      <w:numPr>
        <w:numId w:val="1"/>
      </w:numPr>
      <w:spacing w:before="60" w:after="60" w:line="240" w:lineRule="auto"/>
      <w:ind w:left="0" w:hanging="357"/>
      <w:contextualSpacing/>
      <w:jc w:val="both"/>
    </w:pPr>
    <w:rPr>
      <w:rFonts w:ascii="Times New Roman" w:eastAsia="Calibri" w:hAnsi="Times New Roman" w:cs="Times New Roman"/>
      <w:i/>
      <w:sz w:val="24"/>
      <w:szCs w:val="24"/>
    </w:rPr>
  </w:style>
  <w:style w:type="paragraph" w:styleId="TOC4">
    <w:name w:val="toc 4"/>
    <w:basedOn w:val="Normal"/>
    <w:next w:val="Normal"/>
    <w:autoRedefine/>
    <w:uiPriority w:val="39"/>
    <w:unhideWhenUsed/>
    <w:pPr>
      <w:spacing w:before="60" w:after="60"/>
      <w:ind w:left="720"/>
    </w:pPr>
    <w:rPr>
      <w:rFonts w:ascii="Times New Roman" w:eastAsia="Calibri" w:hAnsi="Times New Roman" w:cs="Times New Roman"/>
      <w:sz w:val="24"/>
    </w:rPr>
  </w:style>
  <w:style w:type="character" w:customStyle="1" w:styleId="KeyPointsChar">
    <w:name w:val="KeyPoints Char"/>
    <w:link w:val="KeyPoints"/>
    <w:rPr>
      <w:rFonts w:ascii="Times New Roman" w:eastAsia="Calibri" w:hAnsi="Times New Roman" w:cs="Times New Roman"/>
      <w:i/>
      <w:sz w:val="24"/>
      <w:szCs w:val="24"/>
    </w:rPr>
  </w:style>
  <w:style w:type="paragraph" w:styleId="TOC5">
    <w:name w:val="toc 5"/>
    <w:basedOn w:val="Normal"/>
    <w:next w:val="Normal"/>
    <w:autoRedefine/>
    <w:uiPriority w:val="39"/>
    <w:unhideWhenUsed/>
    <w:pPr>
      <w:spacing w:before="60" w:after="60"/>
      <w:ind w:left="960"/>
    </w:pPr>
    <w:rPr>
      <w:rFonts w:ascii="Times New Roman" w:eastAsia="Calibri" w:hAnsi="Times New Roman" w:cs="Times New Roman"/>
      <w:sz w:val="24"/>
    </w:rPr>
  </w:style>
  <w:style w:type="paragraph" w:styleId="TOC6">
    <w:name w:val="toc 6"/>
    <w:basedOn w:val="Normal"/>
    <w:next w:val="Normal"/>
    <w:autoRedefine/>
    <w:uiPriority w:val="39"/>
    <w:unhideWhenUsed/>
    <w:pPr>
      <w:spacing w:after="100"/>
      <w:ind w:left="1100"/>
    </w:pPr>
    <w:rPr>
      <w:rFonts w:ascii="Calibri" w:eastAsia="MS Mincho" w:hAnsi="Calibri" w:cs="Times New Roman"/>
      <w:lang w:eastAsia="ja-JP"/>
    </w:rPr>
  </w:style>
  <w:style w:type="paragraph" w:styleId="TOC7">
    <w:name w:val="toc 7"/>
    <w:basedOn w:val="Normal"/>
    <w:next w:val="Normal"/>
    <w:autoRedefine/>
    <w:uiPriority w:val="39"/>
    <w:unhideWhenUsed/>
    <w:pPr>
      <w:spacing w:after="100"/>
      <w:ind w:left="1320"/>
    </w:pPr>
    <w:rPr>
      <w:rFonts w:ascii="Calibri" w:eastAsia="MS Mincho" w:hAnsi="Calibri" w:cs="Times New Roman"/>
      <w:lang w:eastAsia="ja-JP"/>
    </w:rPr>
  </w:style>
  <w:style w:type="paragraph" w:styleId="TOC8">
    <w:name w:val="toc 8"/>
    <w:basedOn w:val="Normal"/>
    <w:next w:val="Normal"/>
    <w:autoRedefine/>
    <w:uiPriority w:val="39"/>
    <w:unhideWhenUsed/>
    <w:pPr>
      <w:spacing w:after="100"/>
      <w:ind w:left="1540"/>
    </w:pPr>
    <w:rPr>
      <w:rFonts w:ascii="Calibri" w:eastAsia="MS Mincho" w:hAnsi="Calibri" w:cs="Times New Roman"/>
      <w:lang w:eastAsia="ja-JP"/>
    </w:rPr>
  </w:style>
  <w:style w:type="paragraph" w:styleId="TOC9">
    <w:name w:val="toc 9"/>
    <w:basedOn w:val="Normal"/>
    <w:next w:val="Normal"/>
    <w:autoRedefine/>
    <w:uiPriority w:val="39"/>
    <w:unhideWhenUsed/>
    <w:pPr>
      <w:spacing w:after="100"/>
      <w:ind w:left="1760"/>
    </w:pPr>
    <w:rPr>
      <w:rFonts w:ascii="Calibri" w:eastAsia="MS Mincho" w:hAnsi="Calibri" w:cs="Times New Roman"/>
      <w:lang w:eastAsia="ja-JP"/>
    </w:rPr>
  </w:style>
  <w:style w:type="paragraph" w:styleId="Title">
    <w:name w:val="Title"/>
    <w:basedOn w:val="Normal"/>
    <w:next w:val="Normal"/>
    <w:link w:val="TitleChar"/>
    <w:uiPriority w:val="10"/>
    <w:qFormat/>
    <w:pPr>
      <w:spacing w:before="240" w:after="60"/>
      <w:jc w:val="center"/>
      <w:outlineLvl w:val="0"/>
    </w:pPr>
    <w:rPr>
      <w:rFonts w:ascii="Times New Roman" w:eastAsia="MS Gothic" w:hAnsi="Times New Roman" w:cs="Times New Roman"/>
      <w:b/>
      <w:bCs/>
      <w:kern w:val="28"/>
      <w:sz w:val="32"/>
      <w:szCs w:val="32"/>
    </w:rPr>
  </w:style>
  <w:style w:type="character" w:customStyle="1" w:styleId="TitleChar">
    <w:name w:val="Title Char"/>
    <w:basedOn w:val="DefaultParagraphFont"/>
    <w:link w:val="Title"/>
    <w:uiPriority w:val="10"/>
    <w:rPr>
      <w:rFonts w:ascii="Times New Roman" w:eastAsia="MS Gothic" w:hAnsi="Times New Roman" w:cs="Times New Roman"/>
      <w:b/>
      <w:bCs/>
      <w:kern w:val="28"/>
      <w:sz w:val="32"/>
      <w:szCs w:val="32"/>
    </w:rPr>
  </w:style>
  <w:style w:type="paragraph" w:styleId="Subtitle">
    <w:name w:val="Subtitle"/>
    <w:basedOn w:val="Normal"/>
    <w:next w:val="Normal"/>
    <w:link w:val="SubtitleChar"/>
    <w:uiPriority w:val="11"/>
    <w:qFormat/>
    <w:pPr>
      <w:spacing w:before="60" w:after="60"/>
      <w:outlineLvl w:val="1"/>
    </w:pPr>
    <w:rPr>
      <w:rFonts w:ascii="Times New Roman" w:eastAsia="MS Gothic" w:hAnsi="Times New Roman" w:cs="Times New Roman"/>
      <w:b/>
      <w:sz w:val="28"/>
      <w:szCs w:val="24"/>
    </w:rPr>
  </w:style>
  <w:style w:type="character" w:customStyle="1" w:styleId="SubtitleChar">
    <w:name w:val="Subtitle Char"/>
    <w:basedOn w:val="DefaultParagraphFont"/>
    <w:link w:val="Subtitle"/>
    <w:uiPriority w:val="11"/>
    <w:rPr>
      <w:rFonts w:ascii="Times New Roman" w:eastAsia="MS Gothic" w:hAnsi="Times New Roman" w:cs="Times New Roman"/>
      <w:b/>
      <w:sz w:val="28"/>
      <w:szCs w:val="24"/>
    </w:rPr>
  </w:style>
  <w:style w:type="paragraph" w:customStyle="1" w:styleId="s2">
    <w:name w:val="s2"/>
    <w:basedOn w:val="Normal"/>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bumpedfont20">
    <w:name w:val="bumpedfont20"/>
  </w:style>
  <w:style w:type="paragraph" w:customStyle="1" w:styleId="Bulletedlist">
    <w:name w:val="Bulleted list"/>
    <w:basedOn w:val="Normal"/>
    <w:qFormat/>
    <w:pPr>
      <w:numPr>
        <w:numId w:val="12"/>
      </w:numPr>
      <w:spacing w:before="60" w:after="60" w:line="240" w:lineRule="auto"/>
      <w:jc w:val="both"/>
    </w:pPr>
    <w:rPr>
      <w:rFonts w:ascii="Arial" w:eastAsia="MS Mincho" w:hAnsi="Arial" w:cs="Arial"/>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cs="Times New Roman"/>
      <w:b/>
      <w:bCs/>
      <w:sz w:val="24"/>
      <w:szCs w:val="24"/>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eastAsia="Calibri" w:hAnsi="Times New Roman" w:cs="Times New Roman"/>
      <w:b/>
      <w:sz w:val="24"/>
      <w:szCs w:val="24"/>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eastAsia="Calibri" w:hAnsi="Times New Roman" w:cs="Times New Roman"/>
      <w:b/>
      <w:sz w:val="24"/>
      <w:szCs w:val="24"/>
    </w:r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pPr>
      <w:spacing w:after="0" w:line="240" w:lineRule="auto"/>
    </w:pPr>
    <w:rPr>
      <w:rFonts w:ascii="Calibri" w:eastAsia="Calibri" w:hAnsi="Calibri" w:cs="Times New Roman"/>
      <w:color w:val="31849B"/>
      <w:sz w:val="20"/>
      <w:szCs w:val="20"/>
      <w:lang w:eastAsia="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sz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table" w:styleId="LightShading">
    <w:name w:val="Light Shading"/>
    <w:basedOn w:val="TableNormal"/>
    <w:uiPriority w:val="60"/>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pPr>
      <w:spacing w:after="0" w:line="240" w:lineRule="auto"/>
    </w:pPr>
    <w:rPr>
      <w:rFonts w:ascii="Calibri" w:eastAsia="Calibri" w:hAnsi="Calibri" w:cs="Times New Roman"/>
      <w:color w:val="943634"/>
      <w:sz w:val="20"/>
      <w:szCs w:val="20"/>
      <w:lang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pPr>
      <w:spacing w:after="0" w:line="240" w:lineRule="auto"/>
    </w:pPr>
    <w:rPr>
      <w:rFonts w:ascii="Calibri" w:eastAsia="Calibri" w:hAnsi="Calibri" w:cs="Times New Roman"/>
      <w:color w:val="76923C"/>
      <w:sz w:val="20"/>
      <w:szCs w:val="20"/>
      <w:lang w:eastAsia="en-GB"/>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pPr>
      <w:spacing w:after="0" w:line="240" w:lineRule="auto"/>
    </w:pPr>
    <w:rPr>
      <w:rFonts w:ascii="Calibri" w:eastAsia="Calibri" w:hAnsi="Calibri" w:cs="Times New Roman"/>
      <w:color w:val="5F497A"/>
      <w:sz w:val="20"/>
      <w:szCs w:val="20"/>
      <w:lang w:eastAsia="en-GB"/>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pPr>
      <w:spacing w:after="0" w:line="240" w:lineRule="auto"/>
    </w:pPr>
    <w:rPr>
      <w:rFonts w:ascii="Calibri" w:eastAsia="Calibri" w:hAnsi="Calibri" w:cs="Times New Roman"/>
      <w:color w:val="E36C0A"/>
      <w:sz w:val="20"/>
      <w:szCs w:val="20"/>
      <w:lang w:eastAsia="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pPr>
      <w:spacing w:after="0" w:line="240" w:lineRule="auto"/>
    </w:pPr>
    <w:rPr>
      <w:rFonts w:ascii="Cambria" w:eastAsia="Times New Roman" w:hAnsi="Cambria" w:cs="Times New Roman"/>
      <w:color w:val="000000"/>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pPr>
      <w:spacing w:after="0" w:line="240" w:lineRule="auto"/>
    </w:pPr>
    <w:rPr>
      <w:rFonts w:ascii="Cambria" w:eastAsia="Times New Roman" w:hAnsi="Cambria" w:cs="Times New Roman"/>
      <w:color w:val="000000"/>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9e03c6b4-6243-4216-b733-3273b98e981e" xsi:nil="true"/>
    <_Status xmlns="http://schemas.microsoft.com/sharepoint/v3/fields">Not Started</_Status>
    <EC_Collab_Status xmlns="9e03c6b4-6243-4216-b733-3273b98e981e">Not Started</EC_Collab_Status>
    <EC_Collab_DocumentLanguage xmlns="9e03c6b4-6243-4216-b733-3273b98e981e">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2EA9FEFF883564CB9E046C56A2E086A" ma:contentTypeVersion="0" ma:contentTypeDescription="Create a new document in this library." ma:contentTypeScope="" ma:versionID="82d426c05779cc8292c21bcceaf9eb4a">
  <xsd:schema xmlns:xsd="http://www.w3.org/2001/XMLSchema" xmlns:xs="http://www.w3.org/2001/XMLSchema" xmlns:p="http://schemas.microsoft.com/office/2006/metadata/properties" xmlns:ns2="http://schemas.microsoft.com/sharepoint/v3/fields" xmlns:ns3="9e03c6b4-6243-4216-b733-3273b98e981e" targetNamespace="http://schemas.microsoft.com/office/2006/metadata/properties" ma:root="true" ma:fieldsID="2a867769fb1e181c26d3ac7f5a0c88a3" ns2:_="" ns3:_="">
    <xsd:import namespace="http://schemas.microsoft.com/sharepoint/v3/fields"/>
    <xsd:import namespace="9e03c6b4-6243-4216-b733-3273b98e981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e03c6b4-6243-4216-b733-3273b98e981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67B92-D76E-47A6-B28B-BF3098E2BB38}">
  <ds:schemaRefs>
    <ds:schemaRef ds:uri="http://schemas.microsoft.com/sharepoint/v3/contenttype/forms"/>
  </ds:schemaRefs>
</ds:datastoreItem>
</file>

<file path=customXml/itemProps2.xml><?xml version="1.0" encoding="utf-8"?>
<ds:datastoreItem xmlns:ds="http://schemas.openxmlformats.org/officeDocument/2006/customXml" ds:itemID="{1CEEB91C-5964-4B35-9506-B83363EC874D}">
  <ds:schemaRefs>
    <ds:schemaRef ds:uri="http://schemas.microsoft.com/office/2006/metadata/properties"/>
    <ds:schemaRef ds:uri="http://schemas.microsoft.com/office/infopath/2007/PartnerControls"/>
    <ds:schemaRef ds:uri="9e03c6b4-6243-4216-b733-3273b98e981e"/>
    <ds:schemaRef ds:uri="http://schemas.microsoft.com/sharepoint/v3/fields"/>
  </ds:schemaRefs>
</ds:datastoreItem>
</file>

<file path=customXml/itemProps3.xml><?xml version="1.0" encoding="utf-8"?>
<ds:datastoreItem xmlns:ds="http://schemas.openxmlformats.org/officeDocument/2006/customXml" ds:itemID="{950481A0-D3BC-46BC-803E-371F62BA8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e03c6b4-6243-4216-b733-3273b98e9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9E71C8-513B-4F03-956E-A74EEE05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4835</Words>
  <Characters>25239</Characters>
  <Application>Microsoft Office Word</Application>
  <DocSecurity>0</DocSecurity>
  <Lines>1682</Lines>
  <Paragraphs>970</Paragraphs>
  <ScaleCrop>false</ScaleCrop>
  <HeadingPairs>
    <vt:vector size="2" baseType="variant">
      <vt:variant>
        <vt:lpstr>Title</vt:lpstr>
      </vt:variant>
      <vt:variant>
        <vt:i4>1</vt:i4>
      </vt:variant>
    </vt:vector>
  </HeadingPairs>
  <TitlesOfParts>
    <vt:vector size="1" baseType="lpstr">
      <vt:lpstr>140.8 Annex</vt:lpstr>
    </vt:vector>
  </TitlesOfParts>
  <Company>European Commission</Company>
  <LinksUpToDate>false</LinksUpToDate>
  <CharactersWithSpaces>29104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140.8 Annex</dc:title>
  <dc:subject>140.8 Annex</dc:subject>
  <dc:creator>DRESSE Jean-Dominique (ECFIN)</dc:creator>
  <cp:lastModifiedBy>DIGIT/A3</cp:lastModifiedBy>
  <cp:revision>8</cp:revision>
  <cp:lastPrinted>2017-08-02T13:24:00Z</cp:lastPrinted>
  <dcterms:created xsi:type="dcterms:W3CDTF">2017-09-14T07:18:00Z</dcterms:created>
  <dcterms:modified xsi:type="dcterms:W3CDTF">2017-09-25T05:10:00Z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y fmtid="{D5CDD505-2E9C-101B-9397-08002B2CF9AE}" pid="8" name="ContentTypeId">
    <vt:lpwstr>0x010100258AA79CEB83498886A3A086811232500002EA9FEFF883564CB9E046C56A2E086A</vt:lpwstr>
  </property>
</Properties>
</file>